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602E" w14:paraId="40B0425C" w14:textId="77777777">
      <w:pPr>
        <w:pStyle w:val="Title"/>
        <w:spacing w:before="60" w:line="259" w:lineRule="auto"/>
      </w:pPr>
      <w:r>
        <w:t>Supporting</w:t>
      </w:r>
      <w:r>
        <w:rPr>
          <w:spacing w:val="-18"/>
        </w:rPr>
        <w:t xml:space="preserve"> </w:t>
      </w:r>
      <w:r>
        <w:t>Statement</w:t>
      </w:r>
      <w:r>
        <w:rPr>
          <w:spacing w:val="-17"/>
        </w:rPr>
        <w:t xml:space="preserve"> </w:t>
      </w:r>
      <w:r>
        <w:t>Part-A Good Cause Processes</w:t>
      </w:r>
    </w:p>
    <w:p w:rsidR="0022602E" w14:paraId="44EEA162" w14:textId="77777777">
      <w:pPr>
        <w:pStyle w:val="Title"/>
        <w:ind w:right="2780"/>
      </w:pPr>
      <w:r>
        <w:t>(CMS-10544,</w:t>
      </w:r>
      <w:r>
        <w:rPr>
          <w:spacing w:val="-9"/>
        </w:rPr>
        <w:t xml:space="preserve"> </w:t>
      </w:r>
      <w:r>
        <w:t>OMB</w:t>
      </w:r>
      <w:r>
        <w:rPr>
          <w:spacing w:val="-8"/>
        </w:rPr>
        <w:t xml:space="preserve"> </w:t>
      </w:r>
      <w:r>
        <w:t>0938-</w:t>
      </w:r>
      <w:r>
        <w:rPr>
          <w:spacing w:val="-4"/>
        </w:rPr>
        <w:t>1271)</w:t>
      </w:r>
    </w:p>
    <w:p w:rsidR="0022602E" w14:paraId="11B1FDE7" w14:textId="77777777">
      <w:pPr>
        <w:pStyle w:val="BodyText"/>
        <w:spacing w:before="47"/>
      </w:pPr>
    </w:p>
    <w:p w:rsidR="0022602E" w14:paraId="74663D77" w14:textId="77777777">
      <w:pPr>
        <w:pStyle w:val="Heading1"/>
        <w:ind w:firstLine="0"/>
      </w:pPr>
      <w:bookmarkStart w:id="0" w:name="Background"/>
      <w:bookmarkEnd w:id="0"/>
      <w:r>
        <w:rPr>
          <w:spacing w:val="-2"/>
        </w:rPr>
        <w:t>Background</w:t>
      </w:r>
    </w:p>
    <w:p w:rsidR="0022602E" w14:paraId="1150E110" w14:textId="77777777">
      <w:pPr>
        <w:pStyle w:val="BodyText"/>
        <w:spacing w:before="43"/>
        <w:rPr>
          <w:b/>
        </w:rPr>
      </w:pPr>
    </w:p>
    <w:p w:rsidR="0022602E" w14:paraId="66D6ECC4" w14:textId="77777777">
      <w:pPr>
        <w:pStyle w:val="BodyText"/>
        <w:spacing w:line="254" w:lineRule="auto"/>
        <w:ind w:left="340" w:hanging="10"/>
      </w:pPr>
      <w:r>
        <w:t>Medicare Advantage (MA) organizations, §1876 cost plans and Part D plan sponsors may terminate the enrollment of individuals who fail to pay basic and supplemental premiums after a grace period established by the plan. An MA organization or Part D plan sponsor that chooses to disenroll beneficiaries for failure to pay premiums must be able to demonstrate that it made a reasonable effort to collect the unpaid amounts by notifying the beneficiary of the delinquency, providing the beneficiary a period of no fewer than two months in which to resolve the delinquency,</w:t>
      </w:r>
      <w:r>
        <w:rPr>
          <w:spacing w:val="-3"/>
        </w:rPr>
        <w:t xml:space="preserve"> </w:t>
      </w:r>
      <w:r>
        <w:t>and</w:t>
      </w:r>
      <w:r>
        <w:rPr>
          <w:spacing w:val="-1"/>
        </w:rPr>
        <w:t xml:space="preserve"> </w:t>
      </w:r>
      <w:r>
        <w:t>advising</w:t>
      </w:r>
      <w:r>
        <w:rPr>
          <w:spacing w:val="-3"/>
        </w:rPr>
        <w:t xml:space="preserve"> </w:t>
      </w:r>
      <w:r>
        <w:t>the</w:t>
      </w:r>
      <w:r>
        <w:rPr>
          <w:spacing w:val="-4"/>
        </w:rPr>
        <w:t xml:space="preserve"> </w:t>
      </w:r>
      <w:r>
        <w:t>beneficiary</w:t>
      </w:r>
      <w:r>
        <w:rPr>
          <w:spacing w:val="-3"/>
        </w:rPr>
        <w:t xml:space="preserve"> </w:t>
      </w:r>
      <w:r>
        <w:t>of</w:t>
      </w:r>
      <w:r>
        <w:rPr>
          <w:spacing w:val="-4"/>
        </w:rPr>
        <w:t xml:space="preserve"> </w:t>
      </w:r>
      <w:r>
        <w:t>the</w:t>
      </w:r>
      <w:r>
        <w:rPr>
          <w:spacing w:val="-4"/>
        </w:rPr>
        <w:t xml:space="preserve"> </w:t>
      </w:r>
      <w:r>
        <w:t>termination</w:t>
      </w:r>
      <w:r>
        <w:rPr>
          <w:spacing w:val="-3"/>
        </w:rPr>
        <w:t xml:space="preserve"> </w:t>
      </w:r>
      <w:r>
        <w:t>of</w:t>
      </w:r>
      <w:r>
        <w:rPr>
          <w:spacing w:val="-4"/>
        </w:rPr>
        <w:t xml:space="preserve"> </w:t>
      </w:r>
      <w:r>
        <w:t>coverage</w:t>
      </w:r>
      <w:r>
        <w:rPr>
          <w:spacing w:val="-4"/>
        </w:rPr>
        <w:t xml:space="preserve"> </w:t>
      </w:r>
      <w:r>
        <w:t>if</w:t>
      </w:r>
      <w:r>
        <w:rPr>
          <w:spacing w:val="-2"/>
        </w:rPr>
        <w:t xml:space="preserve"> </w:t>
      </w:r>
      <w:r>
        <w:t>the</w:t>
      </w:r>
      <w:r>
        <w:rPr>
          <w:spacing w:val="-4"/>
        </w:rPr>
        <w:t xml:space="preserve"> </w:t>
      </w:r>
      <w:r>
        <w:t>amounts</w:t>
      </w:r>
      <w:r>
        <w:rPr>
          <w:spacing w:val="-3"/>
        </w:rPr>
        <w:t xml:space="preserve"> </w:t>
      </w:r>
      <w:r>
        <w:t>owed</w:t>
      </w:r>
      <w:r>
        <w:rPr>
          <w:spacing w:val="-3"/>
        </w:rPr>
        <w:t xml:space="preserve"> </w:t>
      </w:r>
      <w:r>
        <w:t>are not paid by the end of the grace period. A cost plan must be able to demonstrate that it made a reasonable effort to collect unpaid premiums or other charges and that it provided the member with a written notice of disenrollment at least 20 days before the disenrollment effective date.</w:t>
      </w:r>
    </w:p>
    <w:p w:rsidR="0022602E" w14:paraId="5E45FFC1" w14:textId="77777777">
      <w:pPr>
        <w:pStyle w:val="BodyText"/>
        <w:spacing w:before="34"/>
      </w:pPr>
    </w:p>
    <w:p w:rsidR="0022602E" w14:paraId="3E71862D" w14:textId="77777777">
      <w:pPr>
        <w:pStyle w:val="BodyText"/>
        <w:spacing w:line="254" w:lineRule="auto"/>
        <w:ind w:left="340" w:right="74" w:hanging="10"/>
      </w:pPr>
      <w:r>
        <w:t>In</w:t>
      </w:r>
      <w:r>
        <w:rPr>
          <w:spacing w:val="-3"/>
        </w:rPr>
        <w:t xml:space="preserve"> </w:t>
      </w:r>
      <w:r>
        <w:t>January</w:t>
      </w:r>
      <w:r>
        <w:rPr>
          <w:spacing w:val="-3"/>
        </w:rPr>
        <w:t xml:space="preserve"> </w:t>
      </w:r>
      <w:r>
        <w:t>2012,</w:t>
      </w:r>
      <w:r>
        <w:rPr>
          <w:spacing w:val="-3"/>
        </w:rPr>
        <w:t xml:space="preserve"> </w:t>
      </w:r>
      <w:r>
        <w:t>CMS</w:t>
      </w:r>
      <w:r>
        <w:rPr>
          <w:spacing w:val="-3"/>
        </w:rPr>
        <w:t xml:space="preserve"> </w:t>
      </w:r>
      <w:r>
        <w:t>codified</w:t>
      </w:r>
      <w:r>
        <w:rPr>
          <w:spacing w:val="-3"/>
        </w:rPr>
        <w:t xml:space="preserve"> </w:t>
      </w:r>
      <w:r>
        <w:t>regulations</w:t>
      </w:r>
      <w:r>
        <w:rPr>
          <w:spacing w:val="-3"/>
        </w:rPr>
        <w:t xml:space="preserve"> </w:t>
      </w:r>
      <w:r>
        <w:t>(76</w:t>
      </w:r>
      <w:r>
        <w:rPr>
          <w:spacing w:val="-1"/>
        </w:rPr>
        <w:t xml:space="preserve"> </w:t>
      </w:r>
      <w:r>
        <w:t>FR</w:t>
      </w:r>
      <w:r>
        <w:rPr>
          <w:spacing w:val="-3"/>
        </w:rPr>
        <w:t xml:space="preserve"> </w:t>
      </w:r>
      <w:r>
        <w:t>21432)</w:t>
      </w:r>
      <w:r>
        <w:rPr>
          <w:spacing w:val="-4"/>
        </w:rPr>
        <w:t xml:space="preserve"> </w:t>
      </w:r>
      <w:r>
        <w:t>to</w:t>
      </w:r>
      <w:r>
        <w:rPr>
          <w:spacing w:val="-3"/>
        </w:rPr>
        <w:t xml:space="preserve"> </w:t>
      </w:r>
      <w:r>
        <w:t>permit</w:t>
      </w:r>
      <w:r>
        <w:rPr>
          <w:spacing w:val="-3"/>
        </w:rPr>
        <w:t xml:space="preserve"> </w:t>
      </w:r>
      <w:r>
        <w:t>reinstatement</w:t>
      </w:r>
      <w:r>
        <w:rPr>
          <w:spacing w:val="-3"/>
        </w:rPr>
        <w:t xml:space="preserve"> </w:t>
      </w:r>
      <w:r>
        <w:t>of</w:t>
      </w:r>
      <w:r>
        <w:rPr>
          <w:spacing w:val="-4"/>
        </w:rPr>
        <w:t xml:space="preserve"> </w:t>
      </w:r>
      <w:r>
        <w:t>enrollment of</w:t>
      </w:r>
      <w:r>
        <w:rPr>
          <w:spacing w:val="-2"/>
        </w:rPr>
        <w:t xml:space="preserve"> </w:t>
      </w:r>
      <w:r>
        <w:t>individuals</w:t>
      </w:r>
      <w:r>
        <w:rPr>
          <w:spacing w:val="-1"/>
        </w:rPr>
        <w:t xml:space="preserve"> </w:t>
      </w:r>
      <w:r>
        <w:t>who</w:t>
      </w:r>
      <w:r>
        <w:rPr>
          <w:spacing w:val="-1"/>
        </w:rPr>
        <w:t xml:space="preserve"> </w:t>
      </w:r>
      <w:r>
        <w:t>lost</w:t>
      </w:r>
      <w:r>
        <w:rPr>
          <w:spacing w:val="-1"/>
        </w:rPr>
        <w:t xml:space="preserve"> </w:t>
      </w:r>
      <w:r>
        <w:t>MA</w:t>
      </w:r>
      <w:r>
        <w:rPr>
          <w:spacing w:val="-2"/>
        </w:rPr>
        <w:t xml:space="preserve"> </w:t>
      </w:r>
      <w:r>
        <w:t>or</w:t>
      </w:r>
      <w:r>
        <w:rPr>
          <w:spacing w:val="-2"/>
        </w:rPr>
        <w:t xml:space="preserve"> </w:t>
      </w:r>
      <w:r>
        <w:t>Part</w:t>
      </w:r>
      <w:r>
        <w:rPr>
          <w:spacing w:val="-1"/>
        </w:rPr>
        <w:t xml:space="preserve"> </w:t>
      </w:r>
      <w:r>
        <w:t>D</w:t>
      </w:r>
      <w:r>
        <w:rPr>
          <w:spacing w:val="-2"/>
        </w:rPr>
        <w:t xml:space="preserve"> </w:t>
      </w:r>
      <w:r>
        <w:t>coverage</w:t>
      </w:r>
      <w:r>
        <w:rPr>
          <w:spacing w:val="-2"/>
        </w:rPr>
        <w:t xml:space="preserve"> </w:t>
      </w:r>
      <w:r>
        <w:t>due</w:t>
      </w:r>
      <w:r>
        <w:rPr>
          <w:spacing w:val="-2"/>
        </w:rPr>
        <w:t xml:space="preserve"> </w:t>
      </w:r>
      <w:r>
        <w:t>to</w:t>
      </w:r>
      <w:r>
        <w:rPr>
          <w:spacing w:val="-1"/>
        </w:rPr>
        <w:t xml:space="preserve"> </w:t>
      </w:r>
      <w:r>
        <w:t>non-payment</w:t>
      </w:r>
      <w:r>
        <w:rPr>
          <w:spacing w:val="-1"/>
        </w:rPr>
        <w:t xml:space="preserve"> </w:t>
      </w:r>
      <w:r>
        <w:t>of</w:t>
      </w:r>
      <w:r>
        <w:rPr>
          <w:spacing w:val="-2"/>
        </w:rPr>
        <w:t xml:space="preserve"> </w:t>
      </w:r>
      <w:r>
        <w:t>premiums</w:t>
      </w:r>
      <w:r>
        <w:rPr>
          <w:spacing w:val="-1"/>
        </w:rPr>
        <w:t xml:space="preserve"> </w:t>
      </w:r>
      <w:r>
        <w:t>if</w:t>
      </w:r>
      <w:r>
        <w:rPr>
          <w:spacing w:val="-2"/>
        </w:rPr>
        <w:t xml:space="preserve"> </w:t>
      </w:r>
      <w:r>
        <w:t>they</w:t>
      </w:r>
      <w:r>
        <w:rPr>
          <w:spacing w:val="-1"/>
        </w:rPr>
        <w:t xml:space="preserve"> </w:t>
      </w:r>
      <w:r>
        <w:t>met</w:t>
      </w:r>
      <w:r>
        <w:rPr>
          <w:spacing w:val="-1"/>
        </w:rPr>
        <w:t xml:space="preserve"> </w:t>
      </w:r>
      <w:r>
        <w:t>the criteria for good cause. Under these regulations, only CMS had the authority to effectuate the good</w:t>
      </w:r>
      <w:r>
        <w:rPr>
          <w:spacing w:val="-3"/>
        </w:rPr>
        <w:t xml:space="preserve"> </w:t>
      </w:r>
      <w:r>
        <w:t>cause</w:t>
      </w:r>
      <w:r>
        <w:rPr>
          <w:spacing w:val="-4"/>
        </w:rPr>
        <w:t xml:space="preserve"> </w:t>
      </w:r>
      <w:r>
        <w:t>processes</w:t>
      </w:r>
      <w:r>
        <w:rPr>
          <w:spacing w:val="-1"/>
        </w:rPr>
        <w:t xml:space="preserve"> </w:t>
      </w:r>
      <w:r>
        <w:t>and</w:t>
      </w:r>
      <w:r>
        <w:rPr>
          <w:spacing w:val="-3"/>
        </w:rPr>
        <w:t xml:space="preserve"> </w:t>
      </w:r>
      <w:r>
        <w:t>reinstate</w:t>
      </w:r>
      <w:r>
        <w:rPr>
          <w:spacing w:val="-4"/>
        </w:rPr>
        <w:t xml:space="preserve"> </w:t>
      </w:r>
      <w:r>
        <w:t>individuals.</w:t>
      </w:r>
      <w:r>
        <w:rPr>
          <w:spacing w:val="40"/>
        </w:rPr>
        <w:t xml:space="preserve"> </w:t>
      </w:r>
      <w:r>
        <w:t>In</w:t>
      </w:r>
      <w:r>
        <w:rPr>
          <w:spacing w:val="-3"/>
        </w:rPr>
        <w:t xml:space="preserve"> </w:t>
      </w:r>
      <w:r>
        <w:t>January</w:t>
      </w:r>
      <w:r>
        <w:rPr>
          <w:spacing w:val="-3"/>
        </w:rPr>
        <w:t xml:space="preserve"> </w:t>
      </w:r>
      <w:r>
        <w:t>2013,</w:t>
      </w:r>
      <w:r>
        <w:rPr>
          <w:spacing w:val="-3"/>
        </w:rPr>
        <w:t xml:space="preserve"> </w:t>
      </w:r>
      <w:r>
        <w:t>this</w:t>
      </w:r>
      <w:r>
        <w:rPr>
          <w:spacing w:val="-3"/>
        </w:rPr>
        <w:t xml:space="preserve"> </w:t>
      </w:r>
      <w:r>
        <w:t>opportunity</w:t>
      </w:r>
      <w:r>
        <w:rPr>
          <w:spacing w:val="-3"/>
        </w:rPr>
        <w:t xml:space="preserve"> </w:t>
      </w:r>
      <w:r>
        <w:t>was</w:t>
      </w:r>
      <w:r>
        <w:rPr>
          <w:spacing w:val="-3"/>
        </w:rPr>
        <w:t xml:space="preserve"> </w:t>
      </w:r>
      <w:r>
        <w:t>expanded to cover §1876 cost plans (77 FR 22071).</w:t>
      </w:r>
    </w:p>
    <w:p w:rsidR="0022602E" w14:paraId="243537E1" w14:textId="77777777">
      <w:pPr>
        <w:pStyle w:val="BodyText"/>
        <w:spacing w:before="30"/>
      </w:pPr>
    </w:p>
    <w:p w:rsidR="0022602E" w14:paraId="28AD69D0" w14:textId="77777777">
      <w:pPr>
        <w:pStyle w:val="BodyText"/>
        <w:spacing w:line="254" w:lineRule="auto"/>
        <w:ind w:left="340" w:right="74" w:hanging="10"/>
      </w:pPr>
      <w:r>
        <w:t>In</w:t>
      </w:r>
      <w:r>
        <w:rPr>
          <w:spacing w:val="-1"/>
        </w:rPr>
        <w:t xml:space="preserve"> </w:t>
      </w:r>
      <w:r>
        <w:t>February</w:t>
      </w:r>
      <w:r>
        <w:rPr>
          <w:spacing w:val="-3"/>
        </w:rPr>
        <w:t xml:space="preserve"> </w:t>
      </w:r>
      <w:r>
        <w:t>2015,</w:t>
      </w:r>
      <w:r>
        <w:rPr>
          <w:spacing w:val="-3"/>
        </w:rPr>
        <w:t xml:space="preserve"> </w:t>
      </w:r>
      <w:r>
        <w:t>CMS codified</w:t>
      </w:r>
      <w:r>
        <w:rPr>
          <w:spacing w:val="-3"/>
        </w:rPr>
        <w:t xml:space="preserve"> </w:t>
      </w:r>
      <w:r>
        <w:t>a</w:t>
      </w:r>
      <w:r>
        <w:rPr>
          <w:spacing w:val="-4"/>
        </w:rPr>
        <w:t xml:space="preserve"> </w:t>
      </w:r>
      <w:r>
        <w:t>change</w:t>
      </w:r>
      <w:r>
        <w:rPr>
          <w:spacing w:val="-4"/>
        </w:rPr>
        <w:t xml:space="preserve"> </w:t>
      </w:r>
      <w:r>
        <w:t>to</w:t>
      </w:r>
      <w:r>
        <w:rPr>
          <w:spacing w:val="-3"/>
        </w:rPr>
        <w:t xml:space="preserve"> </w:t>
      </w:r>
      <w:r>
        <w:t>these</w:t>
      </w:r>
      <w:r>
        <w:rPr>
          <w:spacing w:val="-4"/>
        </w:rPr>
        <w:t xml:space="preserve"> </w:t>
      </w:r>
      <w:r>
        <w:t>regulations</w:t>
      </w:r>
      <w:r>
        <w:rPr>
          <w:spacing w:val="-3"/>
        </w:rPr>
        <w:t xml:space="preserve"> </w:t>
      </w:r>
      <w:r>
        <w:t>(CMS-4159-F2)</w:t>
      </w:r>
      <w:r>
        <w:rPr>
          <w:spacing w:val="-4"/>
        </w:rPr>
        <w:t xml:space="preserve"> </w:t>
      </w:r>
      <w:r>
        <w:t>to</w:t>
      </w:r>
      <w:r>
        <w:rPr>
          <w:spacing w:val="-3"/>
        </w:rPr>
        <w:t xml:space="preserve"> </w:t>
      </w:r>
      <w:r>
        <w:t>provide</w:t>
      </w:r>
      <w:r>
        <w:rPr>
          <w:spacing w:val="-4"/>
        </w:rPr>
        <w:t xml:space="preserve"> </w:t>
      </w:r>
      <w:r>
        <w:t>CMS the authority to assign responsibility for effectuating these good cause processes to another entity. As part of that final rule, we outlined the Collection of Information (COI) (79 FR 2028) that would be the administrative burden by plans should CMS delegate this process to them.</w:t>
      </w:r>
    </w:p>
    <w:p w:rsidR="0022602E" w14:paraId="1FC11772" w14:textId="77777777">
      <w:pPr>
        <w:pStyle w:val="BodyText"/>
        <w:spacing w:before="4" w:line="256" w:lineRule="auto"/>
        <w:ind w:left="340"/>
      </w:pPr>
      <w:r>
        <w:t>Starting in January 2016, MA organizations, Part D plan sponsors and §1876 cost plans are responsible</w:t>
      </w:r>
      <w:r>
        <w:rPr>
          <w:spacing w:val="-5"/>
        </w:rPr>
        <w:t xml:space="preserve"> </w:t>
      </w:r>
      <w:r>
        <w:t>for</w:t>
      </w:r>
      <w:r>
        <w:rPr>
          <w:spacing w:val="-5"/>
        </w:rPr>
        <w:t xml:space="preserve"> </w:t>
      </w:r>
      <w:r>
        <w:t>processing</w:t>
      </w:r>
      <w:r>
        <w:rPr>
          <w:spacing w:val="-4"/>
        </w:rPr>
        <w:t xml:space="preserve"> </w:t>
      </w:r>
      <w:r>
        <w:t>good</w:t>
      </w:r>
      <w:r>
        <w:rPr>
          <w:spacing w:val="-4"/>
        </w:rPr>
        <w:t xml:space="preserve"> </w:t>
      </w:r>
      <w:r>
        <w:t>cause</w:t>
      </w:r>
      <w:r>
        <w:rPr>
          <w:spacing w:val="-5"/>
        </w:rPr>
        <w:t xml:space="preserve"> </w:t>
      </w:r>
      <w:r>
        <w:t>requests</w:t>
      </w:r>
      <w:r>
        <w:rPr>
          <w:spacing w:val="-4"/>
        </w:rPr>
        <w:t xml:space="preserve"> </w:t>
      </w:r>
      <w:r>
        <w:t>from</w:t>
      </w:r>
      <w:r>
        <w:rPr>
          <w:spacing w:val="-4"/>
        </w:rPr>
        <w:t xml:space="preserve"> </w:t>
      </w:r>
      <w:r>
        <w:t>individuals</w:t>
      </w:r>
      <w:r>
        <w:rPr>
          <w:spacing w:val="-4"/>
        </w:rPr>
        <w:t xml:space="preserve"> </w:t>
      </w:r>
      <w:r>
        <w:t>involuntarily</w:t>
      </w:r>
      <w:r>
        <w:rPr>
          <w:spacing w:val="-4"/>
        </w:rPr>
        <w:t xml:space="preserve"> </w:t>
      </w:r>
      <w:r>
        <w:t>disenrolled</w:t>
      </w:r>
      <w:r>
        <w:rPr>
          <w:spacing w:val="-4"/>
        </w:rPr>
        <w:t xml:space="preserve"> </w:t>
      </w:r>
      <w:r>
        <w:t>for failure to pay plan premiums (or other charges, as applicable).</w:t>
      </w:r>
    </w:p>
    <w:p w:rsidR="0022602E" w14:paraId="4DAD43CF" w14:textId="77777777">
      <w:pPr>
        <w:pStyle w:val="BodyText"/>
        <w:spacing w:before="21"/>
      </w:pPr>
    </w:p>
    <w:p w:rsidR="0022602E" w14:paraId="0B0F3C69" w14:textId="77777777">
      <w:pPr>
        <w:pStyle w:val="BodyText"/>
        <w:spacing w:line="254" w:lineRule="auto"/>
        <w:ind w:left="340" w:right="74" w:hanging="10"/>
      </w:pPr>
      <w:r>
        <w:t>This</w:t>
      </w:r>
      <w:r>
        <w:rPr>
          <w:spacing w:val="-3"/>
        </w:rPr>
        <w:t xml:space="preserve"> </w:t>
      </w:r>
      <w:r>
        <w:t>collection</w:t>
      </w:r>
      <w:r>
        <w:rPr>
          <w:spacing w:val="-3"/>
        </w:rPr>
        <w:t xml:space="preserve"> </w:t>
      </w:r>
      <w:r>
        <w:t>of</w:t>
      </w:r>
      <w:r>
        <w:rPr>
          <w:spacing w:val="-4"/>
        </w:rPr>
        <w:t xml:space="preserve"> </w:t>
      </w:r>
      <w:r>
        <w:t>information</w:t>
      </w:r>
      <w:r>
        <w:rPr>
          <w:spacing w:val="-3"/>
        </w:rPr>
        <w:t xml:space="preserve"> </w:t>
      </w:r>
      <w:r>
        <w:t>provides</w:t>
      </w:r>
      <w:r>
        <w:rPr>
          <w:spacing w:val="-3"/>
        </w:rPr>
        <w:t xml:space="preserve"> </w:t>
      </w:r>
      <w:r>
        <w:t>an</w:t>
      </w:r>
      <w:r>
        <w:rPr>
          <w:spacing w:val="-3"/>
        </w:rPr>
        <w:t xml:space="preserve"> </w:t>
      </w:r>
      <w:r>
        <w:t>update</w:t>
      </w:r>
      <w:r>
        <w:rPr>
          <w:spacing w:val="-2"/>
        </w:rPr>
        <w:t xml:space="preserve"> </w:t>
      </w:r>
      <w:r>
        <w:t>to</w:t>
      </w:r>
      <w:r>
        <w:rPr>
          <w:spacing w:val="-3"/>
        </w:rPr>
        <w:t xml:space="preserve"> </w:t>
      </w:r>
      <w:r>
        <w:t>the</w:t>
      </w:r>
      <w:r>
        <w:rPr>
          <w:spacing w:val="-4"/>
        </w:rPr>
        <w:t xml:space="preserve"> </w:t>
      </w:r>
      <w:r>
        <w:t>estimated</w:t>
      </w:r>
      <w:r>
        <w:rPr>
          <w:spacing w:val="-3"/>
        </w:rPr>
        <w:t xml:space="preserve"> </w:t>
      </w:r>
      <w:r>
        <w:t>administrative</w:t>
      </w:r>
      <w:r>
        <w:rPr>
          <w:spacing w:val="-4"/>
        </w:rPr>
        <w:t xml:space="preserve"> </w:t>
      </w:r>
      <w:r>
        <w:t>burden</w:t>
      </w:r>
      <w:r>
        <w:rPr>
          <w:spacing w:val="-3"/>
        </w:rPr>
        <w:t xml:space="preserve"> </w:t>
      </w:r>
      <w:r>
        <w:t>of</w:t>
      </w:r>
      <w:r>
        <w:rPr>
          <w:spacing w:val="-4"/>
        </w:rPr>
        <w:t xml:space="preserve"> </w:t>
      </w:r>
      <w:r>
        <w:t>MA organizations, Part D plan sponsors and §1876 cost plans that disenroll individuals for nonpayment of premiums (or other charges, as applicable).</w:t>
      </w:r>
      <w:r>
        <w:rPr>
          <w:spacing w:val="40"/>
        </w:rPr>
        <w:t xml:space="preserve"> </w:t>
      </w:r>
      <w:r>
        <w:t>We attribute the change from previous estimates to be due to changes in the number of plan sponsors who choose to have a policy of involuntary disenrollment for nonpayment of premium, the number of enrollees who are delinquent in premium payment and are disenrolled, the number of disenrolled individuals who choose to request reinstatement and the number of those individuals whose circumstances are determined to meet CMS criteria for reinstatement.</w:t>
      </w:r>
    </w:p>
    <w:p w:rsidR="0022602E" w14:paraId="628D444F" w14:textId="77777777">
      <w:pPr>
        <w:pStyle w:val="BodyText"/>
        <w:spacing w:line="254" w:lineRule="auto"/>
        <w:sectPr>
          <w:footerReference w:type="default" r:id="rId7"/>
          <w:type w:val="continuous"/>
          <w:pgSz w:w="12240" w:h="15840"/>
          <w:pgMar w:top="1380" w:right="1440" w:bottom="1640" w:left="1080" w:header="0" w:footer="1449" w:gutter="0"/>
          <w:pgNumType w:start="1"/>
          <w:cols w:space="720"/>
        </w:sectPr>
      </w:pPr>
    </w:p>
    <w:p w:rsidR="0022602E" w14:paraId="6082856E" w14:textId="77777777">
      <w:pPr>
        <w:pStyle w:val="BodyText"/>
        <w:spacing w:before="76" w:line="254" w:lineRule="auto"/>
        <w:ind w:left="340" w:hanging="10"/>
      </w:pPr>
      <w:r>
        <w:t>CMS</w:t>
      </w:r>
      <w:r>
        <w:rPr>
          <w:spacing w:val="-3"/>
        </w:rPr>
        <w:t xml:space="preserve"> </w:t>
      </w:r>
      <w:r>
        <w:t>is</w:t>
      </w:r>
      <w:r>
        <w:rPr>
          <w:spacing w:val="-3"/>
        </w:rPr>
        <w:t xml:space="preserve"> </w:t>
      </w:r>
      <w:r>
        <w:t>requesting</w:t>
      </w:r>
      <w:r>
        <w:rPr>
          <w:spacing w:val="-3"/>
        </w:rPr>
        <w:t xml:space="preserve"> </w:t>
      </w:r>
      <w:r>
        <w:t>for</w:t>
      </w:r>
      <w:r>
        <w:rPr>
          <w:spacing w:val="-4"/>
        </w:rPr>
        <w:t xml:space="preserve"> </w:t>
      </w:r>
      <w:r>
        <w:t>this</w:t>
      </w:r>
      <w:r>
        <w:rPr>
          <w:spacing w:val="-3"/>
        </w:rPr>
        <w:t xml:space="preserve"> </w:t>
      </w:r>
      <w:r>
        <w:t>package’s</w:t>
      </w:r>
      <w:r>
        <w:rPr>
          <w:spacing w:val="-3"/>
        </w:rPr>
        <w:t xml:space="preserve"> </w:t>
      </w:r>
      <w:r>
        <w:t>OMB</w:t>
      </w:r>
      <w:r>
        <w:rPr>
          <w:spacing w:val="-3"/>
        </w:rPr>
        <w:t xml:space="preserve"> </w:t>
      </w:r>
      <w:r>
        <w:t>number</w:t>
      </w:r>
      <w:r>
        <w:rPr>
          <w:spacing w:val="-4"/>
        </w:rPr>
        <w:t xml:space="preserve"> </w:t>
      </w:r>
      <w:r>
        <w:t>(0938-1271)</w:t>
      </w:r>
      <w:r>
        <w:rPr>
          <w:spacing w:val="-4"/>
        </w:rPr>
        <w:t xml:space="preserve"> </w:t>
      </w:r>
      <w:r>
        <w:t>to</w:t>
      </w:r>
      <w:r>
        <w:rPr>
          <w:spacing w:val="-3"/>
        </w:rPr>
        <w:t xml:space="preserve"> </w:t>
      </w:r>
      <w:r>
        <w:t>be</w:t>
      </w:r>
      <w:r>
        <w:rPr>
          <w:spacing w:val="-2"/>
        </w:rPr>
        <w:t xml:space="preserve"> </w:t>
      </w:r>
      <w:r>
        <w:t>reinstated.</w:t>
      </w:r>
      <w:r>
        <w:rPr>
          <w:spacing w:val="40"/>
        </w:rPr>
        <w:t xml:space="preserve"> </w:t>
      </w:r>
      <w:r>
        <w:t>The</w:t>
      </w:r>
      <w:r>
        <w:rPr>
          <w:spacing w:val="-4"/>
        </w:rPr>
        <w:t xml:space="preserve"> </w:t>
      </w:r>
      <w:r>
        <w:t>lapse</w:t>
      </w:r>
      <w:r>
        <w:rPr>
          <w:spacing w:val="-4"/>
        </w:rPr>
        <w:t xml:space="preserve"> </w:t>
      </w:r>
      <w:r>
        <w:t>in time was due to administrative delays.</w:t>
      </w:r>
    </w:p>
    <w:p w:rsidR="0022602E" w14:paraId="0A45BB09" w14:textId="77777777">
      <w:pPr>
        <w:pStyle w:val="BodyText"/>
        <w:spacing w:before="30"/>
      </w:pPr>
    </w:p>
    <w:p w:rsidR="0022602E" w14:paraId="3024F53A" w14:textId="77777777">
      <w:pPr>
        <w:pStyle w:val="Heading1"/>
        <w:numPr>
          <w:ilvl w:val="0"/>
          <w:numId w:val="1"/>
        </w:numPr>
        <w:tabs>
          <w:tab w:val="left" w:pos="608"/>
        </w:tabs>
        <w:ind w:left="608" w:hanging="292"/>
      </w:pPr>
      <w:bookmarkStart w:id="1" w:name="A._Justification"/>
      <w:bookmarkEnd w:id="1"/>
      <w:r>
        <w:rPr>
          <w:spacing w:val="-2"/>
        </w:rPr>
        <w:t>Justification</w:t>
      </w:r>
    </w:p>
    <w:p w:rsidR="0022602E" w14:paraId="14E08B50" w14:textId="77777777">
      <w:pPr>
        <w:pStyle w:val="BodyText"/>
        <w:spacing w:before="43"/>
        <w:rPr>
          <w:b/>
        </w:rPr>
      </w:pPr>
    </w:p>
    <w:p w:rsidR="0022602E" w14:paraId="054D3C5B" w14:textId="77777777">
      <w:pPr>
        <w:pStyle w:val="ListParagraph"/>
        <w:numPr>
          <w:ilvl w:val="1"/>
          <w:numId w:val="1"/>
        </w:numPr>
        <w:tabs>
          <w:tab w:val="left" w:pos="631"/>
        </w:tabs>
        <w:rPr>
          <w:sz w:val="24"/>
          <w:u w:val="none"/>
        </w:rPr>
      </w:pPr>
      <w:bookmarkStart w:id="2" w:name="1.__Need_and_Legal_Basis"/>
      <w:bookmarkEnd w:id="2"/>
      <w:r>
        <w:rPr>
          <w:sz w:val="24"/>
        </w:rPr>
        <w:t>Need</w:t>
      </w:r>
      <w:r>
        <w:rPr>
          <w:spacing w:val="-3"/>
          <w:sz w:val="24"/>
        </w:rPr>
        <w:t xml:space="preserve"> </w:t>
      </w:r>
      <w:r>
        <w:rPr>
          <w:sz w:val="24"/>
        </w:rPr>
        <w:t>and Legal</w:t>
      </w:r>
      <w:r>
        <w:rPr>
          <w:spacing w:val="-2"/>
          <w:sz w:val="24"/>
        </w:rPr>
        <w:t xml:space="preserve"> </w:t>
      </w:r>
      <w:r>
        <w:rPr>
          <w:spacing w:val="-4"/>
          <w:sz w:val="24"/>
        </w:rPr>
        <w:t>Basis</w:t>
      </w:r>
    </w:p>
    <w:p w:rsidR="0022602E" w14:paraId="7F111CB0" w14:textId="77777777">
      <w:pPr>
        <w:pStyle w:val="BodyText"/>
        <w:spacing w:before="43"/>
      </w:pPr>
    </w:p>
    <w:p w:rsidR="0022602E" w14:paraId="4E867D87" w14:textId="77777777">
      <w:pPr>
        <w:pStyle w:val="BodyText"/>
        <w:spacing w:line="254" w:lineRule="auto"/>
        <w:ind w:left="628" w:right="74" w:hanging="10"/>
      </w:pPr>
      <w:r>
        <w:t>Section 1851(g)(3)(B)(i) of the Act provides that MA organizations may terminate the enrollment of individuals who fail to pay basic and supplemental premiums after a grace period</w:t>
      </w:r>
      <w:r>
        <w:rPr>
          <w:spacing w:val="-3"/>
        </w:rPr>
        <w:t xml:space="preserve"> </w:t>
      </w:r>
      <w:r>
        <w:t>established</w:t>
      </w:r>
      <w:r>
        <w:rPr>
          <w:spacing w:val="-3"/>
        </w:rPr>
        <w:t xml:space="preserve"> </w:t>
      </w:r>
      <w:r>
        <w:t>by</w:t>
      </w:r>
      <w:r>
        <w:rPr>
          <w:spacing w:val="-3"/>
        </w:rPr>
        <w:t xml:space="preserve"> </w:t>
      </w:r>
      <w:r>
        <w:t>the</w:t>
      </w:r>
      <w:r>
        <w:rPr>
          <w:spacing w:val="-2"/>
        </w:rPr>
        <w:t xml:space="preserve"> </w:t>
      </w:r>
      <w:r>
        <w:t>plan.</w:t>
      </w:r>
      <w:r>
        <w:rPr>
          <w:spacing w:val="40"/>
        </w:rPr>
        <w:t xml:space="preserve"> </w:t>
      </w:r>
      <w:r>
        <w:t>Section</w:t>
      </w:r>
      <w:r>
        <w:rPr>
          <w:spacing w:val="-3"/>
        </w:rPr>
        <w:t xml:space="preserve"> </w:t>
      </w:r>
      <w:r>
        <w:t>1860D-1(b)(1)(B)(v)</w:t>
      </w:r>
      <w:r>
        <w:rPr>
          <w:spacing w:val="-4"/>
        </w:rPr>
        <w:t xml:space="preserve"> </w:t>
      </w:r>
      <w:r>
        <w:t>of</w:t>
      </w:r>
      <w:r>
        <w:rPr>
          <w:spacing w:val="-4"/>
        </w:rPr>
        <w:t xml:space="preserve"> </w:t>
      </w:r>
      <w:r>
        <w:t>the</w:t>
      </w:r>
      <w:r>
        <w:rPr>
          <w:spacing w:val="-2"/>
        </w:rPr>
        <w:t xml:space="preserve"> </w:t>
      </w:r>
      <w:r>
        <w:t>Act</w:t>
      </w:r>
      <w:r>
        <w:rPr>
          <w:spacing w:val="-3"/>
        </w:rPr>
        <w:t xml:space="preserve"> </w:t>
      </w:r>
      <w:r>
        <w:t>generally</w:t>
      </w:r>
      <w:r>
        <w:rPr>
          <w:spacing w:val="-3"/>
        </w:rPr>
        <w:t xml:space="preserve"> </w:t>
      </w:r>
      <w:r>
        <w:t>directs</w:t>
      </w:r>
      <w:r>
        <w:rPr>
          <w:spacing w:val="-3"/>
        </w:rPr>
        <w:t xml:space="preserve"> </w:t>
      </w:r>
      <w:r>
        <w:t>us</w:t>
      </w:r>
      <w:r>
        <w:rPr>
          <w:spacing w:val="-3"/>
        </w:rPr>
        <w:t xml:space="preserve"> </w:t>
      </w:r>
      <w:r>
        <w:t>to establish rules related to enrollment, disenrollment, and termination for Part D plan sponsors that are similar to those established for MA organizations under section 1851 of the Act.</w:t>
      </w:r>
    </w:p>
    <w:p w:rsidR="0022602E" w14:paraId="188A8BF9" w14:textId="77777777">
      <w:pPr>
        <w:pStyle w:val="BodyText"/>
        <w:spacing w:before="4" w:line="254" w:lineRule="auto"/>
        <w:ind w:left="628"/>
      </w:pPr>
      <w:r>
        <w:t>Consistent</w:t>
      </w:r>
      <w:r>
        <w:rPr>
          <w:spacing w:val="-3"/>
        </w:rPr>
        <w:t xml:space="preserve"> </w:t>
      </w:r>
      <w:r>
        <w:t>with</w:t>
      </w:r>
      <w:r>
        <w:rPr>
          <w:spacing w:val="-3"/>
        </w:rPr>
        <w:t xml:space="preserve"> </w:t>
      </w:r>
      <w:r>
        <w:t>these</w:t>
      </w:r>
      <w:r>
        <w:rPr>
          <w:spacing w:val="-3"/>
        </w:rPr>
        <w:t xml:space="preserve"> </w:t>
      </w:r>
      <w:r>
        <w:t>sections</w:t>
      </w:r>
      <w:r>
        <w:rPr>
          <w:spacing w:val="-3"/>
        </w:rPr>
        <w:t xml:space="preserve"> </w:t>
      </w:r>
      <w:r>
        <w:t>of</w:t>
      </w:r>
      <w:r>
        <w:rPr>
          <w:spacing w:val="-3"/>
        </w:rPr>
        <w:t xml:space="preserve"> </w:t>
      </w:r>
      <w:r>
        <w:t>the</w:t>
      </w:r>
      <w:r>
        <w:rPr>
          <w:spacing w:val="-4"/>
        </w:rPr>
        <w:t xml:space="preserve"> </w:t>
      </w:r>
      <w:r>
        <w:t>Act,</w:t>
      </w:r>
      <w:r>
        <w:rPr>
          <w:spacing w:val="-3"/>
        </w:rPr>
        <w:t xml:space="preserve"> </w:t>
      </w:r>
      <w:r>
        <w:t>subpart</w:t>
      </w:r>
      <w:r>
        <w:rPr>
          <w:spacing w:val="-1"/>
        </w:rPr>
        <w:t xml:space="preserve"> </w:t>
      </w:r>
      <w:r>
        <w:t>B</w:t>
      </w:r>
      <w:r>
        <w:rPr>
          <w:spacing w:val="-3"/>
        </w:rPr>
        <w:t xml:space="preserve"> </w:t>
      </w:r>
      <w:r>
        <w:t>in</w:t>
      </w:r>
      <w:r>
        <w:rPr>
          <w:spacing w:val="-3"/>
        </w:rPr>
        <w:t xml:space="preserve"> </w:t>
      </w:r>
      <w:r>
        <w:t>each</w:t>
      </w:r>
      <w:r>
        <w:rPr>
          <w:spacing w:val="-3"/>
        </w:rPr>
        <w:t xml:space="preserve"> </w:t>
      </w:r>
      <w:r>
        <w:t>of</w:t>
      </w:r>
      <w:r>
        <w:rPr>
          <w:spacing w:val="-3"/>
        </w:rPr>
        <w:t xml:space="preserve"> </w:t>
      </w:r>
      <w:r>
        <w:t>the</w:t>
      </w:r>
      <w:r>
        <w:rPr>
          <w:spacing w:val="-4"/>
        </w:rPr>
        <w:t xml:space="preserve"> </w:t>
      </w:r>
      <w:r>
        <w:t>Parts</w:t>
      </w:r>
      <w:r>
        <w:rPr>
          <w:spacing w:val="-3"/>
        </w:rPr>
        <w:t xml:space="preserve"> </w:t>
      </w:r>
      <w:r>
        <w:t>C</w:t>
      </w:r>
      <w:r>
        <w:rPr>
          <w:spacing w:val="-3"/>
        </w:rPr>
        <w:t xml:space="preserve"> </w:t>
      </w:r>
      <w:r>
        <w:t>and</w:t>
      </w:r>
      <w:r>
        <w:rPr>
          <w:spacing w:val="-3"/>
        </w:rPr>
        <w:t xml:space="preserve"> </w:t>
      </w:r>
      <w:r>
        <w:t>D</w:t>
      </w:r>
      <w:r>
        <w:rPr>
          <w:spacing w:val="-3"/>
        </w:rPr>
        <w:t xml:space="preserve"> </w:t>
      </w:r>
      <w:r>
        <w:t>regulations sets forth requirements with respect to involuntary disenrollment procedures at 42 CFR §§</w:t>
      </w:r>
    </w:p>
    <w:p w:rsidR="0022602E" w14:paraId="16288077" w14:textId="77777777">
      <w:pPr>
        <w:pStyle w:val="BodyText"/>
        <w:spacing w:before="1" w:line="254" w:lineRule="auto"/>
        <w:ind w:left="628" w:right="74"/>
      </w:pPr>
      <w:r>
        <w:t>422.74 and 423.44, respectively.</w:t>
      </w:r>
      <w:r>
        <w:rPr>
          <w:spacing w:val="40"/>
        </w:rPr>
        <w:t xml:space="preserve"> </w:t>
      </w:r>
      <w:r>
        <w:t>In addition, section 1876(c)(3)(B) establishes that individuals may be disenrolled from coverage as specified in regulations. Thus, current regulations at 42 CFR 417.460 specify that a cost plan, specifically a Health Maintenance Organization</w:t>
      </w:r>
      <w:r>
        <w:rPr>
          <w:spacing w:val="-3"/>
        </w:rPr>
        <w:t xml:space="preserve"> </w:t>
      </w:r>
      <w:r>
        <w:t>(HMO)</w:t>
      </w:r>
      <w:r>
        <w:rPr>
          <w:spacing w:val="-4"/>
        </w:rPr>
        <w:t xml:space="preserve"> </w:t>
      </w:r>
      <w:r>
        <w:t>or</w:t>
      </w:r>
      <w:r>
        <w:rPr>
          <w:spacing w:val="-3"/>
        </w:rPr>
        <w:t xml:space="preserve"> </w:t>
      </w:r>
      <w:r>
        <w:t>competitive</w:t>
      </w:r>
      <w:r>
        <w:rPr>
          <w:spacing w:val="-4"/>
        </w:rPr>
        <w:t xml:space="preserve"> </w:t>
      </w:r>
      <w:r>
        <w:t>medical</w:t>
      </w:r>
      <w:r>
        <w:rPr>
          <w:spacing w:val="-3"/>
        </w:rPr>
        <w:t xml:space="preserve"> </w:t>
      </w:r>
      <w:r>
        <w:t>plan</w:t>
      </w:r>
      <w:r>
        <w:rPr>
          <w:spacing w:val="-2"/>
        </w:rPr>
        <w:t xml:space="preserve"> </w:t>
      </w:r>
      <w:r>
        <w:t>(CMP),</w:t>
      </w:r>
      <w:r>
        <w:rPr>
          <w:spacing w:val="-3"/>
        </w:rPr>
        <w:t xml:space="preserve"> </w:t>
      </w:r>
      <w:r>
        <w:t>may</w:t>
      </w:r>
      <w:r>
        <w:rPr>
          <w:spacing w:val="-4"/>
        </w:rPr>
        <w:t xml:space="preserve"> </w:t>
      </w:r>
      <w:r>
        <w:t>disenroll</w:t>
      </w:r>
      <w:r>
        <w:rPr>
          <w:spacing w:val="-3"/>
        </w:rPr>
        <w:t xml:space="preserve"> </w:t>
      </w:r>
      <w:r>
        <w:t>a</w:t>
      </w:r>
      <w:r>
        <w:rPr>
          <w:spacing w:val="-4"/>
        </w:rPr>
        <w:t xml:space="preserve"> </w:t>
      </w:r>
      <w:r>
        <w:t>member</w:t>
      </w:r>
      <w:r>
        <w:rPr>
          <w:spacing w:val="-4"/>
        </w:rPr>
        <w:t xml:space="preserve"> </w:t>
      </w:r>
      <w:r>
        <w:t>who</w:t>
      </w:r>
      <w:r>
        <w:rPr>
          <w:spacing w:val="-3"/>
        </w:rPr>
        <w:t xml:space="preserve"> </w:t>
      </w:r>
      <w:r>
        <w:t xml:space="preserve">fails to pay premiums or other charges imposed by the plan for deductible and coinsurance </w:t>
      </w:r>
      <w:r>
        <w:rPr>
          <w:spacing w:val="-2"/>
        </w:rPr>
        <w:t>amounts.</w:t>
      </w:r>
    </w:p>
    <w:p w:rsidR="0022602E" w14:paraId="2AD500C4" w14:textId="77777777">
      <w:pPr>
        <w:pStyle w:val="BodyText"/>
        <w:spacing w:before="32"/>
      </w:pPr>
    </w:p>
    <w:p w:rsidR="0022602E" w14:paraId="488B2722" w14:textId="77777777">
      <w:pPr>
        <w:pStyle w:val="BodyText"/>
        <w:spacing w:line="254" w:lineRule="auto"/>
        <w:ind w:left="628" w:right="28" w:hanging="10"/>
      </w:pPr>
      <w:r>
        <w:t>Within these regulatory provisions, individuals disenrolled for nonpayment of premiums are afforded a</w:t>
      </w:r>
      <w:r>
        <w:rPr>
          <w:spacing w:val="-1"/>
        </w:rPr>
        <w:t xml:space="preserve"> </w:t>
      </w:r>
      <w:r>
        <w:t>grace</w:t>
      </w:r>
      <w:r>
        <w:rPr>
          <w:spacing w:val="-1"/>
        </w:rPr>
        <w:t xml:space="preserve"> </w:t>
      </w:r>
      <w:r>
        <w:t>period in which to request reinstatement. As part of</w:t>
      </w:r>
      <w:r>
        <w:rPr>
          <w:spacing w:val="-1"/>
        </w:rPr>
        <w:t xml:space="preserve"> </w:t>
      </w:r>
      <w:r>
        <w:t>the</w:t>
      </w:r>
      <w:r>
        <w:rPr>
          <w:spacing w:val="-1"/>
        </w:rPr>
        <w:t xml:space="preserve"> </w:t>
      </w:r>
      <w:r>
        <w:t>reinstatement request process, they must demonstrate good cause for failure to pay within the initial grace period that</w:t>
      </w:r>
      <w:r>
        <w:rPr>
          <w:spacing w:val="-3"/>
        </w:rPr>
        <w:t xml:space="preserve"> </w:t>
      </w:r>
      <w:r>
        <w:t>led</w:t>
      </w:r>
      <w:r>
        <w:rPr>
          <w:spacing w:val="-3"/>
        </w:rPr>
        <w:t xml:space="preserve"> </w:t>
      </w:r>
      <w:r>
        <w:t>to</w:t>
      </w:r>
      <w:r>
        <w:rPr>
          <w:spacing w:val="-3"/>
        </w:rPr>
        <w:t xml:space="preserve"> </w:t>
      </w:r>
      <w:r>
        <w:t>their</w:t>
      </w:r>
      <w:r>
        <w:rPr>
          <w:spacing w:val="-4"/>
        </w:rPr>
        <w:t xml:space="preserve"> </w:t>
      </w:r>
      <w:r>
        <w:t>involuntary</w:t>
      </w:r>
      <w:r>
        <w:rPr>
          <w:spacing w:val="-3"/>
        </w:rPr>
        <w:t xml:space="preserve"> </w:t>
      </w:r>
      <w:r>
        <w:t>disenrollment</w:t>
      </w:r>
      <w:r>
        <w:rPr>
          <w:spacing w:val="-3"/>
        </w:rPr>
        <w:t xml:space="preserve"> </w:t>
      </w:r>
      <w:r>
        <w:t>and</w:t>
      </w:r>
      <w:r>
        <w:rPr>
          <w:spacing w:val="-3"/>
        </w:rPr>
        <w:t xml:space="preserve"> </w:t>
      </w:r>
      <w:r>
        <w:t>pay</w:t>
      </w:r>
      <w:r>
        <w:rPr>
          <w:spacing w:val="-1"/>
        </w:rPr>
        <w:t xml:space="preserve"> </w:t>
      </w:r>
      <w:r>
        <w:t>all</w:t>
      </w:r>
      <w:r>
        <w:rPr>
          <w:spacing w:val="-3"/>
        </w:rPr>
        <w:t xml:space="preserve"> </w:t>
      </w:r>
      <w:r>
        <w:t>overdue</w:t>
      </w:r>
      <w:r>
        <w:rPr>
          <w:spacing w:val="-4"/>
        </w:rPr>
        <w:t xml:space="preserve"> </w:t>
      </w:r>
      <w:r>
        <w:t>premiums</w:t>
      </w:r>
      <w:r>
        <w:rPr>
          <w:spacing w:val="-3"/>
        </w:rPr>
        <w:t xml:space="preserve"> </w:t>
      </w:r>
      <w:r>
        <w:t>within</w:t>
      </w:r>
      <w:r>
        <w:rPr>
          <w:spacing w:val="-3"/>
        </w:rPr>
        <w:t xml:space="preserve"> </w:t>
      </w:r>
      <w:r>
        <w:t>three</w:t>
      </w:r>
      <w:r>
        <w:rPr>
          <w:spacing w:val="-4"/>
        </w:rPr>
        <w:t xml:space="preserve"> </w:t>
      </w:r>
      <w:r>
        <w:t>calendar months after the disenrollment date.</w:t>
      </w:r>
    </w:p>
    <w:p w:rsidR="0022602E" w14:paraId="1D692B94" w14:textId="77777777">
      <w:pPr>
        <w:pStyle w:val="BodyText"/>
        <w:spacing w:before="30"/>
      </w:pPr>
    </w:p>
    <w:p w:rsidR="0022602E" w14:paraId="66B999A4" w14:textId="77777777">
      <w:pPr>
        <w:pStyle w:val="BodyText"/>
        <w:spacing w:line="254" w:lineRule="auto"/>
        <w:ind w:left="628" w:hanging="10"/>
      </w:pPr>
      <w:r>
        <w:t>While</w:t>
      </w:r>
      <w:r>
        <w:rPr>
          <w:spacing w:val="-4"/>
        </w:rPr>
        <w:t xml:space="preserve"> </w:t>
      </w:r>
      <w:r>
        <w:t>disenrollment</w:t>
      </w:r>
      <w:r>
        <w:rPr>
          <w:spacing w:val="-3"/>
        </w:rPr>
        <w:t xml:space="preserve"> </w:t>
      </w:r>
      <w:r>
        <w:t>due</w:t>
      </w:r>
      <w:r>
        <w:rPr>
          <w:spacing w:val="-2"/>
        </w:rPr>
        <w:t xml:space="preserve"> </w:t>
      </w:r>
      <w:r>
        <w:t>to</w:t>
      </w:r>
      <w:r>
        <w:rPr>
          <w:spacing w:val="-3"/>
        </w:rPr>
        <w:t xml:space="preserve"> </w:t>
      </w:r>
      <w:r>
        <w:t>non-payment</w:t>
      </w:r>
      <w:r>
        <w:rPr>
          <w:spacing w:val="-3"/>
        </w:rPr>
        <w:t xml:space="preserve"> </w:t>
      </w:r>
      <w:r>
        <w:t>of</w:t>
      </w:r>
      <w:r>
        <w:rPr>
          <w:spacing w:val="-4"/>
        </w:rPr>
        <w:t xml:space="preserve"> </w:t>
      </w:r>
      <w:r>
        <w:t>premiums</w:t>
      </w:r>
      <w:r>
        <w:rPr>
          <w:spacing w:val="-3"/>
        </w:rPr>
        <w:t xml:space="preserve"> </w:t>
      </w:r>
      <w:r>
        <w:t>is</w:t>
      </w:r>
      <w:r>
        <w:rPr>
          <w:spacing w:val="-3"/>
        </w:rPr>
        <w:t xml:space="preserve"> </w:t>
      </w:r>
      <w:r>
        <w:t>currently</w:t>
      </w:r>
      <w:r>
        <w:rPr>
          <w:spacing w:val="-3"/>
        </w:rPr>
        <w:t xml:space="preserve"> </w:t>
      </w:r>
      <w:r>
        <w:t>voluntary</w:t>
      </w:r>
      <w:r>
        <w:rPr>
          <w:spacing w:val="-3"/>
        </w:rPr>
        <w:t xml:space="preserve"> </w:t>
      </w:r>
      <w:r>
        <w:t>for</w:t>
      </w:r>
      <w:r>
        <w:rPr>
          <w:spacing w:val="-4"/>
        </w:rPr>
        <w:t xml:space="preserve"> </w:t>
      </w:r>
      <w:r>
        <w:t>such</w:t>
      </w:r>
      <w:r>
        <w:rPr>
          <w:spacing w:val="-3"/>
        </w:rPr>
        <w:t xml:space="preserve"> </w:t>
      </w:r>
      <w:r>
        <w:t>plans,</w:t>
      </w:r>
      <w:r>
        <w:rPr>
          <w:spacing w:val="-3"/>
        </w:rPr>
        <w:t xml:space="preserve"> </w:t>
      </w:r>
      <w:r>
        <w:t>in 2022, 184 plans effectuated such disenrollments. This resulted in an average of 22,498 disenrollments each month.</w:t>
      </w:r>
    </w:p>
    <w:p w:rsidR="0022602E" w14:paraId="7948105A" w14:textId="77777777">
      <w:pPr>
        <w:pStyle w:val="BodyText"/>
        <w:spacing w:before="28"/>
      </w:pPr>
    </w:p>
    <w:p w:rsidR="0022602E" w14:paraId="5CA83C7D" w14:textId="77777777">
      <w:pPr>
        <w:pStyle w:val="ListParagraph"/>
        <w:numPr>
          <w:ilvl w:val="1"/>
          <w:numId w:val="1"/>
        </w:numPr>
        <w:tabs>
          <w:tab w:val="left" w:pos="631"/>
        </w:tabs>
        <w:rPr>
          <w:sz w:val="24"/>
          <w:u w:val="none"/>
        </w:rPr>
      </w:pPr>
      <w:bookmarkStart w:id="3" w:name="2.__Information_Users"/>
      <w:bookmarkEnd w:id="3"/>
      <w:r>
        <w:rPr>
          <w:sz w:val="24"/>
        </w:rPr>
        <w:t>Information</w:t>
      </w:r>
      <w:r>
        <w:rPr>
          <w:spacing w:val="-7"/>
          <w:sz w:val="24"/>
        </w:rPr>
        <w:t xml:space="preserve"> </w:t>
      </w:r>
      <w:r>
        <w:rPr>
          <w:spacing w:val="-4"/>
          <w:sz w:val="24"/>
        </w:rPr>
        <w:t>Users</w:t>
      </w:r>
    </w:p>
    <w:p w:rsidR="0022602E" w14:paraId="3D25618D" w14:textId="77777777">
      <w:pPr>
        <w:pStyle w:val="BodyText"/>
        <w:spacing w:before="43"/>
      </w:pPr>
    </w:p>
    <w:p w:rsidR="0022602E" w14:paraId="78D3CFAF" w14:textId="6D2DE5D2">
      <w:pPr>
        <w:pStyle w:val="BodyText"/>
        <w:spacing w:line="254" w:lineRule="auto"/>
        <w:ind w:left="628" w:right="62" w:hanging="10"/>
        <w:sectPr>
          <w:pgSz w:w="12240" w:h="15840"/>
          <w:pgMar w:top="1660" w:right="1440" w:bottom="1640" w:left="1080" w:header="0" w:footer="1449" w:gutter="0"/>
          <w:cols w:space="720"/>
        </w:sectPr>
      </w:pPr>
      <w:r>
        <w:t>These</w:t>
      </w:r>
      <w:r>
        <w:rPr>
          <w:spacing w:val="-1"/>
        </w:rPr>
        <w:t xml:space="preserve"> </w:t>
      </w:r>
      <w:r>
        <w:t>good cause</w:t>
      </w:r>
      <w:r>
        <w:rPr>
          <w:spacing w:val="-1"/>
        </w:rPr>
        <w:t xml:space="preserve"> </w:t>
      </w:r>
      <w:r>
        <w:t>provisions authorize</w:t>
      </w:r>
      <w:r>
        <w:rPr>
          <w:spacing w:val="-1"/>
        </w:rPr>
        <w:t xml:space="preserve"> </w:t>
      </w:r>
      <w:r>
        <w:t>CMS to reinstate</w:t>
      </w:r>
      <w:r>
        <w:rPr>
          <w:spacing w:val="-1"/>
        </w:rPr>
        <w:t xml:space="preserve"> </w:t>
      </w:r>
      <w:r>
        <w:t>a</w:t>
      </w:r>
      <w:r>
        <w:rPr>
          <w:spacing w:val="-1"/>
        </w:rPr>
        <w:t xml:space="preserve"> </w:t>
      </w:r>
      <w:r>
        <w:t>disenrolled individual’s enrollment without interruption in coverage if the non-payment is due to circumstances that the individual could not reasonably foresee or could not control, such as an unexpected hospitalization.</w:t>
      </w:r>
      <w:r>
        <w:rPr>
          <w:spacing w:val="40"/>
        </w:rPr>
        <w:t xml:space="preserve"> </w:t>
      </w:r>
      <w:r>
        <w:t>At its inception, the process of accepting, reviewing, and processing beneficiary requests for reinstatement for good cause was carried out exclusively by CMS. However,</w:t>
      </w:r>
      <w:r>
        <w:rPr>
          <w:spacing w:val="-3"/>
        </w:rPr>
        <w:t xml:space="preserve"> </w:t>
      </w:r>
      <w:r>
        <w:t>we</w:t>
      </w:r>
      <w:r>
        <w:rPr>
          <w:spacing w:val="-4"/>
        </w:rPr>
        <w:t xml:space="preserve"> </w:t>
      </w:r>
      <w:r>
        <w:t>received</w:t>
      </w:r>
      <w:r>
        <w:rPr>
          <w:spacing w:val="-3"/>
        </w:rPr>
        <w:t xml:space="preserve"> </w:t>
      </w:r>
      <w:r>
        <w:t>feedback</w:t>
      </w:r>
      <w:r>
        <w:rPr>
          <w:spacing w:val="-3"/>
        </w:rPr>
        <w:t xml:space="preserve"> </w:t>
      </w:r>
      <w:r>
        <w:t>on</w:t>
      </w:r>
      <w:r>
        <w:rPr>
          <w:spacing w:val="-3"/>
        </w:rPr>
        <w:t xml:space="preserve"> </w:t>
      </w:r>
      <w:r>
        <w:t>ways</w:t>
      </w:r>
      <w:r>
        <w:rPr>
          <w:spacing w:val="-3"/>
        </w:rPr>
        <w:t xml:space="preserve"> </w:t>
      </w:r>
      <w:r>
        <w:t>to</w:t>
      </w:r>
      <w:r>
        <w:rPr>
          <w:spacing w:val="-3"/>
        </w:rPr>
        <w:t xml:space="preserve"> </w:t>
      </w:r>
      <w:r>
        <w:t>improve</w:t>
      </w:r>
      <w:r>
        <w:rPr>
          <w:spacing w:val="-4"/>
        </w:rPr>
        <w:t xml:space="preserve"> </w:t>
      </w:r>
      <w:r>
        <w:t>the</w:t>
      </w:r>
      <w:r>
        <w:rPr>
          <w:spacing w:val="-4"/>
        </w:rPr>
        <w:t xml:space="preserve"> </w:t>
      </w:r>
      <w:r>
        <w:t>good</w:t>
      </w:r>
      <w:r>
        <w:rPr>
          <w:spacing w:val="-3"/>
        </w:rPr>
        <w:t xml:space="preserve"> </w:t>
      </w:r>
      <w:r>
        <w:t>cause</w:t>
      </w:r>
      <w:r>
        <w:rPr>
          <w:spacing w:val="-4"/>
        </w:rPr>
        <w:t xml:space="preserve"> </w:t>
      </w:r>
      <w:r>
        <w:t>process</w:t>
      </w:r>
      <w:r>
        <w:rPr>
          <w:spacing w:val="-3"/>
        </w:rPr>
        <w:t xml:space="preserve"> </w:t>
      </w:r>
      <w:r>
        <w:t>and</w:t>
      </w:r>
      <w:r>
        <w:rPr>
          <w:spacing w:val="-3"/>
        </w:rPr>
        <w:t xml:space="preserve"> </w:t>
      </w:r>
      <w:r>
        <w:t>make</w:t>
      </w:r>
      <w:r>
        <w:rPr>
          <w:spacing w:val="-4"/>
        </w:rPr>
        <w:t xml:space="preserve"> </w:t>
      </w:r>
      <w:r>
        <w:t>it</w:t>
      </w:r>
      <w:r>
        <w:rPr>
          <w:spacing w:val="-3"/>
        </w:rPr>
        <w:t xml:space="preserve"> </w:t>
      </w:r>
      <w:r>
        <w:t>more</w:t>
      </w:r>
    </w:p>
    <w:p w:rsidR="0022602E" w14:paraId="70D362A9" w14:textId="77777777">
      <w:pPr>
        <w:pStyle w:val="BodyText"/>
        <w:spacing w:before="79" w:line="254" w:lineRule="auto"/>
        <w:ind w:left="628" w:right="129"/>
      </w:pPr>
      <w:r>
        <w:t>efficient</w:t>
      </w:r>
      <w:r>
        <w:rPr>
          <w:spacing w:val="-2"/>
        </w:rPr>
        <w:t xml:space="preserve"> </w:t>
      </w:r>
      <w:r>
        <w:t>for</w:t>
      </w:r>
      <w:r>
        <w:rPr>
          <w:spacing w:val="-3"/>
        </w:rPr>
        <w:t xml:space="preserve"> </w:t>
      </w:r>
      <w:r>
        <w:t>both</w:t>
      </w:r>
      <w:r>
        <w:rPr>
          <w:spacing w:val="-2"/>
        </w:rPr>
        <w:t xml:space="preserve"> </w:t>
      </w:r>
      <w:r>
        <w:t>the</w:t>
      </w:r>
      <w:r>
        <w:rPr>
          <w:spacing w:val="-3"/>
        </w:rPr>
        <w:t xml:space="preserve"> </w:t>
      </w:r>
      <w:r>
        <w:t>plans</w:t>
      </w:r>
      <w:r>
        <w:rPr>
          <w:spacing w:val="-2"/>
        </w:rPr>
        <w:t xml:space="preserve"> </w:t>
      </w:r>
      <w:r>
        <w:t>and</w:t>
      </w:r>
      <w:r>
        <w:rPr>
          <w:spacing w:val="-2"/>
        </w:rPr>
        <w:t xml:space="preserve"> </w:t>
      </w:r>
      <w:r>
        <w:t>CMS,</w:t>
      </w:r>
      <w:r>
        <w:rPr>
          <w:spacing w:val="-2"/>
        </w:rPr>
        <w:t xml:space="preserve"> </w:t>
      </w:r>
      <w:r>
        <w:t>including</w:t>
      </w:r>
      <w:r>
        <w:rPr>
          <w:spacing w:val="-2"/>
        </w:rPr>
        <w:t xml:space="preserve"> </w:t>
      </w:r>
      <w:r>
        <w:t>that</w:t>
      </w:r>
      <w:r>
        <w:rPr>
          <w:spacing w:val="-2"/>
        </w:rPr>
        <w:t xml:space="preserve"> </w:t>
      </w:r>
      <w:r>
        <w:t>many</w:t>
      </w:r>
      <w:r>
        <w:rPr>
          <w:spacing w:val="-2"/>
        </w:rPr>
        <w:t xml:space="preserve"> </w:t>
      </w:r>
      <w:r>
        <w:t>plans</w:t>
      </w:r>
      <w:r>
        <w:rPr>
          <w:spacing w:val="-2"/>
        </w:rPr>
        <w:t xml:space="preserve"> </w:t>
      </w:r>
      <w:r>
        <w:t>prefer</w:t>
      </w:r>
      <w:r>
        <w:rPr>
          <w:spacing w:val="-3"/>
        </w:rPr>
        <w:t xml:space="preserve"> </w:t>
      </w:r>
      <w:r>
        <w:t>to</w:t>
      </w:r>
      <w:r>
        <w:rPr>
          <w:spacing w:val="-2"/>
        </w:rPr>
        <w:t xml:space="preserve"> </w:t>
      </w:r>
      <w:r>
        <w:t>be</w:t>
      </w:r>
      <w:r>
        <w:rPr>
          <w:spacing w:val="-1"/>
        </w:rPr>
        <w:t xml:space="preserve"> </w:t>
      </w:r>
      <w:r>
        <w:t>the</w:t>
      </w:r>
      <w:r>
        <w:rPr>
          <w:spacing w:val="-3"/>
        </w:rPr>
        <w:t xml:space="preserve"> </w:t>
      </w:r>
      <w:r>
        <w:t>initial</w:t>
      </w:r>
      <w:r>
        <w:rPr>
          <w:spacing w:val="-2"/>
        </w:rPr>
        <w:t xml:space="preserve"> </w:t>
      </w:r>
      <w:r>
        <w:t>point of contact for such requests since they have an established relationship with the individual.</w:t>
      </w:r>
    </w:p>
    <w:p w:rsidR="0022602E" w14:paraId="787CD16C" w14:textId="77777777">
      <w:pPr>
        <w:pStyle w:val="BodyText"/>
        <w:spacing w:before="29"/>
      </w:pPr>
    </w:p>
    <w:p w:rsidR="0022602E" w14:paraId="677B08F4" w14:textId="77777777">
      <w:pPr>
        <w:pStyle w:val="BodyText"/>
        <w:spacing w:line="254" w:lineRule="auto"/>
        <w:ind w:left="628" w:right="45" w:hanging="10"/>
      </w:pPr>
      <w:r>
        <w:t>In February 2015, CMS published a regulatory change (CMS-4159-F2) to provide CMS the authority</w:t>
      </w:r>
      <w:r>
        <w:rPr>
          <w:spacing w:val="-3"/>
        </w:rPr>
        <w:t xml:space="preserve"> </w:t>
      </w:r>
      <w:r>
        <w:t>to</w:t>
      </w:r>
      <w:r>
        <w:rPr>
          <w:spacing w:val="-3"/>
        </w:rPr>
        <w:t xml:space="preserve"> </w:t>
      </w:r>
      <w:r>
        <w:t>assign</w:t>
      </w:r>
      <w:r>
        <w:rPr>
          <w:spacing w:val="-3"/>
        </w:rPr>
        <w:t xml:space="preserve"> </w:t>
      </w:r>
      <w:r>
        <w:t>responsibility</w:t>
      </w:r>
      <w:r>
        <w:rPr>
          <w:spacing w:val="-3"/>
        </w:rPr>
        <w:t xml:space="preserve"> </w:t>
      </w:r>
      <w:r>
        <w:t>for</w:t>
      </w:r>
      <w:r>
        <w:rPr>
          <w:spacing w:val="-4"/>
        </w:rPr>
        <w:t xml:space="preserve"> </w:t>
      </w:r>
      <w:r>
        <w:t>effectuating</w:t>
      </w:r>
      <w:r>
        <w:rPr>
          <w:spacing w:val="-2"/>
        </w:rPr>
        <w:t xml:space="preserve"> </w:t>
      </w:r>
      <w:r>
        <w:t>these</w:t>
      </w:r>
      <w:r>
        <w:rPr>
          <w:spacing w:val="-4"/>
        </w:rPr>
        <w:t xml:space="preserve"> </w:t>
      </w:r>
      <w:r>
        <w:t>good</w:t>
      </w:r>
      <w:r>
        <w:rPr>
          <w:spacing w:val="-3"/>
        </w:rPr>
        <w:t xml:space="preserve"> </w:t>
      </w:r>
      <w:r>
        <w:t>cause</w:t>
      </w:r>
      <w:r>
        <w:rPr>
          <w:spacing w:val="-4"/>
        </w:rPr>
        <w:t xml:space="preserve"> </w:t>
      </w:r>
      <w:r>
        <w:t>processes</w:t>
      </w:r>
      <w:r>
        <w:rPr>
          <w:spacing w:val="-3"/>
        </w:rPr>
        <w:t xml:space="preserve"> </w:t>
      </w:r>
      <w:r>
        <w:t>to</w:t>
      </w:r>
      <w:r>
        <w:rPr>
          <w:spacing w:val="-3"/>
        </w:rPr>
        <w:t xml:space="preserve"> </w:t>
      </w:r>
      <w:r>
        <w:t>another</w:t>
      </w:r>
      <w:r>
        <w:rPr>
          <w:spacing w:val="-4"/>
        </w:rPr>
        <w:t xml:space="preserve"> </w:t>
      </w:r>
      <w:r>
        <w:t>entity. This regulatory change allows CMS to designate another entity, specifically a plan (MA organization, Part D plan sponsor, or entity offering a cost plan), to carry out some or all of the good cause reinstatement process.</w:t>
      </w:r>
      <w:r>
        <w:rPr>
          <w:spacing w:val="40"/>
        </w:rPr>
        <w:t xml:space="preserve"> </w:t>
      </w:r>
      <w:r>
        <w:t>Starting in January 2016, we expanded the role for plans in the good cause reinstatement process, such that they, as of this date, accept incoming requests for reinstatement directly from former enrollees.</w:t>
      </w:r>
    </w:p>
    <w:p w:rsidR="0022602E" w14:paraId="7613680E" w14:textId="77777777">
      <w:pPr>
        <w:pStyle w:val="BodyText"/>
        <w:spacing w:before="31"/>
      </w:pPr>
    </w:p>
    <w:p w:rsidR="0022602E" w14:paraId="618BE51C" w14:textId="77777777">
      <w:pPr>
        <w:pStyle w:val="BodyText"/>
        <w:spacing w:line="254" w:lineRule="auto"/>
        <w:ind w:left="628" w:hanging="10"/>
      </w:pPr>
      <w:r>
        <w:t>Given</w:t>
      </w:r>
      <w:r>
        <w:rPr>
          <w:spacing w:val="-3"/>
        </w:rPr>
        <w:t xml:space="preserve"> </w:t>
      </w:r>
      <w:r>
        <w:t>that</w:t>
      </w:r>
      <w:r>
        <w:rPr>
          <w:spacing w:val="-3"/>
        </w:rPr>
        <w:t xml:space="preserve"> </w:t>
      </w:r>
      <w:r>
        <w:t>CMS</w:t>
      </w:r>
      <w:r>
        <w:rPr>
          <w:spacing w:val="-3"/>
        </w:rPr>
        <w:t xml:space="preserve"> </w:t>
      </w:r>
      <w:r>
        <w:t>has</w:t>
      </w:r>
      <w:r>
        <w:rPr>
          <w:spacing w:val="-3"/>
        </w:rPr>
        <w:t xml:space="preserve"> </w:t>
      </w:r>
      <w:r>
        <w:t>delegated</w:t>
      </w:r>
      <w:r>
        <w:rPr>
          <w:spacing w:val="-3"/>
        </w:rPr>
        <w:t xml:space="preserve"> </w:t>
      </w:r>
      <w:r>
        <w:t>responsibility</w:t>
      </w:r>
      <w:r>
        <w:rPr>
          <w:spacing w:val="-3"/>
        </w:rPr>
        <w:t xml:space="preserve"> </w:t>
      </w:r>
      <w:r>
        <w:t>to</w:t>
      </w:r>
      <w:r>
        <w:rPr>
          <w:spacing w:val="-3"/>
        </w:rPr>
        <w:t xml:space="preserve"> </w:t>
      </w:r>
      <w:r>
        <w:t>conduct</w:t>
      </w:r>
      <w:r>
        <w:rPr>
          <w:spacing w:val="-3"/>
        </w:rPr>
        <w:t xml:space="preserve"> </w:t>
      </w:r>
      <w:r>
        <w:t>this</w:t>
      </w:r>
      <w:r>
        <w:rPr>
          <w:spacing w:val="-3"/>
        </w:rPr>
        <w:t xml:space="preserve"> </w:t>
      </w:r>
      <w:r>
        <w:t>administrative</w:t>
      </w:r>
      <w:r>
        <w:rPr>
          <w:spacing w:val="-4"/>
        </w:rPr>
        <w:t xml:space="preserve"> </w:t>
      </w:r>
      <w:r>
        <w:t>activity,</w:t>
      </w:r>
      <w:r>
        <w:rPr>
          <w:spacing w:val="-3"/>
        </w:rPr>
        <w:t xml:space="preserve"> </w:t>
      </w:r>
      <w:r>
        <w:t>plans</w:t>
      </w:r>
      <w:r>
        <w:rPr>
          <w:spacing w:val="-3"/>
        </w:rPr>
        <w:t xml:space="preserve"> </w:t>
      </w:r>
      <w:r>
        <w:t>that disenroll individuals for non-payment of premiums (or other costs, as applicable), are responsible for receiving requests for reinstatement from prior members, determining the individual’s eligibility for good cause, and submitting the reinstatement transaction to CMS following full payment of the arrearage, based on the parameters and processes outlined in regulation and sub-regulatory guidance.</w:t>
      </w:r>
    </w:p>
    <w:p w:rsidR="0022602E" w14:paraId="4EE13F1C" w14:textId="77777777">
      <w:pPr>
        <w:pStyle w:val="BodyText"/>
        <w:spacing w:before="30"/>
      </w:pPr>
    </w:p>
    <w:p w:rsidR="0022602E" w14:paraId="323EEA24" w14:textId="77777777">
      <w:pPr>
        <w:pStyle w:val="ListParagraph"/>
        <w:numPr>
          <w:ilvl w:val="1"/>
          <w:numId w:val="1"/>
        </w:numPr>
        <w:tabs>
          <w:tab w:val="left" w:pos="631"/>
        </w:tabs>
        <w:rPr>
          <w:sz w:val="24"/>
          <w:u w:val="none"/>
        </w:rPr>
      </w:pPr>
      <w:bookmarkStart w:id="4" w:name="3.__Use_of_Information_Technology"/>
      <w:bookmarkEnd w:id="4"/>
      <w:r>
        <w:rPr>
          <w:sz w:val="24"/>
        </w:rPr>
        <w:t>Use</w:t>
      </w:r>
      <w:r>
        <w:rPr>
          <w:spacing w:val="-5"/>
          <w:sz w:val="24"/>
        </w:rPr>
        <w:t xml:space="preserve"> </w:t>
      </w:r>
      <w:r>
        <w:rPr>
          <w:sz w:val="24"/>
        </w:rPr>
        <w:t>of</w:t>
      </w:r>
      <w:r>
        <w:rPr>
          <w:spacing w:val="-1"/>
          <w:sz w:val="24"/>
        </w:rPr>
        <w:t xml:space="preserve"> </w:t>
      </w:r>
      <w:r>
        <w:rPr>
          <w:sz w:val="24"/>
        </w:rPr>
        <w:t>Information</w:t>
      </w:r>
      <w:r>
        <w:rPr>
          <w:spacing w:val="-2"/>
          <w:sz w:val="24"/>
        </w:rPr>
        <w:t xml:space="preserve"> Technology</w:t>
      </w:r>
    </w:p>
    <w:p w:rsidR="0022602E" w14:paraId="32A9402B" w14:textId="77777777">
      <w:pPr>
        <w:pStyle w:val="BodyText"/>
        <w:spacing w:before="43"/>
      </w:pPr>
    </w:p>
    <w:p w:rsidR="0022602E" w14:paraId="220F8A57" w14:textId="77777777">
      <w:pPr>
        <w:pStyle w:val="BodyText"/>
        <w:spacing w:before="1" w:line="254" w:lineRule="auto"/>
        <w:ind w:left="628" w:right="129" w:hanging="10"/>
      </w:pPr>
      <w:r>
        <w:t>There is no associated IC (Instrument Collection) associated with this package.</w:t>
      </w:r>
      <w:r>
        <w:rPr>
          <w:spacing w:val="40"/>
        </w:rPr>
        <w:t xml:space="preserve"> </w:t>
      </w:r>
      <w:r>
        <w:t>CMS currently has no plans to develop an IC. Information provided by individuals requesting reinstatement under the good cause process is not collected electronically.</w:t>
      </w:r>
      <w:r>
        <w:rPr>
          <w:spacing w:val="40"/>
        </w:rPr>
        <w:t xml:space="preserve"> </w:t>
      </w:r>
      <w:r>
        <w:t>Requests for reinstatement</w:t>
      </w:r>
      <w:r>
        <w:rPr>
          <w:spacing w:val="-3"/>
        </w:rPr>
        <w:t xml:space="preserve"> </w:t>
      </w:r>
      <w:r>
        <w:t>are</w:t>
      </w:r>
      <w:r>
        <w:rPr>
          <w:spacing w:val="-4"/>
        </w:rPr>
        <w:t xml:space="preserve"> </w:t>
      </w:r>
      <w:r>
        <w:t>submitted</w:t>
      </w:r>
      <w:r>
        <w:rPr>
          <w:spacing w:val="-3"/>
        </w:rPr>
        <w:t xml:space="preserve"> </w:t>
      </w:r>
      <w:r>
        <w:t>by</w:t>
      </w:r>
      <w:r>
        <w:rPr>
          <w:spacing w:val="-3"/>
        </w:rPr>
        <w:t xml:space="preserve"> </w:t>
      </w:r>
      <w:r>
        <w:t>disenrolled</w:t>
      </w:r>
      <w:r>
        <w:rPr>
          <w:spacing w:val="-3"/>
        </w:rPr>
        <w:t xml:space="preserve"> </w:t>
      </w:r>
      <w:r>
        <w:t>individuals</w:t>
      </w:r>
      <w:r>
        <w:rPr>
          <w:spacing w:val="-3"/>
        </w:rPr>
        <w:t xml:space="preserve"> </w:t>
      </w:r>
      <w:r>
        <w:t>to</w:t>
      </w:r>
      <w:r>
        <w:rPr>
          <w:spacing w:val="-3"/>
        </w:rPr>
        <w:t xml:space="preserve"> </w:t>
      </w:r>
      <w:r>
        <w:t>plans</w:t>
      </w:r>
      <w:r>
        <w:rPr>
          <w:spacing w:val="-3"/>
        </w:rPr>
        <w:t xml:space="preserve"> </w:t>
      </w:r>
      <w:r>
        <w:t>either</w:t>
      </w:r>
      <w:r>
        <w:rPr>
          <w:spacing w:val="-4"/>
        </w:rPr>
        <w:t xml:space="preserve"> </w:t>
      </w:r>
      <w:r>
        <w:t>by</w:t>
      </w:r>
      <w:r>
        <w:rPr>
          <w:spacing w:val="-3"/>
        </w:rPr>
        <w:t xml:space="preserve"> </w:t>
      </w:r>
      <w:r>
        <w:t>contacting</w:t>
      </w:r>
      <w:r>
        <w:rPr>
          <w:spacing w:val="-3"/>
        </w:rPr>
        <w:t xml:space="preserve"> </w:t>
      </w:r>
      <w:r>
        <w:t>the</w:t>
      </w:r>
      <w:r>
        <w:rPr>
          <w:spacing w:val="-4"/>
        </w:rPr>
        <w:t xml:space="preserve"> </w:t>
      </w:r>
      <w:r>
        <w:t>plan by telephone or by submitting a written request.</w:t>
      </w:r>
    </w:p>
    <w:p w:rsidR="0022602E" w14:paraId="493AE17B" w14:textId="77777777">
      <w:pPr>
        <w:pStyle w:val="BodyText"/>
        <w:spacing w:before="29"/>
      </w:pPr>
    </w:p>
    <w:p w:rsidR="0022602E" w14:paraId="72E8F629" w14:textId="77777777">
      <w:pPr>
        <w:pStyle w:val="BodyText"/>
        <w:spacing w:before="1" w:line="254" w:lineRule="auto"/>
        <w:ind w:left="628" w:right="74" w:hanging="10"/>
      </w:pPr>
      <w:r>
        <w:t>Plans review the request and, if approved, submit the reinstatement transaction electronically to</w:t>
      </w:r>
      <w:r>
        <w:rPr>
          <w:spacing w:val="-3"/>
        </w:rPr>
        <w:t xml:space="preserve"> </w:t>
      </w:r>
      <w:r>
        <w:t>CMS</w:t>
      </w:r>
      <w:r>
        <w:rPr>
          <w:spacing w:val="-3"/>
        </w:rPr>
        <w:t xml:space="preserve"> </w:t>
      </w:r>
      <w:r>
        <w:t>following</w:t>
      </w:r>
      <w:r>
        <w:rPr>
          <w:spacing w:val="-3"/>
        </w:rPr>
        <w:t xml:space="preserve"> </w:t>
      </w:r>
      <w:r>
        <w:t>existing</w:t>
      </w:r>
      <w:r>
        <w:rPr>
          <w:spacing w:val="-3"/>
        </w:rPr>
        <w:t xml:space="preserve"> </w:t>
      </w:r>
      <w:r>
        <w:t>processes</w:t>
      </w:r>
      <w:r>
        <w:rPr>
          <w:spacing w:val="-1"/>
        </w:rPr>
        <w:t xml:space="preserve"> </w:t>
      </w:r>
      <w:r>
        <w:t>for</w:t>
      </w:r>
      <w:r>
        <w:rPr>
          <w:spacing w:val="-4"/>
        </w:rPr>
        <w:t xml:space="preserve"> </w:t>
      </w:r>
      <w:r>
        <w:t>other</w:t>
      </w:r>
      <w:r>
        <w:rPr>
          <w:spacing w:val="-4"/>
        </w:rPr>
        <w:t xml:space="preserve"> </w:t>
      </w:r>
      <w:r>
        <w:t>types</w:t>
      </w:r>
      <w:r>
        <w:rPr>
          <w:spacing w:val="-3"/>
        </w:rPr>
        <w:t xml:space="preserve"> </w:t>
      </w:r>
      <w:r>
        <w:t>of</w:t>
      </w:r>
      <w:r>
        <w:rPr>
          <w:spacing w:val="-4"/>
        </w:rPr>
        <w:t xml:space="preserve"> </w:t>
      </w:r>
      <w:r>
        <w:t>reinstatements</w:t>
      </w:r>
      <w:r>
        <w:rPr>
          <w:spacing w:val="-3"/>
        </w:rPr>
        <w:t xml:space="preserve"> </w:t>
      </w:r>
      <w:r>
        <w:t>permissible</w:t>
      </w:r>
      <w:r>
        <w:rPr>
          <w:spacing w:val="-4"/>
        </w:rPr>
        <w:t xml:space="preserve"> </w:t>
      </w:r>
      <w:r>
        <w:t>under</w:t>
      </w:r>
      <w:r>
        <w:rPr>
          <w:spacing w:val="-4"/>
        </w:rPr>
        <w:t xml:space="preserve"> </w:t>
      </w:r>
      <w:r>
        <w:t xml:space="preserve">sub-regulatory guidance. One hundred percent of the reinstatements are submitted to CMS </w:t>
      </w:r>
      <w:r>
        <w:rPr>
          <w:spacing w:val="-2"/>
        </w:rPr>
        <w:t>electronically.</w:t>
      </w:r>
    </w:p>
    <w:p w:rsidR="0022602E" w14:paraId="6E3871DC" w14:textId="77777777">
      <w:pPr>
        <w:pStyle w:val="BodyText"/>
        <w:spacing w:before="29"/>
      </w:pPr>
    </w:p>
    <w:p w:rsidR="0022602E" w14:paraId="06750594" w14:textId="77777777">
      <w:pPr>
        <w:pStyle w:val="ListParagraph"/>
        <w:numPr>
          <w:ilvl w:val="1"/>
          <w:numId w:val="1"/>
        </w:numPr>
        <w:tabs>
          <w:tab w:val="left" w:pos="631"/>
        </w:tabs>
        <w:spacing w:before="1"/>
        <w:rPr>
          <w:sz w:val="24"/>
          <w:u w:val="none"/>
        </w:rPr>
      </w:pPr>
      <w:bookmarkStart w:id="5" w:name="4.__Duplication_of_Efforts"/>
      <w:bookmarkEnd w:id="5"/>
      <w:r>
        <w:rPr>
          <w:sz w:val="24"/>
        </w:rPr>
        <w:t>Duplication</w:t>
      </w:r>
      <w:r>
        <w:rPr>
          <w:spacing w:val="-2"/>
          <w:sz w:val="24"/>
        </w:rPr>
        <w:t xml:space="preserve"> </w:t>
      </w:r>
      <w:r>
        <w:rPr>
          <w:sz w:val="24"/>
        </w:rPr>
        <w:t>of</w:t>
      </w:r>
      <w:r>
        <w:rPr>
          <w:spacing w:val="-2"/>
          <w:sz w:val="24"/>
        </w:rPr>
        <w:t xml:space="preserve"> Efforts</w:t>
      </w:r>
    </w:p>
    <w:p w:rsidR="0022602E" w14:paraId="5263AD98" w14:textId="77777777">
      <w:pPr>
        <w:pStyle w:val="BodyText"/>
        <w:spacing w:before="45"/>
      </w:pPr>
    </w:p>
    <w:p w:rsidR="0022602E" w14:paraId="55078E36" w14:textId="77777777">
      <w:pPr>
        <w:pStyle w:val="BodyText"/>
        <w:spacing w:line="254" w:lineRule="auto"/>
        <w:ind w:left="628" w:hanging="10"/>
      </w:pPr>
      <w:r>
        <w:t>The</w:t>
      </w:r>
      <w:r>
        <w:rPr>
          <w:spacing w:val="-4"/>
        </w:rPr>
        <w:t xml:space="preserve"> </w:t>
      </w:r>
      <w:r>
        <w:t>information</w:t>
      </w:r>
      <w:r>
        <w:rPr>
          <w:spacing w:val="-4"/>
        </w:rPr>
        <w:t xml:space="preserve"> </w:t>
      </w:r>
      <w:r>
        <w:t>collection</w:t>
      </w:r>
      <w:r>
        <w:rPr>
          <w:spacing w:val="-4"/>
        </w:rPr>
        <w:t xml:space="preserve"> </w:t>
      </w:r>
      <w:r>
        <w:t>requirements</w:t>
      </w:r>
      <w:r>
        <w:rPr>
          <w:spacing w:val="-4"/>
        </w:rPr>
        <w:t xml:space="preserve"> </w:t>
      </w:r>
      <w:r>
        <w:t>for</w:t>
      </w:r>
      <w:r>
        <w:rPr>
          <w:spacing w:val="-4"/>
        </w:rPr>
        <w:t xml:space="preserve"> </w:t>
      </w:r>
      <w:r>
        <w:t>the</w:t>
      </w:r>
      <w:r>
        <w:rPr>
          <w:spacing w:val="-5"/>
        </w:rPr>
        <w:t xml:space="preserve"> </w:t>
      </w:r>
      <w:r>
        <w:t>good</w:t>
      </w:r>
      <w:r>
        <w:rPr>
          <w:spacing w:val="-4"/>
        </w:rPr>
        <w:t xml:space="preserve"> </w:t>
      </w:r>
      <w:r>
        <w:t>cause</w:t>
      </w:r>
      <w:r>
        <w:rPr>
          <w:spacing w:val="-4"/>
        </w:rPr>
        <w:t xml:space="preserve"> </w:t>
      </w:r>
      <w:r>
        <w:t>processes</w:t>
      </w:r>
      <w:r>
        <w:rPr>
          <w:spacing w:val="-2"/>
        </w:rPr>
        <w:t xml:space="preserve"> </w:t>
      </w:r>
      <w:r>
        <w:t>are</w:t>
      </w:r>
      <w:r>
        <w:rPr>
          <w:spacing w:val="-4"/>
        </w:rPr>
        <w:t xml:space="preserve"> </w:t>
      </w:r>
      <w:r>
        <w:t>not</w:t>
      </w:r>
      <w:r>
        <w:rPr>
          <w:spacing w:val="-4"/>
        </w:rPr>
        <w:t xml:space="preserve"> </w:t>
      </w:r>
      <w:r>
        <w:t>duplicated through any other effort.</w:t>
      </w:r>
    </w:p>
    <w:p w:rsidR="0022602E" w14:paraId="1DE7A056" w14:textId="77777777">
      <w:pPr>
        <w:pStyle w:val="BodyText"/>
        <w:spacing w:before="27"/>
      </w:pPr>
    </w:p>
    <w:p w:rsidR="0022602E" w14:paraId="59FEBA3D" w14:textId="77777777">
      <w:pPr>
        <w:pStyle w:val="ListParagraph"/>
        <w:numPr>
          <w:ilvl w:val="1"/>
          <w:numId w:val="1"/>
        </w:numPr>
        <w:tabs>
          <w:tab w:val="left" w:pos="631"/>
        </w:tabs>
        <w:rPr>
          <w:sz w:val="24"/>
          <w:u w:val="none"/>
        </w:rPr>
      </w:pPr>
      <w:bookmarkStart w:id="6" w:name="5.__Small_Businesses"/>
      <w:bookmarkEnd w:id="6"/>
      <w:r>
        <w:rPr>
          <w:sz w:val="24"/>
        </w:rPr>
        <w:t>Small</w:t>
      </w:r>
      <w:r>
        <w:rPr>
          <w:spacing w:val="-1"/>
          <w:sz w:val="24"/>
        </w:rPr>
        <w:t xml:space="preserve"> </w:t>
      </w:r>
      <w:r>
        <w:rPr>
          <w:spacing w:val="-2"/>
          <w:sz w:val="24"/>
        </w:rPr>
        <w:t>Businesses</w:t>
      </w:r>
    </w:p>
    <w:p w:rsidR="0022602E" w14:paraId="1C3B9C71" w14:textId="77777777">
      <w:pPr>
        <w:pStyle w:val="BodyText"/>
        <w:spacing w:before="43"/>
      </w:pPr>
    </w:p>
    <w:p w:rsidR="0022602E" w14:paraId="35ED4C34" w14:textId="77777777">
      <w:pPr>
        <w:pStyle w:val="BodyText"/>
        <w:spacing w:line="254" w:lineRule="auto"/>
        <w:ind w:left="628" w:hanging="10"/>
      </w:pPr>
      <w:r>
        <w:t>There</w:t>
      </w:r>
      <w:r>
        <w:rPr>
          <w:spacing w:val="-4"/>
        </w:rPr>
        <w:t xml:space="preserve"> </w:t>
      </w:r>
      <w:r>
        <w:t>is</w:t>
      </w:r>
      <w:r>
        <w:rPr>
          <w:spacing w:val="-3"/>
        </w:rPr>
        <w:t xml:space="preserve"> </w:t>
      </w:r>
      <w:r>
        <w:t>not</w:t>
      </w:r>
      <w:r>
        <w:rPr>
          <w:spacing w:val="-3"/>
        </w:rPr>
        <w:t xml:space="preserve"> </w:t>
      </w:r>
      <w:r>
        <w:t>a</w:t>
      </w:r>
      <w:r>
        <w:rPr>
          <w:spacing w:val="-4"/>
        </w:rPr>
        <w:t xml:space="preserve"> </w:t>
      </w:r>
      <w:r>
        <w:t>significant</w:t>
      </w:r>
      <w:r>
        <w:rPr>
          <w:spacing w:val="-1"/>
        </w:rPr>
        <w:t xml:space="preserve"> </w:t>
      </w:r>
      <w:r>
        <w:t>impact</w:t>
      </w:r>
      <w:r>
        <w:rPr>
          <w:spacing w:val="-3"/>
        </w:rPr>
        <w:t xml:space="preserve"> </w:t>
      </w:r>
      <w:r>
        <w:t>on</w:t>
      </w:r>
      <w:r>
        <w:rPr>
          <w:spacing w:val="-3"/>
        </w:rPr>
        <w:t xml:space="preserve"> </w:t>
      </w:r>
      <w:r>
        <w:t>small</w:t>
      </w:r>
      <w:r>
        <w:rPr>
          <w:spacing w:val="-3"/>
        </w:rPr>
        <w:t xml:space="preserve"> </w:t>
      </w:r>
      <w:r>
        <w:t>businesses</w:t>
      </w:r>
      <w:r>
        <w:rPr>
          <w:spacing w:val="-3"/>
        </w:rPr>
        <w:t xml:space="preserve"> </w:t>
      </w:r>
      <w:r>
        <w:t>that</w:t>
      </w:r>
      <w:r>
        <w:rPr>
          <w:spacing w:val="-3"/>
        </w:rPr>
        <w:t xml:space="preserve"> </w:t>
      </w:r>
      <w:r>
        <w:t>comply</w:t>
      </w:r>
      <w:r>
        <w:rPr>
          <w:spacing w:val="-3"/>
        </w:rPr>
        <w:t xml:space="preserve"> </w:t>
      </w:r>
      <w:r>
        <w:t>with</w:t>
      </w:r>
      <w:r>
        <w:rPr>
          <w:spacing w:val="-3"/>
        </w:rPr>
        <w:t xml:space="preserve"> </w:t>
      </w:r>
      <w:r>
        <w:t>these</w:t>
      </w:r>
      <w:r>
        <w:rPr>
          <w:spacing w:val="-2"/>
        </w:rPr>
        <w:t xml:space="preserve"> </w:t>
      </w:r>
      <w:r>
        <w:t>information collection requirements.</w:t>
      </w:r>
      <w:r>
        <w:rPr>
          <w:spacing w:val="40"/>
        </w:rPr>
        <w:t xml:space="preserve"> </w:t>
      </w:r>
      <w:r>
        <w:t>Based on calendar year 2022 data, the expected percentage of</w:t>
      </w:r>
    </w:p>
    <w:p w:rsidR="0022602E" w14:paraId="6B9146B9" w14:textId="77777777">
      <w:pPr>
        <w:pStyle w:val="BodyText"/>
        <w:spacing w:line="254" w:lineRule="auto"/>
        <w:sectPr>
          <w:pgSz w:w="12240" w:h="15840"/>
          <w:pgMar w:top="1360" w:right="1440" w:bottom="1640" w:left="1080" w:header="0" w:footer="1449" w:gutter="0"/>
          <w:cols w:space="720"/>
        </w:sectPr>
      </w:pPr>
    </w:p>
    <w:p w:rsidR="0022602E" w14:paraId="3F530D42" w14:textId="77777777">
      <w:pPr>
        <w:pStyle w:val="BodyText"/>
        <w:spacing w:before="79" w:line="254" w:lineRule="auto"/>
        <w:ind w:left="628" w:right="258"/>
        <w:jc w:val="both"/>
      </w:pPr>
      <w:r>
        <w:t>reinstatement</w:t>
      </w:r>
      <w:r>
        <w:rPr>
          <w:spacing w:val="-2"/>
        </w:rPr>
        <w:t xml:space="preserve"> </w:t>
      </w:r>
      <w:r>
        <w:t>requests</w:t>
      </w:r>
      <w:r>
        <w:rPr>
          <w:spacing w:val="-2"/>
        </w:rPr>
        <w:t xml:space="preserve"> </w:t>
      </w:r>
      <w:r>
        <w:t>for</w:t>
      </w:r>
      <w:r>
        <w:rPr>
          <w:spacing w:val="-3"/>
        </w:rPr>
        <w:t xml:space="preserve"> </w:t>
      </w:r>
      <w:r>
        <w:t>plans</w:t>
      </w:r>
      <w:r>
        <w:rPr>
          <w:spacing w:val="-2"/>
        </w:rPr>
        <w:t xml:space="preserve"> </w:t>
      </w:r>
      <w:r>
        <w:t>is</w:t>
      </w:r>
      <w:r>
        <w:rPr>
          <w:spacing w:val="-2"/>
        </w:rPr>
        <w:t xml:space="preserve"> </w:t>
      </w:r>
      <w:r>
        <w:t>approximately 20</w:t>
      </w:r>
      <w:r>
        <w:rPr>
          <w:spacing w:val="-2"/>
        </w:rPr>
        <w:t xml:space="preserve"> </w:t>
      </w:r>
      <w:r>
        <w:t>percent.</w:t>
      </w:r>
      <w:r>
        <w:rPr>
          <w:spacing w:val="-2"/>
        </w:rPr>
        <w:t xml:space="preserve"> </w:t>
      </w:r>
      <w:r>
        <w:t>Thus, for</w:t>
      </w:r>
      <w:r>
        <w:rPr>
          <w:spacing w:val="-3"/>
        </w:rPr>
        <w:t xml:space="preserve"> </w:t>
      </w:r>
      <w:r>
        <w:t>a</w:t>
      </w:r>
      <w:r>
        <w:rPr>
          <w:spacing w:val="-3"/>
        </w:rPr>
        <w:t xml:space="preserve"> </w:t>
      </w:r>
      <w:r>
        <w:t>small</w:t>
      </w:r>
      <w:r>
        <w:rPr>
          <w:spacing w:val="-2"/>
        </w:rPr>
        <w:t xml:space="preserve"> </w:t>
      </w:r>
      <w:r>
        <w:t>business</w:t>
      </w:r>
      <w:r>
        <w:rPr>
          <w:spacing w:val="-2"/>
        </w:rPr>
        <w:t xml:space="preserve"> </w:t>
      </w:r>
      <w:r>
        <w:t>that exercises the voluntary policy to disenroll for non-payment of premiums and disenrolls 100 individuals</w:t>
      </w:r>
      <w:r>
        <w:rPr>
          <w:spacing w:val="-3"/>
        </w:rPr>
        <w:t xml:space="preserve"> </w:t>
      </w:r>
      <w:r>
        <w:t>a</w:t>
      </w:r>
      <w:r>
        <w:rPr>
          <w:spacing w:val="-4"/>
        </w:rPr>
        <w:t xml:space="preserve"> </w:t>
      </w:r>
      <w:r>
        <w:t>month</w:t>
      </w:r>
      <w:r>
        <w:rPr>
          <w:spacing w:val="-3"/>
        </w:rPr>
        <w:t xml:space="preserve"> </w:t>
      </w:r>
      <w:r>
        <w:t>for</w:t>
      </w:r>
      <w:r>
        <w:rPr>
          <w:spacing w:val="-4"/>
        </w:rPr>
        <w:t xml:space="preserve"> </w:t>
      </w:r>
      <w:r>
        <w:t>this</w:t>
      </w:r>
      <w:r>
        <w:rPr>
          <w:spacing w:val="-3"/>
        </w:rPr>
        <w:t xml:space="preserve"> </w:t>
      </w:r>
      <w:r>
        <w:t>reason,</w:t>
      </w:r>
      <w:r>
        <w:rPr>
          <w:spacing w:val="-3"/>
        </w:rPr>
        <w:t xml:space="preserve"> </w:t>
      </w:r>
      <w:r>
        <w:t>it</w:t>
      </w:r>
      <w:r>
        <w:rPr>
          <w:spacing w:val="-3"/>
        </w:rPr>
        <w:t xml:space="preserve"> </w:t>
      </w:r>
      <w:r>
        <w:t>is</w:t>
      </w:r>
      <w:r>
        <w:rPr>
          <w:spacing w:val="-3"/>
        </w:rPr>
        <w:t xml:space="preserve"> </w:t>
      </w:r>
      <w:r>
        <w:t>expected</w:t>
      </w:r>
      <w:r>
        <w:rPr>
          <w:spacing w:val="-1"/>
        </w:rPr>
        <w:t xml:space="preserve"> </w:t>
      </w:r>
      <w:r>
        <w:t>that</w:t>
      </w:r>
      <w:r>
        <w:rPr>
          <w:spacing w:val="-3"/>
        </w:rPr>
        <w:t xml:space="preserve"> </w:t>
      </w:r>
      <w:r>
        <w:t>it</w:t>
      </w:r>
      <w:r>
        <w:rPr>
          <w:spacing w:val="-3"/>
        </w:rPr>
        <w:t xml:space="preserve"> </w:t>
      </w:r>
      <w:r>
        <w:t>would</w:t>
      </w:r>
      <w:r>
        <w:rPr>
          <w:spacing w:val="-3"/>
        </w:rPr>
        <w:t xml:space="preserve"> </w:t>
      </w:r>
      <w:r>
        <w:t>receive</w:t>
      </w:r>
      <w:r>
        <w:rPr>
          <w:spacing w:val="-2"/>
        </w:rPr>
        <w:t xml:space="preserve"> </w:t>
      </w:r>
      <w:r>
        <w:t>about</w:t>
      </w:r>
      <w:r>
        <w:rPr>
          <w:spacing w:val="-3"/>
        </w:rPr>
        <w:t xml:space="preserve"> </w:t>
      </w:r>
      <w:r>
        <w:t>20</w:t>
      </w:r>
      <w:r>
        <w:rPr>
          <w:spacing w:val="-3"/>
        </w:rPr>
        <w:t xml:space="preserve"> </w:t>
      </w:r>
      <w:r>
        <w:t>requests</w:t>
      </w:r>
      <w:r>
        <w:rPr>
          <w:spacing w:val="-3"/>
        </w:rPr>
        <w:t xml:space="preserve"> </w:t>
      </w:r>
      <w:r>
        <w:t>for reinstatement each month.</w:t>
      </w:r>
    </w:p>
    <w:p w:rsidR="0022602E" w14:paraId="70308619" w14:textId="77777777">
      <w:pPr>
        <w:pStyle w:val="BodyText"/>
        <w:spacing w:before="30"/>
      </w:pPr>
    </w:p>
    <w:p w:rsidR="0022602E" w14:paraId="10956738" w14:textId="77777777">
      <w:pPr>
        <w:pStyle w:val="ListParagraph"/>
        <w:numPr>
          <w:ilvl w:val="1"/>
          <w:numId w:val="1"/>
        </w:numPr>
        <w:tabs>
          <w:tab w:val="left" w:pos="631"/>
        </w:tabs>
        <w:rPr>
          <w:sz w:val="24"/>
          <w:u w:val="none"/>
        </w:rPr>
      </w:pPr>
      <w:bookmarkStart w:id="7" w:name="6.__Less_Frequent_Collection"/>
      <w:bookmarkEnd w:id="7"/>
      <w:r>
        <w:rPr>
          <w:sz w:val="24"/>
        </w:rPr>
        <w:t>Less</w:t>
      </w:r>
      <w:r>
        <w:rPr>
          <w:spacing w:val="-3"/>
          <w:sz w:val="24"/>
        </w:rPr>
        <w:t xml:space="preserve"> </w:t>
      </w:r>
      <w:r>
        <w:rPr>
          <w:sz w:val="24"/>
        </w:rPr>
        <w:t>Frequent</w:t>
      </w:r>
      <w:r>
        <w:rPr>
          <w:spacing w:val="-2"/>
          <w:sz w:val="24"/>
        </w:rPr>
        <w:t xml:space="preserve"> Collection</w:t>
      </w:r>
    </w:p>
    <w:p w:rsidR="0022602E" w14:paraId="4EA585D1" w14:textId="77777777">
      <w:pPr>
        <w:pStyle w:val="BodyText"/>
        <w:spacing w:before="43"/>
      </w:pPr>
    </w:p>
    <w:p w:rsidR="0022602E" w14:paraId="3F0B7ECA" w14:textId="77777777">
      <w:pPr>
        <w:pStyle w:val="BodyText"/>
        <w:spacing w:line="254" w:lineRule="auto"/>
        <w:ind w:left="628" w:right="74" w:hanging="10"/>
      </w:pPr>
      <w:r>
        <w:t>This</w:t>
      </w:r>
      <w:r>
        <w:rPr>
          <w:spacing w:val="-3"/>
        </w:rPr>
        <w:t xml:space="preserve"> </w:t>
      </w:r>
      <w:r>
        <w:t>information</w:t>
      </w:r>
      <w:r>
        <w:rPr>
          <w:spacing w:val="-3"/>
        </w:rPr>
        <w:t xml:space="preserve"> </w:t>
      </w:r>
      <w:r>
        <w:t>is</w:t>
      </w:r>
      <w:r>
        <w:rPr>
          <w:spacing w:val="-3"/>
        </w:rPr>
        <w:t xml:space="preserve"> </w:t>
      </w:r>
      <w:r>
        <w:t>collected</w:t>
      </w:r>
      <w:r>
        <w:rPr>
          <w:spacing w:val="-3"/>
        </w:rPr>
        <w:t xml:space="preserve"> </w:t>
      </w:r>
      <w:r>
        <w:t>as</w:t>
      </w:r>
      <w:r>
        <w:rPr>
          <w:spacing w:val="-3"/>
        </w:rPr>
        <w:t xml:space="preserve"> </w:t>
      </w:r>
      <w:r>
        <w:t>needed</w:t>
      </w:r>
      <w:r>
        <w:rPr>
          <w:spacing w:val="-3"/>
        </w:rPr>
        <w:t xml:space="preserve"> </w:t>
      </w:r>
      <w:r>
        <w:t>and</w:t>
      </w:r>
      <w:r>
        <w:rPr>
          <w:spacing w:val="-1"/>
        </w:rPr>
        <w:t xml:space="preserve"> </w:t>
      </w:r>
      <w:r>
        <w:t>requested</w:t>
      </w:r>
      <w:r>
        <w:rPr>
          <w:spacing w:val="-3"/>
        </w:rPr>
        <w:t xml:space="preserve"> </w:t>
      </w:r>
      <w:r>
        <w:t>by</w:t>
      </w:r>
      <w:r>
        <w:rPr>
          <w:spacing w:val="-3"/>
        </w:rPr>
        <w:t xml:space="preserve"> </w:t>
      </w:r>
      <w:r>
        <w:t>the</w:t>
      </w:r>
      <w:r>
        <w:rPr>
          <w:spacing w:val="-4"/>
        </w:rPr>
        <w:t xml:space="preserve"> </w:t>
      </w:r>
      <w:r>
        <w:t>disenrolled</w:t>
      </w:r>
      <w:r>
        <w:rPr>
          <w:spacing w:val="-3"/>
        </w:rPr>
        <w:t xml:space="preserve"> </w:t>
      </w:r>
      <w:r>
        <w:t>individual.</w:t>
      </w:r>
      <w:r>
        <w:rPr>
          <w:spacing w:val="-3"/>
        </w:rPr>
        <w:t xml:space="preserve"> </w:t>
      </w:r>
      <w:r>
        <w:t>If</w:t>
      </w:r>
      <w:r>
        <w:rPr>
          <w:spacing w:val="-4"/>
        </w:rPr>
        <w:t xml:space="preserve"> </w:t>
      </w:r>
      <w:r>
        <w:t>it</w:t>
      </w:r>
      <w:r>
        <w:rPr>
          <w:spacing w:val="-3"/>
        </w:rPr>
        <w:t xml:space="preserve"> </w:t>
      </w:r>
      <w:r>
        <w:t>were to be collected less frequently, plans would not be able to obtain these data for determining reinstatement for good cause, process requests and reinstate coverage for individuals within the regulatory requirements.</w:t>
      </w:r>
      <w:r>
        <w:rPr>
          <w:spacing w:val="40"/>
        </w:rPr>
        <w:t xml:space="preserve"> </w:t>
      </w:r>
      <w:r>
        <w:t>If not collected at all, individuals would not be provided a regulatory protection and would not have the ability to access necessary health coverage.</w:t>
      </w:r>
    </w:p>
    <w:p w:rsidR="0022602E" w14:paraId="370BD962" w14:textId="77777777">
      <w:pPr>
        <w:pStyle w:val="BodyText"/>
        <w:spacing w:before="30"/>
      </w:pPr>
    </w:p>
    <w:p w:rsidR="0022602E" w14:paraId="5C9F61D0" w14:textId="77777777">
      <w:pPr>
        <w:pStyle w:val="ListParagraph"/>
        <w:numPr>
          <w:ilvl w:val="1"/>
          <w:numId w:val="1"/>
        </w:numPr>
        <w:tabs>
          <w:tab w:val="left" w:pos="631"/>
        </w:tabs>
        <w:rPr>
          <w:sz w:val="24"/>
          <w:u w:val="none"/>
        </w:rPr>
      </w:pPr>
      <w:bookmarkStart w:id="8" w:name="7.__Special_Circumstances"/>
      <w:bookmarkEnd w:id="8"/>
      <w:r>
        <w:rPr>
          <w:sz w:val="24"/>
        </w:rPr>
        <w:t>Special</w:t>
      </w:r>
      <w:r>
        <w:rPr>
          <w:spacing w:val="-3"/>
          <w:sz w:val="24"/>
        </w:rPr>
        <w:t xml:space="preserve"> </w:t>
      </w:r>
      <w:r>
        <w:rPr>
          <w:spacing w:val="-2"/>
          <w:sz w:val="24"/>
        </w:rPr>
        <w:t>Circumstances</w:t>
      </w:r>
    </w:p>
    <w:p w:rsidR="0022602E" w14:paraId="697840E7" w14:textId="77777777">
      <w:pPr>
        <w:pStyle w:val="BodyText"/>
        <w:spacing w:before="43"/>
      </w:pPr>
    </w:p>
    <w:p w:rsidR="0022602E" w14:paraId="455EBDAD" w14:textId="77777777">
      <w:pPr>
        <w:pStyle w:val="BodyText"/>
        <w:spacing w:line="254" w:lineRule="auto"/>
        <w:ind w:left="628" w:hanging="10"/>
      </w:pPr>
      <w:r>
        <w:t>Plans disenroll for nonpayment of premiums or other costs on a monthly basis.</w:t>
      </w:r>
      <w:r>
        <w:rPr>
          <w:spacing w:val="40"/>
        </w:rPr>
        <w:t xml:space="preserve"> </w:t>
      </w:r>
      <w:r>
        <w:t>As such, requests for good cause and reinstatements resulting from approved requests also occur monthly.</w:t>
      </w:r>
      <w:r>
        <w:rPr>
          <w:spacing w:val="40"/>
        </w:rPr>
        <w:t xml:space="preserve"> </w:t>
      </w:r>
      <w:r>
        <w:t>Plans</w:t>
      </w:r>
      <w:r>
        <w:rPr>
          <w:spacing w:val="-4"/>
        </w:rPr>
        <w:t xml:space="preserve"> </w:t>
      </w:r>
      <w:r>
        <w:t>submit</w:t>
      </w:r>
      <w:r>
        <w:rPr>
          <w:spacing w:val="-4"/>
        </w:rPr>
        <w:t xml:space="preserve"> </w:t>
      </w:r>
      <w:r>
        <w:t>reinstatement</w:t>
      </w:r>
      <w:r>
        <w:rPr>
          <w:spacing w:val="-4"/>
        </w:rPr>
        <w:t xml:space="preserve"> </w:t>
      </w:r>
      <w:r>
        <w:t>transactions</w:t>
      </w:r>
      <w:r>
        <w:rPr>
          <w:spacing w:val="-4"/>
        </w:rPr>
        <w:t xml:space="preserve"> </w:t>
      </w:r>
      <w:r>
        <w:t>to</w:t>
      </w:r>
      <w:r>
        <w:rPr>
          <w:spacing w:val="-4"/>
        </w:rPr>
        <w:t xml:space="preserve"> </w:t>
      </w:r>
      <w:r>
        <w:t>CMS</w:t>
      </w:r>
      <w:r>
        <w:rPr>
          <w:spacing w:val="-4"/>
        </w:rPr>
        <w:t xml:space="preserve"> </w:t>
      </w:r>
      <w:r>
        <w:t>via</w:t>
      </w:r>
      <w:r>
        <w:rPr>
          <w:spacing w:val="-5"/>
        </w:rPr>
        <w:t xml:space="preserve"> </w:t>
      </w:r>
      <w:r>
        <w:t>normal</w:t>
      </w:r>
      <w:r>
        <w:rPr>
          <w:spacing w:val="-4"/>
        </w:rPr>
        <w:t xml:space="preserve"> </w:t>
      </w:r>
      <w:r>
        <w:t>operating</w:t>
      </w:r>
      <w:r>
        <w:rPr>
          <w:spacing w:val="-4"/>
        </w:rPr>
        <w:t xml:space="preserve"> </w:t>
      </w:r>
      <w:r>
        <w:t>processes</w:t>
      </w:r>
      <w:r>
        <w:rPr>
          <w:spacing w:val="-2"/>
        </w:rPr>
        <w:t xml:space="preserve"> </w:t>
      </w:r>
      <w:r>
        <w:t xml:space="preserve">for individuals that were approved and meet the other requirements outlined in regulation each </w:t>
      </w:r>
      <w:r>
        <w:rPr>
          <w:spacing w:val="-2"/>
        </w:rPr>
        <w:t>month.</w:t>
      </w:r>
    </w:p>
    <w:p w:rsidR="0022602E" w14:paraId="5E9F74EE" w14:textId="77777777">
      <w:pPr>
        <w:pStyle w:val="BodyText"/>
        <w:spacing w:before="126"/>
      </w:pPr>
    </w:p>
    <w:p w:rsidR="0022602E" w14:paraId="2655BB8F" w14:textId="77777777">
      <w:pPr>
        <w:pStyle w:val="ListParagraph"/>
        <w:numPr>
          <w:ilvl w:val="1"/>
          <w:numId w:val="1"/>
        </w:numPr>
        <w:tabs>
          <w:tab w:val="left" w:pos="631"/>
        </w:tabs>
        <w:spacing w:before="1"/>
        <w:rPr>
          <w:sz w:val="24"/>
          <w:u w:val="none"/>
        </w:rPr>
      </w:pPr>
      <w:bookmarkStart w:id="9" w:name="8.__Federal_Register/Outside_Consultatio"/>
      <w:bookmarkEnd w:id="9"/>
      <w:r>
        <w:rPr>
          <w:sz w:val="24"/>
        </w:rPr>
        <w:t>Federal</w:t>
      </w:r>
      <w:r>
        <w:rPr>
          <w:spacing w:val="-4"/>
          <w:sz w:val="24"/>
        </w:rPr>
        <w:t xml:space="preserve"> </w:t>
      </w:r>
      <w:r>
        <w:rPr>
          <w:sz w:val="24"/>
        </w:rPr>
        <w:t>Register/Outside</w:t>
      </w:r>
      <w:r>
        <w:rPr>
          <w:spacing w:val="-3"/>
          <w:sz w:val="24"/>
        </w:rPr>
        <w:t xml:space="preserve"> </w:t>
      </w:r>
      <w:r>
        <w:rPr>
          <w:spacing w:val="-2"/>
          <w:sz w:val="24"/>
        </w:rPr>
        <w:t>Consultation</w:t>
      </w:r>
    </w:p>
    <w:p w:rsidR="0022602E" w14:paraId="42092268" w14:textId="77777777">
      <w:pPr>
        <w:pStyle w:val="BodyText"/>
        <w:spacing w:before="43"/>
      </w:pPr>
    </w:p>
    <w:p w:rsidR="0022602E" w14:paraId="7379D83A" w14:textId="1E7BEA87">
      <w:pPr>
        <w:pStyle w:val="BodyText"/>
        <w:ind w:left="619"/>
        <w:rPr>
          <w:spacing w:val="-5"/>
        </w:rPr>
      </w:pPr>
      <w:r>
        <w:t>The</w:t>
      </w:r>
      <w:r>
        <w:rPr>
          <w:spacing w:val="-3"/>
        </w:rPr>
        <w:t xml:space="preserve"> </w:t>
      </w:r>
      <w:r>
        <w:t>60-day</w:t>
      </w:r>
      <w:r>
        <w:rPr>
          <w:spacing w:val="1"/>
        </w:rPr>
        <w:t xml:space="preserve"> </w:t>
      </w:r>
      <w:r>
        <w:t>Federal</w:t>
      </w:r>
      <w:r>
        <w:rPr>
          <w:spacing w:val="-2"/>
        </w:rPr>
        <w:t xml:space="preserve"> </w:t>
      </w:r>
      <w:r>
        <w:t>Register</w:t>
      </w:r>
      <w:r>
        <w:rPr>
          <w:spacing w:val="-2"/>
        </w:rPr>
        <w:t xml:space="preserve"> </w:t>
      </w:r>
      <w:r>
        <w:t>Notice</w:t>
      </w:r>
      <w:r>
        <w:rPr>
          <w:spacing w:val="-2"/>
        </w:rPr>
        <w:t xml:space="preserve"> </w:t>
      </w:r>
      <w:r>
        <w:t>published</w:t>
      </w:r>
      <w:r>
        <w:rPr>
          <w:spacing w:val="-2"/>
        </w:rPr>
        <w:t xml:space="preserve"> </w:t>
      </w:r>
      <w:r>
        <w:t>in</w:t>
      </w:r>
      <w:r>
        <w:rPr>
          <w:spacing w:val="-1"/>
        </w:rPr>
        <w:t xml:space="preserve"> </w:t>
      </w:r>
      <w:r>
        <w:t>the</w:t>
      </w:r>
      <w:r>
        <w:rPr>
          <w:spacing w:val="-3"/>
        </w:rPr>
        <w:t xml:space="preserve"> </w:t>
      </w:r>
      <w:r>
        <w:t>Federal</w:t>
      </w:r>
      <w:r>
        <w:rPr>
          <w:spacing w:val="-1"/>
        </w:rPr>
        <w:t xml:space="preserve"> </w:t>
      </w:r>
      <w:r>
        <w:t>Register</w:t>
      </w:r>
      <w:r>
        <w:rPr>
          <w:spacing w:val="-2"/>
        </w:rPr>
        <w:t xml:space="preserve"> </w:t>
      </w:r>
      <w:r w:rsidR="00757AF7">
        <w:t xml:space="preserve">3/18/2026 </w:t>
      </w:r>
      <w:r>
        <w:t>(</w:t>
      </w:r>
      <w:r w:rsidRPr="00757AF7" w:rsidR="00757AF7">
        <w:rPr>
          <w:spacing w:val="-2"/>
        </w:rPr>
        <w:t>91 FR 13029</w:t>
      </w:r>
      <w:r>
        <w:rPr>
          <w:spacing w:val="-5"/>
        </w:rPr>
        <w:t>).</w:t>
      </w:r>
    </w:p>
    <w:p w:rsidR="00757AF7" w14:paraId="55E024E3" w14:textId="77777777">
      <w:pPr>
        <w:pStyle w:val="BodyText"/>
        <w:ind w:left="619"/>
        <w:rPr>
          <w:spacing w:val="-5"/>
        </w:rPr>
      </w:pPr>
    </w:p>
    <w:p w:rsidR="00C96E34" w14:paraId="58E9677E" w14:textId="5D43AFC9">
      <w:pPr>
        <w:pStyle w:val="BodyText"/>
        <w:ind w:left="619"/>
        <w:rPr>
          <w:spacing w:val="-5"/>
        </w:rPr>
      </w:pPr>
      <w:r w:rsidRPr="00C96E34">
        <w:rPr>
          <w:spacing w:val="-5"/>
        </w:rPr>
        <w:t xml:space="preserve">A total of </w:t>
      </w:r>
      <w:r w:rsidR="00C65587">
        <w:rPr>
          <w:spacing w:val="-5"/>
        </w:rPr>
        <w:t>four</w:t>
      </w:r>
      <w:r w:rsidRPr="00C96E34">
        <w:rPr>
          <w:spacing w:val="-5"/>
        </w:rPr>
        <w:t xml:space="preserve"> (</w:t>
      </w:r>
      <w:r w:rsidR="00C65587">
        <w:rPr>
          <w:spacing w:val="-5"/>
        </w:rPr>
        <w:t>4</w:t>
      </w:r>
      <w:r w:rsidRPr="00C96E34">
        <w:rPr>
          <w:spacing w:val="-5"/>
        </w:rPr>
        <w:t xml:space="preserve">) comments were submitted as the comment period concluded on </w:t>
      </w:r>
      <w:r>
        <w:rPr>
          <w:spacing w:val="-5"/>
        </w:rPr>
        <w:t>May 18, 2026.</w:t>
      </w:r>
    </w:p>
    <w:p w:rsidR="005D595E" w:rsidRPr="005D595E" w:rsidP="005D595E" w14:paraId="2E37C711" w14:textId="545F7946">
      <w:pPr>
        <w:pStyle w:val="BodyText"/>
        <w:ind w:left="619"/>
        <w:rPr>
          <w:spacing w:val="-5"/>
        </w:rPr>
      </w:pPr>
      <w:r>
        <w:rPr>
          <w:spacing w:val="-5"/>
        </w:rPr>
        <w:t>One</w:t>
      </w:r>
      <w:r w:rsidRPr="005D595E">
        <w:rPr>
          <w:spacing w:val="-5"/>
        </w:rPr>
        <w:t xml:space="preserve"> commenter </w:t>
      </w:r>
      <w:r>
        <w:rPr>
          <w:spacing w:val="-5"/>
        </w:rPr>
        <w:t>stated</w:t>
      </w:r>
      <w:r w:rsidRPr="005D595E">
        <w:rPr>
          <w:spacing w:val="-5"/>
        </w:rPr>
        <w:t xml:space="preserve"> that CMS</w:t>
      </w:r>
      <w:r>
        <w:rPr>
          <w:spacing w:val="-5"/>
        </w:rPr>
        <w:t>’</w:t>
      </w:r>
      <w:r w:rsidRPr="005D595E">
        <w:rPr>
          <w:spacing w:val="-5"/>
        </w:rPr>
        <w:t>s 10-minute burden estimate per reinstatement does not account for the added work of routing post-disenrollment requests through the RPC. The commenter recommended allowing Category 1 reinstatements to be submitted via the daily enrollment file, with RPC submission reserved for Category 2 requests only.</w:t>
      </w:r>
      <w:r w:rsidRPr="005D595E">
        <w:rPr>
          <w:rFonts w:ascii="Open Sans" w:hAnsi="Open Sans" w:cs="Open Sans"/>
          <w:color w:val="262626"/>
        </w:rPr>
        <w:t xml:space="preserve"> </w:t>
      </w:r>
      <w:r>
        <w:rPr>
          <w:spacing w:val="-5"/>
        </w:rPr>
        <w:t>The</w:t>
      </w:r>
      <w:r w:rsidRPr="005D595E">
        <w:rPr>
          <w:spacing w:val="-5"/>
        </w:rPr>
        <w:t xml:space="preserve"> commenter </w:t>
      </w:r>
      <w:r>
        <w:rPr>
          <w:spacing w:val="-5"/>
        </w:rPr>
        <w:t xml:space="preserve">also </w:t>
      </w:r>
      <w:r w:rsidRPr="005D595E">
        <w:rPr>
          <w:spacing w:val="-5"/>
        </w:rPr>
        <w:t>stated that reinstated members must be treated as continuously enrolled</w:t>
      </w:r>
      <w:r>
        <w:rPr>
          <w:spacing w:val="-5"/>
        </w:rPr>
        <w:t xml:space="preserve"> and </w:t>
      </w:r>
      <w:r w:rsidRPr="005D595E">
        <w:rPr>
          <w:spacing w:val="-5"/>
        </w:rPr>
        <w:t xml:space="preserve">not as new enrollees. Processing them as new enrollments risks triggering incorrect </w:t>
      </w:r>
      <w:r>
        <w:rPr>
          <w:spacing w:val="-5"/>
        </w:rPr>
        <w:t>primary care provider</w:t>
      </w:r>
      <w:r w:rsidRPr="005D595E">
        <w:rPr>
          <w:spacing w:val="-5"/>
        </w:rPr>
        <w:t xml:space="preserve"> reassignments, which disrupts members and conflicts with CMS</w:t>
      </w:r>
      <w:r>
        <w:rPr>
          <w:spacing w:val="-5"/>
        </w:rPr>
        <w:t>’</w:t>
      </w:r>
      <w:r w:rsidRPr="005D595E">
        <w:rPr>
          <w:spacing w:val="-5"/>
        </w:rPr>
        <w:t>s continuous coverage policy.</w:t>
      </w:r>
    </w:p>
    <w:p w:rsidR="005D595E" w:rsidRPr="005D595E" w:rsidP="005D595E" w14:paraId="4705F374" w14:textId="2CDC93CB">
      <w:pPr>
        <w:pStyle w:val="BodyText"/>
        <w:ind w:left="619"/>
        <w:rPr>
          <w:spacing w:val="-5"/>
        </w:rPr>
      </w:pPr>
    </w:p>
    <w:p w:rsidR="005D595E" w:rsidRPr="005D595E" w:rsidP="005D595E" w14:paraId="62B070C2" w14:textId="77777777">
      <w:pPr>
        <w:pStyle w:val="BodyText"/>
        <w:ind w:left="619"/>
        <w:rPr>
          <w:spacing w:val="-5"/>
        </w:rPr>
      </w:pPr>
      <w:r w:rsidRPr="005D595E">
        <w:rPr>
          <w:spacing w:val="-5"/>
        </w:rPr>
        <w:t>A commenter raised three concerns. First, the collection does not protect incapacitated beneficiaries from erroneous disenrollment, recommending cross-agency verification using hospital and emergency records. Second, the 54,789 annual respondent volume suggests systemic issues warranting statistical analysis to flag anomalous disenrollment rates by plan or region. Third, the commenter recommended real-time acknowledgment of reinstatement requests and an automatic administrative stay to halt further disenrollment processing pending a formal determination.</w:t>
      </w:r>
    </w:p>
    <w:p w:rsidR="00C96E34" w14:paraId="698BEA76" w14:textId="77777777">
      <w:pPr>
        <w:pStyle w:val="BodyText"/>
        <w:ind w:left="619"/>
        <w:rPr>
          <w:spacing w:val="-5"/>
        </w:rPr>
      </w:pPr>
    </w:p>
    <w:p w:rsidR="005D595E" w:rsidRPr="005D595E" w:rsidP="005D595E" w14:paraId="055AA0BD" w14:textId="07F37BA9">
      <w:pPr>
        <w:pStyle w:val="BodyText"/>
        <w:ind w:left="619"/>
        <w:rPr>
          <w:spacing w:val="-5"/>
        </w:rPr>
      </w:pPr>
      <w:r w:rsidRPr="005D595E">
        <w:rPr>
          <w:spacing w:val="-5"/>
        </w:rPr>
        <w:t xml:space="preserve">A commenter recommended a deterministic procedure coding system to improve fraud detection and reduce beneficiary burden during coverage gap claims reviews. </w:t>
      </w:r>
    </w:p>
    <w:p w:rsidR="005D595E" w14:paraId="3D69269D" w14:textId="77777777">
      <w:pPr>
        <w:pStyle w:val="BodyText"/>
        <w:ind w:left="619"/>
        <w:rPr>
          <w:spacing w:val="-5"/>
        </w:rPr>
      </w:pPr>
    </w:p>
    <w:p w:rsidR="00C65587" w:rsidP="005D595E" w14:paraId="1499D8B9" w14:textId="70CFC5EE">
      <w:pPr>
        <w:pStyle w:val="BodyText"/>
        <w:ind w:left="619"/>
        <w:rPr>
          <w:spacing w:val="-5"/>
        </w:rPr>
      </w:pPr>
      <w:r w:rsidRPr="005D595E">
        <w:rPr>
          <w:spacing w:val="-5"/>
        </w:rPr>
        <w:t xml:space="preserve">A commenter </w:t>
      </w:r>
      <w:r>
        <w:rPr>
          <w:spacing w:val="-5"/>
        </w:rPr>
        <w:t xml:space="preserve">generally </w:t>
      </w:r>
      <w:r w:rsidRPr="005D595E">
        <w:rPr>
          <w:spacing w:val="-5"/>
        </w:rPr>
        <w:t>supported the reinstatement framework and recommended that the collection remain narrowly tailored, avoid creating documentation barriers for vulnerable beneficiaries, standardize review timelines across plans, allow electronic and telephonic submissions, and limit provider information requests to what is directly relevant. The commenter urged CMS to periodically reassess burden estimate</w:t>
      </w:r>
      <w:r>
        <w:rPr>
          <w:spacing w:val="-5"/>
        </w:rPr>
        <w:t>s</w:t>
      </w:r>
      <w:r w:rsidRPr="005D595E">
        <w:rPr>
          <w:spacing w:val="-5"/>
        </w:rPr>
        <w:t>.</w:t>
      </w:r>
    </w:p>
    <w:p w:rsidR="00C65587" w14:paraId="5324DAAA" w14:textId="77777777">
      <w:pPr>
        <w:pStyle w:val="BodyText"/>
        <w:ind w:left="619"/>
        <w:rPr>
          <w:spacing w:val="-5"/>
        </w:rPr>
      </w:pPr>
    </w:p>
    <w:p w:rsidR="00C65587" w14:paraId="5CB1A2C3" w14:textId="2E6193E7">
      <w:pPr>
        <w:pStyle w:val="BodyText"/>
        <w:ind w:left="619"/>
        <w:rPr>
          <w:spacing w:val="-5"/>
        </w:rPr>
      </w:pPr>
      <w:r w:rsidRPr="00C65587">
        <w:rPr>
          <w:spacing w:val="-5"/>
        </w:rPr>
        <w:t xml:space="preserve">No changes were made, at this time, to the </w:t>
      </w:r>
      <w:r>
        <w:rPr>
          <w:spacing w:val="-5"/>
        </w:rPr>
        <w:t>Good Cause Processes information collection</w:t>
      </w:r>
      <w:r w:rsidRPr="00C65587">
        <w:rPr>
          <w:spacing w:val="-5"/>
        </w:rPr>
        <w:t xml:space="preserve"> based on commenters’ suggestions. Please refer to the complete “Response to Comments” document for further information on this collection.   </w:t>
      </w:r>
    </w:p>
    <w:p w:rsidR="00C65587" w14:paraId="5025EF2F" w14:textId="77777777">
      <w:pPr>
        <w:pStyle w:val="BodyText"/>
        <w:ind w:left="619"/>
        <w:rPr>
          <w:spacing w:val="-5"/>
        </w:rPr>
      </w:pPr>
    </w:p>
    <w:p w:rsidR="00757AF7" w14:paraId="4D4DA212" w14:textId="49E2A002">
      <w:pPr>
        <w:pStyle w:val="BodyText"/>
        <w:ind w:left="619"/>
      </w:pPr>
      <w:r>
        <w:t>The</w:t>
      </w:r>
      <w:r>
        <w:rPr>
          <w:spacing w:val="-3"/>
        </w:rPr>
        <w:t xml:space="preserve"> 3</w:t>
      </w:r>
      <w:r>
        <w:t>0-day</w:t>
      </w:r>
      <w:r>
        <w:rPr>
          <w:spacing w:val="1"/>
        </w:rPr>
        <w:t xml:space="preserve"> </w:t>
      </w:r>
      <w:r>
        <w:t>Federal</w:t>
      </w:r>
      <w:r>
        <w:rPr>
          <w:spacing w:val="-2"/>
        </w:rPr>
        <w:t xml:space="preserve"> </w:t>
      </w:r>
      <w:r>
        <w:t>Register</w:t>
      </w:r>
      <w:r>
        <w:rPr>
          <w:spacing w:val="-2"/>
        </w:rPr>
        <w:t xml:space="preserve"> </w:t>
      </w:r>
      <w:r>
        <w:t>Notice</w:t>
      </w:r>
      <w:r>
        <w:rPr>
          <w:spacing w:val="-2"/>
        </w:rPr>
        <w:t xml:space="preserve"> </w:t>
      </w:r>
      <w:r>
        <w:t>published</w:t>
      </w:r>
      <w:r>
        <w:rPr>
          <w:spacing w:val="-2"/>
        </w:rPr>
        <w:t xml:space="preserve"> </w:t>
      </w:r>
      <w:r>
        <w:t>in</w:t>
      </w:r>
      <w:r>
        <w:rPr>
          <w:spacing w:val="-1"/>
        </w:rPr>
        <w:t xml:space="preserve"> </w:t>
      </w:r>
      <w:r>
        <w:t>the</w:t>
      </w:r>
      <w:r>
        <w:rPr>
          <w:spacing w:val="-3"/>
        </w:rPr>
        <w:t xml:space="preserve"> </w:t>
      </w:r>
      <w:r>
        <w:t>Federal</w:t>
      </w:r>
      <w:r>
        <w:rPr>
          <w:spacing w:val="-1"/>
        </w:rPr>
        <w:t xml:space="preserve"> </w:t>
      </w:r>
      <w:r>
        <w:t>Register</w:t>
      </w:r>
      <w:r w:rsidR="00312384">
        <w:t xml:space="preserve"> (</w:t>
      </w:r>
      <w:r w:rsidRPr="00312384" w:rsidR="00312384">
        <w:t>91 FR 44849</w:t>
      </w:r>
      <w:r w:rsidR="00312384">
        <w:t>) 7/17/2026</w:t>
      </w:r>
      <w:r w:rsidR="00685EC2">
        <w:t>.</w:t>
      </w:r>
    </w:p>
    <w:p w:rsidR="0022602E" w14:paraId="24693138" w14:textId="77777777">
      <w:pPr>
        <w:pStyle w:val="BodyText"/>
        <w:spacing w:before="45"/>
      </w:pPr>
    </w:p>
    <w:p w:rsidR="0022602E" w14:paraId="7291E677" w14:textId="77777777">
      <w:pPr>
        <w:pStyle w:val="ListParagraph"/>
        <w:numPr>
          <w:ilvl w:val="1"/>
          <w:numId w:val="1"/>
        </w:numPr>
        <w:tabs>
          <w:tab w:val="left" w:pos="571"/>
        </w:tabs>
        <w:ind w:left="571" w:hanging="240"/>
        <w:rPr>
          <w:sz w:val="24"/>
          <w:u w:val="none"/>
        </w:rPr>
      </w:pPr>
      <w:bookmarkStart w:id="10" w:name="9.__Payments/Gifts_to_Respondents"/>
      <w:bookmarkEnd w:id="10"/>
      <w:r>
        <w:rPr>
          <w:spacing w:val="-4"/>
          <w:sz w:val="24"/>
        </w:rPr>
        <w:t xml:space="preserve"> </w:t>
      </w:r>
      <w:r>
        <w:rPr>
          <w:sz w:val="24"/>
        </w:rPr>
        <w:t>Payments/Gifts</w:t>
      </w:r>
      <w:r>
        <w:rPr>
          <w:spacing w:val="-1"/>
          <w:sz w:val="24"/>
        </w:rPr>
        <w:t xml:space="preserve"> </w:t>
      </w:r>
      <w:r>
        <w:rPr>
          <w:sz w:val="24"/>
        </w:rPr>
        <w:t>to</w:t>
      </w:r>
      <w:r>
        <w:rPr>
          <w:spacing w:val="-1"/>
          <w:sz w:val="24"/>
        </w:rPr>
        <w:t xml:space="preserve"> </w:t>
      </w:r>
      <w:r>
        <w:rPr>
          <w:spacing w:val="-2"/>
          <w:sz w:val="24"/>
        </w:rPr>
        <w:t>Respondents</w:t>
      </w:r>
    </w:p>
    <w:p w:rsidR="0022602E" w14:paraId="62435B1D" w14:textId="77777777">
      <w:pPr>
        <w:pStyle w:val="BodyText"/>
        <w:spacing w:before="43"/>
      </w:pPr>
    </w:p>
    <w:p w:rsidR="0022602E" w14:paraId="4D0B595A" w14:textId="77777777">
      <w:pPr>
        <w:pStyle w:val="BodyText"/>
        <w:spacing w:before="1"/>
        <w:ind w:left="619"/>
      </w:pPr>
      <w:r>
        <w:t>There</w:t>
      </w:r>
      <w:r>
        <w:rPr>
          <w:spacing w:val="-2"/>
        </w:rPr>
        <w:t xml:space="preserve"> </w:t>
      </w:r>
      <w:r>
        <w:t>are</w:t>
      </w:r>
      <w:r>
        <w:rPr>
          <w:spacing w:val="-2"/>
        </w:rPr>
        <w:t xml:space="preserve"> </w:t>
      </w:r>
      <w:r>
        <w:t>no</w:t>
      </w:r>
      <w:r>
        <w:rPr>
          <w:spacing w:val="-1"/>
        </w:rPr>
        <w:t xml:space="preserve"> </w:t>
      </w:r>
      <w:r>
        <w:t>payments</w:t>
      </w:r>
      <w:r>
        <w:rPr>
          <w:spacing w:val="-1"/>
        </w:rPr>
        <w:t xml:space="preserve"> </w:t>
      </w:r>
      <w:r>
        <w:t>or gifts</w:t>
      </w:r>
      <w:r>
        <w:rPr>
          <w:spacing w:val="-1"/>
        </w:rPr>
        <w:t xml:space="preserve"> </w:t>
      </w:r>
      <w:r>
        <w:t>to</w:t>
      </w:r>
      <w:r>
        <w:rPr>
          <w:spacing w:val="-1"/>
        </w:rPr>
        <w:t xml:space="preserve"> </w:t>
      </w:r>
      <w:r>
        <w:t>respondents related</w:t>
      </w:r>
      <w:r>
        <w:rPr>
          <w:spacing w:val="-1"/>
        </w:rPr>
        <w:t xml:space="preserve"> </w:t>
      </w:r>
      <w:r>
        <w:t>to</w:t>
      </w:r>
      <w:r>
        <w:rPr>
          <w:spacing w:val="-1"/>
        </w:rPr>
        <w:t xml:space="preserve"> </w:t>
      </w:r>
      <w:r>
        <w:t>the</w:t>
      </w:r>
      <w:r>
        <w:rPr>
          <w:spacing w:val="-2"/>
        </w:rPr>
        <w:t xml:space="preserve"> </w:t>
      </w:r>
      <w:r>
        <w:t>collection</w:t>
      </w:r>
      <w:r>
        <w:rPr>
          <w:spacing w:val="-1"/>
        </w:rPr>
        <w:t xml:space="preserve"> </w:t>
      </w:r>
      <w:r>
        <w:t>of</w:t>
      </w:r>
      <w:r>
        <w:rPr>
          <w:spacing w:val="-2"/>
        </w:rPr>
        <w:t xml:space="preserve"> </w:t>
      </w:r>
      <w:r>
        <w:t xml:space="preserve">this </w:t>
      </w:r>
      <w:r>
        <w:rPr>
          <w:spacing w:val="-2"/>
        </w:rPr>
        <w:t>information.</w:t>
      </w:r>
    </w:p>
    <w:p w:rsidR="0022602E" w14:paraId="476FA82A" w14:textId="77777777">
      <w:pPr>
        <w:pStyle w:val="BodyText"/>
        <w:spacing w:before="43"/>
      </w:pPr>
    </w:p>
    <w:p w:rsidR="0022602E" w14:paraId="21931E43" w14:textId="77777777">
      <w:pPr>
        <w:pStyle w:val="ListParagraph"/>
        <w:numPr>
          <w:ilvl w:val="1"/>
          <w:numId w:val="1"/>
        </w:numPr>
        <w:tabs>
          <w:tab w:val="left" w:pos="691"/>
        </w:tabs>
        <w:ind w:left="691" w:hanging="360"/>
        <w:rPr>
          <w:sz w:val="24"/>
          <w:u w:val="none"/>
        </w:rPr>
      </w:pPr>
      <w:bookmarkStart w:id="11" w:name="10._Confidentiality"/>
      <w:bookmarkEnd w:id="11"/>
      <w:r>
        <w:rPr>
          <w:spacing w:val="-2"/>
          <w:sz w:val="24"/>
        </w:rPr>
        <w:t>Confidentiality</w:t>
      </w:r>
    </w:p>
    <w:p w:rsidR="0022602E" w14:paraId="23FCC35D" w14:textId="77777777">
      <w:pPr>
        <w:pStyle w:val="BodyText"/>
        <w:spacing w:before="43"/>
      </w:pPr>
    </w:p>
    <w:p w:rsidR="0022602E" w14:paraId="32DF8427" w14:textId="77777777">
      <w:pPr>
        <w:pStyle w:val="BodyText"/>
        <w:ind w:left="619"/>
      </w:pPr>
      <w:r>
        <w:t>The</w:t>
      </w:r>
      <w:r>
        <w:rPr>
          <w:spacing w:val="-2"/>
        </w:rPr>
        <w:t xml:space="preserve"> </w:t>
      </w:r>
      <w:r>
        <w:t>information</w:t>
      </w:r>
      <w:r>
        <w:rPr>
          <w:spacing w:val="-1"/>
        </w:rPr>
        <w:t xml:space="preserve"> </w:t>
      </w:r>
      <w:r>
        <w:t>collected</w:t>
      </w:r>
      <w:r>
        <w:rPr>
          <w:spacing w:val="-1"/>
        </w:rPr>
        <w:t xml:space="preserve"> </w:t>
      </w:r>
      <w:r>
        <w:t>from</w:t>
      </w:r>
      <w:r>
        <w:rPr>
          <w:spacing w:val="-1"/>
        </w:rPr>
        <w:t xml:space="preserve"> </w:t>
      </w:r>
      <w:r>
        <w:t>plan</w:t>
      </w:r>
      <w:r>
        <w:rPr>
          <w:spacing w:val="-1"/>
        </w:rPr>
        <w:t xml:space="preserve"> </w:t>
      </w:r>
      <w:r>
        <w:t>members</w:t>
      </w:r>
      <w:r>
        <w:rPr>
          <w:spacing w:val="-1"/>
        </w:rPr>
        <w:t xml:space="preserve"> </w:t>
      </w:r>
      <w:r>
        <w:t>must</w:t>
      </w:r>
      <w:r>
        <w:rPr>
          <w:spacing w:val="-1"/>
        </w:rPr>
        <w:t xml:space="preserve"> </w:t>
      </w:r>
      <w:r>
        <w:t>conform</w:t>
      </w:r>
      <w:r>
        <w:rPr>
          <w:spacing w:val="-1"/>
        </w:rPr>
        <w:t xml:space="preserve"> </w:t>
      </w:r>
      <w:r>
        <w:t>to</w:t>
      </w:r>
      <w:r>
        <w:rPr>
          <w:spacing w:val="-1"/>
        </w:rPr>
        <w:t xml:space="preserve"> </w:t>
      </w:r>
      <w:r>
        <w:t>the</w:t>
      </w:r>
      <w:r>
        <w:rPr>
          <w:spacing w:val="-2"/>
        </w:rPr>
        <w:t xml:space="preserve"> </w:t>
      </w:r>
      <w:r>
        <w:t>requirements</w:t>
      </w:r>
      <w:r>
        <w:rPr>
          <w:spacing w:val="-1"/>
        </w:rPr>
        <w:t xml:space="preserve"> </w:t>
      </w:r>
      <w:r>
        <w:t>at</w:t>
      </w:r>
      <w:r>
        <w:rPr>
          <w:spacing w:val="-1"/>
        </w:rPr>
        <w:t xml:space="preserve"> </w:t>
      </w:r>
      <w:r>
        <w:t>42</w:t>
      </w:r>
      <w:r>
        <w:rPr>
          <w:spacing w:val="-1"/>
        </w:rPr>
        <w:t xml:space="preserve"> </w:t>
      </w:r>
      <w:r>
        <w:rPr>
          <w:spacing w:val="-5"/>
        </w:rPr>
        <w:t>CFR</w:t>
      </w:r>
    </w:p>
    <w:p w:rsidR="0022602E" w14:paraId="43DD9CF1" w14:textId="77777777">
      <w:pPr>
        <w:pStyle w:val="BodyText"/>
        <w:spacing w:before="17"/>
        <w:ind w:left="628"/>
      </w:pPr>
      <w:r>
        <w:t>422.74</w:t>
      </w:r>
      <w:r>
        <w:rPr>
          <w:spacing w:val="-3"/>
        </w:rPr>
        <w:t xml:space="preserve"> </w:t>
      </w:r>
      <w:r>
        <w:t>and</w:t>
      </w:r>
      <w:r>
        <w:rPr>
          <w:spacing w:val="-1"/>
        </w:rPr>
        <w:t xml:space="preserve"> </w:t>
      </w:r>
      <w:r>
        <w:t>423.44,</w:t>
      </w:r>
      <w:r>
        <w:rPr>
          <w:spacing w:val="-1"/>
        </w:rPr>
        <w:t xml:space="preserve"> </w:t>
      </w:r>
      <w:r>
        <w:t>and</w:t>
      </w:r>
      <w:r>
        <w:rPr>
          <w:spacing w:val="-1"/>
        </w:rPr>
        <w:t xml:space="preserve"> </w:t>
      </w:r>
      <w:r>
        <w:t>in</w:t>
      </w:r>
      <w:r>
        <w:rPr>
          <w:spacing w:val="-1"/>
        </w:rPr>
        <w:t xml:space="preserve"> </w:t>
      </w:r>
      <w:r>
        <w:t>all</w:t>
      </w:r>
      <w:r>
        <w:rPr>
          <w:spacing w:val="-1"/>
        </w:rPr>
        <w:t xml:space="preserve"> </w:t>
      </w:r>
      <w:r>
        <w:t>Federal</w:t>
      </w:r>
      <w:r>
        <w:rPr>
          <w:spacing w:val="-1"/>
        </w:rPr>
        <w:t xml:space="preserve"> </w:t>
      </w:r>
      <w:r>
        <w:t>and</w:t>
      </w:r>
      <w:r>
        <w:rPr>
          <w:spacing w:val="-1"/>
        </w:rPr>
        <w:t xml:space="preserve"> </w:t>
      </w:r>
      <w:r>
        <w:t>State</w:t>
      </w:r>
      <w:r>
        <w:rPr>
          <w:spacing w:val="-2"/>
        </w:rPr>
        <w:t xml:space="preserve"> </w:t>
      </w:r>
      <w:r>
        <w:t>laws</w:t>
      </w:r>
      <w:r>
        <w:rPr>
          <w:spacing w:val="-1"/>
        </w:rPr>
        <w:t xml:space="preserve"> </w:t>
      </w:r>
      <w:r>
        <w:t>regarding</w:t>
      </w:r>
      <w:r>
        <w:rPr>
          <w:spacing w:val="-1"/>
        </w:rPr>
        <w:t xml:space="preserve"> </w:t>
      </w:r>
      <w:r>
        <w:t>confidentiality</w:t>
      </w:r>
      <w:r>
        <w:rPr>
          <w:spacing w:val="-1"/>
        </w:rPr>
        <w:t xml:space="preserve"> </w:t>
      </w:r>
      <w:r>
        <w:t xml:space="preserve">and </w:t>
      </w:r>
      <w:r>
        <w:rPr>
          <w:spacing w:val="-2"/>
        </w:rPr>
        <w:t>disclosure.</w:t>
      </w:r>
    </w:p>
    <w:p w:rsidR="0022602E" w14:paraId="27DA9C0C" w14:textId="77777777">
      <w:pPr>
        <w:pStyle w:val="BodyText"/>
        <w:spacing w:before="45"/>
      </w:pPr>
    </w:p>
    <w:p w:rsidR="0022602E" w14:paraId="08A151AD" w14:textId="77777777">
      <w:pPr>
        <w:pStyle w:val="ListParagraph"/>
        <w:numPr>
          <w:ilvl w:val="1"/>
          <w:numId w:val="1"/>
        </w:numPr>
        <w:tabs>
          <w:tab w:val="left" w:pos="691"/>
        </w:tabs>
        <w:spacing w:before="1"/>
        <w:ind w:left="691" w:hanging="360"/>
        <w:rPr>
          <w:sz w:val="24"/>
          <w:u w:val="none"/>
        </w:rPr>
      </w:pPr>
      <w:bookmarkStart w:id="12" w:name="11._Sensitive_Questions"/>
      <w:bookmarkEnd w:id="12"/>
      <w:r>
        <w:rPr>
          <w:sz w:val="24"/>
        </w:rPr>
        <w:t>Sensitive</w:t>
      </w:r>
      <w:r>
        <w:rPr>
          <w:spacing w:val="-3"/>
          <w:sz w:val="24"/>
        </w:rPr>
        <w:t xml:space="preserve"> </w:t>
      </w:r>
      <w:r>
        <w:rPr>
          <w:spacing w:val="-2"/>
          <w:sz w:val="24"/>
        </w:rPr>
        <w:t>Questions</w:t>
      </w:r>
    </w:p>
    <w:p w:rsidR="0022602E" w14:paraId="2FC7211B" w14:textId="77777777">
      <w:pPr>
        <w:pStyle w:val="BodyText"/>
        <w:spacing w:before="103"/>
      </w:pPr>
    </w:p>
    <w:p w:rsidR="0022602E" w14:paraId="054DD8B0" w14:textId="77777777">
      <w:pPr>
        <w:pStyle w:val="BodyText"/>
        <w:spacing w:line="256" w:lineRule="auto"/>
        <w:ind w:left="628" w:hanging="10"/>
      </w:pPr>
      <w:r>
        <w:t>There are no sensitive questions associated with this collection. Specifically, the collection does</w:t>
      </w:r>
      <w:r>
        <w:rPr>
          <w:spacing w:val="-3"/>
        </w:rPr>
        <w:t xml:space="preserve"> </w:t>
      </w:r>
      <w:r>
        <w:t>not</w:t>
      </w:r>
      <w:r>
        <w:rPr>
          <w:spacing w:val="-3"/>
        </w:rPr>
        <w:t xml:space="preserve"> </w:t>
      </w:r>
      <w:r>
        <w:t>solicit</w:t>
      </w:r>
      <w:r>
        <w:rPr>
          <w:spacing w:val="-3"/>
        </w:rPr>
        <w:t xml:space="preserve"> </w:t>
      </w:r>
      <w:r>
        <w:t>questions</w:t>
      </w:r>
      <w:r>
        <w:rPr>
          <w:spacing w:val="-6"/>
        </w:rPr>
        <w:t xml:space="preserve"> </w:t>
      </w:r>
      <w:r>
        <w:t>of</w:t>
      </w:r>
      <w:r>
        <w:rPr>
          <w:spacing w:val="-4"/>
        </w:rPr>
        <w:t xml:space="preserve"> </w:t>
      </w:r>
      <w:r>
        <w:t>a</w:t>
      </w:r>
      <w:r>
        <w:rPr>
          <w:spacing w:val="-4"/>
        </w:rPr>
        <w:t xml:space="preserve"> </w:t>
      </w:r>
      <w:r>
        <w:t>sensitive</w:t>
      </w:r>
      <w:r>
        <w:rPr>
          <w:spacing w:val="-4"/>
        </w:rPr>
        <w:t xml:space="preserve"> </w:t>
      </w:r>
      <w:r>
        <w:t>nature,</w:t>
      </w:r>
      <w:r>
        <w:rPr>
          <w:spacing w:val="-3"/>
        </w:rPr>
        <w:t xml:space="preserve"> </w:t>
      </w:r>
      <w:r>
        <w:t>such</w:t>
      </w:r>
      <w:r>
        <w:rPr>
          <w:spacing w:val="-3"/>
        </w:rPr>
        <w:t xml:space="preserve"> </w:t>
      </w:r>
      <w:r>
        <w:t>as</w:t>
      </w:r>
      <w:r>
        <w:rPr>
          <w:spacing w:val="-3"/>
        </w:rPr>
        <w:t xml:space="preserve"> </w:t>
      </w:r>
      <w:r>
        <w:t>sexual</w:t>
      </w:r>
      <w:r>
        <w:rPr>
          <w:spacing w:val="-3"/>
        </w:rPr>
        <w:t xml:space="preserve"> </w:t>
      </w:r>
      <w:r>
        <w:t>behavior</w:t>
      </w:r>
      <w:r>
        <w:rPr>
          <w:spacing w:val="-4"/>
        </w:rPr>
        <w:t xml:space="preserve"> </w:t>
      </w:r>
      <w:r>
        <w:t>and</w:t>
      </w:r>
      <w:r>
        <w:rPr>
          <w:spacing w:val="-1"/>
        </w:rPr>
        <w:t xml:space="preserve"> </w:t>
      </w:r>
      <w:r>
        <w:t>attitudes,</w:t>
      </w:r>
      <w:r>
        <w:rPr>
          <w:spacing w:val="-3"/>
        </w:rPr>
        <w:t xml:space="preserve"> </w:t>
      </w:r>
      <w:r>
        <w:t>religious beliefs, and other matters that are commonly considered private.</w:t>
      </w:r>
    </w:p>
    <w:p w:rsidR="00F82DFB" w14:paraId="12FCC423" w14:textId="77777777">
      <w:pPr>
        <w:pStyle w:val="BodyText"/>
        <w:spacing w:line="256" w:lineRule="auto"/>
        <w:ind w:left="628" w:hanging="10"/>
      </w:pPr>
    </w:p>
    <w:p w:rsidR="0022602E" w14:paraId="0D950BC1" w14:textId="77777777">
      <w:pPr>
        <w:pStyle w:val="ListParagraph"/>
        <w:numPr>
          <w:ilvl w:val="1"/>
          <w:numId w:val="1"/>
        </w:numPr>
        <w:tabs>
          <w:tab w:val="left" w:pos="691"/>
        </w:tabs>
        <w:spacing w:before="76"/>
        <w:ind w:left="691" w:hanging="360"/>
        <w:rPr>
          <w:sz w:val="24"/>
          <w:u w:val="none"/>
        </w:rPr>
      </w:pPr>
      <w:bookmarkStart w:id="13" w:name="12._Burden_Estimates_(Hours_&amp;_Wages)"/>
      <w:bookmarkEnd w:id="13"/>
      <w:r>
        <w:rPr>
          <w:sz w:val="24"/>
        </w:rPr>
        <w:t>Burden</w:t>
      </w:r>
      <w:r>
        <w:rPr>
          <w:spacing w:val="-2"/>
          <w:sz w:val="24"/>
        </w:rPr>
        <w:t xml:space="preserve"> </w:t>
      </w:r>
      <w:r>
        <w:rPr>
          <w:sz w:val="24"/>
        </w:rPr>
        <w:t>Estimates</w:t>
      </w:r>
      <w:r>
        <w:rPr>
          <w:spacing w:val="-1"/>
          <w:sz w:val="24"/>
        </w:rPr>
        <w:t xml:space="preserve"> </w:t>
      </w:r>
      <w:r>
        <w:rPr>
          <w:sz w:val="24"/>
        </w:rPr>
        <w:t>(Hours</w:t>
      </w:r>
      <w:r>
        <w:rPr>
          <w:spacing w:val="-2"/>
          <w:sz w:val="24"/>
        </w:rPr>
        <w:t xml:space="preserve"> </w:t>
      </w:r>
      <w:r>
        <w:rPr>
          <w:sz w:val="24"/>
        </w:rPr>
        <w:t>&amp;</w:t>
      </w:r>
      <w:r>
        <w:rPr>
          <w:spacing w:val="-1"/>
          <w:sz w:val="24"/>
        </w:rPr>
        <w:t xml:space="preserve"> </w:t>
      </w:r>
      <w:r>
        <w:rPr>
          <w:spacing w:val="-2"/>
          <w:sz w:val="24"/>
        </w:rPr>
        <w:t>Wages)</w:t>
      </w:r>
    </w:p>
    <w:p w:rsidR="0022602E" w14:paraId="29F0ADE0" w14:textId="77777777">
      <w:pPr>
        <w:pStyle w:val="BodyText"/>
        <w:spacing w:before="43"/>
      </w:pPr>
    </w:p>
    <w:p w:rsidR="0022602E" w14:paraId="114B3E26" w14:textId="77777777">
      <w:pPr>
        <w:pStyle w:val="BodyText"/>
        <w:spacing w:before="1" w:line="252" w:lineRule="auto"/>
        <w:ind w:left="619" w:right="28"/>
      </w:pPr>
      <w:r>
        <w:t>Plan sponsors are not required to have a policy of involuntary disenrollment for nonpayment of</w:t>
      </w:r>
      <w:r>
        <w:rPr>
          <w:spacing w:val="-3"/>
        </w:rPr>
        <w:t xml:space="preserve"> </w:t>
      </w:r>
      <w:r>
        <w:t>premium</w:t>
      </w:r>
      <w:r>
        <w:rPr>
          <w:spacing w:val="-2"/>
        </w:rPr>
        <w:t xml:space="preserve"> </w:t>
      </w:r>
      <w:r>
        <w:t>and</w:t>
      </w:r>
      <w:r>
        <w:rPr>
          <w:spacing w:val="-2"/>
        </w:rPr>
        <w:t xml:space="preserve"> </w:t>
      </w:r>
      <w:r>
        <w:t>can</w:t>
      </w:r>
      <w:r>
        <w:rPr>
          <w:spacing w:val="-2"/>
        </w:rPr>
        <w:t xml:space="preserve"> </w:t>
      </w:r>
      <w:r>
        <w:t>choose</w:t>
      </w:r>
      <w:r>
        <w:rPr>
          <w:spacing w:val="-3"/>
        </w:rPr>
        <w:t xml:space="preserve"> </w:t>
      </w:r>
      <w:r>
        <w:t>each contract</w:t>
      </w:r>
      <w:r>
        <w:rPr>
          <w:spacing w:val="-2"/>
        </w:rPr>
        <w:t xml:space="preserve"> </w:t>
      </w:r>
      <w:r>
        <w:t>year</w:t>
      </w:r>
      <w:r>
        <w:rPr>
          <w:spacing w:val="-3"/>
        </w:rPr>
        <w:t xml:space="preserve"> </w:t>
      </w:r>
      <w:r>
        <w:t>whether</w:t>
      </w:r>
      <w:r>
        <w:rPr>
          <w:spacing w:val="-3"/>
        </w:rPr>
        <w:t xml:space="preserve"> </w:t>
      </w:r>
      <w:r>
        <w:t>or</w:t>
      </w:r>
      <w:r>
        <w:rPr>
          <w:spacing w:val="-3"/>
        </w:rPr>
        <w:t xml:space="preserve"> </w:t>
      </w:r>
      <w:r>
        <w:t>not</w:t>
      </w:r>
      <w:r>
        <w:rPr>
          <w:spacing w:val="-2"/>
        </w:rPr>
        <w:t xml:space="preserve"> </w:t>
      </w:r>
      <w:r>
        <w:t>to</w:t>
      </w:r>
      <w:r>
        <w:rPr>
          <w:spacing w:val="-2"/>
        </w:rPr>
        <w:t xml:space="preserve"> </w:t>
      </w:r>
      <w:r>
        <w:t>have</w:t>
      </w:r>
      <w:r>
        <w:rPr>
          <w:spacing w:val="-3"/>
        </w:rPr>
        <w:t xml:space="preserve"> </w:t>
      </w:r>
      <w:r>
        <w:t>such a</w:t>
      </w:r>
      <w:r>
        <w:rPr>
          <w:spacing w:val="-3"/>
        </w:rPr>
        <w:t xml:space="preserve"> </w:t>
      </w:r>
      <w:r>
        <w:t>policy.</w:t>
      </w:r>
      <w:r>
        <w:rPr>
          <w:spacing w:val="40"/>
        </w:rPr>
        <w:t xml:space="preserve"> </w:t>
      </w:r>
      <w:r>
        <w:t>For</w:t>
      </w:r>
      <w:r>
        <w:rPr>
          <w:spacing w:val="-3"/>
        </w:rPr>
        <w:t xml:space="preserve"> </w:t>
      </w:r>
      <w:r>
        <w:t xml:space="preserve">those that choose to implement this voluntary policy, the most current information available for calendar year 2022 showed that it resulted in an average of 22,498 disenrollments each month and an average of 4,566 requests for reinstatement per month, or </w:t>
      </w:r>
      <w:r>
        <w:rPr>
          <w:b/>
        </w:rPr>
        <w:t>54,789 requests annually</w:t>
      </w:r>
      <w:r>
        <w:t>.</w:t>
      </w:r>
    </w:p>
    <w:p w:rsidR="0022602E" w14:paraId="0E9BEE22" w14:textId="77777777">
      <w:pPr>
        <w:pStyle w:val="BodyText"/>
        <w:spacing w:line="252" w:lineRule="auto"/>
        <w:ind w:left="619" w:right="63"/>
      </w:pPr>
      <w:r>
        <w:t>We attribute the change from previous estimates to be due to changes in the number of plan sponsors who choose to have a policy of involuntary disenrollment for nonpayment of premium, the number of enrollees who are delinquent in premium payment and are disenrolled, the number of disenrolled individuals who choose to request reinstatement and the</w:t>
      </w:r>
      <w:r>
        <w:rPr>
          <w:spacing w:val="-4"/>
        </w:rPr>
        <w:t xml:space="preserve"> </w:t>
      </w:r>
      <w:r>
        <w:t>number</w:t>
      </w:r>
      <w:r>
        <w:rPr>
          <w:spacing w:val="-4"/>
        </w:rPr>
        <w:t xml:space="preserve"> </w:t>
      </w:r>
      <w:r>
        <w:t>of</w:t>
      </w:r>
      <w:r>
        <w:rPr>
          <w:spacing w:val="-4"/>
        </w:rPr>
        <w:t xml:space="preserve"> </w:t>
      </w:r>
      <w:r>
        <w:t>those</w:t>
      </w:r>
      <w:r>
        <w:rPr>
          <w:spacing w:val="-4"/>
        </w:rPr>
        <w:t xml:space="preserve"> </w:t>
      </w:r>
      <w:r>
        <w:t>individuals</w:t>
      </w:r>
      <w:r>
        <w:rPr>
          <w:spacing w:val="-3"/>
        </w:rPr>
        <w:t xml:space="preserve"> </w:t>
      </w:r>
      <w:r>
        <w:t>whose</w:t>
      </w:r>
      <w:r>
        <w:rPr>
          <w:spacing w:val="-4"/>
        </w:rPr>
        <w:t xml:space="preserve"> </w:t>
      </w:r>
      <w:r>
        <w:t>circumstances</w:t>
      </w:r>
      <w:r>
        <w:rPr>
          <w:spacing w:val="-3"/>
        </w:rPr>
        <w:t xml:space="preserve"> </w:t>
      </w:r>
      <w:r>
        <w:t>are</w:t>
      </w:r>
      <w:r>
        <w:rPr>
          <w:spacing w:val="-4"/>
        </w:rPr>
        <w:t xml:space="preserve"> </w:t>
      </w:r>
      <w:r>
        <w:t>determined</w:t>
      </w:r>
      <w:r>
        <w:rPr>
          <w:spacing w:val="-3"/>
        </w:rPr>
        <w:t xml:space="preserve"> </w:t>
      </w:r>
      <w:r>
        <w:t>to</w:t>
      </w:r>
      <w:r>
        <w:rPr>
          <w:spacing w:val="-3"/>
        </w:rPr>
        <w:t xml:space="preserve"> </w:t>
      </w:r>
      <w:r>
        <w:t>meet</w:t>
      </w:r>
      <w:r>
        <w:rPr>
          <w:spacing w:val="-3"/>
        </w:rPr>
        <w:t xml:space="preserve"> </w:t>
      </w:r>
      <w:r>
        <w:t>CMS</w:t>
      </w:r>
      <w:r>
        <w:rPr>
          <w:spacing w:val="-3"/>
        </w:rPr>
        <w:t xml:space="preserve"> </w:t>
      </w:r>
      <w:r>
        <w:t>criteria</w:t>
      </w:r>
      <w:r>
        <w:rPr>
          <w:spacing w:val="-4"/>
        </w:rPr>
        <w:t xml:space="preserve"> </w:t>
      </w:r>
      <w:r>
        <w:t xml:space="preserve">for </w:t>
      </w:r>
      <w:r>
        <w:rPr>
          <w:spacing w:val="-2"/>
        </w:rPr>
        <w:t>reinstatement.</w:t>
      </w:r>
    </w:p>
    <w:p w:rsidR="0022602E" w14:paraId="0F0B35EB" w14:textId="77777777">
      <w:pPr>
        <w:pStyle w:val="BodyText"/>
        <w:spacing w:before="26"/>
      </w:pPr>
    </w:p>
    <w:p w:rsidR="0022602E" w14:paraId="3C202840" w14:textId="77777777">
      <w:pPr>
        <w:pStyle w:val="BodyText"/>
        <w:spacing w:line="256" w:lineRule="auto"/>
        <w:ind w:left="628" w:right="246" w:hanging="10"/>
        <w:jc w:val="both"/>
      </w:pPr>
      <w:r>
        <w:t>Beneficiaries</w:t>
      </w:r>
      <w:r>
        <w:rPr>
          <w:spacing w:val="-2"/>
        </w:rPr>
        <w:t xml:space="preserve"> </w:t>
      </w:r>
      <w:r>
        <w:t>that</w:t>
      </w:r>
      <w:r>
        <w:rPr>
          <w:spacing w:val="-2"/>
        </w:rPr>
        <w:t xml:space="preserve"> </w:t>
      </w:r>
      <w:r>
        <w:t>are</w:t>
      </w:r>
      <w:r>
        <w:rPr>
          <w:spacing w:val="-3"/>
        </w:rPr>
        <w:t xml:space="preserve"> </w:t>
      </w:r>
      <w:r>
        <w:t>disenrolled</w:t>
      </w:r>
      <w:r>
        <w:rPr>
          <w:spacing w:val="-2"/>
        </w:rPr>
        <w:t xml:space="preserve"> </w:t>
      </w:r>
      <w:r>
        <w:t>for</w:t>
      </w:r>
      <w:r>
        <w:rPr>
          <w:spacing w:val="-3"/>
        </w:rPr>
        <w:t xml:space="preserve"> </w:t>
      </w:r>
      <w:r>
        <w:t>nonpayment of</w:t>
      </w:r>
      <w:r>
        <w:rPr>
          <w:spacing w:val="-3"/>
        </w:rPr>
        <w:t xml:space="preserve"> </w:t>
      </w:r>
      <w:r>
        <w:t>premiums</w:t>
      </w:r>
      <w:r>
        <w:rPr>
          <w:spacing w:val="-2"/>
        </w:rPr>
        <w:t xml:space="preserve"> </w:t>
      </w:r>
      <w:r>
        <w:t>must</w:t>
      </w:r>
      <w:r>
        <w:rPr>
          <w:spacing w:val="-2"/>
        </w:rPr>
        <w:t xml:space="preserve"> </w:t>
      </w:r>
      <w:r>
        <w:t>request</w:t>
      </w:r>
      <w:r>
        <w:rPr>
          <w:spacing w:val="-2"/>
        </w:rPr>
        <w:t xml:space="preserve"> </w:t>
      </w:r>
      <w:r>
        <w:t>to</w:t>
      </w:r>
      <w:r>
        <w:rPr>
          <w:spacing w:val="-2"/>
        </w:rPr>
        <w:t xml:space="preserve"> </w:t>
      </w:r>
      <w:r>
        <w:t>be</w:t>
      </w:r>
      <w:r>
        <w:rPr>
          <w:spacing w:val="-3"/>
        </w:rPr>
        <w:t xml:space="preserve"> </w:t>
      </w:r>
      <w:r>
        <w:t>reinstated on</w:t>
      </w:r>
      <w:r>
        <w:rPr>
          <w:spacing w:val="-3"/>
        </w:rPr>
        <w:t xml:space="preserve"> </w:t>
      </w:r>
      <w:r>
        <w:t>the</w:t>
      </w:r>
      <w:r>
        <w:rPr>
          <w:spacing w:val="-3"/>
        </w:rPr>
        <w:t xml:space="preserve"> </w:t>
      </w:r>
      <w:r>
        <w:t>basis</w:t>
      </w:r>
      <w:r>
        <w:rPr>
          <w:spacing w:val="-3"/>
        </w:rPr>
        <w:t xml:space="preserve"> </w:t>
      </w:r>
      <w:r>
        <w:t>of</w:t>
      </w:r>
      <w:r>
        <w:rPr>
          <w:spacing w:val="-3"/>
        </w:rPr>
        <w:t xml:space="preserve"> </w:t>
      </w:r>
      <w:r>
        <w:t>good</w:t>
      </w:r>
      <w:r>
        <w:rPr>
          <w:spacing w:val="-3"/>
        </w:rPr>
        <w:t xml:space="preserve"> </w:t>
      </w:r>
      <w:r>
        <w:t>cause.</w:t>
      </w:r>
      <w:r>
        <w:rPr>
          <w:spacing w:val="40"/>
        </w:rPr>
        <w:t xml:space="preserve"> </w:t>
      </w:r>
      <w:r>
        <w:t>For</w:t>
      </w:r>
      <w:r>
        <w:rPr>
          <w:spacing w:val="-3"/>
        </w:rPr>
        <w:t xml:space="preserve"> </w:t>
      </w:r>
      <w:r>
        <w:t>those</w:t>
      </w:r>
      <w:r>
        <w:rPr>
          <w:spacing w:val="-2"/>
        </w:rPr>
        <w:t xml:space="preserve"> </w:t>
      </w:r>
      <w:r>
        <w:t>who</w:t>
      </w:r>
      <w:r>
        <w:rPr>
          <w:spacing w:val="-3"/>
        </w:rPr>
        <w:t xml:space="preserve"> </w:t>
      </w:r>
      <w:r>
        <w:t>make</w:t>
      </w:r>
      <w:r>
        <w:rPr>
          <w:spacing w:val="-3"/>
        </w:rPr>
        <w:t xml:space="preserve"> </w:t>
      </w:r>
      <w:r>
        <w:t>such</w:t>
      </w:r>
      <w:r>
        <w:rPr>
          <w:spacing w:val="-3"/>
        </w:rPr>
        <w:t xml:space="preserve"> </w:t>
      </w:r>
      <w:r>
        <w:t>requests,</w:t>
      </w:r>
      <w:r>
        <w:rPr>
          <w:spacing w:val="-3"/>
        </w:rPr>
        <w:t xml:space="preserve"> </w:t>
      </w:r>
      <w:r>
        <w:t>we</w:t>
      </w:r>
      <w:r>
        <w:rPr>
          <w:spacing w:val="-3"/>
        </w:rPr>
        <w:t xml:space="preserve"> </w:t>
      </w:r>
      <w:r>
        <w:t>estimate</w:t>
      </w:r>
      <w:r>
        <w:rPr>
          <w:spacing w:val="-2"/>
        </w:rPr>
        <w:t xml:space="preserve"> </w:t>
      </w:r>
      <w:r>
        <w:t>that</w:t>
      </w:r>
      <w:r>
        <w:rPr>
          <w:spacing w:val="-3"/>
        </w:rPr>
        <w:t xml:space="preserve"> </w:t>
      </w:r>
      <w:r>
        <w:t>the</w:t>
      </w:r>
      <w:r>
        <w:rPr>
          <w:spacing w:val="-3"/>
        </w:rPr>
        <w:t xml:space="preserve"> </w:t>
      </w:r>
      <w:r>
        <w:t>average completion time is 10 minutes.</w:t>
      </w:r>
    </w:p>
    <w:p w:rsidR="0022602E" w14:paraId="38B4FBB6" w14:textId="77777777">
      <w:pPr>
        <w:pStyle w:val="BodyText"/>
        <w:spacing w:before="21"/>
      </w:pPr>
    </w:p>
    <w:p w:rsidR="0022602E" w14:paraId="12295481" w14:textId="77777777">
      <w:pPr>
        <w:pStyle w:val="BodyText"/>
        <w:ind w:left="602"/>
        <w:jc w:val="both"/>
      </w:pPr>
      <w:r>
        <w:t>The</w:t>
      </w:r>
      <w:r>
        <w:rPr>
          <w:spacing w:val="-2"/>
        </w:rPr>
        <w:t xml:space="preserve"> </w:t>
      </w:r>
      <w:r>
        <w:t>burden</w:t>
      </w:r>
      <w:r>
        <w:rPr>
          <w:spacing w:val="-1"/>
        </w:rPr>
        <w:t xml:space="preserve"> </w:t>
      </w:r>
      <w:r>
        <w:t>to</w:t>
      </w:r>
      <w:r>
        <w:rPr>
          <w:spacing w:val="-1"/>
        </w:rPr>
        <w:t xml:space="preserve"> </w:t>
      </w:r>
      <w:r>
        <w:t>beneficiaries</w:t>
      </w:r>
      <w:r>
        <w:rPr>
          <w:spacing w:val="-1"/>
        </w:rPr>
        <w:t xml:space="preserve"> </w:t>
      </w:r>
      <w:r>
        <w:t>is</w:t>
      </w:r>
      <w:r>
        <w:rPr>
          <w:spacing w:val="-1"/>
        </w:rPr>
        <w:t xml:space="preserve"> </w:t>
      </w:r>
      <w:r>
        <w:t>computed</w:t>
      </w:r>
      <w:r>
        <w:rPr>
          <w:spacing w:val="-1"/>
        </w:rPr>
        <w:t xml:space="preserve"> </w:t>
      </w:r>
      <w:r>
        <w:t>as</w:t>
      </w:r>
      <w:r>
        <w:rPr>
          <w:spacing w:val="-1"/>
        </w:rPr>
        <w:t xml:space="preserve"> </w:t>
      </w:r>
      <w:r>
        <w:rPr>
          <w:spacing w:val="-2"/>
        </w:rPr>
        <w:t>follows:</w:t>
      </w:r>
    </w:p>
    <w:p w:rsidR="0022602E" w14:paraId="569B951B" w14:textId="77777777">
      <w:pPr>
        <w:pStyle w:val="BodyText"/>
        <w:spacing w:before="137" w:line="254" w:lineRule="auto"/>
        <w:ind w:left="619"/>
      </w:pPr>
      <w:r>
        <w:t>There</w:t>
      </w:r>
      <w:r>
        <w:rPr>
          <w:spacing w:val="-3"/>
        </w:rPr>
        <w:t xml:space="preserve"> </w:t>
      </w:r>
      <w:r>
        <w:t>are</w:t>
      </w:r>
      <w:r>
        <w:rPr>
          <w:spacing w:val="-4"/>
        </w:rPr>
        <w:t xml:space="preserve"> </w:t>
      </w:r>
      <w:r>
        <w:t>54,789</w:t>
      </w:r>
      <w:r>
        <w:rPr>
          <w:spacing w:val="-2"/>
        </w:rPr>
        <w:t xml:space="preserve"> </w:t>
      </w:r>
      <w:r>
        <w:t>respondents</w:t>
      </w:r>
      <w:r>
        <w:rPr>
          <w:spacing w:val="-4"/>
        </w:rPr>
        <w:t xml:space="preserve"> </w:t>
      </w:r>
      <w:r>
        <w:t>taking</w:t>
      </w:r>
      <w:r>
        <w:rPr>
          <w:spacing w:val="-4"/>
        </w:rPr>
        <w:t xml:space="preserve"> </w:t>
      </w:r>
      <w:r>
        <w:t>10</w:t>
      </w:r>
      <w:r>
        <w:rPr>
          <w:spacing w:val="-4"/>
        </w:rPr>
        <w:t xml:space="preserve"> </w:t>
      </w:r>
      <w:r>
        <w:t>minutes</w:t>
      </w:r>
      <w:r>
        <w:rPr>
          <w:spacing w:val="-4"/>
        </w:rPr>
        <w:t xml:space="preserve"> </w:t>
      </w:r>
      <w:r>
        <w:t>per</w:t>
      </w:r>
      <w:r>
        <w:rPr>
          <w:spacing w:val="-4"/>
        </w:rPr>
        <w:t xml:space="preserve"> </w:t>
      </w:r>
      <w:r>
        <w:t>response.</w:t>
      </w:r>
      <w:r>
        <w:rPr>
          <w:spacing w:val="-4"/>
        </w:rPr>
        <w:t xml:space="preserve"> </w:t>
      </w:r>
      <w:r>
        <w:t>54,789</w:t>
      </w:r>
      <w:r>
        <w:rPr>
          <w:spacing w:val="-4"/>
        </w:rPr>
        <w:t xml:space="preserve"> </w:t>
      </w:r>
      <w:r>
        <w:t>x</w:t>
      </w:r>
      <w:r>
        <w:rPr>
          <w:spacing w:val="-4"/>
        </w:rPr>
        <w:t xml:space="preserve"> </w:t>
      </w:r>
      <w:r>
        <w:t>0.166</w:t>
      </w:r>
      <w:r>
        <w:rPr>
          <w:spacing w:val="-4"/>
        </w:rPr>
        <w:t xml:space="preserve"> </w:t>
      </w:r>
      <w:r>
        <w:t>hours</w:t>
      </w:r>
      <w:r>
        <w:rPr>
          <w:spacing w:val="-4"/>
        </w:rPr>
        <w:t xml:space="preserve"> </w:t>
      </w:r>
      <w:r>
        <w:t xml:space="preserve">(10 minutes) = 9,094.97 total burden hours, rounded to </w:t>
      </w:r>
      <w:r>
        <w:rPr>
          <w:b/>
        </w:rPr>
        <w:t>9,095 hours annually</w:t>
      </w:r>
      <w:r>
        <w:t>.</w:t>
      </w:r>
    </w:p>
    <w:p w:rsidR="002A493F" w14:paraId="7010D555" w14:textId="77777777">
      <w:pPr>
        <w:pStyle w:val="BodyText"/>
        <w:spacing w:line="259" w:lineRule="auto"/>
        <w:ind w:left="619" w:right="74"/>
      </w:pPr>
    </w:p>
    <w:p w:rsidR="0022602E" w14:paraId="7AA95D63" w14:textId="77E38FCE">
      <w:pPr>
        <w:pStyle w:val="BodyText"/>
        <w:spacing w:line="259" w:lineRule="auto"/>
        <w:ind w:left="619" w:right="74"/>
      </w:pPr>
      <w:r>
        <w:t xml:space="preserve">While there may be some cost to the respondents, there are individuals completing this form who are working currently, may not be working currently or never worked. Therefore, we used the current federal minimum wage outlined by the U.S. Department of Labor </w:t>
      </w:r>
      <w:hyperlink r:id="rId8">
        <w:r>
          <w:rPr>
            <w:rFonts w:ascii="Calibri"/>
            <w:sz w:val="22"/>
          </w:rPr>
          <w:t>(</w:t>
        </w:r>
      </w:hyperlink>
      <w:hyperlink r:id="rId8">
        <w:r>
          <w:rPr>
            <w:color w:val="0561C1"/>
            <w:u w:val="single" w:color="0561C1"/>
          </w:rPr>
          <w:t>https://www.dol.gov/whd/minimumwage.ht</w:t>
        </w:r>
      </w:hyperlink>
      <w:hyperlink r:id="rId8">
        <w:r>
          <w:rPr>
            <w:color w:val="0561C1"/>
            <w:u w:val="single" w:color="0561C1"/>
          </w:rPr>
          <w:t>m</w:t>
        </w:r>
      </w:hyperlink>
      <w:hyperlink r:id="rId8">
        <w:r>
          <w:t>).</w:t>
        </w:r>
      </w:hyperlink>
      <w:r>
        <w:rPr>
          <w:spacing w:val="40"/>
        </w:rPr>
        <w:t xml:space="preserve"> </w:t>
      </w:r>
      <w:r>
        <w:t>The</w:t>
      </w:r>
      <w:r>
        <w:rPr>
          <w:spacing w:val="-1"/>
        </w:rPr>
        <w:t xml:space="preserve"> </w:t>
      </w:r>
      <w:r>
        <w:t>burden for</w:t>
      </w:r>
      <w:r>
        <w:rPr>
          <w:spacing w:val="-1"/>
        </w:rPr>
        <w:t xml:space="preserve"> </w:t>
      </w:r>
      <w:r>
        <w:t>all beneficiaries is estimated at</w:t>
      </w:r>
      <w:r>
        <w:rPr>
          <w:spacing w:val="-2"/>
        </w:rPr>
        <w:t xml:space="preserve"> </w:t>
      </w:r>
      <w:r>
        <w:t>9,095</w:t>
      </w:r>
      <w:r>
        <w:rPr>
          <w:spacing w:val="-2"/>
        </w:rPr>
        <w:t xml:space="preserve"> </w:t>
      </w:r>
      <w:r>
        <w:t>hours</w:t>
      </w:r>
      <w:r>
        <w:rPr>
          <w:spacing w:val="-2"/>
        </w:rPr>
        <w:t xml:space="preserve"> </w:t>
      </w:r>
      <w:r>
        <w:t>(54,789</w:t>
      </w:r>
      <w:r>
        <w:rPr>
          <w:spacing w:val="-2"/>
        </w:rPr>
        <w:t xml:space="preserve"> </w:t>
      </w:r>
      <w:r>
        <w:t>beneficiaries</w:t>
      </w:r>
      <w:r>
        <w:rPr>
          <w:spacing w:val="-2"/>
        </w:rPr>
        <w:t xml:space="preserve"> </w:t>
      </w:r>
      <w:r>
        <w:t>x</w:t>
      </w:r>
      <w:r>
        <w:rPr>
          <w:spacing w:val="-2"/>
        </w:rPr>
        <w:t xml:space="preserve"> </w:t>
      </w:r>
      <w:r>
        <w:t>0.166</w:t>
      </w:r>
      <w:r>
        <w:rPr>
          <w:spacing w:val="-2"/>
        </w:rPr>
        <w:t xml:space="preserve"> </w:t>
      </w:r>
      <w:r>
        <w:t>hr)</w:t>
      </w:r>
      <w:r>
        <w:rPr>
          <w:spacing w:val="-3"/>
        </w:rPr>
        <w:t xml:space="preserve"> </w:t>
      </w:r>
      <w:r>
        <w:t>at a</w:t>
      </w:r>
      <w:r>
        <w:rPr>
          <w:spacing w:val="-3"/>
        </w:rPr>
        <w:t xml:space="preserve"> </w:t>
      </w:r>
      <w:r>
        <w:t>cost</w:t>
      </w:r>
      <w:r>
        <w:rPr>
          <w:spacing w:val="-2"/>
        </w:rPr>
        <w:t xml:space="preserve"> </w:t>
      </w:r>
      <w:r>
        <w:t>of</w:t>
      </w:r>
      <w:r>
        <w:rPr>
          <w:spacing w:val="-3"/>
        </w:rPr>
        <w:t xml:space="preserve"> </w:t>
      </w:r>
      <w:r>
        <w:t>$65,938.75</w:t>
      </w:r>
      <w:r>
        <w:rPr>
          <w:spacing w:val="-2"/>
        </w:rPr>
        <w:t xml:space="preserve"> </w:t>
      </w:r>
      <w:r>
        <w:t>(9,095</w:t>
      </w:r>
      <w:r>
        <w:rPr>
          <w:spacing w:val="-2"/>
        </w:rPr>
        <w:t xml:space="preserve"> </w:t>
      </w:r>
      <w:r>
        <w:t>hrs</w:t>
      </w:r>
      <w:r>
        <w:rPr>
          <w:spacing w:val="-2"/>
        </w:rPr>
        <w:t xml:space="preserve"> </w:t>
      </w:r>
      <w:r>
        <w:t>x</w:t>
      </w:r>
      <w:r>
        <w:rPr>
          <w:spacing w:val="-2"/>
        </w:rPr>
        <w:t xml:space="preserve"> </w:t>
      </w:r>
      <w:r>
        <w:t>$7.25/hr) or $1.20 per beneficiary ($65,938.75 / 54,789 beneficiaries).</w:t>
      </w:r>
    </w:p>
    <w:p w:rsidR="0022602E" w14:paraId="4E709906" w14:textId="77777777">
      <w:pPr>
        <w:pStyle w:val="BodyText"/>
        <w:spacing w:before="26"/>
      </w:pPr>
    </w:p>
    <w:p w:rsidR="0022602E" w14:paraId="50AB50F9" w14:textId="77777777">
      <w:pPr>
        <w:pStyle w:val="BodyText"/>
        <w:spacing w:line="254" w:lineRule="auto"/>
        <w:ind w:left="628" w:right="34" w:hanging="10"/>
      </w:pPr>
      <w:r>
        <w:t>An</w:t>
      </w:r>
      <w:r>
        <w:rPr>
          <w:spacing w:val="-2"/>
        </w:rPr>
        <w:t xml:space="preserve"> </w:t>
      </w:r>
      <w:r>
        <w:t>entity</w:t>
      </w:r>
      <w:r>
        <w:rPr>
          <w:spacing w:val="-2"/>
        </w:rPr>
        <w:t xml:space="preserve"> </w:t>
      </w:r>
      <w:r>
        <w:t>operating</w:t>
      </w:r>
      <w:r>
        <w:rPr>
          <w:spacing w:val="-2"/>
        </w:rPr>
        <w:t xml:space="preserve"> </w:t>
      </w:r>
      <w:r>
        <w:t>a</w:t>
      </w:r>
      <w:r>
        <w:rPr>
          <w:spacing w:val="-3"/>
        </w:rPr>
        <w:t xml:space="preserve"> </w:t>
      </w:r>
      <w:r>
        <w:t>cost</w:t>
      </w:r>
      <w:r>
        <w:rPr>
          <w:spacing w:val="-2"/>
        </w:rPr>
        <w:t xml:space="preserve"> </w:t>
      </w:r>
      <w:r>
        <w:t>plan,</w:t>
      </w:r>
      <w:r>
        <w:rPr>
          <w:spacing w:val="-2"/>
        </w:rPr>
        <w:t xml:space="preserve"> </w:t>
      </w:r>
      <w:r>
        <w:t>an</w:t>
      </w:r>
      <w:r>
        <w:rPr>
          <w:spacing w:val="-2"/>
        </w:rPr>
        <w:t xml:space="preserve"> </w:t>
      </w:r>
      <w:r>
        <w:t>MA</w:t>
      </w:r>
      <w:r>
        <w:rPr>
          <w:spacing w:val="-3"/>
        </w:rPr>
        <w:t xml:space="preserve"> </w:t>
      </w:r>
      <w:r>
        <w:t>organization,</w:t>
      </w:r>
      <w:r>
        <w:rPr>
          <w:spacing w:val="-2"/>
        </w:rPr>
        <w:t xml:space="preserve"> </w:t>
      </w:r>
      <w:r>
        <w:t>or</w:t>
      </w:r>
      <w:r>
        <w:rPr>
          <w:spacing w:val="-3"/>
        </w:rPr>
        <w:t xml:space="preserve"> </w:t>
      </w:r>
      <w:r>
        <w:t>a</w:t>
      </w:r>
      <w:r>
        <w:rPr>
          <w:spacing w:val="-3"/>
        </w:rPr>
        <w:t xml:space="preserve"> </w:t>
      </w:r>
      <w:r>
        <w:t>Part</w:t>
      </w:r>
      <w:r>
        <w:rPr>
          <w:spacing w:val="-2"/>
        </w:rPr>
        <w:t xml:space="preserve"> </w:t>
      </w:r>
      <w:r>
        <w:t>D</w:t>
      </w:r>
      <w:r>
        <w:rPr>
          <w:spacing w:val="-3"/>
        </w:rPr>
        <w:t xml:space="preserve"> </w:t>
      </w:r>
      <w:r>
        <w:t>plan</w:t>
      </w:r>
      <w:r>
        <w:rPr>
          <w:spacing w:val="-2"/>
        </w:rPr>
        <w:t xml:space="preserve"> </w:t>
      </w:r>
      <w:r>
        <w:t>sponsor</w:t>
      </w:r>
      <w:r>
        <w:rPr>
          <w:spacing w:val="-3"/>
        </w:rPr>
        <w:t xml:space="preserve"> </w:t>
      </w:r>
      <w:r>
        <w:t>that</w:t>
      </w:r>
      <w:r>
        <w:rPr>
          <w:spacing w:val="-2"/>
        </w:rPr>
        <w:t xml:space="preserve"> </w:t>
      </w:r>
      <w:r>
        <w:t>has</w:t>
      </w:r>
      <w:r>
        <w:rPr>
          <w:spacing w:val="-2"/>
        </w:rPr>
        <w:t xml:space="preserve"> </w:t>
      </w:r>
      <w:r>
        <w:t>a</w:t>
      </w:r>
      <w:r>
        <w:rPr>
          <w:spacing w:val="-3"/>
        </w:rPr>
        <w:t xml:space="preserve"> </w:t>
      </w:r>
      <w:r>
        <w:t>policy of involuntary disenrollment for failure to pay plan premium and is therefore responsible for implementing the good cause process, already has the enrollment data necessary to make the determinations required by the process.</w:t>
      </w:r>
      <w:r>
        <w:rPr>
          <w:spacing w:val="40"/>
        </w:rPr>
        <w:t xml:space="preserve"> </w:t>
      </w:r>
      <w:r>
        <w:t>The burden to each plan consists of completing the operational process, such as receiving requests for reinstatement from former members, obtaining the attestation from the individual regarding his or her reason for not paying the</w:t>
      </w:r>
      <w:r>
        <w:rPr>
          <w:spacing w:val="40"/>
        </w:rPr>
        <w:t xml:space="preserve"> </w:t>
      </w:r>
      <w:r>
        <w:t>plan premiums within the</w:t>
      </w:r>
      <w:r>
        <w:rPr>
          <w:spacing w:val="-1"/>
        </w:rPr>
        <w:t xml:space="preserve"> </w:t>
      </w:r>
      <w:r>
        <w:t>grace</w:t>
      </w:r>
      <w:r>
        <w:rPr>
          <w:spacing w:val="-1"/>
        </w:rPr>
        <w:t xml:space="preserve"> </w:t>
      </w:r>
      <w:r>
        <w:t>period, making the</w:t>
      </w:r>
      <w:r>
        <w:rPr>
          <w:spacing w:val="-1"/>
        </w:rPr>
        <w:t xml:space="preserve"> </w:t>
      </w:r>
      <w:r>
        <w:t>determination as to whether</w:t>
      </w:r>
      <w:r>
        <w:rPr>
          <w:spacing w:val="-1"/>
        </w:rPr>
        <w:t xml:space="preserve"> </w:t>
      </w:r>
      <w:r>
        <w:t>the</w:t>
      </w:r>
      <w:r>
        <w:rPr>
          <w:spacing w:val="-1"/>
        </w:rPr>
        <w:t xml:space="preserve"> </w:t>
      </w:r>
      <w:r>
        <w:t>individual meets the good cause criteria, submitting the reinstatement action to CMS once full payment</w:t>
      </w:r>
    </w:p>
    <w:p w:rsidR="0022602E" w:rsidP="00F82DFB" w14:paraId="6EFFA8B4" w14:textId="662577B0">
      <w:pPr>
        <w:pStyle w:val="BodyText"/>
        <w:spacing w:line="254" w:lineRule="auto"/>
        <w:ind w:left="600"/>
      </w:pPr>
      <w:r>
        <w:t>of</w:t>
      </w:r>
      <w:r>
        <w:rPr>
          <w:spacing w:val="-4"/>
        </w:rPr>
        <w:t xml:space="preserve"> </w:t>
      </w:r>
      <w:r>
        <w:t>arrearages</w:t>
      </w:r>
      <w:r>
        <w:rPr>
          <w:spacing w:val="-3"/>
        </w:rPr>
        <w:t xml:space="preserve"> </w:t>
      </w:r>
      <w:r>
        <w:t>is</w:t>
      </w:r>
      <w:r>
        <w:rPr>
          <w:spacing w:val="-3"/>
        </w:rPr>
        <w:t xml:space="preserve"> </w:t>
      </w:r>
      <w:r>
        <w:t>made and</w:t>
      </w:r>
      <w:r>
        <w:rPr>
          <w:spacing w:val="-3"/>
        </w:rPr>
        <w:t xml:space="preserve"> </w:t>
      </w:r>
      <w:r>
        <w:t>maintaining</w:t>
      </w:r>
      <w:r>
        <w:rPr>
          <w:spacing w:val="-3"/>
        </w:rPr>
        <w:t xml:space="preserve"> </w:t>
      </w:r>
      <w:r>
        <w:t>the</w:t>
      </w:r>
      <w:r>
        <w:rPr>
          <w:spacing w:val="-4"/>
        </w:rPr>
        <w:t xml:space="preserve"> </w:t>
      </w:r>
      <w:r>
        <w:t>case</w:t>
      </w:r>
      <w:r>
        <w:rPr>
          <w:spacing w:val="-4"/>
        </w:rPr>
        <w:t xml:space="preserve"> </w:t>
      </w:r>
      <w:r>
        <w:t>notes</w:t>
      </w:r>
      <w:r>
        <w:rPr>
          <w:spacing w:val="-3"/>
        </w:rPr>
        <w:t xml:space="preserve"> </w:t>
      </w:r>
      <w:r>
        <w:t>and</w:t>
      </w:r>
      <w:r>
        <w:rPr>
          <w:spacing w:val="-3"/>
        </w:rPr>
        <w:t xml:space="preserve"> </w:t>
      </w:r>
      <w:r>
        <w:t>documentation</w:t>
      </w:r>
      <w:r>
        <w:rPr>
          <w:spacing w:val="-3"/>
        </w:rPr>
        <w:t xml:space="preserve"> </w:t>
      </w:r>
      <w:r>
        <w:t>to</w:t>
      </w:r>
      <w:r>
        <w:rPr>
          <w:spacing w:val="-1"/>
        </w:rPr>
        <w:t xml:space="preserve"> </w:t>
      </w:r>
      <w:r>
        <w:t>support</w:t>
      </w:r>
      <w:r>
        <w:rPr>
          <w:spacing w:val="-3"/>
        </w:rPr>
        <w:t xml:space="preserve"> </w:t>
      </w:r>
      <w:r>
        <w:t xml:space="preserve">its </w:t>
      </w:r>
      <w:r w:rsidR="00F82DFB">
        <w:t xml:space="preserve">      </w:t>
      </w:r>
      <w:r>
        <w:rPr>
          <w:spacing w:val="-2"/>
        </w:rPr>
        <w:t>determination.</w:t>
      </w:r>
    </w:p>
    <w:p w:rsidR="0022602E" w14:paraId="60F7E1BF" w14:textId="77777777">
      <w:pPr>
        <w:pStyle w:val="BodyText"/>
        <w:spacing w:before="29"/>
      </w:pPr>
    </w:p>
    <w:p w:rsidR="0022602E" w14:paraId="209C4D02" w14:textId="77777777">
      <w:pPr>
        <w:pStyle w:val="BodyText"/>
        <w:spacing w:line="254" w:lineRule="auto"/>
        <w:ind w:left="628" w:hanging="10"/>
      </w:pPr>
      <w:r>
        <w:t>Plans already provide customer service to their current and past members; therefore, we estimate</w:t>
      </w:r>
      <w:r>
        <w:rPr>
          <w:spacing w:val="-4"/>
        </w:rPr>
        <w:t xml:space="preserve"> </w:t>
      </w:r>
      <w:r>
        <w:t>that</w:t>
      </w:r>
      <w:r>
        <w:rPr>
          <w:spacing w:val="-3"/>
        </w:rPr>
        <w:t xml:space="preserve"> </w:t>
      </w:r>
      <w:r>
        <w:t>this</w:t>
      </w:r>
      <w:r>
        <w:rPr>
          <w:spacing w:val="-3"/>
        </w:rPr>
        <w:t xml:space="preserve"> </w:t>
      </w:r>
      <w:r>
        <w:t>burden</w:t>
      </w:r>
      <w:r>
        <w:rPr>
          <w:spacing w:val="-3"/>
        </w:rPr>
        <w:t xml:space="preserve"> </w:t>
      </w:r>
      <w:r>
        <w:t>would</w:t>
      </w:r>
      <w:r>
        <w:rPr>
          <w:spacing w:val="-3"/>
        </w:rPr>
        <w:t xml:space="preserve"> </w:t>
      </w:r>
      <w:r>
        <w:t>be</w:t>
      </w:r>
      <w:r>
        <w:rPr>
          <w:spacing w:val="-4"/>
        </w:rPr>
        <w:t xml:space="preserve"> </w:t>
      </w:r>
      <w:r>
        <w:t>approximately</w:t>
      </w:r>
      <w:r>
        <w:rPr>
          <w:spacing w:val="-1"/>
        </w:rPr>
        <w:t xml:space="preserve"> </w:t>
      </w:r>
      <w:r>
        <w:t>30</w:t>
      </w:r>
      <w:r>
        <w:rPr>
          <w:spacing w:val="-3"/>
        </w:rPr>
        <w:t xml:space="preserve"> </w:t>
      </w:r>
      <w:r>
        <w:t>minutes</w:t>
      </w:r>
      <w:r>
        <w:rPr>
          <w:spacing w:val="-3"/>
        </w:rPr>
        <w:t xml:space="preserve"> </w:t>
      </w:r>
      <w:r>
        <w:t>for</w:t>
      </w:r>
      <w:r>
        <w:rPr>
          <w:spacing w:val="-4"/>
        </w:rPr>
        <w:t xml:space="preserve"> </w:t>
      </w:r>
      <w:r>
        <w:t>each</w:t>
      </w:r>
      <w:r>
        <w:rPr>
          <w:spacing w:val="-1"/>
        </w:rPr>
        <w:t xml:space="preserve"> </w:t>
      </w:r>
      <w:r>
        <w:t>reinstatement</w:t>
      </w:r>
      <w:r>
        <w:rPr>
          <w:spacing w:val="-3"/>
        </w:rPr>
        <w:t xml:space="preserve"> </w:t>
      </w:r>
      <w:r>
        <w:t>request. There</w:t>
      </w:r>
      <w:r>
        <w:rPr>
          <w:spacing w:val="-2"/>
        </w:rPr>
        <w:t xml:space="preserve"> </w:t>
      </w:r>
      <w:r>
        <w:t>are</w:t>
      </w:r>
      <w:r>
        <w:rPr>
          <w:spacing w:val="-4"/>
        </w:rPr>
        <w:t xml:space="preserve"> </w:t>
      </w:r>
      <w:r>
        <w:t>184</w:t>
      </w:r>
      <w:r>
        <w:rPr>
          <w:spacing w:val="-3"/>
        </w:rPr>
        <w:t xml:space="preserve"> </w:t>
      </w:r>
      <w:r>
        <w:t>MA,</w:t>
      </w:r>
      <w:r>
        <w:rPr>
          <w:spacing w:val="-3"/>
        </w:rPr>
        <w:t xml:space="preserve"> </w:t>
      </w:r>
      <w:r>
        <w:t>Part</w:t>
      </w:r>
      <w:r>
        <w:rPr>
          <w:spacing w:val="-1"/>
        </w:rPr>
        <w:t xml:space="preserve"> </w:t>
      </w:r>
      <w:r>
        <w:t>D</w:t>
      </w:r>
      <w:r>
        <w:rPr>
          <w:spacing w:val="-4"/>
        </w:rPr>
        <w:t xml:space="preserve"> </w:t>
      </w:r>
      <w:r>
        <w:t>and</w:t>
      </w:r>
      <w:r>
        <w:rPr>
          <w:spacing w:val="-3"/>
        </w:rPr>
        <w:t xml:space="preserve"> </w:t>
      </w:r>
      <w:r>
        <w:t>cost</w:t>
      </w:r>
      <w:r>
        <w:rPr>
          <w:spacing w:val="-3"/>
        </w:rPr>
        <w:t xml:space="preserve"> </w:t>
      </w:r>
      <w:r>
        <w:t>plan</w:t>
      </w:r>
      <w:r>
        <w:rPr>
          <w:spacing w:val="-3"/>
        </w:rPr>
        <w:t xml:space="preserve"> </w:t>
      </w:r>
      <w:r>
        <w:t>contracts</w:t>
      </w:r>
      <w:r>
        <w:rPr>
          <w:spacing w:val="-1"/>
        </w:rPr>
        <w:t xml:space="preserve"> </w:t>
      </w:r>
      <w:r>
        <w:t>that</w:t>
      </w:r>
      <w:r>
        <w:rPr>
          <w:spacing w:val="-3"/>
        </w:rPr>
        <w:t xml:space="preserve"> </w:t>
      </w:r>
      <w:r>
        <w:t>disenroll</w:t>
      </w:r>
      <w:r>
        <w:rPr>
          <w:spacing w:val="-3"/>
        </w:rPr>
        <w:t xml:space="preserve"> </w:t>
      </w:r>
      <w:r>
        <w:t>members</w:t>
      </w:r>
      <w:r>
        <w:rPr>
          <w:spacing w:val="-3"/>
        </w:rPr>
        <w:t xml:space="preserve"> </w:t>
      </w:r>
      <w:r>
        <w:t>for</w:t>
      </w:r>
      <w:r>
        <w:rPr>
          <w:spacing w:val="-4"/>
        </w:rPr>
        <w:t xml:space="preserve"> </w:t>
      </w:r>
      <w:r>
        <w:t>nonpayment</w:t>
      </w:r>
      <w:r>
        <w:rPr>
          <w:spacing w:val="-3"/>
        </w:rPr>
        <w:t xml:space="preserve"> </w:t>
      </w:r>
      <w:r>
        <w:t>of premiums in 2022.</w:t>
      </w:r>
      <w:r>
        <w:rPr>
          <w:spacing w:val="40"/>
        </w:rPr>
        <w:t xml:space="preserve"> </w:t>
      </w:r>
      <w:r>
        <w:t>With approximately 4,566 requests each month, or 54,789 requests annually, we estimate the burden to plans to be as follows:</w:t>
      </w:r>
    </w:p>
    <w:p w:rsidR="0022602E" w14:paraId="2742F96E" w14:textId="77777777">
      <w:pPr>
        <w:pStyle w:val="BodyText"/>
        <w:spacing w:before="30"/>
      </w:pPr>
    </w:p>
    <w:p w:rsidR="0022602E" w14:paraId="4F67B12D" w14:textId="77777777">
      <w:pPr>
        <w:pStyle w:val="BodyText"/>
        <w:spacing w:line="254" w:lineRule="auto"/>
        <w:ind w:left="602"/>
      </w:pPr>
      <w:r>
        <w:t>There</w:t>
      </w:r>
      <w:r>
        <w:rPr>
          <w:spacing w:val="-2"/>
        </w:rPr>
        <w:t xml:space="preserve"> </w:t>
      </w:r>
      <w:r>
        <w:t>are</w:t>
      </w:r>
      <w:r>
        <w:rPr>
          <w:spacing w:val="-4"/>
        </w:rPr>
        <w:t xml:space="preserve"> </w:t>
      </w:r>
      <w:r>
        <w:t>54,789</w:t>
      </w:r>
      <w:r>
        <w:rPr>
          <w:spacing w:val="-1"/>
        </w:rPr>
        <w:t xml:space="preserve"> </w:t>
      </w:r>
      <w:r>
        <w:t>responses</w:t>
      </w:r>
      <w:r>
        <w:rPr>
          <w:spacing w:val="-3"/>
        </w:rPr>
        <w:t xml:space="preserve"> </w:t>
      </w:r>
      <w:r>
        <w:t>taking</w:t>
      </w:r>
      <w:r>
        <w:rPr>
          <w:spacing w:val="-3"/>
        </w:rPr>
        <w:t xml:space="preserve"> </w:t>
      </w:r>
      <w:r>
        <w:t>30</w:t>
      </w:r>
      <w:r>
        <w:rPr>
          <w:spacing w:val="-3"/>
        </w:rPr>
        <w:t xml:space="preserve"> </w:t>
      </w:r>
      <w:r>
        <w:t>minutes</w:t>
      </w:r>
      <w:r>
        <w:rPr>
          <w:spacing w:val="-3"/>
        </w:rPr>
        <w:t xml:space="preserve"> </w:t>
      </w:r>
      <w:r>
        <w:t>per</w:t>
      </w:r>
      <w:r>
        <w:rPr>
          <w:spacing w:val="-2"/>
        </w:rPr>
        <w:t xml:space="preserve"> </w:t>
      </w:r>
      <w:r>
        <w:t>response.</w:t>
      </w:r>
      <w:r>
        <w:rPr>
          <w:spacing w:val="-3"/>
        </w:rPr>
        <w:t xml:space="preserve"> </w:t>
      </w:r>
      <w:r>
        <w:t>54,789</w:t>
      </w:r>
      <w:r>
        <w:rPr>
          <w:spacing w:val="-3"/>
        </w:rPr>
        <w:t xml:space="preserve"> </w:t>
      </w:r>
      <w:r>
        <w:t>x</w:t>
      </w:r>
      <w:r>
        <w:rPr>
          <w:spacing w:val="-3"/>
        </w:rPr>
        <w:t xml:space="preserve"> </w:t>
      </w:r>
      <w:r>
        <w:t>0.5</w:t>
      </w:r>
      <w:r>
        <w:rPr>
          <w:spacing w:val="-3"/>
        </w:rPr>
        <w:t xml:space="preserve"> </w:t>
      </w:r>
      <w:r>
        <w:t>hours</w:t>
      </w:r>
      <w:r>
        <w:rPr>
          <w:spacing w:val="-3"/>
        </w:rPr>
        <w:t xml:space="preserve"> </w:t>
      </w:r>
      <w:r>
        <w:t>(30</w:t>
      </w:r>
      <w:r>
        <w:rPr>
          <w:spacing w:val="-3"/>
        </w:rPr>
        <w:t xml:space="preserve"> </w:t>
      </w:r>
      <w:r>
        <w:t>minutes)</w:t>
      </w:r>
      <w:r>
        <w:rPr>
          <w:spacing w:val="-4"/>
        </w:rPr>
        <w:t xml:space="preserve"> </w:t>
      </w:r>
      <w:r>
        <w:t xml:space="preserve">= </w:t>
      </w:r>
      <w:r w:rsidRPr="002A493F">
        <w:rPr>
          <w:b/>
          <w:bCs/>
        </w:rPr>
        <w:t>27,395 total burden hours</w:t>
      </w:r>
      <w:r>
        <w:t xml:space="preserve"> annually or 148.89 hours per plan (27,395 / 184 plans).</w:t>
      </w:r>
    </w:p>
    <w:p w:rsidR="0022602E" w14:paraId="5804D85F" w14:textId="77777777">
      <w:pPr>
        <w:pStyle w:val="BodyText"/>
        <w:spacing w:before="27"/>
      </w:pPr>
    </w:p>
    <w:p w:rsidR="0022602E" w14:paraId="4CEDAA39" w14:textId="77777777">
      <w:pPr>
        <w:pStyle w:val="BodyText"/>
        <w:spacing w:line="252" w:lineRule="auto"/>
        <w:ind w:left="628" w:hanging="10"/>
      </w:pPr>
      <w:r>
        <w:t>According to the</w:t>
      </w:r>
      <w:r>
        <w:rPr>
          <w:spacing w:val="-1"/>
        </w:rPr>
        <w:t xml:space="preserve"> </w:t>
      </w:r>
      <w:r>
        <w:t>most recent wage</w:t>
      </w:r>
      <w:r>
        <w:rPr>
          <w:spacing w:val="-1"/>
        </w:rPr>
        <w:t xml:space="preserve"> </w:t>
      </w:r>
      <w:r>
        <w:t>data</w:t>
      </w:r>
      <w:r>
        <w:rPr>
          <w:spacing w:val="-1"/>
        </w:rPr>
        <w:t xml:space="preserve"> </w:t>
      </w:r>
      <w:r>
        <w:t>provided by the</w:t>
      </w:r>
      <w:r>
        <w:rPr>
          <w:spacing w:val="-1"/>
        </w:rPr>
        <w:t xml:space="preserve"> </w:t>
      </w:r>
      <w:r>
        <w:t>Bureau of</w:t>
      </w:r>
      <w:r>
        <w:rPr>
          <w:spacing w:val="-1"/>
        </w:rPr>
        <w:t xml:space="preserve"> </w:t>
      </w:r>
      <w:r>
        <w:t>Labor</w:t>
      </w:r>
      <w:r>
        <w:rPr>
          <w:spacing w:val="-1"/>
        </w:rPr>
        <w:t xml:space="preserve"> </w:t>
      </w:r>
      <w:r>
        <w:t>Statistics (BLS)</w:t>
      </w:r>
      <w:r>
        <w:rPr>
          <w:spacing w:val="-1"/>
        </w:rPr>
        <w:t xml:space="preserve"> </w:t>
      </w:r>
      <w:r>
        <w:t>for May 2024, the median hourly wage for the category of “Business Operations Specialists, All Other” – which we believe is the most appropriate category, is $39.07 (Bureau of Labor Statistics, U.S. Department of Labor, Occupational Employment and Wages, May 2024, Project Management Specialists and Business Operations Specialists, All Other, Occupation Code</w:t>
      </w:r>
      <w:r>
        <w:rPr>
          <w:spacing w:val="-4"/>
        </w:rPr>
        <w:t xml:space="preserve"> </w:t>
      </w:r>
      <w:r>
        <w:t>13-1199,</w:t>
      </w:r>
      <w:r>
        <w:rPr>
          <w:spacing w:val="-3"/>
        </w:rPr>
        <w:t xml:space="preserve"> </w:t>
      </w:r>
      <w:r>
        <w:t>on</w:t>
      </w:r>
      <w:r>
        <w:rPr>
          <w:spacing w:val="-3"/>
        </w:rPr>
        <w:t xml:space="preserve"> </w:t>
      </w:r>
      <w:hyperlink r:id="rId9">
        <w:r>
          <w:rPr>
            <w:color w:val="0561C1"/>
            <w:u w:val="single" w:color="0561C1"/>
          </w:rPr>
          <w:t>this</w:t>
        </w:r>
        <w:r>
          <w:rPr>
            <w:color w:val="0561C1"/>
            <w:spacing w:val="-3"/>
            <w:u w:val="single" w:color="0561C1"/>
          </w:rPr>
          <w:t xml:space="preserve"> </w:t>
        </w:r>
        <w:r>
          <w:rPr>
            <w:color w:val="0561C1"/>
            <w:u w:val="single" w:color="0561C1"/>
          </w:rPr>
          <w:t>page</w:t>
        </w:r>
        <w:r>
          <w:rPr>
            <w:color w:val="0561C1"/>
            <w:spacing w:val="-4"/>
            <w:u w:val="single" w:color="0561C1"/>
          </w:rPr>
          <w:t xml:space="preserve"> </w:t>
        </w:r>
        <w:r>
          <w:rPr>
            <w:color w:val="0561C1"/>
            <w:u w:val="single" w:color="0561C1"/>
          </w:rPr>
          <w:t>of</w:t>
        </w:r>
        <w:r>
          <w:rPr>
            <w:color w:val="0561C1"/>
            <w:spacing w:val="-4"/>
            <w:u w:val="single" w:color="0561C1"/>
          </w:rPr>
          <w:t xml:space="preserve"> </w:t>
        </w:r>
        <w:r>
          <w:rPr>
            <w:color w:val="0561C1"/>
            <w:u w:val="single" w:color="0561C1"/>
          </w:rPr>
          <w:t>th</w:t>
        </w:r>
      </w:hyperlink>
      <w:hyperlink r:id="rId9">
        <w:r>
          <w:rPr>
            <w:color w:val="0561C1"/>
            <w:u w:val="single" w:color="0561C1"/>
          </w:rPr>
          <w:t>e</w:t>
        </w:r>
      </w:hyperlink>
      <w:r>
        <w:rPr>
          <w:color w:val="0561C1"/>
          <w:spacing w:val="-4"/>
        </w:rPr>
        <w:t xml:space="preserve"> </w:t>
      </w:r>
      <w:hyperlink r:id="rId9">
        <w:r>
          <w:rPr>
            <w:color w:val="0561C1"/>
            <w:u w:val="single" w:color="0561C1"/>
          </w:rPr>
          <w:t>Bureau</w:t>
        </w:r>
        <w:r>
          <w:rPr>
            <w:color w:val="0561C1"/>
            <w:spacing w:val="-3"/>
            <w:u w:val="single" w:color="0561C1"/>
          </w:rPr>
          <w:t xml:space="preserve"> </w:t>
        </w:r>
        <w:r>
          <w:rPr>
            <w:color w:val="0561C1"/>
            <w:u w:val="single" w:color="0561C1"/>
          </w:rPr>
          <w:t>o</w:t>
        </w:r>
      </w:hyperlink>
      <w:hyperlink r:id="rId9">
        <w:r>
          <w:rPr>
            <w:color w:val="0561C1"/>
            <w:u w:val="single" w:color="0561C1"/>
          </w:rPr>
          <w:t>f</w:t>
        </w:r>
      </w:hyperlink>
      <w:r>
        <w:rPr>
          <w:color w:val="0561C1"/>
          <w:spacing w:val="-4"/>
        </w:rPr>
        <w:t xml:space="preserve"> </w:t>
      </w:r>
      <w:hyperlink r:id="rId9">
        <w:r>
          <w:rPr>
            <w:color w:val="0561C1"/>
            <w:u w:val="single" w:color="0561C1"/>
          </w:rPr>
          <w:t>Labor</w:t>
        </w:r>
        <w:r>
          <w:rPr>
            <w:color w:val="0561C1"/>
            <w:spacing w:val="-4"/>
            <w:u w:val="single" w:color="0561C1"/>
          </w:rPr>
          <w:t xml:space="preserve"> </w:t>
        </w:r>
        <w:r>
          <w:rPr>
            <w:color w:val="0561C1"/>
            <w:u w:val="single" w:color="0561C1"/>
          </w:rPr>
          <w:t>Statistics</w:t>
        </w:r>
        <w:r>
          <w:rPr>
            <w:color w:val="0561C1"/>
            <w:spacing w:val="-3"/>
            <w:u w:val="single" w:color="0561C1"/>
          </w:rPr>
          <w:t xml:space="preserve"> </w:t>
        </w:r>
        <w:r>
          <w:rPr>
            <w:color w:val="0561C1"/>
            <w:u w:val="single" w:color="0561C1"/>
          </w:rPr>
          <w:t>websit</w:t>
        </w:r>
      </w:hyperlink>
      <w:hyperlink r:id="rId10">
        <w:r>
          <w:rPr>
            <w:color w:val="0561C1"/>
            <w:u w:val="single" w:color="0561C1"/>
          </w:rPr>
          <w:t>e</w:t>
        </w:r>
      </w:hyperlink>
      <w:hyperlink r:id="rId10">
        <w:r>
          <w:t>).</w:t>
        </w:r>
      </w:hyperlink>
      <w:r>
        <w:rPr>
          <w:spacing w:val="40"/>
        </w:rPr>
        <w:t xml:space="preserve"> </w:t>
      </w:r>
      <w:r>
        <w:t>We</w:t>
      </w:r>
      <w:r>
        <w:rPr>
          <w:spacing w:val="-2"/>
        </w:rPr>
        <w:t xml:space="preserve"> </w:t>
      </w:r>
      <w:r>
        <w:t>have</w:t>
      </w:r>
      <w:r>
        <w:rPr>
          <w:spacing w:val="-4"/>
        </w:rPr>
        <w:t xml:space="preserve"> </w:t>
      </w:r>
      <w:r>
        <w:t>added</w:t>
      </w:r>
      <w:r>
        <w:rPr>
          <w:spacing w:val="-3"/>
        </w:rPr>
        <w:t xml:space="preserve"> </w:t>
      </w:r>
      <w:r>
        <w:t>100% of the median hourly wage to account for fringe and overhead benefits ($39.07 + $39.07 =</w:t>
      </w:r>
    </w:p>
    <w:p w:rsidR="0022602E" w14:paraId="54A83442" w14:textId="77777777">
      <w:pPr>
        <w:pStyle w:val="BodyText"/>
        <w:spacing w:line="268" w:lineRule="exact"/>
        <w:ind w:left="628"/>
      </w:pPr>
      <w:r>
        <w:t>$78.14).</w:t>
      </w:r>
      <w:r>
        <w:rPr>
          <w:spacing w:val="58"/>
        </w:rPr>
        <w:t xml:space="preserve"> </w:t>
      </w:r>
      <w:r>
        <w:t>With</w:t>
      </w:r>
      <w:r>
        <w:rPr>
          <w:spacing w:val="-1"/>
        </w:rPr>
        <w:t xml:space="preserve"> </w:t>
      </w:r>
      <w:r>
        <w:t>fringe</w:t>
      </w:r>
      <w:r>
        <w:rPr>
          <w:spacing w:val="-2"/>
        </w:rPr>
        <w:t xml:space="preserve"> </w:t>
      </w:r>
      <w:r>
        <w:t>benefits</w:t>
      </w:r>
      <w:r>
        <w:rPr>
          <w:spacing w:val="-1"/>
        </w:rPr>
        <w:t xml:space="preserve"> </w:t>
      </w:r>
      <w:r>
        <w:t>and overhead,</w:t>
      </w:r>
      <w:r>
        <w:rPr>
          <w:spacing w:val="-1"/>
        </w:rPr>
        <w:t xml:space="preserve"> </w:t>
      </w:r>
      <w:r>
        <w:t>the</w:t>
      </w:r>
      <w:r>
        <w:rPr>
          <w:spacing w:val="-2"/>
        </w:rPr>
        <w:t xml:space="preserve"> </w:t>
      </w:r>
      <w:r>
        <w:t>hourly</w:t>
      </w:r>
      <w:r>
        <w:rPr>
          <w:spacing w:val="-1"/>
        </w:rPr>
        <w:t xml:space="preserve"> </w:t>
      </w:r>
      <w:r>
        <w:t>rate</w:t>
      </w:r>
      <w:r>
        <w:rPr>
          <w:spacing w:val="-2"/>
        </w:rPr>
        <w:t xml:space="preserve"> </w:t>
      </w:r>
      <w:r>
        <w:t xml:space="preserve">is </w:t>
      </w:r>
      <w:r>
        <w:rPr>
          <w:spacing w:val="-2"/>
        </w:rPr>
        <w:t>$78.14.</w:t>
      </w:r>
    </w:p>
    <w:p w:rsidR="0022602E" w14:paraId="53E9A2DD" w14:textId="77777777">
      <w:pPr>
        <w:pStyle w:val="BodyText"/>
        <w:spacing w:before="39"/>
      </w:pPr>
    </w:p>
    <w:p w:rsidR="0022602E" w14:paraId="4519DEC9" w14:textId="6C724C3C">
      <w:pPr>
        <w:pStyle w:val="BodyText"/>
        <w:spacing w:line="254" w:lineRule="auto"/>
        <w:ind w:left="628" w:right="129" w:hanging="10"/>
      </w:pPr>
      <w:r>
        <w:t>The</w:t>
      </w:r>
      <w:r>
        <w:rPr>
          <w:spacing w:val="-4"/>
        </w:rPr>
        <w:t xml:space="preserve"> </w:t>
      </w:r>
      <w:r>
        <w:t>annual</w:t>
      </w:r>
      <w:r>
        <w:rPr>
          <w:spacing w:val="-3"/>
        </w:rPr>
        <w:t xml:space="preserve"> </w:t>
      </w:r>
      <w:r>
        <w:t>time</w:t>
      </w:r>
      <w:r>
        <w:rPr>
          <w:spacing w:val="-4"/>
        </w:rPr>
        <w:t xml:space="preserve"> </w:t>
      </w:r>
      <w:r>
        <w:t>burden</w:t>
      </w:r>
      <w:r>
        <w:rPr>
          <w:spacing w:val="-3"/>
        </w:rPr>
        <w:t xml:space="preserve"> </w:t>
      </w:r>
      <w:r>
        <w:t>is</w:t>
      </w:r>
      <w:r>
        <w:rPr>
          <w:spacing w:val="-3"/>
        </w:rPr>
        <w:t xml:space="preserve"> </w:t>
      </w:r>
      <w:r>
        <w:t>estimated</w:t>
      </w:r>
      <w:r>
        <w:rPr>
          <w:spacing w:val="-3"/>
        </w:rPr>
        <w:t xml:space="preserve"> </w:t>
      </w:r>
      <w:r>
        <w:t>at</w:t>
      </w:r>
      <w:r>
        <w:rPr>
          <w:spacing w:val="-3"/>
        </w:rPr>
        <w:t xml:space="preserve"> </w:t>
      </w:r>
      <w:r w:rsidRPr="002A493F">
        <w:rPr>
          <w:b/>
          <w:bCs/>
        </w:rPr>
        <w:t>27,</w:t>
      </w:r>
      <w:r w:rsidRPr="002A493F" w:rsidR="002A493F">
        <w:rPr>
          <w:b/>
          <w:bCs/>
        </w:rPr>
        <w:t>395</w:t>
      </w:r>
      <w:r w:rsidRPr="002A493F">
        <w:rPr>
          <w:b/>
          <w:bCs/>
          <w:spacing w:val="-3"/>
        </w:rPr>
        <w:t xml:space="preserve"> </w:t>
      </w:r>
      <w:r w:rsidRPr="002A493F">
        <w:rPr>
          <w:b/>
          <w:bCs/>
        </w:rPr>
        <w:t>hours</w:t>
      </w:r>
      <w:r>
        <w:rPr>
          <w:spacing w:val="-3"/>
        </w:rPr>
        <w:t xml:space="preserve"> </w:t>
      </w:r>
      <w:r>
        <w:t>(54,789</w:t>
      </w:r>
      <w:r>
        <w:rPr>
          <w:spacing w:val="-3"/>
        </w:rPr>
        <w:t xml:space="preserve"> </w:t>
      </w:r>
      <w:r>
        <w:t>beneficiaries</w:t>
      </w:r>
      <w:r>
        <w:rPr>
          <w:spacing w:val="-3"/>
        </w:rPr>
        <w:t xml:space="preserve"> </w:t>
      </w:r>
      <w:r>
        <w:t>x</w:t>
      </w:r>
      <w:r>
        <w:rPr>
          <w:spacing w:val="-1"/>
        </w:rPr>
        <w:t xml:space="preserve"> </w:t>
      </w:r>
      <w:r>
        <w:t>0.5</w:t>
      </w:r>
      <w:r>
        <w:rPr>
          <w:spacing w:val="-3"/>
        </w:rPr>
        <w:t xml:space="preserve"> </w:t>
      </w:r>
      <w:r>
        <w:t>hr)</w:t>
      </w:r>
      <w:r>
        <w:rPr>
          <w:spacing w:val="-4"/>
        </w:rPr>
        <w:t xml:space="preserve"> </w:t>
      </w:r>
      <w:r>
        <w:t>at</w:t>
      </w:r>
      <w:r>
        <w:rPr>
          <w:spacing w:val="-3"/>
        </w:rPr>
        <w:t xml:space="preserve"> </w:t>
      </w:r>
      <w:r>
        <w:t>a</w:t>
      </w:r>
      <w:r>
        <w:rPr>
          <w:spacing w:val="-2"/>
        </w:rPr>
        <w:t xml:space="preserve"> </w:t>
      </w:r>
      <w:r>
        <w:t>cost of $2,121,110.30 (27,145 hrs x $78.14/hr) for all plans in the MA, Part D and cost plan programs, or $11,527.77 per plan ($2,121,110.30 / 184 plans).</w:t>
      </w:r>
    </w:p>
    <w:p w:rsidR="0022602E" w14:paraId="0C84B172" w14:textId="77777777">
      <w:pPr>
        <w:pStyle w:val="BodyText"/>
        <w:spacing w:before="27"/>
      </w:pPr>
    </w:p>
    <w:p w:rsidR="0022602E" w14:paraId="59980F85" w14:textId="77777777">
      <w:pPr>
        <w:pStyle w:val="BodyText"/>
        <w:spacing w:line="256" w:lineRule="auto"/>
        <w:ind w:left="628" w:right="84" w:hanging="10"/>
      </w:pPr>
      <w:r>
        <w:t>The total cost to beneficiaries and plans for this activity is estimated at $2,187,049.05 annually</w:t>
      </w:r>
      <w:r>
        <w:rPr>
          <w:spacing w:val="-4"/>
        </w:rPr>
        <w:t xml:space="preserve"> </w:t>
      </w:r>
      <w:r>
        <w:t>($65,938.75</w:t>
      </w:r>
      <w:r>
        <w:rPr>
          <w:spacing w:val="-4"/>
        </w:rPr>
        <w:t xml:space="preserve"> </w:t>
      </w:r>
      <w:r>
        <w:t>estimated</w:t>
      </w:r>
      <w:r>
        <w:rPr>
          <w:spacing w:val="-4"/>
        </w:rPr>
        <w:t xml:space="preserve"> </w:t>
      </w:r>
      <w:r>
        <w:t>annual</w:t>
      </w:r>
      <w:r>
        <w:rPr>
          <w:spacing w:val="-4"/>
        </w:rPr>
        <w:t xml:space="preserve"> </w:t>
      </w:r>
      <w:r>
        <w:t>burden</w:t>
      </w:r>
      <w:r>
        <w:rPr>
          <w:spacing w:val="-4"/>
        </w:rPr>
        <w:t xml:space="preserve"> </w:t>
      </w:r>
      <w:r>
        <w:t>for</w:t>
      </w:r>
      <w:r>
        <w:rPr>
          <w:spacing w:val="-3"/>
        </w:rPr>
        <w:t xml:space="preserve"> </w:t>
      </w:r>
      <w:r>
        <w:t>all</w:t>
      </w:r>
      <w:r>
        <w:rPr>
          <w:spacing w:val="-4"/>
        </w:rPr>
        <w:t xml:space="preserve"> </w:t>
      </w:r>
      <w:r>
        <w:t>beneficiaries</w:t>
      </w:r>
      <w:r>
        <w:rPr>
          <w:spacing w:val="-4"/>
        </w:rPr>
        <w:t xml:space="preserve"> </w:t>
      </w:r>
      <w:r>
        <w:t>+</w:t>
      </w:r>
      <w:r>
        <w:rPr>
          <w:spacing w:val="-5"/>
        </w:rPr>
        <w:t xml:space="preserve"> </w:t>
      </w:r>
      <w:r>
        <w:t>$2,121,110.30</w:t>
      </w:r>
      <w:r>
        <w:rPr>
          <w:spacing w:val="-4"/>
        </w:rPr>
        <w:t xml:space="preserve"> </w:t>
      </w:r>
      <w:r>
        <w:t>estimated annual burden for all plans in the MA, Part D and cost plan programs).</w:t>
      </w:r>
    </w:p>
    <w:p w:rsidR="0022602E" w14:paraId="3998487E" w14:textId="77777777">
      <w:pPr>
        <w:pStyle w:val="BodyText"/>
        <w:spacing w:before="21"/>
      </w:pPr>
    </w:p>
    <w:p w:rsidR="0022602E" w14:paraId="2221E82F" w14:textId="562D02AF">
      <w:pPr>
        <w:spacing w:line="254" w:lineRule="auto"/>
        <w:ind w:left="628" w:hanging="10"/>
        <w:rPr>
          <w:sz w:val="24"/>
        </w:rPr>
      </w:pPr>
      <w:r>
        <w:rPr>
          <w:sz w:val="24"/>
        </w:rPr>
        <w:t>The</w:t>
      </w:r>
      <w:r>
        <w:rPr>
          <w:spacing w:val="-4"/>
          <w:sz w:val="24"/>
        </w:rPr>
        <w:t xml:space="preserve"> </w:t>
      </w:r>
      <w:r>
        <w:rPr>
          <w:sz w:val="24"/>
        </w:rPr>
        <w:t>total</w:t>
      </w:r>
      <w:r>
        <w:rPr>
          <w:spacing w:val="-3"/>
          <w:sz w:val="24"/>
        </w:rPr>
        <w:t xml:space="preserve"> </w:t>
      </w:r>
      <w:r>
        <w:rPr>
          <w:sz w:val="24"/>
        </w:rPr>
        <w:t>annual</w:t>
      </w:r>
      <w:r>
        <w:rPr>
          <w:spacing w:val="-3"/>
          <w:sz w:val="24"/>
        </w:rPr>
        <w:t xml:space="preserve"> </w:t>
      </w:r>
      <w:r>
        <w:rPr>
          <w:sz w:val="24"/>
        </w:rPr>
        <w:t>burden</w:t>
      </w:r>
      <w:r>
        <w:rPr>
          <w:spacing w:val="-3"/>
          <w:sz w:val="24"/>
        </w:rPr>
        <w:t xml:space="preserve"> </w:t>
      </w:r>
      <w:r>
        <w:rPr>
          <w:sz w:val="24"/>
        </w:rPr>
        <w:t>to</w:t>
      </w:r>
      <w:r>
        <w:rPr>
          <w:spacing w:val="-3"/>
          <w:sz w:val="24"/>
        </w:rPr>
        <w:t xml:space="preserve"> </w:t>
      </w:r>
      <w:r>
        <w:rPr>
          <w:sz w:val="24"/>
        </w:rPr>
        <w:t>beneficiaries</w:t>
      </w:r>
      <w:r>
        <w:rPr>
          <w:spacing w:val="-3"/>
          <w:sz w:val="24"/>
        </w:rPr>
        <w:t xml:space="preserve"> </w:t>
      </w:r>
      <w:r>
        <w:rPr>
          <w:sz w:val="24"/>
        </w:rPr>
        <w:t>and</w:t>
      </w:r>
      <w:r>
        <w:rPr>
          <w:spacing w:val="-3"/>
          <w:sz w:val="24"/>
        </w:rPr>
        <w:t xml:space="preserve"> </w:t>
      </w:r>
      <w:r>
        <w:rPr>
          <w:sz w:val="24"/>
        </w:rPr>
        <w:t>plans</w:t>
      </w:r>
      <w:r>
        <w:rPr>
          <w:spacing w:val="-1"/>
          <w:sz w:val="24"/>
        </w:rPr>
        <w:t xml:space="preserve"> </w:t>
      </w:r>
      <w:r>
        <w:rPr>
          <w:sz w:val="24"/>
        </w:rPr>
        <w:t>for</w:t>
      </w:r>
      <w:r>
        <w:rPr>
          <w:spacing w:val="-4"/>
          <w:sz w:val="24"/>
        </w:rPr>
        <w:t xml:space="preserve"> </w:t>
      </w:r>
      <w:r>
        <w:rPr>
          <w:sz w:val="24"/>
        </w:rPr>
        <w:t>both</w:t>
      </w:r>
      <w:r>
        <w:rPr>
          <w:spacing w:val="-3"/>
          <w:sz w:val="24"/>
        </w:rPr>
        <w:t xml:space="preserve"> </w:t>
      </w:r>
      <w:r>
        <w:rPr>
          <w:sz w:val="24"/>
        </w:rPr>
        <w:t>activities</w:t>
      </w:r>
      <w:r>
        <w:rPr>
          <w:spacing w:val="-3"/>
          <w:sz w:val="24"/>
        </w:rPr>
        <w:t xml:space="preserve"> </w:t>
      </w:r>
      <w:r>
        <w:rPr>
          <w:sz w:val="24"/>
        </w:rPr>
        <w:t>is</w:t>
      </w:r>
      <w:r>
        <w:rPr>
          <w:spacing w:val="-3"/>
          <w:sz w:val="24"/>
        </w:rPr>
        <w:t xml:space="preserve"> </w:t>
      </w:r>
      <w:r>
        <w:rPr>
          <w:b/>
          <w:sz w:val="24"/>
          <w:u w:val="single"/>
        </w:rPr>
        <w:t>36,</w:t>
      </w:r>
      <w:r w:rsidR="002A493F">
        <w:rPr>
          <w:b/>
          <w:sz w:val="24"/>
          <w:u w:val="single"/>
        </w:rPr>
        <w:t>490</w:t>
      </w:r>
      <w:r>
        <w:rPr>
          <w:b/>
          <w:spacing w:val="-3"/>
          <w:sz w:val="24"/>
        </w:rPr>
        <w:t xml:space="preserve"> </w:t>
      </w:r>
      <w:r>
        <w:rPr>
          <w:b/>
          <w:sz w:val="24"/>
        </w:rPr>
        <w:t>hours</w:t>
      </w:r>
      <w:r>
        <w:rPr>
          <w:b/>
          <w:spacing w:val="-4"/>
          <w:sz w:val="24"/>
        </w:rPr>
        <w:t xml:space="preserve"> </w:t>
      </w:r>
      <w:r>
        <w:rPr>
          <w:sz w:val="24"/>
        </w:rPr>
        <w:t>(</w:t>
      </w:r>
      <w:r>
        <w:rPr>
          <w:b/>
          <w:sz w:val="24"/>
          <w:u w:val="single"/>
        </w:rPr>
        <w:t>9,095</w:t>
      </w:r>
      <w:r>
        <w:rPr>
          <w:b/>
          <w:spacing w:val="-3"/>
          <w:sz w:val="24"/>
        </w:rPr>
        <w:t xml:space="preserve"> </w:t>
      </w:r>
      <w:r>
        <w:rPr>
          <w:b/>
          <w:sz w:val="24"/>
        </w:rPr>
        <w:t xml:space="preserve">+ </w:t>
      </w:r>
      <w:r>
        <w:rPr>
          <w:b/>
          <w:spacing w:val="-2"/>
          <w:sz w:val="24"/>
          <w:u w:val="single"/>
        </w:rPr>
        <w:t>27,</w:t>
      </w:r>
      <w:r w:rsidR="002A493F">
        <w:rPr>
          <w:b/>
          <w:spacing w:val="-2"/>
          <w:sz w:val="24"/>
          <w:u w:val="single"/>
        </w:rPr>
        <w:t>395</w:t>
      </w:r>
      <w:r>
        <w:rPr>
          <w:spacing w:val="-2"/>
          <w:sz w:val="24"/>
        </w:rPr>
        <w:t>).</w:t>
      </w:r>
    </w:p>
    <w:p w:rsidR="0022602E" w14:paraId="09D527D2" w14:textId="77777777">
      <w:pPr>
        <w:pStyle w:val="BodyText"/>
        <w:spacing w:before="29"/>
      </w:pPr>
    </w:p>
    <w:p w:rsidR="0022602E" w14:paraId="51656779" w14:textId="77777777">
      <w:pPr>
        <w:pStyle w:val="ListParagraph"/>
        <w:numPr>
          <w:ilvl w:val="1"/>
          <w:numId w:val="1"/>
        </w:numPr>
        <w:tabs>
          <w:tab w:val="left" w:pos="691"/>
        </w:tabs>
        <w:spacing w:before="1"/>
        <w:ind w:left="691" w:hanging="360"/>
        <w:rPr>
          <w:sz w:val="24"/>
          <w:u w:val="none"/>
        </w:rPr>
      </w:pPr>
      <w:bookmarkStart w:id="14" w:name="13._Capital_Costs"/>
      <w:bookmarkEnd w:id="14"/>
      <w:r>
        <w:rPr>
          <w:sz w:val="24"/>
        </w:rPr>
        <w:t>Capital</w:t>
      </w:r>
      <w:r>
        <w:rPr>
          <w:spacing w:val="-2"/>
          <w:sz w:val="24"/>
        </w:rPr>
        <w:t xml:space="preserve"> Costs</w:t>
      </w:r>
    </w:p>
    <w:p w:rsidR="0022602E" w14:paraId="3A3F7209" w14:textId="77777777">
      <w:pPr>
        <w:pStyle w:val="BodyText"/>
        <w:spacing w:before="43"/>
      </w:pPr>
    </w:p>
    <w:p w:rsidR="0022602E" w14:paraId="2F069E62" w14:textId="77777777">
      <w:pPr>
        <w:pStyle w:val="BodyText"/>
        <w:spacing w:line="254" w:lineRule="auto"/>
        <w:ind w:left="628" w:right="505" w:hanging="10"/>
        <w:jc w:val="both"/>
      </w:pPr>
      <w:r>
        <w:t>As</w:t>
      </w:r>
      <w:r>
        <w:rPr>
          <w:spacing w:val="-3"/>
        </w:rPr>
        <w:t xml:space="preserve"> </w:t>
      </w:r>
      <w:r>
        <w:t>plans</w:t>
      </w:r>
      <w:r>
        <w:rPr>
          <w:spacing w:val="-3"/>
        </w:rPr>
        <w:t xml:space="preserve"> </w:t>
      </w:r>
      <w:r>
        <w:t>are</w:t>
      </w:r>
      <w:r>
        <w:rPr>
          <w:spacing w:val="-2"/>
        </w:rPr>
        <w:t xml:space="preserve"> </w:t>
      </w:r>
      <w:r>
        <w:t>already</w:t>
      </w:r>
      <w:r>
        <w:rPr>
          <w:spacing w:val="-3"/>
        </w:rPr>
        <w:t xml:space="preserve"> </w:t>
      </w:r>
      <w:r>
        <w:t>required</w:t>
      </w:r>
      <w:r>
        <w:rPr>
          <w:spacing w:val="-3"/>
        </w:rPr>
        <w:t xml:space="preserve"> </w:t>
      </w:r>
      <w:r>
        <w:t>to</w:t>
      </w:r>
      <w:r>
        <w:rPr>
          <w:spacing w:val="-3"/>
        </w:rPr>
        <w:t xml:space="preserve"> </w:t>
      </w:r>
      <w:r>
        <w:t>maintain</w:t>
      </w:r>
      <w:r>
        <w:rPr>
          <w:spacing w:val="-3"/>
        </w:rPr>
        <w:t xml:space="preserve"> </w:t>
      </w:r>
      <w:r>
        <w:t>documentation</w:t>
      </w:r>
      <w:r>
        <w:rPr>
          <w:spacing w:val="-3"/>
        </w:rPr>
        <w:t xml:space="preserve"> </w:t>
      </w:r>
      <w:r>
        <w:t>of</w:t>
      </w:r>
      <w:r>
        <w:rPr>
          <w:spacing w:val="-4"/>
        </w:rPr>
        <w:t xml:space="preserve"> </w:t>
      </w:r>
      <w:r>
        <w:t>enrollees</w:t>
      </w:r>
      <w:r>
        <w:rPr>
          <w:spacing w:val="-3"/>
        </w:rPr>
        <w:t xml:space="preserve"> </w:t>
      </w:r>
      <w:r>
        <w:t>for</w:t>
      </w:r>
      <w:r>
        <w:rPr>
          <w:spacing w:val="-4"/>
        </w:rPr>
        <w:t xml:space="preserve"> </w:t>
      </w:r>
      <w:r>
        <w:t>possible</w:t>
      </w:r>
      <w:r>
        <w:rPr>
          <w:spacing w:val="-4"/>
        </w:rPr>
        <w:t xml:space="preserve"> </w:t>
      </w:r>
      <w:r>
        <w:t>review, there</w:t>
      </w:r>
      <w:r>
        <w:rPr>
          <w:spacing w:val="-4"/>
        </w:rPr>
        <w:t xml:space="preserve"> </w:t>
      </w:r>
      <w:r>
        <w:t>are</w:t>
      </w:r>
      <w:r>
        <w:rPr>
          <w:spacing w:val="-4"/>
        </w:rPr>
        <w:t xml:space="preserve"> </w:t>
      </w:r>
      <w:r>
        <w:t>no</w:t>
      </w:r>
      <w:r>
        <w:rPr>
          <w:spacing w:val="-3"/>
        </w:rPr>
        <w:t xml:space="preserve"> </w:t>
      </w:r>
      <w:r>
        <w:t>additional</w:t>
      </w:r>
      <w:r>
        <w:rPr>
          <w:spacing w:val="-3"/>
        </w:rPr>
        <w:t xml:space="preserve"> </w:t>
      </w:r>
      <w:r>
        <w:t>capital</w:t>
      </w:r>
      <w:r>
        <w:rPr>
          <w:spacing w:val="-3"/>
        </w:rPr>
        <w:t xml:space="preserve"> </w:t>
      </w:r>
      <w:r>
        <w:t>or</w:t>
      </w:r>
      <w:r>
        <w:rPr>
          <w:spacing w:val="-4"/>
        </w:rPr>
        <w:t xml:space="preserve"> </w:t>
      </w:r>
      <w:r>
        <w:t>equipment</w:t>
      </w:r>
      <w:r>
        <w:rPr>
          <w:spacing w:val="-3"/>
        </w:rPr>
        <w:t xml:space="preserve"> </w:t>
      </w:r>
      <w:r>
        <w:t>costs</w:t>
      </w:r>
      <w:r>
        <w:rPr>
          <w:spacing w:val="-3"/>
        </w:rPr>
        <w:t xml:space="preserve"> </w:t>
      </w:r>
      <w:r>
        <w:t>to</w:t>
      </w:r>
      <w:r>
        <w:rPr>
          <w:spacing w:val="-3"/>
        </w:rPr>
        <w:t xml:space="preserve"> </w:t>
      </w:r>
      <w:r>
        <w:t>CMS</w:t>
      </w:r>
      <w:r>
        <w:rPr>
          <w:spacing w:val="-3"/>
        </w:rPr>
        <w:t xml:space="preserve"> </w:t>
      </w:r>
      <w:r>
        <w:t>resulting</w:t>
      </w:r>
      <w:r>
        <w:rPr>
          <w:spacing w:val="-3"/>
        </w:rPr>
        <w:t xml:space="preserve"> </w:t>
      </w:r>
      <w:r>
        <w:t>from</w:t>
      </w:r>
      <w:r>
        <w:rPr>
          <w:spacing w:val="-3"/>
        </w:rPr>
        <w:t xml:space="preserve"> </w:t>
      </w:r>
      <w:r>
        <w:t>the</w:t>
      </w:r>
      <w:r>
        <w:rPr>
          <w:spacing w:val="-4"/>
        </w:rPr>
        <w:t xml:space="preserve"> </w:t>
      </w:r>
      <w:r>
        <w:t>collection</w:t>
      </w:r>
      <w:r>
        <w:rPr>
          <w:spacing w:val="-3"/>
        </w:rPr>
        <w:t xml:space="preserve"> </w:t>
      </w:r>
      <w:r>
        <w:t xml:space="preserve">of </w:t>
      </w:r>
      <w:r>
        <w:rPr>
          <w:spacing w:val="-2"/>
        </w:rPr>
        <w:t>information.</w:t>
      </w:r>
    </w:p>
    <w:p w:rsidR="0022602E" w14:paraId="2BF6EAA6" w14:textId="77777777">
      <w:pPr>
        <w:pStyle w:val="BodyText"/>
        <w:spacing w:before="29"/>
      </w:pPr>
    </w:p>
    <w:p w:rsidR="0022602E" w14:paraId="3A949C00" w14:textId="77777777">
      <w:pPr>
        <w:pStyle w:val="ListParagraph"/>
        <w:numPr>
          <w:ilvl w:val="1"/>
          <w:numId w:val="1"/>
        </w:numPr>
        <w:tabs>
          <w:tab w:val="left" w:pos="645"/>
        </w:tabs>
        <w:spacing w:before="1"/>
        <w:ind w:left="645"/>
        <w:rPr>
          <w:sz w:val="24"/>
        </w:rPr>
      </w:pPr>
      <w:bookmarkStart w:id="15" w:name="14._Cost_to_Federal_Government"/>
      <w:bookmarkEnd w:id="15"/>
      <w:r>
        <w:rPr>
          <w:spacing w:val="-2"/>
          <w:sz w:val="24"/>
        </w:rPr>
        <w:t xml:space="preserve"> </w:t>
      </w:r>
      <w:r>
        <w:rPr>
          <w:sz w:val="24"/>
        </w:rPr>
        <w:t>​Cost</w:t>
      </w:r>
      <w:r>
        <w:rPr>
          <w:spacing w:val="-2"/>
          <w:sz w:val="24"/>
        </w:rPr>
        <w:t xml:space="preserve"> </w:t>
      </w:r>
      <w:r>
        <w:rPr>
          <w:sz w:val="24"/>
        </w:rPr>
        <w:t>to</w:t>
      </w:r>
      <w:r>
        <w:rPr>
          <w:spacing w:val="-2"/>
          <w:sz w:val="24"/>
        </w:rPr>
        <w:t xml:space="preserve"> </w:t>
      </w:r>
      <w:r>
        <w:rPr>
          <w:sz w:val="24"/>
        </w:rPr>
        <w:t>Federal</w:t>
      </w:r>
      <w:r>
        <w:rPr>
          <w:spacing w:val="-1"/>
          <w:sz w:val="24"/>
        </w:rPr>
        <w:t xml:space="preserve"> </w:t>
      </w:r>
      <w:r>
        <w:rPr>
          <w:spacing w:val="-2"/>
          <w:sz w:val="24"/>
        </w:rPr>
        <w:t>Government</w:t>
      </w:r>
    </w:p>
    <w:p w:rsidR="002A493F" w14:paraId="7C8030DB" w14:textId="77777777">
      <w:pPr>
        <w:pStyle w:val="BodyText"/>
        <w:spacing w:before="79" w:line="254" w:lineRule="auto"/>
        <w:ind w:left="628" w:right="50" w:hanging="10"/>
      </w:pPr>
    </w:p>
    <w:p w:rsidR="0022602E" w14:paraId="701F23D4" w14:textId="2C776C3D">
      <w:pPr>
        <w:pStyle w:val="BodyText"/>
        <w:spacing w:before="79" w:line="254" w:lineRule="auto"/>
        <w:ind w:left="628" w:right="50" w:hanging="10"/>
      </w:pPr>
      <w:r>
        <w:t>The</w:t>
      </w:r>
      <w:r>
        <w:rPr>
          <w:spacing w:val="-5"/>
        </w:rPr>
        <w:t xml:space="preserve"> </w:t>
      </w:r>
      <w:r>
        <w:t>total</w:t>
      </w:r>
      <w:r>
        <w:rPr>
          <w:spacing w:val="-4"/>
        </w:rPr>
        <w:t xml:space="preserve"> </w:t>
      </w:r>
      <w:r>
        <w:t>cost</w:t>
      </w:r>
      <w:r>
        <w:rPr>
          <w:spacing w:val="-4"/>
        </w:rPr>
        <w:t xml:space="preserve"> </w:t>
      </w:r>
      <w:r>
        <w:t>to</w:t>
      </w:r>
      <w:r>
        <w:rPr>
          <w:spacing w:val="-4"/>
        </w:rPr>
        <w:t xml:space="preserve"> </w:t>
      </w:r>
      <w:r>
        <w:t>the</w:t>
      </w:r>
      <w:r>
        <w:rPr>
          <w:spacing w:val="-5"/>
        </w:rPr>
        <w:t xml:space="preserve"> </w:t>
      </w:r>
      <w:r>
        <w:t>federal</w:t>
      </w:r>
      <w:r>
        <w:rPr>
          <w:spacing w:val="-4"/>
        </w:rPr>
        <w:t xml:space="preserve"> </w:t>
      </w:r>
      <w:r>
        <w:t>government</w:t>
      </w:r>
      <w:r>
        <w:rPr>
          <w:spacing w:val="-2"/>
        </w:rPr>
        <w:t xml:space="preserve"> </w:t>
      </w:r>
      <w:r>
        <w:t>associated</w:t>
      </w:r>
      <w:r>
        <w:rPr>
          <w:spacing w:val="-4"/>
        </w:rPr>
        <w:t xml:space="preserve"> </w:t>
      </w:r>
      <w:r>
        <w:t>with</w:t>
      </w:r>
      <w:r>
        <w:rPr>
          <w:spacing w:val="-4"/>
        </w:rPr>
        <w:t xml:space="preserve"> </w:t>
      </w:r>
      <w:r>
        <w:t>preparing</w:t>
      </w:r>
      <w:r>
        <w:rPr>
          <w:spacing w:val="-4"/>
        </w:rPr>
        <w:t xml:space="preserve"> </w:t>
      </w:r>
      <w:r>
        <w:t>the</w:t>
      </w:r>
      <w:r>
        <w:rPr>
          <w:spacing w:val="-5"/>
        </w:rPr>
        <w:t xml:space="preserve"> </w:t>
      </w:r>
      <w:r>
        <w:t>required</w:t>
      </w:r>
      <w:r>
        <w:rPr>
          <w:spacing w:val="-4"/>
        </w:rPr>
        <w:t xml:space="preserve"> </w:t>
      </w:r>
      <w:r>
        <w:t>documentation for this information collection in accordance with the Paperwork Reduction Act of 1995 is estimated</w:t>
      </w:r>
      <w:r>
        <w:rPr>
          <w:spacing w:val="-3"/>
        </w:rPr>
        <w:t xml:space="preserve"> </w:t>
      </w:r>
      <w:r>
        <w:t>to</w:t>
      </w:r>
      <w:r>
        <w:rPr>
          <w:spacing w:val="-3"/>
        </w:rPr>
        <w:t xml:space="preserve"> </w:t>
      </w:r>
      <w:r>
        <w:t>take</w:t>
      </w:r>
      <w:r>
        <w:rPr>
          <w:spacing w:val="-4"/>
        </w:rPr>
        <w:t xml:space="preserve"> </w:t>
      </w:r>
      <w:r>
        <w:t>a</w:t>
      </w:r>
      <w:r>
        <w:rPr>
          <w:spacing w:val="-4"/>
        </w:rPr>
        <w:t xml:space="preserve"> </w:t>
      </w:r>
      <w:r>
        <w:t>total</w:t>
      </w:r>
      <w:r>
        <w:rPr>
          <w:spacing w:val="-1"/>
        </w:rPr>
        <w:t xml:space="preserve"> </w:t>
      </w:r>
      <w:r>
        <w:t>of</w:t>
      </w:r>
      <w:r>
        <w:rPr>
          <w:spacing w:val="-4"/>
        </w:rPr>
        <w:t xml:space="preserve"> </w:t>
      </w:r>
      <w:r>
        <w:t>2</w:t>
      </w:r>
      <w:r>
        <w:rPr>
          <w:spacing w:val="-3"/>
        </w:rPr>
        <w:t xml:space="preserve"> </w:t>
      </w:r>
      <w:r>
        <w:t>hours</w:t>
      </w:r>
      <w:r>
        <w:rPr>
          <w:spacing w:val="-3"/>
        </w:rPr>
        <w:t xml:space="preserve"> </w:t>
      </w:r>
      <w:r>
        <w:t>and</w:t>
      </w:r>
      <w:r>
        <w:rPr>
          <w:spacing w:val="-3"/>
        </w:rPr>
        <w:t xml:space="preserve"> </w:t>
      </w:r>
      <w:r>
        <w:t>cost</w:t>
      </w:r>
      <w:r>
        <w:rPr>
          <w:spacing w:val="-3"/>
        </w:rPr>
        <w:t xml:space="preserve"> </w:t>
      </w:r>
      <w:r>
        <w:t>$116.70.</w:t>
      </w:r>
      <w:r>
        <w:rPr>
          <w:spacing w:val="-3"/>
        </w:rPr>
        <w:t xml:space="preserve"> </w:t>
      </w:r>
      <w:r>
        <w:t>Documentation</w:t>
      </w:r>
      <w:r>
        <w:rPr>
          <w:spacing w:val="-3"/>
        </w:rPr>
        <w:t xml:space="preserve"> </w:t>
      </w:r>
      <w:r>
        <w:t>preparation</w:t>
      </w:r>
      <w:r>
        <w:rPr>
          <w:spacing w:val="-3"/>
        </w:rPr>
        <w:t xml:space="preserve"> </w:t>
      </w:r>
      <w:r>
        <w:t>occurs</w:t>
      </w:r>
      <w:r>
        <w:rPr>
          <w:spacing w:val="-1"/>
        </w:rPr>
        <w:t xml:space="preserve"> </w:t>
      </w:r>
      <w:r>
        <w:t>every two years in advance of the three-year expiration of the Office of Management and Budget’s approval of the collection. A CMS analyst gathers the data necessary to determine the burden estimate and drafts the required documentation for clearance. CMS staff then works in coordination with the Office of the Federal Register for notice publication. To derive average costs, we used data from OPM’s 2026 base salary for the Baltimore/Washington, D.C. region at the GS-13, step 1 level (</w:t>
      </w:r>
      <w:hyperlink r:id="rId11">
        <w:r>
          <w:rPr>
            <w:color w:val="0562C1"/>
            <w:u w:val="single" w:color="0562C1"/>
          </w:rPr>
          <w:t>https://www.opm.gov/policy-data-oversight/pay-leave/salaries-</w:t>
        </w:r>
      </w:hyperlink>
      <w:hyperlink r:id="rId11">
        <w:r>
          <w:rPr>
            <w:color w:val="0562C1"/>
            <w:spacing w:val="-2"/>
            <w:u w:val="single" w:color="0562C1"/>
          </w:rPr>
          <w:t>wages/salary-tables/26Tables/html/DCB_h.aspx</w:t>
        </w:r>
      </w:hyperlink>
      <w:r>
        <w:rPr>
          <w:spacing w:val="-2"/>
        </w:rPr>
        <w:t>).</w:t>
      </w:r>
    </w:p>
    <w:p w:rsidR="0022602E" w14:paraId="75AE6955" w14:textId="77777777">
      <w:pPr>
        <w:pStyle w:val="BodyText"/>
        <w:spacing w:before="80" w:after="1"/>
        <w:rPr>
          <w:sz w:val="2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0"/>
        <w:gridCol w:w="1384"/>
        <w:gridCol w:w="1439"/>
        <w:gridCol w:w="3059"/>
      </w:tblGrid>
      <w:tr w14:paraId="5E715FFF" w14:textId="77777777">
        <w:tblPrEx>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9"/>
        </w:trPr>
        <w:tc>
          <w:tcPr>
            <w:tcW w:w="2030" w:type="dxa"/>
          </w:tcPr>
          <w:p w:rsidR="0022602E" w14:paraId="3F0BE2AE" w14:textId="77777777">
            <w:pPr>
              <w:pStyle w:val="TableParagraph"/>
              <w:ind w:left="102"/>
              <w:jc w:val="center"/>
              <w:rPr>
                <w:b/>
                <w:sz w:val="24"/>
              </w:rPr>
            </w:pPr>
            <w:r>
              <w:rPr>
                <w:b/>
                <w:spacing w:val="-2"/>
                <w:sz w:val="24"/>
              </w:rPr>
              <w:t>Employees</w:t>
            </w:r>
          </w:p>
        </w:tc>
        <w:tc>
          <w:tcPr>
            <w:tcW w:w="1384" w:type="dxa"/>
          </w:tcPr>
          <w:p w:rsidR="0022602E" w14:paraId="46041057" w14:textId="77777777">
            <w:pPr>
              <w:pStyle w:val="TableParagraph"/>
              <w:spacing w:before="49" w:line="290" w:lineRule="atLeast"/>
              <w:ind w:left="458" w:right="230" w:hanging="56"/>
              <w:rPr>
                <w:b/>
                <w:sz w:val="24"/>
              </w:rPr>
            </w:pPr>
            <w:r>
              <w:rPr>
                <w:b/>
                <w:spacing w:val="-2"/>
                <w:sz w:val="24"/>
              </w:rPr>
              <w:t>Hourly salary</w:t>
            </w:r>
          </w:p>
        </w:tc>
        <w:tc>
          <w:tcPr>
            <w:tcW w:w="1439" w:type="dxa"/>
          </w:tcPr>
          <w:p w:rsidR="0022602E" w14:paraId="24F3BF5C" w14:textId="77777777">
            <w:pPr>
              <w:pStyle w:val="TableParagraph"/>
              <w:ind w:right="1"/>
              <w:jc w:val="center"/>
              <w:rPr>
                <w:b/>
                <w:sz w:val="24"/>
              </w:rPr>
            </w:pPr>
            <w:r>
              <w:rPr>
                <w:b/>
                <w:sz w:val="24"/>
              </w:rPr>
              <w:t>#</w:t>
            </w:r>
            <w:r>
              <w:rPr>
                <w:b/>
                <w:spacing w:val="-2"/>
                <w:sz w:val="24"/>
              </w:rPr>
              <w:t xml:space="preserve"> </w:t>
            </w:r>
            <w:r>
              <w:rPr>
                <w:b/>
                <w:sz w:val="24"/>
              </w:rPr>
              <w:t>of</w:t>
            </w:r>
            <w:r>
              <w:rPr>
                <w:b/>
                <w:spacing w:val="-1"/>
                <w:sz w:val="24"/>
              </w:rPr>
              <w:t xml:space="preserve"> </w:t>
            </w:r>
            <w:r>
              <w:rPr>
                <w:b/>
                <w:spacing w:val="-2"/>
                <w:sz w:val="24"/>
              </w:rPr>
              <w:t>Hours</w:t>
            </w:r>
          </w:p>
        </w:tc>
        <w:tc>
          <w:tcPr>
            <w:tcW w:w="3059" w:type="dxa"/>
          </w:tcPr>
          <w:p w:rsidR="0022602E" w14:paraId="3600F986" w14:textId="77777777">
            <w:pPr>
              <w:pStyle w:val="TableParagraph"/>
              <w:spacing w:before="49" w:line="290" w:lineRule="atLeast"/>
              <w:ind w:left="938" w:hanging="113"/>
              <w:rPr>
                <w:b/>
                <w:sz w:val="24"/>
              </w:rPr>
            </w:pPr>
            <w:r>
              <w:rPr>
                <w:b/>
                <w:sz w:val="24"/>
              </w:rPr>
              <w:t>Cost</w:t>
            </w:r>
            <w:r>
              <w:rPr>
                <w:b/>
                <w:spacing w:val="-15"/>
                <w:sz w:val="24"/>
              </w:rPr>
              <w:t xml:space="preserve"> </w:t>
            </w:r>
            <w:r>
              <w:rPr>
                <w:b/>
                <w:sz w:val="24"/>
              </w:rPr>
              <w:t>to</w:t>
            </w:r>
            <w:r>
              <w:rPr>
                <w:b/>
                <w:spacing w:val="-15"/>
                <w:sz w:val="24"/>
              </w:rPr>
              <w:t xml:space="preserve"> </w:t>
            </w:r>
            <w:r>
              <w:rPr>
                <w:b/>
                <w:sz w:val="24"/>
              </w:rPr>
              <w:t xml:space="preserve">Federal </w:t>
            </w:r>
            <w:r>
              <w:rPr>
                <w:b/>
                <w:spacing w:val="-2"/>
                <w:sz w:val="24"/>
              </w:rPr>
              <w:t>Government</w:t>
            </w:r>
          </w:p>
        </w:tc>
      </w:tr>
      <w:tr w14:paraId="300A7A88" w14:textId="77777777">
        <w:tblPrEx>
          <w:tblW w:w="0" w:type="auto"/>
          <w:tblInd w:w="1185" w:type="dxa"/>
          <w:tblLayout w:type="fixed"/>
          <w:tblCellMar>
            <w:left w:w="0" w:type="dxa"/>
            <w:right w:w="0" w:type="dxa"/>
          </w:tblCellMar>
          <w:tblLook w:val="01E0"/>
        </w:tblPrEx>
        <w:trPr>
          <w:trHeight w:val="650"/>
        </w:trPr>
        <w:tc>
          <w:tcPr>
            <w:tcW w:w="2030" w:type="dxa"/>
          </w:tcPr>
          <w:p w:rsidR="0022602E" w14:paraId="3E7C9D11" w14:textId="77777777">
            <w:pPr>
              <w:pStyle w:val="TableParagraph"/>
              <w:ind w:left="206"/>
              <w:rPr>
                <w:sz w:val="24"/>
              </w:rPr>
            </w:pPr>
            <w:r>
              <w:rPr>
                <w:sz w:val="24"/>
              </w:rPr>
              <w:t>(1)</w:t>
            </w:r>
            <w:r>
              <w:rPr>
                <w:spacing w:val="-5"/>
                <w:sz w:val="24"/>
              </w:rPr>
              <w:t xml:space="preserve"> </w:t>
            </w:r>
            <w:r>
              <w:rPr>
                <w:sz w:val="24"/>
              </w:rPr>
              <w:t>GS-13,</w:t>
            </w:r>
            <w:r>
              <w:rPr>
                <w:spacing w:val="-1"/>
                <w:sz w:val="24"/>
              </w:rPr>
              <w:t xml:space="preserve"> </w:t>
            </w:r>
            <w:r>
              <w:rPr>
                <w:sz w:val="24"/>
              </w:rPr>
              <w:t>step</w:t>
            </w:r>
            <w:r>
              <w:rPr>
                <w:spacing w:val="-1"/>
                <w:sz w:val="24"/>
              </w:rPr>
              <w:t xml:space="preserve"> </w:t>
            </w:r>
            <w:r>
              <w:rPr>
                <w:spacing w:val="-10"/>
                <w:sz w:val="24"/>
              </w:rPr>
              <w:t>1</w:t>
            </w:r>
          </w:p>
        </w:tc>
        <w:tc>
          <w:tcPr>
            <w:tcW w:w="1384" w:type="dxa"/>
          </w:tcPr>
          <w:p w:rsidR="0022602E" w14:paraId="4DA27070" w14:textId="77777777">
            <w:pPr>
              <w:pStyle w:val="TableParagraph"/>
              <w:ind w:left="410"/>
              <w:rPr>
                <w:sz w:val="24"/>
              </w:rPr>
            </w:pPr>
            <w:r>
              <w:rPr>
                <w:spacing w:val="-2"/>
                <w:sz w:val="24"/>
              </w:rPr>
              <w:t>$58.35</w:t>
            </w:r>
          </w:p>
        </w:tc>
        <w:tc>
          <w:tcPr>
            <w:tcW w:w="1439" w:type="dxa"/>
          </w:tcPr>
          <w:p w:rsidR="0022602E" w14:paraId="6BC05BAA" w14:textId="77777777">
            <w:pPr>
              <w:pStyle w:val="TableParagraph"/>
              <w:jc w:val="center"/>
              <w:rPr>
                <w:sz w:val="24"/>
              </w:rPr>
            </w:pPr>
            <w:r>
              <w:rPr>
                <w:spacing w:val="-10"/>
                <w:sz w:val="24"/>
              </w:rPr>
              <w:t>2</w:t>
            </w:r>
          </w:p>
        </w:tc>
        <w:tc>
          <w:tcPr>
            <w:tcW w:w="3059" w:type="dxa"/>
          </w:tcPr>
          <w:p w:rsidR="0022602E" w14:paraId="4D8986F0" w14:textId="77777777">
            <w:pPr>
              <w:pStyle w:val="TableParagraph"/>
              <w:ind w:left="111"/>
              <w:jc w:val="center"/>
              <w:rPr>
                <w:sz w:val="24"/>
              </w:rPr>
            </w:pPr>
            <w:r>
              <w:rPr>
                <w:spacing w:val="-2"/>
                <w:sz w:val="24"/>
              </w:rPr>
              <w:t>$116.70</w:t>
            </w:r>
          </w:p>
        </w:tc>
      </w:tr>
      <w:tr w14:paraId="3227041A" w14:textId="77777777">
        <w:tblPrEx>
          <w:tblW w:w="0" w:type="auto"/>
          <w:tblInd w:w="1185" w:type="dxa"/>
          <w:tblLayout w:type="fixed"/>
          <w:tblCellMar>
            <w:left w:w="0" w:type="dxa"/>
            <w:right w:w="0" w:type="dxa"/>
          </w:tblCellMar>
          <w:tblLook w:val="01E0"/>
        </w:tblPrEx>
        <w:trPr>
          <w:trHeight w:val="364"/>
        </w:trPr>
        <w:tc>
          <w:tcPr>
            <w:tcW w:w="2030" w:type="dxa"/>
          </w:tcPr>
          <w:p w:rsidR="0022602E" w14:paraId="1D0B88FA" w14:textId="77777777">
            <w:pPr>
              <w:pStyle w:val="TableParagraph"/>
              <w:spacing w:before="0"/>
              <w:ind w:left="0"/>
              <w:rPr>
                <w:sz w:val="24"/>
              </w:rPr>
            </w:pPr>
          </w:p>
        </w:tc>
        <w:tc>
          <w:tcPr>
            <w:tcW w:w="1384" w:type="dxa"/>
          </w:tcPr>
          <w:p w:rsidR="0022602E" w14:paraId="5E92A2EE" w14:textId="77777777">
            <w:pPr>
              <w:pStyle w:val="TableParagraph"/>
              <w:ind w:left="381"/>
              <w:rPr>
                <w:b/>
                <w:sz w:val="24"/>
              </w:rPr>
            </w:pPr>
            <w:r>
              <w:rPr>
                <w:b/>
                <w:spacing w:val="-2"/>
                <w:sz w:val="24"/>
              </w:rPr>
              <w:t>TOTAL:</w:t>
            </w:r>
          </w:p>
        </w:tc>
        <w:tc>
          <w:tcPr>
            <w:tcW w:w="1439" w:type="dxa"/>
          </w:tcPr>
          <w:p w:rsidR="0022602E" w14:paraId="3A816292" w14:textId="77777777">
            <w:pPr>
              <w:pStyle w:val="TableParagraph"/>
              <w:jc w:val="center"/>
              <w:rPr>
                <w:sz w:val="24"/>
              </w:rPr>
            </w:pPr>
            <w:r>
              <w:rPr>
                <w:spacing w:val="-10"/>
                <w:sz w:val="24"/>
              </w:rPr>
              <w:t>2</w:t>
            </w:r>
          </w:p>
        </w:tc>
        <w:tc>
          <w:tcPr>
            <w:tcW w:w="3059" w:type="dxa"/>
          </w:tcPr>
          <w:p w:rsidR="0022602E" w14:paraId="10AF5A47" w14:textId="77777777">
            <w:pPr>
              <w:pStyle w:val="TableParagraph"/>
              <w:ind w:left="111"/>
              <w:jc w:val="center"/>
              <w:rPr>
                <w:b/>
                <w:sz w:val="24"/>
              </w:rPr>
            </w:pPr>
            <w:r>
              <w:rPr>
                <w:b/>
                <w:spacing w:val="-2"/>
                <w:sz w:val="24"/>
                <w:u w:val="single"/>
              </w:rPr>
              <w:t>$116.70</w:t>
            </w:r>
          </w:p>
        </w:tc>
      </w:tr>
    </w:tbl>
    <w:p w:rsidR="0022602E" w14:paraId="1DD516AA" w14:textId="77777777">
      <w:pPr>
        <w:pStyle w:val="BodyText"/>
        <w:spacing w:before="21"/>
      </w:pPr>
    </w:p>
    <w:p w:rsidR="0022602E" w14:paraId="12D33A99" w14:textId="77777777">
      <w:pPr>
        <w:pStyle w:val="ListParagraph"/>
        <w:numPr>
          <w:ilvl w:val="1"/>
          <w:numId w:val="1"/>
        </w:numPr>
        <w:tabs>
          <w:tab w:val="left" w:pos="691"/>
        </w:tabs>
        <w:ind w:left="691" w:hanging="360"/>
        <w:rPr>
          <w:sz w:val="24"/>
          <w:u w:val="none"/>
        </w:rPr>
      </w:pPr>
      <w:bookmarkStart w:id="16" w:name="15._Changes_to_Burden"/>
      <w:bookmarkEnd w:id="16"/>
      <w:r>
        <w:rPr>
          <w:sz w:val="24"/>
        </w:rPr>
        <w:t>Changes</w:t>
      </w:r>
      <w:r>
        <w:rPr>
          <w:spacing w:val="-1"/>
          <w:sz w:val="24"/>
        </w:rPr>
        <w:t xml:space="preserve"> </w:t>
      </w:r>
      <w:r>
        <w:rPr>
          <w:sz w:val="24"/>
        </w:rPr>
        <w:t>to</w:t>
      </w:r>
      <w:r>
        <w:rPr>
          <w:spacing w:val="-1"/>
          <w:sz w:val="24"/>
        </w:rPr>
        <w:t xml:space="preserve"> </w:t>
      </w:r>
      <w:r>
        <w:rPr>
          <w:spacing w:val="-2"/>
          <w:sz w:val="24"/>
        </w:rPr>
        <w:t>Burden</w:t>
      </w:r>
    </w:p>
    <w:p w:rsidR="0022602E" w14:paraId="4C7BB3F5" w14:textId="77777777">
      <w:pPr>
        <w:pStyle w:val="BodyText"/>
        <w:spacing w:before="43"/>
      </w:pPr>
    </w:p>
    <w:p w:rsidR="0022602E" w14:paraId="40B39692" w14:textId="77777777">
      <w:pPr>
        <w:pStyle w:val="BodyText"/>
        <w:ind w:left="619"/>
      </w:pPr>
      <w:r>
        <w:t>The</w:t>
      </w:r>
      <w:r>
        <w:rPr>
          <w:spacing w:val="-3"/>
        </w:rPr>
        <w:t xml:space="preserve"> </w:t>
      </w:r>
      <w:r>
        <w:t>burden</w:t>
      </w:r>
      <w:r>
        <w:rPr>
          <w:spacing w:val="-1"/>
        </w:rPr>
        <w:t xml:space="preserve"> </w:t>
      </w:r>
      <w:r>
        <w:t>from</w:t>
      </w:r>
      <w:r>
        <w:rPr>
          <w:spacing w:val="-1"/>
        </w:rPr>
        <w:t xml:space="preserve"> </w:t>
      </w:r>
      <w:r>
        <w:t>the</w:t>
      </w:r>
      <w:r>
        <w:rPr>
          <w:spacing w:val="-2"/>
        </w:rPr>
        <w:t xml:space="preserve"> </w:t>
      </w:r>
      <w:r>
        <w:t>previously</w:t>
      </w:r>
      <w:r>
        <w:rPr>
          <w:spacing w:val="-1"/>
        </w:rPr>
        <w:t xml:space="preserve"> </w:t>
      </w:r>
      <w:r>
        <w:t>approved</w:t>
      </w:r>
      <w:r>
        <w:rPr>
          <w:spacing w:val="-1"/>
        </w:rPr>
        <w:t xml:space="preserve"> </w:t>
      </w:r>
      <w:r>
        <w:t>submission</w:t>
      </w:r>
      <w:r>
        <w:rPr>
          <w:spacing w:val="-1"/>
        </w:rPr>
        <w:t xml:space="preserve"> </w:t>
      </w:r>
      <w:r>
        <w:t>increased</w:t>
      </w:r>
      <w:r>
        <w:rPr>
          <w:spacing w:val="-1"/>
        </w:rPr>
        <w:t xml:space="preserve"> </w:t>
      </w:r>
      <w:r>
        <w:t>in</w:t>
      </w:r>
      <w:r>
        <w:rPr>
          <w:spacing w:val="-1"/>
        </w:rPr>
        <w:t xml:space="preserve"> </w:t>
      </w:r>
      <w:r>
        <w:t>cost</w:t>
      </w:r>
      <w:r>
        <w:rPr>
          <w:spacing w:val="-1"/>
        </w:rPr>
        <w:t xml:space="preserve"> </w:t>
      </w:r>
      <w:r>
        <w:t>from</w:t>
      </w:r>
      <w:r>
        <w:rPr>
          <w:spacing w:val="-1"/>
        </w:rPr>
        <w:t xml:space="preserve"> </w:t>
      </w:r>
      <w:r>
        <w:t>$1,586,505.30</w:t>
      </w:r>
      <w:r>
        <w:rPr>
          <w:spacing w:val="-1"/>
        </w:rPr>
        <w:t xml:space="preserve"> </w:t>
      </w:r>
      <w:r>
        <w:rPr>
          <w:spacing w:val="-5"/>
        </w:rPr>
        <w:t>to</w:t>
      </w:r>
    </w:p>
    <w:p w:rsidR="0022602E" w14:paraId="44A42D57" w14:textId="5A21F355">
      <w:pPr>
        <w:pStyle w:val="BodyText"/>
        <w:spacing w:before="17" w:line="256" w:lineRule="auto"/>
        <w:ind w:left="619" w:right="129"/>
      </w:pPr>
      <w:r>
        <w:t>$2,121,110.30</w:t>
      </w:r>
      <w:r>
        <w:rPr>
          <w:spacing w:val="-3"/>
        </w:rPr>
        <w:t xml:space="preserve"> </w:t>
      </w:r>
      <w:r>
        <w:t>for</w:t>
      </w:r>
      <w:r>
        <w:rPr>
          <w:spacing w:val="-4"/>
        </w:rPr>
        <w:t xml:space="preserve"> </w:t>
      </w:r>
      <w:r>
        <w:t>respondent</w:t>
      </w:r>
      <w:r>
        <w:rPr>
          <w:spacing w:val="-3"/>
        </w:rPr>
        <w:t xml:space="preserve"> </w:t>
      </w:r>
      <w:r>
        <w:t>costs</w:t>
      </w:r>
      <w:r>
        <w:rPr>
          <w:spacing w:val="-3"/>
        </w:rPr>
        <w:t xml:space="preserve"> </w:t>
      </w:r>
      <w:r>
        <w:t>–</w:t>
      </w:r>
      <w:r>
        <w:rPr>
          <w:spacing w:val="-3"/>
        </w:rPr>
        <w:t xml:space="preserve"> </w:t>
      </w:r>
      <w:r>
        <w:t>an</w:t>
      </w:r>
      <w:r>
        <w:rPr>
          <w:spacing w:val="-3"/>
        </w:rPr>
        <w:t xml:space="preserve"> </w:t>
      </w:r>
      <w:r>
        <w:t>increase</w:t>
      </w:r>
      <w:r>
        <w:rPr>
          <w:spacing w:val="-4"/>
        </w:rPr>
        <w:t xml:space="preserve"> </w:t>
      </w:r>
      <w:r>
        <w:t>of</w:t>
      </w:r>
      <w:r>
        <w:rPr>
          <w:spacing w:val="-4"/>
        </w:rPr>
        <w:t xml:space="preserve"> </w:t>
      </w:r>
      <w:r>
        <w:t>$534,605.</w:t>
      </w:r>
      <w:r>
        <w:rPr>
          <w:spacing w:val="-3"/>
        </w:rPr>
        <w:t xml:space="preserve"> </w:t>
      </w:r>
      <w:r>
        <w:t>This</w:t>
      </w:r>
      <w:r>
        <w:rPr>
          <w:spacing w:val="-3"/>
        </w:rPr>
        <w:t xml:space="preserve"> </w:t>
      </w:r>
      <w:r>
        <w:t>is</w:t>
      </w:r>
      <w:r>
        <w:rPr>
          <w:spacing w:val="-3"/>
        </w:rPr>
        <w:t xml:space="preserve"> </w:t>
      </w:r>
      <w:r>
        <w:t>a</w:t>
      </w:r>
      <w:r>
        <w:rPr>
          <w:spacing w:val="-4"/>
        </w:rPr>
        <w:t xml:space="preserve"> </w:t>
      </w:r>
      <w:r>
        <w:t>result</w:t>
      </w:r>
      <w:r>
        <w:rPr>
          <w:spacing w:val="-3"/>
        </w:rPr>
        <w:t xml:space="preserve"> </w:t>
      </w:r>
      <w:r>
        <w:t>of</w:t>
      </w:r>
      <w:r>
        <w:rPr>
          <w:spacing w:val="-4"/>
        </w:rPr>
        <w:t xml:space="preserve"> </w:t>
      </w:r>
      <w:r>
        <w:t>the</w:t>
      </w:r>
      <w:r>
        <w:rPr>
          <w:spacing w:val="-4"/>
        </w:rPr>
        <w:t xml:space="preserve"> </w:t>
      </w:r>
      <w:r>
        <w:t xml:space="preserve">increase in the number of respondents from 41,289 to 54,789 and the Annual Burden hours from </w:t>
      </w:r>
      <w:r>
        <w:t>27,499 to 36,</w:t>
      </w:r>
      <w:r w:rsidR="002A493F">
        <w:t>490</w:t>
      </w:r>
      <w:r>
        <w:t>.</w:t>
      </w:r>
    </w:p>
    <w:p w:rsidR="0022602E" w14:paraId="696C3553" w14:textId="77777777">
      <w:pPr>
        <w:pStyle w:val="BodyText"/>
        <w:spacing w:before="21"/>
      </w:pPr>
    </w:p>
    <w:p w:rsidR="0022602E" w14:paraId="77469F5E" w14:textId="77777777">
      <w:pPr>
        <w:pStyle w:val="BodyText"/>
        <w:spacing w:line="254" w:lineRule="auto"/>
        <w:ind w:left="628" w:right="28" w:hanging="10"/>
      </w:pPr>
      <w:r>
        <w:t>The higher costs are also the result of the increase in the median hourly wage for the category of</w:t>
      </w:r>
      <w:r>
        <w:rPr>
          <w:spacing w:val="-4"/>
        </w:rPr>
        <w:t xml:space="preserve"> </w:t>
      </w:r>
      <w:r>
        <w:t>“Business</w:t>
      </w:r>
      <w:r>
        <w:rPr>
          <w:spacing w:val="-3"/>
        </w:rPr>
        <w:t xml:space="preserve"> </w:t>
      </w:r>
      <w:r>
        <w:t>Operations</w:t>
      </w:r>
      <w:r>
        <w:rPr>
          <w:spacing w:val="-3"/>
        </w:rPr>
        <w:t xml:space="preserve"> </w:t>
      </w:r>
      <w:r>
        <w:t>Specialists,</w:t>
      </w:r>
      <w:r>
        <w:rPr>
          <w:spacing w:val="-3"/>
        </w:rPr>
        <w:t xml:space="preserve"> </w:t>
      </w:r>
      <w:r>
        <w:t>All</w:t>
      </w:r>
      <w:r>
        <w:rPr>
          <w:spacing w:val="-3"/>
        </w:rPr>
        <w:t xml:space="preserve"> </w:t>
      </w:r>
      <w:r>
        <w:t>Other,”</w:t>
      </w:r>
      <w:r>
        <w:rPr>
          <w:spacing w:val="-4"/>
        </w:rPr>
        <w:t xml:space="preserve"> </w:t>
      </w:r>
      <w:r>
        <w:t>fewer</w:t>
      </w:r>
      <w:r>
        <w:rPr>
          <w:spacing w:val="-4"/>
        </w:rPr>
        <w:t xml:space="preserve"> </w:t>
      </w:r>
      <w:r>
        <w:t>plans</w:t>
      </w:r>
      <w:r>
        <w:rPr>
          <w:spacing w:val="-3"/>
        </w:rPr>
        <w:t xml:space="preserve"> </w:t>
      </w:r>
      <w:r>
        <w:t>that</w:t>
      </w:r>
      <w:r>
        <w:rPr>
          <w:spacing w:val="-3"/>
        </w:rPr>
        <w:t xml:space="preserve"> </w:t>
      </w:r>
      <w:r>
        <w:t>are</w:t>
      </w:r>
      <w:r>
        <w:rPr>
          <w:spacing w:val="-4"/>
        </w:rPr>
        <w:t xml:space="preserve"> </w:t>
      </w:r>
      <w:r>
        <w:t>disenrolling</w:t>
      </w:r>
      <w:r>
        <w:rPr>
          <w:spacing w:val="-3"/>
        </w:rPr>
        <w:t xml:space="preserve"> </w:t>
      </w:r>
      <w:r>
        <w:t>members</w:t>
      </w:r>
      <w:r>
        <w:rPr>
          <w:spacing w:val="-3"/>
        </w:rPr>
        <w:t xml:space="preserve"> </w:t>
      </w:r>
      <w:r>
        <w:t>for nonpayment of premiums and the significant increase in the number of beneficiaries requesting reinstatement.</w:t>
      </w:r>
    </w:p>
    <w:p w:rsidR="0022602E" w14:paraId="6B5CE0C4" w14:textId="77777777">
      <w:pPr>
        <w:pStyle w:val="BodyText"/>
        <w:spacing w:before="30"/>
      </w:pPr>
    </w:p>
    <w:p w:rsidR="0022602E" w14:paraId="6527B6B6" w14:textId="77777777">
      <w:pPr>
        <w:pStyle w:val="BodyText"/>
        <w:spacing w:line="256" w:lineRule="auto"/>
        <w:ind w:left="628" w:right="74" w:hanging="10"/>
      </w:pPr>
      <w:r>
        <w:t>We</w:t>
      </w:r>
      <w:r>
        <w:rPr>
          <w:spacing w:val="-4"/>
        </w:rPr>
        <w:t xml:space="preserve"> </w:t>
      </w:r>
      <w:r>
        <w:t>have</w:t>
      </w:r>
      <w:r>
        <w:rPr>
          <w:spacing w:val="-4"/>
        </w:rPr>
        <w:t xml:space="preserve"> </w:t>
      </w:r>
      <w:r>
        <w:t>added</w:t>
      </w:r>
      <w:r>
        <w:rPr>
          <w:spacing w:val="-3"/>
        </w:rPr>
        <w:t xml:space="preserve"> </w:t>
      </w:r>
      <w:r>
        <w:t>the</w:t>
      </w:r>
      <w:r>
        <w:rPr>
          <w:spacing w:val="-4"/>
        </w:rPr>
        <w:t xml:space="preserve"> </w:t>
      </w:r>
      <w:r>
        <w:t>estimated</w:t>
      </w:r>
      <w:r>
        <w:rPr>
          <w:spacing w:val="-3"/>
        </w:rPr>
        <w:t xml:space="preserve"> </w:t>
      </w:r>
      <w:r>
        <w:t>cost</w:t>
      </w:r>
      <w:r>
        <w:rPr>
          <w:spacing w:val="-3"/>
        </w:rPr>
        <w:t xml:space="preserve"> </w:t>
      </w:r>
      <w:r>
        <w:t>of</w:t>
      </w:r>
      <w:r>
        <w:rPr>
          <w:spacing w:val="-4"/>
        </w:rPr>
        <w:t xml:space="preserve"> </w:t>
      </w:r>
      <w:r>
        <w:t>this</w:t>
      </w:r>
      <w:r>
        <w:rPr>
          <w:spacing w:val="-3"/>
        </w:rPr>
        <w:t xml:space="preserve"> </w:t>
      </w:r>
      <w:r>
        <w:t>information</w:t>
      </w:r>
      <w:r>
        <w:rPr>
          <w:spacing w:val="-3"/>
        </w:rPr>
        <w:t xml:space="preserve"> </w:t>
      </w:r>
      <w:r>
        <w:t>collection</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in section 14. This cost accounts for the time it takes for CMS to prepare the updated information and data for this information collection.</w:t>
      </w:r>
    </w:p>
    <w:p w:rsidR="0022602E" w14:paraId="3F995988" w14:textId="77777777">
      <w:pPr>
        <w:pStyle w:val="BodyText"/>
        <w:spacing w:before="34"/>
      </w:pPr>
    </w:p>
    <w:p w:rsidR="0022602E" w14:paraId="790C8215" w14:textId="77777777">
      <w:pPr>
        <w:pStyle w:val="ListParagraph"/>
        <w:numPr>
          <w:ilvl w:val="1"/>
          <w:numId w:val="1"/>
        </w:numPr>
        <w:tabs>
          <w:tab w:val="left" w:pos="645"/>
        </w:tabs>
        <w:ind w:left="645"/>
        <w:rPr>
          <w:sz w:val="24"/>
        </w:rPr>
      </w:pPr>
      <w:bookmarkStart w:id="17" w:name="16._Publication/Tabulation_Dates"/>
      <w:bookmarkEnd w:id="17"/>
      <w:r>
        <w:rPr>
          <w:spacing w:val="2"/>
          <w:sz w:val="24"/>
        </w:rPr>
        <w:t xml:space="preserve"> </w:t>
      </w:r>
      <w:r>
        <w:rPr>
          <w:sz w:val="24"/>
        </w:rPr>
        <w:t>Publication/Tabulation</w:t>
      </w:r>
      <w:r>
        <w:rPr>
          <w:spacing w:val="-3"/>
          <w:sz w:val="24"/>
        </w:rPr>
        <w:t xml:space="preserve"> </w:t>
      </w:r>
      <w:r>
        <w:rPr>
          <w:spacing w:val="-4"/>
          <w:sz w:val="24"/>
        </w:rPr>
        <w:t>Dates</w:t>
      </w:r>
    </w:p>
    <w:p w:rsidR="0022602E" w14:paraId="6FE74B00" w14:textId="77777777">
      <w:pPr>
        <w:pStyle w:val="BodyText"/>
        <w:spacing w:before="43"/>
      </w:pPr>
    </w:p>
    <w:p w:rsidR="0022602E" w14:paraId="17352415" w14:textId="77777777">
      <w:pPr>
        <w:pStyle w:val="BodyText"/>
        <w:ind w:left="619"/>
      </w:pPr>
      <w:r>
        <w:t>There</w:t>
      </w:r>
      <w:r>
        <w:rPr>
          <w:spacing w:val="-1"/>
        </w:rPr>
        <w:t xml:space="preserve"> </w:t>
      </w:r>
      <w:r>
        <w:t>are</w:t>
      </w:r>
      <w:r>
        <w:rPr>
          <w:spacing w:val="-2"/>
        </w:rPr>
        <w:t xml:space="preserve"> </w:t>
      </w:r>
      <w:r>
        <w:t>no</w:t>
      </w:r>
      <w:r>
        <w:rPr>
          <w:spacing w:val="-1"/>
        </w:rPr>
        <w:t xml:space="preserve"> </w:t>
      </w:r>
      <w:r>
        <w:t>publication</w:t>
      </w:r>
      <w:r>
        <w:rPr>
          <w:spacing w:val="-1"/>
        </w:rPr>
        <w:t xml:space="preserve"> </w:t>
      </w:r>
      <w:r>
        <w:t>or</w:t>
      </w:r>
      <w:r>
        <w:rPr>
          <w:spacing w:val="-2"/>
        </w:rPr>
        <w:t xml:space="preserve"> </w:t>
      </w:r>
      <w:r>
        <w:t>tabulation</w:t>
      </w:r>
      <w:r>
        <w:rPr>
          <w:spacing w:val="-1"/>
        </w:rPr>
        <w:t xml:space="preserve"> </w:t>
      </w:r>
      <w:r>
        <w:rPr>
          <w:spacing w:val="-2"/>
        </w:rPr>
        <w:t>dates.</w:t>
      </w:r>
    </w:p>
    <w:p w:rsidR="0022602E" w14:paraId="6CB5EE73" w14:textId="77777777">
      <w:pPr>
        <w:pStyle w:val="BodyText"/>
        <w:spacing w:before="53"/>
      </w:pPr>
    </w:p>
    <w:p w:rsidR="0022602E" w:rsidRPr="002A493F" w14:paraId="1A89B428" w14:textId="77777777">
      <w:pPr>
        <w:pStyle w:val="ListParagraph"/>
        <w:numPr>
          <w:ilvl w:val="1"/>
          <w:numId w:val="1"/>
        </w:numPr>
        <w:tabs>
          <w:tab w:val="left" w:pos="698"/>
        </w:tabs>
        <w:ind w:left="698" w:hanging="367"/>
        <w:rPr>
          <w:sz w:val="24"/>
          <w:u w:val="none"/>
        </w:rPr>
      </w:pPr>
      <w:bookmarkStart w:id="18" w:name="17._Expiration_Date"/>
      <w:bookmarkEnd w:id="18"/>
      <w:r>
        <w:rPr>
          <w:sz w:val="24"/>
        </w:rPr>
        <w:t>Expiration</w:t>
      </w:r>
      <w:r>
        <w:rPr>
          <w:spacing w:val="-5"/>
          <w:sz w:val="24"/>
        </w:rPr>
        <w:t xml:space="preserve"> </w:t>
      </w:r>
      <w:r>
        <w:rPr>
          <w:spacing w:val="-4"/>
          <w:sz w:val="24"/>
        </w:rPr>
        <w:t>Date</w:t>
      </w:r>
    </w:p>
    <w:p w:rsidR="002A493F" w:rsidP="002A493F" w14:paraId="4B3315FF" w14:textId="77777777">
      <w:pPr>
        <w:pStyle w:val="ListParagraph"/>
        <w:tabs>
          <w:tab w:val="left" w:pos="698"/>
        </w:tabs>
        <w:ind w:left="698" w:firstLine="0"/>
        <w:rPr>
          <w:sz w:val="24"/>
          <w:u w:val="none"/>
        </w:rPr>
      </w:pPr>
    </w:p>
    <w:p w:rsidR="0022602E" w14:paraId="039698C8" w14:textId="77777777">
      <w:pPr>
        <w:pStyle w:val="BodyText"/>
        <w:spacing w:before="79"/>
        <w:ind w:left="619"/>
      </w:pPr>
      <w:r>
        <w:t>This</w:t>
      </w:r>
      <w:r>
        <w:rPr>
          <w:spacing w:val="-3"/>
        </w:rPr>
        <w:t xml:space="preserve"> </w:t>
      </w:r>
      <w:r>
        <w:t>collection</w:t>
      </w:r>
      <w:r>
        <w:rPr>
          <w:spacing w:val="-1"/>
        </w:rPr>
        <w:t xml:space="preserve"> </w:t>
      </w:r>
      <w:r>
        <w:t>does</w:t>
      </w:r>
      <w:r>
        <w:rPr>
          <w:spacing w:val="-1"/>
        </w:rPr>
        <w:t xml:space="preserve"> </w:t>
      </w:r>
      <w:r>
        <w:t>not</w:t>
      </w:r>
      <w:r>
        <w:rPr>
          <w:spacing w:val="-1"/>
        </w:rPr>
        <w:t xml:space="preserve"> </w:t>
      </w:r>
      <w:r>
        <w:t>have</w:t>
      </w:r>
      <w:r>
        <w:rPr>
          <w:spacing w:val="-2"/>
        </w:rPr>
        <w:t xml:space="preserve"> </w:t>
      </w:r>
      <w:r>
        <w:t>any</w:t>
      </w:r>
      <w:r>
        <w:rPr>
          <w:spacing w:val="-1"/>
        </w:rPr>
        <w:t xml:space="preserve"> </w:t>
      </w:r>
      <w:r>
        <w:t>documents</w:t>
      </w:r>
      <w:r>
        <w:rPr>
          <w:spacing w:val="-1"/>
        </w:rPr>
        <w:t xml:space="preserve"> </w:t>
      </w:r>
      <w:r>
        <w:t>associated</w:t>
      </w:r>
      <w:r>
        <w:rPr>
          <w:spacing w:val="-1"/>
        </w:rPr>
        <w:t xml:space="preserve"> </w:t>
      </w:r>
      <w:r>
        <w:t>with</w:t>
      </w:r>
      <w:r>
        <w:rPr>
          <w:spacing w:val="-1"/>
        </w:rPr>
        <w:t xml:space="preserve"> </w:t>
      </w:r>
      <w:r>
        <w:t>it</w:t>
      </w:r>
      <w:r>
        <w:rPr>
          <w:spacing w:val="-1"/>
        </w:rPr>
        <w:t xml:space="preserve"> </w:t>
      </w:r>
      <w:r>
        <w:t>to</w:t>
      </w:r>
      <w:r>
        <w:rPr>
          <w:spacing w:val="-1"/>
        </w:rPr>
        <w:t xml:space="preserve"> </w:t>
      </w:r>
      <w:r>
        <w:t>display</w:t>
      </w:r>
      <w:r>
        <w:rPr>
          <w:spacing w:val="-2"/>
        </w:rPr>
        <w:t xml:space="preserve"> </w:t>
      </w:r>
      <w:r>
        <w:t>the</w:t>
      </w:r>
      <w:r>
        <w:rPr>
          <w:spacing w:val="-1"/>
        </w:rPr>
        <w:t xml:space="preserve"> </w:t>
      </w:r>
      <w:r>
        <w:t>expiration</w:t>
      </w:r>
      <w:r>
        <w:rPr>
          <w:spacing w:val="-1"/>
        </w:rPr>
        <w:t xml:space="preserve"> </w:t>
      </w:r>
      <w:r>
        <w:rPr>
          <w:spacing w:val="-2"/>
        </w:rPr>
        <w:t>date.</w:t>
      </w:r>
    </w:p>
    <w:p w:rsidR="0022602E" w14:paraId="436FE362" w14:textId="77777777">
      <w:pPr>
        <w:pStyle w:val="BodyText"/>
        <w:spacing w:before="55"/>
      </w:pPr>
    </w:p>
    <w:p w:rsidR="0022602E" w14:paraId="3672FF51" w14:textId="77777777">
      <w:pPr>
        <w:pStyle w:val="ListParagraph"/>
        <w:numPr>
          <w:ilvl w:val="1"/>
          <w:numId w:val="1"/>
        </w:numPr>
        <w:tabs>
          <w:tab w:val="left" w:pos="698"/>
        </w:tabs>
        <w:ind w:left="698" w:hanging="367"/>
        <w:rPr>
          <w:sz w:val="24"/>
          <w:u w:val="none"/>
        </w:rPr>
      </w:pPr>
      <w:r>
        <w:rPr>
          <w:sz w:val="24"/>
        </w:rPr>
        <w:t>Certification</w:t>
      </w:r>
      <w:r>
        <w:rPr>
          <w:spacing w:val="-5"/>
          <w:sz w:val="24"/>
        </w:rPr>
        <w:t xml:space="preserve"> </w:t>
      </w:r>
      <w:r>
        <w:rPr>
          <w:spacing w:val="-2"/>
          <w:sz w:val="24"/>
        </w:rPr>
        <w:t>Statement</w:t>
      </w:r>
    </w:p>
    <w:p w:rsidR="0022602E" w14:paraId="74B9A2A9" w14:textId="77777777">
      <w:pPr>
        <w:pStyle w:val="BodyText"/>
        <w:spacing w:before="43"/>
      </w:pPr>
    </w:p>
    <w:p w:rsidR="0022602E" w14:paraId="10A21E3D" w14:textId="77777777">
      <w:pPr>
        <w:pStyle w:val="BodyText"/>
        <w:ind w:left="619"/>
      </w:pPr>
      <w:r>
        <w:t>There</w:t>
      </w:r>
      <w:r>
        <w:rPr>
          <w:spacing w:val="-1"/>
        </w:rPr>
        <w:t xml:space="preserve"> </w:t>
      </w:r>
      <w:r>
        <w:t>are</w:t>
      </w:r>
      <w:r>
        <w:rPr>
          <w:spacing w:val="-2"/>
        </w:rPr>
        <w:t xml:space="preserve"> </w:t>
      </w:r>
      <w:r>
        <w:t>no exceptions</w:t>
      </w:r>
      <w:r>
        <w:rPr>
          <w:spacing w:val="-1"/>
        </w:rPr>
        <w:t xml:space="preserve"> </w:t>
      </w:r>
      <w:r>
        <w:t>to</w:t>
      </w:r>
      <w:r>
        <w:rPr>
          <w:spacing w:val="-3"/>
        </w:rPr>
        <w:t xml:space="preserve"> </w:t>
      </w:r>
      <w:r>
        <w:t>the</w:t>
      </w:r>
      <w:r>
        <w:rPr>
          <w:spacing w:val="-2"/>
        </w:rPr>
        <w:t xml:space="preserve"> </w:t>
      </w:r>
      <w:r>
        <w:t>certification</w:t>
      </w:r>
      <w:r>
        <w:rPr>
          <w:spacing w:val="-1"/>
        </w:rPr>
        <w:t xml:space="preserve"> </w:t>
      </w:r>
      <w:r>
        <w:rPr>
          <w:spacing w:val="-2"/>
        </w:rPr>
        <w:t>statement.</w:t>
      </w:r>
    </w:p>
    <w:p w:rsidR="0022602E" w14:paraId="366ED2EB" w14:textId="77777777">
      <w:pPr>
        <w:pStyle w:val="BodyText"/>
        <w:spacing w:before="43"/>
      </w:pPr>
    </w:p>
    <w:p w:rsidR="0022602E" w14:paraId="549E4328" w14:textId="77777777">
      <w:pPr>
        <w:pStyle w:val="Heading1"/>
        <w:numPr>
          <w:ilvl w:val="0"/>
          <w:numId w:val="1"/>
        </w:numPr>
        <w:tabs>
          <w:tab w:val="left" w:pos="596"/>
        </w:tabs>
        <w:spacing w:before="1"/>
        <w:ind w:left="596" w:hanging="280"/>
      </w:pPr>
      <w:bookmarkStart w:id="19" w:name="B._Collections_of_Information_Employing_"/>
      <w:bookmarkEnd w:id="19"/>
      <w:r>
        <w:t>Collections</w:t>
      </w:r>
      <w:r>
        <w:rPr>
          <w:spacing w:val="-6"/>
        </w:rPr>
        <w:t xml:space="preserve"> </w:t>
      </w:r>
      <w:r>
        <w:t>of</w:t>
      </w:r>
      <w:r>
        <w:rPr>
          <w:spacing w:val="-4"/>
        </w:rPr>
        <w:t xml:space="preserve"> </w:t>
      </w:r>
      <w:r>
        <w:t>Information</w:t>
      </w:r>
      <w:r>
        <w:rPr>
          <w:spacing w:val="-3"/>
        </w:rPr>
        <w:t xml:space="preserve"> </w:t>
      </w:r>
      <w:r>
        <w:t>Employing</w:t>
      </w:r>
      <w:r>
        <w:rPr>
          <w:spacing w:val="-5"/>
        </w:rPr>
        <w:t xml:space="preserve"> </w:t>
      </w:r>
      <w:r>
        <w:t>Statistical</w:t>
      </w:r>
      <w:r>
        <w:rPr>
          <w:spacing w:val="-3"/>
        </w:rPr>
        <w:t xml:space="preserve"> </w:t>
      </w:r>
      <w:r>
        <w:rPr>
          <w:spacing w:val="-2"/>
        </w:rPr>
        <w:t>Methods</w:t>
      </w:r>
    </w:p>
    <w:p w:rsidR="0022602E" w14:paraId="568341CD" w14:textId="77777777">
      <w:pPr>
        <w:pStyle w:val="BodyText"/>
        <w:spacing w:before="43"/>
        <w:rPr>
          <w:b/>
        </w:rPr>
      </w:pPr>
    </w:p>
    <w:p w:rsidR="0022602E" w14:paraId="04804160" w14:textId="77777777">
      <w:pPr>
        <w:pStyle w:val="BodyText"/>
        <w:ind w:left="619"/>
      </w:pPr>
      <w:r>
        <w:t>This</w:t>
      </w:r>
      <w:r>
        <w:rPr>
          <w:spacing w:val="-4"/>
        </w:rPr>
        <w:t xml:space="preserve"> </w:t>
      </w:r>
      <w:r>
        <w:t>collection</w:t>
      </w:r>
      <w:r>
        <w:rPr>
          <w:spacing w:val="-1"/>
        </w:rPr>
        <w:t xml:space="preserve"> </w:t>
      </w:r>
      <w:r>
        <w:t>of</w:t>
      </w:r>
      <w:r>
        <w:rPr>
          <w:spacing w:val="-2"/>
        </w:rPr>
        <w:t xml:space="preserve"> </w:t>
      </w:r>
      <w:r>
        <w:t>information</w:t>
      </w:r>
      <w:r>
        <w:rPr>
          <w:spacing w:val="-1"/>
        </w:rPr>
        <w:t xml:space="preserve"> </w:t>
      </w:r>
      <w:r>
        <w:t>does</w:t>
      </w:r>
      <w:r>
        <w:rPr>
          <w:spacing w:val="-2"/>
        </w:rPr>
        <w:t xml:space="preserve"> </w:t>
      </w:r>
      <w:r>
        <w:t>not</w:t>
      </w:r>
      <w:r>
        <w:rPr>
          <w:spacing w:val="-1"/>
        </w:rPr>
        <w:t xml:space="preserve"> </w:t>
      </w:r>
      <w:r>
        <w:t>employ</w:t>
      </w:r>
      <w:r>
        <w:rPr>
          <w:spacing w:val="-1"/>
        </w:rPr>
        <w:t xml:space="preserve"> </w:t>
      </w:r>
      <w:r>
        <w:t>statistical</w:t>
      </w:r>
      <w:r>
        <w:rPr>
          <w:spacing w:val="-1"/>
        </w:rPr>
        <w:t xml:space="preserve"> </w:t>
      </w:r>
      <w:r>
        <w:rPr>
          <w:spacing w:val="-2"/>
        </w:rPr>
        <w:t>methods.</w:t>
      </w:r>
    </w:p>
    <w:sectPr>
      <w:pgSz w:w="12240" w:h="15840"/>
      <w:pgMar w:top="1360" w:right="1440" w:bottom="1640" w:left="1080" w:header="0" w:footer="14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02E" w14:paraId="7F3CD704"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3805428</wp:posOffset>
              </wp:positionH>
              <wp:positionV relativeFrom="page">
                <wp:posOffset>8998542</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22602E"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08.55pt;margin-left:299.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2602E" w14:paraId="1C91D3A7"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1C304F"/>
    <w:multiLevelType w:val="hybridMultilevel"/>
    <w:tmpl w:val="25188968"/>
    <w:lvl w:ilvl="0">
      <w:start w:val="1"/>
      <w:numFmt w:val="upperLetter"/>
      <w:lvlText w:val="%1."/>
      <w:lvlJc w:val="left"/>
      <w:pPr>
        <w:ind w:left="609" w:hanging="293"/>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631" w:hanging="300"/>
      </w:pPr>
      <w:rPr>
        <w:rFonts w:hint="default"/>
        <w:spacing w:val="0"/>
        <w:w w:val="93"/>
        <w:lang w:val="en-US" w:eastAsia="en-US" w:bidi="ar-SA"/>
      </w:rPr>
    </w:lvl>
    <w:lvl w:ilvl="2">
      <w:start w:val="0"/>
      <w:numFmt w:val="bullet"/>
      <w:lvlText w:val="•"/>
      <w:lvlJc w:val="left"/>
      <w:pPr>
        <w:ind w:left="1648" w:hanging="300"/>
      </w:pPr>
      <w:rPr>
        <w:rFonts w:hint="default"/>
        <w:lang w:val="en-US" w:eastAsia="en-US" w:bidi="ar-SA"/>
      </w:rPr>
    </w:lvl>
    <w:lvl w:ilvl="3">
      <w:start w:val="0"/>
      <w:numFmt w:val="bullet"/>
      <w:lvlText w:val="•"/>
      <w:lvlJc w:val="left"/>
      <w:pPr>
        <w:ind w:left="2657" w:hanging="300"/>
      </w:pPr>
      <w:rPr>
        <w:rFonts w:hint="default"/>
        <w:lang w:val="en-US" w:eastAsia="en-US" w:bidi="ar-SA"/>
      </w:rPr>
    </w:lvl>
    <w:lvl w:ilvl="4">
      <w:start w:val="0"/>
      <w:numFmt w:val="bullet"/>
      <w:lvlText w:val="•"/>
      <w:lvlJc w:val="left"/>
      <w:pPr>
        <w:ind w:left="3666" w:hanging="300"/>
      </w:pPr>
      <w:rPr>
        <w:rFonts w:hint="default"/>
        <w:lang w:val="en-US" w:eastAsia="en-US" w:bidi="ar-SA"/>
      </w:rPr>
    </w:lvl>
    <w:lvl w:ilvl="5">
      <w:start w:val="0"/>
      <w:numFmt w:val="bullet"/>
      <w:lvlText w:val="•"/>
      <w:lvlJc w:val="left"/>
      <w:pPr>
        <w:ind w:left="4675" w:hanging="300"/>
      </w:pPr>
      <w:rPr>
        <w:rFonts w:hint="default"/>
        <w:lang w:val="en-US" w:eastAsia="en-US" w:bidi="ar-SA"/>
      </w:rPr>
    </w:lvl>
    <w:lvl w:ilvl="6">
      <w:start w:val="0"/>
      <w:numFmt w:val="bullet"/>
      <w:lvlText w:val="•"/>
      <w:lvlJc w:val="left"/>
      <w:pPr>
        <w:ind w:left="5684" w:hanging="300"/>
      </w:pPr>
      <w:rPr>
        <w:rFonts w:hint="default"/>
        <w:lang w:val="en-US" w:eastAsia="en-US" w:bidi="ar-SA"/>
      </w:rPr>
    </w:lvl>
    <w:lvl w:ilvl="7">
      <w:start w:val="0"/>
      <w:numFmt w:val="bullet"/>
      <w:lvlText w:val="•"/>
      <w:lvlJc w:val="left"/>
      <w:pPr>
        <w:ind w:left="6693" w:hanging="300"/>
      </w:pPr>
      <w:rPr>
        <w:rFonts w:hint="default"/>
        <w:lang w:val="en-US" w:eastAsia="en-US" w:bidi="ar-SA"/>
      </w:rPr>
    </w:lvl>
    <w:lvl w:ilvl="8">
      <w:start w:val="0"/>
      <w:numFmt w:val="bullet"/>
      <w:lvlText w:val="•"/>
      <w:lvlJc w:val="left"/>
      <w:pPr>
        <w:ind w:left="7702" w:hanging="300"/>
      </w:pPr>
      <w:rPr>
        <w:rFonts w:hint="default"/>
        <w:lang w:val="en-US" w:eastAsia="en-US" w:bidi="ar-SA"/>
      </w:rPr>
    </w:lvl>
  </w:abstractNum>
  <w:num w:numId="1" w16cid:durableId="14073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2E"/>
    <w:rsid w:val="00046DD8"/>
    <w:rsid w:val="00161DA3"/>
    <w:rsid w:val="0022602E"/>
    <w:rsid w:val="002332CF"/>
    <w:rsid w:val="0026762C"/>
    <w:rsid w:val="002A493F"/>
    <w:rsid w:val="00312384"/>
    <w:rsid w:val="003D430C"/>
    <w:rsid w:val="0040597C"/>
    <w:rsid w:val="005D595E"/>
    <w:rsid w:val="00675740"/>
    <w:rsid w:val="00681960"/>
    <w:rsid w:val="00685EC2"/>
    <w:rsid w:val="00757AF7"/>
    <w:rsid w:val="0086614A"/>
    <w:rsid w:val="00A730FC"/>
    <w:rsid w:val="00A8407A"/>
    <w:rsid w:val="00C63897"/>
    <w:rsid w:val="00C65587"/>
    <w:rsid w:val="00C96E34"/>
    <w:rsid w:val="00CA2B78"/>
    <w:rsid w:val="00DD17D4"/>
    <w:rsid w:val="00F82DFB"/>
    <w:rsid w:val="00FD09D9"/>
    <w:rsid w:val="00FF4FF8"/>
    <w:rsid w:val="52A15B4D"/>
    <w:rsid w:val="576641E6"/>
    <w:rsid w:val="58050DF6"/>
    <w:rsid w:val="61C9AD1E"/>
    <w:rsid w:val="683422F8"/>
    <w:rsid w:val="71F0EB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97E0B"/>
  <w15:docId w15:val="{23B52489-B2E5-44FF-A178-78A18590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1" w:hanging="2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143" w:right="2779"/>
      <w:jc w:val="center"/>
    </w:pPr>
    <w:rPr>
      <w:sz w:val="28"/>
      <w:szCs w:val="28"/>
    </w:rPr>
  </w:style>
  <w:style w:type="paragraph" w:styleId="ListParagraph">
    <w:name w:val="List Paragraph"/>
    <w:basedOn w:val="Normal"/>
    <w:uiPriority w:val="1"/>
    <w:qFormat/>
    <w:pPr>
      <w:ind w:left="631" w:hanging="300"/>
    </w:pPr>
    <w:rPr>
      <w:u w:val="single" w:color="000000"/>
    </w:rPr>
  </w:style>
  <w:style w:type="paragraph" w:customStyle="1" w:styleId="TableParagraph">
    <w:name w:val="Table Paragraph"/>
    <w:basedOn w:val="Normal"/>
    <w:uiPriority w:val="1"/>
    <w:qFormat/>
    <w:pPr>
      <w:spacing w:before="63"/>
      <w:ind w:left="109"/>
    </w:pPr>
  </w:style>
  <w:style w:type="paragraph" w:styleId="Revision">
    <w:name w:val="Revision"/>
    <w:hidden/>
    <w:uiPriority w:val="99"/>
    <w:semiHidden/>
    <w:rsid w:val="00757AF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7AF7"/>
    <w:rPr>
      <w:sz w:val="16"/>
      <w:szCs w:val="16"/>
    </w:rPr>
  </w:style>
  <w:style w:type="paragraph" w:styleId="CommentText">
    <w:name w:val="annotation text"/>
    <w:basedOn w:val="Normal"/>
    <w:link w:val="CommentTextChar"/>
    <w:uiPriority w:val="99"/>
    <w:unhideWhenUsed/>
    <w:rsid w:val="00757AF7"/>
    <w:rPr>
      <w:sz w:val="20"/>
      <w:szCs w:val="20"/>
    </w:rPr>
  </w:style>
  <w:style w:type="character" w:customStyle="1" w:styleId="CommentTextChar">
    <w:name w:val="Comment Text Char"/>
    <w:basedOn w:val="DefaultParagraphFont"/>
    <w:link w:val="CommentText"/>
    <w:uiPriority w:val="99"/>
    <w:rsid w:val="00757A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7AF7"/>
    <w:rPr>
      <w:b/>
      <w:bCs/>
    </w:rPr>
  </w:style>
  <w:style w:type="character" w:customStyle="1" w:styleId="CommentSubjectChar">
    <w:name w:val="Comment Subject Char"/>
    <w:basedOn w:val="CommentTextChar"/>
    <w:link w:val="CommentSubject"/>
    <w:uiPriority w:val="99"/>
    <w:semiHidden/>
    <w:rsid w:val="00757AF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D59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2016/may/oes131199.htm" TargetMode="External" /><Relationship Id="rId11" Type="http://schemas.openxmlformats.org/officeDocument/2006/relationships/hyperlink" Target="https://www.opm.gov/policy-data-oversight/pay-leave/salaries-wages/salary-tables/26Tables/html/DCB_h.aspx"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s://www.dol.gov/whd/minimumwage.htm" TargetMode="External" /><Relationship Id="rId9" Type="http://schemas.openxmlformats.org/officeDocument/2006/relationships/hyperlink" Target="https://www.bls.gov/oes/current/oes131198.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56AD9A4C4E84181951B088B276A01" ma:contentTypeVersion="15" ma:contentTypeDescription="Create a new document." ma:contentTypeScope="" ma:versionID="b38122eeb2c638a95e360c1e0485ff28">
  <xsd:schema xmlns:xsd="http://www.w3.org/2001/XMLSchema" xmlns:xs="http://www.w3.org/2001/XMLSchema" xmlns:p="http://schemas.microsoft.com/office/2006/metadata/properties" xmlns:ns1="http://schemas.microsoft.com/sharepoint/v3" xmlns:ns2="027759c1-64eb-41f9-af32-7186e2173287" targetNamespace="http://schemas.microsoft.com/office/2006/metadata/properties" ma:root="true" ma:fieldsID="3caec1f481b08ccf5e00eae521eecaca" ns1:_="" ns2:_="">
    <xsd:import namespace="http://schemas.microsoft.com/sharepoint/v3"/>
    <xsd:import namespace="027759c1-64eb-41f9-af32-7186e2173287"/>
    <xsd:element name="properties">
      <xsd:complexType>
        <xsd:sequence>
          <xsd:element name="documentManagement">
            <xsd:complexType>
              <xsd:all>
                <xsd:element ref="ns1:Categorie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4" nillable="true" ma:displayName="Categories" ma:description=""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759c1-64eb-41f9-af32-7186e21732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ies xmlns="http://schemas.microsoft.com/sharepoint/v3"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7166476E-9E52-431C-8F39-AC261C2A7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7759c1-64eb-41f9-af32-7186e217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0DF23-7EC1-4B40-B196-A15B52C8BB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69F635-A2EF-4185-B121-AB6591A08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2947</Words>
  <Characters>16712</Characters>
  <Application>Microsoft Office Word</Application>
  <DocSecurity>0</DocSecurity>
  <Lines>348</Lines>
  <Paragraphs>114</Paragraphs>
  <ScaleCrop>false</ScaleCrop>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CMS-10544</dc:title>
  <dc:creator>CMS</dc:creator>
  <cp:lastModifiedBy>McKenzie, Stephan (CMS/OSORA)</cp:lastModifiedBy>
  <cp:revision>9</cp:revision>
  <dcterms:created xsi:type="dcterms:W3CDTF">2026-06-02T23:15:00Z</dcterms:created>
  <dcterms:modified xsi:type="dcterms:W3CDTF">2026-07-17T13:14:00Z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0x0101007BB56AD9A4C4E84181951B088B276A01</vt:lpwstr>
  </property>
  <property fmtid="{D5CDD505-2E9C-101B-9397-08002B2CF9AE}" pid="3" name="Created">
    <vt:filetime>2026-02-26T00:00:00Z</vt:filetime>
  </property>
  <property fmtid="{D5CDD505-2E9C-101B-9397-08002B2CF9AE}" pid="4" name="Creator">
    <vt:lpwstr>Acrobat PDFMaker 25 for Word</vt:lpwstr>
  </property>
  <property fmtid="{D5CDD505-2E9C-101B-9397-08002B2CF9AE}" pid="5" name="docLang">
    <vt:lpwstr>en</vt:lpwstr>
  </property>
  <property fmtid="{D5CDD505-2E9C-101B-9397-08002B2CF9AE}" pid="6" name="LastSaved">
    <vt:filetime>2026-03-13T00:00:00Z</vt:filetime>
  </property>
  <property fmtid="{D5CDD505-2E9C-101B-9397-08002B2CF9AE}" pid="7" name="Producer">
    <vt:lpwstr>Adobe PDF Library 25.1.231</vt:lpwstr>
  </property>
  <property fmtid="{D5CDD505-2E9C-101B-9397-08002B2CF9AE}" pid="8" name="SourceModified">
    <vt:lpwstr>D:20260220171749</vt:lpwstr>
  </property>
</Properties>
</file>