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8452B" w:rsidRPr="00D94F41" w:rsidP="003179FB" w14:paraId="14134641" w14:textId="4E604CFD">
      <w:pPr>
        <w:pStyle w:val="Heading1"/>
        <w:spacing w:before="480" w:after="2880" w:line="264" w:lineRule="auto"/>
        <w:ind w:left="0" w:right="0"/>
      </w:pPr>
      <w:r w:rsidRPr="00D94F41">
        <w:t>Supporting Statement B</w:t>
      </w:r>
      <w:r w:rsidR="00632E4F">
        <w:t xml:space="preserve"> </w:t>
      </w:r>
      <w:r w:rsidRPr="00D94F41" w:rsidR="00AA22B0">
        <w:br/>
      </w:r>
      <w:r w:rsidRPr="00D94F41">
        <w:t xml:space="preserve">For Revision of Currently Approved Collection: </w:t>
      </w:r>
      <w:r w:rsidRPr="00D94F41" w:rsidR="00AA22B0">
        <w:br/>
      </w:r>
      <w:r w:rsidRPr="00D94F41">
        <w:t>Medicare Current Beneficiary Survey (MCBS)</w:t>
      </w:r>
    </w:p>
    <w:p w:rsidR="00066B99" w:rsidRPr="00D94F41" w:rsidP="00066B99" w14:paraId="0AF679AC" w14:textId="77777777">
      <w:pPr>
        <w:pStyle w:val="BodyText"/>
        <w:spacing w:after="240"/>
        <w:jc w:val="center"/>
        <w:rPr>
          <w:sz w:val="28"/>
          <w:szCs w:val="28"/>
        </w:rPr>
      </w:pPr>
      <w:r w:rsidRPr="00D94F41">
        <w:rPr>
          <w:sz w:val="28"/>
          <w:szCs w:val="28"/>
        </w:rPr>
        <w:t>Contact Information:</w:t>
      </w:r>
    </w:p>
    <w:p w:rsidR="00632E4F" w:rsidP="003179FB" w14:paraId="6D4A79B5" w14:textId="77777777">
      <w:pPr>
        <w:pStyle w:val="BodyText"/>
        <w:spacing w:after="120"/>
        <w:jc w:val="center"/>
        <w:rPr>
          <w:sz w:val="28"/>
          <w:szCs w:val="28"/>
        </w:rPr>
      </w:pPr>
      <w:r w:rsidRPr="00D94F41">
        <w:rPr>
          <w:sz w:val="28"/>
          <w:szCs w:val="28"/>
        </w:rPr>
        <w:t>William S. Long</w:t>
      </w:r>
    </w:p>
    <w:p w:rsidR="00632E4F" w:rsidP="003179FB" w14:paraId="55BDE468" w14:textId="2EEF1633">
      <w:pPr>
        <w:pStyle w:val="BodyText"/>
        <w:spacing w:after="120"/>
        <w:jc w:val="center"/>
        <w:rPr>
          <w:sz w:val="28"/>
          <w:szCs w:val="28"/>
        </w:rPr>
      </w:pPr>
      <w:r w:rsidRPr="44558A9E">
        <w:rPr>
          <w:sz w:val="28"/>
          <w:szCs w:val="28"/>
        </w:rPr>
        <w:t>Contracting Officer’s Representative, Medicare Current Beneficiary Survey</w:t>
      </w:r>
    </w:p>
    <w:p w:rsidR="00632E4F" w:rsidP="003179FB" w14:paraId="2613DC70" w14:textId="03355D5A">
      <w:pPr>
        <w:pStyle w:val="BodyText"/>
        <w:spacing w:after="120"/>
        <w:jc w:val="center"/>
        <w:rPr>
          <w:sz w:val="28"/>
          <w:szCs w:val="28"/>
        </w:rPr>
      </w:pPr>
      <w:r w:rsidRPr="44558A9E">
        <w:rPr>
          <w:sz w:val="28"/>
          <w:szCs w:val="28"/>
        </w:rPr>
        <w:t>Office of Enterprise Data and Analytics (OEDA)/CMS</w:t>
      </w:r>
    </w:p>
    <w:p w:rsidR="00632E4F" w:rsidP="003179FB" w14:paraId="18AC819F" w14:textId="6B030635">
      <w:pPr>
        <w:pStyle w:val="BodyText"/>
        <w:spacing w:after="120"/>
        <w:jc w:val="center"/>
        <w:rPr>
          <w:sz w:val="28"/>
          <w:szCs w:val="28"/>
        </w:rPr>
      </w:pPr>
      <w:r w:rsidRPr="24B1E477">
        <w:rPr>
          <w:sz w:val="28"/>
          <w:szCs w:val="28"/>
        </w:rPr>
        <w:t>7500 Security Boulevard, Mail Stop Mailstop N2-19-197</w:t>
      </w:r>
    </w:p>
    <w:p w:rsidR="00632E4F" w:rsidP="003179FB" w14:paraId="1A34DD7C" w14:textId="77777777">
      <w:pPr>
        <w:pStyle w:val="BodyText"/>
        <w:spacing w:after="120"/>
        <w:jc w:val="center"/>
        <w:rPr>
          <w:sz w:val="28"/>
          <w:szCs w:val="28"/>
        </w:rPr>
      </w:pPr>
      <w:r w:rsidRPr="24B1E477">
        <w:rPr>
          <w:sz w:val="28"/>
          <w:szCs w:val="28"/>
        </w:rPr>
        <w:t>Baltimore, MD 21244</w:t>
      </w:r>
    </w:p>
    <w:p w:rsidR="00632E4F" w:rsidP="00066B99" w14:paraId="2742F290" w14:textId="5CB8449F">
      <w:pPr>
        <w:pStyle w:val="BodyText"/>
        <w:spacing w:after="960"/>
        <w:jc w:val="center"/>
        <w:rPr>
          <w:sz w:val="28"/>
          <w:szCs w:val="28"/>
        </w:rPr>
      </w:pPr>
      <w:hyperlink r:id="rId6" w:tooltip="Email William Long" w:history="1">
        <w:r w:rsidRPr="24B1E477">
          <w:rPr>
            <w:sz w:val="28"/>
            <w:szCs w:val="28"/>
            <w:u w:val="single"/>
          </w:rPr>
          <w:t>william.long@cms.hhs.gov</w:t>
        </w:r>
      </w:hyperlink>
      <w:r w:rsidRPr="24B1E477">
        <w:rPr>
          <w:sz w:val="28"/>
          <w:szCs w:val="28"/>
        </w:rPr>
        <w:t xml:space="preserve"> (410) 786-7927</w:t>
      </w:r>
    </w:p>
    <w:p w:rsidR="0088452B" w:rsidRPr="00CF2B93" w:rsidP="003179FB" w14:paraId="039AB3FA" w14:textId="4B5D4C4C">
      <w:pPr>
        <w:pStyle w:val="BodyText"/>
        <w:spacing w:before="1080"/>
        <w:jc w:val="center"/>
      </w:pPr>
      <w:r w:rsidRPr="009A6100">
        <w:t xml:space="preserve">July </w:t>
      </w:r>
      <w:r w:rsidR="00A922B8">
        <w:t>21</w:t>
      </w:r>
      <w:r w:rsidRPr="009A6100" w:rsidR="005F12B2">
        <w:t>, 2026</w:t>
      </w:r>
    </w:p>
    <w:p w:rsidR="0088452B" w:rsidRPr="00D94F41" w14:paraId="60F72588" w14:textId="77777777">
      <w:pPr>
        <w:jc w:val="center"/>
        <w:rPr>
          <w:sz w:val="28"/>
        </w:rPr>
        <w:sectPr w:rsidSect="0005551B">
          <w:type w:val="continuous"/>
          <w:pgSz w:w="12240" w:h="15840" w:code="1"/>
          <w:pgMar w:top="1440" w:right="1440" w:bottom="1080" w:left="1440" w:header="720" w:footer="720" w:gutter="0"/>
          <w:cols w:space="720"/>
        </w:sectPr>
      </w:pPr>
    </w:p>
    <w:p w:rsidR="0088452B" w:rsidRPr="00D94F41" w:rsidP="00AA22B0" w14:paraId="0467B697" w14:textId="77777777">
      <w:pPr>
        <w:pStyle w:val="Heading2-NoTOC"/>
      </w:pPr>
      <w:bookmarkStart w:id="0" w:name="Table_of_Contents"/>
      <w:bookmarkEnd w:id="0"/>
      <w:r w:rsidRPr="00D94F41">
        <w:t>Table of Contents</w:t>
      </w:r>
    </w:p>
    <w:p w:rsidR="008C3393" w14:paraId="1C40AE38" w14:textId="24362EA3">
      <w:pPr>
        <w:pStyle w:val="TOC1"/>
        <w:rPr>
          <w:rFonts w:asciiTheme="minorHAnsi" w:eastAsiaTheme="minorEastAsia" w:hAnsiTheme="minorHAnsi" w:cstheme="minorBidi"/>
          <w:kern w:val="2"/>
          <w:szCs w:val="24"/>
          <w14:ligatures w14:val="standardContextual"/>
        </w:rPr>
      </w:pPr>
      <w:r w:rsidRPr="00D94F41">
        <w:rPr>
          <w:szCs w:val="24"/>
        </w:rPr>
        <w:fldChar w:fldCharType="begin"/>
      </w:r>
      <w:r w:rsidRPr="00D94F41">
        <w:rPr>
          <w:szCs w:val="24"/>
        </w:rPr>
        <w:instrText xml:space="preserve"> TOC \h \z \t "Heading 2,1,Heading 3,2" </w:instrText>
      </w:r>
      <w:r w:rsidRPr="00D94F41">
        <w:rPr>
          <w:szCs w:val="24"/>
        </w:rPr>
        <w:fldChar w:fldCharType="separate"/>
      </w:r>
      <w:hyperlink w:anchor="_Toc235370772" w:history="1">
        <w:r w:rsidRPr="008171F7">
          <w:rPr>
            <w:rStyle w:val="Hyperlink"/>
          </w:rPr>
          <w:t>B.</w:t>
        </w:r>
        <w:r>
          <w:rPr>
            <w:rFonts w:asciiTheme="minorHAnsi" w:eastAsiaTheme="minorEastAsia" w:hAnsiTheme="minorHAnsi" w:cstheme="minorBidi"/>
            <w:kern w:val="2"/>
            <w:szCs w:val="24"/>
            <w14:ligatures w14:val="standardContextual"/>
          </w:rPr>
          <w:tab/>
        </w:r>
        <w:r w:rsidRPr="008171F7">
          <w:rPr>
            <w:rStyle w:val="Hyperlink"/>
          </w:rPr>
          <w:t>Statistical Methods</w:t>
        </w:r>
        <w:r>
          <w:rPr>
            <w:webHidden/>
          </w:rPr>
          <w:tab/>
        </w:r>
        <w:r>
          <w:rPr>
            <w:webHidden/>
          </w:rPr>
          <w:fldChar w:fldCharType="begin"/>
        </w:r>
        <w:r>
          <w:rPr>
            <w:webHidden/>
          </w:rPr>
          <w:instrText xml:space="preserve"> PAGEREF _Toc235370772 \h </w:instrText>
        </w:r>
        <w:r>
          <w:rPr>
            <w:webHidden/>
          </w:rPr>
          <w:fldChar w:fldCharType="separate"/>
        </w:r>
        <w:r>
          <w:rPr>
            <w:webHidden/>
          </w:rPr>
          <w:t>1</w:t>
        </w:r>
        <w:r>
          <w:rPr>
            <w:webHidden/>
          </w:rPr>
          <w:fldChar w:fldCharType="end"/>
        </w:r>
      </w:hyperlink>
    </w:p>
    <w:p w:rsidR="008C3393" w14:paraId="78684B92" w14:textId="3EEC078C">
      <w:pPr>
        <w:pStyle w:val="TOC2"/>
        <w:rPr>
          <w:rFonts w:asciiTheme="minorHAnsi" w:eastAsiaTheme="minorEastAsia" w:hAnsiTheme="minorHAnsi" w:cstheme="minorBidi"/>
          <w:kern w:val="2"/>
          <w:szCs w:val="24"/>
          <w14:ligatures w14:val="standardContextual"/>
        </w:rPr>
      </w:pPr>
      <w:hyperlink w:anchor="_Toc235370773" w:history="1">
        <w:r w:rsidRPr="008171F7">
          <w:rPr>
            <w:rStyle w:val="Hyperlink"/>
          </w:rPr>
          <w:t>B1.</w:t>
        </w:r>
        <w:r>
          <w:rPr>
            <w:rFonts w:asciiTheme="minorHAnsi" w:eastAsiaTheme="minorEastAsia" w:hAnsiTheme="minorHAnsi" w:cstheme="minorBidi"/>
            <w:kern w:val="2"/>
            <w:szCs w:val="24"/>
            <w14:ligatures w14:val="standardContextual"/>
          </w:rPr>
          <w:tab/>
        </w:r>
        <w:r w:rsidRPr="008171F7">
          <w:rPr>
            <w:rStyle w:val="Hyperlink"/>
          </w:rPr>
          <w:t>Universe and Respondent Selection</w:t>
        </w:r>
        <w:r>
          <w:rPr>
            <w:webHidden/>
          </w:rPr>
          <w:tab/>
        </w:r>
        <w:r>
          <w:rPr>
            <w:webHidden/>
          </w:rPr>
          <w:fldChar w:fldCharType="begin"/>
        </w:r>
        <w:r>
          <w:rPr>
            <w:webHidden/>
          </w:rPr>
          <w:instrText xml:space="preserve"> PAGEREF _Toc235370773 \h </w:instrText>
        </w:r>
        <w:r>
          <w:rPr>
            <w:webHidden/>
          </w:rPr>
          <w:fldChar w:fldCharType="separate"/>
        </w:r>
        <w:r>
          <w:rPr>
            <w:webHidden/>
          </w:rPr>
          <w:t>2</w:t>
        </w:r>
        <w:r>
          <w:rPr>
            <w:webHidden/>
          </w:rPr>
          <w:fldChar w:fldCharType="end"/>
        </w:r>
      </w:hyperlink>
    </w:p>
    <w:p w:rsidR="008C3393" w14:paraId="542806D7" w14:textId="5A162DD9">
      <w:pPr>
        <w:pStyle w:val="TOC2"/>
        <w:rPr>
          <w:rFonts w:asciiTheme="minorHAnsi" w:eastAsiaTheme="minorEastAsia" w:hAnsiTheme="minorHAnsi" w:cstheme="minorBidi"/>
          <w:kern w:val="2"/>
          <w:szCs w:val="24"/>
          <w14:ligatures w14:val="standardContextual"/>
        </w:rPr>
      </w:pPr>
      <w:hyperlink w:anchor="_Toc235370774" w:history="1">
        <w:r w:rsidRPr="008171F7">
          <w:rPr>
            <w:rStyle w:val="Hyperlink"/>
          </w:rPr>
          <w:t>B2.</w:t>
        </w:r>
        <w:r>
          <w:rPr>
            <w:rFonts w:asciiTheme="minorHAnsi" w:eastAsiaTheme="minorEastAsia" w:hAnsiTheme="minorHAnsi" w:cstheme="minorBidi"/>
            <w:kern w:val="2"/>
            <w:szCs w:val="24"/>
            <w14:ligatures w14:val="standardContextual"/>
          </w:rPr>
          <w:tab/>
        </w:r>
        <w:r w:rsidRPr="008171F7">
          <w:rPr>
            <w:rStyle w:val="Hyperlink"/>
          </w:rPr>
          <w:t>Procedures for Collecting Information</w:t>
        </w:r>
        <w:r>
          <w:rPr>
            <w:webHidden/>
          </w:rPr>
          <w:tab/>
        </w:r>
        <w:r>
          <w:rPr>
            <w:webHidden/>
          </w:rPr>
          <w:fldChar w:fldCharType="begin"/>
        </w:r>
        <w:r>
          <w:rPr>
            <w:webHidden/>
          </w:rPr>
          <w:instrText xml:space="preserve"> PAGEREF _Toc235370774 \h </w:instrText>
        </w:r>
        <w:r>
          <w:rPr>
            <w:webHidden/>
          </w:rPr>
          <w:fldChar w:fldCharType="separate"/>
        </w:r>
        <w:r>
          <w:rPr>
            <w:webHidden/>
          </w:rPr>
          <w:t>5</w:t>
        </w:r>
        <w:r>
          <w:rPr>
            <w:webHidden/>
          </w:rPr>
          <w:fldChar w:fldCharType="end"/>
        </w:r>
      </w:hyperlink>
    </w:p>
    <w:p w:rsidR="008C3393" w14:paraId="1E9B480A" w14:textId="68206626">
      <w:pPr>
        <w:pStyle w:val="TOC2"/>
        <w:rPr>
          <w:rFonts w:asciiTheme="minorHAnsi" w:eastAsiaTheme="minorEastAsia" w:hAnsiTheme="minorHAnsi" w:cstheme="minorBidi"/>
          <w:kern w:val="2"/>
          <w:szCs w:val="24"/>
          <w14:ligatures w14:val="standardContextual"/>
        </w:rPr>
      </w:pPr>
      <w:hyperlink w:anchor="_Toc235370775" w:history="1">
        <w:r w:rsidRPr="008171F7">
          <w:rPr>
            <w:rStyle w:val="Hyperlink"/>
          </w:rPr>
          <w:t>B3.</w:t>
        </w:r>
        <w:r>
          <w:rPr>
            <w:rFonts w:asciiTheme="minorHAnsi" w:eastAsiaTheme="minorEastAsia" w:hAnsiTheme="minorHAnsi" w:cstheme="minorBidi"/>
            <w:kern w:val="2"/>
            <w:szCs w:val="24"/>
            <w14:ligatures w14:val="standardContextual"/>
          </w:rPr>
          <w:tab/>
        </w:r>
        <w:r w:rsidRPr="008171F7">
          <w:rPr>
            <w:rStyle w:val="Hyperlink"/>
          </w:rPr>
          <w:t>Methods for Maximizing Response Rates and Dealing with Issues of Non-Response</w:t>
        </w:r>
        <w:r>
          <w:rPr>
            <w:webHidden/>
          </w:rPr>
          <w:tab/>
        </w:r>
        <w:r>
          <w:rPr>
            <w:webHidden/>
          </w:rPr>
          <w:fldChar w:fldCharType="begin"/>
        </w:r>
        <w:r>
          <w:rPr>
            <w:webHidden/>
          </w:rPr>
          <w:instrText xml:space="preserve"> PAGEREF _Toc235370775 \h </w:instrText>
        </w:r>
        <w:r>
          <w:rPr>
            <w:webHidden/>
          </w:rPr>
          <w:fldChar w:fldCharType="separate"/>
        </w:r>
        <w:r>
          <w:rPr>
            <w:webHidden/>
          </w:rPr>
          <w:t>25</w:t>
        </w:r>
        <w:r>
          <w:rPr>
            <w:webHidden/>
          </w:rPr>
          <w:fldChar w:fldCharType="end"/>
        </w:r>
      </w:hyperlink>
    </w:p>
    <w:p w:rsidR="008C3393" w14:paraId="46276A9E" w14:textId="7BBD3885">
      <w:pPr>
        <w:pStyle w:val="TOC2"/>
        <w:rPr>
          <w:rFonts w:asciiTheme="minorHAnsi" w:eastAsiaTheme="minorEastAsia" w:hAnsiTheme="minorHAnsi" w:cstheme="minorBidi"/>
          <w:kern w:val="2"/>
          <w:szCs w:val="24"/>
          <w14:ligatures w14:val="standardContextual"/>
        </w:rPr>
      </w:pPr>
      <w:hyperlink w:anchor="_Toc235370776" w:history="1">
        <w:r w:rsidRPr="008171F7">
          <w:rPr>
            <w:rStyle w:val="Hyperlink"/>
          </w:rPr>
          <w:t>B4.</w:t>
        </w:r>
        <w:r>
          <w:rPr>
            <w:rFonts w:asciiTheme="minorHAnsi" w:eastAsiaTheme="minorEastAsia" w:hAnsiTheme="minorHAnsi" w:cstheme="minorBidi"/>
            <w:kern w:val="2"/>
            <w:szCs w:val="24"/>
            <w14:ligatures w14:val="standardContextual"/>
          </w:rPr>
          <w:tab/>
        </w:r>
        <w:r w:rsidRPr="008171F7">
          <w:rPr>
            <w:rStyle w:val="Hyperlink"/>
          </w:rPr>
          <w:t>Tests of Procedures or Methods</w:t>
        </w:r>
        <w:r>
          <w:rPr>
            <w:webHidden/>
          </w:rPr>
          <w:tab/>
        </w:r>
        <w:r>
          <w:rPr>
            <w:webHidden/>
          </w:rPr>
          <w:fldChar w:fldCharType="begin"/>
        </w:r>
        <w:r>
          <w:rPr>
            <w:webHidden/>
          </w:rPr>
          <w:instrText xml:space="preserve"> PAGEREF _Toc235370776 \h </w:instrText>
        </w:r>
        <w:r>
          <w:rPr>
            <w:webHidden/>
          </w:rPr>
          <w:fldChar w:fldCharType="separate"/>
        </w:r>
        <w:r>
          <w:rPr>
            <w:webHidden/>
          </w:rPr>
          <w:t>28</w:t>
        </w:r>
        <w:r>
          <w:rPr>
            <w:webHidden/>
          </w:rPr>
          <w:fldChar w:fldCharType="end"/>
        </w:r>
      </w:hyperlink>
    </w:p>
    <w:p w:rsidR="008C3393" w14:paraId="71321812" w14:textId="798842C1">
      <w:pPr>
        <w:pStyle w:val="TOC2"/>
        <w:rPr>
          <w:rFonts w:asciiTheme="minorHAnsi" w:eastAsiaTheme="minorEastAsia" w:hAnsiTheme="minorHAnsi" w:cstheme="minorBidi"/>
          <w:kern w:val="2"/>
          <w:szCs w:val="24"/>
          <w14:ligatures w14:val="standardContextual"/>
        </w:rPr>
      </w:pPr>
      <w:hyperlink w:anchor="_Toc235370777" w:history="1">
        <w:r w:rsidRPr="008171F7">
          <w:rPr>
            <w:rStyle w:val="Hyperlink"/>
          </w:rPr>
          <w:t>B5.</w:t>
        </w:r>
        <w:r>
          <w:rPr>
            <w:rFonts w:asciiTheme="minorHAnsi" w:eastAsiaTheme="minorEastAsia" w:hAnsiTheme="minorHAnsi" w:cstheme="minorBidi"/>
            <w:kern w:val="2"/>
            <w:szCs w:val="24"/>
            <w14:ligatures w14:val="standardContextual"/>
          </w:rPr>
          <w:tab/>
        </w:r>
        <w:r w:rsidRPr="008171F7">
          <w:rPr>
            <w:rStyle w:val="Hyperlink"/>
          </w:rPr>
          <w:t>Individuals Consulted on Statistical Aspects of Design</w:t>
        </w:r>
        <w:r>
          <w:rPr>
            <w:webHidden/>
          </w:rPr>
          <w:tab/>
        </w:r>
        <w:r>
          <w:rPr>
            <w:webHidden/>
          </w:rPr>
          <w:fldChar w:fldCharType="begin"/>
        </w:r>
        <w:r>
          <w:rPr>
            <w:webHidden/>
          </w:rPr>
          <w:instrText xml:space="preserve"> PAGEREF _Toc235370777 \h </w:instrText>
        </w:r>
        <w:r>
          <w:rPr>
            <w:webHidden/>
          </w:rPr>
          <w:fldChar w:fldCharType="separate"/>
        </w:r>
        <w:r>
          <w:rPr>
            <w:webHidden/>
          </w:rPr>
          <w:t>28</w:t>
        </w:r>
        <w:r>
          <w:rPr>
            <w:webHidden/>
          </w:rPr>
          <w:fldChar w:fldCharType="end"/>
        </w:r>
      </w:hyperlink>
    </w:p>
    <w:p w:rsidR="003B695E" w:rsidRPr="00CF2B93" w:rsidP="00DF1C0C" w14:paraId="1053EB5C" w14:textId="29D2613A">
      <w:pPr>
        <w:pStyle w:val="TOC2"/>
      </w:pPr>
      <w:r w:rsidRPr="00D94F41">
        <w:rPr>
          <w:szCs w:val="24"/>
        </w:rPr>
        <w:fldChar w:fldCharType="end"/>
      </w:r>
    </w:p>
    <w:p w:rsidR="0088452B" w:rsidRPr="00D94F41" w14:paraId="518E2025" w14:textId="77777777">
      <w:pPr>
        <w:sectPr w:rsidSect="0005551B">
          <w:footerReference w:type="default" r:id="rId7"/>
          <w:pgSz w:w="12240" w:h="15840" w:code="1"/>
          <w:pgMar w:top="1440" w:right="1440" w:bottom="1440" w:left="1440" w:header="720" w:footer="720" w:gutter="0"/>
          <w:pgNumType w:fmt="lowerRoman" w:start="1"/>
          <w:cols w:space="720"/>
        </w:sectPr>
      </w:pPr>
    </w:p>
    <w:p w:rsidR="008C5570" w:rsidRPr="00D94F41" w:rsidP="00AA22B0" w14:paraId="1AAD816F" w14:textId="77777777">
      <w:pPr>
        <w:pStyle w:val="Heading2-NoTOC"/>
        <w:tabs>
          <w:tab w:val="clear" w:pos="419"/>
        </w:tabs>
        <w:ind w:left="0" w:firstLine="0"/>
      </w:pPr>
      <w:bookmarkStart w:id="1" w:name="List_of_Attachments"/>
      <w:bookmarkStart w:id="2" w:name="B._Statistical_Methods"/>
      <w:bookmarkStart w:id="3" w:name="B1._Universe_and_Respondent_Selection"/>
      <w:bookmarkEnd w:id="1"/>
      <w:bookmarkEnd w:id="2"/>
      <w:bookmarkEnd w:id="3"/>
      <w:r w:rsidRPr="00D94F41">
        <w:t>List of Attachments</w:t>
      </w:r>
    </w:p>
    <w:p w:rsidR="00555832" w:rsidP="00555832" w14:paraId="1C37B883" w14:textId="62C27909">
      <w:pPr>
        <w:pStyle w:val="BodyText"/>
        <w:spacing w:after="320"/>
      </w:pPr>
      <w:bookmarkStart w:id="4" w:name="OLE_LINK3"/>
      <w:r>
        <w:t>Attachment 1:</w:t>
      </w:r>
      <w:r>
        <w:tab/>
        <w:t>Community Materials</w:t>
      </w:r>
    </w:p>
    <w:p w:rsidR="00555832" w:rsidP="00555832" w14:paraId="20AE2AF8" w14:textId="756AD1E3">
      <w:pPr>
        <w:pStyle w:val="BodyText"/>
        <w:spacing w:after="320"/>
      </w:pPr>
      <w:r>
        <w:t>Attachment 2:</w:t>
      </w:r>
      <w:r>
        <w:tab/>
        <w:t>Community Instrument</w:t>
      </w:r>
      <w:r w:rsidR="00843C7D">
        <w:t>s</w:t>
      </w:r>
      <w:r>
        <w:t xml:space="preserve"> (Baseline and Continuing) and Showcards</w:t>
      </w:r>
    </w:p>
    <w:p w:rsidR="00555832" w:rsidP="00555832" w14:paraId="54B33A78" w14:textId="77777777">
      <w:pPr>
        <w:pStyle w:val="BodyText"/>
        <w:spacing w:after="320"/>
      </w:pPr>
      <w:r>
        <w:t>Attachment 3:</w:t>
      </w:r>
      <w:r>
        <w:tab/>
        <w:t>Facility Eligibility Screener</w:t>
      </w:r>
    </w:p>
    <w:p w:rsidR="00555832" w:rsidP="00555832" w14:paraId="7AD6E748" w14:textId="3653F657">
      <w:pPr>
        <w:pStyle w:val="BodyText"/>
        <w:spacing w:after="320"/>
      </w:pPr>
      <w:r>
        <w:t>Attachment 4:</w:t>
      </w:r>
      <w:r>
        <w:tab/>
        <w:t>Facility Instrument</w:t>
      </w:r>
      <w:r w:rsidR="00843C7D">
        <w:t>s</w:t>
      </w:r>
      <w:r>
        <w:t xml:space="preserve"> (Baseline and Continuing) and Showcards</w:t>
      </w:r>
    </w:p>
    <w:p w:rsidR="00555832" w:rsidRPr="004A6345" w:rsidP="00555832" w14:paraId="21739F42" w14:textId="77777777">
      <w:pPr>
        <w:pStyle w:val="BodyText"/>
        <w:spacing w:after="320"/>
      </w:pPr>
      <w:r>
        <w:t>Attachment 5:</w:t>
      </w:r>
      <w:r>
        <w:tab/>
        <w:t>Facility Materials</w:t>
      </w:r>
    </w:p>
    <w:p w:rsidR="00555832" w:rsidP="00555832" w14:paraId="6BB1623E" w14:textId="77777777">
      <w:pPr>
        <w:pStyle w:val="BodyText"/>
        <w:spacing w:after="320"/>
      </w:pPr>
      <w:r>
        <w:t>Attachment 6:</w:t>
      </w:r>
      <w:r>
        <w:tab/>
      </w:r>
      <w:r w:rsidRPr="004A6345">
        <w:t xml:space="preserve">CAPI Screenshots </w:t>
      </w:r>
      <w:r>
        <w:t>of Introductory Screen and</w:t>
      </w:r>
      <w:r w:rsidRPr="004A6345">
        <w:t xml:space="preserve"> Thank You Screen</w:t>
      </w:r>
    </w:p>
    <w:bookmarkEnd w:id="4"/>
    <w:p w:rsidR="00D9180E" w:rsidRPr="00D94F41" w:rsidP="00DF1C0C" w14:paraId="6169BE09" w14:textId="24A72B4F">
      <w:pPr>
        <w:pStyle w:val="BodyText"/>
        <w:sectPr w:rsidSect="0005551B">
          <w:footerReference w:type="default" r:id="rId8"/>
          <w:pgSz w:w="12240" w:h="15840" w:code="1"/>
          <w:pgMar w:top="1080" w:right="1440" w:bottom="1080" w:left="1440" w:header="720" w:footer="720" w:gutter="0"/>
          <w:pgNumType w:fmt="lowerRoman"/>
          <w:cols w:space="720"/>
        </w:sectPr>
      </w:pPr>
    </w:p>
    <w:p w:rsidR="0088452B" w:rsidRPr="00D94F41" w:rsidP="007F6E34" w14:paraId="5CDCF728" w14:textId="51A744E4">
      <w:pPr>
        <w:pStyle w:val="Heading2"/>
        <w:numPr>
          <w:ilvl w:val="0"/>
          <w:numId w:val="0"/>
        </w:numPr>
        <w:ind w:left="317" w:hanging="317"/>
      </w:pPr>
      <w:bookmarkStart w:id="5" w:name="_Toc91154934"/>
      <w:bookmarkStart w:id="6" w:name="_Toc235370772"/>
      <w:r w:rsidRPr="00D94F41">
        <w:t>B.</w:t>
      </w:r>
      <w:r w:rsidRPr="00D94F41">
        <w:tab/>
      </w:r>
      <w:r w:rsidRPr="00D94F41" w:rsidR="004112E2">
        <w:t>Statistical Methods</w:t>
      </w:r>
      <w:bookmarkEnd w:id="5"/>
      <w:bookmarkEnd w:id="6"/>
    </w:p>
    <w:p w:rsidR="00A03CF9" w:rsidP="008D7A5E" w14:paraId="44CD0727" w14:textId="6A1384E1">
      <w:pPr>
        <w:pStyle w:val="BodyText"/>
      </w:pPr>
      <w:r w:rsidRPr="00D94F41">
        <w:t xml:space="preserve">The revision to this OMB package includes the following modifications to the Community </w:t>
      </w:r>
      <w:r w:rsidR="00B172AE">
        <w:t xml:space="preserve">questionnaire </w:t>
      </w:r>
      <w:r w:rsidR="002068E7">
        <w:t xml:space="preserve">and Facility </w:t>
      </w:r>
      <w:r w:rsidRPr="00D94F41">
        <w:t>instrument sections</w:t>
      </w:r>
      <w:r w:rsidR="00420B0B">
        <w:t xml:space="preserve"> to </w:t>
      </w:r>
      <w:r w:rsidR="005F12B2">
        <w:t xml:space="preserve">improve policy relevance, </w:t>
      </w:r>
      <w:r w:rsidR="00B21A04">
        <w:t>reduce survey costs</w:t>
      </w:r>
      <w:r w:rsidR="005F12B2">
        <w:t>,</w:t>
      </w:r>
      <w:r w:rsidR="00B21A04">
        <w:t xml:space="preserve"> and increase </w:t>
      </w:r>
      <w:r w:rsidR="00856B3F">
        <w:t>efficiency</w:t>
      </w:r>
      <w:r w:rsidR="005F12B2">
        <w:t xml:space="preserve">. </w:t>
      </w:r>
    </w:p>
    <w:p w:rsidR="005F12B2" w:rsidP="005F12B2" w14:paraId="479B2BA1" w14:textId="1FC568FB">
      <w:pPr>
        <w:pStyle w:val="BodyText"/>
      </w:pPr>
      <w:bookmarkStart w:id="7" w:name="OLE_LINK15"/>
      <w:r>
        <w:t>To reduce respondent burden, t</w:t>
      </w:r>
      <w:r>
        <w:t xml:space="preserve">he requested deletions and revisions </w:t>
      </w:r>
      <w:r w:rsidR="002068E7">
        <w:t xml:space="preserve">in the Community </w:t>
      </w:r>
      <w:r w:rsidR="00B172AE">
        <w:t>questionnaire</w:t>
      </w:r>
      <w:r w:rsidR="002068E7">
        <w:t xml:space="preserve"> </w:t>
      </w:r>
      <w:r>
        <w:t xml:space="preserve">include: </w:t>
      </w:r>
    </w:p>
    <w:p w:rsidR="005F12B2" w:rsidP="005F12B2" w14:paraId="26E59728" w14:textId="5A59A661">
      <w:pPr>
        <w:pStyle w:val="ListBullet2"/>
      </w:pPr>
      <w:r w:rsidRPr="00EF7BDD">
        <w:t>Removing the Access to Care Questionnaire (ACQ)</w:t>
      </w:r>
      <w:r w:rsidR="00E24A78">
        <w:t>, consisting of 32 items</w:t>
      </w:r>
      <w:r w:rsidR="000E3E31">
        <w:t xml:space="preserve">. </w:t>
      </w:r>
      <w:r w:rsidR="00E24A78">
        <w:t xml:space="preserve">Seven </w:t>
      </w:r>
      <w:r w:rsidRPr="00EF7BDD">
        <w:t xml:space="preserve">ACQ items </w:t>
      </w:r>
      <w:r w:rsidR="00E24A78">
        <w:t>will be</w:t>
      </w:r>
      <w:r w:rsidRPr="00EF7BDD" w:rsidR="00E24A78">
        <w:t xml:space="preserve"> </w:t>
      </w:r>
      <w:r w:rsidRPr="00EF7BDD">
        <w:t xml:space="preserve">retained and migrated to the revised Care Coordination Questionnaire (CCQ).  </w:t>
      </w:r>
    </w:p>
    <w:p w:rsidR="005F12B2" w:rsidRPr="00EF7BDD" w:rsidP="005F12B2" w14:paraId="50E4A0F0" w14:textId="2FD7FF89">
      <w:pPr>
        <w:pStyle w:val="ListBullet2"/>
      </w:pPr>
      <w:r w:rsidRPr="00EF7BDD">
        <w:t>Removing seven items about the cost of vaccines from the Immunization Questionnaire (IMQ).</w:t>
      </w:r>
    </w:p>
    <w:p w:rsidR="005F12B2" w:rsidRPr="00EF7BDD" w:rsidP="005F12B2" w14:paraId="6DFEF4FF" w14:textId="0C72FC72">
      <w:pPr>
        <w:pStyle w:val="ListBullet2"/>
      </w:pPr>
      <w:r w:rsidRPr="00EF7BDD">
        <w:t xml:space="preserve">Streamlining the collection of awareness of the right to file an appeal with Medicare in the Beneficiary Knowledge and Information Needs Questionnaire (KNQ).  </w:t>
      </w:r>
    </w:p>
    <w:p w:rsidR="005F12B2" w:rsidP="005F12B2" w14:paraId="6909C45C" w14:textId="324B5471">
      <w:pPr>
        <w:pStyle w:val="ListBullet2"/>
      </w:pPr>
      <w:r w:rsidRPr="00EF7BDD">
        <w:t xml:space="preserve">Streamlining the collection of knowledge and use of the Low-Income Subsidy (LIS) and Medicare Savings Program (MSP) in the Income and Assets Questionnaire (IAQ). </w:t>
      </w:r>
    </w:p>
    <w:p w:rsidR="00BC4EA9" w:rsidRPr="00BC4EA9" w:rsidP="005F12B2" w14:paraId="0ACA79BA" w14:textId="3B11304E">
      <w:pPr>
        <w:pStyle w:val="ListBullet2"/>
      </w:pPr>
      <w:r w:rsidRPr="00BC4EA9">
        <w:t>Revising thirteen items on prescription drug purchasing behavior in the Drug Coverage Questionnaire (RXQ)</w:t>
      </w:r>
      <w:r>
        <w:t>.</w:t>
      </w:r>
    </w:p>
    <w:p w:rsidR="005F12B2" w:rsidRPr="00EF7BDD" w:rsidP="005F12B2" w14:paraId="36BEE2A7" w14:textId="45B74CA0">
      <w:pPr>
        <w:pStyle w:val="ListBullet2"/>
      </w:pPr>
      <w:r w:rsidRPr="00EF7BDD">
        <w:t xml:space="preserve">Removing two items about religious affiliation from the Demographics and Income Questionnaire (DIQ). </w:t>
      </w:r>
    </w:p>
    <w:p w:rsidR="005F12B2" w:rsidRPr="00EF7BDD" w:rsidP="005F12B2" w14:paraId="5409E35A" w14:textId="1498720A">
      <w:pPr>
        <w:pStyle w:val="ListBullet2"/>
      </w:pPr>
      <w:r>
        <w:t xml:space="preserve">Removing two items about household </w:t>
      </w:r>
      <w:r w:rsidR="00E24A78">
        <w:t xml:space="preserve">composition </w:t>
      </w:r>
      <w:r>
        <w:t xml:space="preserve">from the Enumeration Summary section (ENS). </w:t>
      </w:r>
    </w:p>
    <w:p w:rsidR="005F12B2" w:rsidP="005F12B2" w14:paraId="1A63E6DD" w14:textId="56F3E264">
      <w:pPr>
        <w:pStyle w:val="ListBullet2"/>
      </w:pPr>
      <w:r>
        <w:t xml:space="preserve">Removing </w:t>
      </w:r>
      <w:r w:rsidR="000E3E31">
        <w:t xml:space="preserve">24 </w:t>
      </w:r>
      <w:r>
        <w:t xml:space="preserve">items </w:t>
      </w:r>
      <w:r w:rsidR="00E24A78">
        <w:t xml:space="preserve">from </w:t>
      </w:r>
      <w:r>
        <w:t>the HFQ including 1</w:t>
      </w:r>
      <w:r w:rsidR="000E3E31">
        <w:t>7</w:t>
      </w:r>
      <w:r>
        <w:t xml:space="preserve"> detailed follow-up items about diabetes management and </w:t>
      </w:r>
      <w:r w:rsidR="000E3E31">
        <w:t>7</w:t>
      </w:r>
      <w:r>
        <w:t xml:space="preserve"> items about hypertension, urinary incontinence, and bowel incontinence. </w:t>
      </w:r>
    </w:p>
    <w:p w:rsidR="005F12B2" w:rsidRPr="00EF7BDD" w:rsidP="005F12B2" w14:paraId="059C66BC" w14:textId="75C63FC0">
      <w:pPr>
        <w:pStyle w:val="ListBullet2"/>
      </w:pPr>
      <w:r w:rsidRPr="00EF7BDD">
        <w:t>Streamlining the collection of health</w:t>
      </w:r>
      <w:r w:rsidR="00F8353B">
        <w:t xml:space="preserve"> </w:t>
      </w:r>
      <w:r w:rsidRPr="00EF7BDD">
        <w:t xml:space="preserve">care screening information in the Preventive Care Questionnaire (PVQ). </w:t>
      </w:r>
    </w:p>
    <w:p w:rsidR="00E24A78" w:rsidP="00E24A78" w14:paraId="7B6A74CC" w14:textId="3EDDD794">
      <w:pPr>
        <w:pStyle w:val="ListBullet2"/>
      </w:pPr>
      <w:r>
        <w:t>Removing four items about satisfaction with health</w:t>
      </w:r>
      <w:r w:rsidR="00F8353B">
        <w:t xml:space="preserve"> </w:t>
      </w:r>
      <w:r>
        <w:t xml:space="preserve">care services from the Satisfaction with Care Questionnaire (SCQ). </w:t>
      </w:r>
    </w:p>
    <w:p w:rsidR="002068E7" w:rsidP="002068E7" w14:paraId="09BA7CE4" w14:textId="60BE125D">
      <w:pPr>
        <w:pStyle w:val="ListBullet2"/>
        <w:numPr>
          <w:ilvl w:val="0"/>
          <w:numId w:val="0"/>
        </w:numPr>
      </w:pPr>
      <w:r>
        <w:t>T</w:t>
      </w:r>
      <w:r w:rsidRPr="002068E7">
        <w:t xml:space="preserve">he requested deletions and revisions in the </w:t>
      </w:r>
      <w:r>
        <w:t>Facility</w:t>
      </w:r>
      <w:r w:rsidRPr="002068E7">
        <w:t xml:space="preserve"> instrument include:</w:t>
      </w:r>
    </w:p>
    <w:p w:rsidR="002068E7" w:rsidP="002068E7" w14:paraId="3A79AE17" w14:textId="0D249F39">
      <w:pPr>
        <w:pStyle w:val="ListBullet2"/>
        <w:numPr>
          <w:ilvl w:val="0"/>
          <w:numId w:val="18"/>
        </w:numPr>
        <w:ind w:left="360"/>
      </w:pPr>
      <w:r w:rsidRPr="002068E7">
        <w:t>Removing one facility contact item from the Facility Questionnaire (FQ)</w:t>
      </w:r>
      <w:r w:rsidR="00B172AE">
        <w:t xml:space="preserve"> section</w:t>
      </w:r>
      <w:r w:rsidRPr="002068E7">
        <w:t>.</w:t>
      </w:r>
    </w:p>
    <w:p w:rsidR="002068E7" w:rsidP="002068E7" w14:paraId="71226F74" w14:textId="1D3A1C2B">
      <w:pPr>
        <w:pStyle w:val="ListBullet2"/>
        <w:numPr>
          <w:ilvl w:val="0"/>
          <w:numId w:val="18"/>
        </w:numPr>
        <w:ind w:left="360"/>
      </w:pPr>
      <w:r w:rsidRPr="002068E7">
        <w:t xml:space="preserve">Removing </w:t>
      </w:r>
      <w:r>
        <w:t xml:space="preserve">three </w:t>
      </w:r>
      <w:r w:rsidRPr="002068E7">
        <w:t xml:space="preserve">items </w:t>
      </w:r>
      <w:r w:rsidR="00B172AE">
        <w:t xml:space="preserve">that collect facility structure and facility contact details </w:t>
      </w:r>
      <w:r w:rsidRPr="002068E7">
        <w:t>from the Residence History (RH) section</w:t>
      </w:r>
      <w:r w:rsidR="00B172AE">
        <w:t>.</w:t>
      </w:r>
    </w:p>
    <w:p w:rsidR="00B172AE" w:rsidP="002068E7" w14:paraId="662876DB" w14:textId="3D5FDFCB">
      <w:pPr>
        <w:pStyle w:val="ListBullet2"/>
        <w:numPr>
          <w:ilvl w:val="0"/>
          <w:numId w:val="18"/>
        </w:numPr>
        <w:ind w:left="360"/>
      </w:pPr>
      <w:r w:rsidRPr="005D04E5">
        <w:t>Removing</w:t>
      </w:r>
      <w:r>
        <w:t xml:space="preserve"> s</w:t>
      </w:r>
      <w:r w:rsidRPr="00B172AE">
        <w:t xml:space="preserve">ixty </w:t>
      </w:r>
      <w:r>
        <w:t xml:space="preserve">verification </w:t>
      </w:r>
      <w:r w:rsidRPr="00B172AE">
        <w:t xml:space="preserve">items that appear when a billing, insurance, or payment discrepancy is identified </w:t>
      </w:r>
      <w:r w:rsidRPr="005D04E5">
        <w:t>from the Expenditures (EX)</w:t>
      </w:r>
      <w:r>
        <w:t xml:space="preserve"> section.</w:t>
      </w:r>
    </w:p>
    <w:p w:rsidR="00B172AE" w:rsidP="002068E7" w14:paraId="209A3BED" w14:textId="23D7B2DA">
      <w:pPr>
        <w:pStyle w:val="ListBullet2"/>
        <w:numPr>
          <w:ilvl w:val="0"/>
          <w:numId w:val="18"/>
        </w:numPr>
        <w:ind w:left="360"/>
      </w:pPr>
      <w:r w:rsidRPr="00B172AE">
        <w:t xml:space="preserve">Removing </w:t>
      </w:r>
      <w:r>
        <w:t>s</w:t>
      </w:r>
      <w:r w:rsidRPr="00B172AE">
        <w:t>eventeen items that collect information on general health status, vision, Medicare eligibility, procedures, preventive screenings, and record identification</w:t>
      </w:r>
      <w:r>
        <w:t xml:space="preserve"> </w:t>
      </w:r>
      <w:r w:rsidRPr="00B172AE">
        <w:t>from the Health Status (HS) section</w:t>
      </w:r>
      <w:r>
        <w:t>.</w:t>
      </w:r>
    </w:p>
    <w:p w:rsidR="00B172AE" w:rsidRPr="00B172AE" w:rsidP="002068E7" w14:paraId="47D16397" w14:textId="771F1383">
      <w:pPr>
        <w:pStyle w:val="ListBullet2"/>
        <w:numPr>
          <w:ilvl w:val="0"/>
          <w:numId w:val="18"/>
        </w:numPr>
        <w:ind w:left="360"/>
      </w:pPr>
      <w:r w:rsidRPr="005D04E5">
        <w:t>Revising the Activities of Daily Living (ADLs) and Instrumental Activities of Daily Living (IADLs) series</w:t>
      </w:r>
      <w:r>
        <w:t xml:space="preserve"> </w:t>
      </w:r>
      <w:r w:rsidRPr="00B172AE">
        <w:t>to align with the flow used in the Community questionnaire</w:t>
      </w:r>
      <w:r>
        <w:t>.</w:t>
      </w:r>
    </w:p>
    <w:p w:rsidR="00E24A78" w:rsidRPr="00E24A78" w:rsidP="00A92D8F" w14:paraId="5740915A" w14:textId="251A9840">
      <w:pPr>
        <w:pStyle w:val="BodyText"/>
      </w:pPr>
      <w:r w:rsidRPr="00E24A78">
        <w:t xml:space="preserve">The </w:t>
      </w:r>
      <w:r w:rsidRPr="00E24A78">
        <w:t>requested additions</w:t>
      </w:r>
      <w:r w:rsidRPr="00E24A78">
        <w:t xml:space="preserve"> </w:t>
      </w:r>
      <w:r w:rsidR="002068E7">
        <w:t xml:space="preserve">to the Community </w:t>
      </w:r>
      <w:r w:rsidR="00B172AE">
        <w:t>questionnaire</w:t>
      </w:r>
      <w:r w:rsidR="002068E7">
        <w:t xml:space="preserve"> </w:t>
      </w:r>
      <w:r w:rsidRPr="00E24A78">
        <w:t>include:</w:t>
      </w:r>
    </w:p>
    <w:p w:rsidR="00E24A78" w:rsidRPr="00E24A78" w:rsidP="00856B3F" w14:paraId="63151BBC" w14:textId="4C0D18E8">
      <w:pPr>
        <w:pStyle w:val="ListBullet2"/>
        <w:numPr>
          <w:ilvl w:val="0"/>
          <w:numId w:val="9"/>
        </w:numPr>
      </w:pPr>
      <w:r>
        <w:t>Modernizing the Care Coordination Questionnaire (CCQ), formerly referred to as the Usual Source of Care Questionnaire (USQ) to include 15</w:t>
      </w:r>
      <w:r w:rsidRPr="00E24A78">
        <w:t xml:space="preserve"> new items about wait time for appointments, coordination of health care information and services, urgent care clinic visits</w:t>
      </w:r>
      <w:r>
        <w:t>; 15 new items about</w:t>
      </w:r>
      <w:r w:rsidRPr="00E24A78">
        <w:t xml:space="preserve"> trust in health care providers, and </w:t>
      </w:r>
      <w:r>
        <w:t xml:space="preserve">31 new items on </w:t>
      </w:r>
      <w:r w:rsidRPr="00E24A78">
        <w:t>pre-authorization of health care services</w:t>
      </w:r>
      <w:r>
        <w:t>, which are administered conditionally to a subset of respondents</w:t>
      </w:r>
      <w:r w:rsidRPr="00E24A78">
        <w:t>.</w:t>
      </w:r>
      <w:r>
        <w:t xml:space="preserve"> </w:t>
      </w:r>
    </w:p>
    <w:p w:rsidR="00E24A78" w:rsidRPr="00E24A78" w:rsidP="00856B3F" w14:paraId="3BD5E6AB" w14:textId="77777777">
      <w:pPr>
        <w:pStyle w:val="ListBullet2"/>
        <w:numPr>
          <w:ilvl w:val="0"/>
          <w:numId w:val="9"/>
        </w:numPr>
      </w:pPr>
      <w:r w:rsidRPr="00E24A78">
        <w:t>Five new items about prescription drug discount programs in the Drug Coverage Questionnaire (RXQ).</w:t>
      </w:r>
    </w:p>
    <w:p w:rsidR="008D7A5E" w:rsidP="00856B3F" w14:paraId="73BF8281" w14:textId="673182F3">
      <w:pPr>
        <w:pStyle w:val="ListBullet2"/>
        <w:numPr>
          <w:ilvl w:val="0"/>
          <w:numId w:val="9"/>
        </w:numPr>
      </w:pPr>
      <w:r w:rsidRPr="00E24A78">
        <w:t xml:space="preserve">One new item about hypertension management </w:t>
      </w:r>
      <w:r w:rsidR="005404F3">
        <w:t xml:space="preserve">and three new items about nutrition </w:t>
      </w:r>
      <w:r w:rsidRPr="00E24A78">
        <w:t>in the Health Status and Functioning Questionnaire (HFQ).</w:t>
      </w:r>
    </w:p>
    <w:p w:rsidR="008534F0" w:rsidP="008534F0" w14:paraId="09DA7843" w14:textId="432616EF">
      <w:pPr>
        <w:pStyle w:val="ListBullet2"/>
        <w:numPr>
          <w:ilvl w:val="0"/>
          <w:numId w:val="0"/>
        </w:numPr>
      </w:pPr>
      <w:r>
        <w:t xml:space="preserve">The requested burden neutral operational changes include: </w:t>
      </w:r>
    </w:p>
    <w:p w:rsidR="008534F0" w:rsidP="005D04E5" w14:paraId="59A061D8" w14:textId="6D2B5CE2">
      <w:pPr>
        <w:pStyle w:val="ListBullet2"/>
        <w:numPr>
          <w:ilvl w:val="0"/>
          <w:numId w:val="16"/>
        </w:numPr>
        <w:ind w:left="360"/>
      </w:pPr>
      <w:r>
        <w:t xml:space="preserve">Adding a self-administered web-based mode to the Facility instrument to supplement telephone interviewing. The updated </w:t>
      </w:r>
      <w:r>
        <w:t>multimode Facility data collection design</w:t>
      </w:r>
      <w:r>
        <w:t xml:space="preserve"> includes</w:t>
      </w:r>
      <w:r>
        <w:t xml:space="preserve"> a phone administered Facility screener followed by three</w:t>
      </w:r>
      <w:r>
        <w:t xml:space="preserve"> </w:t>
      </w:r>
      <w:r>
        <w:t>survey</w:t>
      </w:r>
      <w:r>
        <w:t xml:space="preserve"> section</w:t>
      </w:r>
      <w:r>
        <w:t>s</w:t>
      </w:r>
      <w:r>
        <w:t xml:space="preserve"> that may be self-administered via web or interviewer-administered via phone</w:t>
      </w:r>
      <w:r>
        <w:t xml:space="preserve">. </w:t>
      </w:r>
      <w:r w:rsidR="00746B91">
        <w:t>While the structure of the facility interview has changed, the survey content remains consistent with previous years as existing content has been migrated and consolidated into the new survey sections.</w:t>
      </w:r>
    </w:p>
    <w:p w:rsidR="005404F3" w:rsidP="005D04E5" w14:paraId="097F3CEB" w14:textId="33E36E09">
      <w:pPr>
        <w:pStyle w:val="ListBullet2"/>
        <w:numPr>
          <w:ilvl w:val="0"/>
          <w:numId w:val="16"/>
        </w:numPr>
        <w:ind w:left="360"/>
      </w:pPr>
      <w:r>
        <w:t xml:space="preserve">Updating </w:t>
      </w:r>
      <w:r>
        <w:t xml:space="preserve">the </w:t>
      </w:r>
      <w:r w:rsidRPr="005404F3">
        <w:t>Community brochure</w:t>
      </w:r>
      <w:r>
        <w:t xml:space="preserve"> for respondents and adding </w:t>
      </w:r>
      <w:r>
        <w:t>a new</w:t>
      </w:r>
      <w:r>
        <w:t xml:space="preserve"> material providing information on the video interviewing process.</w:t>
      </w:r>
      <w:r w:rsidR="005D04E5">
        <w:t xml:space="preserve"> </w:t>
      </w:r>
      <w:r w:rsidRPr="005D04E5" w:rsidR="005D04E5">
        <w:t xml:space="preserve">Mentions of the video interviewing option were added to the </w:t>
      </w:r>
      <w:r w:rsidR="005D04E5">
        <w:t xml:space="preserve">existing </w:t>
      </w:r>
      <w:r w:rsidRPr="005D04E5" w:rsidR="005D04E5">
        <w:t>Community Advance Letters</w:t>
      </w:r>
      <w:r w:rsidR="005D04E5">
        <w:t>, and a</w:t>
      </w:r>
      <w:r w:rsidRPr="005D04E5" w:rsidR="005D04E5">
        <w:t>ll materials with the MCBS logo were updated to reflect the new MCBS logo</w:t>
      </w:r>
      <w:r w:rsidR="005D04E5">
        <w:t xml:space="preserve">. </w:t>
      </w:r>
    </w:p>
    <w:p w:rsidR="00B10289" w:rsidP="005D04E5" w14:paraId="75ED0DC2" w14:textId="7F44BA4D">
      <w:pPr>
        <w:pStyle w:val="ListBullet2"/>
        <w:numPr>
          <w:ilvl w:val="0"/>
          <w:numId w:val="16"/>
        </w:numPr>
        <w:ind w:left="360"/>
      </w:pPr>
      <w:r>
        <w:t>A</w:t>
      </w:r>
      <w:r w:rsidRPr="005404F3">
        <w:t>dding four new items to the suite of existing facility respondent materials</w:t>
      </w:r>
      <w:r>
        <w:t xml:space="preserve"> that </w:t>
      </w:r>
      <w:r w:rsidRPr="005404F3">
        <w:t>provide information to facility respondents on the web instrument workflow and how to complete the web survey</w:t>
      </w:r>
      <w:r>
        <w:t xml:space="preserve">. </w:t>
      </w:r>
    </w:p>
    <w:p w:rsidR="0088452B" w:rsidRPr="00D94F41" w:rsidP="004A3958" w14:paraId="1E632D08" w14:textId="06C6F6C9">
      <w:pPr>
        <w:pStyle w:val="Heading3"/>
        <w:tabs>
          <w:tab w:val="left" w:pos="540"/>
        </w:tabs>
      </w:pPr>
      <w:bookmarkStart w:id="8" w:name="_Toc91154935"/>
      <w:bookmarkStart w:id="9" w:name="_Toc235370773"/>
      <w:bookmarkEnd w:id="7"/>
      <w:r w:rsidRPr="00D94F41">
        <w:t>B1.</w:t>
      </w:r>
      <w:r w:rsidRPr="00D94F41">
        <w:tab/>
      </w:r>
      <w:r w:rsidRPr="00D94F41" w:rsidR="004112E2">
        <w:t>Universe and Respondent Selection</w:t>
      </w:r>
      <w:bookmarkEnd w:id="8"/>
      <w:bookmarkEnd w:id="9"/>
    </w:p>
    <w:p w:rsidR="0088452B" w:rsidRPr="00D94F41" w:rsidP="00BD72D7" w14:paraId="26BC8044" w14:textId="317384A5">
      <w:pPr>
        <w:pStyle w:val="BodyText"/>
      </w:pPr>
      <w:r w:rsidRPr="00D94F41">
        <w:t xml:space="preserve">The target universe is current Medicare beneficiaries entitled to hospital and/or supplementary medical insurance and living in the 50 states or the District of Columbia. Both institutionalized and non-institutionalized beneficiaries are represented. Table B.1 summarizes the number of beneficiaries in the target universe based on CMS administrative records </w:t>
      </w:r>
      <w:r w:rsidRPr="00D94F41" w:rsidR="00CC4DE7">
        <w:t xml:space="preserve">through </w:t>
      </w:r>
      <w:r w:rsidRPr="00D94F41" w:rsidR="007C1D5F">
        <w:t>202</w:t>
      </w:r>
      <w:r w:rsidR="00F30B83">
        <w:t>5</w:t>
      </w:r>
      <w:r w:rsidRPr="00D94F41">
        <w:t>. The seven age groups shown in the table correspond to the primary sampling strata from which the samples for the MCBS are drawn</w:t>
      </w:r>
      <w:r>
        <w:rPr>
          <w:rStyle w:val="FootnoteReference"/>
        </w:rPr>
        <w:footnoteReference w:id="3"/>
      </w:r>
      <w:r w:rsidRPr="00D94F41">
        <w:t xml:space="preserve">. The age groups are defined by the beneficiaries’ age as of December 31 of the given year for </w:t>
      </w:r>
      <w:r w:rsidRPr="00D94F41" w:rsidR="00A05A57">
        <w:t>201</w:t>
      </w:r>
      <w:r w:rsidR="005B761F">
        <w:t>8</w:t>
      </w:r>
      <w:r w:rsidRPr="00D94F41" w:rsidR="00A05A57">
        <w:t xml:space="preserve"> </w:t>
      </w:r>
      <w:r w:rsidRPr="00D94F41" w:rsidR="00EB5306">
        <w:t>and later</w:t>
      </w:r>
      <w:r w:rsidRPr="00D94F41">
        <w:t>.</w:t>
      </w:r>
    </w:p>
    <w:p w:rsidR="0088452B" w:rsidRPr="00D94F41" w:rsidP="00AE5C2C" w14:paraId="28917D6E" w14:textId="7F4DF020">
      <w:pPr>
        <w:pStyle w:val="Caption"/>
        <w:tabs>
          <w:tab w:val="left" w:pos="1170"/>
        </w:tabs>
      </w:pPr>
      <w:r>
        <w:t xml:space="preserve">Table B.1: </w:t>
      </w:r>
      <w:r w:rsidR="004112E2">
        <w:tab/>
      </w:r>
      <w:r>
        <w:t>Universe Counts Broken Down by MCBS Age Groups (in thousands)</w:t>
      </w:r>
    </w:p>
    <w:tbl>
      <w:tblPr>
        <w:tblStyle w:val="GridTableLight"/>
        <w:tblW w:w="0" w:type="auto"/>
        <w:tblLook w:val="01E0"/>
      </w:tblPr>
      <w:tblGrid>
        <w:gridCol w:w="1282"/>
        <w:gridCol w:w="1014"/>
        <w:gridCol w:w="1013"/>
        <w:gridCol w:w="1004"/>
        <w:gridCol w:w="1008"/>
        <w:gridCol w:w="996"/>
        <w:gridCol w:w="1004"/>
        <w:gridCol w:w="1015"/>
        <w:gridCol w:w="1014"/>
      </w:tblGrid>
      <w:tr w14:paraId="600C53D2" w14:textId="77777777" w:rsidTr="0033795C">
        <w:tblPrEx>
          <w:tblW w:w="0" w:type="auto"/>
          <w:tblLook w:val="01E0"/>
        </w:tblPrEx>
        <w:trPr>
          <w:cantSplit/>
          <w:tblHeader/>
        </w:trPr>
        <w:tc>
          <w:tcPr>
            <w:tcW w:w="1395" w:type="dxa"/>
            <w:tcBorders>
              <w:top w:val="single" w:sz="4" w:space="0" w:color="000000" w:themeColor="text1"/>
              <w:left w:val="single" w:sz="4" w:space="0" w:color="000000" w:themeColor="text1"/>
              <w:bottom w:val="single" w:sz="8" w:space="0" w:color="000000" w:themeColor="text1"/>
              <w:right w:val="single" w:sz="8" w:space="0" w:color="000000" w:themeColor="text1"/>
            </w:tcBorders>
            <w:shd w:val="clear" w:color="auto" w:fill="D9D9D9" w:themeFill="background1" w:themeFillShade="D9"/>
            <w:tcMar>
              <w:top w:w="0" w:type="dxa"/>
              <w:left w:w="58" w:type="dxa"/>
              <w:right w:w="58" w:type="dxa"/>
            </w:tcMar>
            <w:vAlign w:val="center"/>
          </w:tcPr>
          <w:p w:rsidR="607629A3" w:rsidP="0033795C" w14:paraId="45AF29B2" w14:textId="0E1E696D">
            <w:pPr>
              <w:pStyle w:val="TableParagraph"/>
              <w:spacing w:before="40" w:after="40"/>
              <w:jc w:val="center"/>
            </w:pPr>
            <w:r w:rsidRPr="607629A3">
              <w:rPr>
                <w:b/>
                <w:bCs/>
              </w:rPr>
              <w:t>Age Interval</w:t>
            </w:r>
            <w:r w:rsidRPr="607629A3">
              <w:t xml:space="preserve"> </w:t>
            </w:r>
          </w:p>
        </w:tc>
        <w:tc>
          <w:tcPr>
            <w:tcW w:w="1020" w:type="dxa"/>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0" w:type="dxa"/>
              <w:left w:w="58" w:type="dxa"/>
              <w:right w:w="58" w:type="dxa"/>
            </w:tcMar>
            <w:vAlign w:val="center"/>
          </w:tcPr>
          <w:p w:rsidR="607629A3" w:rsidP="0033795C" w14:paraId="1D23DDAC" w14:textId="7DECB9AA">
            <w:pPr>
              <w:pStyle w:val="TableParagraph"/>
              <w:spacing w:before="40" w:after="40"/>
              <w:jc w:val="center"/>
            </w:pPr>
            <w:r w:rsidRPr="607629A3">
              <w:rPr>
                <w:b/>
                <w:bCs/>
              </w:rPr>
              <w:t>2018</w:t>
            </w:r>
            <w:r w:rsidRPr="607629A3">
              <w:t xml:space="preserve"> </w:t>
            </w:r>
          </w:p>
        </w:tc>
        <w:tc>
          <w:tcPr>
            <w:tcW w:w="1018" w:type="dxa"/>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0" w:type="dxa"/>
              <w:left w:w="58" w:type="dxa"/>
              <w:right w:w="58" w:type="dxa"/>
            </w:tcMar>
            <w:vAlign w:val="center"/>
          </w:tcPr>
          <w:p w:rsidR="607629A3" w:rsidP="0033795C" w14:paraId="4BC09F51" w14:textId="35167020">
            <w:pPr>
              <w:pStyle w:val="TableParagraph"/>
              <w:spacing w:before="40" w:after="40"/>
              <w:jc w:val="center"/>
            </w:pPr>
            <w:r w:rsidRPr="607629A3">
              <w:rPr>
                <w:b/>
                <w:bCs/>
              </w:rPr>
              <w:t>2019</w:t>
            </w:r>
            <w:r w:rsidRPr="607629A3">
              <w:t xml:space="preserve"> </w:t>
            </w:r>
          </w:p>
        </w:tc>
        <w:tc>
          <w:tcPr>
            <w:tcW w:w="1006" w:type="dxa"/>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0" w:type="dxa"/>
              <w:left w:w="58" w:type="dxa"/>
              <w:right w:w="58" w:type="dxa"/>
            </w:tcMar>
            <w:vAlign w:val="center"/>
          </w:tcPr>
          <w:p w:rsidR="607629A3" w:rsidP="0033795C" w14:paraId="11C9F3C7" w14:textId="17B03721">
            <w:pPr>
              <w:pStyle w:val="TableParagraph"/>
              <w:spacing w:before="40" w:after="40"/>
              <w:jc w:val="center"/>
            </w:pPr>
            <w:r w:rsidRPr="607629A3">
              <w:rPr>
                <w:b/>
                <w:bCs/>
              </w:rPr>
              <w:t>2020</w:t>
            </w:r>
            <w:r w:rsidRPr="607629A3">
              <w:t xml:space="preserve"> </w:t>
            </w:r>
          </w:p>
        </w:tc>
        <w:tc>
          <w:tcPr>
            <w:tcW w:w="1012" w:type="dxa"/>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0" w:type="dxa"/>
              <w:left w:w="58" w:type="dxa"/>
              <w:right w:w="58" w:type="dxa"/>
            </w:tcMar>
            <w:vAlign w:val="center"/>
          </w:tcPr>
          <w:p w:rsidR="607629A3" w:rsidP="0033795C" w14:paraId="6B180E7F" w14:textId="39A4F42F">
            <w:pPr>
              <w:pStyle w:val="TableParagraph"/>
              <w:spacing w:before="40" w:after="40"/>
              <w:jc w:val="center"/>
            </w:pPr>
            <w:r w:rsidRPr="607629A3">
              <w:rPr>
                <w:b/>
                <w:bCs/>
              </w:rPr>
              <w:t>2021</w:t>
            </w:r>
            <w:r w:rsidRPr="607629A3">
              <w:t xml:space="preserve"> </w:t>
            </w:r>
          </w:p>
        </w:tc>
        <w:tc>
          <w:tcPr>
            <w:tcW w:w="990" w:type="dxa"/>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0" w:type="dxa"/>
              <w:left w:w="58" w:type="dxa"/>
              <w:right w:w="58" w:type="dxa"/>
            </w:tcMar>
            <w:vAlign w:val="center"/>
          </w:tcPr>
          <w:p w:rsidR="607629A3" w:rsidP="0033795C" w14:paraId="6AED6F61" w14:textId="7E654163">
            <w:pPr>
              <w:pStyle w:val="TableParagraph"/>
              <w:spacing w:before="40" w:after="40"/>
              <w:jc w:val="center"/>
            </w:pPr>
            <w:r w:rsidRPr="607629A3">
              <w:rPr>
                <w:b/>
                <w:bCs/>
              </w:rPr>
              <w:t>2022</w:t>
            </w:r>
            <w:r w:rsidRPr="607629A3">
              <w:t xml:space="preserve"> </w:t>
            </w:r>
          </w:p>
        </w:tc>
        <w:tc>
          <w:tcPr>
            <w:tcW w:w="1006" w:type="dxa"/>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0" w:type="dxa"/>
              <w:left w:w="58" w:type="dxa"/>
              <w:right w:w="58" w:type="dxa"/>
            </w:tcMar>
            <w:vAlign w:val="center"/>
          </w:tcPr>
          <w:p w:rsidR="607629A3" w:rsidP="0033795C" w14:paraId="6FFBC061" w14:textId="6398236D">
            <w:pPr>
              <w:pStyle w:val="TableParagraph"/>
              <w:spacing w:before="40" w:after="40"/>
              <w:jc w:val="center"/>
            </w:pPr>
            <w:r w:rsidRPr="607629A3">
              <w:rPr>
                <w:b/>
                <w:bCs/>
              </w:rPr>
              <w:t>2023</w:t>
            </w:r>
            <w:r w:rsidRPr="607629A3">
              <w:t xml:space="preserve"> </w:t>
            </w:r>
          </w:p>
        </w:tc>
        <w:tc>
          <w:tcPr>
            <w:tcW w:w="1021" w:type="dxa"/>
            <w:tcBorders>
              <w:top w:val="single" w:sz="4"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0" w:type="dxa"/>
              <w:left w:w="58" w:type="dxa"/>
              <w:right w:w="58" w:type="dxa"/>
            </w:tcMar>
            <w:vAlign w:val="center"/>
          </w:tcPr>
          <w:p w:rsidR="607629A3" w:rsidP="0033795C" w14:paraId="54FB835D" w14:textId="36DE1F5B">
            <w:pPr>
              <w:pStyle w:val="TableParagraph"/>
              <w:spacing w:before="40" w:after="40"/>
              <w:jc w:val="center"/>
            </w:pPr>
            <w:r w:rsidRPr="607629A3">
              <w:rPr>
                <w:b/>
                <w:bCs/>
              </w:rPr>
              <w:t>2024</w:t>
            </w:r>
            <w:r w:rsidRPr="607629A3">
              <w:t xml:space="preserve"> </w:t>
            </w:r>
          </w:p>
        </w:tc>
        <w:tc>
          <w:tcPr>
            <w:tcW w:w="1020" w:type="dxa"/>
            <w:tcBorders>
              <w:top w:val="single" w:sz="4" w:space="0" w:color="000000" w:themeColor="text1"/>
              <w:left w:val="single" w:sz="8" w:space="0" w:color="000000" w:themeColor="text1"/>
              <w:bottom w:val="single" w:sz="8" w:space="0" w:color="000000" w:themeColor="text1"/>
              <w:right w:val="single" w:sz="4" w:space="0" w:color="000000" w:themeColor="text1"/>
            </w:tcBorders>
            <w:shd w:val="clear" w:color="auto" w:fill="D9D9D9" w:themeFill="background1" w:themeFillShade="D9"/>
            <w:tcMar>
              <w:top w:w="0" w:type="dxa"/>
              <w:left w:w="58" w:type="dxa"/>
              <w:right w:w="58" w:type="dxa"/>
            </w:tcMar>
            <w:vAlign w:val="center"/>
          </w:tcPr>
          <w:p w:rsidR="607629A3" w:rsidP="0033795C" w14:paraId="6D89C541" w14:textId="493427EF">
            <w:pPr>
              <w:pStyle w:val="TableParagraph"/>
              <w:spacing w:before="40" w:after="40"/>
              <w:jc w:val="center"/>
            </w:pPr>
            <w:r w:rsidRPr="607629A3">
              <w:rPr>
                <w:b/>
                <w:bCs/>
              </w:rPr>
              <w:t>2025</w:t>
            </w:r>
            <w:r w:rsidRPr="607629A3">
              <w:t xml:space="preserve"> </w:t>
            </w:r>
          </w:p>
        </w:tc>
      </w:tr>
      <w:tr w14:paraId="46406C90" w14:textId="77777777" w:rsidTr="0033795C">
        <w:tblPrEx>
          <w:tblW w:w="0" w:type="auto"/>
          <w:tblLook w:val="01E0"/>
        </w:tblPrEx>
        <w:trPr>
          <w:cantSplit/>
        </w:trPr>
        <w:tc>
          <w:tcPr>
            <w:tcW w:w="1395"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27710412" w14:textId="49947694">
            <w:pPr>
              <w:pStyle w:val="TableParagraph"/>
              <w:spacing w:before="40" w:after="40"/>
            </w:pPr>
            <w:r w:rsidRPr="607629A3">
              <w:rPr>
                <w:b/>
                <w:bCs/>
              </w:rPr>
              <w:t>Disabled &lt;45</w:t>
            </w:r>
            <w:r w:rsidRPr="607629A3">
              <w:t xml:space="preserve"> </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171A255D" w14:textId="74E23C3A">
            <w:pPr>
              <w:pStyle w:val="TableParagraph"/>
              <w:spacing w:before="40" w:after="40"/>
              <w:jc w:val="center"/>
            </w:pPr>
            <w:r w:rsidRPr="607629A3">
              <w:t>1,791.78</w:t>
            </w:r>
          </w:p>
        </w:tc>
        <w:tc>
          <w:tcPr>
            <w:tcW w:w="1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2104D2B3" w14:textId="7B578B74">
            <w:pPr>
              <w:pStyle w:val="TableParagraph"/>
              <w:spacing w:before="40" w:after="40"/>
              <w:jc w:val="center"/>
            </w:pPr>
            <w:r w:rsidRPr="607629A3">
              <w:rPr>
                <w:color w:val="000000" w:themeColor="text1"/>
              </w:rPr>
              <w:t>1,771.52</w:t>
            </w:r>
          </w:p>
        </w:tc>
        <w:tc>
          <w:tcPr>
            <w:tcW w:w="10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3E87B4D8" w14:textId="70441500">
            <w:pPr>
              <w:pStyle w:val="TableParagraph"/>
              <w:spacing w:before="40" w:after="40"/>
              <w:jc w:val="center"/>
            </w:pPr>
            <w:r w:rsidRPr="607629A3">
              <w:t>1,744.56</w:t>
            </w:r>
          </w:p>
        </w:tc>
        <w:tc>
          <w:tcPr>
            <w:tcW w:w="10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1C2F66BC" w14:textId="7D65F2B8">
            <w:pPr>
              <w:pStyle w:val="TableParagraph"/>
              <w:spacing w:before="40" w:after="40"/>
              <w:jc w:val="center"/>
            </w:pPr>
            <w:r w:rsidRPr="607629A3">
              <w:t>1,715.78</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4A626B89" w14:textId="341260E4">
            <w:pPr>
              <w:pStyle w:val="TableParagraph"/>
              <w:spacing w:before="40" w:after="40"/>
              <w:jc w:val="center"/>
            </w:pPr>
            <w:r w:rsidRPr="607629A3">
              <w:t>1,646.76</w:t>
            </w:r>
          </w:p>
        </w:tc>
        <w:tc>
          <w:tcPr>
            <w:tcW w:w="10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68A7BCB2" w14:textId="72542F2B">
            <w:pPr>
              <w:pStyle w:val="TableParagraph"/>
              <w:spacing w:before="40" w:after="40"/>
              <w:jc w:val="center"/>
            </w:pPr>
            <w:r w:rsidRPr="607629A3">
              <w:t>1,585.22</w:t>
            </w:r>
          </w:p>
        </w:tc>
        <w:tc>
          <w:tcPr>
            <w:tcW w:w="10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45FDEA1E" w14:textId="75B54068">
            <w:pPr>
              <w:pStyle w:val="TableParagraph"/>
              <w:spacing w:before="40" w:after="40"/>
              <w:jc w:val="center"/>
            </w:pPr>
            <w:r w:rsidRPr="607629A3">
              <w:t>1,541.14</w:t>
            </w:r>
          </w:p>
        </w:tc>
        <w:tc>
          <w:tcPr>
            <w:tcW w:w="1020"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0" w:type="dxa"/>
              <w:left w:w="58" w:type="dxa"/>
              <w:right w:w="58" w:type="dxa"/>
            </w:tcMar>
            <w:vAlign w:val="center"/>
          </w:tcPr>
          <w:p w:rsidR="607629A3" w:rsidP="0033795C" w14:paraId="67156D06" w14:textId="793C24F3">
            <w:pPr>
              <w:pStyle w:val="TableParagraph"/>
              <w:spacing w:before="40" w:after="40"/>
              <w:jc w:val="center"/>
            </w:pPr>
            <w:r w:rsidRPr="607629A3">
              <w:t>1,498.30</w:t>
            </w:r>
          </w:p>
        </w:tc>
      </w:tr>
      <w:tr w14:paraId="3D8AE12E" w14:textId="77777777" w:rsidTr="0033795C">
        <w:tblPrEx>
          <w:tblW w:w="0" w:type="auto"/>
          <w:tblLook w:val="01E0"/>
        </w:tblPrEx>
        <w:trPr>
          <w:cantSplit/>
        </w:trPr>
        <w:tc>
          <w:tcPr>
            <w:tcW w:w="1395"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5E735A7C" w14:textId="4AF7B127">
            <w:pPr>
              <w:pStyle w:val="TableParagraph"/>
              <w:spacing w:before="40" w:after="40"/>
            </w:pPr>
            <w:r w:rsidRPr="607629A3">
              <w:rPr>
                <w:b/>
                <w:bCs/>
              </w:rPr>
              <w:t>45 to 64</w:t>
            </w:r>
            <w:r w:rsidRPr="607629A3">
              <w:t xml:space="preserve"> </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54134D2D" w14:textId="0064C752">
            <w:pPr>
              <w:pStyle w:val="TableParagraph"/>
              <w:spacing w:before="40" w:after="40"/>
              <w:jc w:val="center"/>
            </w:pPr>
            <w:r w:rsidRPr="607629A3">
              <w:t>6,903.46</w:t>
            </w:r>
          </w:p>
        </w:tc>
        <w:tc>
          <w:tcPr>
            <w:tcW w:w="1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582DD78D" w14:textId="38CA9483">
            <w:pPr>
              <w:pStyle w:val="TableParagraph"/>
              <w:spacing w:before="40" w:after="40"/>
              <w:jc w:val="center"/>
            </w:pPr>
            <w:r w:rsidRPr="607629A3">
              <w:rPr>
                <w:color w:val="000000" w:themeColor="text1"/>
              </w:rPr>
              <w:t>6,773.12</w:t>
            </w:r>
          </w:p>
        </w:tc>
        <w:tc>
          <w:tcPr>
            <w:tcW w:w="10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727E2E4F" w14:textId="56761CD6">
            <w:pPr>
              <w:pStyle w:val="TableParagraph"/>
              <w:spacing w:before="40" w:after="40"/>
              <w:jc w:val="center"/>
            </w:pPr>
            <w:r w:rsidRPr="607629A3">
              <w:t>6,641.56</w:t>
            </w:r>
          </w:p>
        </w:tc>
        <w:tc>
          <w:tcPr>
            <w:tcW w:w="10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3F3D3F44" w14:textId="5D96488D">
            <w:pPr>
              <w:pStyle w:val="TableParagraph"/>
              <w:spacing w:before="40" w:after="40"/>
              <w:jc w:val="center"/>
            </w:pPr>
            <w:r w:rsidRPr="607629A3">
              <w:t>6,411.54</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23AFF1AC" w14:textId="536EC783">
            <w:pPr>
              <w:pStyle w:val="TableParagraph"/>
              <w:spacing w:before="40" w:after="40"/>
              <w:jc w:val="center"/>
            </w:pPr>
            <w:r w:rsidRPr="607629A3">
              <w:t>6,153.78</w:t>
            </w:r>
          </w:p>
        </w:tc>
        <w:tc>
          <w:tcPr>
            <w:tcW w:w="10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347C8593" w14:textId="0427C3D6">
            <w:pPr>
              <w:pStyle w:val="TableParagraph"/>
              <w:spacing w:before="40" w:after="40"/>
              <w:jc w:val="center"/>
            </w:pPr>
            <w:r w:rsidRPr="607629A3">
              <w:t>5,897.58</w:t>
            </w:r>
          </w:p>
        </w:tc>
        <w:tc>
          <w:tcPr>
            <w:tcW w:w="10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308312A3" w14:textId="505F0D3C">
            <w:pPr>
              <w:pStyle w:val="TableParagraph"/>
              <w:spacing w:before="40" w:after="40"/>
              <w:jc w:val="center"/>
            </w:pPr>
            <w:r w:rsidRPr="607629A3">
              <w:t>5,645.22</w:t>
            </w:r>
          </w:p>
        </w:tc>
        <w:tc>
          <w:tcPr>
            <w:tcW w:w="1020"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0" w:type="dxa"/>
              <w:left w:w="58" w:type="dxa"/>
              <w:right w:w="58" w:type="dxa"/>
            </w:tcMar>
            <w:vAlign w:val="center"/>
          </w:tcPr>
          <w:p w:rsidR="607629A3" w:rsidP="0033795C" w14:paraId="05F637EA" w14:textId="3B3F43D0">
            <w:pPr>
              <w:pStyle w:val="TableParagraph"/>
              <w:spacing w:before="40" w:after="40"/>
              <w:jc w:val="center"/>
            </w:pPr>
            <w:r w:rsidRPr="607629A3">
              <w:t>5,425.44</w:t>
            </w:r>
          </w:p>
        </w:tc>
      </w:tr>
      <w:tr w14:paraId="7A22D7F2" w14:textId="77777777" w:rsidTr="0033795C">
        <w:tblPrEx>
          <w:tblW w:w="0" w:type="auto"/>
          <w:tblLook w:val="01E0"/>
        </w:tblPrEx>
        <w:trPr>
          <w:cantSplit/>
        </w:trPr>
        <w:tc>
          <w:tcPr>
            <w:tcW w:w="1395"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433FC7B8" w14:textId="2901BAB3">
            <w:pPr>
              <w:pStyle w:val="TableParagraph"/>
              <w:spacing w:before="40" w:after="40"/>
            </w:pPr>
            <w:r w:rsidRPr="607629A3">
              <w:rPr>
                <w:b/>
                <w:bCs/>
              </w:rPr>
              <w:t>65 to 69</w:t>
            </w:r>
            <w:r w:rsidRPr="607629A3">
              <w:t xml:space="preserve"> </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4C6F70E3" w14:textId="15407770">
            <w:pPr>
              <w:pStyle w:val="TableParagraph"/>
              <w:spacing w:before="40" w:after="40"/>
              <w:jc w:val="center"/>
            </w:pPr>
            <w:r w:rsidRPr="607629A3">
              <w:t>15,978.62</w:t>
            </w:r>
          </w:p>
        </w:tc>
        <w:tc>
          <w:tcPr>
            <w:tcW w:w="1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0CB985CE" w14:textId="158CC9AB">
            <w:pPr>
              <w:pStyle w:val="TableParagraph"/>
              <w:spacing w:before="40" w:after="40"/>
              <w:jc w:val="center"/>
            </w:pPr>
            <w:r w:rsidRPr="607629A3">
              <w:rPr>
                <w:color w:val="000000" w:themeColor="text1"/>
              </w:rPr>
              <w:t>16,368.74</w:t>
            </w:r>
          </w:p>
        </w:tc>
        <w:tc>
          <w:tcPr>
            <w:tcW w:w="10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3E5E041F" w14:textId="7FA86AB2">
            <w:pPr>
              <w:pStyle w:val="TableParagraph"/>
              <w:spacing w:before="40" w:after="40"/>
              <w:jc w:val="center"/>
            </w:pPr>
            <w:r w:rsidRPr="607629A3">
              <w:t>16,895.90</w:t>
            </w:r>
          </w:p>
        </w:tc>
        <w:tc>
          <w:tcPr>
            <w:tcW w:w="10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4BC1AFF2" w14:textId="00639CFE">
            <w:pPr>
              <w:pStyle w:val="TableParagraph"/>
              <w:spacing w:before="40" w:after="40"/>
              <w:jc w:val="center"/>
            </w:pPr>
            <w:r w:rsidRPr="607629A3">
              <w:t>16,975.40</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6ECDBBD0" w14:textId="703B4341">
            <w:pPr>
              <w:pStyle w:val="TableParagraph"/>
              <w:spacing w:before="40" w:after="40"/>
              <w:jc w:val="center"/>
            </w:pPr>
            <w:r w:rsidRPr="607629A3">
              <w:t>17,149.42</w:t>
            </w:r>
          </w:p>
        </w:tc>
        <w:tc>
          <w:tcPr>
            <w:tcW w:w="10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0D27E541" w14:textId="735D4FF0">
            <w:pPr>
              <w:pStyle w:val="TableParagraph"/>
              <w:spacing w:before="40" w:after="40"/>
              <w:jc w:val="center"/>
            </w:pPr>
            <w:r w:rsidRPr="607629A3">
              <w:t>17,538.10</w:t>
            </w:r>
          </w:p>
        </w:tc>
        <w:tc>
          <w:tcPr>
            <w:tcW w:w="10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4B61699C" w14:textId="063C9888">
            <w:pPr>
              <w:pStyle w:val="TableParagraph"/>
              <w:spacing w:before="40" w:after="40"/>
              <w:jc w:val="center"/>
            </w:pPr>
            <w:r w:rsidRPr="607629A3">
              <w:t>17,742.46</w:t>
            </w:r>
          </w:p>
        </w:tc>
        <w:tc>
          <w:tcPr>
            <w:tcW w:w="1020"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0" w:type="dxa"/>
              <w:left w:w="58" w:type="dxa"/>
              <w:right w:w="58" w:type="dxa"/>
            </w:tcMar>
            <w:vAlign w:val="center"/>
          </w:tcPr>
          <w:p w:rsidR="607629A3" w:rsidP="0033795C" w14:paraId="0A84A0F2" w14:textId="7386D255">
            <w:pPr>
              <w:pStyle w:val="TableParagraph"/>
              <w:spacing w:before="40" w:after="40"/>
              <w:jc w:val="center"/>
            </w:pPr>
            <w:r w:rsidRPr="607629A3">
              <w:t>17,775.14</w:t>
            </w:r>
          </w:p>
        </w:tc>
      </w:tr>
      <w:tr w14:paraId="2FE0B3EA" w14:textId="77777777" w:rsidTr="0033795C">
        <w:tblPrEx>
          <w:tblW w:w="0" w:type="auto"/>
          <w:tblLook w:val="01E0"/>
        </w:tblPrEx>
        <w:trPr>
          <w:cantSplit/>
        </w:trPr>
        <w:tc>
          <w:tcPr>
            <w:tcW w:w="1395"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604B543C" w14:textId="304E2ABE">
            <w:pPr>
              <w:pStyle w:val="TableParagraph"/>
              <w:spacing w:before="40" w:after="40"/>
            </w:pPr>
            <w:r w:rsidRPr="607629A3">
              <w:rPr>
                <w:b/>
                <w:bCs/>
              </w:rPr>
              <w:t>70-74</w:t>
            </w:r>
            <w:r w:rsidRPr="607629A3">
              <w:t xml:space="preserve"> </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60EEF40D" w14:textId="05169FBB">
            <w:pPr>
              <w:pStyle w:val="TableParagraph"/>
              <w:spacing w:before="40" w:after="40"/>
              <w:jc w:val="center"/>
            </w:pPr>
            <w:r w:rsidRPr="607629A3">
              <w:t>13,647.66</w:t>
            </w:r>
          </w:p>
        </w:tc>
        <w:tc>
          <w:tcPr>
            <w:tcW w:w="1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1BB2C519" w14:textId="6AC91DCC">
            <w:pPr>
              <w:pStyle w:val="TableParagraph"/>
              <w:spacing w:before="40" w:after="40"/>
              <w:jc w:val="center"/>
            </w:pPr>
            <w:r w:rsidRPr="607629A3">
              <w:rPr>
                <w:color w:val="000000" w:themeColor="text1"/>
              </w:rPr>
              <w:t>14,322.88</w:t>
            </w:r>
          </w:p>
        </w:tc>
        <w:tc>
          <w:tcPr>
            <w:tcW w:w="10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6E3C04F4" w14:textId="176952F7">
            <w:pPr>
              <w:pStyle w:val="TableParagraph"/>
              <w:spacing w:before="40" w:after="40"/>
              <w:jc w:val="center"/>
            </w:pPr>
            <w:r w:rsidRPr="607629A3">
              <w:t>14,967.58</w:t>
            </w:r>
          </w:p>
        </w:tc>
        <w:tc>
          <w:tcPr>
            <w:tcW w:w="10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38E5BBF2" w14:textId="295C92FD">
            <w:pPr>
              <w:pStyle w:val="TableParagraph"/>
              <w:spacing w:before="40" w:after="40"/>
              <w:jc w:val="center"/>
            </w:pPr>
            <w:r w:rsidRPr="607629A3">
              <w:t>15,115.86</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2AAB3BA8" w14:textId="436B8640">
            <w:pPr>
              <w:pStyle w:val="TableParagraph"/>
              <w:spacing w:before="40" w:after="40"/>
              <w:jc w:val="center"/>
            </w:pPr>
            <w:r w:rsidRPr="607629A3">
              <w:t>15,278.12</w:t>
            </w:r>
          </w:p>
        </w:tc>
        <w:tc>
          <w:tcPr>
            <w:tcW w:w="10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48A94DB6" w14:textId="3B4018C6">
            <w:pPr>
              <w:pStyle w:val="TableParagraph"/>
              <w:spacing w:before="40" w:after="40"/>
              <w:jc w:val="center"/>
            </w:pPr>
            <w:r w:rsidRPr="607629A3">
              <w:t>15,631.94</w:t>
            </w:r>
          </w:p>
        </w:tc>
        <w:tc>
          <w:tcPr>
            <w:tcW w:w="10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3CA24443" w14:textId="056FADDA">
            <w:pPr>
              <w:pStyle w:val="TableParagraph"/>
              <w:spacing w:before="40" w:after="40"/>
              <w:jc w:val="center"/>
            </w:pPr>
            <w:r w:rsidRPr="607629A3">
              <w:t>15,976.76</w:t>
            </w:r>
          </w:p>
        </w:tc>
        <w:tc>
          <w:tcPr>
            <w:tcW w:w="1020"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0" w:type="dxa"/>
              <w:left w:w="58" w:type="dxa"/>
              <w:right w:w="58" w:type="dxa"/>
            </w:tcMar>
            <w:vAlign w:val="center"/>
          </w:tcPr>
          <w:p w:rsidR="607629A3" w:rsidP="0033795C" w14:paraId="3DBEF571" w14:textId="09535344">
            <w:pPr>
              <w:pStyle w:val="TableParagraph"/>
              <w:spacing w:before="40" w:after="40"/>
              <w:jc w:val="center"/>
            </w:pPr>
            <w:r w:rsidRPr="607629A3">
              <w:t>16,351.80</w:t>
            </w:r>
          </w:p>
        </w:tc>
      </w:tr>
      <w:tr w14:paraId="55F34AC0" w14:textId="77777777" w:rsidTr="0033795C">
        <w:tblPrEx>
          <w:tblW w:w="0" w:type="auto"/>
          <w:tblLook w:val="01E0"/>
        </w:tblPrEx>
        <w:trPr>
          <w:cantSplit/>
        </w:trPr>
        <w:tc>
          <w:tcPr>
            <w:tcW w:w="1395"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42349941" w14:textId="1E30DCD2">
            <w:pPr>
              <w:pStyle w:val="TableParagraph"/>
              <w:spacing w:before="40" w:after="40"/>
            </w:pPr>
            <w:r w:rsidRPr="607629A3">
              <w:rPr>
                <w:b/>
                <w:bCs/>
              </w:rPr>
              <w:t>75-79</w:t>
            </w:r>
            <w:r w:rsidRPr="607629A3">
              <w:t xml:space="preserve"> </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3923EA90" w14:textId="448F4476">
            <w:pPr>
              <w:pStyle w:val="TableParagraph"/>
              <w:spacing w:before="40" w:after="40"/>
              <w:jc w:val="center"/>
            </w:pPr>
            <w:r w:rsidRPr="607629A3">
              <w:t>9,463.14</w:t>
            </w:r>
          </w:p>
        </w:tc>
        <w:tc>
          <w:tcPr>
            <w:tcW w:w="1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66A6D86F" w14:textId="1BA853F3">
            <w:pPr>
              <w:pStyle w:val="TableParagraph"/>
              <w:spacing w:before="40" w:after="40"/>
              <w:jc w:val="center"/>
            </w:pPr>
            <w:r w:rsidRPr="607629A3">
              <w:rPr>
                <w:color w:val="000000" w:themeColor="text1"/>
              </w:rPr>
              <w:t>9,820.30</w:t>
            </w:r>
          </w:p>
        </w:tc>
        <w:tc>
          <w:tcPr>
            <w:tcW w:w="10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71137587" w14:textId="20B69D1B">
            <w:pPr>
              <w:pStyle w:val="TableParagraph"/>
              <w:spacing w:before="40" w:after="40"/>
              <w:jc w:val="center"/>
            </w:pPr>
            <w:r w:rsidRPr="607629A3">
              <w:t>10,117.54</w:t>
            </w:r>
          </w:p>
        </w:tc>
        <w:tc>
          <w:tcPr>
            <w:tcW w:w="10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2ECB352A" w14:textId="6A2CA56C">
            <w:pPr>
              <w:pStyle w:val="TableParagraph"/>
              <w:spacing w:before="40" w:after="40"/>
              <w:jc w:val="center"/>
            </w:pPr>
            <w:r w:rsidRPr="607629A3">
              <w:t>10,576.94</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03D7EF77" w14:textId="02D5B3B5">
            <w:pPr>
              <w:pStyle w:val="TableParagraph"/>
              <w:spacing w:before="40" w:after="40"/>
              <w:jc w:val="center"/>
            </w:pPr>
            <w:r w:rsidRPr="607629A3">
              <w:t>11,296.14</w:t>
            </w:r>
          </w:p>
        </w:tc>
        <w:tc>
          <w:tcPr>
            <w:tcW w:w="10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72C57852" w14:textId="566BCF52">
            <w:pPr>
              <w:pStyle w:val="TableParagraph"/>
              <w:spacing w:before="40" w:after="40"/>
              <w:jc w:val="center"/>
            </w:pPr>
            <w:r w:rsidRPr="607629A3">
              <w:t>11,789.56</w:t>
            </w:r>
          </w:p>
        </w:tc>
        <w:tc>
          <w:tcPr>
            <w:tcW w:w="10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508C11CC" w14:textId="7E1C68A2">
            <w:pPr>
              <w:pStyle w:val="TableParagraph"/>
              <w:spacing w:before="40" w:after="40"/>
              <w:jc w:val="center"/>
            </w:pPr>
            <w:r w:rsidRPr="607629A3">
              <w:t>12,453.50</w:t>
            </w:r>
          </w:p>
        </w:tc>
        <w:tc>
          <w:tcPr>
            <w:tcW w:w="1020"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0" w:type="dxa"/>
              <w:left w:w="58" w:type="dxa"/>
              <w:right w:w="58" w:type="dxa"/>
            </w:tcMar>
            <w:vAlign w:val="center"/>
          </w:tcPr>
          <w:p w:rsidR="607629A3" w:rsidP="0033795C" w14:paraId="41BA4860" w14:textId="35EF3064">
            <w:pPr>
              <w:pStyle w:val="TableParagraph"/>
              <w:spacing w:before="40" w:after="40"/>
              <w:jc w:val="center"/>
            </w:pPr>
            <w:r w:rsidRPr="607629A3">
              <w:t>12,952.82</w:t>
            </w:r>
          </w:p>
        </w:tc>
      </w:tr>
      <w:tr w14:paraId="1FE9C034" w14:textId="77777777" w:rsidTr="0033795C">
        <w:tblPrEx>
          <w:tblW w:w="0" w:type="auto"/>
          <w:tblLook w:val="01E0"/>
        </w:tblPrEx>
        <w:trPr>
          <w:cantSplit/>
        </w:trPr>
        <w:tc>
          <w:tcPr>
            <w:tcW w:w="1395"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1A63C7C7" w14:textId="6D0D4BF9">
            <w:pPr>
              <w:pStyle w:val="TableParagraph"/>
              <w:spacing w:before="40" w:after="40"/>
            </w:pPr>
            <w:r w:rsidRPr="607629A3">
              <w:rPr>
                <w:b/>
                <w:bCs/>
              </w:rPr>
              <w:t>80-84</w:t>
            </w:r>
            <w:r w:rsidRPr="607629A3">
              <w:t xml:space="preserve"> </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683199DB" w14:textId="6029AD98">
            <w:pPr>
              <w:pStyle w:val="TableParagraph"/>
              <w:spacing w:before="40" w:after="40"/>
              <w:jc w:val="center"/>
            </w:pPr>
            <w:r w:rsidRPr="607629A3">
              <w:t>6,301.04</w:t>
            </w:r>
          </w:p>
        </w:tc>
        <w:tc>
          <w:tcPr>
            <w:tcW w:w="1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4E4813C4" w14:textId="04E92014">
            <w:pPr>
              <w:pStyle w:val="TableParagraph"/>
              <w:spacing w:before="40" w:after="40"/>
              <w:jc w:val="center"/>
            </w:pPr>
            <w:r w:rsidRPr="607629A3">
              <w:rPr>
                <w:color w:val="000000" w:themeColor="text1"/>
              </w:rPr>
              <w:t>6,441.96</w:t>
            </w:r>
          </w:p>
        </w:tc>
        <w:tc>
          <w:tcPr>
            <w:tcW w:w="10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56907CE7" w14:textId="7C8E5AAB">
            <w:pPr>
              <w:pStyle w:val="TableParagraph"/>
              <w:spacing w:before="40" w:after="40"/>
              <w:jc w:val="center"/>
            </w:pPr>
            <w:r w:rsidRPr="607629A3">
              <w:t>6,610.14</w:t>
            </w:r>
          </w:p>
        </w:tc>
        <w:tc>
          <w:tcPr>
            <w:tcW w:w="10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23736A13" w14:textId="7C2A6C95">
            <w:pPr>
              <w:pStyle w:val="TableParagraph"/>
              <w:spacing w:before="40" w:after="40"/>
              <w:jc w:val="center"/>
            </w:pPr>
            <w:r w:rsidRPr="607629A3">
              <w:t>6,737.94</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3F242205" w14:textId="113E0CA9">
            <w:pPr>
              <w:pStyle w:val="TableParagraph"/>
              <w:spacing w:before="40" w:after="40"/>
              <w:jc w:val="center"/>
            </w:pPr>
            <w:r w:rsidRPr="607629A3">
              <w:t>7,098.58</w:t>
            </w:r>
          </w:p>
        </w:tc>
        <w:tc>
          <w:tcPr>
            <w:tcW w:w="10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7F46971F" w14:textId="2D8C7EA5">
            <w:pPr>
              <w:pStyle w:val="TableParagraph"/>
              <w:spacing w:before="40" w:after="40"/>
              <w:jc w:val="center"/>
            </w:pPr>
            <w:r w:rsidRPr="607629A3">
              <w:t>7,447.08</w:t>
            </w:r>
          </w:p>
        </w:tc>
        <w:tc>
          <w:tcPr>
            <w:tcW w:w="10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22124E25" w14:textId="753C28E2">
            <w:pPr>
              <w:pStyle w:val="TableParagraph"/>
              <w:spacing w:before="40" w:after="40"/>
              <w:jc w:val="center"/>
            </w:pPr>
            <w:r w:rsidRPr="607629A3">
              <w:t>7,767.44</w:t>
            </w:r>
          </w:p>
        </w:tc>
        <w:tc>
          <w:tcPr>
            <w:tcW w:w="1020"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0" w:type="dxa"/>
              <w:left w:w="58" w:type="dxa"/>
              <w:right w:w="58" w:type="dxa"/>
            </w:tcMar>
            <w:vAlign w:val="center"/>
          </w:tcPr>
          <w:p w:rsidR="607629A3" w:rsidP="0033795C" w14:paraId="3AAD7136" w14:textId="60AA9B18">
            <w:pPr>
              <w:pStyle w:val="TableParagraph"/>
              <w:spacing w:before="40" w:after="40"/>
              <w:jc w:val="center"/>
            </w:pPr>
            <w:r w:rsidRPr="607629A3">
              <w:t>7,961.18</w:t>
            </w:r>
          </w:p>
        </w:tc>
      </w:tr>
      <w:tr w14:paraId="00158895" w14:textId="77777777" w:rsidTr="0033795C">
        <w:tblPrEx>
          <w:tblW w:w="0" w:type="auto"/>
          <w:tblLook w:val="01E0"/>
        </w:tblPrEx>
        <w:trPr>
          <w:cantSplit/>
        </w:trPr>
        <w:tc>
          <w:tcPr>
            <w:tcW w:w="1395"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0DAD6DD6" w14:textId="42D545A8">
            <w:pPr>
              <w:pStyle w:val="TableParagraph"/>
              <w:spacing w:before="40" w:after="40"/>
            </w:pPr>
            <w:r w:rsidRPr="607629A3">
              <w:rPr>
                <w:b/>
                <w:bCs/>
              </w:rPr>
              <w:t>85+</w:t>
            </w:r>
            <w:r w:rsidRPr="607629A3">
              <w:t xml:space="preserve"> </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21F12A3B" w14:textId="571B3461">
            <w:pPr>
              <w:pStyle w:val="TableParagraph"/>
              <w:spacing w:before="40" w:after="40"/>
              <w:jc w:val="center"/>
            </w:pPr>
            <w:r w:rsidRPr="607629A3">
              <w:t>7,001.80</w:t>
            </w:r>
          </w:p>
        </w:tc>
        <w:tc>
          <w:tcPr>
            <w:tcW w:w="1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5CF1EBFB" w14:textId="5292D564">
            <w:pPr>
              <w:pStyle w:val="TableParagraph"/>
              <w:spacing w:before="40" w:after="40"/>
              <w:jc w:val="center"/>
            </w:pPr>
            <w:r w:rsidRPr="607629A3">
              <w:rPr>
                <w:color w:val="000000" w:themeColor="text1"/>
              </w:rPr>
              <w:t>7,052.58</w:t>
            </w:r>
          </w:p>
        </w:tc>
        <w:tc>
          <w:tcPr>
            <w:tcW w:w="10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6DFDFCF9" w14:textId="032E0D1B">
            <w:pPr>
              <w:pStyle w:val="TableParagraph"/>
              <w:spacing w:before="40" w:after="40"/>
              <w:jc w:val="center"/>
            </w:pPr>
            <w:r w:rsidRPr="607629A3">
              <w:t>7,099.28</w:t>
            </w:r>
          </w:p>
        </w:tc>
        <w:tc>
          <w:tcPr>
            <w:tcW w:w="10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5CFA7009" w14:textId="123329EB">
            <w:pPr>
              <w:pStyle w:val="TableParagraph"/>
              <w:spacing w:before="40" w:after="40"/>
              <w:jc w:val="center"/>
            </w:pPr>
            <w:r w:rsidRPr="607629A3">
              <w:t>6,902.06</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6EF61CB3" w14:textId="13B3AA4F">
            <w:pPr>
              <w:pStyle w:val="TableParagraph"/>
              <w:spacing w:before="40" w:after="40"/>
              <w:jc w:val="center"/>
            </w:pPr>
            <w:r w:rsidRPr="607629A3">
              <w:t>6,966.30</w:t>
            </w:r>
          </w:p>
        </w:tc>
        <w:tc>
          <w:tcPr>
            <w:tcW w:w="10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3AAF0BA9" w14:textId="180C1C57">
            <w:pPr>
              <w:pStyle w:val="TableParagraph"/>
              <w:spacing w:before="40" w:after="40"/>
              <w:jc w:val="center"/>
            </w:pPr>
            <w:r w:rsidRPr="607629A3">
              <w:t>7,062.08</w:t>
            </w:r>
          </w:p>
        </w:tc>
        <w:tc>
          <w:tcPr>
            <w:tcW w:w="10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53B93377" w14:textId="49C23B4C">
            <w:pPr>
              <w:pStyle w:val="TableParagraph"/>
              <w:spacing w:before="40" w:after="40"/>
              <w:jc w:val="center"/>
            </w:pPr>
            <w:r w:rsidRPr="607629A3">
              <w:t>7,204.38</w:t>
            </w:r>
          </w:p>
        </w:tc>
        <w:tc>
          <w:tcPr>
            <w:tcW w:w="1020"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0" w:type="dxa"/>
              <w:left w:w="58" w:type="dxa"/>
              <w:right w:w="58" w:type="dxa"/>
            </w:tcMar>
            <w:vAlign w:val="center"/>
          </w:tcPr>
          <w:p w:rsidR="607629A3" w:rsidP="0033795C" w14:paraId="2DA0B655" w14:textId="4E169ACF">
            <w:pPr>
              <w:pStyle w:val="TableParagraph"/>
              <w:spacing w:before="40" w:after="40"/>
              <w:jc w:val="center"/>
            </w:pPr>
            <w:r w:rsidRPr="607629A3">
              <w:t>7,357.22</w:t>
            </w:r>
          </w:p>
        </w:tc>
      </w:tr>
      <w:tr w14:paraId="0CE4BDA7" w14:textId="77777777" w:rsidTr="0033795C">
        <w:tblPrEx>
          <w:tblW w:w="0" w:type="auto"/>
          <w:tblLook w:val="01E0"/>
        </w:tblPrEx>
        <w:trPr>
          <w:cantSplit/>
        </w:trPr>
        <w:tc>
          <w:tcPr>
            <w:tcW w:w="1395"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49F16E2B" w14:textId="248F794A">
            <w:pPr>
              <w:pStyle w:val="TableParagraph"/>
              <w:spacing w:before="40" w:after="40"/>
            </w:pPr>
            <w:r w:rsidRPr="607629A3">
              <w:rPr>
                <w:b/>
                <w:bCs/>
              </w:rPr>
              <w:t>Total (64 and under)</w:t>
            </w:r>
            <w:r w:rsidRPr="607629A3">
              <w:t xml:space="preserve"> </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6773D971" w14:textId="5111B747">
            <w:pPr>
              <w:pStyle w:val="TableParagraph"/>
              <w:spacing w:before="40" w:after="40"/>
              <w:jc w:val="center"/>
            </w:pPr>
            <w:r w:rsidRPr="607629A3">
              <w:t>8,695.24</w:t>
            </w:r>
          </w:p>
        </w:tc>
        <w:tc>
          <w:tcPr>
            <w:tcW w:w="1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0EA6E55A" w14:textId="12D337D2">
            <w:pPr>
              <w:pStyle w:val="TableParagraph"/>
              <w:spacing w:before="40" w:after="40"/>
              <w:jc w:val="center"/>
            </w:pPr>
            <w:r w:rsidRPr="607629A3">
              <w:rPr>
                <w:color w:val="000000" w:themeColor="text1"/>
              </w:rPr>
              <w:t>8,544.64</w:t>
            </w:r>
          </w:p>
        </w:tc>
        <w:tc>
          <w:tcPr>
            <w:tcW w:w="10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51379AD5" w14:textId="57A78EF3">
            <w:pPr>
              <w:pStyle w:val="TableParagraph"/>
              <w:spacing w:before="40" w:after="40"/>
              <w:jc w:val="center"/>
            </w:pPr>
            <w:r w:rsidRPr="607629A3">
              <w:t>8,386.12</w:t>
            </w:r>
          </w:p>
        </w:tc>
        <w:tc>
          <w:tcPr>
            <w:tcW w:w="10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186B87CB" w14:textId="25F0EFBF">
            <w:pPr>
              <w:pStyle w:val="TableParagraph"/>
              <w:spacing w:before="40" w:after="40"/>
              <w:jc w:val="center"/>
            </w:pPr>
            <w:r w:rsidRPr="607629A3">
              <w:t>8,127.32</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7EA5052E" w14:textId="257C2CB1">
            <w:pPr>
              <w:pStyle w:val="TableParagraph"/>
              <w:spacing w:before="40" w:after="40"/>
              <w:jc w:val="center"/>
            </w:pPr>
            <w:r w:rsidRPr="607629A3">
              <w:t>7,800.54</w:t>
            </w:r>
          </w:p>
        </w:tc>
        <w:tc>
          <w:tcPr>
            <w:tcW w:w="10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4768D49F" w14:textId="5367FF73">
            <w:pPr>
              <w:pStyle w:val="TableParagraph"/>
              <w:spacing w:before="40" w:after="40"/>
              <w:jc w:val="center"/>
            </w:pPr>
            <w:r w:rsidRPr="607629A3">
              <w:t>7,482.80</w:t>
            </w:r>
          </w:p>
        </w:tc>
        <w:tc>
          <w:tcPr>
            <w:tcW w:w="10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513BD644" w14:textId="06E1DC5F">
            <w:pPr>
              <w:pStyle w:val="TableParagraph"/>
              <w:spacing w:before="40" w:after="40"/>
              <w:jc w:val="center"/>
            </w:pPr>
            <w:r w:rsidRPr="607629A3">
              <w:t>7,186.36</w:t>
            </w:r>
          </w:p>
        </w:tc>
        <w:tc>
          <w:tcPr>
            <w:tcW w:w="1020"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0" w:type="dxa"/>
              <w:left w:w="58" w:type="dxa"/>
              <w:right w:w="58" w:type="dxa"/>
            </w:tcMar>
            <w:vAlign w:val="center"/>
          </w:tcPr>
          <w:p w:rsidR="607629A3" w:rsidP="0033795C" w14:paraId="7D5DDBF8" w14:textId="7CA92EB4">
            <w:pPr>
              <w:spacing w:before="40" w:after="40"/>
              <w:jc w:val="center"/>
            </w:pPr>
            <w:r w:rsidRPr="607629A3">
              <w:rPr>
                <w:rFonts w:ascii="Calibri" w:eastAsia="Calibri" w:hAnsi="Calibri" w:cs="Calibri"/>
                <w:color w:val="000000" w:themeColor="text1"/>
              </w:rPr>
              <w:t>6,923.74</w:t>
            </w:r>
          </w:p>
        </w:tc>
      </w:tr>
      <w:tr w14:paraId="73E52B2D" w14:textId="77777777" w:rsidTr="0033795C">
        <w:tblPrEx>
          <w:tblW w:w="0" w:type="auto"/>
          <w:tblLook w:val="01E0"/>
        </w:tblPrEx>
        <w:trPr>
          <w:cantSplit/>
        </w:trPr>
        <w:tc>
          <w:tcPr>
            <w:tcW w:w="1395" w:type="dxa"/>
            <w:tcBorders>
              <w:top w:val="single" w:sz="8" w:space="0" w:color="000000" w:themeColor="text1"/>
              <w:left w:val="single" w:sz="4"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6DB0AB21" w14:textId="4AB2085E">
            <w:pPr>
              <w:pStyle w:val="TableParagraph"/>
              <w:spacing w:before="40" w:after="40"/>
            </w:pPr>
            <w:r w:rsidRPr="607629A3">
              <w:rPr>
                <w:b/>
                <w:bCs/>
              </w:rPr>
              <w:t>Total (65 and over)</w:t>
            </w:r>
            <w:r w:rsidRPr="607629A3">
              <w:t xml:space="preserve"> </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64F2D81F" w14:textId="72ED2CE0">
            <w:pPr>
              <w:pStyle w:val="TableParagraph"/>
              <w:spacing w:before="40" w:after="40"/>
              <w:jc w:val="center"/>
            </w:pPr>
            <w:r w:rsidRPr="607629A3">
              <w:t>52,392.26</w:t>
            </w:r>
          </w:p>
        </w:tc>
        <w:tc>
          <w:tcPr>
            <w:tcW w:w="10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7BFB5DBA" w14:textId="2DA048FB">
            <w:pPr>
              <w:pStyle w:val="TableParagraph"/>
              <w:spacing w:before="40" w:after="40"/>
              <w:jc w:val="center"/>
            </w:pPr>
            <w:r w:rsidRPr="607629A3">
              <w:rPr>
                <w:color w:val="000000" w:themeColor="text1"/>
              </w:rPr>
              <w:t>54,006.46</w:t>
            </w:r>
          </w:p>
        </w:tc>
        <w:tc>
          <w:tcPr>
            <w:tcW w:w="10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562B460A" w14:textId="4F37AA3D">
            <w:pPr>
              <w:pStyle w:val="TableParagraph"/>
              <w:spacing w:before="40" w:after="40"/>
              <w:jc w:val="center"/>
            </w:pPr>
            <w:r w:rsidRPr="607629A3">
              <w:t>55,690.44</w:t>
            </w:r>
          </w:p>
        </w:tc>
        <w:tc>
          <w:tcPr>
            <w:tcW w:w="10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26416C19" w14:textId="7916802C">
            <w:pPr>
              <w:pStyle w:val="TableParagraph"/>
              <w:spacing w:before="40" w:after="40"/>
              <w:jc w:val="center"/>
            </w:pPr>
            <w:r w:rsidRPr="607629A3">
              <w:t>56,308.20</w:t>
            </w:r>
          </w:p>
        </w:tc>
        <w:tc>
          <w:tcPr>
            <w:tcW w:w="9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037BD934" w14:textId="52040370">
            <w:pPr>
              <w:pStyle w:val="TableParagraph"/>
              <w:spacing w:before="40" w:after="40"/>
              <w:jc w:val="center"/>
            </w:pPr>
            <w:r w:rsidRPr="607629A3">
              <w:t>57,788.56</w:t>
            </w:r>
          </w:p>
        </w:tc>
        <w:tc>
          <w:tcPr>
            <w:tcW w:w="10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7A53C719" w14:textId="03DFD8E9">
            <w:pPr>
              <w:pStyle w:val="TableParagraph"/>
              <w:spacing w:before="40" w:after="40"/>
              <w:jc w:val="center"/>
            </w:pPr>
            <w:r w:rsidRPr="607629A3">
              <w:t>59,468.76</w:t>
            </w:r>
          </w:p>
        </w:tc>
        <w:tc>
          <w:tcPr>
            <w:tcW w:w="10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58" w:type="dxa"/>
              <w:right w:w="58" w:type="dxa"/>
            </w:tcMar>
            <w:vAlign w:val="center"/>
          </w:tcPr>
          <w:p w:rsidR="607629A3" w:rsidP="0033795C" w14:paraId="47C49592" w14:textId="49B97BA4">
            <w:pPr>
              <w:pStyle w:val="TableParagraph"/>
              <w:spacing w:before="40" w:after="40"/>
              <w:jc w:val="center"/>
            </w:pPr>
            <w:r w:rsidRPr="607629A3">
              <w:t>61,144.54</w:t>
            </w:r>
          </w:p>
        </w:tc>
        <w:tc>
          <w:tcPr>
            <w:tcW w:w="1020" w:type="dxa"/>
            <w:tcBorders>
              <w:top w:val="single" w:sz="8" w:space="0" w:color="000000" w:themeColor="text1"/>
              <w:left w:val="single" w:sz="8" w:space="0" w:color="000000" w:themeColor="text1"/>
              <w:bottom w:val="single" w:sz="8" w:space="0" w:color="000000" w:themeColor="text1"/>
              <w:right w:val="single" w:sz="4" w:space="0" w:color="000000" w:themeColor="text1"/>
            </w:tcBorders>
            <w:tcMar>
              <w:top w:w="0" w:type="dxa"/>
              <w:left w:w="58" w:type="dxa"/>
              <w:right w:w="58" w:type="dxa"/>
            </w:tcMar>
            <w:vAlign w:val="center"/>
          </w:tcPr>
          <w:p w:rsidR="607629A3" w:rsidP="0033795C" w14:paraId="5040534D" w14:textId="663D181B">
            <w:pPr>
              <w:pStyle w:val="TableParagraph"/>
              <w:spacing w:before="40" w:after="40"/>
              <w:jc w:val="center"/>
            </w:pPr>
            <w:r w:rsidRPr="607629A3">
              <w:t>62,398.16</w:t>
            </w:r>
          </w:p>
        </w:tc>
      </w:tr>
      <w:tr w14:paraId="0A916F39" w14:textId="77777777" w:rsidTr="0033795C">
        <w:tblPrEx>
          <w:tblW w:w="0" w:type="auto"/>
          <w:tblLook w:val="01E0"/>
        </w:tblPrEx>
        <w:trPr>
          <w:cantSplit/>
        </w:trPr>
        <w:tc>
          <w:tcPr>
            <w:tcW w:w="1395" w:type="dxa"/>
            <w:tcBorders>
              <w:top w:val="single" w:sz="8" w:space="0" w:color="000000" w:themeColor="text1"/>
              <w:left w:val="single" w:sz="4" w:space="0" w:color="000000" w:themeColor="text1"/>
              <w:bottom w:val="single" w:sz="4" w:space="0" w:color="000000" w:themeColor="text1"/>
              <w:right w:val="single" w:sz="8" w:space="0" w:color="000000" w:themeColor="text1"/>
            </w:tcBorders>
            <w:tcMar>
              <w:top w:w="0" w:type="dxa"/>
              <w:left w:w="58" w:type="dxa"/>
              <w:right w:w="58" w:type="dxa"/>
            </w:tcMar>
            <w:vAlign w:val="center"/>
          </w:tcPr>
          <w:p w:rsidR="607629A3" w:rsidP="0033795C" w14:paraId="6DCD4F6E" w14:textId="00105C42">
            <w:pPr>
              <w:pStyle w:val="TableParagraph"/>
              <w:spacing w:before="40" w:after="40"/>
            </w:pPr>
            <w:r w:rsidRPr="607629A3">
              <w:rPr>
                <w:b/>
                <w:bCs/>
              </w:rPr>
              <w:t>Total (All)</w:t>
            </w:r>
            <w:r w:rsidRPr="607629A3">
              <w:t xml:space="preserve"> </w:t>
            </w:r>
          </w:p>
        </w:tc>
        <w:tc>
          <w:tcPr>
            <w:tcW w:w="1020" w:type="dxa"/>
            <w:tcBorders>
              <w:top w:val="single" w:sz="8" w:space="0" w:color="000000" w:themeColor="text1"/>
              <w:left w:val="single" w:sz="8" w:space="0" w:color="000000" w:themeColor="text1"/>
              <w:bottom w:val="single" w:sz="4" w:space="0" w:color="000000" w:themeColor="text1"/>
              <w:right w:val="single" w:sz="8" w:space="0" w:color="000000" w:themeColor="text1"/>
            </w:tcBorders>
            <w:tcMar>
              <w:top w:w="0" w:type="dxa"/>
              <w:left w:w="58" w:type="dxa"/>
              <w:right w:w="58" w:type="dxa"/>
            </w:tcMar>
            <w:vAlign w:val="center"/>
          </w:tcPr>
          <w:p w:rsidR="607629A3" w:rsidP="0033795C" w14:paraId="77012ABF" w14:textId="4E548F64">
            <w:pPr>
              <w:pStyle w:val="TableParagraph"/>
              <w:spacing w:before="40" w:after="40"/>
              <w:jc w:val="center"/>
            </w:pPr>
            <w:r w:rsidRPr="607629A3">
              <w:t>61,087.50</w:t>
            </w:r>
          </w:p>
        </w:tc>
        <w:tc>
          <w:tcPr>
            <w:tcW w:w="1018" w:type="dxa"/>
            <w:tcBorders>
              <w:top w:val="single" w:sz="8" w:space="0" w:color="000000" w:themeColor="text1"/>
              <w:left w:val="single" w:sz="8" w:space="0" w:color="000000" w:themeColor="text1"/>
              <w:bottom w:val="single" w:sz="4" w:space="0" w:color="000000" w:themeColor="text1"/>
              <w:right w:val="single" w:sz="8" w:space="0" w:color="000000" w:themeColor="text1"/>
            </w:tcBorders>
            <w:tcMar>
              <w:top w:w="0" w:type="dxa"/>
              <w:left w:w="58" w:type="dxa"/>
              <w:right w:w="58" w:type="dxa"/>
            </w:tcMar>
            <w:vAlign w:val="center"/>
          </w:tcPr>
          <w:p w:rsidR="607629A3" w:rsidP="0033795C" w14:paraId="7F55EDC4" w14:textId="250B1141">
            <w:pPr>
              <w:pStyle w:val="TableParagraph"/>
              <w:spacing w:before="40" w:after="40"/>
              <w:jc w:val="center"/>
            </w:pPr>
            <w:r w:rsidRPr="607629A3">
              <w:rPr>
                <w:color w:val="000000" w:themeColor="text1"/>
              </w:rPr>
              <w:t>62,551.10</w:t>
            </w:r>
          </w:p>
        </w:tc>
        <w:tc>
          <w:tcPr>
            <w:tcW w:w="1006" w:type="dxa"/>
            <w:tcBorders>
              <w:top w:val="single" w:sz="8" w:space="0" w:color="000000" w:themeColor="text1"/>
              <w:left w:val="single" w:sz="8" w:space="0" w:color="000000" w:themeColor="text1"/>
              <w:bottom w:val="single" w:sz="4" w:space="0" w:color="000000" w:themeColor="text1"/>
              <w:right w:val="single" w:sz="8" w:space="0" w:color="000000" w:themeColor="text1"/>
            </w:tcBorders>
            <w:tcMar>
              <w:top w:w="0" w:type="dxa"/>
              <w:left w:w="58" w:type="dxa"/>
              <w:right w:w="58" w:type="dxa"/>
            </w:tcMar>
            <w:vAlign w:val="center"/>
          </w:tcPr>
          <w:p w:rsidR="607629A3" w:rsidP="0033795C" w14:paraId="04F8315D" w14:textId="715F74C8">
            <w:pPr>
              <w:pStyle w:val="TableParagraph"/>
              <w:spacing w:before="40" w:after="40"/>
              <w:jc w:val="center"/>
            </w:pPr>
            <w:r w:rsidRPr="607629A3">
              <w:t>64,076.56</w:t>
            </w:r>
          </w:p>
        </w:tc>
        <w:tc>
          <w:tcPr>
            <w:tcW w:w="1012" w:type="dxa"/>
            <w:tcBorders>
              <w:top w:val="single" w:sz="8" w:space="0" w:color="000000" w:themeColor="text1"/>
              <w:left w:val="single" w:sz="8" w:space="0" w:color="000000" w:themeColor="text1"/>
              <w:bottom w:val="single" w:sz="4" w:space="0" w:color="000000" w:themeColor="text1"/>
              <w:right w:val="single" w:sz="8" w:space="0" w:color="000000" w:themeColor="text1"/>
            </w:tcBorders>
            <w:tcMar>
              <w:top w:w="0" w:type="dxa"/>
              <w:left w:w="58" w:type="dxa"/>
              <w:right w:w="58" w:type="dxa"/>
            </w:tcMar>
            <w:vAlign w:val="center"/>
          </w:tcPr>
          <w:p w:rsidR="607629A3" w:rsidP="0033795C" w14:paraId="308677C8" w14:textId="320B5AAB">
            <w:pPr>
              <w:pStyle w:val="TableParagraph"/>
              <w:spacing w:before="40" w:after="40"/>
              <w:jc w:val="center"/>
            </w:pPr>
            <w:r w:rsidRPr="607629A3">
              <w:t>64,435.52</w:t>
            </w:r>
          </w:p>
        </w:tc>
        <w:tc>
          <w:tcPr>
            <w:tcW w:w="990" w:type="dxa"/>
            <w:tcBorders>
              <w:top w:val="single" w:sz="8" w:space="0" w:color="000000" w:themeColor="text1"/>
              <w:left w:val="single" w:sz="8" w:space="0" w:color="000000" w:themeColor="text1"/>
              <w:bottom w:val="single" w:sz="4" w:space="0" w:color="000000" w:themeColor="text1"/>
              <w:right w:val="single" w:sz="8" w:space="0" w:color="000000" w:themeColor="text1"/>
            </w:tcBorders>
            <w:tcMar>
              <w:top w:w="0" w:type="dxa"/>
              <w:left w:w="58" w:type="dxa"/>
              <w:right w:w="58" w:type="dxa"/>
            </w:tcMar>
            <w:vAlign w:val="center"/>
          </w:tcPr>
          <w:p w:rsidR="607629A3" w:rsidP="0033795C" w14:paraId="7DCFF8F9" w14:textId="6E95BEAE">
            <w:pPr>
              <w:pStyle w:val="TableParagraph"/>
              <w:spacing w:before="40" w:after="40"/>
              <w:jc w:val="center"/>
            </w:pPr>
            <w:r w:rsidRPr="607629A3">
              <w:t>65,589.10</w:t>
            </w:r>
          </w:p>
        </w:tc>
        <w:tc>
          <w:tcPr>
            <w:tcW w:w="1006" w:type="dxa"/>
            <w:tcBorders>
              <w:top w:val="single" w:sz="8" w:space="0" w:color="000000" w:themeColor="text1"/>
              <w:left w:val="single" w:sz="8" w:space="0" w:color="000000" w:themeColor="text1"/>
              <w:bottom w:val="single" w:sz="4" w:space="0" w:color="000000" w:themeColor="text1"/>
              <w:right w:val="single" w:sz="8" w:space="0" w:color="000000" w:themeColor="text1"/>
            </w:tcBorders>
            <w:tcMar>
              <w:top w:w="0" w:type="dxa"/>
              <w:left w:w="58" w:type="dxa"/>
              <w:right w:w="58" w:type="dxa"/>
            </w:tcMar>
            <w:vAlign w:val="center"/>
          </w:tcPr>
          <w:p w:rsidR="607629A3" w:rsidP="0033795C" w14:paraId="04CD2F50" w14:textId="579457E0">
            <w:pPr>
              <w:pStyle w:val="TableParagraph"/>
              <w:spacing w:before="40" w:after="40"/>
              <w:jc w:val="center"/>
            </w:pPr>
            <w:r w:rsidRPr="607629A3">
              <w:t>66,951.56</w:t>
            </w:r>
          </w:p>
        </w:tc>
        <w:tc>
          <w:tcPr>
            <w:tcW w:w="1021" w:type="dxa"/>
            <w:tcBorders>
              <w:top w:val="single" w:sz="8" w:space="0" w:color="000000" w:themeColor="text1"/>
              <w:left w:val="single" w:sz="8" w:space="0" w:color="000000" w:themeColor="text1"/>
              <w:bottom w:val="single" w:sz="4" w:space="0" w:color="000000" w:themeColor="text1"/>
              <w:right w:val="single" w:sz="8" w:space="0" w:color="000000" w:themeColor="text1"/>
            </w:tcBorders>
            <w:tcMar>
              <w:top w:w="0" w:type="dxa"/>
              <w:left w:w="58" w:type="dxa"/>
              <w:right w:w="58" w:type="dxa"/>
            </w:tcMar>
            <w:vAlign w:val="center"/>
          </w:tcPr>
          <w:p w:rsidR="607629A3" w:rsidP="0033795C" w14:paraId="134F630A" w14:textId="359DF598">
            <w:pPr>
              <w:pStyle w:val="TableParagraph"/>
              <w:spacing w:before="40" w:after="40"/>
              <w:jc w:val="center"/>
            </w:pPr>
            <w:r w:rsidRPr="607629A3">
              <w:t>68,330.90</w:t>
            </w:r>
          </w:p>
        </w:tc>
        <w:tc>
          <w:tcPr>
            <w:tcW w:w="1020" w:type="dxa"/>
            <w:tcBorders>
              <w:top w:val="single" w:sz="8" w:space="0" w:color="000000" w:themeColor="text1"/>
              <w:left w:val="single" w:sz="8" w:space="0" w:color="000000" w:themeColor="text1"/>
              <w:bottom w:val="single" w:sz="4" w:space="0" w:color="000000" w:themeColor="text1"/>
              <w:right w:val="single" w:sz="4" w:space="0" w:color="000000" w:themeColor="text1"/>
            </w:tcBorders>
            <w:tcMar>
              <w:top w:w="0" w:type="dxa"/>
              <w:left w:w="58" w:type="dxa"/>
              <w:right w:w="58" w:type="dxa"/>
            </w:tcMar>
            <w:vAlign w:val="center"/>
          </w:tcPr>
          <w:p w:rsidR="607629A3" w:rsidP="0033795C" w14:paraId="2DB56334" w14:textId="57D6529D">
            <w:pPr>
              <w:pStyle w:val="TableParagraph"/>
              <w:spacing w:before="40" w:after="40"/>
              <w:jc w:val="center"/>
            </w:pPr>
            <w:r w:rsidRPr="607629A3">
              <w:t>69,321.90</w:t>
            </w:r>
          </w:p>
        </w:tc>
      </w:tr>
    </w:tbl>
    <w:p w:rsidR="0088452B" w:rsidRPr="003E486D" w:rsidP="001C1985" w14:paraId="361DCAE0" w14:textId="060430CC">
      <w:pPr>
        <w:pStyle w:val="Note"/>
        <w:spacing w:before="40" w:after="40"/>
      </w:pPr>
      <w:r w:rsidRPr="003E486D">
        <w:rPr>
          <w:b/>
          <w:bCs/>
        </w:rPr>
        <w:t>Source:</w:t>
      </w:r>
      <w:r w:rsidRPr="003E486D">
        <w:t xml:space="preserve"> </w:t>
      </w:r>
      <w:r w:rsidRPr="003E486D" w:rsidR="00C00C81">
        <w:t>Universe</w:t>
      </w:r>
      <w:r w:rsidRPr="003E486D">
        <w:t xml:space="preserve"> counts are based on a 5-percent extract of the Medicare administrative records and are computed as 20 times the extract</w:t>
      </w:r>
      <w:r w:rsidRPr="003E486D" w:rsidR="00D03F5A">
        <w:t xml:space="preserve"> </w:t>
      </w:r>
      <w:r w:rsidRPr="003E486D">
        <w:t>counts.</w:t>
      </w:r>
    </w:p>
    <w:p w:rsidR="0088452B" w:rsidRPr="003E486D" w:rsidP="001C1985" w14:paraId="2FFCB4F0" w14:textId="2CB652EA">
      <w:pPr>
        <w:pStyle w:val="Note"/>
        <w:spacing w:before="40" w:after="40"/>
      </w:pPr>
      <w:r w:rsidRPr="003E486D">
        <w:rPr>
          <w:b/>
          <w:bCs/>
        </w:rPr>
        <w:t>Notes:</w:t>
      </w:r>
      <w:r w:rsidRPr="003E486D">
        <w:t xml:space="preserve"> Puerto Rico beneficiaries are excluded from</w:t>
      </w:r>
      <w:r w:rsidRPr="003E486D" w:rsidR="00B9296F">
        <w:t xml:space="preserve"> </w:t>
      </w:r>
      <w:r w:rsidRPr="003E486D">
        <w:t>sample design</w:t>
      </w:r>
      <w:r w:rsidR="00681CB0">
        <w:t xml:space="preserve"> counts</w:t>
      </w:r>
      <w:r w:rsidRPr="003E486D">
        <w:t xml:space="preserve">. </w:t>
      </w:r>
    </w:p>
    <w:p w:rsidR="0088452B" w:rsidP="001C1985" w14:paraId="0CB6328F" w14:textId="77777777">
      <w:pPr>
        <w:pStyle w:val="Note"/>
        <w:spacing w:before="40" w:after="40"/>
      </w:pPr>
      <w:r w:rsidRPr="003E486D">
        <w:t>Totals do not necessarily equal the sum of rounded components.</w:t>
      </w:r>
    </w:p>
    <w:p w:rsidR="00F30B83" w:rsidRPr="003E486D" w:rsidP="001C1985" w14:paraId="7369938C" w14:textId="1E8B7BCC">
      <w:pPr>
        <w:pStyle w:val="Note"/>
        <w:spacing w:before="40" w:after="40"/>
      </w:pPr>
      <w:r>
        <w:t xml:space="preserve">Beginning in Fall 2026 under the sample redesign, age </w:t>
      </w:r>
      <w:r>
        <w:t xml:space="preserve">groups </w:t>
      </w:r>
      <w:r w:rsidR="00FD6F49">
        <w:t>are</w:t>
      </w:r>
      <w:r>
        <w:t xml:space="preserve"> collapsed into three groups (&lt;65, 65-79, and 80+).</w:t>
      </w:r>
    </w:p>
    <w:p w:rsidR="0088452B" w:rsidRPr="00D94F41" w:rsidP="003E486D" w14:paraId="522FB3FA" w14:textId="1325A897">
      <w:pPr>
        <w:pStyle w:val="BodyText"/>
        <w:spacing w:before="240"/>
      </w:pPr>
      <w:r>
        <w:t>Regardless of design, t</w:t>
      </w:r>
      <w:r w:rsidRPr="00D94F41" w:rsidR="004112E2">
        <w:t xml:space="preserve">he target sample size of the MCBS </w:t>
      </w:r>
      <w:r w:rsidR="00F11CA0">
        <w:t xml:space="preserve">varies slightly each year. Most recently, it </w:t>
      </w:r>
      <w:r w:rsidRPr="00D94F41" w:rsidR="004112E2">
        <w:t xml:space="preserve">has been designed to yield </w:t>
      </w:r>
      <w:r w:rsidR="00193901">
        <w:t>8,</w:t>
      </w:r>
      <w:r w:rsidR="00932A15">
        <w:t>200-8,500</w:t>
      </w:r>
      <w:r w:rsidRPr="00D94F41" w:rsidR="00932A15">
        <w:rPr>
          <w:sz w:val="16"/>
        </w:rPr>
        <w:t xml:space="preserve"> </w:t>
      </w:r>
      <w:r w:rsidRPr="00D94F41" w:rsidR="004112E2">
        <w:t xml:space="preserve">completed cases providing Cost Supplement data per year (approximately </w:t>
      </w:r>
      <w:r w:rsidR="00932A15">
        <w:t>17-18 percent of these being</w:t>
      </w:r>
      <w:r w:rsidRPr="00D94F41" w:rsidR="004112E2">
        <w:t xml:space="preserve"> disabled enrollees under the age of 65, </w:t>
      </w:r>
      <w:r w:rsidR="00932A15">
        <w:t xml:space="preserve">approximately 48-49 percent being age 65 to 79, </w:t>
      </w:r>
      <w:r w:rsidRPr="00D94F41" w:rsidR="004112E2">
        <w:t xml:space="preserve">and </w:t>
      </w:r>
      <w:r w:rsidR="00932A15">
        <w:t>approximately 33-34 percent being</w:t>
      </w:r>
      <w:r w:rsidRPr="00D94F41" w:rsidR="004112E2">
        <w:t xml:space="preserve"> enrollees </w:t>
      </w:r>
      <w:r w:rsidR="00932A15">
        <w:t>80 years of age and older</w:t>
      </w:r>
      <w:r w:rsidRPr="00D94F41" w:rsidR="004112E2">
        <w:t>)</w:t>
      </w:r>
      <w:r w:rsidRPr="00D94F41" w:rsidR="00184C23">
        <w:t xml:space="preserve"> from 2023 onwards</w:t>
      </w:r>
      <w:r w:rsidRPr="00D94F41" w:rsidR="004112E2">
        <w:t>.</w:t>
      </w:r>
      <w:r w:rsidR="00157DE6">
        <w:t xml:space="preserve"> The redesigned sample from 2026 onward maintain</w:t>
      </w:r>
      <w:r w:rsidR="00FD6F49">
        <w:t>s</w:t>
      </w:r>
      <w:r w:rsidR="00157DE6">
        <w:t xml:space="preserve"> approximately the same overall targets.</w:t>
      </w:r>
    </w:p>
    <w:p w:rsidR="0088452B" w:rsidRPr="00D94F41" w:rsidP="004D6EBE" w14:paraId="0B18660D" w14:textId="4B8BBAE1">
      <w:pPr>
        <w:pStyle w:val="BodyText"/>
      </w:pPr>
      <w:r w:rsidRPr="00D94F41">
        <w:t xml:space="preserve">To achieve the desired number of completed cases, the MCBS selects new sample beneficiaries each year (referred to as the </w:t>
      </w:r>
      <w:r w:rsidRPr="00D94F41" w:rsidR="00505BED">
        <w:t>I</w:t>
      </w:r>
      <w:r w:rsidRPr="00D94F41">
        <w:t xml:space="preserve">ncoming </w:t>
      </w:r>
      <w:r w:rsidRPr="00D94F41" w:rsidR="00505BED">
        <w:t>P</w:t>
      </w:r>
      <w:r w:rsidRPr="00D94F41">
        <w:t xml:space="preserve">anel) to compensate for nonresponse, attrition, and retirement of sampled beneficiaries in the oldest panel (referred to as the exit panel) and to include the </w:t>
      </w:r>
      <w:r w:rsidRPr="00D94F41" w:rsidR="00BC219E">
        <w:t>current-year enrollees</w:t>
      </w:r>
      <w:r w:rsidRPr="00D94F41">
        <w:t xml:space="preserve">, while continuing to interview the non-retired portion of the continuing sample. The </w:t>
      </w:r>
      <w:r w:rsidRPr="00D94F41" w:rsidR="00505BED">
        <w:t>I</w:t>
      </w:r>
      <w:r w:rsidRPr="00D94F41">
        <w:t xml:space="preserve">ncoming </w:t>
      </w:r>
      <w:r w:rsidRPr="00D94F41" w:rsidR="00505BED">
        <w:t>P</w:t>
      </w:r>
      <w:r w:rsidRPr="00D94F41">
        <w:t xml:space="preserve">anel is always added in the Fall round (also referred to as the </w:t>
      </w:r>
      <w:r w:rsidRPr="00D94F41" w:rsidR="000A248B">
        <w:t>B</w:t>
      </w:r>
      <w:r w:rsidRPr="00D94F41">
        <w:t xml:space="preserve">aseline interview); the retiring or exit panel occurs in the </w:t>
      </w:r>
      <w:r w:rsidRPr="00D94F41" w:rsidR="00505BED">
        <w:t>W</w:t>
      </w:r>
      <w:r w:rsidRPr="00D94F41">
        <w:t xml:space="preserve">inter round (and is the </w:t>
      </w:r>
      <w:r w:rsidR="00A5794F">
        <w:t>11</w:t>
      </w:r>
      <w:r w:rsidRPr="009008A5" w:rsidR="00A5794F">
        <w:rPr>
          <w:vertAlign w:val="superscript"/>
        </w:rPr>
        <w:t>th</w:t>
      </w:r>
      <w:r w:rsidR="00A5794F">
        <w:t xml:space="preserve"> </w:t>
      </w:r>
      <w:r w:rsidRPr="00D94F41">
        <w:t>and final interview for all respondents).</w:t>
      </w:r>
    </w:p>
    <w:p w:rsidR="0088452B" w:rsidRPr="00632E4F" w:rsidP="004D6EBE" w14:paraId="420FA73C" w14:textId="7AAB379E">
      <w:pPr>
        <w:pStyle w:val="BodyText"/>
        <w:rPr>
          <w:spacing w:val="-2"/>
        </w:rPr>
      </w:pPr>
      <w:r w:rsidRPr="00632E4F">
        <w:rPr>
          <w:spacing w:val="-2"/>
        </w:rPr>
        <w:t xml:space="preserve">Each year, an analysis of non-response and attrition is conducted to determine the optimal sample size for the </w:t>
      </w:r>
      <w:r w:rsidRPr="00632E4F" w:rsidR="00505BED">
        <w:rPr>
          <w:spacing w:val="-2"/>
        </w:rPr>
        <w:t>F</w:t>
      </w:r>
      <w:r w:rsidRPr="00632E4F">
        <w:rPr>
          <w:spacing w:val="-2"/>
        </w:rPr>
        <w:t xml:space="preserve">all round </w:t>
      </w:r>
      <w:r w:rsidRPr="00632E4F" w:rsidR="00505BED">
        <w:rPr>
          <w:spacing w:val="-2"/>
        </w:rPr>
        <w:t>I</w:t>
      </w:r>
      <w:r w:rsidRPr="00632E4F">
        <w:rPr>
          <w:spacing w:val="-2"/>
        </w:rPr>
        <w:t xml:space="preserve">ncoming </w:t>
      </w:r>
      <w:r w:rsidRPr="00632E4F" w:rsidR="00505BED">
        <w:rPr>
          <w:spacing w:val="-2"/>
        </w:rPr>
        <w:t>P</w:t>
      </w:r>
      <w:r w:rsidRPr="00632E4F">
        <w:rPr>
          <w:spacing w:val="-2"/>
        </w:rPr>
        <w:t xml:space="preserve">anel. Through 2009, approximately 6,500 beneficiaries were added to the sample in the </w:t>
      </w:r>
      <w:r w:rsidRPr="00632E4F" w:rsidR="00505BED">
        <w:rPr>
          <w:spacing w:val="-2"/>
        </w:rPr>
        <w:t>F</w:t>
      </w:r>
      <w:r w:rsidRPr="00632E4F">
        <w:rPr>
          <w:spacing w:val="-2"/>
        </w:rPr>
        <w:t xml:space="preserve">all (September – December) round each year to replace the </w:t>
      </w:r>
      <w:r w:rsidRPr="00632E4F">
        <w:rPr>
          <w:spacing w:val="-2"/>
        </w:rPr>
        <w:t>exiting</w:t>
      </w:r>
      <w:r w:rsidRPr="00632E4F">
        <w:rPr>
          <w:spacing w:val="-2"/>
        </w:rPr>
        <w:t xml:space="preserve"> panel and to offset sample losses due to non-response and attrition. Beginning in the </w:t>
      </w:r>
      <w:r w:rsidRPr="00632E4F" w:rsidR="00505BED">
        <w:rPr>
          <w:spacing w:val="-2"/>
        </w:rPr>
        <w:t>F</w:t>
      </w:r>
      <w:r w:rsidRPr="00632E4F">
        <w:rPr>
          <w:spacing w:val="-2"/>
        </w:rPr>
        <w:t>all round of 2010</w:t>
      </w:r>
      <w:r w:rsidRPr="00632E4F" w:rsidR="001F4EC1">
        <w:rPr>
          <w:spacing w:val="-2"/>
        </w:rPr>
        <w:t xml:space="preserve"> and continuing through the decade</w:t>
      </w:r>
      <w:r w:rsidRPr="00632E4F">
        <w:rPr>
          <w:spacing w:val="-2"/>
        </w:rPr>
        <w:t xml:space="preserve">, the number of beneficiaries included in the </w:t>
      </w:r>
      <w:r w:rsidRPr="00632E4F" w:rsidR="00505BED">
        <w:rPr>
          <w:spacing w:val="-2"/>
        </w:rPr>
        <w:t>Incoming Panel</w:t>
      </w:r>
      <w:r w:rsidRPr="00632E4F">
        <w:rPr>
          <w:spacing w:val="-2"/>
        </w:rPr>
        <w:t xml:space="preserve"> </w:t>
      </w:r>
      <w:r w:rsidRPr="00632E4F" w:rsidR="001F4EC1">
        <w:rPr>
          <w:spacing w:val="-2"/>
        </w:rPr>
        <w:t xml:space="preserve">sample </w:t>
      </w:r>
      <w:r w:rsidRPr="00632E4F" w:rsidR="001F4EC1">
        <w:rPr>
          <w:spacing w:val="-2"/>
        </w:rPr>
        <w:t xml:space="preserve">release </w:t>
      </w:r>
      <w:r w:rsidRPr="00632E4F">
        <w:rPr>
          <w:spacing w:val="-2"/>
        </w:rPr>
        <w:t>was</w:t>
      </w:r>
      <w:r w:rsidRPr="00632E4F">
        <w:rPr>
          <w:spacing w:val="-2"/>
        </w:rPr>
        <w:t xml:space="preserve"> </w:t>
      </w:r>
      <w:r w:rsidRPr="00632E4F" w:rsidR="001F4EC1">
        <w:rPr>
          <w:spacing w:val="-2"/>
        </w:rPr>
        <w:t xml:space="preserve">gradually </w:t>
      </w:r>
      <w:r w:rsidRPr="00632E4F">
        <w:rPr>
          <w:spacing w:val="-2"/>
        </w:rPr>
        <w:t xml:space="preserve">increased to compensate for declining response rates. </w:t>
      </w:r>
      <w:r w:rsidRPr="00632E4F" w:rsidR="001F4EC1">
        <w:rPr>
          <w:spacing w:val="-2"/>
        </w:rPr>
        <w:t>B</w:t>
      </w:r>
      <w:r w:rsidRPr="00632E4F" w:rsidR="00DC250E">
        <w:rPr>
          <w:spacing w:val="-2"/>
        </w:rPr>
        <w:t xml:space="preserve">eginning in 2020 when interviewing shifted from in-person to telephone due to the COVID-19 pandemic, the </w:t>
      </w:r>
      <w:r w:rsidRPr="00632E4F" w:rsidR="00505BED">
        <w:rPr>
          <w:spacing w:val="-2"/>
        </w:rPr>
        <w:t>Incoming Panel</w:t>
      </w:r>
      <w:r w:rsidRPr="00632E4F" w:rsidR="00DC250E">
        <w:rPr>
          <w:spacing w:val="-2"/>
        </w:rPr>
        <w:t xml:space="preserve"> sample size </w:t>
      </w:r>
      <w:r w:rsidRPr="00632E4F" w:rsidR="001F4EC1">
        <w:rPr>
          <w:spacing w:val="-2"/>
        </w:rPr>
        <w:t>was</w:t>
      </w:r>
      <w:r w:rsidRPr="00632E4F" w:rsidR="00DC250E">
        <w:rPr>
          <w:spacing w:val="-2"/>
        </w:rPr>
        <w:t xml:space="preserve"> approximately 15,</w:t>
      </w:r>
      <w:r w:rsidR="00420B0B">
        <w:rPr>
          <w:spacing w:val="-2"/>
        </w:rPr>
        <w:t>1</w:t>
      </w:r>
      <w:r w:rsidRPr="00632E4F" w:rsidR="00DC250E">
        <w:rPr>
          <w:spacing w:val="-2"/>
        </w:rPr>
        <w:t xml:space="preserve">00. This increase </w:t>
      </w:r>
      <w:r w:rsidRPr="00632E4F" w:rsidR="00DC250E">
        <w:rPr>
          <w:spacing w:val="-2"/>
        </w:rPr>
        <w:t xml:space="preserve">is a reflection </w:t>
      </w:r>
      <w:r w:rsidRPr="00632E4F" w:rsidR="00DC250E">
        <w:rPr>
          <w:spacing w:val="-2"/>
        </w:rPr>
        <w:t>of</w:t>
      </w:r>
      <w:r w:rsidRPr="00632E4F" w:rsidR="00DC250E">
        <w:rPr>
          <w:spacing w:val="-2"/>
        </w:rPr>
        <w:t xml:space="preserve"> the </w:t>
      </w:r>
      <w:r w:rsidRPr="00632E4F" w:rsidR="001F4EC1">
        <w:rPr>
          <w:spacing w:val="-2"/>
        </w:rPr>
        <w:t xml:space="preserve">continued decline in response rates </w:t>
      </w:r>
      <w:r w:rsidRPr="00632E4F" w:rsidR="00DC250E">
        <w:rPr>
          <w:spacing w:val="-2"/>
        </w:rPr>
        <w:t xml:space="preserve">and </w:t>
      </w:r>
      <w:r w:rsidRPr="00632E4F" w:rsidR="00B1563D">
        <w:rPr>
          <w:spacing w:val="-2"/>
        </w:rPr>
        <w:t xml:space="preserve">the </w:t>
      </w:r>
      <w:r w:rsidRPr="00632E4F" w:rsidR="00DC250E">
        <w:rPr>
          <w:spacing w:val="-2"/>
        </w:rPr>
        <w:t xml:space="preserve">additional difficulty </w:t>
      </w:r>
      <w:r w:rsidRPr="00632E4F" w:rsidR="00B1563D">
        <w:rPr>
          <w:spacing w:val="-2"/>
        </w:rPr>
        <w:t xml:space="preserve">of </w:t>
      </w:r>
      <w:r w:rsidRPr="00632E4F" w:rsidR="00DC250E">
        <w:rPr>
          <w:spacing w:val="-2"/>
        </w:rPr>
        <w:t>locating respondents via telephone</w:t>
      </w:r>
      <w:r>
        <w:rPr>
          <w:rStyle w:val="FootnoteReference"/>
          <w:spacing w:val="-2"/>
        </w:rPr>
        <w:footnoteReference w:id="4"/>
      </w:r>
      <w:r w:rsidRPr="00632E4F" w:rsidR="00DC250E">
        <w:rPr>
          <w:spacing w:val="-2"/>
        </w:rPr>
        <w:t xml:space="preserve">. </w:t>
      </w:r>
      <w:r w:rsidRPr="00632E4F">
        <w:rPr>
          <w:spacing w:val="-2"/>
        </w:rPr>
        <w:t xml:space="preserve">The sample size results in </w:t>
      </w:r>
      <w:r w:rsidRPr="00632E4F" w:rsidR="00184C23">
        <w:rPr>
          <w:spacing w:val="-2"/>
        </w:rPr>
        <w:t xml:space="preserve">over </w:t>
      </w:r>
      <w:r w:rsidRPr="00632E4F" w:rsidR="00960270">
        <w:rPr>
          <w:spacing w:val="-2"/>
        </w:rPr>
        <w:t>3</w:t>
      </w:r>
      <w:r w:rsidR="00420B0B">
        <w:rPr>
          <w:spacing w:val="-2"/>
        </w:rPr>
        <w:t>4</w:t>
      </w:r>
      <w:r w:rsidRPr="00632E4F">
        <w:rPr>
          <w:spacing w:val="-2"/>
        </w:rPr>
        <w:t>,000 interviews completed per year.</w:t>
      </w:r>
    </w:p>
    <w:p w:rsidR="00DA3C6D" w:rsidRPr="001C1985" w14:paraId="08616162" w14:textId="1F364954">
      <w:pPr>
        <w:pStyle w:val="BodyText"/>
        <w:rPr>
          <w:spacing w:val="6"/>
        </w:rPr>
      </w:pPr>
      <w:bookmarkStart w:id="10" w:name="OLE_LINK12"/>
      <w:r w:rsidRPr="00D94F41">
        <w:t xml:space="preserve">The methodology for drawing the samples is described later in this document. The number of cases to be selected each year for the </w:t>
      </w:r>
      <w:r w:rsidRPr="00D94F41" w:rsidR="00505BED">
        <w:t>Incoming Panel</w:t>
      </w:r>
      <w:r w:rsidRPr="00D94F41">
        <w:t xml:space="preserve"> (designated sample sizes)</w:t>
      </w:r>
      <w:r w:rsidRPr="001C1985">
        <w:rPr>
          <w:spacing w:val="6"/>
        </w:rPr>
        <w:t xml:space="preserve"> </w:t>
      </w:r>
      <w:r w:rsidR="003D4D23">
        <w:rPr>
          <w:spacing w:val="6"/>
        </w:rPr>
        <w:t>is</w:t>
      </w:r>
      <w:r w:rsidRPr="001C1985">
        <w:rPr>
          <w:spacing w:val="6"/>
        </w:rPr>
        <w:t xml:space="preserve"> larger than the targeted number of completes to compensate for non-response, ineligibility, and attrition. </w:t>
      </w:r>
      <w:r w:rsidR="003D4D23">
        <w:rPr>
          <w:spacing w:val="6"/>
        </w:rPr>
        <w:t>Since</w:t>
      </w:r>
      <w:r w:rsidRPr="001C1985" w:rsidR="005045CE">
        <w:rPr>
          <w:spacing w:val="6"/>
        </w:rPr>
        <w:t xml:space="preserve"> 2020, </w:t>
      </w:r>
      <w:r w:rsidRPr="001C1985" w:rsidR="00F15F4B">
        <w:rPr>
          <w:spacing w:val="6"/>
        </w:rPr>
        <w:t xml:space="preserve">more sample </w:t>
      </w:r>
      <w:r w:rsidR="003D4D23">
        <w:rPr>
          <w:spacing w:val="6"/>
        </w:rPr>
        <w:t>ha</w:t>
      </w:r>
      <w:r w:rsidRPr="001C1985" w:rsidR="005045CE">
        <w:rPr>
          <w:spacing w:val="6"/>
        </w:rPr>
        <w:t>s</w:t>
      </w:r>
      <w:r w:rsidR="003D4D23">
        <w:rPr>
          <w:spacing w:val="6"/>
        </w:rPr>
        <w:t xml:space="preserve"> been</w:t>
      </w:r>
      <w:r w:rsidRPr="001C1985" w:rsidR="005045CE">
        <w:rPr>
          <w:spacing w:val="6"/>
        </w:rPr>
        <w:t xml:space="preserve"> necessary </w:t>
      </w:r>
      <w:r w:rsidRPr="001C1985" w:rsidR="00F15F4B">
        <w:rPr>
          <w:spacing w:val="6"/>
        </w:rPr>
        <w:t xml:space="preserve">to </w:t>
      </w:r>
      <w:r w:rsidRPr="001C1985" w:rsidR="00EE460F">
        <w:rPr>
          <w:spacing w:val="6"/>
        </w:rPr>
        <w:t>compensate</w:t>
      </w:r>
      <w:r w:rsidRPr="001C1985" w:rsidR="00F15F4B">
        <w:rPr>
          <w:spacing w:val="6"/>
        </w:rPr>
        <w:t xml:space="preserve"> for a switch from in-person interviewing to </w:t>
      </w:r>
      <w:r w:rsidRPr="001C1985" w:rsidR="005045CE">
        <w:rPr>
          <w:spacing w:val="6"/>
        </w:rPr>
        <w:t>telephone</w:t>
      </w:r>
      <w:r w:rsidRPr="001C1985" w:rsidR="00332765">
        <w:rPr>
          <w:spacing w:val="6"/>
        </w:rPr>
        <w:t xml:space="preserve"> interviewing</w:t>
      </w:r>
      <w:r w:rsidRPr="001C1985" w:rsidR="005045CE">
        <w:rPr>
          <w:spacing w:val="6"/>
        </w:rPr>
        <w:t xml:space="preserve"> and the expected lower response rates associated with that mode</w:t>
      </w:r>
      <w:r w:rsidRPr="001C1985" w:rsidR="00F15F4B">
        <w:rPr>
          <w:spacing w:val="6"/>
        </w:rPr>
        <w:t>.</w:t>
      </w:r>
      <w:r w:rsidRPr="001C1985" w:rsidR="005045CE">
        <w:rPr>
          <w:spacing w:val="6"/>
        </w:rPr>
        <w:t xml:space="preserve"> With the reintroduction </w:t>
      </w:r>
      <w:r w:rsidRPr="001C1985" w:rsidR="00AF2D71">
        <w:rPr>
          <w:spacing w:val="6"/>
        </w:rPr>
        <w:t>of</w:t>
      </w:r>
      <w:r w:rsidRPr="001C1985" w:rsidR="005045CE">
        <w:rPr>
          <w:spacing w:val="6"/>
        </w:rPr>
        <w:t xml:space="preserve"> </w:t>
      </w:r>
      <w:r w:rsidRPr="001C1985" w:rsidR="00550BE2">
        <w:rPr>
          <w:spacing w:val="6"/>
        </w:rPr>
        <w:t xml:space="preserve">some </w:t>
      </w:r>
      <w:r w:rsidRPr="001C1985" w:rsidR="005045CE">
        <w:rPr>
          <w:spacing w:val="6"/>
        </w:rPr>
        <w:t>in-person interviewing</w:t>
      </w:r>
      <w:r w:rsidRPr="001C1985" w:rsidR="00AF2D71">
        <w:rPr>
          <w:spacing w:val="6"/>
        </w:rPr>
        <w:t xml:space="preserve"> in late 2021, and the shift to multimode data collection, these additional </w:t>
      </w:r>
      <w:r w:rsidR="003D4D23">
        <w:rPr>
          <w:spacing w:val="6"/>
        </w:rPr>
        <w:t>sample needs</w:t>
      </w:r>
      <w:r w:rsidRPr="001C1985" w:rsidR="003D4D23">
        <w:rPr>
          <w:spacing w:val="6"/>
        </w:rPr>
        <w:t xml:space="preserve"> </w:t>
      </w:r>
      <w:r w:rsidRPr="001C1985" w:rsidR="00AF2D71">
        <w:rPr>
          <w:spacing w:val="6"/>
        </w:rPr>
        <w:t xml:space="preserve">have </w:t>
      </w:r>
      <w:r w:rsidR="003D4D23">
        <w:rPr>
          <w:spacing w:val="6"/>
        </w:rPr>
        <w:t>stabilized and sometimes decreased slightly</w:t>
      </w:r>
      <w:r w:rsidRPr="001C1985" w:rsidR="00AF2D71">
        <w:rPr>
          <w:spacing w:val="6"/>
        </w:rPr>
        <w:t>.</w:t>
      </w:r>
      <w:r w:rsidRPr="001C1985" w:rsidR="005045CE">
        <w:rPr>
          <w:spacing w:val="6"/>
        </w:rPr>
        <w:t xml:space="preserve"> </w:t>
      </w:r>
    </w:p>
    <w:bookmarkEnd w:id="10"/>
    <w:p w:rsidR="00853A05" w:rsidP="00AA0354" w14:paraId="2A8B08CF" w14:textId="0396E96B">
      <w:pPr>
        <w:pStyle w:val="BodyText"/>
        <w:spacing w:before="180"/>
      </w:pPr>
      <w:r>
        <w:t xml:space="preserve">Proxy interviews are attempted for deceased sample persons. If data are collected through the date of death, then these cases are counted as completed interviews. Sampled beneficiaries remain in the survey when they are unavailable for an interview </w:t>
      </w:r>
      <w:r>
        <w:t>in a given</w:t>
      </w:r>
      <w:r>
        <w:t xml:space="preserve"> round; that is, they are carried forward into the next round. For these individuals, the reference period for their next interview is longer as it covers the period since their last interview. This ensures that there will not be a gap in coverage of utilization and expenditure data. If a sampled beneficiary is not interviewed for two consecutive rounds, they are not scheduled for any further interviews and are removed from case management. Such cases are treated as nonresponding cases.</w:t>
      </w:r>
    </w:p>
    <w:p w:rsidR="003614E7" w:rsidRPr="00D94F41" w:rsidP="003614E7" w14:paraId="3D3AA433" w14:textId="7E41ADD2">
      <w:pPr>
        <w:pStyle w:val="BodyText"/>
        <w:spacing w:before="120"/>
      </w:pPr>
      <w:r w:rsidRPr="2D735B17">
        <w:rPr>
          <w:b/>
          <w:bCs/>
        </w:rPr>
        <w:t xml:space="preserve">Cross-sectional sample sizes for other domains. </w:t>
      </w:r>
      <w:r>
        <w:t>There are multiple domains of interest in the MCBS (for example, respondents with end-stage renal disease, persons residing in nursing homes, managed care enrollees, Medicaid recipients, and beneficiaries aligned to a provider participating in accountable care organizations). Under the</w:t>
      </w:r>
      <w:r w:rsidR="00E778E5">
        <w:t xml:space="preserve"> Fall</w:t>
      </w:r>
      <w:r>
        <w:t xml:space="preserve"> 2026 redesign</w:t>
      </w:r>
      <w:r w:rsidR="00E778E5">
        <w:t xml:space="preserve"> of the MCBS sampling</w:t>
      </w:r>
      <w:r>
        <w:t>, the MCBS will continue to maintain a minimum target of 8,200 to 8,500 completed responses in the annual Cost Supplement file to ensure that analysis can be performed on MCBS data for many domains of interest.</w:t>
      </w:r>
    </w:p>
    <w:p w:rsidR="0088452B" w:rsidRPr="00D94F41" w:rsidP="00995E09" w14:paraId="73554824" w14:textId="189BE74B">
      <w:pPr>
        <w:pStyle w:val="BodyText"/>
      </w:pPr>
      <w:r w:rsidRPr="00D94F41">
        <w:rPr>
          <w:b/>
        </w:rPr>
        <w:t>Sample sizes for longitudinal analyses</w:t>
      </w:r>
      <w:r w:rsidRPr="00D94F41">
        <w:t xml:space="preserve">. Beginning in 2018, under the rotating panel design specified for the MCBS, respondents remain in the sample for up to eleven rounds of data collection over a </w:t>
      </w:r>
      <w:r w:rsidRPr="00D94F41" w:rsidR="00261F87">
        <w:t>four-year</w:t>
      </w:r>
      <w:r w:rsidRPr="00D94F41">
        <w:t xml:space="preserve"> period; prior to 2018, respondents remained in the sample for up to twelve rounds of data collection</w:t>
      </w:r>
      <w:r w:rsidRPr="00D94F41" w:rsidR="002C2466">
        <w:t>.</w:t>
      </w:r>
      <w:r w:rsidRPr="00D94F41">
        <w:t xml:space="preserve"> The historical response rates and attrition rates observed in the MCBS are used to determine the rotational sample size and configuration of each new </w:t>
      </w:r>
      <w:r w:rsidRPr="00D94F41" w:rsidR="00505BED">
        <w:t>Incoming Panel</w:t>
      </w:r>
      <w:r w:rsidRPr="00D94F41">
        <w:t>. The rotational sample design attempts to achieve consistency in subgroup sample sizes across all panels comprising a particular calendar year.</w:t>
      </w:r>
    </w:p>
    <w:p w:rsidR="0088452B" w:rsidRPr="001C1985" w:rsidP="00995E09" w14:paraId="644FBE07" w14:textId="45C4BC70">
      <w:pPr>
        <w:pStyle w:val="BodyText"/>
        <w:rPr>
          <w:spacing w:val="-6"/>
        </w:rPr>
      </w:pPr>
      <w:r w:rsidRPr="00D94F41">
        <w:t xml:space="preserve">Table B.3 (in section B2 below) presents the round-by-round conditional and unconditional response rates as of Round </w:t>
      </w:r>
      <w:r w:rsidR="00360F12">
        <w:t>9</w:t>
      </w:r>
      <w:r w:rsidR="000C3246">
        <w:t>7</w:t>
      </w:r>
      <w:r w:rsidRPr="00D94F41">
        <w:t xml:space="preserve"> (Fall round of 20</w:t>
      </w:r>
      <w:r w:rsidR="00FD7D3A">
        <w:t>2</w:t>
      </w:r>
      <w:r w:rsidR="000C3246">
        <w:t>3</w:t>
      </w:r>
      <w:r w:rsidRPr="00D94F41">
        <w:t>) for the samples (referred to in the table as “panels”) selected in 20</w:t>
      </w:r>
      <w:r w:rsidRPr="00D94F41" w:rsidR="00C00C81">
        <w:t>1</w:t>
      </w:r>
      <w:r w:rsidR="007030AC">
        <w:t>5</w:t>
      </w:r>
      <w:r w:rsidRPr="00D94F41">
        <w:t xml:space="preserve"> through 20</w:t>
      </w:r>
      <w:r w:rsidR="00FD7D3A">
        <w:t>2</w:t>
      </w:r>
      <w:r w:rsidR="000C3246">
        <w:t>3</w:t>
      </w:r>
      <w:r w:rsidRPr="00D94F41">
        <w:t xml:space="preserve">. For example, from the bottom part of the table, it can be seen that by the 10th round of data collection for the </w:t>
      </w:r>
      <w:r w:rsidRPr="00D94F41" w:rsidR="00A672EA">
        <w:t>20</w:t>
      </w:r>
      <w:r w:rsidR="000C3246">
        <w:t>20</w:t>
      </w:r>
      <w:r w:rsidRPr="00D94F41" w:rsidR="00A672EA">
        <w:t xml:space="preserve"> </w:t>
      </w:r>
      <w:r w:rsidRPr="00D94F41">
        <w:t xml:space="preserve">panel, </w:t>
      </w:r>
      <w:r w:rsidR="007030AC">
        <w:t>1</w:t>
      </w:r>
      <w:r w:rsidR="000C3246">
        <w:t>2</w:t>
      </w:r>
      <w:r w:rsidR="007030AC">
        <w:t>.</w:t>
      </w:r>
      <w:r w:rsidR="000C3246">
        <w:t>3</w:t>
      </w:r>
      <w:r w:rsidRPr="00D94F41">
        <w:t xml:space="preserve"> percent of the </w:t>
      </w:r>
      <w:r w:rsidRPr="00D94F41" w:rsidR="00A672EA">
        <w:t>20</w:t>
      </w:r>
      <w:r w:rsidR="000C3246">
        <w:t>20</w:t>
      </w:r>
      <w:r w:rsidRPr="00D94F41" w:rsidR="00A672EA">
        <w:t xml:space="preserve"> </w:t>
      </w:r>
      <w:r w:rsidRPr="00D94F41">
        <w:t>panel were still in a formal responding status (that is, either the sampled beneficiary was alive and still participating in the study or had died but a cooperative proxy was found</w:t>
      </w:r>
      <w:r w:rsidRPr="001C1985">
        <w:rPr>
          <w:spacing w:val="-6"/>
        </w:rPr>
        <w:t xml:space="preserve"> for the collection of data on the last months of life) or had participated in the survey until death, leaving enough data to estimate the last months of life. For the </w:t>
      </w:r>
      <w:r w:rsidRPr="001C1985" w:rsidR="00A672EA">
        <w:rPr>
          <w:spacing w:val="-6"/>
        </w:rPr>
        <w:t>20</w:t>
      </w:r>
      <w:r w:rsidRPr="001C1985" w:rsidR="000C3246">
        <w:rPr>
          <w:spacing w:val="-6"/>
        </w:rPr>
        <w:t>21</w:t>
      </w:r>
      <w:r w:rsidRPr="001C1985" w:rsidR="00A672EA">
        <w:rPr>
          <w:spacing w:val="-6"/>
        </w:rPr>
        <w:t xml:space="preserve"> </w:t>
      </w:r>
      <w:r w:rsidRPr="001C1985">
        <w:rPr>
          <w:spacing w:val="-6"/>
        </w:rPr>
        <w:t xml:space="preserve">and </w:t>
      </w:r>
      <w:r w:rsidRPr="001C1985" w:rsidR="00A672EA">
        <w:rPr>
          <w:spacing w:val="-6"/>
        </w:rPr>
        <w:t>20</w:t>
      </w:r>
      <w:r w:rsidRPr="001C1985" w:rsidR="00360F12">
        <w:rPr>
          <w:spacing w:val="-6"/>
        </w:rPr>
        <w:t>2</w:t>
      </w:r>
      <w:r w:rsidRPr="001C1985" w:rsidR="000C3246">
        <w:rPr>
          <w:spacing w:val="-6"/>
        </w:rPr>
        <w:t>2</w:t>
      </w:r>
      <w:r w:rsidRPr="001C1985" w:rsidR="00A672EA">
        <w:rPr>
          <w:spacing w:val="-6"/>
        </w:rPr>
        <w:t xml:space="preserve"> </w:t>
      </w:r>
      <w:r w:rsidRPr="001C1985">
        <w:rPr>
          <w:spacing w:val="-6"/>
        </w:rPr>
        <w:t xml:space="preserve">panels, the unconditional response rates as of Round </w:t>
      </w:r>
      <w:r w:rsidRPr="001C1985" w:rsidR="00360F12">
        <w:rPr>
          <w:spacing w:val="-6"/>
        </w:rPr>
        <w:t>9</w:t>
      </w:r>
      <w:r w:rsidRPr="001C1985" w:rsidR="000C3246">
        <w:rPr>
          <w:spacing w:val="-6"/>
        </w:rPr>
        <w:t>7</w:t>
      </w:r>
      <w:r w:rsidRPr="001C1985" w:rsidR="00A672EA">
        <w:rPr>
          <w:spacing w:val="-6"/>
        </w:rPr>
        <w:t xml:space="preserve"> </w:t>
      </w:r>
      <w:r w:rsidRPr="001C1985">
        <w:rPr>
          <w:spacing w:val="-6"/>
        </w:rPr>
        <w:t xml:space="preserve">were </w:t>
      </w:r>
      <w:r w:rsidRPr="001C1985" w:rsidR="000C3246">
        <w:rPr>
          <w:spacing w:val="-6"/>
        </w:rPr>
        <w:t>14</w:t>
      </w:r>
      <w:r w:rsidRPr="001C1985" w:rsidR="00255E53">
        <w:rPr>
          <w:spacing w:val="-6"/>
        </w:rPr>
        <w:t>.</w:t>
      </w:r>
      <w:r w:rsidRPr="001C1985" w:rsidR="000C3246">
        <w:rPr>
          <w:spacing w:val="-6"/>
        </w:rPr>
        <w:t>6</w:t>
      </w:r>
      <w:r w:rsidRPr="001C1985">
        <w:rPr>
          <w:spacing w:val="-6"/>
        </w:rPr>
        <w:t xml:space="preserve"> percent (through the 7th round of data collection) and </w:t>
      </w:r>
      <w:r w:rsidRPr="001C1985" w:rsidR="007030AC">
        <w:rPr>
          <w:spacing w:val="-6"/>
        </w:rPr>
        <w:t>2</w:t>
      </w:r>
      <w:r w:rsidRPr="001C1985" w:rsidR="000C3246">
        <w:rPr>
          <w:spacing w:val="-6"/>
        </w:rPr>
        <w:t>0</w:t>
      </w:r>
      <w:r w:rsidRPr="001C1985" w:rsidR="00255E53">
        <w:rPr>
          <w:spacing w:val="-6"/>
        </w:rPr>
        <w:t>.</w:t>
      </w:r>
      <w:r w:rsidRPr="001C1985" w:rsidR="000C3246">
        <w:rPr>
          <w:spacing w:val="-6"/>
        </w:rPr>
        <w:t>4</w:t>
      </w:r>
      <w:r w:rsidRPr="001C1985">
        <w:rPr>
          <w:spacing w:val="-6"/>
        </w:rPr>
        <w:t xml:space="preserve"> percent (through the </w:t>
      </w:r>
      <w:r w:rsidRPr="001C1985">
        <w:rPr>
          <w:spacing w:val="-6"/>
        </w:rPr>
        <w:t xml:space="preserve">4th round of data collection), respectively. The </w:t>
      </w:r>
      <w:r w:rsidRPr="001C1985" w:rsidR="00255E53">
        <w:rPr>
          <w:spacing w:val="-6"/>
        </w:rPr>
        <w:t>202</w:t>
      </w:r>
      <w:r w:rsidRPr="001C1985" w:rsidR="000C3246">
        <w:rPr>
          <w:spacing w:val="-6"/>
        </w:rPr>
        <w:t>3</w:t>
      </w:r>
      <w:r w:rsidRPr="001C1985" w:rsidR="00255E53">
        <w:rPr>
          <w:spacing w:val="-6"/>
        </w:rPr>
        <w:t xml:space="preserve"> </w:t>
      </w:r>
      <w:r w:rsidRPr="001C1985">
        <w:rPr>
          <w:spacing w:val="-6"/>
        </w:rPr>
        <w:t>panel (the new panel selected in Round</w:t>
      </w:r>
      <w:r w:rsidRPr="001C1985" w:rsidR="004D6EBE">
        <w:rPr>
          <w:spacing w:val="-6"/>
        </w:rPr>
        <w:t xml:space="preserve"> </w:t>
      </w:r>
      <w:r w:rsidRPr="001C1985" w:rsidR="00AE2936">
        <w:rPr>
          <w:spacing w:val="-6"/>
        </w:rPr>
        <w:t>9</w:t>
      </w:r>
      <w:r w:rsidRPr="001C1985" w:rsidR="000C3246">
        <w:rPr>
          <w:spacing w:val="-6"/>
        </w:rPr>
        <w:t>7</w:t>
      </w:r>
      <w:r w:rsidRPr="001C1985">
        <w:rPr>
          <w:spacing w:val="-6"/>
        </w:rPr>
        <w:t xml:space="preserve">) had an initial response rate of </w:t>
      </w:r>
      <w:r w:rsidRPr="001C1985" w:rsidR="000C3246">
        <w:rPr>
          <w:spacing w:val="-6"/>
        </w:rPr>
        <w:t>45.2</w:t>
      </w:r>
      <w:r w:rsidRPr="001C1985" w:rsidR="00A672EA">
        <w:rPr>
          <w:spacing w:val="-6"/>
        </w:rPr>
        <w:t xml:space="preserve"> </w:t>
      </w:r>
      <w:r w:rsidRPr="001C1985">
        <w:rPr>
          <w:spacing w:val="-6"/>
        </w:rPr>
        <w:t>percent in its first round of data collection.</w:t>
      </w:r>
    </w:p>
    <w:p w:rsidR="0088452B" w:rsidRPr="00D94F41" w:rsidP="00267F93" w14:paraId="4C6D6757" w14:textId="26A34A14">
      <w:pPr>
        <w:pStyle w:val="BodyText"/>
        <w:keepLines/>
      </w:pPr>
      <w:r>
        <w:t xml:space="preserve">Round </w:t>
      </w:r>
      <w:r w:rsidR="00886A8C">
        <w:t>103</w:t>
      </w:r>
      <w:r>
        <w:t xml:space="preserve"> (Fall 202</w:t>
      </w:r>
      <w:r w:rsidR="00886A8C">
        <w:t>5</w:t>
      </w:r>
      <w:r>
        <w:t xml:space="preserve">) is the latest round for which MCBS data </w:t>
      </w:r>
      <w:r>
        <w:t>have</w:t>
      </w:r>
      <w:r>
        <w:t xml:space="preserve"> been fully processed. There were </w:t>
      </w:r>
      <w:r w:rsidR="00886A8C">
        <w:t>2</w:t>
      </w:r>
      <w:r>
        <w:t>,</w:t>
      </w:r>
      <w:r w:rsidR="00886A8C">
        <w:t>024</w:t>
      </w:r>
      <w:r>
        <w:t xml:space="preserve"> interviews successfully completed at Round </w:t>
      </w:r>
      <w:r w:rsidR="00886A8C">
        <w:t>103</w:t>
      </w:r>
      <w:r>
        <w:t xml:space="preserve"> with still-living members of the 202</w:t>
      </w:r>
      <w:r w:rsidR="00886A8C">
        <w:t>2</w:t>
      </w:r>
      <w:r>
        <w:t xml:space="preserve"> panel. For brevity, we refer to these </w:t>
      </w:r>
      <w:r w:rsidR="00886A8C">
        <w:t>2</w:t>
      </w:r>
      <w:r>
        <w:t>,</w:t>
      </w:r>
      <w:r w:rsidR="00886A8C">
        <w:t>024</w:t>
      </w:r>
      <w:r>
        <w:t xml:space="preserve"> interviews as “live completes.” For the 202</w:t>
      </w:r>
      <w:r w:rsidR="00886A8C">
        <w:t>3</w:t>
      </w:r>
      <w:r>
        <w:t xml:space="preserve"> </w:t>
      </w:r>
      <w:bookmarkStart w:id="11" w:name="B2._Procedures_for_Collecting_Informatio"/>
      <w:bookmarkEnd w:id="11"/>
      <w:r>
        <w:t>and 202</w:t>
      </w:r>
      <w:r w:rsidR="00886A8C">
        <w:t>4</w:t>
      </w:r>
      <w:r>
        <w:t xml:space="preserve"> panels there were 2,</w:t>
      </w:r>
      <w:r w:rsidR="00886A8C">
        <w:t>505</w:t>
      </w:r>
      <w:r>
        <w:t xml:space="preserve"> and 3,2</w:t>
      </w:r>
      <w:r w:rsidR="00886A8C">
        <w:t>82</w:t>
      </w:r>
      <w:r>
        <w:t xml:space="preserve"> live Round </w:t>
      </w:r>
      <w:r w:rsidR="00BF0F10">
        <w:t>103</w:t>
      </w:r>
      <w:r>
        <w:t xml:space="preserve"> completes, respectively. For the first round of data collection for the 202</w:t>
      </w:r>
      <w:r w:rsidR="00886A8C">
        <w:t>5</w:t>
      </w:r>
      <w:r>
        <w:t xml:space="preserve"> panel, there were </w:t>
      </w:r>
      <w:r w:rsidR="00886A8C">
        <w:t>5,710</w:t>
      </w:r>
      <w:r>
        <w:t xml:space="preserve"> completes at Round </w:t>
      </w:r>
      <w:r w:rsidR="00886A8C">
        <w:t>103</w:t>
      </w:r>
      <w:r>
        <w:t>.</w:t>
      </w:r>
    </w:p>
    <w:p w:rsidR="0088452B" w:rsidRPr="00D94F41" w:rsidP="004D6EBE" w14:paraId="6D27E610" w14:textId="69CE6CBD">
      <w:pPr>
        <w:pStyle w:val="BodyText"/>
      </w:pPr>
      <w:r>
        <w:t>The MCBS</w:t>
      </w:r>
      <w:r>
        <w:t xml:space="preserve"> has used a variety of techniques to maintain respondent participation in the survey and reduce attrition. These will be continued and adapted to comply with the time frames for initiating and implementing the continuing sample.</w:t>
      </w:r>
    </w:p>
    <w:p w:rsidR="0088452B" w:rsidRPr="00D94F41" w:rsidP="00CF2B93" w14:paraId="2EB1EEEC" w14:textId="3F4C0CE6">
      <w:pPr>
        <w:pStyle w:val="Heading3"/>
        <w:tabs>
          <w:tab w:val="left" w:pos="450"/>
        </w:tabs>
      </w:pPr>
      <w:bookmarkStart w:id="12" w:name="_Toc91154936"/>
      <w:bookmarkStart w:id="13" w:name="_Toc235370774"/>
      <w:r w:rsidRPr="00D94F41">
        <w:t>B2.</w:t>
      </w:r>
      <w:r w:rsidRPr="00D94F41" w:rsidR="00BB2D9F">
        <w:tab/>
      </w:r>
      <w:r w:rsidRPr="00D94F41">
        <w:t>Procedures for Collecting Information</w:t>
      </w:r>
      <w:bookmarkEnd w:id="12"/>
      <w:bookmarkEnd w:id="13"/>
    </w:p>
    <w:p w:rsidR="0088452B" w:rsidRPr="00D94F41" w:rsidP="004D6EBE" w14:paraId="7B2797FE" w14:textId="064A7DF3">
      <w:pPr>
        <w:pStyle w:val="BodyText"/>
      </w:pPr>
      <w:r>
        <w:t xml:space="preserve">This section describes the procedures used to select the samples for the national survey. It includes a general discussion of the redesign approach </w:t>
      </w:r>
      <w:r w:rsidR="003D6ABC">
        <w:t>implemented in</w:t>
      </w:r>
      <w:r>
        <w:t xml:space="preserve"> Fall 2026 and its statistical methodology for stratification and rotational panel selection, estimation procedures, and the degree of precision needed. This is followed by a presentation of how instrument sections are used to enhance the analytic potential of the MCBS data. Rules for allowing proxy responses </w:t>
      </w:r>
      <w:r>
        <w:t>have</w:t>
      </w:r>
      <w:r>
        <w:t xml:space="preserve"> not changed under the 2026 redesign plan and are also described below.</w:t>
      </w:r>
    </w:p>
    <w:p w:rsidR="0088452B" w:rsidRPr="00D94F41" w:rsidP="00F53796" w14:paraId="38FED752" w14:textId="1BAB0123">
      <w:pPr>
        <w:pStyle w:val="Heading4"/>
      </w:pPr>
      <w:r w:rsidRPr="00D94F41">
        <w:t>Statistical Methodology for Stratification and Sample Selection</w:t>
      </w:r>
    </w:p>
    <w:p w:rsidR="0088452B" w:rsidRPr="00D94F41" w:rsidP="0033795C" w14:paraId="23973BEF" w14:textId="199DE714">
      <w:pPr>
        <w:pStyle w:val="BodyText"/>
      </w:pPr>
      <w:r w:rsidRPr="00D94F41">
        <w:t xml:space="preserve">This section opens with a </w:t>
      </w:r>
      <w:r w:rsidR="00996B19">
        <w:t xml:space="preserve">recap of the prior three-stage clustered design, compared to the new </w:t>
      </w:r>
      <w:r w:rsidR="00945E1A">
        <w:t>s</w:t>
      </w:r>
      <w:r w:rsidR="00996B19">
        <w:t>tate-stratified national design implemented in 2026.</w:t>
      </w:r>
      <w:r w:rsidRPr="00D94F41">
        <w:t xml:space="preserve"> This is followed by a general discussion of the selection of the </w:t>
      </w:r>
      <w:r w:rsidRPr="00D94F41" w:rsidR="005770A6">
        <w:t xml:space="preserve">incoming </w:t>
      </w:r>
      <w:r w:rsidRPr="00D94F41">
        <w:t xml:space="preserve">samples </w:t>
      </w:r>
      <w:r w:rsidR="002C473C">
        <w:t xml:space="preserve">under the </w:t>
      </w:r>
      <w:r w:rsidR="00996B19">
        <w:t xml:space="preserve">prior </w:t>
      </w:r>
      <w:r w:rsidR="002C473C">
        <w:t xml:space="preserve">design and 2026 redesign, </w:t>
      </w:r>
      <w:r w:rsidRPr="00D94F41">
        <w:t>and the use of Medicare administrative enrollment data each year to reduce problems associated with duplication of samples across the years.</w:t>
      </w:r>
      <w:r w:rsidR="00996B19">
        <w:t xml:space="preserve"> Because it will take </w:t>
      </w:r>
      <w:r w:rsidR="00945E1A">
        <w:t>four</w:t>
      </w:r>
      <w:r w:rsidR="00996B19">
        <w:t xml:space="preserve"> years (2026-2029) to fully implement the </w:t>
      </w:r>
      <w:r w:rsidR="00945E1A">
        <w:t>s</w:t>
      </w:r>
      <w:r w:rsidR="00996B19">
        <w:t>tate-stratified national design, both designs are described below.</w:t>
      </w:r>
    </w:p>
    <w:p w:rsidR="009F3E90" w:rsidP="008174B4" w14:paraId="1CECA94D" w14:textId="30ED9ED1">
      <w:pPr>
        <w:pStyle w:val="ListNumber"/>
        <w:tabs>
          <w:tab w:val="clear" w:pos="360"/>
        </w:tabs>
        <w:ind w:left="720"/>
      </w:pPr>
      <w:r>
        <w:rPr>
          <w:i/>
          <w:iCs/>
        </w:rPr>
        <w:t xml:space="preserve">Prior (2025 and earlier) </w:t>
      </w:r>
      <w:r w:rsidRPr="00B13DA1" w:rsidR="002C473C">
        <w:rPr>
          <w:i/>
          <w:iCs/>
        </w:rPr>
        <w:t xml:space="preserve">three-stage clustered design compared to the </w:t>
      </w:r>
      <w:r>
        <w:rPr>
          <w:i/>
          <w:iCs/>
        </w:rPr>
        <w:t xml:space="preserve">new </w:t>
      </w:r>
      <w:r w:rsidRPr="00B13DA1" w:rsidR="002C473C">
        <w:rPr>
          <w:i/>
          <w:iCs/>
        </w:rPr>
        <w:t xml:space="preserve">2026 </w:t>
      </w:r>
      <w:r w:rsidR="00945E1A">
        <w:rPr>
          <w:i/>
          <w:iCs/>
        </w:rPr>
        <w:t>s</w:t>
      </w:r>
      <w:r w:rsidRPr="00B13DA1" w:rsidR="004F0025">
        <w:rPr>
          <w:i/>
          <w:iCs/>
        </w:rPr>
        <w:t>tate-stratified n</w:t>
      </w:r>
      <w:r w:rsidRPr="00B13DA1" w:rsidR="00693A78">
        <w:rPr>
          <w:i/>
          <w:iCs/>
        </w:rPr>
        <w:t xml:space="preserve">ational </w:t>
      </w:r>
      <w:r w:rsidRPr="00B13DA1" w:rsidR="002C473C">
        <w:rPr>
          <w:i/>
          <w:iCs/>
        </w:rPr>
        <w:t>re</w:t>
      </w:r>
      <w:r w:rsidRPr="00B13DA1" w:rsidR="00DF3926">
        <w:rPr>
          <w:i/>
          <w:iCs/>
        </w:rPr>
        <w:t>design</w:t>
      </w:r>
      <w:r w:rsidRPr="00B13DA1" w:rsidR="004112E2">
        <w:rPr>
          <w:i/>
          <w:iCs/>
        </w:rPr>
        <w:t>.</w:t>
      </w:r>
      <w:r w:rsidRPr="00D94F41" w:rsidR="004112E2">
        <w:t xml:space="preserve"> </w:t>
      </w:r>
      <w:r>
        <w:t>Throughout most of the MCBS history up to 2025, t</w:t>
      </w:r>
      <w:r w:rsidRPr="00D94F41" w:rsidR="004112E2">
        <w:t>he MCBS employ</w:t>
      </w:r>
      <w:r>
        <w:t>ed</w:t>
      </w:r>
      <w:r w:rsidRPr="00D94F41" w:rsidR="004112E2">
        <w:t xml:space="preserve"> a complex multistage probability sample design. At the first stage of selection, the sample consist</w:t>
      </w:r>
      <w:r w:rsidR="00BF0F10">
        <w:t>ed</w:t>
      </w:r>
      <w:r w:rsidRPr="00D94F41" w:rsidR="004112E2">
        <w:t xml:space="preserve"> of 10</w:t>
      </w:r>
      <w:r w:rsidRPr="00D94F41" w:rsidR="00531702">
        <w:t>4</w:t>
      </w:r>
      <w:r>
        <w:rPr>
          <w:rStyle w:val="FootnoteReference"/>
        </w:rPr>
        <w:footnoteReference w:id="5"/>
      </w:r>
      <w:r w:rsidRPr="00D94F41" w:rsidR="004112E2">
        <w:t xml:space="preserve"> primary sampling units (PSUs</w:t>
      </w:r>
      <w:r>
        <w:rPr>
          <w:rStyle w:val="FootnoteReference"/>
        </w:rPr>
        <w:footnoteReference w:id="6"/>
      </w:r>
      <w:r w:rsidRPr="00D94F41" w:rsidR="004112E2">
        <w:t xml:space="preserve">) defined to be metropolitan areas and clusters of nonmetropolitan counties. At the second stage, </w:t>
      </w:r>
      <w:r w:rsidR="00DF3926">
        <w:t xml:space="preserve">a sample of 703 </w:t>
      </w:r>
      <w:r w:rsidR="0014103D">
        <w:t>secondary sampling units</w:t>
      </w:r>
      <w:r w:rsidRPr="00D94F41" w:rsidR="004112E2">
        <w:t xml:space="preserve"> </w:t>
      </w:r>
      <w:r w:rsidR="00970137">
        <w:t xml:space="preserve">consisting of </w:t>
      </w:r>
      <w:r w:rsidRPr="00970137" w:rsidR="00970137">
        <w:t>Census tracts</w:t>
      </w:r>
      <w:r w:rsidR="00970137">
        <w:t xml:space="preserve"> or groups of tracts </w:t>
      </w:r>
      <w:r w:rsidR="0014103D">
        <w:t>(SSUs</w:t>
      </w:r>
      <w:r>
        <w:rPr>
          <w:rStyle w:val="FootnoteReference"/>
        </w:rPr>
        <w:footnoteReference w:id="7"/>
      </w:r>
      <w:r w:rsidR="0014103D">
        <w:t xml:space="preserve">) </w:t>
      </w:r>
      <w:r w:rsidR="00BF0F10">
        <w:t>was</w:t>
      </w:r>
      <w:r w:rsidRPr="00D94F41" w:rsidR="00DF3926">
        <w:t xml:space="preserve"> </w:t>
      </w:r>
      <w:r w:rsidRPr="00D94F41" w:rsidR="004112E2">
        <w:t xml:space="preserve">selected within the sampled PSUs. At the third and final stage of selection, </w:t>
      </w:r>
      <w:r w:rsidRPr="00D94F41" w:rsidR="004112E2">
        <w:t xml:space="preserve">stratified samples of beneficiaries within the selected Census tracts </w:t>
      </w:r>
      <w:r w:rsidR="00BF0F10">
        <w:t>we</w:t>
      </w:r>
      <w:r w:rsidRPr="00D94F41" w:rsidR="004112E2">
        <w:t>re sampled</w:t>
      </w:r>
      <w:r w:rsidR="00DF3926">
        <w:t xml:space="preserve"> annually</w:t>
      </w:r>
      <w:r w:rsidRPr="00D94F41" w:rsidR="004112E2">
        <w:t xml:space="preserve"> at rates that depend</w:t>
      </w:r>
      <w:r w:rsidR="00BF0F10">
        <w:t>ed</w:t>
      </w:r>
      <w:r w:rsidRPr="00D94F41" w:rsidR="004112E2">
        <w:t xml:space="preserve"> on age group and </w:t>
      </w:r>
      <w:r w:rsidR="00B56BB1">
        <w:t xml:space="preserve">Hispanic or non-Hispanic </w:t>
      </w:r>
      <w:r w:rsidRPr="00D94F41" w:rsidR="004112E2">
        <w:t xml:space="preserve">ethnicity. </w:t>
      </w:r>
      <w:r w:rsidR="002C473C">
        <w:t xml:space="preserve">The </w:t>
      </w:r>
      <w:r w:rsidR="002C473C">
        <w:t>geographically-clustered</w:t>
      </w:r>
      <w:r w:rsidR="002C473C">
        <w:t xml:space="preserve"> nature of the current design was developed to support in-person interviewing by ensuring that sampled beneficiaries are clustered into relatively small areas. Under this design, the sampled beneficiaries within each state are not representative of their </w:t>
      </w:r>
      <w:r w:rsidR="002C473C">
        <w:t>state as a whole, and</w:t>
      </w:r>
      <w:r w:rsidR="002C473C">
        <w:t xml:space="preserve"> </w:t>
      </w:r>
      <w:r w:rsidR="00BA3A43">
        <w:t xml:space="preserve">14 </w:t>
      </w:r>
      <w:r w:rsidR="002C473C">
        <w:t xml:space="preserve">states contain </w:t>
      </w:r>
      <w:r w:rsidR="00BA3A43">
        <w:t xml:space="preserve">no PSUs </w:t>
      </w:r>
      <w:r w:rsidRPr="00BA3A43" w:rsidR="00BA3A43">
        <w:t>(and thus no beneficiaries selected for data collection)</w:t>
      </w:r>
      <w:r w:rsidR="002C473C">
        <w:t xml:space="preserve">, </w:t>
      </w:r>
      <w:r w:rsidR="00B56BB1">
        <w:t xml:space="preserve">resulting in a </w:t>
      </w:r>
      <w:r w:rsidR="002C473C">
        <w:t>design</w:t>
      </w:r>
      <w:r w:rsidR="00BA3A43">
        <w:t xml:space="preserve"> which</w:t>
      </w:r>
      <w:r w:rsidR="002C473C">
        <w:t xml:space="preserve"> supports only national-level estimation.</w:t>
      </w:r>
      <w:r w:rsidR="00B56BB1">
        <w:t xml:space="preserve"> It is not possible to produce </w:t>
      </w:r>
      <w:r w:rsidR="00BA3A43">
        <w:t>representative</w:t>
      </w:r>
      <w:r w:rsidR="00B56BB1">
        <w:t xml:space="preserve"> estimates for states or </w:t>
      </w:r>
      <w:r w:rsidR="00BA3A43">
        <w:t xml:space="preserve">other </w:t>
      </w:r>
      <w:r w:rsidR="00B56BB1">
        <w:t>sub-national regions.</w:t>
      </w:r>
    </w:p>
    <w:p w:rsidR="009F3E90" w:rsidRPr="00D94F41" w:rsidP="00B70100" w14:paraId="1880AA97" w14:textId="6607621A">
      <w:pPr>
        <w:pStyle w:val="ListContinue2"/>
      </w:pPr>
      <w:r w:rsidRPr="00996B19">
        <w:t>Starting with the 2026 full clearance revisions (approved by OMB on 1/6/2026)</w:t>
      </w:r>
      <w:r>
        <w:t xml:space="preserve">, CMS proposed and OMB approved a significant change to the sample design. Beginning with the Incoming Panel selected for Fall 2026, the </w:t>
      </w:r>
      <w:r>
        <w:t>redesign employ</w:t>
      </w:r>
      <w:r w:rsidR="00FD6F49">
        <w:t>s</w:t>
      </w:r>
      <w:r>
        <w:t xml:space="preserve"> a national frame</w:t>
      </w:r>
      <w:r w:rsidR="00EE73BD">
        <w:t xml:space="preserve">, </w:t>
      </w:r>
      <w:r w:rsidR="00BA3A43">
        <w:t>which</w:t>
      </w:r>
      <w:r w:rsidR="00EE73BD">
        <w:t xml:space="preserve"> cover</w:t>
      </w:r>
      <w:r w:rsidR="00BA3A43">
        <w:t xml:space="preserve">s all </w:t>
      </w:r>
      <w:r w:rsidR="00EE73BD">
        <w:t>50 states and the District of Columbia</w:t>
      </w:r>
      <w:r w:rsidR="00BA3A43">
        <w:t xml:space="preserve">. </w:t>
      </w:r>
      <w:r w:rsidRPr="002F2312" w:rsidR="002F2312">
        <w:t>Th</w:t>
      </w:r>
      <w:r w:rsidR="002F2312">
        <w:t>is</w:t>
      </w:r>
      <w:r w:rsidRPr="002F2312" w:rsidR="002F2312">
        <w:t xml:space="preserve"> redesigned approach no longer rel</w:t>
      </w:r>
      <w:r w:rsidR="00FD6F49">
        <w:t>ies</w:t>
      </w:r>
      <w:r w:rsidRPr="002F2312" w:rsidR="002F2312">
        <w:t xml:space="preserve"> on PSUs or SSUs, and all beneficiaries in the United States </w:t>
      </w:r>
      <w:r w:rsidR="00FD6F49">
        <w:t>are</w:t>
      </w:r>
      <w:r w:rsidRPr="002F2312" w:rsidR="002F2312">
        <w:t xml:space="preserve"> eligible for sampling and recruitment. </w:t>
      </w:r>
      <w:r w:rsidR="00BA3A43">
        <w:t xml:space="preserve">The sample </w:t>
      </w:r>
      <w:r w:rsidR="00FD6F49">
        <w:t>is</w:t>
      </w:r>
      <w:r w:rsidR="00BA3A43">
        <w:t xml:space="preserve"> </w:t>
      </w:r>
      <w:r w:rsidR="00EE73BD">
        <w:t>stratified by state</w:t>
      </w:r>
      <w:r w:rsidR="00BF0F10">
        <w:t xml:space="preserve"> (a</w:t>
      </w:r>
      <w:r w:rsidRPr="00BF0F10" w:rsidR="00BF0F10">
        <w:t xml:space="preserve"> total of 51 strata that include the 50 states and the District of Columbia</w:t>
      </w:r>
      <w:r w:rsidR="00BF0F10">
        <w:t>)</w:t>
      </w:r>
      <w:r w:rsidR="00BA3A43">
        <w:t xml:space="preserve"> to provide approximately equal numbers of beneficiary interviews within each state. </w:t>
      </w:r>
      <w:r w:rsidR="002F2312">
        <w:t>W</w:t>
      </w:r>
      <w:r w:rsidR="00BA3A43">
        <w:t xml:space="preserve">ithin each state, beneficiaries </w:t>
      </w:r>
      <w:r w:rsidR="00FD6F49">
        <w:t>are</w:t>
      </w:r>
      <w:r w:rsidR="00BA3A43">
        <w:t xml:space="preserve"> selected </w:t>
      </w:r>
      <w:r w:rsidR="000B7A89">
        <w:t>at</w:t>
      </w:r>
      <w:r w:rsidR="00BA3A43">
        <w:t xml:space="preserve"> rates designed to preserve adequate representation of the under-65 disabled population, beneficiaries 65-79 years of age, and beneficiaries 80 years </w:t>
      </w:r>
      <w:r w:rsidR="000B7A89">
        <w:t xml:space="preserve">of age </w:t>
      </w:r>
      <w:r w:rsidR="00BA3A43">
        <w:t>and older.</w:t>
      </w:r>
      <w:r w:rsidR="000B7A89">
        <w:t xml:space="preserve"> There </w:t>
      </w:r>
      <w:r w:rsidR="00FD6F49">
        <w:t xml:space="preserve">is </w:t>
      </w:r>
      <w:r w:rsidR="000B7A89">
        <w:t>no longer additional stratification based on ethnicity.</w:t>
      </w:r>
    </w:p>
    <w:p w:rsidR="002B4860" w:rsidP="00B70100" w14:paraId="3197CB9C" w14:textId="0724B910">
      <w:pPr>
        <w:pStyle w:val="ListContinue2"/>
      </w:pPr>
      <w:r>
        <w:t xml:space="preserve">While both the </w:t>
      </w:r>
      <w:r w:rsidR="001E44D4">
        <w:t>prior</w:t>
      </w:r>
      <w:r>
        <w:t xml:space="preserve"> design and the 2026 redesign yield nationally representative samples, the new design include</w:t>
      </w:r>
      <w:r w:rsidR="00FD6F49">
        <w:t>s</w:t>
      </w:r>
      <w:r>
        <w:t xml:space="preserve"> sampled beneficiaries and completed interviews in each of the 50 states and the District of Columbia. Once fully implemented, the 2026 redesign design will allow for state-level and sub-national region-level estimation while continuing to support national-level estimation for the many domains of interest.</w:t>
      </w:r>
    </w:p>
    <w:p w:rsidR="00CC2F25" w:rsidP="00B10289" w14:paraId="7CAC48E2" w14:textId="72CE92BD">
      <w:pPr>
        <w:ind w:left="720"/>
      </w:pPr>
      <w:r>
        <w:t>When the 2026 redesign is fully implemented, the MCBS can expect to achieve similar response rates as seen under the current design. However, CMS will monitor national- and state-level response rates under the new design and adjust the sampling strategy as necessary if any changes are identified.</w:t>
      </w:r>
    </w:p>
    <w:p w:rsidR="009F3E90" w14:paraId="3E7CB174" w14:textId="1B561199">
      <w:pPr>
        <w:sectPr w:rsidSect="00610910">
          <w:pgSz w:w="12240" w:h="15840" w:code="1"/>
          <w:pgMar w:top="1080" w:right="1440" w:bottom="1080" w:left="1440" w:header="720" w:footer="720" w:gutter="0"/>
          <w:pgNumType w:start="1"/>
          <w:cols w:space="720"/>
          <w:docGrid w:linePitch="299"/>
        </w:sectPr>
      </w:pPr>
    </w:p>
    <w:p w:rsidR="0088452B" w:rsidP="00AE5C2C" w14:paraId="1281409D" w14:textId="5B224806">
      <w:pPr>
        <w:pStyle w:val="Caption"/>
        <w:tabs>
          <w:tab w:val="left" w:pos="1170"/>
          <w:tab w:val="left" w:pos="1260"/>
        </w:tabs>
        <w:spacing w:before="180"/>
      </w:pPr>
      <w:r w:rsidRPr="00D94F41">
        <w:t>Table B.</w:t>
      </w:r>
      <w:r w:rsidR="00C7144C">
        <w:t>2</w:t>
      </w:r>
      <w:r w:rsidRPr="00D94F41">
        <w:t xml:space="preserve">: Conditional and Unconditional Response Rates as of the </w:t>
      </w:r>
      <w:r w:rsidR="00255E53">
        <w:t>202</w:t>
      </w:r>
      <w:r w:rsidR="008C7EDA">
        <w:t>3</w:t>
      </w:r>
      <w:r w:rsidRPr="00D94F41" w:rsidR="00255E53">
        <w:t xml:space="preserve"> </w:t>
      </w:r>
      <w:r w:rsidRPr="00D94F41">
        <w:t>Panel for Medicare Current Beneficiary Survey by Interview Round</w:t>
      </w:r>
    </w:p>
    <w:p w:rsidR="00F95C46" w:rsidRPr="00AF5787" w:rsidP="00AF5787" w14:paraId="17DC5404" w14:textId="136F9E27">
      <w:pPr>
        <w:pStyle w:val="Caption"/>
        <w:rPr>
          <w:sz w:val="22"/>
          <w:szCs w:val="20"/>
        </w:rPr>
      </w:pPr>
      <w:r w:rsidRPr="00AF5787">
        <w:rPr>
          <w:sz w:val="22"/>
          <w:szCs w:val="20"/>
        </w:rPr>
        <w:t>Conditional Response Rates (%) for Medicare Current Beneficiary Survey by Interview Round</w:t>
      </w:r>
    </w:p>
    <w:tbl>
      <w:tblPr>
        <w:tblDescription w:val="Conditional and Unconditional Response Rates as of the 2023 Panel for Medicare Current Beneficiary Survey by Interview Round, table 1 of 2"/>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700"/>
      </w:tblPr>
      <w:tblGrid>
        <w:gridCol w:w="1169"/>
        <w:gridCol w:w="1389"/>
        <w:gridCol w:w="1389"/>
        <w:gridCol w:w="1389"/>
        <w:gridCol w:w="1389"/>
        <w:gridCol w:w="1389"/>
        <w:gridCol w:w="1389"/>
        <w:gridCol w:w="1389"/>
        <w:gridCol w:w="1389"/>
        <w:gridCol w:w="1389"/>
      </w:tblGrid>
      <w:tr w14:paraId="1AE1BF6A" w14:textId="77777777" w:rsidTr="0033795C">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700"/>
        </w:tblPrEx>
        <w:trPr>
          <w:cantSplit/>
          <w:tblHeader/>
          <w:jc w:val="center"/>
        </w:trPr>
        <w:tc>
          <w:tcPr>
            <w:tcW w:w="428" w:type="pct"/>
            <w:shd w:val="clear" w:color="auto" w:fill="DBDBDB"/>
            <w:noWrap/>
            <w:tcMar>
              <w:top w:w="29" w:type="dxa"/>
              <w:left w:w="115" w:type="dxa"/>
              <w:bottom w:w="29" w:type="dxa"/>
              <w:right w:w="115" w:type="dxa"/>
            </w:tcMar>
            <w:vAlign w:val="bottom"/>
            <w:hideMark/>
          </w:tcPr>
          <w:p w:rsidR="00F95C46" w:rsidRPr="00EA74DE" w:rsidP="00EA74DE" w14:paraId="7A8FE23C" w14:textId="711B6430">
            <w:pPr>
              <w:spacing w:before="60" w:after="60"/>
              <w:ind w:left="-120" w:right="-20"/>
              <w:jc w:val="center"/>
              <w:rPr>
                <w:b/>
                <w:bCs/>
              </w:rPr>
            </w:pPr>
            <w:bookmarkStart w:id="14" w:name="_Hlk130410733"/>
            <w:r w:rsidRPr="00EA74DE">
              <w:rPr>
                <w:b/>
                <w:bCs/>
              </w:rPr>
              <w:t xml:space="preserve">Time in </w:t>
            </w:r>
            <w:r w:rsidRPr="00EA74DE" w:rsidR="00EA74DE">
              <w:rPr>
                <w:b/>
                <w:bCs/>
              </w:rPr>
              <w:br/>
            </w:r>
            <w:r w:rsidRPr="00EA74DE">
              <w:rPr>
                <w:b/>
                <w:bCs/>
              </w:rPr>
              <w:t>Sample</w:t>
            </w:r>
          </w:p>
        </w:tc>
        <w:tc>
          <w:tcPr>
            <w:tcW w:w="508" w:type="pct"/>
            <w:shd w:val="clear" w:color="auto" w:fill="DBDBDB"/>
            <w:tcMar>
              <w:top w:w="29" w:type="dxa"/>
              <w:left w:w="115" w:type="dxa"/>
              <w:bottom w:w="29" w:type="dxa"/>
              <w:right w:w="115" w:type="dxa"/>
            </w:tcMar>
            <w:vAlign w:val="bottom"/>
            <w:hideMark/>
          </w:tcPr>
          <w:p w:rsidR="00F95C46" w:rsidRPr="00EA74DE" w:rsidP="00EA74DE" w14:paraId="6C3F7F08" w14:textId="6752AD46">
            <w:pPr>
              <w:spacing w:before="60" w:after="60"/>
              <w:jc w:val="center"/>
              <w:rPr>
                <w:b/>
                <w:bCs/>
              </w:rPr>
            </w:pPr>
            <w:r w:rsidRPr="00EA74DE">
              <w:rPr>
                <w:b/>
                <w:bCs/>
              </w:rPr>
              <w:t>2015 Panel</w:t>
            </w:r>
            <w:r w:rsidRPr="00EA74DE" w:rsidR="00AD0D2A">
              <w:rPr>
                <w:b/>
                <w:bCs/>
              </w:rPr>
              <w:t xml:space="preserve"> </w:t>
            </w:r>
            <w:r w:rsidRPr="00EA74DE" w:rsidR="00AD0D2A">
              <w:rPr>
                <w:b/>
                <w:bCs/>
              </w:rPr>
              <w:br/>
            </w:r>
            <w:r w:rsidRPr="00EA74DE">
              <w:rPr>
                <w:b/>
                <w:bCs/>
              </w:rPr>
              <w:t>(n at R73=</w:t>
            </w:r>
            <w:r w:rsidRPr="00EA74DE" w:rsidR="00AD0D2A">
              <w:rPr>
                <w:b/>
                <w:bCs/>
              </w:rPr>
              <w:t xml:space="preserve"> </w:t>
            </w:r>
            <w:r w:rsidRPr="00EA74DE" w:rsidR="00AD0D2A">
              <w:rPr>
                <w:b/>
                <w:bCs/>
              </w:rPr>
              <w:br/>
            </w:r>
            <w:r w:rsidRPr="00EA74DE">
              <w:rPr>
                <w:b/>
                <w:bCs/>
              </w:rPr>
              <w:t>8621)</w:t>
            </w:r>
          </w:p>
        </w:tc>
        <w:tc>
          <w:tcPr>
            <w:tcW w:w="508" w:type="pct"/>
            <w:shd w:val="clear" w:color="auto" w:fill="DBDBDB"/>
            <w:tcMar>
              <w:top w:w="29" w:type="dxa"/>
              <w:left w:w="115" w:type="dxa"/>
              <w:bottom w:w="29" w:type="dxa"/>
              <w:right w:w="115" w:type="dxa"/>
            </w:tcMar>
            <w:vAlign w:val="bottom"/>
            <w:hideMark/>
          </w:tcPr>
          <w:p w:rsidR="00F95C46" w:rsidRPr="00EA74DE" w:rsidP="00EA74DE" w14:paraId="4AEC5ABD" w14:textId="431B29C8">
            <w:pPr>
              <w:spacing w:before="60" w:after="60"/>
              <w:jc w:val="center"/>
              <w:rPr>
                <w:b/>
                <w:bCs/>
              </w:rPr>
            </w:pPr>
            <w:r w:rsidRPr="00EA74DE">
              <w:rPr>
                <w:b/>
                <w:bCs/>
              </w:rPr>
              <w:t>2016 Panel</w:t>
            </w:r>
            <w:r w:rsidRPr="00EA74DE" w:rsidR="00AD0D2A">
              <w:rPr>
                <w:b/>
                <w:bCs/>
              </w:rPr>
              <w:t xml:space="preserve"> </w:t>
            </w:r>
            <w:r w:rsidRPr="00EA74DE" w:rsidR="00AD0D2A">
              <w:rPr>
                <w:b/>
                <w:bCs/>
              </w:rPr>
              <w:br/>
            </w:r>
            <w:r w:rsidRPr="00EA74DE">
              <w:rPr>
                <w:b/>
                <w:bCs/>
              </w:rPr>
              <w:t>(n at R76=</w:t>
            </w:r>
            <w:r w:rsidRPr="00EA74DE" w:rsidR="00AD0D2A">
              <w:rPr>
                <w:b/>
                <w:bCs/>
              </w:rPr>
              <w:t xml:space="preserve"> </w:t>
            </w:r>
            <w:r w:rsidRPr="00EA74DE" w:rsidR="00AD0D2A">
              <w:rPr>
                <w:b/>
                <w:bCs/>
              </w:rPr>
              <w:br/>
            </w:r>
            <w:r w:rsidRPr="00EA74DE">
              <w:rPr>
                <w:b/>
                <w:bCs/>
              </w:rPr>
              <w:t>12145)</w:t>
            </w:r>
          </w:p>
        </w:tc>
        <w:tc>
          <w:tcPr>
            <w:tcW w:w="508" w:type="pct"/>
            <w:shd w:val="clear" w:color="auto" w:fill="DBDBDB"/>
            <w:tcMar>
              <w:top w:w="29" w:type="dxa"/>
              <w:left w:w="115" w:type="dxa"/>
              <w:bottom w:w="29" w:type="dxa"/>
              <w:right w:w="115" w:type="dxa"/>
            </w:tcMar>
            <w:vAlign w:val="bottom"/>
            <w:hideMark/>
          </w:tcPr>
          <w:p w:rsidR="00F95C46" w:rsidRPr="00EA74DE" w:rsidP="00EA74DE" w14:paraId="369897C9" w14:textId="0C66CA24">
            <w:pPr>
              <w:spacing w:before="60" w:after="60"/>
              <w:jc w:val="center"/>
              <w:rPr>
                <w:b/>
                <w:bCs/>
              </w:rPr>
            </w:pPr>
            <w:r w:rsidRPr="00EA74DE">
              <w:rPr>
                <w:b/>
                <w:bCs/>
              </w:rPr>
              <w:t>2017 Panel</w:t>
            </w:r>
            <w:r w:rsidRPr="00EA74DE" w:rsidR="00AD0D2A">
              <w:rPr>
                <w:b/>
                <w:bCs/>
              </w:rPr>
              <w:t xml:space="preserve"> </w:t>
            </w:r>
            <w:r w:rsidRPr="00EA74DE" w:rsidR="00AD0D2A">
              <w:rPr>
                <w:b/>
                <w:bCs/>
              </w:rPr>
              <w:br/>
            </w:r>
            <w:r w:rsidRPr="00EA74DE">
              <w:rPr>
                <w:b/>
                <w:bCs/>
              </w:rPr>
              <w:t>(n at R79=</w:t>
            </w:r>
            <w:r w:rsidRPr="00EA74DE" w:rsidR="00AD0D2A">
              <w:rPr>
                <w:b/>
                <w:bCs/>
              </w:rPr>
              <w:t xml:space="preserve"> </w:t>
            </w:r>
            <w:r w:rsidRPr="00EA74DE" w:rsidR="00AD0D2A">
              <w:rPr>
                <w:b/>
                <w:bCs/>
              </w:rPr>
              <w:br/>
            </w:r>
            <w:r w:rsidRPr="00EA74DE">
              <w:rPr>
                <w:b/>
                <w:bCs/>
              </w:rPr>
              <w:t>11623)</w:t>
            </w:r>
          </w:p>
        </w:tc>
        <w:tc>
          <w:tcPr>
            <w:tcW w:w="508" w:type="pct"/>
            <w:shd w:val="clear" w:color="auto" w:fill="DBDBDB"/>
            <w:vAlign w:val="bottom"/>
            <w:hideMark/>
          </w:tcPr>
          <w:p w:rsidR="00F95C46" w:rsidRPr="00EA74DE" w:rsidP="00EA74DE" w14:paraId="14B4A597" w14:textId="6370850F">
            <w:pPr>
              <w:spacing w:before="60" w:after="60"/>
              <w:jc w:val="center"/>
              <w:rPr>
                <w:b/>
                <w:bCs/>
              </w:rPr>
            </w:pPr>
            <w:r w:rsidRPr="00EA74DE">
              <w:rPr>
                <w:b/>
                <w:bCs/>
              </w:rPr>
              <w:t>2018 Panel</w:t>
            </w:r>
            <w:r w:rsidRPr="00EA74DE" w:rsidR="00AD0D2A">
              <w:rPr>
                <w:b/>
                <w:bCs/>
              </w:rPr>
              <w:t xml:space="preserve"> </w:t>
            </w:r>
            <w:r w:rsidRPr="00EA74DE" w:rsidR="00AD0D2A">
              <w:rPr>
                <w:b/>
                <w:bCs/>
              </w:rPr>
              <w:br/>
            </w:r>
            <w:r w:rsidRPr="00EA74DE">
              <w:rPr>
                <w:b/>
                <w:bCs/>
              </w:rPr>
              <w:t>(n at R82=</w:t>
            </w:r>
            <w:r w:rsidRPr="00EA74DE" w:rsidR="00AD0D2A">
              <w:rPr>
                <w:b/>
                <w:bCs/>
              </w:rPr>
              <w:t xml:space="preserve"> </w:t>
            </w:r>
            <w:r w:rsidRPr="00EA74DE" w:rsidR="00AD0D2A">
              <w:rPr>
                <w:b/>
                <w:bCs/>
              </w:rPr>
              <w:br/>
            </w:r>
            <w:r w:rsidRPr="00EA74DE">
              <w:rPr>
                <w:b/>
                <w:bCs/>
              </w:rPr>
              <w:t>11523)</w:t>
            </w:r>
          </w:p>
        </w:tc>
        <w:tc>
          <w:tcPr>
            <w:tcW w:w="508" w:type="pct"/>
            <w:shd w:val="clear" w:color="auto" w:fill="DBDBDB"/>
            <w:vAlign w:val="bottom"/>
            <w:hideMark/>
          </w:tcPr>
          <w:p w:rsidR="00F95C46" w:rsidRPr="00EA74DE" w:rsidP="00EA74DE" w14:paraId="184AD9A6" w14:textId="2805B342">
            <w:pPr>
              <w:spacing w:before="60" w:after="60"/>
              <w:jc w:val="center"/>
              <w:rPr>
                <w:b/>
                <w:bCs/>
              </w:rPr>
            </w:pPr>
            <w:r w:rsidRPr="00EA74DE">
              <w:rPr>
                <w:b/>
                <w:bCs/>
              </w:rPr>
              <w:t>2019 Panel</w:t>
            </w:r>
            <w:r w:rsidRPr="00EA74DE" w:rsidR="00AD0D2A">
              <w:rPr>
                <w:b/>
                <w:bCs/>
              </w:rPr>
              <w:t xml:space="preserve"> </w:t>
            </w:r>
            <w:r w:rsidRPr="00EA74DE" w:rsidR="00AD0D2A">
              <w:rPr>
                <w:b/>
                <w:bCs/>
              </w:rPr>
              <w:br/>
            </w:r>
            <w:r w:rsidRPr="00EA74DE">
              <w:rPr>
                <w:b/>
                <w:bCs/>
              </w:rPr>
              <w:t>(n at R85=</w:t>
            </w:r>
            <w:r w:rsidRPr="00EA74DE" w:rsidR="00AD0D2A">
              <w:rPr>
                <w:b/>
                <w:bCs/>
              </w:rPr>
              <w:t xml:space="preserve"> </w:t>
            </w:r>
            <w:r w:rsidRPr="00EA74DE" w:rsidR="00AD0D2A">
              <w:rPr>
                <w:b/>
                <w:bCs/>
              </w:rPr>
              <w:br/>
            </w:r>
            <w:r w:rsidRPr="00EA74DE">
              <w:rPr>
                <w:b/>
                <w:bCs/>
              </w:rPr>
              <w:t>11615)</w:t>
            </w:r>
          </w:p>
        </w:tc>
        <w:tc>
          <w:tcPr>
            <w:tcW w:w="508" w:type="pct"/>
            <w:shd w:val="clear" w:color="auto" w:fill="DBDBDB"/>
            <w:vAlign w:val="bottom"/>
            <w:hideMark/>
          </w:tcPr>
          <w:p w:rsidR="00F95C46" w:rsidRPr="00EA74DE" w:rsidP="00EA74DE" w14:paraId="0A8C6364" w14:textId="16DAF872">
            <w:pPr>
              <w:spacing w:before="60" w:after="60"/>
              <w:jc w:val="center"/>
              <w:rPr>
                <w:b/>
                <w:bCs/>
              </w:rPr>
            </w:pPr>
            <w:r w:rsidRPr="00EA74DE">
              <w:rPr>
                <w:b/>
                <w:bCs/>
              </w:rPr>
              <w:t xml:space="preserve">2020 Panel </w:t>
            </w:r>
            <w:r w:rsidRPr="00EA74DE" w:rsidR="00EA74DE">
              <w:rPr>
                <w:b/>
                <w:bCs/>
              </w:rPr>
              <w:br/>
            </w:r>
            <w:r w:rsidRPr="00EA74DE">
              <w:rPr>
                <w:b/>
                <w:bCs/>
              </w:rPr>
              <w:t>(n at R88= 15952)</w:t>
            </w:r>
          </w:p>
        </w:tc>
        <w:tc>
          <w:tcPr>
            <w:tcW w:w="508" w:type="pct"/>
            <w:shd w:val="clear" w:color="auto" w:fill="DBDBDB"/>
            <w:vAlign w:val="bottom"/>
            <w:hideMark/>
          </w:tcPr>
          <w:p w:rsidR="00F95C46" w:rsidRPr="00EA74DE" w:rsidP="00EA74DE" w14:paraId="46CD9BA4" w14:textId="6979F9B0">
            <w:pPr>
              <w:spacing w:before="60" w:after="60"/>
              <w:jc w:val="center"/>
              <w:rPr>
                <w:b/>
                <w:bCs/>
              </w:rPr>
            </w:pPr>
            <w:r w:rsidRPr="00EA74DE">
              <w:rPr>
                <w:b/>
                <w:bCs/>
              </w:rPr>
              <w:t xml:space="preserve">2021 Panel </w:t>
            </w:r>
            <w:r w:rsidRPr="00EA74DE" w:rsidR="00EA74DE">
              <w:rPr>
                <w:b/>
                <w:bCs/>
              </w:rPr>
              <w:br/>
            </w:r>
            <w:r w:rsidRPr="00EA74DE">
              <w:rPr>
                <w:b/>
                <w:bCs/>
              </w:rPr>
              <w:t>(n at R91=</w:t>
            </w:r>
            <w:r w:rsidRPr="00EA74DE" w:rsidR="00AD0D2A">
              <w:rPr>
                <w:b/>
                <w:bCs/>
              </w:rPr>
              <w:t xml:space="preserve"> </w:t>
            </w:r>
            <w:r w:rsidRPr="00EA74DE">
              <w:rPr>
                <w:b/>
                <w:bCs/>
              </w:rPr>
              <w:br/>
              <w:t>15950)</w:t>
            </w:r>
          </w:p>
        </w:tc>
        <w:tc>
          <w:tcPr>
            <w:tcW w:w="508" w:type="pct"/>
            <w:shd w:val="clear" w:color="auto" w:fill="DBDBDB"/>
            <w:vAlign w:val="bottom"/>
            <w:hideMark/>
          </w:tcPr>
          <w:p w:rsidR="00F95C46" w:rsidRPr="00EA74DE" w:rsidP="00EA74DE" w14:paraId="58D8B1C7" w14:textId="076CD1B2">
            <w:pPr>
              <w:spacing w:before="60" w:after="60"/>
              <w:jc w:val="center"/>
              <w:rPr>
                <w:b/>
                <w:bCs/>
              </w:rPr>
            </w:pPr>
            <w:r w:rsidRPr="00EA74DE">
              <w:rPr>
                <w:b/>
                <w:bCs/>
              </w:rPr>
              <w:t xml:space="preserve">2022 Panel </w:t>
            </w:r>
            <w:r w:rsidRPr="00EA74DE" w:rsidR="00EA74DE">
              <w:rPr>
                <w:b/>
                <w:bCs/>
              </w:rPr>
              <w:br/>
            </w:r>
            <w:r w:rsidRPr="00EA74DE">
              <w:rPr>
                <w:b/>
                <w:bCs/>
              </w:rPr>
              <w:t>(n at R94=</w:t>
            </w:r>
            <w:r w:rsidRPr="00EA74DE" w:rsidR="00AD0D2A">
              <w:rPr>
                <w:b/>
                <w:bCs/>
              </w:rPr>
              <w:t xml:space="preserve"> </w:t>
            </w:r>
            <w:r w:rsidRPr="00EA74DE">
              <w:rPr>
                <w:b/>
                <w:bCs/>
              </w:rPr>
              <w:br/>
              <w:t>17139)</w:t>
            </w:r>
          </w:p>
        </w:tc>
        <w:tc>
          <w:tcPr>
            <w:tcW w:w="508" w:type="pct"/>
            <w:shd w:val="clear" w:color="auto" w:fill="DBDBDB"/>
            <w:vAlign w:val="bottom"/>
            <w:hideMark/>
          </w:tcPr>
          <w:p w:rsidR="00F95C46" w:rsidRPr="00EA74DE" w:rsidP="00EA74DE" w14:paraId="0C28F8E9" w14:textId="74B55DB2">
            <w:pPr>
              <w:spacing w:before="60" w:after="60"/>
              <w:jc w:val="center"/>
              <w:rPr>
                <w:b/>
                <w:bCs/>
              </w:rPr>
            </w:pPr>
            <w:r w:rsidRPr="00EA74DE">
              <w:rPr>
                <w:b/>
                <w:bCs/>
              </w:rPr>
              <w:t xml:space="preserve">2023 Panel </w:t>
            </w:r>
            <w:r w:rsidRPr="00EA74DE" w:rsidR="00EA74DE">
              <w:rPr>
                <w:b/>
                <w:bCs/>
              </w:rPr>
              <w:br/>
            </w:r>
            <w:r w:rsidRPr="00EA74DE">
              <w:rPr>
                <w:b/>
                <w:bCs/>
              </w:rPr>
              <w:t>(n at R97=</w:t>
            </w:r>
            <w:r w:rsidRPr="00EA74DE" w:rsidR="00AD0D2A">
              <w:rPr>
                <w:b/>
                <w:bCs/>
              </w:rPr>
              <w:t xml:space="preserve"> </w:t>
            </w:r>
            <w:r w:rsidRPr="00EA74DE">
              <w:rPr>
                <w:b/>
                <w:bCs/>
              </w:rPr>
              <w:br/>
              <w:t>15077)</w:t>
            </w:r>
          </w:p>
        </w:tc>
        <w:bookmarkEnd w:id="14"/>
      </w:tr>
      <w:tr w14:paraId="7E1CE62C" w14:textId="77777777" w:rsidTr="0033795C">
        <w:tblPrEx>
          <w:tblW w:w="5000" w:type="pct"/>
          <w:jc w:val="center"/>
          <w:tblCellMar>
            <w:left w:w="0" w:type="dxa"/>
            <w:right w:w="0" w:type="dxa"/>
          </w:tblCellMar>
          <w:tblLook w:val="0700"/>
        </w:tblPrEx>
        <w:trPr>
          <w:cantSplit/>
          <w:jc w:val="center"/>
        </w:trPr>
        <w:tc>
          <w:tcPr>
            <w:tcW w:w="428" w:type="pct"/>
            <w:noWrap/>
            <w:tcMar>
              <w:top w:w="29" w:type="dxa"/>
              <w:left w:w="115" w:type="dxa"/>
              <w:bottom w:w="29" w:type="dxa"/>
              <w:right w:w="115" w:type="dxa"/>
            </w:tcMar>
            <w:vAlign w:val="center"/>
            <w:hideMark/>
          </w:tcPr>
          <w:p w:rsidR="00F95C46" w:rsidRPr="00F95C46" w:rsidP="00EA74DE" w14:paraId="617904E5" w14:textId="77777777">
            <w:pPr>
              <w:spacing w:before="60" w:after="60"/>
              <w:ind w:left="-120" w:right="-20"/>
              <w:jc w:val="center"/>
            </w:pPr>
            <w:r w:rsidRPr="00F95C46">
              <w:t>1</w:t>
            </w:r>
          </w:p>
        </w:tc>
        <w:tc>
          <w:tcPr>
            <w:tcW w:w="508" w:type="pct"/>
            <w:noWrap/>
            <w:tcMar>
              <w:top w:w="29" w:type="dxa"/>
              <w:left w:w="115" w:type="dxa"/>
              <w:bottom w:w="29" w:type="dxa"/>
              <w:right w:w="115" w:type="dxa"/>
            </w:tcMar>
            <w:vAlign w:val="center"/>
            <w:hideMark/>
          </w:tcPr>
          <w:p w:rsidR="00F95C46" w:rsidRPr="00F95C46" w:rsidP="00EA74DE" w14:paraId="7ABDB8A7" w14:textId="77777777">
            <w:pPr>
              <w:spacing w:before="60" w:after="60"/>
              <w:jc w:val="center"/>
            </w:pPr>
            <w:r w:rsidRPr="00F95C46">
              <w:t>53.3</w:t>
            </w:r>
          </w:p>
        </w:tc>
        <w:tc>
          <w:tcPr>
            <w:tcW w:w="508" w:type="pct"/>
            <w:tcMar>
              <w:top w:w="29" w:type="dxa"/>
              <w:left w:w="115" w:type="dxa"/>
              <w:bottom w:w="29" w:type="dxa"/>
              <w:right w:w="115" w:type="dxa"/>
            </w:tcMar>
            <w:vAlign w:val="center"/>
            <w:hideMark/>
          </w:tcPr>
          <w:p w:rsidR="00F95C46" w:rsidRPr="00F95C46" w:rsidP="00EA74DE" w14:paraId="5B61DB59" w14:textId="77777777">
            <w:pPr>
              <w:spacing w:before="60" w:after="60"/>
              <w:jc w:val="center"/>
            </w:pPr>
            <w:r w:rsidRPr="00F95C46">
              <w:t>54.7</w:t>
            </w:r>
          </w:p>
        </w:tc>
        <w:tc>
          <w:tcPr>
            <w:tcW w:w="508" w:type="pct"/>
            <w:tcMar>
              <w:top w:w="29" w:type="dxa"/>
              <w:left w:w="115" w:type="dxa"/>
              <w:bottom w:w="29" w:type="dxa"/>
              <w:right w:w="115" w:type="dxa"/>
            </w:tcMar>
            <w:vAlign w:val="center"/>
            <w:hideMark/>
          </w:tcPr>
          <w:p w:rsidR="00F95C46" w:rsidRPr="00F95C46" w:rsidP="00EA74DE" w14:paraId="5428C8C3" w14:textId="77777777">
            <w:pPr>
              <w:spacing w:before="60" w:after="60"/>
              <w:jc w:val="center"/>
            </w:pPr>
            <w:r w:rsidRPr="00F95C46">
              <w:t>55.3</w:t>
            </w:r>
          </w:p>
        </w:tc>
        <w:tc>
          <w:tcPr>
            <w:tcW w:w="508" w:type="pct"/>
            <w:vAlign w:val="center"/>
            <w:hideMark/>
          </w:tcPr>
          <w:p w:rsidR="00F95C46" w:rsidRPr="00F95C46" w:rsidP="00EA74DE" w14:paraId="3BAABC1A" w14:textId="77777777">
            <w:pPr>
              <w:spacing w:before="60" w:after="60"/>
              <w:jc w:val="center"/>
            </w:pPr>
            <w:r w:rsidRPr="00F95C46">
              <w:t>55.9</w:t>
            </w:r>
          </w:p>
        </w:tc>
        <w:tc>
          <w:tcPr>
            <w:tcW w:w="508" w:type="pct"/>
            <w:vAlign w:val="center"/>
            <w:hideMark/>
          </w:tcPr>
          <w:p w:rsidR="00F95C46" w:rsidRPr="00F95C46" w:rsidP="00EA74DE" w14:paraId="1FFF146E" w14:textId="77777777">
            <w:pPr>
              <w:spacing w:before="60" w:after="60"/>
              <w:jc w:val="center"/>
            </w:pPr>
            <w:r w:rsidRPr="00F95C46">
              <w:t>55.1</w:t>
            </w:r>
          </w:p>
        </w:tc>
        <w:tc>
          <w:tcPr>
            <w:tcW w:w="508" w:type="pct"/>
            <w:vAlign w:val="center"/>
            <w:hideMark/>
          </w:tcPr>
          <w:p w:rsidR="00F95C46" w:rsidRPr="00F95C46" w:rsidP="00EA74DE" w14:paraId="17BF716B" w14:textId="77777777">
            <w:pPr>
              <w:spacing w:before="60" w:after="60"/>
              <w:jc w:val="center"/>
            </w:pPr>
            <w:r w:rsidRPr="00F95C46">
              <w:t>41.9</w:t>
            </w:r>
          </w:p>
        </w:tc>
        <w:tc>
          <w:tcPr>
            <w:tcW w:w="508" w:type="pct"/>
            <w:vAlign w:val="center"/>
            <w:hideMark/>
          </w:tcPr>
          <w:p w:rsidR="00F95C46" w:rsidRPr="00F95C46" w:rsidP="00EA74DE" w14:paraId="266EC4DA" w14:textId="77777777">
            <w:pPr>
              <w:spacing w:before="60" w:after="60"/>
              <w:jc w:val="center"/>
            </w:pPr>
            <w:r w:rsidRPr="00F95C46">
              <w:t>38.1</w:t>
            </w:r>
          </w:p>
        </w:tc>
        <w:tc>
          <w:tcPr>
            <w:tcW w:w="508" w:type="pct"/>
            <w:vAlign w:val="center"/>
            <w:hideMark/>
          </w:tcPr>
          <w:p w:rsidR="00F95C46" w:rsidRPr="00F95C46" w:rsidP="00EA74DE" w14:paraId="0282B4C4" w14:textId="77777777">
            <w:pPr>
              <w:spacing w:before="60" w:after="60"/>
              <w:jc w:val="center"/>
            </w:pPr>
            <w:r w:rsidRPr="00F95C46">
              <w:t>38.4</w:t>
            </w:r>
          </w:p>
        </w:tc>
        <w:tc>
          <w:tcPr>
            <w:tcW w:w="508" w:type="pct"/>
            <w:vAlign w:val="center"/>
            <w:hideMark/>
          </w:tcPr>
          <w:p w:rsidR="00F95C46" w:rsidRPr="00F95C46" w:rsidP="00EA74DE" w14:paraId="6B5D8750" w14:textId="77777777">
            <w:pPr>
              <w:spacing w:before="60" w:after="60"/>
              <w:jc w:val="center"/>
            </w:pPr>
            <w:r w:rsidRPr="00F95C46">
              <w:t>45.2</w:t>
            </w:r>
          </w:p>
        </w:tc>
      </w:tr>
      <w:tr w14:paraId="2E7C0C98" w14:textId="77777777" w:rsidTr="0033795C">
        <w:tblPrEx>
          <w:tblW w:w="5000" w:type="pct"/>
          <w:jc w:val="center"/>
          <w:tblCellMar>
            <w:left w:w="0" w:type="dxa"/>
            <w:right w:w="0" w:type="dxa"/>
          </w:tblCellMar>
          <w:tblLook w:val="0700"/>
        </w:tblPrEx>
        <w:trPr>
          <w:cantSplit/>
          <w:jc w:val="center"/>
        </w:trPr>
        <w:tc>
          <w:tcPr>
            <w:tcW w:w="428" w:type="pct"/>
            <w:noWrap/>
            <w:tcMar>
              <w:top w:w="29" w:type="dxa"/>
              <w:left w:w="115" w:type="dxa"/>
              <w:bottom w:w="29" w:type="dxa"/>
              <w:right w:w="115" w:type="dxa"/>
            </w:tcMar>
            <w:vAlign w:val="center"/>
            <w:hideMark/>
          </w:tcPr>
          <w:p w:rsidR="00AF5787" w:rsidRPr="00F95C46" w:rsidP="00AF5787" w14:paraId="35B71C4C" w14:textId="77777777">
            <w:pPr>
              <w:spacing w:before="60" w:after="60"/>
              <w:ind w:left="-120" w:right="-20"/>
              <w:jc w:val="center"/>
            </w:pPr>
            <w:r w:rsidRPr="00F95C46">
              <w:t>2</w:t>
            </w:r>
          </w:p>
        </w:tc>
        <w:tc>
          <w:tcPr>
            <w:tcW w:w="508" w:type="pct"/>
            <w:noWrap/>
            <w:tcMar>
              <w:top w:w="29" w:type="dxa"/>
              <w:left w:w="115" w:type="dxa"/>
              <w:bottom w:w="29" w:type="dxa"/>
              <w:right w:w="115" w:type="dxa"/>
            </w:tcMar>
            <w:vAlign w:val="center"/>
            <w:hideMark/>
          </w:tcPr>
          <w:p w:rsidR="00AF5787" w:rsidRPr="00F95C46" w:rsidP="00AF5787" w14:paraId="4CC56241" w14:textId="77777777">
            <w:pPr>
              <w:spacing w:before="60" w:after="60"/>
              <w:jc w:val="center"/>
            </w:pPr>
            <w:r w:rsidRPr="00F95C46">
              <w:t>83.2</w:t>
            </w:r>
          </w:p>
        </w:tc>
        <w:tc>
          <w:tcPr>
            <w:tcW w:w="508" w:type="pct"/>
            <w:tcMar>
              <w:top w:w="29" w:type="dxa"/>
              <w:left w:w="115" w:type="dxa"/>
              <w:bottom w:w="29" w:type="dxa"/>
              <w:right w:w="115" w:type="dxa"/>
            </w:tcMar>
            <w:vAlign w:val="center"/>
            <w:hideMark/>
          </w:tcPr>
          <w:p w:rsidR="00AF5787" w:rsidRPr="00F95C46" w:rsidP="00AF5787" w14:paraId="4B573EDD" w14:textId="77777777">
            <w:pPr>
              <w:spacing w:before="60" w:after="60"/>
              <w:jc w:val="center"/>
            </w:pPr>
            <w:r w:rsidRPr="00F95C46">
              <w:t>81.4</w:t>
            </w:r>
          </w:p>
        </w:tc>
        <w:tc>
          <w:tcPr>
            <w:tcW w:w="508" w:type="pct"/>
            <w:tcMar>
              <w:top w:w="29" w:type="dxa"/>
              <w:left w:w="115" w:type="dxa"/>
              <w:bottom w:w="29" w:type="dxa"/>
              <w:right w:w="115" w:type="dxa"/>
            </w:tcMar>
            <w:vAlign w:val="center"/>
            <w:hideMark/>
          </w:tcPr>
          <w:p w:rsidR="00AF5787" w:rsidRPr="00F95C46" w:rsidP="00AF5787" w14:paraId="6D1389A9" w14:textId="77777777">
            <w:pPr>
              <w:spacing w:before="60" w:after="60"/>
              <w:jc w:val="center"/>
            </w:pPr>
            <w:r w:rsidRPr="00F95C46">
              <w:t>79.9</w:t>
            </w:r>
          </w:p>
        </w:tc>
        <w:tc>
          <w:tcPr>
            <w:tcW w:w="508" w:type="pct"/>
            <w:vAlign w:val="center"/>
            <w:hideMark/>
          </w:tcPr>
          <w:p w:rsidR="00AF5787" w:rsidRPr="00F95C46" w:rsidP="00AF5787" w14:paraId="21950F62" w14:textId="77777777">
            <w:pPr>
              <w:spacing w:before="60" w:after="60"/>
              <w:jc w:val="center"/>
            </w:pPr>
            <w:r w:rsidRPr="00F95C46">
              <w:t>80.9</w:t>
            </w:r>
          </w:p>
        </w:tc>
        <w:tc>
          <w:tcPr>
            <w:tcW w:w="508" w:type="pct"/>
            <w:vAlign w:val="center"/>
            <w:hideMark/>
          </w:tcPr>
          <w:p w:rsidR="00AF5787" w:rsidRPr="00F95C46" w:rsidP="00AF5787" w14:paraId="6E7BE729" w14:textId="77777777">
            <w:pPr>
              <w:spacing w:before="60" w:after="60"/>
              <w:jc w:val="center"/>
            </w:pPr>
            <w:r w:rsidRPr="00F95C46">
              <w:t>73.4</w:t>
            </w:r>
          </w:p>
        </w:tc>
        <w:tc>
          <w:tcPr>
            <w:tcW w:w="508" w:type="pct"/>
            <w:vAlign w:val="center"/>
            <w:hideMark/>
          </w:tcPr>
          <w:p w:rsidR="00AF5787" w:rsidRPr="00F95C46" w:rsidP="00AF5787" w14:paraId="225FF174" w14:textId="77777777">
            <w:pPr>
              <w:spacing w:before="60" w:after="60"/>
              <w:jc w:val="center"/>
            </w:pPr>
            <w:r w:rsidRPr="00F95C46">
              <w:t>78.3</w:t>
            </w:r>
          </w:p>
        </w:tc>
        <w:tc>
          <w:tcPr>
            <w:tcW w:w="508" w:type="pct"/>
            <w:vAlign w:val="center"/>
            <w:hideMark/>
          </w:tcPr>
          <w:p w:rsidR="00AF5787" w:rsidRPr="00F95C46" w:rsidP="00AF5787" w14:paraId="55BEB5CC" w14:textId="77777777">
            <w:pPr>
              <w:spacing w:before="60" w:after="60"/>
              <w:jc w:val="center"/>
            </w:pPr>
            <w:r w:rsidRPr="00F95C46">
              <w:t>76.6</w:t>
            </w:r>
          </w:p>
        </w:tc>
        <w:tc>
          <w:tcPr>
            <w:tcW w:w="508" w:type="pct"/>
            <w:vAlign w:val="center"/>
            <w:hideMark/>
          </w:tcPr>
          <w:p w:rsidR="00AF5787" w:rsidRPr="00F95C46" w:rsidP="00AF5787" w14:paraId="105137F7" w14:textId="77777777">
            <w:pPr>
              <w:spacing w:before="60" w:after="60"/>
              <w:jc w:val="center"/>
            </w:pPr>
            <w:r w:rsidRPr="00F95C46">
              <w:t>77.8</w:t>
            </w:r>
          </w:p>
        </w:tc>
        <w:tc>
          <w:tcPr>
            <w:tcW w:w="508" w:type="pct"/>
          </w:tcPr>
          <w:p w:rsidR="00AF5787" w:rsidRPr="00AD63B8" w:rsidP="00AF5787" w14:paraId="16DCC4F1" w14:textId="3FCEF2DF">
            <w:pPr>
              <w:spacing w:before="60" w:after="60"/>
              <w:jc w:val="center"/>
              <w:rPr>
                <w:color w:val="FFFFFF" w:themeColor="background1"/>
              </w:rPr>
            </w:pPr>
            <w:r w:rsidRPr="009F0B58">
              <w:rPr>
                <w:color w:val="FFFFFF" w:themeColor="background1"/>
              </w:rPr>
              <w:t>N/A</w:t>
            </w:r>
          </w:p>
        </w:tc>
      </w:tr>
      <w:tr w14:paraId="17BEF769" w14:textId="77777777" w:rsidTr="0033795C">
        <w:tblPrEx>
          <w:tblW w:w="5000" w:type="pct"/>
          <w:jc w:val="center"/>
          <w:tblCellMar>
            <w:left w:w="0" w:type="dxa"/>
            <w:right w:w="0" w:type="dxa"/>
          </w:tblCellMar>
          <w:tblLook w:val="0700"/>
        </w:tblPrEx>
        <w:trPr>
          <w:cantSplit/>
          <w:jc w:val="center"/>
        </w:trPr>
        <w:tc>
          <w:tcPr>
            <w:tcW w:w="428" w:type="pct"/>
            <w:noWrap/>
            <w:tcMar>
              <w:top w:w="29" w:type="dxa"/>
              <w:left w:w="115" w:type="dxa"/>
              <w:bottom w:w="29" w:type="dxa"/>
              <w:right w:w="115" w:type="dxa"/>
            </w:tcMar>
            <w:vAlign w:val="center"/>
            <w:hideMark/>
          </w:tcPr>
          <w:p w:rsidR="00AF5787" w:rsidRPr="00F95C46" w:rsidP="00AF5787" w14:paraId="67FC0227" w14:textId="77777777">
            <w:pPr>
              <w:spacing w:before="60" w:after="60"/>
              <w:ind w:left="-120" w:right="-20"/>
              <w:jc w:val="center"/>
            </w:pPr>
            <w:r w:rsidRPr="00F95C46">
              <w:t>3</w:t>
            </w:r>
          </w:p>
        </w:tc>
        <w:tc>
          <w:tcPr>
            <w:tcW w:w="508" w:type="pct"/>
            <w:noWrap/>
            <w:tcMar>
              <w:top w:w="29" w:type="dxa"/>
              <w:left w:w="115" w:type="dxa"/>
              <w:bottom w:w="29" w:type="dxa"/>
              <w:right w:w="115" w:type="dxa"/>
            </w:tcMar>
            <w:vAlign w:val="center"/>
            <w:hideMark/>
          </w:tcPr>
          <w:p w:rsidR="00AF5787" w:rsidRPr="00F95C46" w:rsidP="00AF5787" w14:paraId="49EB7154" w14:textId="77777777">
            <w:pPr>
              <w:spacing w:before="60" w:after="60"/>
              <w:jc w:val="center"/>
            </w:pPr>
            <w:r w:rsidRPr="00F95C46">
              <w:t>82.7</w:t>
            </w:r>
          </w:p>
        </w:tc>
        <w:tc>
          <w:tcPr>
            <w:tcW w:w="508" w:type="pct"/>
            <w:tcMar>
              <w:top w:w="29" w:type="dxa"/>
              <w:left w:w="115" w:type="dxa"/>
              <w:bottom w:w="29" w:type="dxa"/>
              <w:right w:w="115" w:type="dxa"/>
            </w:tcMar>
            <w:vAlign w:val="center"/>
            <w:hideMark/>
          </w:tcPr>
          <w:p w:rsidR="00AF5787" w:rsidRPr="00F95C46" w:rsidP="00AF5787" w14:paraId="68677137" w14:textId="77777777">
            <w:pPr>
              <w:spacing w:before="60" w:after="60"/>
              <w:jc w:val="center"/>
            </w:pPr>
            <w:r w:rsidRPr="00F95C46">
              <w:t>83.9</w:t>
            </w:r>
          </w:p>
        </w:tc>
        <w:tc>
          <w:tcPr>
            <w:tcW w:w="508" w:type="pct"/>
            <w:tcMar>
              <w:top w:w="29" w:type="dxa"/>
              <w:left w:w="115" w:type="dxa"/>
              <w:bottom w:w="29" w:type="dxa"/>
              <w:right w:w="115" w:type="dxa"/>
            </w:tcMar>
            <w:vAlign w:val="center"/>
            <w:hideMark/>
          </w:tcPr>
          <w:p w:rsidR="00AF5787" w:rsidRPr="00F95C46" w:rsidP="00AF5787" w14:paraId="636F32AE" w14:textId="77777777">
            <w:pPr>
              <w:spacing w:before="60" w:after="60"/>
              <w:jc w:val="center"/>
            </w:pPr>
            <w:r w:rsidRPr="00F95C46">
              <w:t>83.1</w:t>
            </w:r>
          </w:p>
        </w:tc>
        <w:tc>
          <w:tcPr>
            <w:tcW w:w="508" w:type="pct"/>
            <w:vAlign w:val="center"/>
            <w:hideMark/>
          </w:tcPr>
          <w:p w:rsidR="00AF5787" w:rsidRPr="00F95C46" w:rsidP="00AF5787" w14:paraId="3BF82609" w14:textId="77777777">
            <w:pPr>
              <w:spacing w:before="60" w:after="60"/>
              <w:jc w:val="center"/>
            </w:pPr>
            <w:r w:rsidRPr="00F95C46">
              <w:t>82.2</w:t>
            </w:r>
          </w:p>
        </w:tc>
        <w:tc>
          <w:tcPr>
            <w:tcW w:w="508" w:type="pct"/>
            <w:vAlign w:val="center"/>
            <w:hideMark/>
          </w:tcPr>
          <w:p w:rsidR="00AF5787" w:rsidRPr="00F95C46" w:rsidP="00AF5787" w14:paraId="39D80588" w14:textId="77777777">
            <w:pPr>
              <w:spacing w:before="60" w:after="60"/>
              <w:jc w:val="center"/>
            </w:pPr>
            <w:r w:rsidRPr="00F95C46">
              <w:t>83.5</w:t>
            </w:r>
          </w:p>
        </w:tc>
        <w:tc>
          <w:tcPr>
            <w:tcW w:w="508" w:type="pct"/>
            <w:vAlign w:val="center"/>
            <w:hideMark/>
          </w:tcPr>
          <w:p w:rsidR="00AF5787" w:rsidRPr="00F95C46" w:rsidP="00AF5787" w14:paraId="2F58F937" w14:textId="77777777">
            <w:pPr>
              <w:spacing w:before="60" w:after="60"/>
              <w:jc w:val="center"/>
            </w:pPr>
            <w:r w:rsidRPr="00F95C46">
              <w:t>82.2</w:t>
            </w:r>
          </w:p>
        </w:tc>
        <w:tc>
          <w:tcPr>
            <w:tcW w:w="508" w:type="pct"/>
            <w:vAlign w:val="center"/>
            <w:hideMark/>
          </w:tcPr>
          <w:p w:rsidR="00AF5787" w:rsidRPr="00F95C46" w:rsidP="00AF5787" w14:paraId="035D7F69" w14:textId="77777777">
            <w:pPr>
              <w:spacing w:before="60" w:after="60"/>
              <w:jc w:val="center"/>
            </w:pPr>
            <w:r w:rsidRPr="00F95C46">
              <w:t>80.6</w:t>
            </w:r>
          </w:p>
        </w:tc>
        <w:tc>
          <w:tcPr>
            <w:tcW w:w="508" w:type="pct"/>
            <w:vAlign w:val="center"/>
            <w:hideMark/>
          </w:tcPr>
          <w:p w:rsidR="00AF5787" w:rsidRPr="00F95C46" w:rsidP="00AF5787" w14:paraId="34ED9D1C" w14:textId="77777777">
            <w:pPr>
              <w:spacing w:before="60" w:after="60"/>
              <w:jc w:val="center"/>
            </w:pPr>
            <w:r w:rsidRPr="00F95C46">
              <w:t>78.5</w:t>
            </w:r>
          </w:p>
        </w:tc>
        <w:tc>
          <w:tcPr>
            <w:tcW w:w="508" w:type="pct"/>
          </w:tcPr>
          <w:p w:rsidR="00AF5787" w:rsidRPr="00AD63B8" w:rsidP="00AF5787" w14:paraId="1AB11D55" w14:textId="014825A4">
            <w:pPr>
              <w:spacing w:before="60" w:after="60"/>
              <w:jc w:val="center"/>
              <w:rPr>
                <w:color w:val="FFFFFF" w:themeColor="background1"/>
              </w:rPr>
            </w:pPr>
            <w:r w:rsidRPr="009F0B58">
              <w:rPr>
                <w:color w:val="FFFFFF" w:themeColor="background1"/>
              </w:rPr>
              <w:t>N/A</w:t>
            </w:r>
          </w:p>
        </w:tc>
      </w:tr>
      <w:tr w14:paraId="5ADAEC68" w14:textId="77777777" w:rsidTr="0033795C">
        <w:tblPrEx>
          <w:tblW w:w="5000" w:type="pct"/>
          <w:jc w:val="center"/>
          <w:tblCellMar>
            <w:left w:w="0" w:type="dxa"/>
            <w:right w:w="0" w:type="dxa"/>
          </w:tblCellMar>
          <w:tblLook w:val="0700"/>
        </w:tblPrEx>
        <w:trPr>
          <w:cantSplit/>
          <w:jc w:val="center"/>
        </w:trPr>
        <w:tc>
          <w:tcPr>
            <w:tcW w:w="428" w:type="pct"/>
            <w:noWrap/>
            <w:tcMar>
              <w:top w:w="29" w:type="dxa"/>
              <w:left w:w="115" w:type="dxa"/>
              <w:bottom w:w="29" w:type="dxa"/>
              <w:right w:w="115" w:type="dxa"/>
            </w:tcMar>
            <w:vAlign w:val="center"/>
            <w:hideMark/>
          </w:tcPr>
          <w:p w:rsidR="00AF5787" w:rsidRPr="00F95C46" w:rsidP="00AF5787" w14:paraId="14262D19" w14:textId="77777777">
            <w:pPr>
              <w:spacing w:before="60" w:after="60"/>
              <w:ind w:left="-120" w:right="-20"/>
              <w:jc w:val="center"/>
            </w:pPr>
            <w:r w:rsidRPr="00F95C46">
              <w:t>4</w:t>
            </w:r>
          </w:p>
        </w:tc>
        <w:tc>
          <w:tcPr>
            <w:tcW w:w="508" w:type="pct"/>
            <w:noWrap/>
            <w:tcMar>
              <w:top w:w="29" w:type="dxa"/>
              <w:left w:w="115" w:type="dxa"/>
              <w:bottom w:w="29" w:type="dxa"/>
              <w:right w:w="115" w:type="dxa"/>
            </w:tcMar>
            <w:vAlign w:val="center"/>
            <w:hideMark/>
          </w:tcPr>
          <w:p w:rsidR="00AF5787" w:rsidRPr="00F95C46" w:rsidP="00AF5787" w14:paraId="179CC32B" w14:textId="77777777">
            <w:pPr>
              <w:spacing w:before="60" w:after="60"/>
              <w:jc w:val="center"/>
            </w:pPr>
            <w:r w:rsidRPr="00F95C46">
              <w:t>80.0</w:t>
            </w:r>
          </w:p>
        </w:tc>
        <w:tc>
          <w:tcPr>
            <w:tcW w:w="508" w:type="pct"/>
            <w:tcMar>
              <w:top w:w="29" w:type="dxa"/>
              <w:left w:w="115" w:type="dxa"/>
              <w:bottom w:w="29" w:type="dxa"/>
              <w:right w:w="115" w:type="dxa"/>
            </w:tcMar>
            <w:vAlign w:val="center"/>
            <w:hideMark/>
          </w:tcPr>
          <w:p w:rsidR="00AF5787" w:rsidRPr="00F95C46" w:rsidP="00AF5787" w14:paraId="73F80D1A" w14:textId="77777777">
            <w:pPr>
              <w:spacing w:before="60" w:after="60"/>
              <w:jc w:val="center"/>
            </w:pPr>
            <w:r w:rsidRPr="00F95C46">
              <w:t>84.2</w:t>
            </w:r>
          </w:p>
        </w:tc>
        <w:tc>
          <w:tcPr>
            <w:tcW w:w="508" w:type="pct"/>
            <w:tcMar>
              <w:top w:w="29" w:type="dxa"/>
              <w:left w:w="115" w:type="dxa"/>
              <w:bottom w:w="29" w:type="dxa"/>
              <w:right w:w="115" w:type="dxa"/>
            </w:tcMar>
            <w:vAlign w:val="center"/>
            <w:hideMark/>
          </w:tcPr>
          <w:p w:rsidR="00AF5787" w:rsidRPr="00F95C46" w:rsidP="00AF5787" w14:paraId="0E1B9F66" w14:textId="77777777">
            <w:pPr>
              <w:spacing w:before="60" w:after="60"/>
              <w:jc w:val="center"/>
            </w:pPr>
            <w:r w:rsidRPr="00F95C46">
              <w:t>85.1</w:t>
            </w:r>
          </w:p>
        </w:tc>
        <w:tc>
          <w:tcPr>
            <w:tcW w:w="508" w:type="pct"/>
            <w:vAlign w:val="center"/>
            <w:hideMark/>
          </w:tcPr>
          <w:p w:rsidR="00AF5787" w:rsidRPr="00F95C46" w:rsidP="00AF5787" w14:paraId="54BED6C2" w14:textId="77777777">
            <w:pPr>
              <w:spacing w:before="60" w:after="60"/>
              <w:jc w:val="center"/>
            </w:pPr>
            <w:r w:rsidRPr="00F95C46">
              <w:t>84.7</w:t>
            </w:r>
          </w:p>
        </w:tc>
        <w:tc>
          <w:tcPr>
            <w:tcW w:w="508" w:type="pct"/>
            <w:vAlign w:val="center"/>
            <w:hideMark/>
          </w:tcPr>
          <w:p w:rsidR="00AF5787" w:rsidRPr="00F95C46" w:rsidP="00AF5787" w14:paraId="3841ADFD" w14:textId="77777777">
            <w:pPr>
              <w:spacing w:before="60" w:after="60"/>
              <w:jc w:val="center"/>
            </w:pPr>
            <w:r w:rsidRPr="00F95C46">
              <w:t>83.9</w:t>
            </w:r>
          </w:p>
        </w:tc>
        <w:tc>
          <w:tcPr>
            <w:tcW w:w="508" w:type="pct"/>
            <w:vAlign w:val="center"/>
            <w:hideMark/>
          </w:tcPr>
          <w:p w:rsidR="00AF5787" w:rsidRPr="00F95C46" w:rsidP="00AF5787" w14:paraId="4ABC90C3" w14:textId="77777777">
            <w:pPr>
              <w:spacing w:before="60" w:after="60"/>
              <w:jc w:val="center"/>
            </w:pPr>
            <w:r w:rsidRPr="00F95C46">
              <w:t>81.9</w:t>
            </w:r>
          </w:p>
        </w:tc>
        <w:tc>
          <w:tcPr>
            <w:tcW w:w="508" w:type="pct"/>
            <w:vAlign w:val="center"/>
            <w:hideMark/>
          </w:tcPr>
          <w:p w:rsidR="00AF5787" w:rsidRPr="00F95C46" w:rsidP="00AF5787" w14:paraId="3F0A581D" w14:textId="77777777">
            <w:pPr>
              <w:spacing w:before="60" w:after="60"/>
              <w:jc w:val="center"/>
            </w:pPr>
            <w:r w:rsidRPr="00F95C46">
              <w:t>81.7</w:t>
            </w:r>
          </w:p>
        </w:tc>
        <w:tc>
          <w:tcPr>
            <w:tcW w:w="508" w:type="pct"/>
            <w:vAlign w:val="center"/>
            <w:hideMark/>
          </w:tcPr>
          <w:p w:rsidR="00AF5787" w:rsidRPr="00F95C46" w:rsidP="00AF5787" w14:paraId="0AE3311F" w14:textId="77777777">
            <w:pPr>
              <w:spacing w:before="60" w:after="60"/>
              <w:jc w:val="center"/>
            </w:pPr>
            <w:r w:rsidRPr="00F95C46">
              <w:t>81.1</w:t>
            </w:r>
          </w:p>
        </w:tc>
        <w:tc>
          <w:tcPr>
            <w:tcW w:w="508" w:type="pct"/>
          </w:tcPr>
          <w:p w:rsidR="00AF5787" w:rsidRPr="00AD63B8" w:rsidP="00AF5787" w14:paraId="48E02AE8" w14:textId="47D8A2C6">
            <w:pPr>
              <w:spacing w:before="60" w:after="60"/>
              <w:jc w:val="center"/>
              <w:rPr>
                <w:color w:val="FFFFFF" w:themeColor="background1"/>
              </w:rPr>
            </w:pPr>
            <w:r w:rsidRPr="009F0B58">
              <w:rPr>
                <w:color w:val="FFFFFF" w:themeColor="background1"/>
              </w:rPr>
              <w:t>N/A</w:t>
            </w:r>
          </w:p>
        </w:tc>
      </w:tr>
      <w:tr w14:paraId="4D8316C1" w14:textId="77777777" w:rsidTr="0033795C">
        <w:tblPrEx>
          <w:tblW w:w="5000" w:type="pct"/>
          <w:jc w:val="center"/>
          <w:tblCellMar>
            <w:left w:w="0" w:type="dxa"/>
            <w:right w:w="0" w:type="dxa"/>
          </w:tblCellMar>
          <w:tblLook w:val="0700"/>
        </w:tblPrEx>
        <w:trPr>
          <w:cantSplit/>
          <w:jc w:val="center"/>
        </w:trPr>
        <w:tc>
          <w:tcPr>
            <w:tcW w:w="428" w:type="pct"/>
            <w:noWrap/>
            <w:tcMar>
              <w:top w:w="29" w:type="dxa"/>
              <w:left w:w="115" w:type="dxa"/>
              <w:bottom w:w="29" w:type="dxa"/>
              <w:right w:w="115" w:type="dxa"/>
            </w:tcMar>
            <w:vAlign w:val="center"/>
            <w:hideMark/>
          </w:tcPr>
          <w:p w:rsidR="00AF5787" w:rsidRPr="00F95C46" w:rsidP="00AF5787" w14:paraId="1BAC41BA" w14:textId="77777777">
            <w:pPr>
              <w:spacing w:before="60" w:after="60"/>
              <w:ind w:left="-120" w:right="-20"/>
              <w:jc w:val="center"/>
            </w:pPr>
            <w:r w:rsidRPr="00F95C46">
              <w:t>5</w:t>
            </w:r>
          </w:p>
        </w:tc>
        <w:tc>
          <w:tcPr>
            <w:tcW w:w="508" w:type="pct"/>
            <w:noWrap/>
            <w:tcMar>
              <w:top w:w="29" w:type="dxa"/>
              <w:left w:w="115" w:type="dxa"/>
              <w:bottom w:w="29" w:type="dxa"/>
              <w:right w:w="115" w:type="dxa"/>
            </w:tcMar>
            <w:vAlign w:val="center"/>
            <w:hideMark/>
          </w:tcPr>
          <w:p w:rsidR="00AF5787" w:rsidRPr="00F95C46" w:rsidP="00AF5787" w14:paraId="3A623E48" w14:textId="77777777">
            <w:pPr>
              <w:spacing w:before="60" w:after="60"/>
              <w:jc w:val="center"/>
            </w:pPr>
            <w:r w:rsidRPr="00F95C46">
              <w:t>88.3</w:t>
            </w:r>
          </w:p>
        </w:tc>
        <w:tc>
          <w:tcPr>
            <w:tcW w:w="508" w:type="pct"/>
            <w:tcMar>
              <w:top w:w="29" w:type="dxa"/>
              <w:left w:w="115" w:type="dxa"/>
              <w:bottom w:w="29" w:type="dxa"/>
              <w:right w:w="115" w:type="dxa"/>
            </w:tcMar>
            <w:vAlign w:val="center"/>
            <w:hideMark/>
          </w:tcPr>
          <w:p w:rsidR="00AF5787" w:rsidRPr="00F95C46" w:rsidP="00AF5787" w14:paraId="65FC3575" w14:textId="77777777">
            <w:pPr>
              <w:spacing w:before="60" w:after="60"/>
              <w:jc w:val="center"/>
            </w:pPr>
            <w:r w:rsidRPr="00F95C46">
              <w:t>87.9</w:t>
            </w:r>
          </w:p>
        </w:tc>
        <w:tc>
          <w:tcPr>
            <w:tcW w:w="508" w:type="pct"/>
            <w:tcMar>
              <w:top w:w="29" w:type="dxa"/>
              <w:left w:w="115" w:type="dxa"/>
              <w:bottom w:w="29" w:type="dxa"/>
              <w:right w:w="115" w:type="dxa"/>
            </w:tcMar>
            <w:vAlign w:val="center"/>
            <w:hideMark/>
          </w:tcPr>
          <w:p w:rsidR="00AF5787" w:rsidRPr="00F95C46" w:rsidP="00AF5787" w14:paraId="179BB986" w14:textId="77777777">
            <w:pPr>
              <w:spacing w:before="60" w:after="60"/>
              <w:jc w:val="center"/>
            </w:pPr>
            <w:r w:rsidRPr="00F95C46">
              <w:t>88.1</w:t>
            </w:r>
          </w:p>
        </w:tc>
        <w:tc>
          <w:tcPr>
            <w:tcW w:w="508" w:type="pct"/>
            <w:vAlign w:val="center"/>
            <w:hideMark/>
          </w:tcPr>
          <w:p w:rsidR="00AF5787" w:rsidRPr="00F95C46" w:rsidP="00AF5787" w14:paraId="4C29125C" w14:textId="77777777">
            <w:pPr>
              <w:spacing w:before="60" w:after="60"/>
              <w:jc w:val="center"/>
            </w:pPr>
            <w:r w:rsidRPr="00F95C46">
              <w:t>74.9</w:t>
            </w:r>
          </w:p>
        </w:tc>
        <w:tc>
          <w:tcPr>
            <w:tcW w:w="508" w:type="pct"/>
            <w:vAlign w:val="center"/>
            <w:hideMark/>
          </w:tcPr>
          <w:p w:rsidR="00AF5787" w:rsidRPr="00F95C46" w:rsidP="00AF5787" w14:paraId="5EB2349A" w14:textId="77777777">
            <w:pPr>
              <w:spacing w:before="60" w:after="60"/>
              <w:jc w:val="center"/>
            </w:pPr>
            <w:r w:rsidRPr="00F95C46">
              <w:t>84.4</w:t>
            </w:r>
          </w:p>
        </w:tc>
        <w:tc>
          <w:tcPr>
            <w:tcW w:w="508" w:type="pct"/>
            <w:vAlign w:val="center"/>
            <w:hideMark/>
          </w:tcPr>
          <w:p w:rsidR="00AF5787" w:rsidRPr="00F95C46" w:rsidP="00AF5787" w14:paraId="7598E856" w14:textId="77777777">
            <w:pPr>
              <w:spacing w:before="60" w:after="60"/>
              <w:jc w:val="center"/>
            </w:pPr>
            <w:r w:rsidRPr="00F95C46">
              <w:t>86.5</w:t>
            </w:r>
          </w:p>
        </w:tc>
        <w:tc>
          <w:tcPr>
            <w:tcW w:w="508" w:type="pct"/>
            <w:vAlign w:val="center"/>
            <w:hideMark/>
          </w:tcPr>
          <w:p w:rsidR="00AF5787" w:rsidRPr="00F95C46" w:rsidP="00AF5787" w14:paraId="061616C5" w14:textId="77777777">
            <w:pPr>
              <w:spacing w:before="60" w:after="60"/>
              <w:jc w:val="center"/>
            </w:pPr>
            <w:r w:rsidRPr="00F95C46">
              <w:t>86.5</w:t>
            </w:r>
          </w:p>
        </w:tc>
        <w:tc>
          <w:tcPr>
            <w:tcW w:w="508" w:type="pct"/>
          </w:tcPr>
          <w:p w:rsidR="00AF5787" w:rsidRPr="00AD63B8" w:rsidP="00AF5787" w14:paraId="187429DC" w14:textId="54CF5301">
            <w:pPr>
              <w:spacing w:before="60" w:after="60"/>
              <w:jc w:val="center"/>
              <w:rPr>
                <w:color w:val="FFFFFF" w:themeColor="background1"/>
              </w:rPr>
            </w:pPr>
            <w:r w:rsidRPr="0017024A">
              <w:rPr>
                <w:color w:val="FFFFFF" w:themeColor="background1"/>
              </w:rPr>
              <w:t>N/A</w:t>
            </w:r>
          </w:p>
        </w:tc>
        <w:tc>
          <w:tcPr>
            <w:tcW w:w="508" w:type="pct"/>
          </w:tcPr>
          <w:p w:rsidR="00AF5787" w:rsidRPr="00AD63B8" w:rsidP="00AF5787" w14:paraId="3B76896E" w14:textId="5CE9677C">
            <w:pPr>
              <w:spacing w:before="60" w:after="60"/>
              <w:jc w:val="center"/>
              <w:rPr>
                <w:color w:val="FFFFFF" w:themeColor="background1"/>
              </w:rPr>
            </w:pPr>
            <w:r w:rsidRPr="009F0B58">
              <w:rPr>
                <w:color w:val="FFFFFF" w:themeColor="background1"/>
              </w:rPr>
              <w:t>N/A</w:t>
            </w:r>
          </w:p>
        </w:tc>
      </w:tr>
      <w:tr w14:paraId="768B72D8" w14:textId="77777777" w:rsidTr="0033795C">
        <w:tblPrEx>
          <w:tblW w:w="5000" w:type="pct"/>
          <w:jc w:val="center"/>
          <w:tblCellMar>
            <w:left w:w="0" w:type="dxa"/>
            <w:right w:w="0" w:type="dxa"/>
          </w:tblCellMar>
          <w:tblLook w:val="0700"/>
        </w:tblPrEx>
        <w:trPr>
          <w:cantSplit/>
          <w:jc w:val="center"/>
        </w:trPr>
        <w:tc>
          <w:tcPr>
            <w:tcW w:w="428" w:type="pct"/>
            <w:noWrap/>
            <w:tcMar>
              <w:top w:w="29" w:type="dxa"/>
              <w:left w:w="115" w:type="dxa"/>
              <w:bottom w:w="29" w:type="dxa"/>
              <w:right w:w="115" w:type="dxa"/>
            </w:tcMar>
            <w:vAlign w:val="center"/>
            <w:hideMark/>
          </w:tcPr>
          <w:p w:rsidR="00AF5787" w:rsidRPr="00F95C46" w:rsidP="00AF5787" w14:paraId="390CC321" w14:textId="77777777">
            <w:pPr>
              <w:spacing w:before="60" w:after="60"/>
              <w:ind w:left="-120" w:right="-20"/>
              <w:jc w:val="center"/>
            </w:pPr>
            <w:r w:rsidRPr="00F95C46">
              <w:t>6</w:t>
            </w:r>
          </w:p>
        </w:tc>
        <w:tc>
          <w:tcPr>
            <w:tcW w:w="508" w:type="pct"/>
            <w:noWrap/>
            <w:tcMar>
              <w:top w:w="29" w:type="dxa"/>
              <w:left w:w="115" w:type="dxa"/>
              <w:bottom w:w="29" w:type="dxa"/>
              <w:right w:w="115" w:type="dxa"/>
            </w:tcMar>
            <w:vAlign w:val="center"/>
            <w:hideMark/>
          </w:tcPr>
          <w:p w:rsidR="00AF5787" w:rsidRPr="00F95C46" w:rsidP="00AF5787" w14:paraId="39A69ABC" w14:textId="77777777">
            <w:pPr>
              <w:spacing w:before="60" w:after="60"/>
              <w:jc w:val="center"/>
            </w:pPr>
            <w:r w:rsidRPr="00F95C46">
              <w:t>88.0</w:t>
            </w:r>
          </w:p>
        </w:tc>
        <w:tc>
          <w:tcPr>
            <w:tcW w:w="508" w:type="pct"/>
            <w:tcMar>
              <w:top w:w="29" w:type="dxa"/>
              <w:left w:w="115" w:type="dxa"/>
              <w:bottom w:w="29" w:type="dxa"/>
              <w:right w:w="115" w:type="dxa"/>
            </w:tcMar>
            <w:vAlign w:val="center"/>
            <w:hideMark/>
          </w:tcPr>
          <w:p w:rsidR="00AF5787" w:rsidRPr="00F95C46" w:rsidP="00AF5787" w14:paraId="478AFEA8" w14:textId="77777777">
            <w:pPr>
              <w:spacing w:before="60" w:after="60"/>
              <w:jc w:val="center"/>
            </w:pPr>
            <w:r w:rsidRPr="00F95C46">
              <w:t>87.7</w:t>
            </w:r>
          </w:p>
        </w:tc>
        <w:tc>
          <w:tcPr>
            <w:tcW w:w="508" w:type="pct"/>
            <w:tcMar>
              <w:top w:w="29" w:type="dxa"/>
              <w:left w:w="115" w:type="dxa"/>
              <w:bottom w:w="29" w:type="dxa"/>
              <w:right w:w="115" w:type="dxa"/>
            </w:tcMar>
            <w:vAlign w:val="center"/>
            <w:hideMark/>
          </w:tcPr>
          <w:p w:rsidR="00AF5787" w:rsidRPr="00F95C46" w:rsidP="00AF5787" w14:paraId="3A583D23" w14:textId="77777777">
            <w:pPr>
              <w:spacing w:before="60" w:after="60"/>
              <w:jc w:val="center"/>
            </w:pPr>
            <w:r w:rsidRPr="00F95C46">
              <w:t>85.7</w:t>
            </w:r>
          </w:p>
        </w:tc>
        <w:tc>
          <w:tcPr>
            <w:tcW w:w="508" w:type="pct"/>
            <w:vAlign w:val="center"/>
            <w:hideMark/>
          </w:tcPr>
          <w:p w:rsidR="00AF5787" w:rsidRPr="00F95C46" w:rsidP="00AF5787" w14:paraId="662E33D7" w14:textId="77777777">
            <w:pPr>
              <w:spacing w:before="60" w:after="60"/>
              <w:jc w:val="center"/>
            </w:pPr>
            <w:r w:rsidRPr="00F95C46">
              <w:t>89.3</w:t>
            </w:r>
          </w:p>
        </w:tc>
        <w:tc>
          <w:tcPr>
            <w:tcW w:w="508" w:type="pct"/>
            <w:vAlign w:val="center"/>
            <w:hideMark/>
          </w:tcPr>
          <w:p w:rsidR="00AF5787" w:rsidRPr="00F95C46" w:rsidP="00AF5787" w14:paraId="1587ADED" w14:textId="77777777">
            <w:pPr>
              <w:spacing w:before="60" w:after="60"/>
              <w:jc w:val="center"/>
            </w:pPr>
            <w:r w:rsidRPr="00F95C46">
              <w:t>89.1</w:t>
            </w:r>
          </w:p>
        </w:tc>
        <w:tc>
          <w:tcPr>
            <w:tcW w:w="508" w:type="pct"/>
            <w:vAlign w:val="center"/>
            <w:hideMark/>
          </w:tcPr>
          <w:p w:rsidR="00AF5787" w:rsidRPr="00F95C46" w:rsidP="00AF5787" w14:paraId="11282961" w14:textId="77777777">
            <w:pPr>
              <w:spacing w:before="60" w:after="60"/>
              <w:jc w:val="center"/>
            </w:pPr>
            <w:r w:rsidRPr="00F95C46">
              <w:t>88.1</w:t>
            </w:r>
          </w:p>
        </w:tc>
        <w:tc>
          <w:tcPr>
            <w:tcW w:w="508" w:type="pct"/>
            <w:vAlign w:val="center"/>
            <w:hideMark/>
          </w:tcPr>
          <w:p w:rsidR="00AF5787" w:rsidRPr="00F95C46" w:rsidP="00AF5787" w14:paraId="4CC81E44" w14:textId="77777777">
            <w:pPr>
              <w:spacing w:before="60" w:after="60"/>
              <w:jc w:val="center"/>
            </w:pPr>
            <w:r w:rsidRPr="00F95C46">
              <w:t>87.7</w:t>
            </w:r>
          </w:p>
        </w:tc>
        <w:tc>
          <w:tcPr>
            <w:tcW w:w="508" w:type="pct"/>
          </w:tcPr>
          <w:p w:rsidR="00AF5787" w:rsidRPr="00AD63B8" w:rsidP="00AF5787" w14:paraId="343E011A" w14:textId="7429E18A">
            <w:pPr>
              <w:spacing w:before="60" w:after="60"/>
              <w:jc w:val="center"/>
              <w:rPr>
                <w:color w:val="FFFFFF" w:themeColor="background1"/>
              </w:rPr>
            </w:pPr>
            <w:r w:rsidRPr="0017024A">
              <w:rPr>
                <w:color w:val="FFFFFF" w:themeColor="background1"/>
              </w:rPr>
              <w:t>N/A</w:t>
            </w:r>
          </w:p>
        </w:tc>
        <w:tc>
          <w:tcPr>
            <w:tcW w:w="508" w:type="pct"/>
          </w:tcPr>
          <w:p w:rsidR="00AF5787" w:rsidRPr="00AD63B8" w:rsidP="00AF5787" w14:paraId="49BD1996" w14:textId="0133F863">
            <w:pPr>
              <w:spacing w:before="60" w:after="60"/>
              <w:jc w:val="center"/>
              <w:rPr>
                <w:color w:val="FFFFFF" w:themeColor="background1"/>
              </w:rPr>
            </w:pPr>
            <w:r w:rsidRPr="009F0B58">
              <w:rPr>
                <w:color w:val="FFFFFF" w:themeColor="background1"/>
              </w:rPr>
              <w:t>N/A</w:t>
            </w:r>
          </w:p>
        </w:tc>
      </w:tr>
      <w:tr w14:paraId="7584514B" w14:textId="77777777" w:rsidTr="0033795C">
        <w:tblPrEx>
          <w:tblW w:w="5000" w:type="pct"/>
          <w:jc w:val="center"/>
          <w:tblCellMar>
            <w:left w:w="0" w:type="dxa"/>
            <w:right w:w="0" w:type="dxa"/>
          </w:tblCellMar>
          <w:tblLook w:val="0700"/>
        </w:tblPrEx>
        <w:trPr>
          <w:cantSplit/>
          <w:jc w:val="center"/>
        </w:trPr>
        <w:tc>
          <w:tcPr>
            <w:tcW w:w="428" w:type="pct"/>
            <w:noWrap/>
            <w:tcMar>
              <w:top w:w="29" w:type="dxa"/>
              <w:left w:w="115" w:type="dxa"/>
              <w:bottom w:w="29" w:type="dxa"/>
              <w:right w:w="115" w:type="dxa"/>
            </w:tcMar>
            <w:vAlign w:val="center"/>
            <w:hideMark/>
          </w:tcPr>
          <w:p w:rsidR="00AF5787" w:rsidRPr="00F95C46" w:rsidP="00AF5787" w14:paraId="5EC1C320" w14:textId="77777777">
            <w:pPr>
              <w:spacing w:before="60" w:after="60"/>
              <w:ind w:left="-120" w:right="-20"/>
              <w:jc w:val="center"/>
            </w:pPr>
            <w:r w:rsidRPr="00F95C46">
              <w:t>7</w:t>
            </w:r>
          </w:p>
        </w:tc>
        <w:tc>
          <w:tcPr>
            <w:tcW w:w="508" w:type="pct"/>
            <w:noWrap/>
            <w:tcMar>
              <w:top w:w="29" w:type="dxa"/>
              <w:left w:w="115" w:type="dxa"/>
              <w:bottom w:w="29" w:type="dxa"/>
              <w:right w:w="115" w:type="dxa"/>
            </w:tcMar>
            <w:vAlign w:val="center"/>
            <w:hideMark/>
          </w:tcPr>
          <w:p w:rsidR="00AF5787" w:rsidRPr="00F95C46" w:rsidP="00AF5787" w14:paraId="4A6789CD" w14:textId="77777777">
            <w:pPr>
              <w:spacing w:before="60" w:after="60"/>
              <w:jc w:val="center"/>
            </w:pPr>
            <w:r w:rsidRPr="00F95C46">
              <w:t>87.7</w:t>
            </w:r>
          </w:p>
        </w:tc>
        <w:tc>
          <w:tcPr>
            <w:tcW w:w="508" w:type="pct"/>
            <w:tcMar>
              <w:top w:w="29" w:type="dxa"/>
              <w:left w:w="115" w:type="dxa"/>
              <w:bottom w:w="29" w:type="dxa"/>
              <w:right w:w="115" w:type="dxa"/>
            </w:tcMar>
            <w:vAlign w:val="center"/>
            <w:hideMark/>
          </w:tcPr>
          <w:p w:rsidR="00AF5787" w:rsidRPr="00F95C46" w:rsidP="00AF5787" w14:paraId="011E5BE3" w14:textId="77777777">
            <w:pPr>
              <w:spacing w:before="60" w:after="60"/>
              <w:jc w:val="center"/>
            </w:pPr>
            <w:r w:rsidRPr="00F95C46">
              <w:t>88.1</w:t>
            </w:r>
          </w:p>
        </w:tc>
        <w:tc>
          <w:tcPr>
            <w:tcW w:w="508" w:type="pct"/>
            <w:tcMar>
              <w:top w:w="29" w:type="dxa"/>
              <w:left w:w="115" w:type="dxa"/>
              <w:bottom w:w="29" w:type="dxa"/>
              <w:right w:w="115" w:type="dxa"/>
            </w:tcMar>
            <w:vAlign w:val="center"/>
            <w:hideMark/>
          </w:tcPr>
          <w:p w:rsidR="00AF5787" w:rsidRPr="00F95C46" w:rsidP="00AF5787" w14:paraId="04B7C1D9" w14:textId="77777777">
            <w:pPr>
              <w:spacing w:before="60" w:after="60"/>
              <w:jc w:val="center"/>
            </w:pPr>
            <w:r w:rsidRPr="00F95C46">
              <w:t>89.4</w:t>
            </w:r>
          </w:p>
        </w:tc>
        <w:tc>
          <w:tcPr>
            <w:tcW w:w="508" w:type="pct"/>
            <w:vAlign w:val="center"/>
            <w:hideMark/>
          </w:tcPr>
          <w:p w:rsidR="00AF5787" w:rsidRPr="00F95C46" w:rsidP="00AF5787" w14:paraId="18946605" w14:textId="77777777">
            <w:pPr>
              <w:spacing w:before="60" w:after="60"/>
              <w:jc w:val="center"/>
            </w:pPr>
            <w:r w:rsidRPr="00F95C46">
              <w:t>88.9</w:t>
            </w:r>
          </w:p>
        </w:tc>
        <w:tc>
          <w:tcPr>
            <w:tcW w:w="508" w:type="pct"/>
            <w:vAlign w:val="center"/>
            <w:hideMark/>
          </w:tcPr>
          <w:p w:rsidR="00AF5787" w:rsidRPr="00F95C46" w:rsidP="00AF5787" w14:paraId="101A9808" w14:textId="77777777">
            <w:pPr>
              <w:spacing w:before="60" w:after="60"/>
              <w:jc w:val="center"/>
            </w:pPr>
            <w:r w:rsidRPr="00F95C46">
              <w:t>86.1</w:t>
            </w:r>
          </w:p>
        </w:tc>
        <w:tc>
          <w:tcPr>
            <w:tcW w:w="508" w:type="pct"/>
            <w:vAlign w:val="center"/>
            <w:hideMark/>
          </w:tcPr>
          <w:p w:rsidR="00AF5787" w:rsidRPr="00F95C46" w:rsidP="00AF5787" w14:paraId="674726AE" w14:textId="77777777">
            <w:pPr>
              <w:spacing w:before="60" w:after="60"/>
              <w:jc w:val="center"/>
            </w:pPr>
            <w:r w:rsidRPr="00F95C46">
              <w:t>87.8</w:t>
            </w:r>
          </w:p>
        </w:tc>
        <w:tc>
          <w:tcPr>
            <w:tcW w:w="508" w:type="pct"/>
            <w:vAlign w:val="center"/>
            <w:hideMark/>
          </w:tcPr>
          <w:p w:rsidR="00AF5787" w:rsidRPr="00F95C46" w:rsidP="00AF5787" w14:paraId="2FA3C0F4" w14:textId="77777777">
            <w:pPr>
              <w:spacing w:before="60" w:after="60"/>
              <w:jc w:val="center"/>
            </w:pPr>
            <w:r w:rsidRPr="00F95C46">
              <w:t>87.6</w:t>
            </w:r>
          </w:p>
        </w:tc>
        <w:tc>
          <w:tcPr>
            <w:tcW w:w="508" w:type="pct"/>
          </w:tcPr>
          <w:p w:rsidR="00AF5787" w:rsidRPr="00AD63B8" w:rsidP="00AF5787" w14:paraId="382E113B" w14:textId="71BEBB4D">
            <w:pPr>
              <w:spacing w:before="60" w:after="60"/>
              <w:jc w:val="center"/>
              <w:rPr>
                <w:color w:val="FFFFFF" w:themeColor="background1"/>
              </w:rPr>
            </w:pPr>
            <w:r w:rsidRPr="0017024A">
              <w:rPr>
                <w:color w:val="FFFFFF" w:themeColor="background1"/>
              </w:rPr>
              <w:t>N/A</w:t>
            </w:r>
          </w:p>
        </w:tc>
        <w:tc>
          <w:tcPr>
            <w:tcW w:w="508" w:type="pct"/>
          </w:tcPr>
          <w:p w:rsidR="00AF5787" w:rsidRPr="00AD63B8" w:rsidP="00AF5787" w14:paraId="5A57CDF0" w14:textId="41CC9680">
            <w:pPr>
              <w:spacing w:before="60" w:after="60"/>
              <w:jc w:val="center"/>
              <w:rPr>
                <w:color w:val="FFFFFF" w:themeColor="background1"/>
              </w:rPr>
            </w:pPr>
            <w:r w:rsidRPr="009F0B58">
              <w:rPr>
                <w:color w:val="FFFFFF" w:themeColor="background1"/>
              </w:rPr>
              <w:t>N/A</w:t>
            </w:r>
          </w:p>
        </w:tc>
      </w:tr>
      <w:tr w14:paraId="02920A57" w14:textId="77777777" w:rsidTr="0033795C">
        <w:tblPrEx>
          <w:tblW w:w="5000" w:type="pct"/>
          <w:jc w:val="center"/>
          <w:tblCellMar>
            <w:left w:w="0" w:type="dxa"/>
            <w:right w:w="0" w:type="dxa"/>
          </w:tblCellMar>
          <w:tblLook w:val="0700"/>
        </w:tblPrEx>
        <w:trPr>
          <w:cantSplit/>
          <w:jc w:val="center"/>
        </w:trPr>
        <w:tc>
          <w:tcPr>
            <w:tcW w:w="428" w:type="pct"/>
            <w:noWrap/>
            <w:tcMar>
              <w:top w:w="29" w:type="dxa"/>
              <w:left w:w="115" w:type="dxa"/>
              <w:bottom w:w="29" w:type="dxa"/>
              <w:right w:w="115" w:type="dxa"/>
            </w:tcMar>
            <w:vAlign w:val="center"/>
            <w:hideMark/>
          </w:tcPr>
          <w:p w:rsidR="00AF5787" w:rsidRPr="00F95C46" w:rsidP="00AF5787" w14:paraId="702F93AB" w14:textId="77777777">
            <w:pPr>
              <w:spacing w:before="60" w:after="60"/>
              <w:ind w:left="-120" w:right="-20"/>
              <w:jc w:val="center"/>
            </w:pPr>
            <w:r w:rsidRPr="00F95C46">
              <w:t>8</w:t>
            </w:r>
          </w:p>
        </w:tc>
        <w:tc>
          <w:tcPr>
            <w:tcW w:w="508" w:type="pct"/>
            <w:noWrap/>
            <w:tcMar>
              <w:top w:w="29" w:type="dxa"/>
              <w:left w:w="115" w:type="dxa"/>
              <w:bottom w:w="29" w:type="dxa"/>
              <w:right w:w="115" w:type="dxa"/>
            </w:tcMar>
            <w:vAlign w:val="center"/>
            <w:hideMark/>
          </w:tcPr>
          <w:p w:rsidR="00AF5787" w:rsidRPr="00F95C46" w:rsidP="00AF5787" w14:paraId="6C40F6D6" w14:textId="77777777">
            <w:pPr>
              <w:spacing w:before="60" w:after="60"/>
              <w:jc w:val="center"/>
            </w:pPr>
            <w:r w:rsidRPr="00F95C46">
              <w:t>91.5</w:t>
            </w:r>
          </w:p>
        </w:tc>
        <w:tc>
          <w:tcPr>
            <w:tcW w:w="508" w:type="pct"/>
            <w:tcMar>
              <w:top w:w="29" w:type="dxa"/>
              <w:left w:w="115" w:type="dxa"/>
              <w:bottom w:w="29" w:type="dxa"/>
              <w:right w:w="115" w:type="dxa"/>
            </w:tcMar>
            <w:vAlign w:val="center"/>
            <w:hideMark/>
          </w:tcPr>
          <w:p w:rsidR="00AF5787" w:rsidRPr="00F95C46" w:rsidP="00AF5787" w14:paraId="134A695B" w14:textId="77777777">
            <w:pPr>
              <w:spacing w:before="60" w:after="60"/>
              <w:jc w:val="center"/>
            </w:pPr>
            <w:r w:rsidRPr="00F95C46">
              <w:t>90.9</w:t>
            </w:r>
          </w:p>
        </w:tc>
        <w:tc>
          <w:tcPr>
            <w:tcW w:w="508" w:type="pct"/>
            <w:tcMar>
              <w:top w:w="29" w:type="dxa"/>
              <w:left w:w="115" w:type="dxa"/>
              <w:bottom w:w="29" w:type="dxa"/>
              <w:right w:w="115" w:type="dxa"/>
            </w:tcMar>
            <w:vAlign w:val="center"/>
            <w:hideMark/>
          </w:tcPr>
          <w:p w:rsidR="00AF5787" w:rsidRPr="00F95C46" w:rsidP="00AF5787" w14:paraId="28B8740B" w14:textId="77777777">
            <w:pPr>
              <w:spacing w:before="60" w:after="60"/>
              <w:jc w:val="center"/>
            </w:pPr>
            <w:r w:rsidRPr="00F95C46">
              <w:t>80.3</w:t>
            </w:r>
          </w:p>
        </w:tc>
        <w:tc>
          <w:tcPr>
            <w:tcW w:w="508" w:type="pct"/>
            <w:vAlign w:val="center"/>
            <w:hideMark/>
          </w:tcPr>
          <w:p w:rsidR="00AF5787" w:rsidRPr="00F95C46" w:rsidP="00AF5787" w14:paraId="47489560" w14:textId="77777777">
            <w:pPr>
              <w:spacing w:before="60" w:after="60"/>
              <w:jc w:val="center"/>
            </w:pPr>
            <w:r w:rsidRPr="00F95C46">
              <w:t>89.9</w:t>
            </w:r>
          </w:p>
        </w:tc>
        <w:tc>
          <w:tcPr>
            <w:tcW w:w="508" w:type="pct"/>
            <w:vAlign w:val="center"/>
            <w:hideMark/>
          </w:tcPr>
          <w:p w:rsidR="00AF5787" w:rsidRPr="00F95C46" w:rsidP="00AF5787" w14:paraId="46975360" w14:textId="77777777">
            <w:pPr>
              <w:spacing w:before="60" w:after="60"/>
              <w:jc w:val="center"/>
            </w:pPr>
            <w:r w:rsidRPr="00F95C46">
              <w:t>90.5</w:t>
            </w:r>
          </w:p>
        </w:tc>
        <w:tc>
          <w:tcPr>
            <w:tcW w:w="508" w:type="pct"/>
            <w:vAlign w:val="center"/>
            <w:hideMark/>
          </w:tcPr>
          <w:p w:rsidR="00AF5787" w:rsidRPr="00F95C46" w:rsidP="00AF5787" w14:paraId="36665900" w14:textId="77777777">
            <w:pPr>
              <w:spacing w:before="60" w:after="60"/>
              <w:jc w:val="center"/>
            </w:pPr>
            <w:r w:rsidRPr="00F95C46">
              <w:t>89.0</w:t>
            </w:r>
          </w:p>
        </w:tc>
        <w:tc>
          <w:tcPr>
            <w:tcW w:w="508" w:type="pct"/>
          </w:tcPr>
          <w:p w:rsidR="00AF5787" w:rsidRPr="00AD63B8" w:rsidP="00AF5787" w14:paraId="0F7127A6" w14:textId="6E513EA0">
            <w:pPr>
              <w:spacing w:before="60" w:after="60"/>
              <w:jc w:val="center"/>
              <w:rPr>
                <w:color w:val="FFFFFF" w:themeColor="background1"/>
              </w:rPr>
            </w:pPr>
            <w:r w:rsidRPr="00FE1844">
              <w:rPr>
                <w:color w:val="FFFFFF" w:themeColor="background1"/>
              </w:rPr>
              <w:t>N/A</w:t>
            </w:r>
          </w:p>
        </w:tc>
        <w:tc>
          <w:tcPr>
            <w:tcW w:w="508" w:type="pct"/>
          </w:tcPr>
          <w:p w:rsidR="00AF5787" w:rsidRPr="00AD63B8" w:rsidP="00AF5787" w14:paraId="030ACC32" w14:textId="3A49B0AE">
            <w:pPr>
              <w:spacing w:before="60" w:after="60"/>
              <w:jc w:val="center"/>
              <w:rPr>
                <w:color w:val="FFFFFF" w:themeColor="background1"/>
              </w:rPr>
            </w:pPr>
            <w:r w:rsidRPr="0017024A">
              <w:rPr>
                <w:color w:val="FFFFFF" w:themeColor="background1"/>
              </w:rPr>
              <w:t>N/A</w:t>
            </w:r>
          </w:p>
        </w:tc>
        <w:tc>
          <w:tcPr>
            <w:tcW w:w="508" w:type="pct"/>
          </w:tcPr>
          <w:p w:rsidR="00AF5787" w:rsidRPr="00AD63B8" w:rsidP="00AF5787" w14:paraId="5048592E" w14:textId="60B6909B">
            <w:pPr>
              <w:spacing w:before="60" w:after="60"/>
              <w:jc w:val="center"/>
              <w:rPr>
                <w:color w:val="FFFFFF" w:themeColor="background1"/>
              </w:rPr>
            </w:pPr>
            <w:r w:rsidRPr="009F0B58">
              <w:rPr>
                <w:color w:val="FFFFFF" w:themeColor="background1"/>
              </w:rPr>
              <w:t>N/A</w:t>
            </w:r>
          </w:p>
        </w:tc>
      </w:tr>
      <w:tr w14:paraId="52EFA04E" w14:textId="77777777" w:rsidTr="0033795C">
        <w:tblPrEx>
          <w:tblW w:w="5000" w:type="pct"/>
          <w:jc w:val="center"/>
          <w:tblCellMar>
            <w:left w:w="0" w:type="dxa"/>
            <w:right w:w="0" w:type="dxa"/>
          </w:tblCellMar>
          <w:tblLook w:val="0700"/>
        </w:tblPrEx>
        <w:trPr>
          <w:cantSplit/>
          <w:jc w:val="center"/>
        </w:trPr>
        <w:tc>
          <w:tcPr>
            <w:tcW w:w="428" w:type="pct"/>
            <w:noWrap/>
            <w:tcMar>
              <w:top w:w="29" w:type="dxa"/>
              <w:left w:w="115" w:type="dxa"/>
              <w:bottom w:w="29" w:type="dxa"/>
              <w:right w:w="115" w:type="dxa"/>
            </w:tcMar>
            <w:vAlign w:val="center"/>
            <w:hideMark/>
          </w:tcPr>
          <w:p w:rsidR="00AF5787" w:rsidRPr="00F95C46" w:rsidP="00AF5787" w14:paraId="37A360CE" w14:textId="77777777">
            <w:pPr>
              <w:spacing w:before="60" w:after="60"/>
              <w:ind w:left="-120" w:right="-20"/>
              <w:jc w:val="center"/>
            </w:pPr>
            <w:r w:rsidRPr="00F95C46">
              <w:t>9</w:t>
            </w:r>
          </w:p>
        </w:tc>
        <w:tc>
          <w:tcPr>
            <w:tcW w:w="508" w:type="pct"/>
            <w:noWrap/>
            <w:tcMar>
              <w:top w:w="29" w:type="dxa"/>
              <w:left w:w="115" w:type="dxa"/>
              <w:bottom w:w="29" w:type="dxa"/>
              <w:right w:w="115" w:type="dxa"/>
            </w:tcMar>
            <w:vAlign w:val="center"/>
            <w:hideMark/>
          </w:tcPr>
          <w:p w:rsidR="00AF5787" w:rsidRPr="00F95C46" w:rsidP="00AF5787" w14:paraId="11C59755" w14:textId="77777777">
            <w:pPr>
              <w:spacing w:before="60" w:after="60"/>
              <w:jc w:val="center"/>
            </w:pPr>
            <w:r w:rsidRPr="00F95C46">
              <w:t>92.0</w:t>
            </w:r>
          </w:p>
        </w:tc>
        <w:tc>
          <w:tcPr>
            <w:tcW w:w="508" w:type="pct"/>
            <w:tcMar>
              <w:top w:w="29" w:type="dxa"/>
              <w:left w:w="115" w:type="dxa"/>
              <w:bottom w:w="29" w:type="dxa"/>
              <w:right w:w="115" w:type="dxa"/>
            </w:tcMar>
            <w:vAlign w:val="center"/>
            <w:hideMark/>
          </w:tcPr>
          <w:p w:rsidR="00AF5787" w:rsidRPr="00F95C46" w:rsidP="00AF5787" w14:paraId="644B4FD9" w14:textId="77777777">
            <w:pPr>
              <w:spacing w:before="60" w:after="60"/>
              <w:jc w:val="center"/>
            </w:pPr>
            <w:r w:rsidRPr="00F95C46">
              <w:t>89.2</w:t>
            </w:r>
          </w:p>
        </w:tc>
        <w:tc>
          <w:tcPr>
            <w:tcW w:w="508" w:type="pct"/>
            <w:tcMar>
              <w:top w:w="29" w:type="dxa"/>
              <w:left w:w="115" w:type="dxa"/>
              <w:bottom w:w="29" w:type="dxa"/>
              <w:right w:w="115" w:type="dxa"/>
            </w:tcMar>
            <w:vAlign w:val="center"/>
            <w:hideMark/>
          </w:tcPr>
          <w:p w:rsidR="00AF5787" w:rsidRPr="00F95C46" w:rsidP="00AF5787" w14:paraId="38432BF9" w14:textId="77777777">
            <w:pPr>
              <w:spacing w:before="60" w:after="60"/>
              <w:jc w:val="center"/>
            </w:pPr>
            <w:r w:rsidRPr="00F95C46">
              <w:t>92.7</w:t>
            </w:r>
          </w:p>
        </w:tc>
        <w:tc>
          <w:tcPr>
            <w:tcW w:w="508" w:type="pct"/>
            <w:vAlign w:val="center"/>
            <w:hideMark/>
          </w:tcPr>
          <w:p w:rsidR="00AF5787" w:rsidRPr="00F95C46" w:rsidP="00AF5787" w14:paraId="03FAB7C4" w14:textId="77777777">
            <w:pPr>
              <w:spacing w:before="60" w:after="60"/>
              <w:jc w:val="center"/>
            </w:pPr>
            <w:r w:rsidRPr="00F95C46">
              <w:t>92.4</w:t>
            </w:r>
          </w:p>
        </w:tc>
        <w:tc>
          <w:tcPr>
            <w:tcW w:w="508" w:type="pct"/>
            <w:vAlign w:val="center"/>
            <w:hideMark/>
          </w:tcPr>
          <w:p w:rsidR="00AF5787" w:rsidRPr="00F95C46" w:rsidP="00AF5787" w14:paraId="4468988B" w14:textId="77777777">
            <w:pPr>
              <w:spacing w:before="60" w:after="60"/>
              <w:jc w:val="center"/>
            </w:pPr>
            <w:r w:rsidRPr="00F95C46">
              <w:t>91.8</w:t>
            </w:r>
          </w:p>
        </w:tc>
        <w:tc>
          <w:tcPr>
            <w:tcW w:w="508" w:type="pct"/>
            <w:vAlign w:val="center"/>
            <w:hideMark/>
          </w:tcPr>
          <w:p w:rsidR="00AF5787" w:rsidRPr="00F95C46" w:rsidP="00AF5787" w14:paraId="7BB0EB21" w14:textId="77777777">
            <w:pPr>
              <w:spacing w:before="60" w:after="60"/>
              <w:jc w:val="center"/>
            </w:pPr>
            <w:r w:rsidRPr="00F95C46">
              <w:t>91.9</w:t>
            </w:r>
          </w:p>
        </w:tc>
        <w:tc>
          <w:tcPr>
            <w:tcW w:w="508" w:type="pct"/>
          </w:tcPr>
          <w:p w:rsidR="00AF5787" w:rsidRPr="00AD63B8" w:rsidP="00AF5787" w14:paraId="4D393AA3" w14:textId="4F1169D0">
            <w:pPr>
              <w:spacing w:before="60" w:after="60"/>
              <w:jc w:val="center"/>
              <w:rPr>
                <w:color w:val="FFFFFF" w:themeColor="background1"/>
              </w:rPr>
            </w:pPr>
            <w:r w:rsidRPr="00FE1844">
              <w:rPr>
                <w:color w:val="FFFFFF" w:themeColor="background1"/>
              </w:rPr>
              <w:t>N/A</w:t>
            </w:r>
          </w:p>
        </w:tc>
        <w:tc>
          <w:tcPr>
            <w:tcW w:w="508" w:type="pct"/>
          </w:tcPr>
          <w:p w:rsidR="00AF5787" w:rsidRPr="00AD63B8" w:rsidP="00AF5787" w14:paraId="278B5D8D" w14:textId="39AAB337">
            <w:pPr>
              <w:spacing w:before="60" w:after="60"/>
              <w:jc w:val="center"/>
              <w:rPr>
                <w:color w:val="FFFFFF" w:themeColor="background1"/>
              </w:rPr>
            </w:pPr>
            <w:r w:rsidRPr="0017024A">
              <w:rPr>
                <w:color w:val="FFFFFF" w:themeColor="background1"/>
              </w:rPr>
              <w:t>N/A</w:t>
            </w:r>
          </w:p>
        </w:tc>
        <w:tc>
          <w:tcPr>
            <w:tcW w:w="508" w:type="pct"/>
          </w:tcPr>
          <w:p w:rsidR="00AF5787" w:rsidRPr="00AD63B8" w:rsidP="00AF5787" w14:paraId="2890B800" w14:textId="56D66306">
            <w:pPr>
              <w:spacing w:before="60" w:after="60"/>
              <w:jc w:val="center"/>
              <w:rPr>
                <w:color w:val="FFFFFF" w:themeColor="background1"/>
              </w:rPr>
            </w:pPr>
            <w:r w:rsidRPr="009F0B58">
              <w:rPr>
                <w:color w:val="FFFFFF" w:themeColor="background1"/>
              </w:rPr>
              <w:t>N/A</w:t>
            </w:r>
          </w:p>
        </w:tc>
      </w:tr>
      <w:tr w14:paraId="105D2D37" w14:textId="77777777" w:rsidTr="0033795C">
        <w:tblPrEx>
          <w:tblW w:w="5000" w:type="pct"/>
          <w:jc w:val="center"/>
          <w:tblCellMar>
            <w:left w:w="0" w:type="dxa"/>
            <w:right w:w="0" w:type="dxa"/>
          </w:tblCellMar>
          <w:tblLook w:val="0700"/>
        </w:tblPrEx>
        <w:trPr>
          <w:cantSplit/>
          <w:jc w:val="center"/>
        </w:trPr>
        <w:tc>
          <w:tcPr>
            <w:tcW w:w="428" w:type="pct"/>
            <w:noWrap/>
            <w:tcMar>
              <w:top w:w="29" w:type="dxa"/>
              <w:left w:w="115" w:type="dxa"/>
              <w:bottom w:w="29" w:type="dxa"/>
              <w:right w:w="115" w:type="dxa"/>
            </w:tcMar>
            <w:vAlign w:val="center"/>
            <w:hideMark/>
          </w:tcPr>
          <w:p w:rsidR="00AF5787" w:rsidRPr="00F95C46" w:rsidP="00AF5787" w14:paraId="4DE5B50A" w14:textId="77777777">
            <w:pPr>
              <w:spacing w:before="60" w:after="60"/>
              <w:ind w:left="-120" w:right="-20"/>
              <w:jc w:val="center"/>
            </w:pPr>
            <w:r w:rsidRPr="00F95C46">
              <w:t>10</w:t>
            </w:r>
          </w:p>
        </w:tc>
        <w:tc>
          <w:tcPr>
            <w:tcW w:w="508" w:type="pct"/>
            <w:noWrap/>
            <w:tcMar>
              <w:top w:w="29" w:type="dxa"/>
              <w:left w:w="115" w:type="dxa"/>
              <w:bottom w:w="29" w:type="dxa"/>
              <w:right w:w="115" w:type="dxa"/>
            </w:tcMar>
            <w:vAlign w:val="center"/>
            <w:hideMark/>
          </w:tcPr>
          <w:p w:rsidR="00AF5787" w:rsidRPr="00F95C46" w:rsidP="00AF5787" w14:paraId="005F1F45" w14:textId="77777777">
            <w:pPr>
              <w:spacing w:before="60" w:after="60"/>
              <w:jc w:val="center"/>
            </w:pPr>
            <w:r w:rsidRPr="00F95C46">
              <w:t>91.9</w:t>
            </w:r>
          </w:p>
        </w:tc>
        <w:tc>
          <w:tcPr>
            <w:tcW w:w="508" w:type="pct"/>
            <w:tcMar>
              <w:top w:w="29" w:type="dxa"/>
              <w:left w:w="115" w:type="dxa"/>
              <w:bottom w:w="29" w:type="dxa"/>
              <w:right w:w="115" w:type="dxa"/>
            </w:tcMar>
            <w:vAlign w:val="center"/>
            <w:hideMark/>
          </w:tcPr>
          <w:p w:rsidR="00AF5787" w:rsidRPr="00F95C46" w:rsidP="00AF5787" w14:paraId="5C3F5D5A" w14:textId="77777777">
            <w:pPr>
              <w:spacing w:before="60" w:after="60"/>
              <w:jc w:val="center"/>
            </w:pPr>
            <w:r w:rsidRPr="00F95C46">
              <w:t>93.2</w:t>
            </w:r>
          </w:p>
        </w:tc>
        <w:tc>
          <w:tcPr>
            <w:tcW w:w="508" w:type="pct"/>
            <w:tcMar>
              <w:top w:w="29" w:type="dxa"/>
              <w:left w:w="115" w:type="dxa"/>
              <w:bottom w:w="29" w:type="dxa"/>
              <w:right w:w="115" w:type="dxa"/>
            </w:tcMar>
            <w:vAlign w:val="center"/>
            <w:hideMark/>
          </w:tcPr>
          <w:p w:rsidR="00AF5787" w:rsidRPr="00F95C46" w:rsidP="00AF5787" w14:paraId="05ED23E3" w14:textId="77777777">
            <w:pPr>
              <w:spacing w:before="60" w:after="60"/>
              <w:jc w:val="center"/>
            </w:pPr>
            <w:r w:rsidRPr="00F95C46">
              <w:t>91.4</w:t>
            </w:r>
          </w:p>
        </w:tc>
        <w:tc>
          <w:tcPr>
            <w:tcW w:w="508" w:type="pct"/>
            <w:vAlign w:val="center"/>
            <w:hideMark/>
          </w:tcPr>
          <w:p w:rsidR="00AF5787" w:rsidRPr="00F95C46" w:rsidP="00AF5787" w14:paraId="75866353" w14:textId="77777777">
            <w:pPr>
              <w:spacing w:before="60" w:after="60"/>
              <w:jc w:val="center"/>
            </w:pPr>
            <w:r w:rsidRPr="00F95C46">
              <w:t>89.7</w:t>
            </w:r>
          </w:p>
        </w:tc>
        <w:tc>
          <w:tcPr>
            <w:tcW w:w="508" w:type="pct"/>
            <w:vAlign w:val="center"/>
            <w:hideMark/>
          </w:tcPr>
          <w:p w:rsidR="00AF5787" w:rsidRPr="00F95C46" w:rsidP="00AF5787" w14:paraId="3F9D5945" w14:textId="77777777">
            <w:pPr>
              <w:spacing w:before="60" w:after="60"/>
              <w:jc w:val="center"/>
            </w:pPr>
            <w:r w:rsidRPr="00F95C46">
              <w:t>90.9</w:t>
            </w:r>
          </w:p>
        </w:tc>
        <w:tc>
          <w:tcPr>
            <w:tcW w:w="508" w:type="pct"/>
            <w:vAlign w:val="center"/>
            <w:hideMark/>
          </w:tcPr>
          <w:p w:rsidR="00AF5787" w:rsidRPr="00F95C46" w:rsidP="00AF5787" w14:paraId="1276781F" w14:textId="77777777">
            <w:pPr>
              <w:spacing w:before="60" w:after="60"/>
              <w:jc w:val="center"/>
            </w:pPr>
            <w:r w:rsidRPr="00F95C46">
              <w:t>92.4</w:t>
            </w:r>
          </w:p>
        </w:tc>
        <w:tc>
          <w:tcPr>
            <w:tcW w:w="508" w:type="pct"/>
          </w:tcPr>
          <w:p w:rsidR="00AF5787" w:rsidRPr="00AD63B8" w:rsidP="00AF5787" w14:paraId="65EAFEBF" w14:textId="4BAC04B3">
            <w:pPr>
              <w:spacing w:before="60" w:after="60"/>
              <w:jc w:val="center"/>
              <w:rPr>
                <w:color w:val="FFFFFF" w:themeColor="background1"/>
              </w:rPr>
            </w:pPr>
            <w:r w:rsidRPr="00FE1844">
              <w:rPr>
                <w:color w:val="FFFFFF" w:themeColor="background1"/>
              </w:rPr>
              <w:t>N/A</w:t>
            </w:r>
          </w:p>
        </w:tc>
        <w:tc>
          <w:tcPr>
            <w:tcW w:w="508" w:type="pct"/>
          </w:tcPr>
          <w:p w:rsidR="00AF5787" w:rsidRPr="00AD63B8" w:rsidP="00AF5787" w14:paraId="033BDC27" w14:textId="6C679BBA">
            <w:pPr>
              <w:spacing w:before="60" w:after="60"/>
              <w:jc w:val="center"/>
              <w:rPr>
                <w:color w:val="FFFFFF" w:themeColor="background1"/>
              </w:rPr>
            </w:pPr>
            <w:r w:rsidRPr="0017024A">
              <w:rPr>
                <w:color w:val="FFFFFF" w:themeColor="background1"/>
              </w:rPr>
              <w:t>N/A</w:t>
            </w:r>
          </w:p>
        </w:tc>
        <w:tc>
          <w:tcPr>
            <w:tcW w:w="508" w:type="pct"/>
          </w:tcPr>
          <w:p w:rsidR="00AF5787" w:rsidRPr="00AD63B8" w:rsidP="00AF5787" w14:paraId="2A7973D3" w14:textId="79A1B96A">
            <w:pPr>
              <w:spacing w:before="60" w:after="60"/>
              <w:jc w:val="center"/>
              <w:rPr>
                <w:color w:val="FFFFFF" w:themeColor="background1"/>
              </w:rPr>
            </w:pPr>
            <w:r w:rsidRPr="009F0B58">
              <w:rPr>
                <w:color w:val="FFFFFF" w:themeColor="background1"/>
              </w:rPr>
              <w:t>N/A</w:t>
            </w:r>
          </w:p>
        </w:tc>
      </w:tr>
      <w:tr w14:paraId="3F477047" w14:textId="77777777" w:rsidTr="0033795C">
        <w:tblPrEx>
          <w:tblW w:w="5000" w:type="pct"/>
          <w:jc w:val="center"/>
          <w:tblCellMar>
            <w:left w:w="0" w:type="dxa"/>
            <w:right w:w="0" w:type="dxa"/>
          </w:tblCellMar>
          <w:tblLook w:val="0700"/>
        </w:tblPrEx>
        <w:trPr>
          <w:cantSplit/>
          <w:jc w:val="center"/>
        </w:trPr>
        <w:tc>
          <w:tcPr>
            <w:tcW w:w="428" w:type="pct"/>
            <w:noWrap/>
            <w:tcMar>
              <w:top w:w="29" w:type="dxa"/>
              <w:left w:w="115" w:type="dxa"/>
              <w:bottom w:w="29" w:type="dxa"/>
              <w:right w:w="115" w:type="dxa"/>
            </w:tcMar>
            <w:vAlign w:val="center"/>
            <w:hideMark/>
          </w:tcPr>
          <w:p w:rsidR="00AF5787" w:rsidRPr="00F95C46" w:rsidP="00AF5787" w14:paraId="619C4D01" w14:textId="77777777">
            <w:pPr>
              <w:spacing w:before="60" w:after="60"/>
              <w:ind w:left="-120" w:right="-20"/>
              <w:jc w:val="center"/>
            </w:pPr>
            <w:r w:rsidRPr="00F95C46">
              <w:t>11</w:t>
            </w:r>
          </w:p>
        </w:tc>
        <w:tc>
          <w:tcPr>
            <w:tcW w:w="508" w:type="pct"/>
            <w:noWrap/>
            <w:tcMar>
              <w:top w:w="29" w:type="dxa"/>
              <w:left w:w="115" w:type="dxa"/>
              <w:bottom w:w="29" w:type="dxa"/>
              <w:right w:w="115" w:type="dxa"/>
            </w:tcMar>
            <w:vAlign w:val="center"/>
            <w:hideMark/>
          </w:tcPr>
          <w:p w:rsidR="00AF5787" w:rsidRPr="00F95C46" w:rsidP="00AF5787" w14:paraId="4442F7C7" w14:textId="77777777">
            <w:pPr>
              <w:spacing w:before="60" w:after="60"/>
              <w:jc w:val="center"/>
            </w:pPr>
            <w:r w:rsidRPr="00F95C46">
              <w:t>96.8</w:t>
            </w:r>
          </w:p>
        </w:tc>
        <w:tc>
          <w:tcPr>
            <w:tcW w:w="508" w:type="pct"/>
            <w:tcMar>
              <w:top w:w="29" w:type="dxa"/>
              <w:left w:w="115" w:type="dxa"/>
              <w:bottom w:w="29" w:type="dxa"/>
              <w:right w:w="115" w:type="dxa"/>
            </w:tcMar>
            <w:vAlign w:val="center"/>
            <w:hideMark/>
          </w:tcPr>
          <w:p w:rsidR="00AF5787" w:rsidRPr="00F95C46" w:rsidP="00AF5787" w14:paraId="58287405" w14:textId="77777777">
            <w:pPr>
              <w:spacing w:before="60" w:after="60"/>
              <w:jc w:val="center"/>
            </w:pPr>
            <w:r w:rsidRPr="00F95C46">
              <w:t>91.4</w:t>
            </w:r>
          </w:p>
        </w:tc>
        <w:tc>
          <w:tcPr>
            <w:tcW w:w="508" w:type="pct"/>
            <w:tcMar>
              <w:top w:w="29" w:type="dxa"/>
              <w:left w:w="115" w:type="dxa"/>
              <w:bottom w:w="29" w:type="dxa"/>
              <w:right w:w="115" w:type="dxa"/>
            </w:tcMar>
            <w:vAlign w:val="center"/>
            <w:hideMark/>
          </w:tcPr>
          <w:p w:rsidR="00AF5787" w:rsidRPr="00F95C46" w:rsidP="00AF5787" w14:paraId="22F7BEC8" w14:textId="77777777">
            <w:pPr>
              <w:spacing w:before="60" w:after="60"/>
              <w:jc w:val="center"/>
            </w:pPr>
            <w:r w:rsidRPr="00F95C46">
              <w:t>95.7</w:t>
            </w:r>
          </w:p>
        </w:tc>
        <w:tc>
          <w:tcPr>
            <w:tcW w:w="508" w:type="pct"/>
            <w:vAlign w:val="center"/>
            <w:hideMark/>
          </w:tcPr>
          <w:p w:rsidR="00AF5787" w:rsidRPr="00F95C46" w:rsidP="00AF5787" w14:paraId="155EC5C4" w14:textId="77777777">
            <w:pPr>
              <w:spacing w:before="60" w:after="60"/>
              <w:jc w:val="center"/>
            </w:pPr>
            <w:r w:rsidRPr="00F95C46">
              <w:t>96.5</w:t>
            </w:r>
          </w:p>
        </w:tc>
        <w:tc>
          <w:tcPr>
            <w:tcW w:w="508" w:type="pct"/>
            <w:vAlign w:val="center"/>
            <w:hideMark/>
          </w:tcPr>
          <w:p w:rsidR="00AF5787" w:rsidRPr="00F95C46" w:rsidP="00AF5787" w14:paraId="6FD5B223" w14:textId="77777777">
            <w:pPr>
              <w:spacing w:before="60" w:after="60"/>
              <w:jc w:val="center"/>
            </w:pPr>
            <w:r w:rsidRPr="00F95C46">
              <w:t>96.9</w:t>
            </w:r>
          </w:p>
        </w:tc>
        <w:tc>
          <w:tcPr>
            <w:tcW w:w="508" w:type="pct"/>
            <w:vAlign w:val="center"/>
          </w:tcPr>
          <w:p w:rsidR="00AF5787" w:rsidRPr="00F95C46" w:rsidP="00AF5787" w14:paraId="741FE2EC" w14:textId="688BDAD3">
            <w:pPr>
              <w:spacing w:before="60" w:after="60"/>
              <w:jc w:val="center"/>
            </w:pPr>
            <w:r w:rsidRPr="00AF5787">
              <w:rPr>
                <w:color w:val="FFFFFF" w:themeColor="background1"/>
              </w:rPr>
              <w:t>N/A</w:t>
            </w:r>
          </w:p>
        </w:tc>
        <w:tc>
          <w:tcPr>
            <w:tcW w:w="508" w:type="pct"/>
          </w:tcPr>
          <w:p w:rsidR="00AF5787" w:rsidRPr="00AD63B8" w:rsidP="00AF5787" w14:paraId="06515B78" w14:textId="3FAA2743">
            <w:pPr>
              <w:spacing w:before="60" w:after="60"/>
              <w:jc w:val="center"/>
              <w:rPr>
                <w:color w:val="FFFFFF" w:themeColor="background1"/>
              </w:rPr>
            </w:pPr>
            <w:r w:rsidRPr="00FE1844">
              <w:rPr>
                <w:color w:val="FFFFFF" w:themeColor="background1"/>
              </w:rPr>
              <w:t>N/A</w:t>
            </w:r>
          </w:p>
        </w:tc>
        <w:tc>
          <w:tcPr>
            <w:tcW w:w="508" w:type="pct"/>
          </w:tcPr>
          <w:p w:rsidR="00AF5787" w:rsidRPr="00AD63B8" w:rsidP="00AF5787" w14:paraId="7A2EB513" w14:textId="48896366">
            <w:pPr>
              <w:spacing w:before="60" w:after="60"/>
              <w:jc w:val="center"/>
              <w:rPr>
                <w:color w:val="FFFFFF" w:themeColor="background1"/>
              </w:rPr>
            </w:pPr>
            <w:r w:rsidRPr="0017024A">
              <w:rPr>
                <w:color w:val="FFFFFF" w:themeColor="background1"/>
              </w:rPr>
              <w:t>N/A</w:t>
            </w:r>
          </w:p>
        </w:tc>
        <w:tc>
          <w:tcPr>
            <w:tcW w:w="508" w:type="pct"/>
          </w:tcPr>
          <w:p w:rsidR="00AF5787" w:rsidRPr="00AD63B8" w:rsidP="00AF5787" w14:paraId="6CE599BA" w14:textId="4C530859">
            <w:pPr>
              <w:spacing w:before="60" w:after="60"/>
              <w:jc w:val="center"/>
              <w:rPr>
                <w:color w:val="FFFFFF" w:themeColor="background1"/>
              </w:rPr>
            </w:pPr>
            <w:r w:rsidRPr="009F0B58">
              <w:rPr>
                <w:color w:val="FFFFFF" w:themeColor="background1"/>
              </w:rPr>
              <w:t>N/A</w:t>
            </w:r>
          </w:p>
        </w:tc>
      </w:tr>
    </w:tbl>
    <w:p w:rsidR="00D8684D" w14:paraId="41AC06D0" w14:textId="77777777">
      <w:pPr>
        <w:rPr>
          <w:b/>
          <w:bCs/>
        </w:rPr>
      </w:pPr>
      <w:bookmarkStart w:id="15" w:name="_Hlk87358300"/>
      <w:r>
        <w:rPr>
          <w:b/>
          <w:bCs/>
        </w:rPr>
        <w:br w:type="page"/>
      </w:r>
    </w:p>
    <w:p w:rsidR="00B3066E" w:rsidRPr="00D94F41" w:rsidP="00EA74DE" w14:paraId="3A9BE935" w14:textId="3836E24B">
      <w:pPr>
        <w:pStyle w:val="TableParagraph"/>
        <w:spacing w:before="240" w:after="120"/>
        <w:rPr>
          <w:b/>
          <w:bCs/>
        </w:rPr>
      </w:pPr>
      <w:r w:rsidRPr="00D94F41">
        <w:rPr>
          <w:b/>
          <w:bCs/>
        </w:rPr>
        <w:t>Unconditional Response Rates (%) for Medicare Current Beneficiary Survey by Interview Round</w:t>
      </w:r>
    </w:p>
    <w:tbl>
      <w:tblPr>
        <w:tblDescription w:val="Conditional and Unconditional Response Rates as of the 2023 Panel for Medicare Current Beneficiary Survey by Interview Round, table 2 of 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700"/>
      </w:tblPr>
      <w:tblGrid>
        <w:gridCol w:w="1169"/>
        <w:gridCol w:w="1389"/>
        <w:gridCol w:w="1389"/>
        <w:gridCol w:w="1389"/>
        <w:gridCol w:w="1389"/>
        <w:gridCol w:w="1389"/>
        <w:gridCol w:w="1389"/>
        <w:gridCol w:w="1389"/>
        <w:gridCol w:w="1389"/>
        <w:gridCol w:w="1389"/>
      </w:tblGrid>
      <w:tr w14:paraId="4BDBBF87" w14:textId="77777777" w:rsidTr="005D639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700"/>
        </w:tblPrEx>
        <w:trPr>
          <w:cantSplit/>
          <w:tblHeader/>
        </w:trPr>
        <w:tc>
          <w:tcPr>
            <w:tcW w:w="428" w:type="pct"/>
            <w:shd w:val="clear" w:color="auto" w:fill="DBDBDB"/>
            <w:noWrap/>
            <w:tcMar>
              <w:top w:w="29" w:type="dxa"/>
              <w:left w:w="115" w:type="dxa"/>
              <w:bottom w:w="29" w:type="dxa"/>
              <w:right w:w="115" w:type="dxa"/>
            </w:tcMar>
            <w:vAlign w:val="bottom"/>
            <w:hideMark/>
          </w:tcPr>
          <w:p w:rsidR="00FA7D55" w:rsidRPr="00EA74DE" w:rsidP="004024CD" w14:paraId="6C22C91B" w14:textId="6D965474">
            <w:pPr>
              <w:spacing w:before="60" w:after="60" w:line="254" w:lineRule="auto"/>
              <w:ind w:left="-210" w:right="-110"/>
              <w:jc w:val="center"/>
              <w:rPr>
                <w:rFonts w:eastAsia="Calibri"/>
                <w:b/>
                <w:bCs/>
                <w:color w:val="000000"/>
              </w:rPr>
            </w:pPr>
            <w:bookmarkStart w:id="16" w:name="_Hlk87531193"/>
            <w:bookmarkEnd w:id="15"/>
            <w:r w:rsidRPr="00EA74DE">
              <w:rPr>
                <w:rFonts w:eastAsia="Calibri"/>
                <w:b/>
                <w:bCs/>
                <w:color w:val="000000"/>
              </w:rPr>
              <w:t xml:space="preserve">Time in </w:t>
            </w:r>
            <w:r w:rsidRPr="00EA74DE" w:rsidR="00AD0D2A">
              <w:rPr>
                <w:rFonts w:eastAsia="Calibri"/>
                <w:b/>
                <w:bCs/>
                <w:color w:val="000000"/>
              </w:rPr>
              <w:br/>
              <w:t>S</w:t>
            </w:r>
            <w:r w:rsidRPr="00EA74DE">
              <w:rPr>
                <w:rFonts w:eastAsia="Calibri"/>
                <w:b/>
                <w:bCs/>
                <w:color w:val="000000"/>
              </w:rPr>
              <w:t>ample</w:t>
            </w:r>
          </w:p>
        </w:tc>
        <w:tc>
          <w:tcPr>
            <w:tcW w:w="508" w:type="pct"/>
            <w:shd w:val="clear" w:color="auto" w:fill="DBDBDB"/>
            <w:tcMar>
              <w:top w:w="29" w:type="dxa"/>
              <w:left w:w="115" w:type="dxa"/>
              <w:bottom w:w="29" w:type="dxa"/>
              <w:right w:w="115" w:type="dxa"/>
            </w:tcMar>
            <w:vAlign w:val="center"/>
            <w:hideMark/>
          </w:tcPr>
          <w:p w:rsidR="00FA7D55" w:rsidRPr="00EA74DE" w:rsidP="00EA74DE" w14:paraId="6AE8767E" w14:textId="00731DAF">
            <w:pPr>
              <w:spacing w:before="60" w:after="60" w:line="252" w:lineRule="auto"/>
              <w:jc w:val="center"/>
              <w:rPr>
                <w:rFonts w:eastAsia="Calibri"/>
                <w:b/>
                <w:bCs/>
                <w:color w:val="000000"/>
              </w:rPr>
            </w:pPr>
            <w:r w:rsidRPr="00EA74DE">
              <w:rPr>
                <w:rFonts w:eastAsia="Calibri"/>
                <w:b/>
                <w:bCs/>
                <w:color w:val="000000"/>
              </w:rPr>
              <w:t>2015 Panel</w:t>
            </w:r>
            <w:r w:rsidRPr="00EA74DE" w:rsidR="00AD0D2A">
              <w:rPr>
                <w:rFonts w:eastAsia="Calibri"/>
                <w:b/>
                <w:bCs/>
                <w:color w:val="000000"/>
              </w:rPr>
              <w:t xml:space="preserve"> </w:t>
            </w:r>
            <w:r w:rsidRPr="00EA74DE" w:rsidR="00AD0D2A">
              <w:rPr>
                <w:rFonts w:eastAsia="Calibri"/>
                <w:b/>
                <w:bCs/>
                <w:color w:val="000000"/>
              </w:rPr>
              <w:br/>
            </w:r>
            <w:r w:rsidRPr="00EA74DE">
              <w:rPr>
                <w:rFonts w:eastAsia="Calibri"/>
                <w:b/>
                <w:bCs/>
                <w:color w:val="000000"/>
              </w:rPr>
              <w:t>(n at R73=</w:t>
            </w:r>
            <w:r w:rsidRPr="00EA74DE" w:rsidR="00AD0D2A">
              <w:rPr>
                <w:rFonts w:eastAsia="Calibri"/>
                <w:b/>
                <w:bCs/>
                <w:color w:val="000000"/>
              </w:rPr>
              <w:t xml:space="preserve"> </w:t>
            </w:r>
            <w:r w:rsidRPr="00EA74DE" w:rsidR="00AD0D2A">
              <w:rPr>
                <w:rFonts w:eastAsia="Calibri"/>
                <w:b/>
                <w:bCs/>
                <w:color w:val="000000"/>
              </w:rPr>
              <w:br/>
            </w:r>
            <w:r w:rsidRPr="00EA74DE">
              <w:rPr>
                <w:rFonts w:eastAsia="Calibri"/>
                <w:b/>
                <w:bCs/>
                <w:color w:val="000000"/>
              </w:rPr>
              <w:t>8621)</w:t>
            </w:r>
          </w:p>
        </w:tc>
        <w:tc>
          <w:tcPr>
            <w:tcW w:w="508" w:type="pct"/>
            <w:shd w:val="clear" w:color="auto" w:fill="DBDBDB"/>
            <w:tcMar>
              <w:top w:w="29" w:type="dxa"/>
              <w:left w:w="115" w:type="dxa"/>
              <w:bottom w:w="29" w:type="dxa"/>
              <w:right w:w="115" w:type="dxa"/>
            </w:tcMar>
            <w:vAlign w:val="center"/>
            <w:hideMark/>
          </w:tcPr>
          <w:p w:rsidR="00FA7D55" w:rsidRPr="00EA74DE" w:rsidP="00EA74DE" w14:paraId="2FB55164" w14:textId="1AB7195E">
            <w:pPr>
              <w:spacing w:before="60" w:after="60" w:line="252" w:lineRule="auto"/>
              <w:jc w:val="center"/>
              <w:rPr>
                <w:rFonts w:eastAsia="Calibri"/>
                <w:b/>
                <w:bCs/>
                <w:color w:val="000000"/>
              </w:rPr>
            </w:pPr>
            <w:r w:rsidRPr="00EA74DE">
              <w:rPr>
                <w:rFonts w:eastAsia="Calibri"/>
                <w:b/>
                <w:bCs/>
                <w:color w:val="000000"/>
              </w:rPr>
              <w:t>2016 Panel</w:t>
            </w:r>
            <w:r w:rsidRPr="00EA74DE" w:rsidR="00AD0D2A">
              <w:rPr>
                <w:rFonts w:eastAsia="Calibri"/>
                <w:b/>
                <w:bCs/>
                <w:color w:val="000000"/>
              </w:rPr>
              <w:t xml:space="preserve"> </w:t>
            </w:r>
            <w:r w:rsidRPr="00EA74DE" w:rsidR="00AD0D2A">
              <w:rPr>
                <w:rFonts w:eastAsia="Calibri"/>
                <w:b/>
                <w:bCs/>
                <w:color w:val="000000"/>
              </w:rPr>
              <w:br/>
            </w:r>
            <w:r w:rsidRPr="00EA74DE">
              <w:rPr>
                <w:rFonts w:eastAsia="Calibri"/>
                <w:b/>
                <w:bCs/>
                <w:color w:val="000000"/>
              </w:rPr>
              <w:t>(n at R76=</w:t>
            </w:r>
            <w:r w:rsidRPr="00EA74DE" w:rsidR="00AD0D2A">
              <w:rPr>
                <w:rFonts w:eastAsia="Calibri"/>
                <w:b/>
                <w:bCs/>
                <w:color w:val="000000"/>
              </w:rPr>
              <w:t xml:space="preserve"> </w:t>
            </w:r>
            <w:r w:rsidRPr="00EA74DE" w:rsidR="00AD0D2A">
              <w:rPr>
                <w:rFonts w:eastAsia="Calibri"/>
                <w:b/>
                <w:bCs/>
                <w:color w:val="000000"/>
              </w:rPr>
              <w:br/>
            </w:r>
            <w:r w:rsidRPr="00EA74DE">
              <w:rPr>
                <w:rFonts w:eastAsia="Calibri"/>
                <w:b/>
                <w:bCs/>
                <w:color w:val="000000"/>
              </w:rPr>
              <w:t>12145)</w:t>
            </w:r>
          </w:p>
        </w:tc>
        <w:tc>
          <w:tcPr>
            <w:tcW w:w="508" w:type="pct"/>
            <w:shd w:val="clear" w:color="auto" w:fill="DBDBDB"/>
            <w:tcMar>
              <w:top w:w="29" w:type="dxa"/>
              <w:left w:w="115" w:type="dxa"/>
              <w:bottom w:w="29" w:type="dxa"/>
              <w:right w:w="115" w:type="dxa"/>
            </w:tcMar>
            <w:vAlign w:val="center"/>
            <w:hideMark/>
          </w:tcPr>
          <w:p w:rsidR="00FA7D55" w:rsidRPr="00EA74DE" w:rsidP="00EA74DE" w14:paraId="224497D5" w14:textId="79D96837">
            <w:pPr>
              <w:spacing w:before="60" w:after="60" w:line="252" w:lineRule="auto"/>
              <w:jc w:val="center"/>
              <w:rPr>
                <w:rFonts w:eastAsia="Calibri"/>
                <w:b/>
                <w:bCs/>
                <w:color w:val="000000"/>
              </w:rPr>
            </w:pPr>
            <w:r w:rsidRPr="00EA74DE">
              <w:rPr>
                <w:rFonts w:eastAsia="Calibri"/>
                <w:b/>
                <w:bCs/>
                <w:color w:val="000000"/>
              </w:rPr>
              <w:t>2017 Panel</w:t>
            </w:r>
            <w:r w:rsidRPr="00EA74DE" w:rsidR="00AD0D2A">
              <w:rPr>
                <w:rFonts w:eastAsia="Calibri"/>
                <w:b/>
                <w:bCs/>
                <w:color w:val="000000"/>
              </w:rPr>
              <w:t xml:space="preserve"> </w:t>
            </w:r>
            <w:r w:rsidRPr="00EA74DE" w:rsidR="00AD0D2A">
              <w:rPr>
                <w:rFonts w:eastAsia="Calibri"/>
                <w:b/>
                <w:bCs/>
                <w:color w:val="000000"/>
              </w:rPr>
              <w:br/>
            </w:r>
            <w:r w:rsidRPr="00EA74DE">
              <w:rPr>
                <w:rFonts w:eastAsia="Calibri"/>
                <w:b/>
                <w:bCs/>
                <w:color w:val="000000"/>
              </w:rPr>
              <w:t>(n at R79=</w:t>
            </w:r>
            <w:r w:rsidRPr="00EA74DE" w:rsidR="00AD0D2A">
              <w:rPr>
                <w:rFonts w:eastAsia="Calibri"/>
                <w:b/>
                <w:bCs/>
                <w:color w:val="000000"/>
              </w:rPr>
              <w:t xml:space="preserve"> </w:t>
            </w:r>
            <w:r w:rsidRPr="00EA74DE" w:rsidR="00AD0D2A">
              <w:rPr>
                <w:rFonts w:eastAsia="Calibri"/>
                <w:b/>
                <w:bCs/>
                <w:color w:val="000000"/>
              </w:rPr>
              <w:br/>
            </w:r>
            <w:r w:rsidRPr="00EA74DE">
              <w:rPr>
                <w:rFonts w:eastAsia="Calibri"/>
                <w:b/>
                <w:bCs/>
                <w:color w:val="000000"/>
              </w:rPr>
              <w:t>11623)</w:t>
            </w:r>
          </w:p>
        </w:tc>
        <w:tc>
          <w:tcPr>
            <w:tcW w:w="508" w:type="pct"/>
            <w:shd w:val="clear" w:color="auto" w:fill="DBDBDB"/>
            <w:vAlign w:val="center"/>
            <w:hideMark/>
          </w:tcPr>
          <w:p w:rsidR="00FA7D55" w:rsidRPr="00EA74DE" w:rsidP="00EA74DE" w14:paraId="707FEFCA" w14:textId="0B9C6C0E">
            <w:pPr>
              <w:spacing w:before="60" w:after="60" w:line="252" w:lineRule="auto"/>
              <w:jc w:val="center"/>
              <w:rPr>
                <w:rFonts w:eastAsia="Calibri"/>
                <w:b/>
                <w:bCs/>
                <w:color w:val="000000"/>
              </w:rPr>
            </w:pPr>
            <w:r w:rsidRPr="00EA74DE">
              <w:rPr>
                <w:rFonts w:eastAsia="Calibri"/>
                <w:b/>
                <w:bCs/>
                <w:color w:val="000000"/>
              </w:rPr>
              <w:t>2018 Panel</w:t>
            </w:r>
            <w:r w:rsidRPr="00EA74DE" w:rsidR="00AD0D2A">
              <w:rPr>
                <w:rFonts w:eastAsia="Calibri"/>
                <w:b/>
                <w:bCs/>
                <w:color w:val="000000"/>
              </w:rPr>
              <w:t xml:space="preserve"> </w:t>
            </w:r>
            <w:r w:rsidRPr="00EA74DE" w:rsidR="00AD0D2A">
              <w:rPr>
                <w:rFonts w:eastAsia="Calibri"/>
                <w:b/>
                <w:bCs/>
                <w:color w:val="000000"/>
              </w:rPr>
              <w:br/>
            </w:r>
            <w:r w:rsidRPr="00EA74DE">
              <w:rPr>
                <w:rFonts w:eastAsia="Calibri"/>
                <w:b/>
                <w:bCs/>
                <w:color w:val="000000"/>
              </w:rPr>
              <w:t>(n at R82=</w:t>
            </w:r>
            <w:r w:rsidRPr="00EA74DE" w:rsidR="00AD0D2A">
              <w:rPr>
                <w:rFonts w:eastAsia="Calibri"/>
                <w:b/>
                <w:bCs/>
                <w:color w:val="000000"/>
              </w:rPr>
              <w:t xml:space="preserve"> </w:t>
            </w:r>
            <w:r w:rsidRPr="00EA74DE" w:rsidR="00AD0D2A">
              <w:rPr>
                <w:rFonts w:eastAsia="Calibri"/>
                <w:b/>
                <w:bCs/>
                <w:color w:val="000000"/>
              </w:rPr>
              <w:br/>
            </w:r>
            <w:r w:rsidRPr="00EA74DE">
              <w:rPr>
                <w:rFonts w:eastAsia="Calibri"/>
                <w:b/>
                <w:bCs/>
                <w:color w:val="000000"/>
              </w:rPr>
              <w:t>11523)</w:t>
            </w:r>
          </w:p>
        </w:tc>
        <w:tc>
          <w:tcPr>
            <w:tcW w:w="508" w:type="pct"/>
            <w:shd w:val="clear" w:color="auto" w:fill="DBDBDB"/>
            <w:vAlign w:val="center"/>
            <w:hideMark/>
          </w:tcPr>
          <w:p w:rsidR="00FA7D55" w:rsidRPr="00EA74DE" w:rsidP="00EA74DE" w14:paraId="66F65E43" w14:textId="72CCF0A9">
            <w:pPr>
              <w:spacing w:before="60" w:after="60" w:line="252" w:lineRule="auto"/>
              <w:jc w:val="center"/>
              <w:rPr>
                <w:rFonts w:eastAsia="Calibri"/>
                <w:b/>
                <w:bCs/>
                <w:color w:val="000000"/>
              </w:rPr>
            </w:pPr>
            <w:r w:rsidRPr="00EA74DE">
              <w:rPr>
                <w:rFonts w:eastAsia="Calibri"/>
                <w:b/>
                <w:bCs/>
                <w:color w:val="000000"/>
              </w:rPr>
              <w:t>2019 Panel</w:t>
            </w:r>
            <w:r w:rsidRPr="00EA74DE" w:rsidR="00AD0D2A">
              <w:rPr>
                <w:rFonts w:eastAsia="Calibri"/>
                <w:b/>
                <w:bCs/>
                <w:color w:val="000000"/>
              </w:rPr>
              <w:t xml:space="preserve"> </w:t>
            </w:r>
            <w:r w:rsidRPr="00EA74DE" w:rsidR="00AD0D2A">
              <w:rPr>
                <w:rFonts w:eastAsia="Calibri"/>
                <w:b/>
                <w:bCs/>
                <w:color w:val="000000"/>
              </w:rPr>
              <w:br/>
            </w:r>
            <w:r w:rsidRPr="00EA74DE">
              <w:rPr>
                <w:rFonts w:eastAsia="Calibri"/>
                <w:b/>
                <w:bCs/>
                <w:color w:val="000000"/>
              </w:rPr>
              <w:t>(n at R85=</w:t>
            </w:r>
            <w:r w:rsidRPr="00EA74DE" w:rsidR="00AD0D2A">
              <w:rPr>
                <w:rFonts w:eastAsia="Calibri"/>
                <w:b/>
                <w:bCs/>
                <w:color w:val="000000"/>
              </w:rPr>
              <w:t xml:space="preserve"> </w:t>
            </w:r>
            <w:r w:rsidRPr="00EA74DE" w:rsidR="00AD0D2A">
              <w:rPr>
                <w:rFonts w:eastAsia="Calibri"/>
                <w:b/>
                <w:bCs/>
                <w:color w:val="000000"/>
              </w:rPr>
              <w:br/>
            </w:r>
            <w:r w:rsidRPr="00EA74DE">
              <w:rPr>
                <w:rFonts w:eastAsia="Calibri"/>
                <w:b/>
                <w:bCs/>
                <w:color w:val="000000"/>
              </w:rPr>
              <w:t>11615)</w:t>
            </w:r>
          </w:p>
        </w:tc>
        <w:tc>
          <w:tcPr>
            <w:tcW w:w="508" w:type="pct"/>
            <w:shd w:val="clear" w:color="auto" w:fill="DBDBDB"/>
            <w:vAlign w:val="center"/>
            <w:hideMark/>
          </w:tcPr>
          <w:p w:rsidR="00FA7D55" w:rsidRPr="00EA74DE" w:rsidP="00EA74DE" w14:paraId="148B1978" w14:textId="6CD8732B">
            <w:pPr>
              <w:spacing w:before="60" w:after="60" w:line="254" w:lineRule="auto"/>
              <w:jc w:val="center"/>
              <w:rPr>
                <w:rFonts w:eastAsia="Calibri"/>
                <w:b/>
                <w:bCs/>
                <w:color w:val="000000"/>
              </w:rPr>
            </w:pPr>
            <w:r w:rsidRPr="00EA74DE">
              <w:rPr>
                <w:rFonts w:eastAsia="Calibri"/>
                <w:b/>
                <w:bCs/>
                <w:color w:val="000000"/>
              </w:rPr>
              <w:t xml:space="preserve">2020 Panel </w:t>
            </w:r>
            <w:r w:rsidRPr="00EA74DE" w:rsidR="00EA74DE">
              <w:rPr>
                <w:rFonts w:eastAsia="Calibri"/>
                <w:b/>
                <w:bCs/>
                <w:color w:val="000000"/>
              </w:rPr>
              <w:br/>
            </w:r>
            <w:r w:rsidRPr="00EA74DE">
              <w:rPr>
                <w:rFonts w:eastAsia="Calibri"/>
                <w:b/>
                <w:bCs/>
                <w:color w:val="000000"/>
              </w:rPr>
              <w:t>(n at R88= 15952)</w:t>
            </w:r>
          </w:p>
        </w:tc>
        <w:tc>
          <w:tcPr>
            <w:tcW w:w="508" w:type="pct"/>
            <w:shd w:val="clear" w:color="auto" w:fill="DBDBDB"/>
            <w:vAlign w:val="center"/>
            <w:hideMark/>
          </w:tcPr>
          <w:p w:rsidR="00FA7D55" w:rsidRPr="00EA74DE" w:rsidP="00EA74DE" w14:paraId="375CBE00" w14:textId="46C71C0D">
            <w:pPr>
              <w:spacing w:before="60" w:after="60" w:line="254" w:lineRule="auto"/>
              <w:jc w:val="center"/>
              <w:rPr>
                <w:rFonts w:eastAsia="Calibri"/>
                <w:b/>
                <w:bCs/>
                <w:color w:val="000000"/>
              </w:rPr>
            </w:pPr>
            <w:r w:rsidRPr="00EA74DE">
              <w:rPr>
                <w:rFonts w:eastAsia="Calibri"/>
                <w:b/>
                <w:bCs/>
                <w:color w:val="000000"/>
              </w:rPr>
              <w:t xml:space="preserve">2021 Panel </w:t>
            </w:r>
            <w:r w:rsidRPr="00EA74DE" w:rsidR="00EA74DE">
              <w:rPr>
                <w:rFonts w:eastAsia="Calibri"/>
                <w:b/>
                <w:bCs/>
                <w:color w:val="000000"/>
              </w:rPr>
              <w:br/>
            </w:r>
            <w:r w:rsidRPr="00EA74DE">
              <w:rPr>
                <w:rFonts w:eastAsia="Calibri"/>
                <w:b/>
                <w:bCs/>
                <w:color w:val="000000"/>
              </w:rPr>
              <w:t>(n at R91=</w:t>
            </w:r>
            <w:r w:rsidRPr="00EA74DE" w:rsidR="00AD0D2A">
              <w:rPr>
                <w:rFonts w:eastAsia="Calibri"/>
                <w:b/>
                <w:bCs/>
                <w:color w:val="000000"/>
              </w:rPr>
              <w:t xml:space="preserve"> </w:t>
            </w:r>
            <w:r w:rsidRPr="00EA74DE">
              <w:rPr>
                <w:rFonts w:eastAsia="Calibri"/>
                <w:b/>
                <w:bCs/>
                <w:color w:val="000000"/>
              </w:rPr>
              <w:br/>
              <w:t>15950)</w:t>
            </w:r>
          </w:p>
        </w:tc>
        <w:tc>
          <w:tcPr>
            <w:tcW w:w="508" w:type="pct"/>
            <w:shd w:val="clear" w:color="auto" w:fill="DBDBDB"/>
            <w:vAlign w:val="center"/>
            <w:hideMark/>
          </w:tcPr>
          <w:p w:rsidR="00FA7D55" w:rsidRPr="00EA74DE" w:rsidP="00EA74DE" w14:paraId="7BF1E2AF" w14:textId="5F8BFA0F">
            <w:pPr>
              <w:spacing w:before="60" w:after="60" w:line="254" w:lineRule="auto"/>
              <w:jc w:val="center"/>
              <w:rPr>
                <w:rFonts w:eastAsia="Calibri"/>
                <w:b/>
                <w:bCs/>
                <w:color w:val="000000"/>
              </w:rPr>
            </w:pPr>
            <w:r w:rsidRPr="00EA74DE">
              <w:rPr>
                <w:rFonts w:eastAsia="Calibri"/>
                <w:b/>
                <w:bCs/>
                <w:color w:val="000000"/>
              </w:rPr>
              <w:t xml:space="preserve">2022 Panel </w:t>
            </w:r>
            <w:r w:rsidRPr="00EA74DE" w:rsidR="00EA74DE">
              <w:rPr>
                <w:rFonts w:eastAsia="Calibri"/>
                <w:b/>
                <w:bCs/>
                <w:color w:val="000000"/>
              </w:rPr>
              <w:br/>
            </w:r>
            <w:r w:rsidRPr="00EA74DE">
              <w:rPr>
                <w:rFonts w:eastAsia="Calibri"/>
                <w:b/>
                <w:bCs/>
                <w:color w:val="000000"/>
              </w:rPr>
              <w:t>(n at R94=</w:t>
            </w:r>
            <w:r w:rsidRPr="00EA74DE" w:rsidR="00AD0D2A">
              <w:rPr>
                <w:rFonts w:eastAsia="Calibri"/>
                <w:b/>
                <w:bCs/>
                <w:color w:val="000000"/>
              </w:rPr>
              <w:t xml:space="preserve"> </w:t>
            </w:r>
            <w:r w:rsidRPr="00EA74DE">
              <w:rPr>
                <w:rFonts w:eastAsia="Calibri"/>
                <w:b/>
                <w:bCs/>
                <w:color w:val="000000"/>
              </w:rPr>
              <w:br/>
              <w:t>17139)</w:t>
            </w:r>
          </w:p>
        </w:tc>
        <w:tc>
          <w:tcPr>
            <w:tcW w:w="508" w:type="pct"/>
            <w:shd w:val="clear" w:color="auto" w:fill="DBDBDB"/>
            <w:vAlign w:val="center"/>
            <w:hideMark/>
          </w:tcPr>
          <w:p w:rsidR="00FA7D55" w:rsidRPr="00EA74DE" w:rsidP="00EA74DE" w14:paraId="099247DE" w14:textId="0E0909E3">
            <w:pPr>
              <w:spacing w:before="60" w:after="60" w:line="252" w:lineRule="auto"/>
              <w:jc w:val="center"/>
              <w:rPr>
                <w:rFonts w:eastAsia="Calibri"/>
                <w:b/>
                <w:bCs/>
                <w:color w:val="000000"/>
              </w:rPr>
            </w:pPr>
            <w:r w:rsidRPr="00EA74DE">
              <w:rPr>
                <w:rFonts w:eastAsia="Calibri"/>
                <w:b/>
                <w:bCs/>
                <w:color w:val="000000"/>
              </w:rPr>
              <w:t xml:space="preserve">2023 Panel </w:t>
            </w:r>
            <w:r w:rsidR="004024CD">
              <w:rPr>
                <w:rFonts w:eastAsia="Calibri"/>
                <w:b/>
                <w:bCs/>
                <w:color w:val="000000"/>
              </w:rPr>
              <w:br/>
            </w:r>
            <w:r w:rsidRPr="00EA74DE">
              <w:rPr>
                <w:rFonts w:eastAsia="Calibri"/>
                <w:b/>
                <w:bCs/>
                <w:color w:val="000000"/>
              </w:rPr>
              <w:t>(n at R97=</w:t>
            </w:r>
            <w:r w:rsidRPr="00EA74DE" w:rsidR="00AD0D2A">
              <w:rPr>
                <w:rFonts w:eastAsia="Calibri"/>
                <w:b/>
                <w:bCs/>
                <w:color w:val="000000"/>
              </w:rPr>
              <w:t xml:space="preserve"> </w:t>
            </w:r>
            <w:r w:rsidRPr="00EA74DE">
              <w:rPr>
                <w:rFonts w:eastAsia="Calibri"/>
                <w:b/>
                <w:bCs/>
                <w:color w:val="000000"/>
              </w:rPr>
              <w:br/>
              <w:t>15077)</w:t>
            </w:r>
          </w:p>
        </w:tc>
      </w:tr>
      <w:tr w14:paraId="0DF563F0" w14:textId="77777777" w:rsidTr="005D639F">
        <w:tblPrEx>
          <w:tblW w:w="5000" w:type="pct"/>
          <w:tblCellMar>
            <w:left w:w="0" w:type="dxa"/>
            <w:right w:w="0" w:type="dxa"/>
          </w:tblCellMar>
          <w:tblLook w:val="0700"/>
        </w:tblPrEx>
        <w:trPr>
          <w:cantSplit/>
        </w:trPr>
        <w:tc>
          <w:tcPr>
            <w:tcW w:w="428" w:type="pct"/>
            <w:noWrap/>
            <w:tcMar>
              <w:top w:w="29" w:type="dxa"/>
              <w:left w:w="115" w:type="dxa"/>
              <w:bottom w:w="29" w:type="dxa"/>
              <w:right w:w="115" w:type="dxa"/>
            </w:tcMar>
            <w:vAlign w:val="bottom"/>
            <w:hideMark/>
          </w:tcPr>
          <w:p w:rsidR="00FA7D55" w:rsidP="004024CD" w14:paraId="484F7A81" w14:textId="77777777">
            <w:pPr>
              <w:spacing w:before="60" w:after="60" w:line="254" w:lineRule="auto"/>
              <w:ind w:left="-210" w:right="-110"/>
              <w:jc w:val="center"/>
              <w:rPr>
                <w:rFonts w:eastAsia="Calibri"/>
                <w:color w:val="000000"/>
              </w:rPr>
            </w:pPr>
            <w:r>
              <w:rPr>
                <w:rFonts w:eastAsia="Calibri"/>
                <w:color w:val="000000"/>
              </w:rPr>
              <w:t>1</w:t>
            </w:r>
          </w:p>
        </w:tc>
        <w:tc>
          <w:tcPr>
            <w:tcW w:w="508" w:type="pct"/>
            <w:noWrap/>
            <w:tcMar>
              <w:top w:w="29" w:type="dxa"/>
              <w:left w:w="115" w:type="dxa"/>
              <w:bottom w:w="29" w:type="dxa"/>
              <w:right w:w="115" w:type="dxa"/>
            </w:tcMar>
            <w:vAlign w:val="center"/>
            <w:hideMark/>
          </w:tcPr>
          <w:p w:rsidR="00FA7D55" w:rsidP="00EA74DE" w14:paraId="2C1B8640" w14:textId="77777777">
            <w:pPr>
              <w:spacing w:before="60" w:after="60" w:line="254" w:lineRule="auto"/>
              <w:jc w:val="center"/>
              <w:rPr>
                <w:rFonts w:eastAsia="Calibri"/>
                <w:color w:val="000000"/>
              </w:rPr>
            </w:pPr>
            <w:r>
              <w:rPr>
                <w:rFonts w:eastAsia="Calibri"/>
                <w:color w:val="000000"/>
              </w:rPr>
              <w:t>53.3</w:t>
            </w:r>
          </w:p>
        </w:tc>
        <w:tc>
          <w:tcPr>
            <w:tcW w:w="508" w:type="pct"/>
            <w:tcMar>
              <w:top w:w="29" w:type="dxa"/>
              <w:left w:w="115" w:type="dxa"/>
              <w:bottom w:w="29" w:type="dxa"/>
              <w:right w:w="115" w:type="dxa"/>
            </w:tcMar>
            <w:vAlign w:val="center"/>
            <w:hideMark/>
          </w:tcPr>
          <w:p w:rsidR="00FA7D55" w:rsidP="00EA74DE" w14:paraId="36FA017E" w14:textId="77777777">
            <w:pPr>
              <w:spacing w:before="60" w:after="60" w:line="254" w:lineRule="auto"/>
              <w:jc w:val="center"/>
              <w:rPr>
                <w:rFonts w:eastAsia="Calibri"/>
                <w:color w:val="000000"/>
              </w:rPr>
            </w:pPr>
            <w:r>
              <w:rPr>
                <w:rFonts w:eastAsia="Calibri"/>
              </w:rPr>
              <w:t>54.7</w:t>
            </w:r>
          </w:p>
        </w:tc>
        <w:tc>
          <w:tcPr>
            <w:tcW w:w="508" w:type="pct"/>
            <w:tcMar>
              <w:top w:w="29" w:type="dxa"/>
              <w:left w:w="115" w:type="dxa"/>
              <w:bottom w:w="29" w:type="dxa"/>
              <w:right w:w="115" w:type="dxa"/>
            </w:tcMar>
            <w:vAlign w:val="center"/>
            <w:hideMark/>
          </w:tcPr>
          <w:p w:rsidR="00FA7D55" w:rsidP="00EA74DE" w14:paraId="30181A1D" w14:textId="77777777">
            <w:pPr>
              <w:spacing w:before="60" w:after="60" w:line="254" w:lineRule="auto"/>
              <w:jc w:val="center"/>
              <w:rPr>
                <w:rFonts w:eastAsia="Calibri"/>
                <w:color w:val="000000"/>
              </w:rPr>
            </w:pPr>
            <w:r>
              <w:rPr>
                <w:rFonts w:eastAsia="Calibri"/>
              </w:rPr>
              <w:t>55.3</w:t>
            </w:r>
          </w:p>
        </w:tc>
        <w:tc>
          <w:tcPr>
            <w:tcW w:w="508" w:type="pct"/>
            <w:vAlign w:val="center"/>
            <w:hideMark/>
          </w:tcPr>
          <w:p w:rsidR="00FA7D55" w:rsidP="00EA74DE" w14:paraId="27AE8E1F" w14:textId="77777777">
            <w:pPr>
              <w:spacing w:before="60" w:after="60" w:line="254" w:lineRule="auto"/>
              <w:jc w:val="center"/>
              <w:rPr>
                <w:rFonts w:eastAsia="Calibri"/>
                <w:color w:val="000000"/>
              </w:rPr>
            </w:pPr>
            <w:r>
              <w:rPr>
                <w:rFonts w:eastAsia="Calibri"/>
              </w:rPr>
              <w:t>55.9</w:t>
            </w:r>
          </w:p>
        </w:tc>
        <w:tc>
          <w:tcPr>
            <w:tcW w:w="508" w:type="pct"/>
            <w:vAlign w:val="center"/>
            <w:hideMark/>
          </w:tcPr>
          <w:p w:rsidR="00FA7D55" w:rsidP="00EA74DE" w14:paraId="6E8F0EF4" w14:textId="77777777">
            <w:pPr>
              <w:spacing w:before="60" w:after="60" w:line="254" w:lineRule="auto"/>
              <w:jc w:val="center"/>
              <w:rPr>
                <w:rFonts w:eastAsia="Calibri"/>
                <w:color w:val="000000"/>
              </w:rPr>
            </w:pPr>
            <w:r>
              <w:rPr>
                <w:rFonts w:eastAsia="Calibri"/>
              </w:rPr>
              <w:t>55.1</w:t>
            </w:r>
          </w:p>
        </w:tc>
        <w:tc>
          <w:tcPr>
            <w:tcW w:w="508" w:type="pct"/>
            <w:vAlign w:val="center"/>
            <w:hideMark/>
          </w:tcPr>
          <w:p w:rsidR="00FA7D55" w:rsidP="00EA74DE" w14:paraId="013DA2BA" w14:textId="77777777">
            <w:pPr>
              <w:spacing w:before="60" w:after="60" w:line="254" w:lineRule="auto"/>
              <w:jc w:val="center"/>
              <w:rPr>
                <w:rFonts w:eastAsia="Calibri"/>
                <w:color w:val="000000"/>
              </w:rPr>
            </w:pPr>
            <w:r>
              <w:rPr>
                <w:rFonts w:eastAsia="Calibri"/>
              </w:rPr>
              <w:t>41.9</w:t>
            </w:r>
          </w:p>
        </w:tc>
        <w:tc>
          <w:tcPr>
            <w:tcW w:w="508" w:type="pct"/>
            <w:vAlign w:val="center"/>
            <w:hideMark/>
          </w:tcPr>
          <w:p w:rsidR="00FA7D55" w:rsidP="00EA74DE" w14:paraId="34986541" w14:textId="77777777">
            <w:pPr>
              <w:spacing w:before="60" w:after="60" w:line="254" w:lineRule="auto"/>
              <w:jc w:val="center"/>
              <w:rPr>
                <w:rFonts w:eastAsia="Calibri"/>
              </w:rPr>
            </w:pPr>
            <w:r>
              <w:rPr>
                <w:rFonts w:eastAsia="Calibri"/>
              </w:rPr>
              <w:t>38.1</w:t>
            </w:r>
          </w:p>
        </w:tc>
        <w:tc>
          <w:tcPr>
            <w:tcW w:w="508" w:type="pct"/>
            <w:vAlign w:val="center"/>
            <w:hideMark/>
          </w:tcPr>
          <w:p w:rsidR="00FA7D55" w:rsidP="00EA74DE" w14:paraId="5571447B" w14:textId="77777777">
            <w:pPr>
              <w:spacing w:before="60" w:after="60" w:line="254" w:lineRule="auto"/>
              <w:jc w:val="center"/>
              <w:rPr>
                <w:rFonts w:eastAsia="Calibri"/>
              </w:rPr>
            </w:pPr>
            <w:r>
              <w:rPr>
                <w:rFonts w:eastAsia="Calibri"/>
              </w:rPr>
              <w:t>38.4</w:t>
            </w:r>
          </w:p>
        </w:tc>
        <w:tc>
          <w:tcPr>
            <w:tcW w:w="508" w:type="pct"/>
            <w:vAlign w:val="center"/>
            <w:hideMark/>
          </w:tcPr>
          <w:p w:rsidR="0086372F" w:rsidRPr="0086372F" w:rsidP="00EA74DE" w14:paraId="755D0E2A" w14:textId="4AD1FFDF">
            <w:pPr>
              <w:spacing w:before="60" w:after="60" w:line="254" w:lineRule="auto"/>
              <w:jc w:val="center"/>
              <w:rPr>
                <w:rFonts w:eastAsia="Calibri"/>
              </w:rPr>
            </w:pPr>
            <w:r>
              <w:rPr>
                <w:rFonts w:eastAsia="Calibri"/>
              </w:rPr>
              <w:t>45.2</w:t>
            </w:r>
          </w:p>
        </w:tc>
      </w:tr>
      <w:tr w14:paraId="27FE5714" w14:textId="77777777" w:rsidTr="0004475E">
        <w:tblPrEx>
          <w:tblW w:w="5000" w:type="pct"/>
          <w:tblCellMar>
            <w:left w:w="0" w:type="dxa"/>
            <w:right w:w="0" w:type="dxa"/>
          </w:tblCellMar>
          <w:tblLook w:val="0700"/>
        </w:tblPrEx>
        <w:trPr>
          <w:cantSplit/>
        </w:trPr>
        <w:tc>
          <w:tcPr>
            <w:tcW w:w="428" w:type="pct"/>
            <w:noWrap/>
            <w:tcMar>
              <w:top w:w="29" w:type="dxa"/>
              <w:left w:w="115" w:type="dxa"/>
              <w:bottom w:w="29" w:type="dxa"/>
              <w:right w:w="115" w:type="dxa"/>
            </w:tcMar>
            <w:vAlign w:val="bottom"/>
            <w:hideMark/>
          </w:tcPr>
          <w:p w:rsidR="00AF5787" w:rsidP="00AF5787" w14:paraId="1A079946" w14:textId="77777777">
            <w:pPr>
              <w:spacing w:before="60" w:after="60" w:line="254" w:lineRule="auto"/>
              <w:ind w:left="-210" w:right="-110"/>
              <w:jc w:val="center"/>
              <w:rPr>
                <w:rFonts w:eastAsia="Calibri"/>
                <w:color w:val="000000"/>
              </w:rPr>
            </w:pPr>
            <w:r>
              <w:rPr>
                <w:rFonts w:eastAsia="Calibri"/>
                <w:color w:val="000000"/>
              </w:rPr>
              <w:t>2</w:t>
            </w:r>
          </w:p>
        </w:tc>
        <w:tc>
          <w:tcPr>
            <w:tcW w:w="508" w:type="pct"/>
            <w:noWrap/>
            <w:tcMar>
              <w:top w:w="29" w:type="dxa"/>
              <w:left w:w="115" w:type="dxa"/>
              <w:bottom w:w="29" w:type="dxa"/>
              <w:right w:w="115" w:type="dxa"/>
            </w:tcMar>
            <w:vAlign w:val="center"/>
            <w:hideMark/>
          </w:tcPr>
          <w:p w:rsidR="00AF5787" w:rsidP="00AF5787" w14:paraId="308FD6EA" w14:textId="77777777">
            <w:pPr>
              <w:spacing w:before="60" w:after="60" w:line="254" w:lineRule="auto"/>
              <w:jc w:val="center"/>
              <w:rPr>
                <w:rFonts w:eastAsia="Calibri"/>
                <w:color w:val="000000"/>
              </w:rPr>
            </w:pPr>
            <w:r>
              <w:rPr>
                <w:rFonts w:eastAsia="Calibri"/>
              </w:rPr>
              <w:t>44.2</w:t>
            </w:r>
          </w:p>
        </w:tc>
        <w:tc>
          <w:tcPr>
            <w:tcW w:w="508" w:type="pct"/>
            <w:tcMar>
              <w:top w:w="29" w:type="dxa"/>
              <w:left w:w="115" w:type="dxa"/>
              <w:bottom w:w="29" w:type="dxa"/>
              <w:right w:w="115" w:type="dxa"/>
            </w:tcMar>
            <w:vAlign w:val="center"/>
            <w:hideMark/>
          </w:tcPr>
          <w:p w:rsidR="00AF5787" w:rsidP="00AF5787" w14:paraId="1934A999" w14:textId="77777777">
            <w:pPr>
              <w:spacing w:before="60" w:after="60" w:line="254" w:lineRule="auto"/>
              <w:jc w:val="center"/>
              <w:rPr>
                <w:rFonts w:eastAsia="Calibri"/>
                <w:color w:val="000000"/>
              </w:rPr>
            </w:pPr>
            <w:r>
              <w:rPr>
                <w:rFonts w:eastAsia="Calibri"/>
              </w:rPr>
              <w:t>44.3</w:t>
            </w:r>
          </w:p>
        </w:tc>
        <w:tc>
          <w:tcPr>
            <w:tcW w:w="508" w:type="pct"/>
            <w:tcMar>
              <w:top w:w="29" w:type="dxa"/>
              <w:left w:w="115" w:type="dxa"/>
              <w:bottom w:w="29" w:type="dxa"/>
              <w:right w:w="115" w:type="dxa"/>
            </w:tcMar>
            <w:vAlign w:val="center"/>
            <w:hideMark/>
          </w:tcPr>
          <w:p w:rsidR="00AF5787" w:rsidP="00AF5787" w14:paraId="145B1D37" w14:textId="77777777">
            <w:pPr>
              <w:spacing w:before="60" w:after="60" w:line="254" w:lineRule="auto"/>
              <w:jc w:val="center"/>
              <w:rPr>
                <w:rFonts w:eastAsia="Calibri"/>
                <w:color w:val="000000"/>
              </w:rPr>
            </w:pPr>
            <w:r>
              <w:rPr>
                <w:rFonts w:eastAsia="Calibri"/>
              </w:rPr>
              <w:t>43.7</w:t>
            </w:r>
          </w:p>
        </w:tc>
        <w:tc>
          <w:tcPr>
            <w:tcW w:w="508" w:type="pct"/>
            <w:vAlign w:val="center"/>
            <w:hideMark/>
          </w:tcPr>
          <w:p w:rsidR="00AF5787" w:rsidP="00AF5787" w14:paraId="067C772A" w14:textId="77777777">
            <w:pPr>
              <w:spacing w:before="60" w:after="60" w:line="254" w:lineRule="auto"/>
              <w:jc w:val="center"/>
              <w:rPr>
                <w:rFonts w:eastAsia="Calibri"/>
              </w:rPr>
            </w:pPr>
            <w:r>
              <w:rPr>
                <w:rFonts w:eastAsia="Calibri"/>
              </w:rPr>
              <w:t>44.8</w:t>
            </w:r>
          </w:p>
        </w:tc>
        <w:tc>
          <w:tcPr>
            <w:tcW w:w="508" w:type="pct"/>
            <w:vAlign w:val="center"/>
            <w:hideMark/>
          </w:tcPr>
          <w:p w:rsidR="00AF5787" w:rsidP="00AF5787" w14:paraId="6FF431DD" w14:textId="77777777">
            <w:pPr>
              <w:spacing w:before="60" w:after="60" w:line="254" w:lineRule="auto"/>
              <w:jc w:val="center"/>
              <w:rPr>
                <w:rFonts w:eastAsia="Calibri"/>
              </w:rPr>
            </w:pPr>
            <w:r>
              <w:rPr>
                <w:rFonts w:eastAsia="Calibri"/>
              </w:rPr>
              <w:t>40.2</w:t>
            </w:r>
          </w:p>
        </w:tc>
        <w:tc>
          <w:tcPr>
            <w:tcW w:w="508" w:type="pct"/>
            <w:vAlign w:val="center"/>
            <w:hideMark/>
          </w:tcPr>
          <w:p w:rsidR="00AF5787" w:rsidP="00AF5787" w14:paraId="0629E08D" w14:textId="77777777">
            <w:pPr>
              <w:spacing w:before="60" w:after="60" w:line="254" w:lineRule="auto"/>
              <w:jc w:val="center"/>
              <w:rPr>
                <w:rFonts w:eastAsia="Calibri"/>
              </w:rPr>
            </w:pPr>
            <w:r>
              <w:rPr>
                <w:rFonts w:eastAsia="Calibri"/>
              </w:rPr>
              <w:t>32.5</w:t>
            </w:r>
          </w:p>
        </w:tc>
        <w:tc>
          <w:tcPr>
            <w:tcW w:w="508" w:type="pct"/>
            <w:vAlign w:val="center"/>
            <w:hideMark/>
          </w:tcPr>
          <w:p w:rsidR="00AF5787" w:rsidP="00AF5787" w14:paraId="0F983F0B" w14:textId="77777777">
            <w:pPr>
              <w:spacing w:before="60" w:after="60" w:line="254" w:lineRule="auto"/>
              <w:jc w:val="center"/>
              <w:rPr>
                <w:rFonts w:eastAsia="Calibri"/>
              </w:rPr>
            </w:pPr>
            <w:r>
              <w:rPr>
                <w:rFonts w:eastAsia="Calibri"/>
              </w:rPr>
              <w:t>29.0</w:t>
            </w:r>
          </w:p>
        </w:tc>
        <w:tc>
          <w:tcPr>
            <w:tcW w:w="508" w:type="pct"/>
            <w:vAlign w:val="center"/>
            <w:hideMark/>
          </w:tcPr>
          <w:p w:rsidR="00AF5787" w:rsidP="00AF5787" w14:paraId="5EB736DA" w14:textId="77777777">
            <w:pPr>
              <w:spacing w:before="60" w:after="60" w:line="254" w:lineRule="auto"/>
              <w:jc w:val="center"/>
              <w:rPr>
                <w:rFonts w:eastAsia="Calibri"/>
              </w:rPr>
            </w:pPr>
            <w:r>
              <w:rPr>
                <w:rFonts w:eastAsia="Calibri"/>
                <w:color w:val="000000"/>
              </w:rPr>
              <w:t>29.5</w:t>
            </w:r>
          </w:p>
        </w:tc>
        <w:tc>
          <w:tcPr>
            <w:tcW w:w="508" w:type="pct"/>
          </w:tcPr>
          <w:p w:rsidR="00AF5787" w:rsidRPr="00AD63B8" w:rsidP="00AF5787" w14:paraId="35C02954" w14:textId="308D5C9A">
            <w:pPr>
              <w:spacing w:before="60" w:after="60"/>
              <w:jc w:val="center"/>
              <w:rPr>
                <w:rFonts w:eastAsia="Calibri"/>
                <w:color w:val="FFFFFF" w:themeColor="background1"/>
              </w:rPr>
            </w:pPr>
            <w:r w:rsidRPr="00D724C5">
              <w:rPr>
                <w:color w:val="FFFFFF" w:themeColor="background1"/>
              </w:rPr>
              <w:t>N/A</w:t>
            </w:r>
          </w:p>
        </w:tc>
      </w:tr>
      <w:tr w14:paraId="356B48CD" w14:textId="77777777" w:rsidTr="0004475E">
        <w:tblPrEx>
          <w:tblW w:w="5000" w:type="pct"/>
          <w:tblCellMar>
            <w:left w:w="0" w:type="dxa"/>
            <w:right w:w="0" w:type="dxa"/>
          </w:tblCellMar>
          <w:tblLook w:val="0700"/>
        </w:tblPrEx>
        <w:trPr>
          <w:cantSplit/>
        </w:trPr>
        <w:tc>
          <w:tcPr>
            <w:tcW w:w="428" w:type="pct"/>
            <w:noWrap/>
            <w:tcMar>
              <w:top w:w="29" w:type="dxa"/>
              <w:left w:w="115" w:type="dxa"/>
              <w:bottom w:w="29" w:type="dxa"/>
              <w:right w:w="115" w:type="dxa"/>
            </w:tcMar>
            <w:vAlign w:val="bottom"/>
            <w:hideMark/>
          </w:tcPr>
          <w:p w:rsidR="00AF5787" w:rsidP="00AF5787" w14:paraId="635F72C1" w14:textId="77777777">
            <w:pPr>
              <w:spacing w:before="60" w:after="60" w:line="254" w:lineRule="auto"/>
              <w:ind w:left="-210" w:right="-110"/>
              <w:jc w:val="center"/>
              <w:rPr>
                <w:rFonts w:eastAsia="Calibri"/>
                <w:color w:val="000000"/>
              </w:rPr>
            </w:pPr>
            <w:r>
              <w:rPr>
                <w:rFonts w:eastAsia="Calibri"/>
                <w:color w:val="000000"/>
              </w:rPr>
              <w:t>3</w:t>
            </w:r>
          </w:p>
        </w:tc>
        <w:tc>
          <w:tcPr>
            <w:tcW w:w="508" w:type="pct"/>
            <w:noWrap/>
            <w:tcMar>
              <w:top w:w="29" w:type="dxa"/>
              <w:left w:w="115" w:type="dxa"/>
              <w:bottom w:w="29" w:type="dxa"/>
              <w:right w:w="115" w:type="dxa"/>
            </w:tcMar>
            <w:vAlign w:val="center"/>
            <w:hideMark/>
          </w:tcPr>
          <w:p w:rsidR="00AF5787" w:rsidP="00AF5787" w14:paraId="5FC243CF" w14:textId="77777777">
            <w:pPr>
              <w:spacing w:before="60" w:after="60" w:line="254" w:lineRule="auto"/>
              <w:jc w:val="center"/>
              <w:rPr>
                <w:rFonts w:eastAsia="Calibri"/>
                <w:color w:val="000000"/>
              </w:rPr>
            </w:pPr>
            <w:r>
              <w:rPr>
                <w:rFonts w:eastAsia="Calibri"/>
              </w:rPr>
              <w:t>31.7</w:t>
            </w:r>
          </w:p>
        </w:tc>
        <w:tc>
          <w:tcPr>
            <w:tcW w:w="508" w:type="pct"/>
            <w:shd w:val="clear" w:color="auto" w:fill="DBDBDB"/>
            <w:tcMar>
              <w:top w:w="29" w:type="dxa"/>
              <w:left w:w="115" w:type="dxa"/>
              <w:bottom w:w="29" w:type="dxa"/>
              <w:right w:w="115" w:type="dxa"/>
            </w:tcMar>
            <w:vAlign w:val="center"/>
            <w:hideMark/>
          </w:tcPr>
          <w:p w:rsidR="00AF5787" w:rsidP="00AF5787" w14:paraId="3AB0330B" w14:textId="56EF9D98">
            <w:pPr>
              <w:spacing w:before="60" w:after="60" w:line="254" w:lineRule="auto"/>
              <w:jc w:val="center"/>
              <w:rPr>
                <w:rFonts w:eastAsia="Calibri"/>
              </w:rPr>
            </w:pPr>
            <w:r>
              <w:rPr>
                <w:rFonts w:eastAsia="Calibri"/>
              </w:rPr>
              <w:t>38.1*</w:t>
            </w:r>
          </w:p>
        </w:tc>
        <w:tc>
          <w:tcPr>
            <w:tcW w:w="508" w:type="pct"/>
            <w:tcMar>
              <w:top w:w="29" w:type="dxa"/>
              <w:left w:w="115" w:type="dxa"/>
              <w:bottom w:w="29" w:type="dxa"/>
              <w:right w:w="115" w:type="dxa"/>
            </w:tcMar>
            <w:vAlign w:val="center"/>
            <w:hideMark/>
          </w:tcPr>
          <w:p w:rsidR="00AF5787" w:rsidP="00AF5787" w14:paraId="14A2F47B" w14:textId="77777777">
            <w:pPr>
              <w:spacing w:before="60" w:after="60" w:line="254" w:lineRule="auto"/>
              <w:jc w:val="center"/>
              <w:rPr>
                <w:rFonts w:eastAsia="Calibri"/>
                <w:color w:val="000000"/>
              </w:rPr>
            </w:pPr>
            <w:r>
              <w:rPr>
                <w:rFonts w:eastAsia="Calibri"/>
              </w:rPr>
              <w:t>37.7</w:t>
            </w:r>
          </w:p>
        </w:tc>
        <w:tc>
          <w:tcPr>
            <w:tcW w:w="508" w:type="pct"/>
            <w:vAlign w:val="center"/>
            <w:hideMark/>
          </w:tcPr>
          <w:p w:rsidR="00AF5787" w:rsidP="00AF5787" w14:paraId="4A89D119" w14:textId="77777777">
            <w:pPr>
              <w:spacing w:before="60" w:after="60" w:line="254" w:lineRule="auto"/>
              <w:jc w:val="center"/>
              <w:rPr>
                <w:rFonts w:eastAsia="Calibri"/>
              </w:rPr>
            </w:pPr>
            <w:r>
              <w:rPr>
                <w:rFonts w:eastAsia="Calibri"/>
              </w:rPr>
              <w:t>37.6</w:t>
            </w:r>
          </w:p>
        </w:tc>
        <w:tc>
          <w:tcPr>
            <w:tcW w:w="508" w:type="pct"/>
            <w:vAlign w:val="center"/>
            <w:hideMark/>
          </w:tcPr>
          <w:p w:rsidR="00AF5787" w:rsidP="00AF5787" w14:paraId="242791B0" w14:textId="77777777">
            <w:pPr>
              <w:spacing w:before="60" w:after="60" w:line="254" w:lineRule="auto"/>
              <w:jc w:val="center"/>
              <w:rPr>
                <w:rFonts w:eastAsia="Calibri"/>
              </w:rPr>
            </w:pPr>
            <w:r>
              <w:rPr>
                <w:rFonts w:eastAsia="Calibri"/>
              </w:rPr>
              <w:t>37.9</w:t>
            </w:r>
          </w:p>
        </w:tc>
        <w:tc>
          <w:tcPr>
            <w:tcW w:w="508" w:type="pct"/>
            <w:vAlign w:val="center"/>
            <w:hideMark/>
          </w:tcPr>
          <w:p w:rsidR="00AF5787" w:rsidP="00AF5787" w14:paraId="1D0CCC1B" w14:textId="77777777">
            <w:pPr>
              <w:spacing w:before="60" w:after="60" w:line="254" w:lineRule="auto"/>
              <w:jc w:val="center"/>
              <w:rPr>
                <w:rFonts w:eastAsia="Calibri"/>
              </w:rPr>
            </w:pPr>
            <w:r>
              <w:rPr>
                <w:rFonts w:eastAsia="Calibri"/>
              </w:rPr>
              <w:t>27.2</w:t>
            </w:r>
          </w:p>
        </w:tc>
        <w:tc>
          <w:tcPr>
            <w:tcW w:w="508" w:type="pct"/>
            <w:vAlign w:val="center"/>
            <w:hideMark/>
          </w:tcPr>
          <w:p w:rsidR="00AF5787" w:rsidP="00AF5787" w14:paraId="0EFEE002" w14:textId="77777777">
            <w:pPr>
              <w:spacing w:before="60" w:after="60" w:line="254" w:lineRule="auto"/>
              <w:jc w:val="center"/>
              <w:rPr>
                <w:rFonts w:eastAsia="Calibri"/>
              </w:rPr>
            </w:pPr>
            <w:r>
              <w:rPr>
                <w:rFonts w:eastAsia="Calibri"/>
              </w:rPr>
              <w:t>23.5</w:t>
            </w:r>
          </w:p>
        </w:tc>
        <w:tc>
          <w:tcPr>
            <w:tcW w:w="508" w:type="pct"/>
            <w:vAlign w:val="center"/>
            <w:hideMark/>
          </w:tcPr>
          <w:p w:rsidR="00AF5787" w:rsidP="00AF5787" w14:paraId="62E4690B" w14:textId="77777777">
            <w:pPr>
              <w:spacing w:before="60" w:after="60" w:line="254" w:lineRule="auto"/>
              <w:jc w:val="center"/>
              <w:rPr>
                <w:rFonts w:eastAsia="Calibri"/>
              </w:rPr>
            </w:pPr>
            <w:r>
              <w:rPr>
                <w:rFonts w:eastAsia="Calibri"/>
                <w:color w:val="000000"/>
              </w:rPr>
              <w:t>24.0</w:t>
            </w:r>
          </w:p>
        </w:tc>
        <w:tc>
          <w:tcPr>
            <w:tcW w:w="508" w:type="pct"/>
          </w:tcPr>
          <w:p w:rsidR="00AF5787" w:rsidRPr="00AD63B8" w:rsidP="00AF5787" w14:paraId="6F9EAD4D" w14:textId="3A26530B">
            <w:pPr>
              <w:spacing w:before="60" w:after="60"/>
              <w:jc w:val="center"/>
              <w:rPr>
                <w:rFonts w:eastAsia="Calibri"/>
                <w:color w:val="FFFFFF" w:themeColor="background1"/>
              </w:rPr>
            </w:pPr>
            <w:r w:rsidRPr="00D724C5">
              <w:rPr>
                <w:color w:val="FFFFFF" w:themeColor="background1"/>
              </w:rPr>
              <w:t>N/A</w:t>
            </w:r>
          </w:p>
        </w:tc>
      </w:tr>
      <w:tr w14:paraId="6148B881" w14:textId="77777777" w:rsidTr="0004475E">
        <w:tblPrEx>
          <w:tblW w:w="5000" w:type="pct"/>
          <w:tblCellMar>
            <w:left w:w="0" w:type="dxa"/>
            <w:right w:w="0" w:type="dxa"/>
          </w:tblCellMar>
          <w:tblLook w:val="0700"/>
        </w:tblPrEx>
        <w:trPr>
          <w:cantSplit/>
        </w:trPr>
        <w:tc>
          <w:tcPr>
            <w:tcW w:w="428" w:type="pct"/>
            <w:noWrap/>
            <w:tcMar>
              <w:top w:w="29" w:type="dxa"/>
              <w:left w:w="115" w:type="dxa"/>
              <w:bottom w:w="29" w:type="dxa"/>
              <w:right w:w="115" w:type="dxa"/>
            </w:tcMar>
            <w:vAlign w:val="bottom"/>
            <w:hideMark/>
          </w:tcPr>
          <w:p w:rsidR="00AF5787" w:rsidP="00AF5787" w14:paraId="6FD4B49D" w14:textId="77777777">
            <w:pPr>
              <w:spacing w:before="60" w:after="60" w:line="254" w:lineRule="auto"/>
              <w:ind w:left="-210" w:right="-110"/>
              <w:jc w:val="center"/>
              <w:rPr>
                <w:rFonts w:eastAsia="Calibri"/>
                <w:color w:val="000000"/>
              </w:rPr>
            </w:pPr>
            <w:r>
              <w:rPr>
                <w:rFonts w:eastAsia="Calibri"/>
                <w:color w:val="000000"/>
              </w:rPr>
              <w:t>4</w:t>
            </w:r>
          </w:p>
        </w:tc>
        <w:tc>
          <w:tcPr>
            <w:tcW w:w="508" w:type="pct"/>
            <w:noWrap/>
            <w:tcMar>
              <w:top w:w="29" w:type="dxa"/>
              <w:left w:w="115" w:type="dxa"/>
              <w:bottom w:w="29" w:type="dxa"/>
              <w:right w:w="115" w:type="dxa"/>
            </w:tcMar>
            <w:vAlign w:val="center"/>
            <w:hideMark/>
          </w:tcPr>
          <w:p w:rsidR="00AF5787" w:rsidP="00AF5787" w14:paraId="4E21EA90" w14:textId="77777777">
            <w:pPr>
              <w:spacing w:before="60" w:after="60" w:line="254" w:lineRule="auto"/>
              <w:jc w:val="center"/>
              <w:rPr>
                <w:rFonts w:eastAsia="Calibri"/>
                <w:color w:val="000000"/>
              </w:rPr>
            </w:pPr>
            <w:r>
              <w:rPr>
                <w:rFonts w:eastAsia="Calibri"/>
              </w:rPr>
              <w:t>32.9</w:t>
            </w:r>
          </w:p>
        </w:tc>
        <w:tc>
          <w:tcPr>
            <w:tcW w:w="508" w:type="pct"/>
            <w:tcMar>
              <w:top w:w="29" w:type="dxa"/>
              <w:left w:w="115" w:type="dxa"/>
              <w:bottom w:w="29" w:type="dxa"/>
              <w:right w:w="115" w:type="dxa"/>
            </w:tcMar>
            <w:vAlign w:val="center"/>
            <w:hideMark/>
          </w:tcPr>
          <w:p w:rsidR="00AF5787" w:rsidP="00AF5787" w14:paraId="06307626" w14:textId="77777777">
            <w:pPr>
              <w:spacing w:before="60" w:after="60" w:line="254" w:lineRule="auto"/>
              <w:jc w:val="center"/>
              <w:rPr>
                <w:rFonts w:eastAsia="Calibri"/>
                <w:color w:val="000000"/>
              </w:rPr>
            </w:pPr>
            <w:r>
              <w:rPr>
                <w:rFonts w:eastAsia="Calibri"/>
              </w:rPr>
              <w:t>33.3</w:t>
            </w:r>
          </w:p>
        </w:tc>
        <w:tc>
          <w:tcPr>
            <w:tcW w:w="508" w:type="pct"/>
            <w:tcMar>
              <w:top w:w="29" w:type="dxa"/>
              <w:left w:w="115" w:type="dxa"/>
              <w:bottom w:w="29" w:type="dxa"/>
              <w:right w:w="115" w:type="dxa"/>
            </w:tcMar>
            <w:vAlign w:val="center"/>
            <w:hideMark/>
          </w:tcPr>
          <w:p w:rsidR="00AF5787" w:rsidP="00AF5787" w14:paraId="0C314F7F" w14:textId="77777777">
            <w:pPr>
              <w:spacing w:before="60" w:after="60" w:line="254" w:lineRule="auto"/>
              <w:jc w:val="center"/>
              <w:rPr>
                <w:rFonts w:eastAsia="Calibri"/>
                <w:color w:val="000000"/>
              </w:rPr>
            </w:pPr>
            <w:r>
              <w:rPr>
                <w:rFonts w:eastAsia="Calibri"/>
              </w:rPr>
              <w:t>33.7</w:t>
            </w:r>
          </w:p>
        </w:tc>
        <w:tc>
          <w:tcPr>
            <w:tcW w:w="508" w:type="pct"/>
            <w:vAlign w:val="center"/>
            <w:hideMark/>
          </w:tcPr>
          <w:p w:rsidR="00AF5787" w:rsidP="00AF5787" w14:paraId="5AC37DBF" w14:textId="77777777">
            <w:pPr>
              <w:spacing w:before="60" w:after="60" w:line="254" w:lineRule="auto"/>
              <w:jc w:val="center"/>
              <w:rPr>
                <w:rFonts w:eastAsia="Calibri"/>
              </w:rPr>
            </w:pPr>
            <w:r>
              <w:rPr>
                <w:rFonts w:eastAsia="Calibri"/>
              </w:rPr>
              <w:t>34.3</w:t>
            </w:r>
          </w:p>
        </w:tc>
        <w:tc>
          <w:tcPr>
            <w:tcW w:w="508" w:type="pct"/>
            <w:vAlign w:val="center"/>
            <w:hideMark/>
          </w:tcPr>
          <w:p w:rsidR="00AF5787" w:rsidP="00AF5787" w14:paraId="18BBF496" w14:textId="77777777">
            <w:pPr>
              <w:spacing w:before="60" w:after="60" w:line="254" w:lineRule="auto"/>
              <w:jc w:val="center"/>
              <w:rPr>
                <w:rFonts w:eastAsia="Calibri"/>
              </w:rPr>
            </w:pPr>
            <w:r>
              <w:rPr>
                <w:rFonts w:eastAsia="Calibri"/>
              </w:rPr>
              <w:t>32.1</w:t>
            </w:r>
          </w:p>
        </w:tc>
        <w:tc>
          <w:tcPr>
            <w:tcW w:w="508" w:type="pct"/>
            <w:vAlign w:val="center"/>
            <w:hideMark/>
          </w:tcPr>
          <w:p w:rsidR="00AF5787" w:rsidP="00AF5787" w14:paraId="7DA2DD0E" w14:textId="77777777">
            <w:pPr>
              <w:spacing w:before="60" w:after="60" w:line="254" w:lineRule="auto"/>
              <w:jc w:val="center"/>
              <w:rPr>
                <w:rFonts w:eastAsia="Calibri"/>
              </w:rPr>
            </w:pPr>
            <w:r>
              <w:rPr>
                <w:rFonts w:eastAsia="Calibri"/>
              </w:rPr>
              <w:t>22.8</w:t>
            </w:r>
          </w:p>
        </w:tc>
        <w:tc>
          <w:tcPr>
            <w:tcW w:w="508" w:type="pct"/>
            <w:vAlign w:val="center"/>
            <w:hideMark/>
          </w:tcPr>
          <w:p w:rsidR="00AF5787" w:rsidP="00AF5787" w14:paraId="6C07559F" w14:textId="77777777">
            <w:pPr>
              <w:spacing w:before="60" w:after="60" w:line="254" w:lineRule="auto"/>
              <w:jc w:val="center"/>
              <w:rPr>
                <w:rFonts w:eastAsia="Calibri"/>
              </w:rPr>
            </w:pPr>
            <w:r>
              <w:rPr>
                <w:rFonts w:eastAsia="Calibri"/>
              </w:rPr>
              <w:t>19.3</w:t>
            </w:r>
          </w:p>
        </w:tc>
        <w:tc>
          <w:tcPr>
            <w:tcW w:w="508" w:type="pct"/>
            <w:vAlign w:val="center"/>
            <w:hideMark/>
          </w:tcPr>
          <w:p w:rsidR="00AF5787" w:rsidP="00AF5787" w14:paraId="706CB88F" w14:textId="77777777">
            <w:pPr>
              <w:spacing w:before="60" w:after="60" w:line="254" w:lineRule="auto"/>
              <w:jc w:val="center"/>
              <w:rPr>
                <w:rFonts w:eastAsia="Calibri"/>
              </w:rPr>
            </w:pPr>
            <w:r>
              <w:rPr>
                <w:rFonts w:eastAsia="Calibri"/>
                <w:color w:val="000000"/>
              </w:rPr>
              <w:t>20.4</w:t>
            </w:r>
          </w:p>
        </w:tc>
        <w:tc>
          <w:tcPr>
            <w:tcW w:w="508" w:type="pct"/>
          </w:tcPr>
          <w:p w:rsidR="00AF5787" w:rsidRPr="00AD63B8" w:rsidP="00AF5787" w14:paraId="15F13346" w14:textId="6B4C9154">
            <w:pPr>
              <w:spacing w:before="60" w:after="60"/>
              <w:jc w:val="center"/>
              <w:rPr>
                <w:rFonts w:eastAsia="Calibri"/>
                <w:color w:val="FFFFFF" w:themeColor="background1"/>
              </w:rPr>
            </w:pPr>
            <w:r w:rsidRPr="00D724C5">
              <w:rPr>
                <w:color w:val="FFFFFF" w:themeColor="background1"/>
              </w:rPr>
              <w:t>N/A</w:t>
            </w:r>
          </w:p>
        </w:tc>
      </w:tr>
      <w:tr w14:paraId="260281CA" w14:textId="77777777" w:rsidTr="0036682F">
        <w:tblPrEx>
          <w:tblW w:w="5000" w:type="pct"/>
          <w:tblCellMar>
            <w:left w:w="0" w:type="dxa"/>
            <w:right w:w="0" w:type="dxa"/>
          </w:tblCellMar>
          <w:tblLook w:val="0700"/>
        </w:tblPrEx>
        <w:trPr>
          <w:cantSplit/>
        </w:trPr>
        <w:tc>
          <w:tcPr>
            <w:tcW w:w="428" w:type="pct"/>
            <w:noWrap/>
            <w:tcMar>
              <w:top w:w="29" w:type="dxa"/>
              <w:left w:w="115" w:type="dxa"/>
              <w:bottom w:w="29" w:type="dxa"/>
              <w:right w:w="115" w:type="dxa"/>
            </w:tcMar>
            <w:vAlign w:val="bottom"/>
            <w:hideMark/>
          </w:tcPr>
          <w:p w:rsidR="00AF5787" w:rsidP="00AF5787" w14:paraId="3DDB0FEB" w14:textId="77777777">
            <w:pPr>
              <w:spacing w:before="60" w:after="60" w:line="254" w:lineRule="auto"/>
              <w:ind w:left="-210" w:right="-110"/>
              <w:jc w:val="center"/>
              <w:rPr>
                <w:rFonts w:eastAsia="Calibri"/>
                <w:color w:val="000000"/>
              </w:rPr>
            </w:pPr>
            <w:r>
              <w:rPr>
                <w:rFonts w:eastAsia="Calibri"/>
                <w:color w:val="000000"/>
              </w:rPr>
              <w:t>5</w:t>
            </w:r>
          </w:p>
        </w:tc>
        <w:tc>
          <w:tcPr>
            <w:tcW w:w="508" w:type="pct"/>
            <w:noWrap/>
            <w:tcMar>
              <w:top w:w="29" w:type="dxa"/>
              <w:left w:w="115" w:type="dxa"/>
              <w:bottom w:w="29" w:type="dxa"/>
              <w:right w:w="115" w:type="dxa"/>
            </w:tcMar>
            <w:vAlign w:val="center"/>
            <w:hideMark/>
          </w:tcPr>
          <w:p w:rsidR="00AF5787" w:rsidP="00AF5787" w14:paraId="17FE8928" w14:textId="77777777">
            <w:pPr>
              <w:spacing w:before="60" w:after="60" w:line="254" w:lineRule="auto"/>
              <w:jc w:val="center"/>
              <w:rPr>
                <w:rFonts w:eastAsia="Calibri"/>
                <w:color w:val="000000"/>
              </w:rPr>
            </w:pPr>
            <w:r>
              <w:rPr>
                <w:rFonts w:eastAsia="Calibri"/>
              </w:rPr>
              <w:t>31.3</w:t>
            </w:r>
          </w:p>
        </w:tc>
        <w:tc>
          <w:tcPr>
            <w:tcW w:w="508" w:type="pct"/>
            <w:tcMar>
              <w:top w:w="29" w:type="dxa"/>
              <w:left w:w="115" w:type="dxa"/>
              <w:bottom w:w="29" w:type="dxa"/>
              <w:right w:w="115" w:type="dxa"/>
            </w:tcMar>
            <w:vAlign w:val="center"/>
            <w:hideMark/>
          </w:tcPr>
          <w:p w:rsidR="00AF5787" w:rsidP="00AF5787" w14:paraId="1AE094C2" w14:textId="77777777">
            <w:pPr>
              <w:spacing w:before="60" w:after="60" w:line="254" w:lineRule="auto"/>
              <w:jc w:val="center"/>
              <w:rPr>
                <w:rFonts w:eastAsia="Calibri"/>
                <w:color w:val="000000"/>
              </w:rPr>
            </w:pPr>
            <w:r>
              <w:rPr>
                <w:rFonts w:eastAsia="Calibri"/>
              </w:rPr>
              <w:t>29.0</w:t>
            </w:r>
          </w:p>
        </w:tc>
        <w:tc>
          <w:tcPr>
            <w:tcW w:w="508" w:type="pct"/>
            <w:shd w:val="clear" w:color="auto" w:fill="DBDBDB"/>
            <w:tcMar>
              <w:top w:w="29" w:type="dxa"/>
              <w:left w:w="115" w:type="dxa"/>
              <w:bottom w:w="29" w:type="dxa"/>
              <w:right w:w="115" w:type="dxa"/>
            </w:tcMar>
            <w:vAlign w:val="center"/>
            <w:hideMark/>
          </w:tcPr>
          <w:p w:rsidR="00AF5787" w:rsidP="00AF5787" w14:paraId="34B7860F" w14:textId="0EC65E0B">
            <w:pPr>
              <w:spacing w:before="60" w:after="60" w:line="254" w:lineRule="auto"/>
              <w:jc w:val="center"/>
              <w:rPr>
                <w:rFonts w:eastAsia="Calibri"/>
              </w:rPr>
            </w:pPr>
            <w:r>
              <w:rPr>
                <w:rFonts w:eastAsia="Calibri"/>
              </w:rPr>
              <w:t>28.2*</w:t>
            </w:r>
          </w:p>
        </w:tc>
        <w:tc>
          <w:tcPr>
            <w:tcW w:w="508" w:type="pct"/>
            <w:shd w:val="clear" w:color="auto" w:fill="DBDBDB"/>
            <w:vAlign w:val="center"/>
            <w:hideMark/>
          </w:tcPr>
          <w:p w:rsidR="00AF5787" w:rsidP="00AF5787" w14:paraId="7F9EAE09" w14:textId="6B1291D4">
            <w:pPr>
              <w:spacing w:before="60" w:after="60" w:line="254" w:lineRule="auto"/>
              <w:jc w:val="center"/>
              <w:rPr>
                <w:rFonts w:eastAsia="Calibri"/>
              </w:rPr>
            </w:pPr>
            <w:r>
              <w:rPr>
                <w:rFonts w:eastAsia="Calibri"/>
              </w:rPr>
              <w:t>26.7*</w:t>
            </w:r>
          </w:p>
        </w:tc>
        <w:tc>
          <w:tcPr>
            <w:tcW w:w="508" w:type="pct"/>
            <w:vAlign w:val="center"/>
            <w:hideMark/>
          </w:tcPr>
          <w:p w:rsidR="00AF5787" w:rsidP="00AF5787" w14:paraId="05877F24" w14:textId="77777777">
            <w:pPr>
              <w:spacing w:before="60" w:after="60" w:line="254" w:lineRule="auto"/>
              <w:jc w:val="center"/>
              <w:rPr>
                <w:rFonts w:eastAsia="Calibri"/>
                <w:color w:val="000000"/>
              </w:rPr>
            </w:pPr>
            <w:r>
              <w:rPr>
                <w:rFonts w:eastAsia="Calibri"/>
              </w:rPr>
              <w:t>28.0</w:t>
            </w:r>
          </w:p>
        </w:tc>
        <w:tc>
          <w:tcPr>
            <w:tcW w:w="508" w:type="pct"/>
            <w:vAlign w:val="center"/>
            <w:hideMark/>
          </w:tcPr>
          <w:p w:rsidR="00AF5787" w:rsidP="00AF5787" w14:paraId="3A2542E6" w14:textId="77777777">
            <w:pPr>
              <w:spacing w:before="60" w:after="60" w:line="254" w:lineRule="auto"/>
              <w:jc w:val="center"/>
              <w:rPr>
                <w:rFonts w:eastAsia="Calibri"/>
                <w:color w:val="000000"/>
              </w:rPr>
            </w:pPr>
            <w:r>
              <w:rPr>
                <w:rFonts w:eastAsia="Calibri"/>
              </w:rPr>
              <w:t>19.8</w:t>
            </w:r>
          </w:p>
        </w:tc>
        <w:tc>
          <w:tcPr>
            <w:tcW w:w="508" w:type="pct"/>
            <w:vAlign w:val="center"/>
            <w:hideMark/>
          </w:tcPr>
          <w:p w:rsidR="00AF5787" w:rsidP="00AF5787" w14:paraId="42843B96" w14:textId="77777777">
            <w:pPr>
              <w:spacing w:before="60" w:after="60" w:line="254" w:lineRule="auto"/>
              <w:jc w:val="center"/>
              <w:rPr>
                <w:rFonts w:eastAsia="Calibri"/>
                <w:color w:val="000000"/>
              </w:rPr>
            </w:pPr>
            <w:r>
              <w:rPr>
                <w:rFonts w:eastAsia="Calibri"/>
              </w:rPr>
              <w:t>17.9</w:t>
            </w:r>
          </w:p>
        </w:tc>
        <w:tc>
          <w:tcPr>
            <w:tcW w:w="508" w:type="pct"/>
          </w:tcPr>
          <w:p w:rsidR="00AF5787" w:rsidRPr="00AD63B8" w:rsidP="00AF5787" w14:paraId="65EEAEA6" w14:textId="31BC0F21">
            <w:pPr>
              <w:spacing w:before="60" w:after="60" w:line="254" w:lineRule="auto"/>
              <w:jc w:val="center"/>
              <w:rPr>
                <w:rFonts w:eastAsia="Calibri"/>
                <w:color w:val="FFFFFF" w:themeColor="background1"/>
              </w:rPr>
            </w:pPr>
            <w:r w:rsidRPr="00FC07C4">
              <w:rPr>
                <w:color w:val="FFFFFF" w:themeColor="background1"/>
              </w:rPr>
              <w:t>N/A</w:t>
            </w:r>
          </w:p>
        </w:tc>
        <w:tc>
          <w:tcPr>
            <w:tcW w:w="508" w:type="pct"/>
          </w:tcPr>
          <w:p w:rsidR="00AF5787" w:rsidRPr="00AD63B8" w:rsidP="00AF5787" w14:paraId="10AF093F" w14:textId="73703687">
            <w:pPr>
              <w:spacing w:before="60" w:after="60"/>
              <w:jc w:val="center"/>
              <w:rPr>
                <w:rFonts w:eastAsia="Calibri"/>
                <w:color w:val="FFFFFF" w:themeColor="background1"/>
              </w:rPr>
            </w:pPr>
            <w:r w:rsidRPr="00D724C5">
              <w:rPr>
                <w:color w:val="FFFFFF" w:themeColor="background1"/>
              </w:rPr>
              <w:t>N/A</w:t>
            </w:r>
          </w:p>
        </w:tc>
      </w:tr>
      <w:tr w14:paraId="1E79D2A1" w14:textId="77777777" w:rsidTr="0036682F">
        <w:tblPrEx>
          <w:tblW w:w="5000" w:type="pct"/>
          <w:tblCellMar>
            <w:left w:w="0" w:type="dxa"/>
            <w:right w:w="0" w:type="dxa"/>
          </w:tblCellMar>
          <w:tblLook w:val="0700"/>
        </w:tblPrEx>
        <w:trPr>
          <w:cantSplit/>
        </w:trPr>
        <w:tc>
          <w:tcPr>
            <w:tcW w:w="428" w:type="pct"/>
            <w:noWrap/>
            <w:tcMar>
              <w:top w:w="29" w:type="dxa"/>
              <w:left w:w="115" w:type="dxa"/>
              <w:bottom w:w="29" w:type="dxa"/>
              <w:right w:w="115" w:type="dxa"/>
            </w:tcMar>
            <w:vAlign w:val="bottom"/>
            <w:hideMark/>
          </w:tcPr>
          <w:p w:rsidR="00AF5787" w:rsidP="00AF5787" w14:paraId="4939FC4C" w14:textId="77777777">
            <w:pPr>
              <w:spacing w:before="60" w:after="60" w:line="254" w:lineRule="auto"/>
              <w:ind w:left="-210" w:right="-110"/>
              <w:jc w:val="center"/>
              <w:rPr>
                <w:rFonts w:eastAsia="Calibri"/>
                <w:color w:val="000000"/>
              </w:rPr>
            </w:pPr>
            <w:r>
              <w:rPr>
                <w:rFonts w:eastAsia="Calibri"/>
                <w:color w:val="000000"/>
              </w:rPr>
              <w:t>6</w:t>
            </w:r>
          </w:p>
        </w:tc>
        <w:tc>
          <w:tcPr>
            <w:tcW w:w="508" w:type="pct"/>
            <w:shd w:val="clear" w:color="auto" w:fill="DBDBDB"/>
            <w:noWrap/>
            <w:tcMar>
              <w:top w:w="29" w:type="dxa"/>
              <w:left w:w="115" w:type="dxa"/>
              <w:bottom w:w="29" w:type="dxa"/>
              <w:right w:w="115" w:type="dxa"/>
            </w:tcMar>
            <w:vAlign w:val="center"/>
            <w:hideMark/>
          </w:tcPr>
          <w:p w:rsidR="00AF5787" w:rsidP="00AF5787" w14:paraId="5090C840" w14:textId="15C204BD">
            <w:pPr>
              <w:spacing w:before="60" w:after="60" w:line="254" w:lineRule="auto"/>
              <w:jc w:val="center"/>
              <w:rPr>
                <w:rFonts w:eastAsia="Calibri"/>
              </w:rPr>
            </w:pPr>
            <w:r>
              <w:rPr>
                <w:rFonts w:eastAsia="Calibri"/>
              </w:rPr>
              <w:t>28.1*</w:t>
            </w:r>
          </w:p>
        </w:tc>
        <w:tc>
          <w:tcPr>
            <w:tcW w:w="508" w:type="pct"/>
            <w:shd w:val="clear" w:color="auto" w:fill="DBDBDB"/>
            <w:tcMar>
              <w:top w:w="29" w:type="dxa"/>
              <w:left w:w="115" w:type="dxa"/>
              <w:bottom w:w="29" w:type="dxa"/>
              <w:right w:w="115" w:type="dxa"/>
            </w:tcMar>
            <w:vAlign w:val="center"/>
            <w:hideMark/>
          </w:tcPr>
          <w:p w:rsidR="00AF5787" w:rsidP="00AF5787" w14:paraId="5D5F1484" w14:textId="417DB645">
            <w:pPr>
              <w:spacing w:before="60" w:after="60" w:line="254" w:lineRule="auto"/>
              <w:jc w:val="center"/>
              <w:rPr>
                <w:rFonts w:eastAsia="Calibri"/>
              </w:rPr>
            </w:pPr>
            <w:r>
              <w:rPr>
                <w:rFonts w:eastAsia="Calibri"/>
              </w:rPr>
              <w:t>27.5*</w:t>
            </w:r>
          </w:p>
        </w:tc>
        <w:tc>
          <w:tcPr>
            <w:tcW w:w="508" w:type="pct"/>
            <w:tcMar>
              <w:top w:w="29" w:type="dxa"/>
              <w:left w:w="115" w:type="dxa"/>
              <w:bottom w:w="29" w:type="dxa"/>
              <w:right w:w="115" w:type="dxa"/>
            </w:tcMar>
            <w:vAlign w:val="center"/>
            <w:hideMark/>
          </w:tcPr>
          <w:p w:rsidR="00AF5787" w:rsidP="00AF5787" w14:paraId="23A300EB" w14:textId="77777777">
            <w:pPr>
              <w:spacing w:before="60" w:after="60" w:line="254" w:lineRule="auto"/>
              <w:jc w:val="center"/>
              <w:rPr>
                <w:rFonts w:eastAsia="Calibri"/>
                <w:color w:val="000000"/>
              </w:rPr>
            </w:pPr>
            <w:r>
              <w:rPr>
                <w:rFonts w:eastAsia="Calibri"/>
              </w:rPr>
              <w:t>27.3</w:t>
            </w:r>
          </w:p>
        </w:tc>
        <w:tc>
          <w:tcPr>
            <w:tcW w:w="508" w:type="pct"/>
            <w:vAlign w:val="center"/>
            <w:hideMark/>
          </w:tcPr>
          <w:p w:rsidR="00AF5787" w:rsidP="00AF5787" w14:paraId="3F66FF9A" w14:textId="77777777">
            <w:pPr>
              <w:spacing w:before="60" w:after="60" w:line="254" w:lineRule="auto"/>
              <w:jc w:val="center"/>
              <w:rPr>
                <w:rFonts w:eastAsia="Calibri"/>
                <w:color w:val="000000"/>
              </w:rPr>
            </w:pPr>
            <w:r>
              <w:rPr>
                <w:rFonts w:eastAsia="Calibri"/>
              </w:rPr>
              <w:t>27.6</w:t>
            </w:r>
          </w:p>
        </w:tc>
        <w:tc>
          <w:tcPr>
            <w:tcW w:w="508" w:type="pct"/>
            <w:vAlign w:val="center"/>
            <w:hideMark/>
          </w:tcPr>
          <w:p w:rsidR="00AF5787" w:rsidP="00AF5787" w14:paraId="6D6894AE" w14:textId="77777777">
            <w:pPr>
              <w:spacing w:before="60" w:after="60" w:line="254" w:lineRule="auto"/>
              <w:jc w:val="center"/>
              <w:rPr>
                <w:rFonts w:eastAsia="Calibri"/>
                <w:color w:val="000000"/>
              </w:rPr>
            </w:pPr>
            <w:r>
              <w:rPr>
                <w:rFonts w:eastAsia="Calibri"/>
              </w:rPr>
              <w:t>25.2</w:t>
            </w:r>
          </w:p>
        </w:tc>
        <w:tc>
          <w:tcPr>
            <w:tcW w:w="508" w:type="pct"/>
            <w:vAlign w:val="center"/>
            <w:hideMark/>
          </w:tcPr>
          <w:p w:rsidR="00AF5787" w:rsidP="00AF5787" w14:paraId="601CB9F7" w14:textId="77777777">
            <w:pPr>
              <w:spacing w:before="60" w:after="60" w:line="254" w:lineRule="auto"/>
              <w:jc w:val="center"/>
              <w:rPr>
                <w:rFonts w:eastAsia="Calibri"/>
                <w:color w:val="000000"/>
              </w:rPr>
            </w:pPr>
            <w:r>
              <w:rPr>
                <w:rFonts w:eastAsia="Calibri"/>
              </w:rPr>
              <w:t>17.1</w:t>
            </w:r>
          </w:p>
        </w:tc>
        <w:tc>
          <w:tcPr>
            <w:tcW w:w="508" w:type="pct"/>
            <w:vAlign w:val="center"/>
            <w:hideMark/>
          </w:tcPr>
          <w:p w:rsidR="00AF5787" w:rsidP="00AF5787" w14:paraId="49172228" w14:textId="77777777">
            <w:pPr>
              <w:spacing w:before="60" w:after="60" w:line="254" w:lineRule="auto"/>
              <w:jc w:val="center"/>
              <w:rPr>
                <w:rFonts w:eastAsia="Calibri"/>
                <w:color w:val="000000"/>
              </w:rPr>
            </w:pPr>
            <w:r>
              <w:rPr>
                <w:rFonts w:eastAsia="Calibri"/>
              </w:rPr>
              <w:t>16.0</w:t>
            </w:r>
          </w:p>
        </w:tc>
        <w:tc>
          <w:tcPr>
            <w:tcW w:w="508" w:type="pct"/>
          </w:tcPr>
          <w:p w:rsidR="00AF5787" w:rsidRPr="00AD63B8" w:rsidP="00AF5787" w14:paraId="178621D0" w14:textId="169D3BE8">
            <w:pPr>
              <w:spacing w:before="60" w:after="60" w:line="254" w:lineRule="auto"/>
              <w:jc w:val="center"/>
              <w:rPr>
                <w:rFonts w:eastAsia="Calibri"/>
                <w:color w:val="FFFFFF" w:themeColor="background1"/>
              </w:rPr>
            </w:pPr>
            <w:r w:rsidRPr="00FC07C4">
              <w:rPr>
                <w:color w:val="FFFFFF" w:themeColor="background1"/>
              </w:rPr>
              <w:t>N/A</w:t>
            </w:r>
          </w:p>
        </w:tc>
        <w:tc>
          <w:tcPr>
            <w:tcW w:w="508" w:type="pct"/>
          </w:tcPr>
          <w:p w:rsidR="00AF5787" w:rsidRPr="00AD63B8" w:rsidP="00AF5787" w14:paraId="0FCBF4C5" w14:textId="32E8D25A">
            <w:pPr>
              <w:spacing w:before="60" w:after="60" w:line="254" w:lineRule="auto"/>
              <w:jc w:val="center"/>
              <w:rPr>
                <w:rFonts w:eastAsia="Calibri"/>
                <w:color w:val="FFFFFF" w:themeColor="background1"/>
              </w:rPr>
            </w:pPr>
            <w:r w:rsidRPr="00D724C5">
              <w:rPr>
                <w:color w:val="FFFFFF" w:themeColor="background1"/>
              </w:rPr>
              <w:t>N/A</w:t>
            </w:r>
          </w:p>
        </w:tc>
      </w:tr>
      <w:tr w14:paraId="355D16A8" w14:textId="77777777" w:rsidTr="0036682F">
        <w:tblPrEx>
          <w:tblW w:w="5000" w:type="pct"/>
          <w:tblCellMar>
            <w:left w:w="0" w:type="dxa"/>
            <w:right w:w="0" w:type="dxa"/>
          </w:tblCellMar>
          <w:tblLook w:val="0700"/>
        </w:tblPrEx>
        <w:trPr>
          <w:cantSplit/>
        </w:trPr>
        <w:tc>
          <w:tcPr>
            <w:tcW w:w="428" w:type="pct"/>
            <w:noWrap/>
            <w:tcMar>
              <w:top w:w="29" w:type="dxa"/>
              <w:left w:w="115" w:type="dxa"/>
              <w:bottom w:w="29" w:type="dxa"/>
              <w:right w:w="115" w:type="dxa"/>
            </w:tcMar>
            <w:vAlign w:val="bottom"/>
            <w:hideMark/>
          </w:tcPr>
          <w:p w:rsidR="00AF5787" w:rsidP="00AF5787" w14:paraId="429232A5" w14:textId="77777777">
            <w:pPr>
              <w:spacing w:before="60" w:after="60" w:line="254" w:lineRule="auto"/>
              <w:ind w:left="-210" w:right="-110"/>
              <w:jc w:val="center"/>
              <w:rPr>
                <w:rFonts w:eastAsia="Calibri"/>
                <w:color w:val="000000"/>
              </w:rPr>
            </w:pPr>
            <w:r>
              <w:rPr>
                <w:rFonts w:eastAsia="Calibri"/>
                <w:color w:val="000000"/>
              </w:rPr>
              <w:t>7</w:t>
            </w:r>
          </w:p>
        </w:tc>
        <w:tc>
          <w:tcPr>
            <w:tcW w:w="508" w:type="pct"/>
            <w:noWrap/>
            <w:tcMar>
              <w:top w:w="29" w:type="dxa"/>
              <w:left w:w="115" w:type="dxa"/>
              <w:bottom w:w="29" w:type="dxa"/>
              <w:right w:w="115" w:type="dxa"/>
            </w:tcMar>
            <w:vAlign w:val="center"/>
            <w:hideMark/>
          </w:tcPr>
          <w:p w:rsidR="00AF5787" w:rsidP="00AF5787" w14:paraId="7DADBAB4" w14:textId="77777777">
            <w:pPr>
              <w:spacing w:before="60" w:after="60" w:line="254" w:lineRule="auto"/>
              <w:jc w:val="center"/>
              <w:rPr>
                <w:rFonts w:eastAsia="Calibri"/>
                <w:color w:val="000000"/>
              </w:rPr>
            </w:pPr>
            <w:r>
              <w:rPr>
                <w:rFonts w:eastAsia="Calibri"/>
              </w:rPr>
              <w:t>25.6</w:t>
            </w:r>
          </w:p>
        </w:tc>
        <w:tc>
          <w:tcPr>
            <w:tcW w:w="508" w:type="pct"/>
            <w:tcMar>
              <w:top w:w="29" w:type="dxa"/>
              <w:left w:w="115" w:type="dxa"/>
              <w:bottom w:w="29" w:type="dxa"/>
              <w:right w:w="115" w:type="dxa"/>
            </w:tcMar>
            <w:vAlign w:val="center"/>
            <w:hideMark/>
          </w:tcPr>
          <w:p w:rsidR="00AF5787" w:rsidP="00AF5787" w14:paraId="0CE098A2" w14:textId="77777777">
            <w:pPr>
              <w:spacing w:before="60" w:after="60" w:line="254" w:lineRule="auto"/>
              <w:jc w:val="center"/>
              <w:rPr>
                <w:rFonts w:eastAsia="Calibri"/>
                <w:color w:val="000000"/>
              </w:rPr>
            </w:pPr>
            <w:r>
              <w:rPr>
                <w:rFonts w:eastAsia="Calibri"/>
              </w:rPr>
              <w:t>25.5</w:t>
            </w:r>
          </w:p>
        </w:tc>
        <w:tc>
          <w:tcPr>
            <w:tcW w:w="508" w:type="pct"/>
            <w:tcMar>
              <w:top w:w="29" w:type="dxa"/>
              <w:left w:w="115" w:type="dxa"/>
              <w:bottom w:w="29" w:type="dxa"/>
              <w:right w:w="115" w:type="dxa"/>
            </w:tcMar>
            <w:vAlign w:val="center"/>
            <w:hideMark/>
          </w:tcPr>
          <w:p w:rsidR="00AF5787" w:rsidP="00AF5787" w14:paraId="1F4C4177" w14:textId="77777777">
            <w:pPr>
              <w:spacing w:before="60" w:after="60" w:line="254" w:lineRule="auto"/>
              <w:jc w:val="center"/>
              <w:rPr>
                <w:rFonts w:eastAsia="Calibri"/>
                <w:color w:val="000000"/>
              </w:rPr>
            </w:pPr>
            <w:r>
              <w:rPr>
                <w:rFonts w:eastAsia="Calibri"/>
              </w:rPr>
              <w:t>26.2</w:t>
            </w:r>
          </w:p>
        </w:tc>
        <w:tc>
          <w:tcPr>
            <w:tcW w:w="508" w:type="pct"/>
            <w:vAlign w:val="center"/>
            <w:hideMark/>
          </w:tcPr>
          <w:p w:rsidR="00AF5787" w:rsidP="00AF5787" w14:paraId="4B783810" w14:textId="77777777">
            <w:pPr>
              <w:spacing w:before="60" w:after="60" w:line="254" w:lineRule="auto"/>
              <w:jc w:val="center"/>
              <w:rPr>
                <w:rFonts w:eastAsia="Calibri"/>
                <w:color w:val="000000"/>
              </w:rPr>
            </w:pPr>
            <w:r>
              <w:rPr>
                <w:rFonts w:eastAsia="Calibri"/>
              </w:rPr>
              <w:t>24.5</w:t>
            </w:r>
          </w:p>
        </w:tc>
        <w:tc>
          <w:tcPr>
            <w:tcW w:w="508" w:type="pct"/>
            <w:vAlign w:val="center"/>
            <w:hideMark/>
          </w:tcPr>
          <w:p w:rsidR="00AF5787" w:rsidP="00AF5787" w14:paraId="5E0BA2BD" w14:textId="77777777">
            <w:pPr>
              <w:spacing w:before="60" w:after="60" w:line="254" w:lineRule="auto"/>
              <w:jc w:val="center"/>
              <w:rPr>
                <w:rFonts w:eastAsia="Calibri"/>
                <w:color w:val="000000"/>
              </w:rPr>
            </w:pPr>
            <w:r>
              <w:rPr>
                <w:rFonts w:eastAsia="Calibri"/>
              </w:rPr>
              <w:t>21.9</w:t>
            </w:r>
          </w:p>
        </w:tc>
        <w:tc>
          <w:tcPr>
            <w:tcW w:w="508" w:type="pct"/>
            <w:vAlign w:val="center"/>
            <w:hideMark/>
          </w:tcPr>
          <w:p w:rsidR="00AF5787" w:rsidP="00AF5787" w14:paraId="7F6F2032" w14:textId="77777777">
            <w:pPr>
              <w:spacing w:before="60" w:after="60" w:line="254" w:lineRule="auto"/>
              <w:jc w:val="center"/>
              <w:rPr>
                <w:rFonts w:eastAsia="Calibri"/>
                <w:color w:val="000000"/>
              </w:rPr>
            </w:pPr>
            <w:r>
              <w:rPr>
                <w:rFonts w:eastAsia="Calibri"/>
              </w:rPr>
              <w:t>15.1</w:t>
            </w:r>
          </w:p>
        </w:tc>
        <w:tc>
          <w:tcPr>
            <w:tcW w:w="508" w:type="pct"/>
            <w:vAlign w:val="center"/>
            <w:hideMark/>
          </w:tcPr>
          <w:p w:rsidR="00AF5787" w:rsidP="00AF5787" w14:paraId="653321D0" w14:textId="77777777">
            <w:pPr>
              <w:spacing w:before="60" w:after="60" w:line="254" w:lineRule="auto"/>
              <w:jc w:val="center"/>
              <w:rPr>
                <w:rFonts w:eastAsia="Calibri"/>
                <w:color w:val="000000"/>
              </w:rPr>
            </w:pPr>
            <w:r>
              <w:rPr>
                <w:rFonts w:eastAsia="Calibri"/>
              </w:rPr>
              <w:t>14.6</w:t>
            </w:r>
          </w:p>
        </w:tc>
        <w:tc>
          <w:tcPr>
            <w:tcW w:w="508" w:type="pct"/>
          </w:tcPr>
          <w:p w:rsidR="00AF5787" w:rsidRPr="00AD63B8" w:rsidP="00AF5787" w14:paraId="75A507F1" w14:textId="291001BC">
            <w:pPr>
              <w:spacing w:before="60" w:after="60" w:line="254" w:lineRule="auto"/>
              <w:jc w:val="center"/>
              <w:rPr>
                <w:rFonts w:eastAsia="Calibri"/>
                <w:color w:val="FFFFFF" w:themeColor="background1"/>
              </w:rPr>
            </w:pPr>
            <w:r w:rsidRPr="00FC07C4">
              <w:rPr>
                <w:color w:val="FFFFFF" w:themeColor="background1"/>
              </w:rPr>
              <w:t>N/A</w:t>
            </w:r>
          </w:p>
        </w:tc>
        <w:tc>
          <w:tcPr>
            <w:tcW w:w="508" w:type="pct"/>
          </w:tcPr>
          <w:p w:rsidR="00AF5787" w:rsidRPr="00AD63B8" w:rsidP="00AF5787" w14:paraId="572EB185" w14:textId="28DAA389">
            <w:pPr>
              <w:spacing w:before="60" w:after="60" w:line="254" w:lineRule="auto"/>
              <w:jc w:val="center"/>
              <w:rPr>
                <w:rFonts w:eastAsia="Calibri"/>
                <w:color w:val="FFFFFF" w:themeColor="background1"/>
              </w:rPr>
            </w:pPr>
            <w:r w:rsidRPr="00D724C5">
              <w:rPr>
                <w:color w:val="FFFFFF" w:themeColor="background1"/>
              </w:rPr>
              <w:t>N/A</w:t>
            </w:r>
          </w:p>
        </w:tc>
      </w:tr>
      <w:tr w14:paraId="344DB48E" w14:textId="77777777" w:rsidTr="001D4AA4">
        <w:tblPrEx>
          <w:tblW w:w="5000" w:type="pct"/>
          <w:tblCellMar>
            <w:left w:w="0" w:type="dxa"/>
            <w:right w:w="0" w:type="dxa"/>
          </w:tblCellMar>
          <w:tblLook w:val="0700"/>
        </w:tblPrEx>
        <w:trPr>
          <w:cantSplit/>
        </w:trPr>
        <w:tc>
          <w:tcPr>
            <w:tcW w:w="428" w:type="pct"/>
            <w:noWrap/>
            <w:tcMar>
              <w:top w:w="29" w:type="dxa"/>
              <w:left w:w="115" w:type="dxa"/>
              <w:bottom w:w="29" w:type="dxa"/>
              <w:right w:w="115" w:type="dxa"/>
            </w:tcMar>
            <w:vAlign w:val="bottom"/>
            <w:hideMark/>
          </w:tcPr>
          <w:p w:rsidR="00AF5787" w:rsidP="00AF5787" w14:paraId="4F3AEE9E" w14:textId="77777777">
            <w:pPr>
              <w:spacing w:before="60" w:after="60" w:line="254" w:lineRule="auto"/>
              <w:ind w:left="-210" w:right="-110"/>
              <w:jc w:val="center"/>
              <w:rPr>
                <w:rFonts w:eastAsia="Calibri"/>
                <w:color w:val="000000"/>
              </w:rPr>
            </w:pPr>
            <w:r>
              <w:rPr>
                <w:rFonts w:eastAsia="Calibri"/>
                <w:color w:val="000000"/>
              </w:rPr>
              <w:t>8</w:t>
            </w:r>
          </w:p>
        </w:tc>
        <w:tc>
          <w:tcPr>
            <w:tcW w:w="508" w:type="pct"/>
            <w:noWrap/>
            <w:tcMar>
              <w:top w:w="29" w:type="dxa"/>
              <w:left w:w="115" w:type="dxa"/>
              <w:bottom w:w="29" w:type="dxa"/>
              <w:right w:w="115" w:type="dxa"/>
            </w:tcMar>
            <w:vAlign w:val="center"/>
            <w:hideMark/>
          </w:tcPr>
          <w:p w:rsidR="00AF5787" w:rsidP="00AF5787" w14:paraId="22E0F718" w14:textId="77777777">
            <w:pPr>
              <w:spacing w:before="60" w:after="60" w:line="254" w:lineRule="auto"/>
              <w:jc w:val="center"/>
              <w:rPr>
                <w:rFonts w:eastAsia="Calibri"/>
                <w:color w:val="000000"/>
              </w:rPr>
            </w:pPr>
            <w:r>
              <w:rPr>
                <w:rFonts w:eastAsia="Calibri"/>
              </w:rPr>
              <w:t>23.0</w:t>
            </w:r>
          </w:p>
        </w:tc>
        <w:tc>
          <w:tcPr>
            <w:tcW w:w="508" w:type="pct"/>
            <w:shd w:val="clear" w:color="auto" w:fill="DBDBDB"/>
            <w:tcMar>
              <w:top w:w="29" w:type="dxa"/>
              <w:left w:w="115" w:type="dxa"/>
              <w:bottom w:w="29" w:type="dxa"/>
              <w:right w:w="115" w:type="dxa"/>
            </w:tcMar>
            <w:vAlign w:val="center"/>
            <w:hideMark/>
          </w:tcPr>
          <w:p w:rsidR="00AF5787" w:rsidP="00AF5787" w14:paraId="2B742970" w14:textId="11214F2B">
            <w:pPr>
              <w:spacing w:before="60" w:after="60" w:line="254" w:lineRule="auto"/>
              <w:jc w:val="center"/>
              <w:rPr>
                <w:rFonts w:eastAsia="Calibri"/>
              </w:rPr>
            </w:pPr>
            <w:r>
              <w:rPr>
                <w:rFonts w:eastAsia="Calibri"/>
              </w:rPr>
              <w:t>21.9*</w:t>
            </w:r>
          </w:p>
        </w:tc>
        <w:tc>
          <w:tcPr>
            <w:tcW w:w="508" w:type="pct"/>
            <w:shd w:val="clear" w:color="auto" w:fill="DBDBDB"/>
            <w:tcMar>
              <w:top w:w="29" w:type="dxa"/>
              <w:left w:w="115" w:type="dxa"/>
              <w:bottom w:w="29" w:type="dxa"/>
              <w:right w:w="115" w:type="dxa"/>
            </w:tcMar>
            <w:vAlign w:val="center"/>
            <w:hideMark/>
          </w:tcPr>
          <w:p w:rsidR="00AF5787" w:rsidP="00AF5787" w14:paraId="22667FBC" w14:textId="427156F2">
            <w:pPr>
              <w:spacing w:before="60" w:after="60" w:line="254" w:lineRule="auto"/>
              <w:jc w:val="center"/>
              <w:rPr>
                <w:rFonts w:eastAsia="Calibri"/>
              </w:rPr>
            </w:pPr>
            <w:r>
              <w:rPr>
                <w:rFonts w:eastAsia="Calibri"/>
              </w:rPr>
              <w:t>21.6*</w:t>
            </w:r>
          </w:p>
        </w:tc>
        <w:tc>
          <w:tcPr>
            <w:tcW w:w="508" w:type="pct"/>
            <w:vAlign w:val="center"/>
            <w:hideMark/>
          </w:tcPr>
          <w:p w:rsidR="00AF5787" w:rsidP="00AF5787" w14:paraId="513F252A" w14:textId="77777777">
            <w:pPr>
              <w:spacing w:before="60" w:after="60" w:line="254" w:lineRule="auto"/>
              <w:jc w:val="center"/>
              <w:rPr>
                <w:rFonts w:eastAsia="Calibri"/>
                <w:color w:val="000000"/>
              </w:rPr>
            </w:pPr>
            <w:r>
              <w:rPr>
                <w:rFonts w:eastAsia="Calibri"/>
              </w:rPr>
              <w:t>22.5</w:t>
            </w:r>
          </w:p>
        </w:tc>
        <w:tc>
          <w:tcPr>
            <w:tcW w:w="508" w:type="pct"/>
            <w:vAlign w:val="center"/>
            <w:hideMark/>
          </w:tcPr>
          <w:p w:rsidR="00AF5787" w:rsidP="00AF5787" w14:paraId="7E819C3D" w14:textId="77777777">
            <w:pPr>
              <w:spacing w:before="60" w:after="60" w:line="254" w:lineRule="auto"/>
              <w:jc w:val="center"/>
              <w:rPr>
                <w:rFonts w:eastAsia="Calibri"/>
                <w:color w:val="000000"/>
              </w:rPr>
            </w:pPr>
            <w:r>
              <w:rPr>
                <w:rFonts w:eastAsia="Calibri"/>
              </w:rPr>
              <w:t>20.1</w:t>
            </w:r>
          </w:p>
        </w:tc>
        <w:tc>
          <w:tcPr>
            <w:tcW w:w="508" w:type="pct"/>
            <w:vAlign w:val="center"/>
            <w:hideMark/>
          </w:tcPr>
          <w:p w:rsidR="00AF5787" w:rsidP="00AF5787" w14:paraId="4D53C426" w14:textId="77777777">
            <w:pPr>
              <w:spacing w:before="60" w:after="60" w:line="254" w:lineRule="auto"/>
              <w:jc w:val="center"/>
              <w:rPr>
                <w:rFonts w:eastAsia="Calibri"/>
                <w:color w:val="000000"/>
              </w:rPr>
            </w:pPr>
            <w:r>
              <w:rPr>
                <w:rFonts w:eastAsia="Calibri"/>
              </w:rPr>
              <w:t>14.0</w:t>
            </w:r>
          </w:p>
        </w:tc>
        <w:tc>
          <w:tcPr>
            <w:tcW w:w="508" w:type="pct"/>
          </w:tcPr>
          <w:p w:rsidR="00AF5787" w:rsidRPr="00AD63B8" w:rsidP="00AF5787" w14:paraId="2198C68A" w14:textId="482F759B">
            <w:pPr>
              <w:spacing w:before="60" w:after="60" w:line="254" w:lineRule="auto"/>
              <w:jc w:val="center"/>
              <w:rPr>
                <w:rFonts w:eastAsia="Calibri"/>
                <w:color w:val="FFFFFF" w:themeColor="background1"/>
              </w:rPr>
            </w:pPr>
            <w:r w:rsidRPr="00AC76D6">
              <w:rPr>
                <w:color w:val="FFFFFF" w:themeColor="background1"/>
              </w:rPr>
              <w:t>N/A</w:t>
            </w:r>
          </w:p>
        </w:tc>
        <w:tc>
          <w:tcPr>
            <w:tcW w:w="508" w:type="pct"/>
          </w:tcPr>
          <w:p w:rsidR="00AF5787" w:rsidRPr="00AD63B8" w:rsidP="00AF5787" w14:paraId="7D0562B6" w14:textId="661F4397">
            <w:pPr>
              <w:spacing w:before="60" w:after="60" w:line="254" w:lineRule="auto"/>
              <w:jc w:val="center"/>
              <w:rPr>
                <w:rFonts w:eastAsia="Calibri"/>
                <w:color w:val="FFFFFF" w:themeColor="background1"/>
              </w:rPr>
            </w:pPr>
            <w:r w:rsidRPr="00FC07C4">
              <w:rPr>
                <w:color w:val="FFFFFF" w:themeColor="background1"/>
              </w:rPr>
              <w:t>N/A</w:t>
            </w:r>
          </w:p>
        </w:tc>
        <w:tc>
          <w:tcPr>
            <w:tcW w:w="508" w:type="pct"/>
          </w:tcPr>
          <w:p w:rsidR="00AF5787" w:rsidRPr="00AD63B8" w:rsidP="00AF5787" w14:paraId="52A8E45D" w14:textId="66C07444">
            <w:pPr>
              <w:spacing w:before="60" w:after="60" w:line="254" w:lineRule="auto"/>
              <w:jc w:val="center"/>
              <w:rPr>
                <w:rFonts w:eastAsia="Calibri"/>
                <w:color w:val="FFFFFF" w:themeColor="background1"/>
              </w:rPr>
            </w:pPr>
            <w:r w:rsidRPr="00D724C5">
              <w:rPr>
                <w:color w:val="FFFFFF" w:themeColor="background1"/>
              </w:rPr>
              <w:t>N/A</w:t>
            </w:r>
          </w:p>
        </w:tc>
      </w:tr>
      <w:tr w14:paraId="51A32E8F" w14:textId="77777777" w:rsidTr="001D4AA4">
        <w:tblPrEx>
          <w:tblW w:w="5000" w:type="pct"/>
          <w:tblCellMar>
            <w:left w:w="0" w:type="dxa"/>
            <w:right w:w="0" w:type="dxa"/>
          </w:tblCellMar>
          <w:tblLook w:val="0700"/>
        </w:tblPrEx>
        <w:trPr>
          <w:cantSplit/>
        </w:trPr>
        <w:tc>
          <w:tcPr>
            <w:tcW w:w="428" w:type="pct"/>
            <w:noWrap/>
            <w:tcMar>
              <w:top w:w="29" w:type="dxa"/>
              <w:left w:w="115" w:type="dxa"/>
              <w:bottom w:w="29" w:type="dxa"/>
              <w:right w:w="115" w:type="dxa"/>
            </w:tcMar>
            <w:vAlign w:val="bottom"/>
            <w:hideMark/>
          </w:tcPr>
          <w:p w:rsidR="00AF5787" w:rsidP="00AF5787" w14:paraId="24146D3A" w14:textId="77777777">
            <w:pPr>
              <w:spacing w:before="60" w:after="60" w:line="254" w:lineRule="auto"/>
              <w:ind w:left="-210" w:right="-110"/>
              <w:jc w:val="center"/>
              <w:rPr>
                <w:rFonts w:eastAsia="Calibri"/>
                <w:color w:val="000000"/>
              </w:rPr>
            </w:pPr>
            <w:r>
              <w:rPr>
                <w:rFonts w:eastAsia="Calibri"/>
                <w:color w:val="000000"/>
              </w:rPr>
              <w:t>9</w:t>
            </w:r>
          </w:p>
        </w:tc>
        <w:tc>
          <w:tcPr>
            <w:tcW w:w="508" w:type="pct"/>
            <w:shd w:val="clear" w:color="auto" w:fill="DBDBDB"/>
            <w:noWrap/>
            <w:tcMar>
              <w:top w:w="29" w:type="dxa"/>
              <w:left w:w="115" w:type="dxa"/>
              <w:bottom w:w="29" w:type="dxa"/>
              <w:right w:w="115" w:type="dxa"/>
            </w:tcMar>
            <w:vAlign w:val="center"/>
            <w:hideMark/>
          </w:tcPr>
          <w:p w:rsidR="00AF5787" w:rsidP="00AF5787" w14:paraId="3EAF020B" w14:textId="45E6E283">
            <w:pPr>
              <w:spacing w:before="60" w:after="60" w:line="254" w:lineRule="auto"/>
              <w:jc w:val="center"/>
              <w:rPr>
                <w:rFonts w:eastAsia="Calibri"/>
              </w:rPr>
            </w:pPr>
            <w:r>
              <w:rPr>
                <w:rFonts w:eastAsia="Calibri"/>
              </w:rPr>
              <w:t>22.7*</w:t>
            </w:r>
          </w:p>
        </w:tc>
        <w:tc>
          <w:tcPr>
            <w:tcW w:w="508" w:type="pct"/>
            <w:tcMar>
              <w:top w:w="29" w:type="dxa"/>
              <w:left w:w="115" w:type="dxa"/>
              <w:bottom w:w="29" w:type="dxa"/>
              <w:right w:w="115" w:type="dxa"/>
            </w:tcMar>
            <w:vAlign w:val="center"/>
            <w:hideMark/>
          </w:tcPr>
          <w:p w:rsidR="00AF5787" w:rsidP="00AF5787" w14:paraId="5AEE2DC5" w14:textId="77777777">
            <w:pPr>
              <w:spacing w:before="60" w:after="60" w:line="254" w:lineRule="auto"/>
              <w:jc w:val="center"/>
              <w:rPr>
                <w:rFonts w:eastAsia="Calibri"/>
                <w:color w:val="000000"/>
              </w:rPr>
            </w:pPr>
            <w:r>
              <w:rPr>
                <w:rFonts w:eastAsia="Calibri"/>
              </w:rPr>
              <w:t>22.1</w:t>
            </w:r>
          </w:p>
        </w:tc>
        <w:tc>
          <w:tcPr>
            <w:tcW w:w="508" w:type="pct"/>
            <w:tcMar>
              <w:top w:w="29" w:type="dxa"/>
              <w:left w:w="115" w:type="dxa"/>
              <w:bottom w:w="29" w:type="dxa"/>
              <w:right w:w="115" w:type="dxa"/>
            </w:tcMar>
            <w:vAlign w:val="center"/>
            <w:hideMark/>
          </w:tcPr>
          <w:p w:rsidR="00AF5787" w:rsidP="00AF5787" w14:paraId="7E5ECD3B" w14:textId="77777777">
            <w:pPr>
              <w:spacing w:before="60" w:after="60" w:line="254" w:lineRule="auto"/>
              <w:jc w:val="center"/>
              <w:rPr>
                <w:rFonts w:eastAsia="Calibri"/>
                <w:color w:val="000000"/>
              </w:rPr>
            </w:pPr>
            <w:r>
              <w:rPr>
                <w:rFonts w:eastAsia="Calibri"/>
              </w:rPr>
              <w:t>22.7</w:t>
            </w:r>
          </w:p>
        </w:tc>
        <w:tc>
          <w:tcPr>
            <w:tcW w:w="508" w:type="pct"/>
            <w:vAlign w:val="center"/>
            <w:hideMark/>
          </w:tcPr>
          <w:p w:rsidR="00AF5787" w:rsidP="00AF5787" w14:paraId="15F45B81" w14:textId="77777777">
            <w:pPr>
              <w:spacing w:before="60" w:after="60" w:line="254" w:lineRule="auto"/>
              <w:jc w:val="center"/>
              <w:rPr>
                <w:rFonts w:eastAsia="Calibri"/>
                <w:color w:val="000000"/>
              </w:rPr>
            </w:pPr>
            <w:r>
              <w:rPr>
                <w:rFonts w:eastAsia="Calibri"/>
              </w:rPr>
              <w:t>21.0</w:t>
            </w:r>
          </w:p>
        </w:tc>
        <w:tc>
          <w:tcPr>
            <w:tcW w:w="508" w:type="pct"/>
            <w:vAlign w:val="center"/>
            <w:hideMark/>
          </w:tcPr>
          <w:p w:rsidR="00AF5787" w:rsidP="00AF5787" w14:paraId="5A671C22" w14:textId="77777777">
            <w:pPr>
              <w:spacing w:before="60" w:after="60" w:line="254" w:lineRule="auto"/>
              <w:jc w:val="center"/>
              <w:rPr>
                <w:rFonts w:eastAsia="Calibri"/>
                <w:color w:val="000000"/>
              </w:rPr>
            </w:pPr>
            <w:r>
              <w:rPr>
                <w:rFonts w:eastAsia="Calibri"/>
              </w:rPr>
              <w:t>18.6</w:t>
            </w:r>
          </w:p>
        </w:tc>
        <w:tc>
          <w:tcPr>
            <w:tcW w:w="508" w:type="pct"/>
            <w:vAlign w:val="center"/>
            <w:hideMark/>
          </w:tcPr>
          <w:p w:rsidR="00AF5787" w:rsidP="00AF5787" w14:paraId="40AF2E00" w14:textId="77777777">
            <w:pPr>
              <w:spacing w:before="60" w:after="60" w:line="254" w:lineRule="auto"/>
              <w:jc w:val="center"/>
              <w:rPr>
                <w:rFonts w:eastAsia="Calibri"/>
                <w:color w:val="000000"/>
              </w:rPr>
            </w:pPr>
            <w:r>
              <w:rPr>
                <w:rFonts w:eastAsia="Calibri"/>
              </w:rPr>
              <w:t>13.0</w:t>
            </w:r>
          </w:p>
        </w:tc>
        <w:tc>
          <w:tcPr>
            <w:tcW w:w="508" w:type="pct"/>
          </w:tcPr>
          <w:p w:rsidR="00AF5787" w:rsidRPr="00AD63B8" w:rsidP="00AF5787" w14:paraId="1B849430" w14:textId="5FBF96F2">
            <w:pPr>
              <w:spacing w:before="60" w:after="60" w:line="254" w:lineRule="auto"/>
              <w:jc w:val="center"/>
              <w:rPr>
                <w:rFonts w:eastAsia="Calibri"/>
                <w:color w:val="FFFFFF" w:themeColor="background1"/>
              </w:rPr>
            </w:pPr>
            <w:r w:rsidRPr="00AC76D6">
              <w:rPr>
                <w:color w:val="FFFFFF" w:themeColor="background1"/>
              </w:rPr>
              <w:t>N/A</w:t>
            </w:r>
          </w:p>
        </w:tc>
        <w:tc>
          <w:tcPr>
            <w:tcW w:w="508" w:type="pct"/>
          </w:tcPr>
          <w:p w:rsidR="00AF5787" w:rsidRPr="00AD63B8" w:rsidP="00AF5787" w14:paraId="4835B547" w14:textId="5870DDD5">
            <w:pPr>
              <w:spacing w:before="60" w:after="60" w:line="254" w:lineRule="auto"/>
              <w:jc w:val="center"/>
              <w:rPr>
                <w:rFonts w:eastAsia="Calibri"/>
                <w:color w:val="FFFFFF" w:themeColor="background1"/>
              </w:rPr>
            </w:pPr>
            <w:r w:rsidRPr="00FC07C4">
              <w:rPr>
                <w:color w:val="FFFFFF" w:themeColor="background1"/>
              </w:rPr>
              <w:t>N/A</w:t>
            </w:r>
          </w:p>
        </w:tc>
        <w:tc>
          <w:tcPr>
            <w:tcW w:w="508" w:type="pct"/>
          </w:tcPr>
          <w:p w:rsidR="00AF5787" w:rsidRPr="00AD63B8" w:rsidP="00AF5787" w14:paraId="4F783557" w14:textId="00394912">
            <w:pPr>
              <w:spacing w:before="60" w:after="60" w:line="254" w:lineRule="auto"/>
              <w:jc w:val="center"/>
              <w:rPr>
                <w:rFonts w:eastAsia="Calibri"/>
                <w:color w:val="FFFFFF" w:themeColor="background1"/>
              </w:rPr>
            </w:pPr>
            <w:r w:rsidRPr="00D724C5">
              <w:rPr>
                <w:color w:val="FFFFFF" w:themeColor="background1"/>
              </w:rPr>
              <w:t>N/A</w:t>
            </w:r>
          </w:p>
        </w:tc>
      </w:tr>
      <w:tr w14:paraId="6BD6CCA3" w14:textId="77777777" w:rsidTr="001D4AA4">
        <w:tblPrEx>
          <w:tblW w:w="5000" w:type="pct"/>
          <w:tblCellMar>
            <w:left w:w="0" w:type="dxa"/>
            <w:right w:w="0" w:type="dxa"/>
          </w:tblCellMar>
          <w:tblLook w:val="0700"/>
        </w:tblPrEx>
        <w:trPr>
          <w:cantSplit/>
        </w:trPr>
        <w:tc>
          <w:tcPr>
            <w:tcW w:w="428" w:type="pct"/>
            <w:noWrap/>
            <w:tcMar>
              <w:top w:w="29" w:type="dxa"/>
              <w:left w:w="115" w:type="dxa"/>
              <w:bottom w:w="29" w:type="dxa"/>
              <w:right w:w="115" w:type="dxa"/>
            </w:tcMar>
            <w:vAlign w:val="bottom"/>
            <w:hideMark/>
          </w:tcPr>
          <w:p w:rsidR="00AF5787" w:rsidP="00AF5787" w14:paraId="7C3E09A0" w14:textId="77777777">
            <w:pPr>
              <w:spacing w:before="60" w:after="60" w:line="254" w:lineRule="auto"/>
              <w:ind w:left="-210" w:right="-110"/>
              <w:jc w:val="center"/>
              <w:rPr>
                <w:rFonts w:eastAsia="Calibri"/>
                <w:color w:val="000000"/>
              </w:rPr>
            </w:pPr>
            <w:r>
              <w:rPr>
                <w:rFonts w:eastAsia="Calibri"/>
                <w:color w:val="000000"/>
              </w:rPr>
              <w:t>10</w:t>
            </w:r>
          </w:p>
        </w:tc>
        <w:tc>
          <w:tcPr>
            <w:tcW w:w="508" w:type="pct"/>
            <w:noWrap/>
            <w:tcMar>
              <w:top w:w="29" w:type="dxa"/>
              <w:left w:w="115" w:type="dxa"/>
              <w:bottom w:w="29" w:type="dxa"/>
              <w:right w:w="115" w:type="dxa"/>
            </w:tcMar>
            <w:vAlign w:val="center"/>
            <w:hideMark/>
          </w:tcPr>
          <w:p w:rsidR="00AF5787" w:rsidP="00AF5787" w14:paraId="73042B9E" w14:textId="77777777">
            <w:pPr>
              <w:spacing w:before="60" w:after="60" w:line="254" w:lineRule="auto"/>
              <w:jc w:val="center"/>
              <w:rPr>
                <w:rFonts w:eastAsia="Calibri"/>
                <w:color w:val="000000"/>
              </w:rPr>
            </w:pPr>
            <w:r>
              <w:rPr>
                <w:rFonts w:eastAsia="Calibri"/>
              </w:rPr>
              <w:t>21.7</w:t>
            </w:r>
          </w:p>
        </w:tc>
        <w:tc>
          <w:tcPr>
            <w:tcW w:w="508" w:type="pct"/>
            <w:tcMar>
              <w:top w:w="29" w:type="dxa"/>
              <w:left w:w="115" w:type="dxa"/>
              <w:bottom w:w="29" w:type="dxa"/>
              <w:right w:w="115" w:type="dxa"/>
            </w:tcMar>
            <w:vAlign w:val="center"/>
            <w:hideMark/>
          </w:tcPr>
          <w:p w:rsidR="00AF5787" w:rsidP="00AF5787" w14:paraId="020A4D34" w14:textId="77777777">
            <w:pPr>
              <w:spacing w:before="60" w:after="60" w:line="254" w:lineRule="auto"/>
              <w:jc w:val="center"/>
              <w:rPr>
                <w:rFonts w:eastAsia="Calibri"/>
                <w:color w:val="000000"/>
              </w:rPr>
            </w:pPr>
            <w:r>
              <w:rPr>
                <w:rFonts w:eastAsia="Calibri"/>
              </w:rPr>
              <w:t>21.8</w:t>
            </w:r>
          </w:p>
        </w:tc>
        <w:tc>
          <w:tcPr>
            <w:tcW w:w="508" w:type="pct"/>
            <w:tcMar>
              <w:top w:w="29" w:type="dxa"/>
              <w:left w:w="115" w:type="dxa"/>
              <w:bottom w:w="29" w:type="dxa"/>
              <w:right w:w="115" w:type="dxa"/>
            </w:tcMar>
            <w:vAlign w:val="center"/>
            <w:hideMark/>
          </w:tcPr>
          <w:p w:rsidR="00AF5787" w:rsidP="00AF5787" w14:paraId="604080A8" w14:textId="77777777">
            <w:pPr>
              <w:spacing w:before="60" w:after="60" w:line="254" w:lineRule="auto"/>
              <w:jc w:val="center"/>
              <w:rPr>
                <w:rFonts w:eastAsia="Calibri"/>
                <w:color w:val="000000"/>
              </w:rPr>
            </w:pPr>
            <w:r>
              <w:rPr>
                <w:rFonts w:eastAsia="Calibri"/>
              </w:rPr>
              <w:t>20.7</w:t>
            </w:r>
          </w:p>
        </w:tc>
        <w:tc>
          <w:tcPr>
            <w:tcW w:w="508" w:type="pct"/>
            <w:vAlign w:val="center"/>
            <w:hideMark/>
          </w:tcPr>
          <w:p w:rsidR="00AF5787" w:rsidP="00AF5787" w14:paraId="259492CA" w14:textId="77777777">
            <w:pPr>
              <w:spacing w:before="60" w:after="60" w:line="254" w:lineRule="auto"/>
              <w:jc w:val="center"/>
              <w:rPr>
                <w:rFonts w:eastAsia="Calibri"/>
                <w:color w:val="000000"/>
              </w:rPr>
            </w:pPr>
            <w:r>
              <w:rPr>
                <w:rFonts w:eastAsia="Calibri"/>
              </w:rPr>
              <w:t>19.0</w:t>
            </w:r>
          </w:p>
        </w:tc>
        <w:tc>
          <w:tcPr>
            <w:tcW w:w="508" w:type="pct"/>
            <w:vAlign w:val="center"/>
            <w:hideMark/>
          </w:tcPr>
          <w:p w:rsidR="00AF5787" w:rsidP="00AF5787" w14:paraId="4FD00D20" w14:textId="77777777">
            <w:pPr>
              <w:spacing w:before="60" w:after="60" w:line="254" w:lineRule="auto"/>
              <w:jc w:val="center"/>
              <w:rPr>
                <w:rFonts w:eastAsia="Calibri"/>
                <w:color w:val="000000"/>
              </w:rPr>
            </w:pPr>
            <w:r>
              <w:rPr>
                <w:rFonts w:eastAsia="Calibri"/>
              </w:rPr>
              <w:t>17.1</w:t>
            </w:r>
          </w:p>
        </w:tc>
        <w:tc>
          <w:tcPr>
            <w:tcW w:w="508" w:type="pct"/>
            <w:vAlign w:val="center"/>
            <w:hideMark/>
          </w:tcPr>
          <w:p w:rsidR="00AF5787" w:rsidP="00AF5787" w14:paraId="7B9451DF" w14:textId="77777777">
            <w:pPr>
              <w:spacing w:before="60" w:after="60" w:line="254" w:lineRule="auto"/>
              <w:jc w:val="center"/>
              <w:rPr>
                <w:rFonts w:eastAsia="Calibri"/>
                <w:color w:val="000000"/>
              </w:rPr>
            </w:pPr>
            <w:r>
              <w:rPr>
                <w:rFonts w:eastAsia="Calibri"/>
              </w:rPr>
              <w:t>12.3</w:t>
            </w:r>
          </w:p>
        </w:tc>
        <w:tc>
          <w:tcPr>
            <w:tcW w:w="508" w:type="pct"/>
          </w:tcPr>
          <w:p w:rsidR="00AF5787" w:rsidRPr="00AD63B8" w:rsidP="00AF5787" w14:paraId="0415E2A2" w14:textId="540EA15F">
            <w:pPr>
              <w:spacing w:before="60" w:after="60" w:line="254" w:lineRule="auto"/>
              <w:jc w:val="center"/>
              <w:rPr>
                <w:rFonts w:eastAsia="Calibri"/>
                <w:color w:val="FFFFFF" w:themeColor="background1"/>
              </w:rPr>
            </w:pPr>
            <w:r w:rsidRPr="00AC76D6">
              <w:rPr>
                <w:color w:val="FFFFFF" w:themeColor="background1"/>
              </w:rPr>
              <w:t>N/A</w:t>
            </w:r>
          </w:p>
        </w:tc>
        <w:tc>
          <w:tcPr>
            <w:tcW w:w="508" w:type="pct"/>
          </w:tcPr>
          <w:p w:rsidR="00AF5787" w:rsidRPr="00AD63B8" w:rsidP="00AF5787" w14:paraId="56A415D3" w14:textId="7CFB1662">
            <w:pPr>
              <w:spacing w:before="60" w:after="60" w:line="254" w:lineRule="auto"/>
              <w:jc w:val="center"/>
              <w:rPr>
                <w:rFonts w:eastAsia="Calibri"/>
                <w:color w:val="FFFFFF" w:themeColor="background1"/>
              </w:rPr>
            </w:pPr>
            <w:r w:rsidRPr="00FC07C4">
              <w:rPr>
                <w:color w:val="FFFFFF" w:themeColor="background1"/>
              </w:rPr>
              <w:t>N/A</w:t>
            </w:r>
          </w:p>
        </w:tc>
        <w:tc>
          <w:tcPr>
            <w:tcW w:w="508" w:type="pct"/>
          </w:tcPr>
          <w:p w:rsidR="00AF5787" w:rsidRPr="00AD63B8" w:rsidP="00AF5787" w14:paraId="6FE62999" w14:textId="30B4EE63">
            <w:pPr>
              <w:spacing w:before="60" w:after="60" w:line="254" w:lineRule="auto"/>
              <w:jc w:val="center"/>
              <w:rPr>
                <w:rFonts w:eastAsia="Calibri"/>
                <w:color w:val="FFFFFF" w:themeColor="background1"/>
              </w:rPr>
            </w:pPr>
            <w:r w:rsidRPr="00D724C5">
              <w:rPr>
                <w:color w:val="FFFFFF" w:themeColor="background1"/>
              </w:rPr>
              <w:t>N/A</w:t>
            </w:r>
          </w:p>
        </w:tc>
      </w:tr>
      <w:tr w14:paraId="03A339E9" w14:textId="77777777" w:rsidTr="001D4AA4">
        <w:tblPrEx>
          <w:tblW w:w="5000" w:type="pct"/>
          <w:tblCellMar>
            <w:left w:w="0" w:type="dxa"/>
            <w:right w:w="0" w:type="dxa"/>
          </w:tblCellMar>
          <w:tblLook w:val="0700"/>
        </w:tblPrEx>
        <w:trPr>
          <w:cantSplit/>
        </w:trPr>
        <w:tc>
          <w:tcPr>
            <w:tcW w:w="428" w:type="pct"/>
            <w:noWrap/>
            <w:tcMar>
              <w:top w:w="29" w:type="dxa"/>
              <w:left w:w="115" w:type="dxa"/>
              <w:bottom w:w="29" w:type="dxa"/>
              <w:right w:w="115" w:type="dxa"/>
            </w:tcMar>
            <w:vAlign w:val="bottom"/>
            <w:hideMark/>
          </w:tcPr>
          <w:p w:rsidR="00AF5787" w:rsidP="00AF5787" w14:paraId="2A75855F" w14:textId="77777777">
            <w:pPr>
              <w:spacing w:before="60" w:after="60" w:line="254" w:lineRule="auto"/>
              <w:ind w:left="-210" w:right="-110"/>
              <w:jc w:val="center"/>
              <w:rPr>
                <w:rFonts w:eastAsia="Calibri"/>
                <w:color w:val="000000"/>
              </w:rPr>
            </w:pPr>
            <w:r>
              <w:rPr>
                <w:rFonts w:eastAsia="Calibri"/>
                <w:color w:val="000000"/>
              </w:rPr>
              <w:t>11</w:t>
            </w:r>
          </w:p>
        </w:tc>
        <w:tc>
          <w:tcPr>
            <w:tcW w:w="508" w:type="pct"/>
            <w:noWrap/>
            <w:tcMar>
              <w:top w:w="29" w:type="dxa"/>
              <w:left w:w="115" w:type="dxa"/>
              <w:bottom w:w="29" w:type="dxa"/>
              <w:right w:w="115" w:type="dxa"/>
            </w:tcMar>
            <w:vAlign w:val="center"/>
            <w:hideMark/>
          </w:tcPr>
          <w:p w:rsidR="00AF5787" w:rsidP="00AF5787" w14:paraId="798A6699" w14:textId="77777777">
            <w:pPr>
              <w:spacing w:before="60" w:after="60" w:line="254" w:lineRule="auto"/>
              <w:jc w:val="center"/>
              <w:rPr>
                <w:rFonts w:eastAsia="Calibri"/>
                <w:color w:val="000000"/>
              </w:rPr>
            </w:pPr>
            <w:r>
              <w:rPr>
                <w:rFonts w:eastAsia="Calibri"/>
                <w:color w:val="000000"/>
              </w:rPr>
              <w:t>21.7</w:t>
            </w:r>
          </w:p>
        </w:tc>
        <w:tc>
          <w:tcPr>
            <w:tcW w:w="508" w:type="pct"/>
            <w:tcMar>
              <w:top w:w="29" w:type="dxa"/>
              <w:left w:w="115" w:type="dxa"/>
              <w:bottom w:w="29" w:type="dxa"/>
              <w:right w:w="115" w:type="dxa"/>
            </w:tcMar>
            <w:vAlign w:val="center"/>
            <w:hideMark/>
          </w:tcPr>
          <w:p w:rsidR="00AF5787" w:rsidP="00AF5787" w14:paraId="4D8EFAA9" w14:textId="77777777">
            <w:pPr>
              <w:spacing w:before="60" w:after="60" w:line="254" w:lineRule="auto"/>
              <w:jc w:val="center"/>
              <w:rPr>
                <w:rFonts w:eastAsia="Calibri"/>
                <w:color w:val="000000"/>
              </w:rPr>
            </w:pPr>
            <w:r>
              <w:rPr>
                <w:rFonts w:eastAsia="Calibri"/>
              </w:rPr>
              <w:t>20.4</w:t>
            </w:r>
          </w:p>
        </w:tc>
        <w:tc>
          <w:tcPr>
            <w:tcW w:w="508" w:type="pct"/>
            <w:tcMar>
              <w:top w:w="29" w:type="dxa"/>
              <w:left w:w="115" w:type="dxa"/>
              <w:bottom w:w="29" w:type="dxa"/>
              <w:right w:w="115" w:type="dxa"/>
            </w:tcMar>
            <w:vAlign w:val="center"/>
            <w:hideMark/>
          </w:tcPr>
          <w:p w:rsidR="00AF5787" w:rsidP="00AF5787" w14:paraId="013301A3" w14:textId="77777777">
            <w:pPr>
              <w:spacing w:before="60" w:after="60" w:line="254" w:lineRule="auto"/>
              <w:jc w:val="center"/>
              <w:rPr>
                <w:rFonts w:eastAsia="Calibri"/>
                <w:color w:val="000000"/>
              </w:rPr>
            </w:pPr>
            <w:r>
              <w:rPr>
                <w:rFonts w:eastAsia="Calibri"/>
                <w:color w:val="000000"/>
              </w:rPr>
              <w:t>20.3</w:t>
            </w:r>
          </w:p>
        </w:tc>
        <w:tc>
          <w:tcPr>
            <w:tcW w:w="508" w:type="pct"/>
            <w:vAlign w:val="center"/>
            <w:hideMark/>
          </w:tcPr>
          <w:p w:rsidR="00AF5787" w:rsidP="00AF5787" w14:paraId="1CD26E55" w14:textId="77777777">
            <w:pPr>
              <w:spacing w:before="60" w:after="60" w:line="254" w:lineRule="auto"/>
              <w:jc w:val="center"/>
              <w:rPr>
                <w:rFonts w:eastAsia="Calibri"/>
                <w:color w:val="000000"/>
              </w:rPr>
            </w:pPr>
            <w:r>
              <w:rPr>
                <w:rFonts w:eastAsia="Calibri"/>
              </w:rPr>
              <w:t>18.8</w:t>
            </w:r>
          </w:p>
        </w:tc>
        <w:tc>
          <w:tcPr>
            <w:tcW w:w="508" w:type="pct"/>
            <w:vAlign w:val="center"/>
            <w:hideMark/>
          </w:tcPr>
          <w:p w:rsidR="00AF5787" w:rsidP="00AF5787" w14:paraId="4FDF7B7C" w14:textId="77777777">
            <w:pPr>
              <w:spacing w:before="60" w:after="60" w:line="254" w:lineRule="auto"/>
              <w:jc w:val="center"/>
              <w:rPr>
                <w:rFonts w:eastAsia="Calibri"/>
                <w:color w:val="000000"/>
              </w:rPr>
            </w:pPr>
            <w:r>
              <w:rPr>
                <w:rFonts w:eastAsia="Calibri"/>
              </w:rPr>
              <w:t>17.1</w:t>
            </w:r>
          </w:p>
        </w:tc>
        <w:tc>
          <w:tcPr>
            <w:tcW w:w="508" w:type="pct"/>
            <w:vAlign w:val="center"/>
          </w:tcPr>
          <w:p w:rsidR="00AF5787" w:rsidP="00AF5787" w14:paraId="4B9129C3" w14:textId="417FF25C">
            <w:pPr>
              <w:spacing w:before="60" w:after="60" w:line="254" w:lineRule="auto"/>
              <w:jc w:val="center"/>
              <w:rPr>
                <w:rFonts w:eastAsia="Calibri"/>
                <w:color w:val="000000"/>
              </w:rPr>
            </w:pPr>
            <w:r w:rsidRPr="00AF5787">
              <w:rPr>
                <w:rFonts w:eastAsia="Calibri"/>
                <w:color w:val="FFFFFF" w:themeColor="background1"/>
              </w:rPr>
              <w:t>N/A</w:t>
            </w:r>
          </w:p>
        </w:tc>
        <w:tc>
          <w:tcPr>
            <w:tcW w:w="508" w:type="pct"/>
          </w:tcPr>
          <w:p w:rsidR="00AF5787" w:rsidRPr="00AD63B8" w:rsidP="00AF5787" w14:paraId="1AFBFA9B" w14:textId="5051A316">
            <w:pPr>
              <w:spacing w:before="60" w:after="60" w:line="254" w:lineRule="auto"/>
              <w:jc w:val="center"/>
              <w:rPr>
                <w:rFonts w:eastAsia="Calibri"/>
                <w:color w:val="FFFFFF" w:themeColor="background1"/>
              </w:rPr>
            </w:pPr>
            <w:r w:rsidRPr="00AC76D6">
              <w:rPr>
                <w:color w:val="FFFFFF" w:themeColor="background1"/>
              </w:rPr>
              <w:t>N/A</w:t>
            </w:r>
          </w:p>
        </w:tc>
        <w:tc>
          <w:tcPr>
            <w:tcW w:w="508" w:type="pct"/>
          </w:tcPr>
          <w:p w:rsidR="00AF5787" w:rsidRPr="00AD63B8" w:rsidP="00AF5787" w14:paraId="4FC9BAD7" w14:textId="47969DEB">
            <w:pPr>
              <w:spacing w:before="60" w:after="60" w:line="254" w:lineRule="auto"/>
              <w:jc w:val="center"/>
              <w:rPr>
                <w:rFonts w:eastAsia="Calibri"/>
                <w:color w:val="FFFFFF" w:themeColor="background1"/>
              </w:rPr>
            </w:pPr>
            <w:r w:rsidRPr="00FC07C4">
              <w:rPr>
                <w:color w:val="FFFFFF" w:themeColor="background1"/>
              </w:rPr>
              <w:t>N/A</w:t>
            </w:r>
          </w:p>
        </w:tc>
        <w:tc>
          <w:tcPr>
            <w:tcW w:w="508" w:type="pct"/>
          </w:tcPr>
          <w:p w:rsidR="00AF5787" w:rsidRPr="00AD63B8" w:rsidP="00AF5787" w14:paraId="09119C3B" w14:textId="282A244F">
            <w:pPr>
              <w:spacing w:before="60" w:after="60" w:line="254" w:lineRule="auto"/>
              <w:jc w:val="center"/>
              <w:rPr>
                <w:rFonts w:eastAsia="Calibri"/>
                <w:color w:val="FFFFFF" w:themeColor="background1"/>
              </w:rPr>
            </w:pPr>
            <w:r w:rsidRPr="00D724C5">
              <w:rPr>
                <w:color w:val="FFFFFF" w:themeColor="background1"/>
              </w:rPr>
              <w:t>N/A</w:t>
            </w:r>
          </w:p>
        </w:tc>
      </w:tr>
    </w:tbl>
    <w:p w:rsidR="00D8684D" w:rsidP="00D8684D" w14:paraId="0F33F2A0" w14:textId="77777777">
      <w:pPr>
        <w:pStyle w:val="Note"/>
      </w:pPr>
      <w:r>
        <w:t xml:space="preserve">Note: </w:t>
      </w:r>
      <w:bookmarkEnd w:id="16"/>
      <w:r w:rsidRPr="00D94F41" w:rsidR="0077371E">
        <w:t xml:space="preserve">In rounds </w:t>
      </w:r>
      <w:r w:rsidRPr="00D94F41" w:rsidR="0077371E">
        <w:t>where</w:t>
      </w:r>
      <w:r w:rsidRPr="00D94F41" w:rsidR="0077371E">
        <w:t xml:space="preserve"> some cases are intentionally not fielded</w:t>
      </w:r>
      <w:r w:rsidR="006362A6">
        <w:t>, or “not in round” (NIR)</w:t>
      </w:r>
      <w:r w:rsidRPr="00D94F41" w:rsidR="0077371E">
        <w:t>, unconditional response rates will be lower than they would have been if all eligible cases were fielded</w:t>
      </w:r>
      <w:r w:rsidR="006362A6">
        <w:t xml:space="preserve">. </w:t>
      </w:r>
    </w:p>
    <w:p w:rsidR="006938AE" w:rsidRPr="00D94F41" w:rsidP="00D8684D" w14:paraId="2B276C5A" w14:textId="28A0681F">
      <w:pPr>
        <w:pStyle w:val="Note"/>
        <w:spacing w:before="0"/>
      </w:pPr>
      <w:r w:rsidRPr="00D8684D">
        <w:t>*</w:t>
      </w:r>
      <w:r>
        <w:t xml:space="preserve"> C</w:t>
      </w:r>
      <w:r w:rsidR="006362A6">
        <w:t xml:space="preserve">ells reflect rounds that </w:t>
      </w:r>
      <w:r w:rsidR="006362A6">
        <w:t>included</w:t>
      </w:r>
      <w:r w:rsidR="006362A6">
        <w:t xml:space="preserve"> intentional NIRs.</w:t>
      </w:r>
    </w:p>
    <w:p w:rsidR="00CC2F25" w:rsidP="00CA1E06" w14:paraId="2CEDDA24" w14:textId="77777777">
      <w:pPr>
        <w:pStyle w:val="ListNumber"/>
        <w:numPr>
          <w:ilvl w:val="0"/>
          <w:numId w:val="0"/>
        </w:numPr>
      </w:pPr>
    </w:p>
    <w:p w:rsidR="00D8684D" w:rsidP="00CA1E06" w14:paraId="2AF2B7EE" w14:textId="77777777">
      <w:pPr>
        <w:pStyle w:val="ListNumber"/>
        <w:numPr>
          <w:ilvl w:val="0"/>
          <w:numId w:val="0"/>
        </w:numPr>
        <w:sectPr w:rsidSect="00610910">
          <w:footerReference w:type="default" r:id="rId9"/>
          <w:pgSz w:w="15840" w:h="12240" w:orient="landscape" w:code="1"/>
          <w:pgMar w:top="1080" w:right="1080" w:bottom="1080" w:left="1080" w:header="720" w:footer="720" w:gutter="0"/>
          <w:cols w:space="720"/>
          <w:docGrid w:linePitch="299"/>
        </w:sectPr>
      </w:pPr>
    </w:p>
    <w:p w:rsidR="0088452B" w:rsidRPr="00D94F41" w:rsidP="00B13DA1" w14:paraId="302AFB74" w14:textId="1932451B">
      <w:pPr>
        <w:pStyle w:val="ListNumber"/>
        <w:tabs>
          <w:tab w:val="clear" w:pos="360"/>
        </w:tabs>
        <w:ind w:left="720"/>
      </w:pPr>
      <w:r w:rsidRPr="00B13DA1">
        <w:rPr>
          <w:i/>
          <w:iCs/>
        </w:rPr>
        <w:t>Selection of beneficiaries.</w:t>
      </w:r>
      <w:r w:rsidRPr="00D94F41">
        <w:t xml:space="preserve"> </w:t>
      </w:r>
      <w:bookmarkStart w:id="17" w:name="OLE_LINK9"/>
      <w:r w:rsidR="00535471">
        <w:t>A</w:t>
      </w:r>
      <w:r w:rsidR="00F11CA0">
        <w:t xml:space="preserve">n annual </w:t>
      </w:r>
      <w:r w:rsidRPr="00D94F41" w:rsidR="00505BED">
        <w:t>Incoming Panel</w:t>
      </w:r>
      <w:r w:rsidRPr="00D94F41">
        <w:t xml:space="preserve"> sample of beneficiaries </w:t>
      </w:r>
      <w:r w:rsidR="00F11CA0">
        <w:t xml:space="preserve">is </w:t>
      </w:r>
      <w:r w:rsidRPr="00D94F41">
        <w:t>selected from the Medicare administrative enrollment data</w:t>
      </w:r>
      <w:bookmarkEnd w:id="17"/>
      <w:r w:rsidRPr="00D94F41">
        <w:t xml:space="preserve">. </w:t>
      </w:r>
      <w:r w:rsidR="001E44D4">
        <w:t>Beginning with t</w:t>
      </w:r>
      <w:r w:rsidRPr="00D94F41" w:rsidR="00B84776">
        <w:t>h</w:t>
      </w:r>
      <w:r w:rsidR="00B84776">
        <w:t>e</w:t>
      </w:r>
      <w:r w:rsidRPr="00D94F41" w:rsidR="00B84776">
        <w:t xml:space="preserve"> </w:t>
      </w:r>
      <w:r w:rsidR="00B84776">
        <w:t>2026 redesign</w:t>
      </w:r>
      <w:r w:rsidR="001E44D4">
        <w:t>, each year’s</w:t>
      </w:r>
      <w:r w:rsidR="00C7144C">
        <w:t xml:space="preserve"> </w:t>
      </w:r>
      <w:r w:rsidR="009630D0">
        <w:t xml:space="preserve">national </w:t>
      </w:r>
      <w:r w:rsidRPr="00D94F41">
        <w:t xml:space="preserve">sample </w:t>
      </w:r>
      <w:r w:rsidR="00C13D9E">
        <w:t>are</w:t>
      </w:r>
      <w:r w:rsidRPr="00D94F41">
        <w:t xml:space="preserve"> </w:t>
      </w:r>
      <w:r w:rsidR="00EE73BD">
        <w:t>stratified by state</w:t>
      </w:r>
      <w:r w:rsidRPr="00D94F41">
        <w:t xml:space="preserve"> and </w:t>
      </w:r>
      <w:r w:rsidR="00B84776">
        <w:t>by three age groups (beneficiaries under-65, 65-79, and 80 or older)</w:t>
      </w:r>
      <w:r w:rsidRPr="00D94F41">
        <w:t xml:space="preserve">. </w:t>
      </w:r>
      <w:r w:rsidR="00B84776">
        <w:t xml:space="preserve">Beneficiaries </w:t>
      </w:r>
      <w:r w:rsidR="00FD6F49">
        <w:t>are</w:t>
      </w:r>
      <w:r w:rsidR="00B84776">
        <w:t xml:space="preserve"> selected from within each state to achieve a minimum of </w:t>
      </w:r>
      <w:r w:rsidR="00C13D9E">
        <w:t>277</w:t>
      </w:r>
      <w:r w:rsidR="00B84776">
        <w:t>completed interviews, a target developed to achieve the desired level of precision in state-level estimates</w:t>
      </w:r>
      <w:r w:rsidR="00C13D9E">
        <w:t xml:space="preserve"> by 2029,</w:t>
      </w:r>
      <w:r w:rsidR="0006667B">
        <w:t xml:space="preserve"> </w:t>
      </w:r>
      <w:r w:rsidR="00C13D9E">
        <w:t>after</w:t>
      </w:r>
      <w:r w:rsidR="0006667B">
        <w:t xml:space="preserve"> the </w:t>
      </w:r>
      <w:r w:rsidR="00945E1A">
        <w:t>four</w:t>
      </w:r>
      <w:r w:rsidR="0006667B">
        <w:t>-year staged implementation of the design</w:t>
      </w:r>
      <w:r>
        <w:rPr>
          <w:rStyle w:val="FootnoteReference"/>
        </w:rPr>
        <w:footnoteReference w:id="8"/>
      </w:r>
      <w:r w:rsidR="00B84776">
        <w:t xml:space="preserve">. Beneficiaries residing </w:t>
      </w:r>
      <w:r w:rsidR="00DB24D7">
        <w:t xml:space="preserve">in </w:t>
      </w:r>
      <w:r w:rsidR="00B84776">
        <w:t>the same state and who are in the same age-group strata will have equal probabilities of selection and equal design-based weights.</w:t>
      </w:r>
      <w:r w:rsidRPr="00D94F41">
        <w:t xml:space="preserve"> </w:t>
      </w:r>
      <w:r w:rsidR="00B84776">
        <w:t>Since</w:t>
      </w:r>
      <w:r w:rsidRPr="00D94F41">
        <w:t xml:space="preserve"> 2015</w:t>
      </w:r>
      <w:r w:rsidR="00B84776">
        <w:t>,</w:t>
      </w:r>
      <w:r w:rsidR="00B72334">
        <w:t xml:space="preserve"> and continuing under the redesign</w:t>
      </w:r>
      <w:r w:rsidRPr="00D94F41">
        <w:t xml:space="preserve">, beneficiaries eligible </w:t>
      </w:r>
      <w:r w:rsidRPr="00D94F41">
        <w:rPr>
          <w:i/>
        </w:rPr>
        <w:t xml:space="preserve">anytime </w:t>
      </w:r>
      <w:r w:rsidRPr="00D94F41">
        <w:t>during the sampling year are also included in the Medicare administrative enrollment sampling frame (referred to as</w:t>
      </w:r>
      <w:r w:rsidRPr="00D94F41" w:rsidR="00D56C58">
        <w:t xml:space="preserve"> current-year enrollees</w:t>
      </w:r>
      <w:r w:rsidRPr="00D94F41">
        <w:t xml:space="preserve">). Nursing home residents </w:t>
      </w:r>
      <w:r w:rsidR="00B72334">
        <w:t>continue to be</w:t>
      </w:r>
      <w:r w:rsidRPr="00D94F41">
        <w:t xml:space="preserve"> drawn into the sample in </w:t>
      </w:r>
      <w:r w:rsidRPr="00D94F41">
        <w:t>exactly the same</w:t>
      </w:r>
      <w:r w:rsidRPr="00D94F41">
        <w:t xml:space="preserve"> manner as other beneficiaries residing in the community.</w:t>
      </w:r>
    </w:p>
    <w:p w:rsidR="0088452B" w:rsidRPr="00D94F41" w:rsidP="002D43C0" w14:paraId="7BFD504D" w14:textId="77777777">
      <w:pPr>
        <w:pStyle w:val="Heading4"/>
      </w:pPr>
      <w:r w:rsidRPr="00D94F41">
        <w:t>Estimation Procedure</w:t>
      </w:r>
    </w:p>
    <w:p w:rsidR="0088452B" w:rsidRPr="00D94F41" w:rsidP="00C07A97" w14:paraId="3FFE9EE5" w14:textId="2BB979A9">
      <w:pPr>
        <w:pStyle w:val="ListContinue"/>
        <w:ind w:left="288"/>
      </w:pPr>
      <w:bookmarkStart w:id="18" w:name="OLE_LINK1"/>
      <w:r>
        <w:t xml:space="preserve">To date, sampling weights have been calculated for each annual data release including the Survey File limited data sets </w:t>
      </w:r>
      <w:bookmarkEnd w:id="18"/>
      <w:r>
        <w:t xml:space="preserve">(previously referred to as the Access to Care files) and the Cost Supplement limited data sets (previously referred to as the Cost and Use files). In both cases, cross-sectional weights representing the ever-enrolled Medicare population, as well as longitudinal weights representing populations </w:t>
      </w:r>
      <w:r>
        <w:t>continuously-enrolled</w:t>
      </w:r>
      <w:r>
        <w:t xml:space="preserve"> for multiple years, have been calculated. Some questionnaire sections fielded in the Winter or Summer rounds have specific cross-sectional weights calculated for them as well. Beginning in 2024, new weights specific to the Fall round of data collection have also been released as part of the Survey File Early Release limited data sets. In all cases, weights reflect differential probabilities of selection and differential </w:t>
      </w:r>
      <w:r>
        <w:t>nonresponse, and</w:t>
      </w:r>
      <w:r>
        <w:t xml:space="preserve"> are adjusted to account for overlapping coverage of the panels included in the data files. Replicate weights were also calculated so that users could calculate standard errors using replication methods. In addition to the replicate weights, stratum and unit codes exist on each weight file for users who prefer to use Taylor Series methods to estimate variances. Under the 2026 redesign, </w:t>
      </w:r>
      <w:r>
        <w:t>all of</w:t>
      </w:r>
      <w:r>
        <w:t xml:space="preserve"> these weights will continue to be produced, and the analytical utility of the MCBS data will not be reduced. Data users will continue to be able to employ replication methods of variance estimation at the national </w:t>
      </w:r>
      <w:r>
        <w:t>level, and</w:t>
      </w:r>
      <w:r>
        <w:t xml:space="preserve"> will be able to produce new state-level estimates using Taylor Series methods.</w:t>
      </w:r>
    </w:p>
    <w:p w:rsidR="0088452B" w:rsidRPr="00D94F41" w:rsidP="0033795C" w14:paraId="26229A06" w14:textId="60EDCABC">
      <w:pPr>
        <w:pStyle w:val="ListContinue"/>
        <w:ind w:left="288"/>
      </w:pPr>
      <w:r w:rsidRPr="00D94F41">
        <w:t xml:space="preserve">Besides standard weighting and replicate weighting, another part of the estimation program includes imputation of the data to compensate for item non-response. Imputation procedures for charges for non-covered services and sources of payment for covered services in the Cost Supplement files and Survey File items where appropriate have been developed. </w:t>
      </w:r>
      <w:r w:rsidRPr="00D94F41" w:rsidR="00AC08A6">
        <w:t>Beginning with the 2015 data, unit-level imputation was also instituted to compensate for missing initial</w:t>
      </w:r>
      <w:r w:rsidRPr="00D94F41" w:rsidR="00A35F89">
        <w:t>-</w:t>
      </w:r>
      <w:r w:rsidRPr="00D94F41" w:rsidR="00AC08A6">
        <w:t xml:space="preserve">round </w:t>
      </w:r>
      <w:r w:rsidRPr="00D94F41" w:rsidR="00A35F89">
        <w:t xml:space="preserve">utilization and cost </w:t>
      </w:r>
      <w:r w:rsidRPr="00D94F41" w:rsidR="00AC08A6">
        <w:t>data</w:t>
      </w:r>
      <w:r>
        <w:rPr>
          <w:rStyle w:val="FootnoteReference"/>
        </w:rPr>
        <w:footnoteReference w:id="9"/>
      </w:r>
      <w:r w:rsidRPr="00D94F41" w:rsidR="00AC08A6">
        <w:t xml:space="preserve"> for </w:t>
      </w:r>
      <w:r w:rsidRPr="00D94F41" w:rsidR="00D56C58">
        <w:t>current-year enrollees</w:t>
      </w:r>
      <w:r w:rsidRPr="00D94F41" w:rsidR="00AC08A6">
        <w:t xml:space="preserve">. </w:t>
      </w:r>
      <w:r w:rsidRPr="00D94F41">
        <w:t>The weighting and imputation of data continue each year.</w:t>
      </w:r>
    </w:p>
    <w:p w:rsidR="0088452B" w:rsidRPr="00D94F41" w:rsidP="002D43C0" w14:paraId="187BA210" w14:textId="332E3353">
      <w:pPr>
        <w:pStyle w:val="Heading4"/>
      </w:pPr>
      <w:bookmarkStart w:id="19" w:name="OLE_LINK8"/>
      <w:r w:rsidRPr="00D94F41">
        <w:t xml:space="preserve">Degree of </w:t>
      </w:r>
      <w:r w:rsidR="00C7144C">
        <w:t>precision</w:t>
      </w:r>
      <w:r w:rsidRPr="00D94F41" w:rsidR="00C7144C">
        <w:t xml:space="preserve"> </w:t>
      </w:r>
      <w:r w:rsidRPr="00D94F41">
        <w:t>needed for the purpose described in the justification</w:t>
      </w:r>
    </w:p>
    <w:bookmarkEnd w:id="19"/>
    <w:p w:rsidR="0088452B" w:rsidRPr="00D94F41" w:rsidP="00C07A97" w14:paraId="5A04F709" w14:textId="53D730F9">
      <w:pPr>
        <w:pStyle w:val="ListContinue"/>
        <w:ind w:left="288"/>
      </w:pPr>
      <w:r w:rsidRPr="00D94F41">
        <w:t xml:space="preserve">A broad range of statistics are produced from </w:t>
      </w:r>
      <w:r w:rsidRPr="00D94F41">
        <w:t>the MCBS</w:t>
      </w:r>
      <w:r w:rsidRPr="00D94F41">
        <w:t xml:space="preserve">. There </w:t>
      </w:r>
      <w:r w:rsidRPr="00D94F41">
        <w:t>is</w:t>
      </w:r>
      <w:r w:rsidRPr="00D94F41">
        <w:t xml:space="preserve"> no single attribute of beneficiaries and their medical expenses that stands out as the primary goal of the survey. Thus, there </w:t>
      </w:r>
      <w:r w:rsidR="00A25C6B">
        <w:t>has been no</w:t>
      </w:r>
      <w:r w:rsidRPr="00D94F41">
        <w:t xml:space="preserve"> simple criterion for the degree of reliability that statistics for each </w:t>
      </w:r>
      <w:r w:rsidRPr="00D94F41">
        <w:t xml:space="preserve">analytic domain should satisfy. Even with a </w:t>
      </w:r>
      <w:r w:rsidRPr="00D94F41" w:rsidR="002C2466">
        <w:t xml:space="preserve">larger </w:t>
      </w:r>
      <w:r w:rsidRPr="00D94F41">
        <w:t xml:space="preserve">sample size, </w:t>
      </w:r>
      <w:r w:rsidR="00DE14F3">
        <w:t>there are</w:t>
      </w:r>
      <w:r w:rsidRPr="00D94F41">
        <w:t xml:space="preserve"> many small domains of interest for which it </w:t>
      </w:r>
      <w:r w:rsidRPr="00D94F41" w:rsidR="000E343B">
        <w:t xml:space="preserve">would </w:t>
      </w:r>
      <w:r w:rsidRPr="00D94F41">
        <w:t>be necessary to use modeling techniques or to wait several years for sufficient data to accumulate.</w:t>
      </w:r>
    </w:p>
    <w:p w:rsidR="00A25C6B" w:rsidP="00C07A97" w14:paraId="038FC911" w14:textId="40A11787">
      <w:pPr>
        <w:pStyle w:val="ListContinue"/>
        <w:ind w:left="288"/>
      </w:pPr>
      <w:r>
        <w:t>The 2026 MCBS redesign employ</w:t>
      </w:r>
      <w:r w:rsidR="004A4DCD">
        <w:t>s</w:t>
      </w:r>
      <w:r>
        <w:t xml:space="preserve"> a national, rather than </w:t>
      </w:r>
      <w:r w:rsidR="003E3F08">
        <w:t xml:space="preserve">geographically </w:t>
      </w:r>
      <w:r>
        <w:t xml:space="preserve">clustered, approach to the selection of the sample. The </w:t>
      </w:r>
      <w:r w:rsidR="003E3F08">
        <w:t xml:space="preserve">redesign </w:t>
      </w:r>
      <w:r>
        <w:t xml:space="preserve">sample </w:t>
      </w:r>
      <w:r w:rsidR="004A4DCD">
        <w:t>is</w:t>
      </w:r>
      <w:r>
        <w:t xml:space="preserve"> stratified by state (50 states plus DC) and age domain, though </w:t>
      </w:r>
      <w:r w:rsidR="004A4DCD">
        <w:t>the</w:t>
      </w:r>
      <w:r>
        <w:t xml:space="preserve"> age strata</w:t>
      </w:r>
      <w:r w:rsidR="004A4DCD">
        <w:t xml:space="preserve"> are reduced to three groups under the redesign</w:t>
      </w:r>
      <w:r>
        <w:t xml:space="preserve"> (under-65, 65-79, and 80 or older) compared to the seven age groups under the </w:t>
      </w:r>
      <w:r w:rsidR="004A4DCD">
        <w:t>prior</w:t>
      </w:r>
      <w:r>
        <w:t xml:space="preserve"> design. While the overall national number of </w:t>
      </w:r>
      <w:r>
        <w:t>completed interviews</w:t>
      </w:r>
      <w:r>
        <w:t xml:space="preserve"> per year </w:t>
      </w:r>
      <w:r w:rsidR="004A4DCD">
        <w:t>is</w:t>
      </w:r>
      <w:r>
        <w:t xml:space="preserve"> similar under the new design, state-level precision targets were established. These targets were designed to achieve a maximum </w:t>
      </w:r>
      <w:r>
        <w:t>coefficient of</w:t>
      </w:r>
      <w:r>
        <w:t xml:space="preserve"> variation of 7 percentage points on a hypothetical 50 percent top-line state-level estimate. This was done to eventually support state-level estimation after the redesign is fully implemented in 2029, with approximately 280 beneficiaries per state.</w:t>
      </w:r>
    </w:p>
    <w:p w:rsidR="00E47D6C" w:rsidRPr="00B13DA1" w:rsidP="00C07A97" w14:paraId="41504854" w14:textId="1C13C219">
      <w:pPr>
        <w:pStyle w:val="ListContinue"/>
        <w:ind w:left="288"/>
        <w:rPr>
          <w:spacing w:val="-6"/>
        </w:rPr>
      </w:pPr>
      <w:r>
        <w:t xml:space="preserve">Although the number of age group strata </w:t>
      </w:r>
      <w:r w:rsidR="004A4DCD">
        <w:t>are</w:t>
      </w:r>
      <w:r>
        <w:t xml:space="preserve"> reduced,</w:t>
      </w:r>
      <w:r w:rsidRPr="00B13DA1">
        <w:rPr>
          <w:spacing w:val="-6"/>
        </w:rPr>
        <w:t xml:space="preserve"> CMS anticipates maintaining representation of the under-65 disabled population at approximately the same level as </w:t>
      </w:r>
      <w:r w:rsidR="004A4DCD">
        <w:rPr>
          <w:spacing w:val="-6"/>
        </w:rPr>
        <w:t>wa</w:t>
      </w:r>
      <w:r w:rsidRPr="00B13DA1">
        <w:rPr>
          <w:spacing w:val="-6"/>
        </w:rPr>
        <w:t xml:space="preserve">s achieved under the </w:t>
      </w:r>
      <w:r w:rsidR="004A4DCD">
        <w:rPr>
          <w:spacing w:val="-6"/>
        </w:rPr>
        <w:t>prior</w:t>
      </w:r>
      <w:r w:rsidRPr="00B13DA1" w:rsidR="004A4DCD">
        <w:rPr>
          <w:spacing w:val="-6"/>
        </w:rPr>
        <w:t xml:space="preserve"> </w:t>
      </w:r>
      <w:r w:rsidRPr="00B13DA1">
        <w:rPr>
          <w:spacing w:val="-6"/>
        </w:rPr>
        <w:t xml:space="preserve">design. CMS anticipates approximately 17-18 percent of completed interviews to be allocated to the disabled beneficiaries who are not yet 65, resulting in about 2,500-2,550 such beneficiaries in the annual Survey File limited data sets and about 1,400-1,450 beneficiaries under 65 in the annual Cost Supplement limited data sets. This age category was selected because it indirectly reflects </w:t>
      </w:r>
      <w:r w:rsidRPr="00B13DA1">
        <w:rPr>
          <w:spacing w:val="-6"/>
        </w:rPr>
        <w:t>the means by which</w:t>
      </w:r>
      <w:r w:rsidRPr="00B13DA1">
        <w:rPr>
          <w:spacing w:val="-6"/>
        </w:rPr>
        <w:t xml:space="preserve"> the disabled person becomes eligible for Medicare. Under the 2026 redesign, all beneficiaries under 65 within a state </w:t>
      </w:r>
      <w:r w:rsidR="004A4DCD">
        <w:rPr>
          <w:spacing w:val="-6"/>
        </w:rPr>
        <w:t>are</w:t>
      </w:r>
      <w:r w:rsidRPr="00B13DA1">
        <w:rPr>
          <w:spacing w:val="-6"/>
        </w:rPr>
        <w:t xml:space="preserve"> selected together, minimizing the variability of estimations within this subgroup. For example, depending on the prevalence of the characteristic being estimated, the MCBS has achieved standard errors for estimates of percentages ranging from 2-3% or lower for subgroup estimates based on 1,000 respondents.</w:t>
      </w:r>
      <w:bookmarkStart w:id="20" w:name="_bookmark5"/>
      <w:bookmarkEnd w:id="20"/>
    </w:p>
    <w:p w:rsidR="0088452B" w:rsidP="00C07A97" w14:paraId="6B7BBEA1" w14:textId="29573BD6">
      <w:pPr>
        <w:pStyle w:val="ListContinue"/>
        <w:ind w:left="288"/>
      </w:pPr>
      <w:r>
        <w:t>Similar to</w:t>
      </w:r>
      <w:r>
        <w:t xml:space="preserve"> the under-65 age group, the MCBS continue</w:t>
      </w:r>
      <w:r w:rsidR="004A4DCD">
        <w:t>s</w:t>
      </w:r>
      <w:r>
        <w:t xml:space="preserve"> to represent Medicare beneficiaries 65 and older as well, with oversampling to represent the oldest beneficiaries. CMS anticipates that beneficiaries 65-79 years of age will comprise approximately 48-50 percent of completed interviews, resulting in about 6,900-7,000 such beneficiaries in the annual Survey File limited data sets and about 3,900-4,000 beneficiaries aged 65-79 in the annual Cost Supplement limited data sets. Beneficiaries who are 80 years or older </w:t>
      </w:r>
      <w:r w:rsidR="004A4DCD">
        <w:t>are</w:t>
      </w:r>
      <w:r>
        <w:t xml:space="preserve"> oversampled so that they comprise approximately 33-34 percent of beneficiaries with completed interviews resulting in about 4,750-4,800 such beneficiaries in the annual Survey File limited data sets and about 2,675-2,725 beneficiaries 80 or older in the annual Cost Supplement limited data sets. A major reason for oversampling the oldest beneficiaries is to obtain an adequate sample of nursing home stays. Variations in sampling weights across the age and state strata will inflate sampling errors, but the resulting effective sample sizes should be adequate for most analyses at the national level.</w:t>
      </w:r>
    </w:p>
    <w:p w:rsidR="00946F0A" w:rsidRPr="00946F0A" w:rsidP="00C07A97" w14:paraId="66C6198C" w14:textId="77777777">
      <w:pPr>
        <w:pStyle w:val="ListContinue"/>
        <w:ind w:left="288"/>
      </w:pPr>
      <w:r w:rsidRPr="00946F0A">
        <w:t xml:space="preserve">Since many of the cost and reimbursement statistics derived from the MCBS may be heavily </w:t>
      </w:r>
      <w:r w:rsidRPr="00B13DA1">
        <w:rPr>
          <w:spacing w:val="-6"/>
        </w:rPr>
        <w:t xml:space="preserve">right-skewed (i.e., reflecting the higher end of the cost/reimbursement spectrum to a disproportionate degree), the accuracy may be lower in relative terms but still acceptable. </w:t>
      </w:r>
      <w:bookmarkStart w:id="21" w:name="OLE_LINK2"/>
      <w:r w:rsidRPr="00B13DA1">
        <w:rPr>
          <w:spacing w:val="-6"/>
        </w:rPr>
        <w:t>For example, the relative standard error of the mean total Medicare reimbursements derived from the MCBS has generally ranged from 2.0-2.5% for the total sample, and 4.0-8.0% for subgroups.</w:t>
      </w:r>
      <w:bookmarkEnd w:id="21"/>
    </w:p>
    <w:p w:rsidR="0088452B" w:rsidRPr="00D94F41" w:rsidP="003E486D" w14:paraId="054D17DC" w14:textId="2FF6F3B6">
      <w:pPr>
        <w:pStyle w:val="Heading4"/>
        <w:tabs>
          <w:tab w:val="clear" w:pos="341"/>
        </w:tabs>
      </w:pPr>
      <w:r w:rsidRPr="00D94F41">
        <w:t>Review of i</w:t>
      </w:r>
      <w:r w:rsidRPr="00D94F41" w:rsidR="004112E2">
        <w:t>nterview content for periodic data collection cycles to reduce burden.</w:t>
      </w:r>
    </w:p>
    <w:p w:rsidR="0088452B" w:rsidRPr="00B13DA1" w:rsidP="00B13DA1" w14:paraId="7998FFA7" w14:textId="77777777">
      <w:pPr>
        <w:pStyle w:val="ListNumber"/>
        <w:numPr>
          <w:ilvl w:val="0"/>
          <w:numId w:val="7"/>
        </w:numPr>
        <w:tabs>
          <w:tab w:val="clear" w:pos="360"/>
          <w:tab w:val="num" w:pos="720"/>
        </w:tabs>
        <w:spacing w:after="120"/>
        <w:ind w:left="720"/>
        <w:rPr>
          <w:i/>
          <w:iCs/>
        </w:rPr>
      </w:pPr>
      <w:r w:rsidRPr="00B13DA1">
        <w:rPr>
          <w:i/>
          <w:iCs/>
        </w:rPr>
        <w:t>Content and timing of instrument sections.</w:t>
      </w:r>
    </w:p>
    <w:p w:rsidR="0088452B" w:rsidRPr="00D94F41" w:rsidP="00B13DA1" w14:paraId="7D94945D" w14:textId="2637C006">
      <w:pPr>
        <w:pStyle w:val="ListContinue"/>
        <w:ind w:left="720"/>
      </w:pPr>
      <w:r w:rsidRPr="00D94F41">
        <w:t xml:space="preserve">The primary variables of interest for </w:t>
      </w:r>
      <w:r w:rsidRPr="00D94F41">
        <w:t>the MCBS</w:t>
      </w:r>
      <w:r w:rsidRPr="00D94F41">
        <w:t xml:space="preserve"> are the use and cost of health care services and associated sources and amounts of payment. While Medicare claims files </w:t>
      </w:r>
      <w:r w:rsidRPr="00D94F41">
        <w:t>supply information on billed amounts and Medicare payments for covered services, the survey provides important self-reported information on use of services not covered by Medicare and on payment sources and amounts for costs not reimbursed by Medicare. For both the Community and Facility components, the primary focus of the data collection is on use of services (dental</w:t>
      </w:r>
      <w:r w:rsidRPr="00D94F41" w:rsidR="00F8266B">
        <w:t>, hearing and vision care</w:t>
      </w:r>
      <w:r w:rsidRPr="00D94F41">
        <w:t xml:space="preserve">, hospital, physician, medical providers, prescription medication and other medical services), sources and amounts of payment, and health insurance coverage. The MCBS interview collects continuous information on these items through thrice-yearly interviews; that is, once a new respondent completes their </w:t>
      </w:r>
      <w:r w:rsidRPr="00D94F41" w:rsidR="000A248B">
        <w:t>B</w:t>
      </w:r>
      <w:r w:rsidRPr="00D94F41">
        <w:t>aseline interview, they are asked utilization and cost questions each round.</w:t>
      </w:r>
    </w:p>
    <w:p w:rsidR="0088452B" w:rsidRPr="00D94F41" w:rsidP="00B13DA1" w14:paraId="2867D96C" w14:textId="672587B5">
      <w:pPr>
        <w:pStyle w:val="ListContinue"/>
        <w:ind w:left="720"/>
      </w:pPr>
      <w:r w:rsidRPr="00D94F41">
        <w:t xml:space="preserve">Continuous data on utilization and expenditures are required for </w:t>
      </w:r>
      <w:r w:rsidRPr="00D94F41">
        <w:t>a number of</w:t>
      </w:r>
      <w:r w:rsidRPr="00D94F41">
        <w:t xml:space="preserve"> reasons. First, several of the distinct expenditure categories involve relatively rare medical events (inpatient hospital stays, use </w:t>
      </w:r>
      <w:r w:rsidRPr="00D94F41">
        <w:t>of home</w:t>
      </w:r>
      <w:r w:rsidRPr="00D94F41">
        <w:t xml:space="preserve"> health care, purchase of durable medical equipment, and so forth), so limiting the reference period would mean insufficient observations for annual estimates.</w:t>
      </w:r>
      <w:r w:rsidRPr="00D94F41" w:rsidR="000E343B">
        <w:t xml:space="preserve"> </w:t>
      </w:r>
      <w:r w:rsidRPr="00D94F41">
        <w:t>Second, episodes of medical care often consist of a series of services over weeks or months; data collected several times a year allow examination of the grouping of services and costs around particular episodes of care. Third, payment for medical services often occurs considerably later than the utilization, so collection of complete information about a particular event can often only be obtained sometime after the event occurs.</w:t>
      </w:r>
    </w:p>
    <w:p w:rsidR="0088452B" w:rsidRPr="00D94F41" w:rsidP="00B13DA1" w14:paraId="330CBAA2" w14:textId="611129AC">
      <w:pPr>
        <w:pStyle w:val="ListContinue"/>
        <w:ind w:left="720"/>
      </w:pPr>
      <w:r w:rsidRPr="00D94F41">
        <w:t xml:space="preserve">The administration of the instruments will continue to follow the established pattern of data collection. Baseline </w:t>
      </w:r>
      <w:r w:rsidRPr="00D94F41" w:rsidR="000A248B">
        <w:t>interviews</w:t>
      </w:r>
      <w:r w:rsidRPr="00D94F41">
        <w:t xml:space="preserve"> will be co</w:t>
      </w:r>
      <w:r w:rsidRPr="00D94F41" w:rsidR="000A248B">
        <w:t>nducted</w:t>
      </w:r>
      <w:r w:rsidRPr="00D94F41">
        <w:t xml:space="preserve"> in the initial interview with new </w:t>
      </w:r>
      <w:r w:rsidRPr="00D94F41" w:rsidR="00505BED">
        <w:t>Incoming Panel</w:t>
      </w:r>
      <w:r w:rsidRPr="00D94F41">
        <w:t xml:space="preserve"> respondents. This will be followed with 10 interviews to collect utilization, cost and other important topics</w:t>
      </w:r>
      <w:r w:rsidRPr="00D94F41" w:rsidR="000A248B">
        <w:t>, referred to a</w:t>
      </w:r>
      <w:r w:rsidRPr="00D94F41" w:rsidR="00C20992">
        <w:t>s</w:t>
      </w:r>
      <w:r w:rsidRPr="00D94F41" w:rsidR="000A248B">
        <w:t xml:space="preserve"> Continuing interviews</w:t>
      </w:r>
      <w:r w:rsidRPr="00D94F41">
        <w:t xml:space="preserve">. Since the </w:t>
      </w:r>
      <w:r w:rsidRPr="00D94F41" w:rsidR="000A248B">
        <w:t>Baseline</w:t>
      </w:r>
      <w:r w:rsidRPr="00D94F41">
        <w:t xml:space="preserve"> interview always occurs in the last </w:t>
      </w:r>
      <w:r w:rsidR="00681CB0">
        <w:t>five</w:t>
      </w:r>
      <w:r w:rsidRPr="00D94F41">
        <w:t xml:space="preserve"> months of a calendar year, collection of utilization and expenditure data in the second interview means the reference period will always begin prior to January 1st. This creates use and expenditure estimates on a calendar year basis.</w:t>
      </w:r>
    </w:p>
    <w:p w:rsidR="0088452B" w:rsidRPr="00D94F41" w:rsidP="00B13DA1" w14:paraId="38953A10" w14:textId="0A55CFDC">
      <w:pPr>
        <w:pStyle w:val="ListContinue"/>
        <w:ind w:left="720"/>
      </w:pPr>
      <w:r w:rsidRPr="00D94F41">
        <w:t xml:space="preserve">The literature (initially reported by </w:t>
      </w:r>
      <w:r w:rsidRPr="00D94F41">
        <w:t>Neter</w:t>
      </w:r>
      <w:r w:rsidRPr="00D94F41">
        <w:t xml:space="preserve"> and </w:t>
      </w:r>
      <w:r w:rsidRPr="00D94F41">
        <w:t>Waksberg</w:t>
      </w:r>
      <w:r w:rsidRPr="00D94F41">
        <w:t xml:space="preserve"> in 1964</w:t>
      </w:r>
      <w:r>
        <w:rPr>
          <w:rStyle w:val="FootnoteReference"/>
        </w:rPr>
        <w:footnoteReference w:id="10"/>
      </w:r>
      <w:r w:rsidRPr="00D94F41">
        <w:t xml:space="preserve"> and confirmed in</w:t>
      </w:r>
      <w:r w:rsidRPr="00D94F41" w:rsidR="005F5E74">
        <w:t xml:space="preserve"> </w:t>
      </w:r>
      <w:r w:rsidRPr="00D94F41">
        <w:t xml:space="preserve">subsequent research by other analysts) indicates that collection of behavioral information in an unbounded recall period can result in large recall errors. The </w:t>
      </w:r>
      <w:r w:rsidRPr="00D94F41" w:rsidR="00505BED">
        <w:t>Incoming Panel</w:t>
      </w:r>
      <w:r w:rsidRPr="00D94F41">
        <w:t xml:space="preserve"> interviews covered in this clearance request - Fall 202</w:t>
      </w:r>
      <w:r w:rsidR="00F45944">
        <w:t>7</w:t>
      </w:r>
      <w:r w:rsidRPr="00D94F41" w:rsidR="005F5E74">
        <w:t xml:space="preserve"> (Round </w:t>
      </w:r>
      <w:r w:rsidRPr="00D94F41" w:rsidR="00177230">
        <w:t>10</w:t>
      </w:r>
      <w:r w:rsidR="00F45944">
        <w:t>9</w:t>
      </w:r>
      <w:r w:rsidRPr="00D94F41">
        <w:t>)</w:t>
      </w:r>
      <w:r w:rsidRPr="00D94F41" w:rsidR="0009032E">
        <w:t>, Fall 202</w:t>
      </w:r>
      <w:r w:rsidR="00F45944">
        <w:t>8</w:t>
      </w:r>
      <w:r w:rsidRPr="00D94F41" w:rsidR="0009032E">
        <w:t xml:space="preserve"> (Round </w:t>
      </w:r>
      <w:r w:rsidRPr="00D94F41" w:rsidR="00177230">
        <w:t>10</w:t>
      </w:r>
      <w:r w:rsidR="00F45944">
        <w:t>2</w:t>
      </w:r>
      <w:r w:rsidRPr="00D94F41" w:rsidR="0009032E">
        <w:t>)</w:t>
      </w:r>
      <w:r w:rsidR="006C735C">
        <w:t>, and Fall 2029 (Round 115)</w:t>
      </w:r>
      <w:r w:rsidRPr="00D94F41">
        <w:t xml:space="preserve"> -</w:t>
      </w:r>
      <w:r w:rsidR="00FF2466">
        <w:t xml:space="preserve"> </w:t>
      </w:r>
      <w:r w:rsidRPr="00D94F41">
        <w:t xml:space="preserve">prepares the respondent for the collection of utilization and expenditure information in subsequent rounds, thus “bounding” the recall period for the next interview. During the </w:t>
      </w:r>
      <w:r w:rsidRPr="00D94F41" w:rsidR="000A248B">
        <w:t>B</w:t>
      </w:r>
      <w:r w:rsidRPr="00D94F41">
        <w:t xml:space="preserve">aseline interview, the respondent is provided with a </w:t>
      </w:r>
      <w:r w:rsidRPr="00D94F41">
        <w:t>calendar</w:t>
      </w:r>
      <w:r w:rsidRPr="00D94F41">
        <w:t xml:space="preserve"> and interviewers emphasize the importance of this tool for use in future interviews. This calendar marks the recall period for the respondent and serves as the means to record utilization as well as a prompt to retain statements and bills.</w:t>
      </w:r>
    </w:p>
    <w:p w:rsidR="0088452B" w:rsidRPr="00B13DA1" w:rsidP="00C07A97" w14:paraId="4FE153AD" w14:textId="3D4CB294">
      <w:pPr>
        <w:pStyle w:val="ListNumber"/>
        <w:tabs>
          <w:tab w:val="clear" w:pos="360"/>
        </w:tabs>
        <w:spacing w:after="120"/>
        <w:ind w:left="720"/>
        <w:rPr>
          <w:i/>
          <w:iCs/>
        </w:rPr>
      </w:pPr>
      <w:r w:rsidRPr="00B13DA1">
        <w:rPr>
          <w:i/>
          <w:iCs/>
        </w:rPr>
        <w:t xml:space="preserve">Content of the instruments, Rounds </w:t>
      </w:r>
      <w:r w:rsidRPr="00B13DA1" w:rsidR="00355E4B">
        <w:rPr>
          <w:i/>
          <w:iCs/>
        </w:rPr>
        <w:t>10</w:t>
      </w:r>
      <w:r w:rsidR="0063767F">
        <w:rPr>
          <w:i/>
          <w:iCs/>
        </w:rPr>
        <w:t>7</w:t>
      </w:r>
      <w:r w:rsidRPr="00B13DA1" w:rsidR="00AE2063">
        <w:rPr>
          <w:i/>
          <w:iCs/>
        </w:rPr>
        <w:t>-11</w:t>
      </w:r>
      <w:r w:rsidR="0063767F">
        <w:rPr>
          <w:i/>
          <w:iCs/>
        </w:rPr>
        <w:t>5</w:t>
      </w:r>
      <w:r w:rsidRPr="00B13DA1">
        <w:rPr>
          <w:i/>
          <w:iCs/>
        </w:rPr>
        <w:t>.</w:t>
      </w:r>
    </w:p>
    <w:p w:rsidR="0088452B" w:rsidRPr="00D94F41" w:rsidP="00B13DA1" w14:paraId="1253E1DA" w14:textId="75005C9B">
      <w:pPr>
        <w:pStyle w:val="ListContinue"/>
        <w:ind w:left="720"/>
      </w:pPr>
      <w:r>
        <w:t>The majority of</w:t>
      </w:r>
      <w:r>
        <w:t xml:space="preserve"> the instrument sections as currently approved by OMB are unchanged. Table B.3 presents the core and topical sections that comprise the MCBS Community instrument. As shown in the table, the content and order of administration </w:t>
      </w:r>
      <w:r>
        <w:t>varies</w:t>
      </w:r>
      <w:r>
        <w:t xml:space="preserve"> based on season of data collection (Fall, Winter, Summer) and the type of interview (Baseline, </w:t>
      </w:r>
      <w:r>
        <w:t>Continuing). Those sections with an asterisk (*) include a revision contained in this clearance request (either adding or deleting questions). Occasionally an item may be moved from one questionnaire section to another to improve the flow and use of the data, or for other operational or analytic purposes.</w:t>
      </w:r>
    </w:p>
    <w:p w:rsidR="0088452B" w:rsidRPr="00D94F41" w:rsidP="00AE5C2C" w14:paraId="670FC156" w14:textId="0136F9D2">
      <w:pPr>
        <w:pStyle w:val="Caption"/>
        <w:tabs>
          <w:tab w:val="left" w:pos="1170"/>
        </w:tabs>
      </w:pPr>
      <w:r w:rsidRPr="00D94F41">
        <w:t>Table B.</w:t>
      </w:r>
      <w:r w:rsidR="00946F0A">
        <w:t>3</w:t>
      </w:r>
      <w:r w:rsidRPr="00D94F41">
        <w:t>:</w:t>
      </w:r>
      <w:r w:rsidR="00110F11">
        <w:tab/>
      </w:r>
      <w:r w:rsidRPr="00D94F41">
        <w:t>Community Instrument Sections and Order of Administration</w:t>
      </w:r>
      <w:r w:rsidR="00E24A78">
        <w:t>^</w:t>
      </w:r>
    </w:p>
    <w:tbl>
      <w:tblPr>
        <w:tblStyle w:val="GridTableLight"/>
        <w:tblDescription w:val="Community Instrument Sections and Order of Administration"/>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95"/>
        <w:gridCol w:w="1350"/>
        <w:gridCol w:w="3060"/>
        <w:gridCol w:w="1345"/>
      </w:tblGrid>
      <w:tr w14:paraId="29E4981C" w14:textId="77777777" w:rsidTr="00EA74DE">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blHeader/>
        </w:trPr>
        <w:tc>
          <w:tcPr>
            <w:tcW w:w="3595" w:type="dxa"/>
            <w:shd w:val="clear" w:color="auto" w:fill="D9D9D9"/>
            <w:tcMar>
              <w:left w:w="86" w:type="dxa"/>
              <w:right w:w="86" w:type="dxa"/>
            </w:tcMar>
            <w:vAlign w:val="bottom"/>
          </w:tcPr>
          <w:p w:rsidR="00ED5625" w:rsidP="00803841" w14:paraId="7A8458E1" w14:textId="77777777">
            <w:pPr>
              <w:pStyle w:val="TableParagraph"/>
              <w:spacing w:before="30" w:after="30"/>
              <w:jc w:val="center"/>
              <w:rPr>
                <w:b/>
              </w:rPr>
            </w:pPr>
            <w:r w:rsidRPr="00D94F41">
              <w:rPr>
                <w:b/>
              </w:rPr>
              <w:t>Section</w:t>
            </w:r>
            <w:r w:rsidR="00AD0D2A">
              <w:rPr>
                <w:b/>
              </w:rPr>
              <w:t xml:space="preserve"> </w:t>
            </w:r>
          </w:p>
          <w:p w:rsidR="0088452B" w:rsidRPr="00D94F41" w:rsidP="00803841" w14:paraId="061EF5BA" w14:textId="4252B6C2">
            <w:pPr>
              <w:pStyle w:val="TableParagraph"/>
              <w:spacing w:before="30" w:after="30"/>
              <w:jc w:val="center"/>
            </w:pPr>
            <w:r w:rsidRPr="00D94F41">
              <w:t>Listed in the order in which the section is administered.</w:t>
            </w:r>
          </w:p>
        </w:tc>
        <w:tc>
          <w:tcPr>
            <w:tcW w:w="1350" w:type="dxa"/>
            <w:shd w:val="clear" w:color="auto" w:fill="D9D9D9"/>
            <w:tcMar>
              <w:left w:w="86" w:type="dxa"/>
              <w:right w:w="86" w:type="dxa"/>
            </w:tcMar>
            <w:vAlign w:val="bottom"/>
          </w:tcPr>
          <w:p w:rsidR="00ED5625" w:rsidP="00803841" w14:paraId="7B43FA10" w14:textId="77777777">
            <w:pPr>
              <w:pStyle w:val="TableParagraph"/>
              <w:spacing w:before="30" w:after="30"/>
              <w:jc w:val="center"/>
              <w:rPr>
                <w:b/>
              </w:rPr>
            </w:pPr>
            <w:r w:rsidRPr="00D94F41">
              <w:rPr>
                <w:b/>
              </w:rPr>
              <w:t>Type</w:t>
            </w:r>
            <w:r w:rsidRPr="00D94F41" w:rsidR="00B41430">
              <w:rPr>
                <w:b/>
              </w:rPr>
              <w:t xml:space="preserve"> </w:t>
            </w:r>
            <w:r w:rsidRPr="00D94F41">
              <w:rPr>
                <w:b/>
              </w:rPr>
              <w:t xml:space="preserve">of Section </w:t>
            </w:r>
          </w:p>
          <w:p w:rsidR="0088452B" w:rsidRPr="00D94F41" w:rsidP="00803841" w14:paraId="6CC5A607" w14:textId="79DD43A0">
            <w:pPr>
              <w:pStyle w:val="TableParagraph"/>
              <w:spacing w:before="30" w:after="30"/>
              <w:jc w:val="center"/>
            </w:pPr>
            <w:r w:rsidRPr="00D94F41">
              <w:t>Core</w:t>
            </w:r>
            <w:r w:rsidRPr="00D94F41" w:rsidR="00861C1F">
              <w:t xml:space="preserve"> </w:t>
            </w:r>
            <w:r w:rsidRPr="00D94F41">
              <w:t>or Topica</w:t>
            </w:r>
            <w:r w:rsidRPr="00D94F41" w:rsidR="00861C1F">
              <w:t>l</w:t>
            </w:r>
            <w:r w:rsidRPr="00D94F41">
              <w:t>)</w:t>
            </w:r>
          </w:p>
        </w:tc>
        <w:tc>
          <w:tcPr>
            <w:tcW w:w="3060" w:type="dxa"/>
            <w:shd w:val="clear" w:color="auto" w:fill="D9D9D9"/>
            <w:tcMar>
              <w:left w:w="86" w:type="dxa"/>
              <w:right w:w="86" w:type="dxa"/>
            </w:tcMar>
            <w:vAlign w:val="bottom"/>
          </w:tcPr>
          <w:p w:rsidR="00ED5625" w:rsidP="00803841" w14:paraId="5EEB232B" w14:textId="77777777">
            <w:pPr>
              <w:pStyle w:val="TableParagraph"/>
              <w:spacing w:before="30" w:after="30"/>
              <w:jc w:val="center"/>
              <w:rPr>
                <w:b/>
              </w:rPr>
            </w:pPr>
            <w:r w:rsidRPr="00D94F41">
              <w:rPr>
                <w:b/>
              </w:rPr>
              <w:t>Season of Administration</w:t>
            </w:r>
            <w:r w:rsidR="00AD0D2A">
              <w:rPr>
                <w:b/>
              </w:rPr>
              <w:t xml:space="preserve"> </w:t>
            </w:r>
          </w:p>
          <w:p w:rsidR="0088452B" w:rsidRPr="00D94F41" w:rsidP="00803841" w14:paraId="7F277050" w14:textId="7DB12466">
            <w:pPr>
              <w:pStyle w:val="TableParagraph"/>
              <w:spacing w:before="30" w:after="30"/>
              <w:jc w:val="center"/>
            </w:pPr>
            <w:r w:rsidRPr="00D94F41">
              <w:t>(Rounds Administered)</w:t>
            </w:r>
          </w:p>
        </w:tc>
        <w:tc>
          <w:tcPr>
            <w:tcW w:w="1345" w:type="dxa"/>
            <w:shd w:val="clear" w:color="auto" w:fill="D9D9D9"/>
            <w:tcMar>
              <w:left w:w="86" w:type="dxa"/>
              <w:right w:w="86" w:type="dxa"/>
            </w:tcMar>
            <w:vAlign w:val="bottom"/>
          </w:tcPr>
          <w:p w:rsidR="00ED5625" w:rsidP="00803841" w14:paraId="1B482643" w14:textId="77777777">
            <w:pPr>
              <w:pStyle w:val="TableParagraph"/>
              <w:spacing w:before="30" w:after="30"/>
              <w:jc w:val="center"/>
              <w:rPr>
                <w:b/>
              </w:rPr>
            </w:pPr>
            <w:r w:rsidRPr="00D94F41">
              <w:rPr>
                <w:b/>
              </w:rPr>
              <w:t xml:space="preserve">Interview Type </w:t>
            </w:r>
          </w:p>
          <w:p w:rsidR="0088452B" w:rsidRPr="00D94F41" w:rsidP="00803841" w14:paraId="270C9CB5" w14:textId="1E6ECA00">
            <w:pPr>
              <w:pStyle w:val="TableParagraph"/>
              <w:spacing w:before="30" w:after="30"/>
              <w:jc w:val="center"/>
            </w:pPr>
            <w:r w:rsidRPr="00D94F41">
              <w:t>(Baseline, Continuing, Both)</w:t>
            </w:r>
          </w:p>
        </w:tc>
      </w:tr>
      <w:tr w14:paraId="4D0DD790" w14:textId="77777777" w:rsidTr="00B13DA1">
        <w:tblPrEx>
          <w:tblW w:w="5000" w:type="pct"/>
          <w:tblLayout w:type="fixed"/>
          <w:tblLook w:val="01E0"/>
        </w:tblPrEx>
        <w:trPr>
          <w:cantSplit/>
        </w:trPr>
        <w:tc>
          <w:tcPr>
            <w:tcW w:w="3595" w:type="dxa"/>
            <w:tcMar>
              <w:left w:w="86" w:type="dxa"/>
              <w:right w:w="86" w:type="dxa"/>
            </w:tcMar>
          </w:tcPr>
          <w:p w:rsidR="0088452B" w:rsidRPr="00D94F41" w:rsidP="00803841" w14:paraId="41AC212B" w14:textId="61E5DCC3">
            <w:pPr>
              <w:pStyle w:val="TableParagraph"/>
              <w:spacing w:before="30" w:after="30"/>
            </w:pPr>
            <w:r w:rsidRPr="00D94F41">
              <w:t>Introduction (INQ)</w:t>
            </w:r>
          </w:p>
        </w:tc>
        <w:tc>
          <w:tcPr>
            <w:tcW w:w="1350" w:type="dxa"/>
            <w:tcMar>
              <w:left w:w="86" w:type="dxa"/>
              <w:right w:w="86" w:type="dxa"/>
            </w:tcMar>
          </w:tcPr>
          <w:p w:rsidR="0088452B" w:rsidRPr="00D94F41" w:rsidP="00803841" w14:paraId="038154E7" w14:textId="77777777">
            <w:pPr>
              <w:pStyle w:val="TableParagraph"/>
              <w:spacing w:before="30" w:after="30"/>
            </w:pPr>
            <w:r w:rsidRPr="00D94F41">
              <w:t>Core</w:t>
            </w:r>
          </w:p>
        </w:tc>
        <w:tc>
          <w:tcPr>
            <w:tcW w:w="3060" w:type="dxa"/>
            <w:tcMar>
              <w:left w:w="86" w:type="dxa"/>
              <w:right w:w="86" w:type="dxa"/>
            </w:tcMar>
          </w:tcPr>
          <w:p w:rsidR="0088452B" w:rsidRPr="00D94F41" w:rsidP="00803841" w14:paraId="13A2D313" w14:textId="2496938F">
            <w:pPr>
              <w:pStyle w:val="TableParagraph"/>
              <w:spacing w:before="30" w:after="30"/>
            </w:pPr>
            <w:bookmarkStart w:id="22" w:name="OLE_LINK10"/>
            <w:r w:rsidRPr="00D94F41">
              <w:t xml:space="preserve">All (Round </w:t>
            </w:r>
            <w:bookmarkStart w:id="23" w:name="OLE_LINK80"/>
            <w:r w:rsidR="00355E4B">
              <w:t>10</w:t>
            </w:r>
            <w:r w:rsidR="0063767F">
              <w:t>7</w:t>
            </w:r>
            <w:r w:rsidRPr="00D94F41" w:rsidR="00177230">
              <w:t>-</w:t>
            </w:r>
            <w:bookmarkEnd w:id="23"/>
            <w:r w:rsidRPr="00D94F41" w:rsidR="00C17A23">
              <w:t>1</w:t>
            </w:r>
            <w:r w:rsidR="00C17A23">
              <w:t>1</w:t>
            </w:r>
            <w:r w:rsidR="0063767F">
              <w:t>5</w:t>
            </w:r>
            <w:r w:rsidRPr="00D94F41">
              <w:t>)</w:t>
            </w:r>
            <w:bookmarkEnd w:id="22"/>
          </w:p>
        </w:tc>
        <w:tc>
          <w:tcPr>
            <w:tcW w:w="1345" w:type="dxa"/>
            <w:tcMar>
              <w:left w:w="86" w:type="dxa"/>
              <w:right w:w="86" w:type="dxa"/>
            </w:tcMar>
          </w:tcPr>
          <w:p w:rsidR="0088452B" w:rsidRPr="00D94F41" w:rsidP="00803841" w14:paraId="6888395F" w14:textId="77777777">
            <w:pPr>
              <w:pStyle w:val="TableParagraph"/>
              <w:spacing w:before="30" w:after="30"/>
            </w:pPr>
            <w:r w:rsidRPr="00D94F41">
              <w:t>Both</w:t>
            </w:r>
          </w:p>
        </w:tc>
      </w:tr>
      <w:tr w14:paraId="7EBFE912" w14:textId="77777777" w:rsidTr="00B13DA1">
        <w:tblPrEx>
          <w:tblW w:w="5000" w:type="pct"/>
          <w:tblLayout w:type="fixed"/>
          <w:tblLook w:val="01E0"/>
        </w:tblPrEx>
        <w:trPr>
          <w:cantSplit/>
        </w:trPr>
        <w:tc>
          <w:tcPr>
            <w:tcW w:w="3595" w:type="dxa"/>
            <w:tcMar>
              <w:left w:w="86" w:type="dxa"/>
              <w:right w:w="86" w:type="dxa"/>
            </w:tcMar>
          </w:tcPr>
          <w:p w:rsidR="0088452B" w:rsidRPr="00D94F41" w:rsidP="00803841" w14:paraId="2713984A" w14:textId="5B9C4786">
            <w:pPr>
              <w:pStyle w:val="TableParagraph"/>
              <w:spacing w:before="30" w:after="30"/>
            </w:pPr>
            <w:r w:rsidRPr="00D94F41">
              <w:t>Enumeration (ENS)</w:t>
            </w:r>
            <w:r w:rsidR="0063767F">
              <w:t>*</w:t>
            </w:r>
          </w:p>
        </w:tc>
        <w:tc>
          <w:tcPr>
            <w:tcW w:w="1350" w:type="dxa"/>
            <w:tcMar>
              <w:left w:w="86" w:type="dxa"/>
              <w:right w:w="86" w:type="dxa"/>
            </w:tcMar>
          </w:tcPr>
          <w:p w:rsidR="0088452B" w:rsidRPr="00D94F41" w:rsidP="00803841" w14:paraId="35C614B8" w14:textId="77777777">
            <w:pPr>
              <w:pStyle w:val="TableParagraph"/>
              <w:spacing w:before="30" w:after="30"/>
            </w:pPr>
            <w:r w:rsidRPr="00D94F41">
              <w:t>Core</w:t>
            </w:r>
          </w:p>
        </w:tc>
        <w:tc>
          <w:tcPr>
            <w:tcW w:w="3060" w:type="dxa"/>
            <w:tcMar>
              <w:left w:w="86" w:type="dxa"/>
              <w:right w:w="86" w:type="dxa"/>
            </w:tcMar>
          </w:tcPr>
          <w:p w:rsidR="0088452B" w:rsidRPr="00D94F41" w:rsidP="00803841" w14:paraId="0B15956A" w14:textId="05DEF4C2">
            <w:pPr>
              <w:pStyle w:val="TableParagraph"/>
              <w:spacing w:before="30" w:after="30"/>
            </w:pPr>
            <w:r>
              <w:t xml:space="preserve">All (Round </w:t>
            </w:r>
            <w:r w:rsidRPr="00C17A23" w:rsidR="00C17A23">
              <w:t>10</w:t>
            </w:r>
            <w:r w:rsidR="0063767F">
              <w:t>7</w:t>
            </w:r>
            <w:r w:rsidRPr="00C17A23" w:rsidR="00C17A23">
              <w:t>-11</w:t>
            </w:r>
            <w:r w:rsidR="0063767F">
              <w:t>5</w:t>
            </w:r>
            <w:r>
              <w:t>)</w:t>
            </w:r>
          </w:p>
        </w:tc>
        <w:tc>
          <w:tcPr>
            <w:tcW w:w="1345" w:type="dxa"/>
            <w:tcMar>
              <w:left w:w="86" w:type="dxa"/>
              <w:right w:w="86" w:type="dxa"/>
            </w:tcMar>
          </w:tcPr>
          <w:p w:rsidR="0088452B" w:rsidRPr="00D94F41" w:rsidP="00803841" w14:paraId="5611AA52" w14:textId="77777777">
            <w:pPr>
              <w:pStyle w:val="TableParagraph"/>
              <w:spacing w:before="30" w:after="30"/>
            </w:pPr>
            <w:r w:rsidRPr="00D94F41">
              <w:t>Both</w:t>
            </w:r>
          </w:p>
        </w:tc>
      </w:tr>
      <w:tr w14:paraId="1873CCC1" w14:textId="77777777" w:rsidTr="00B13DA1">
        <w:tblPrEx>
          <w:tblW w:w="5000" w:type="pct"/>
          <w:tblLayout w:type="fixed"/>
          <w:tblLook w:val="01E0"/>
        </w:tblPrEx>
        <w:trPr>
          <w:cantSplit/>
        </w:trPr>
        <w:tc>
          <w:tcPr>
            <w:tcW w:w="3595" w:type="dxa"/>
            <w:tcMar>
              <w:left w:w="86" w:type="dxa"/>
              <w:right w:w="86" w:type="dxa"/>
            </w:tcMar>
          </w:tcPr>
          <w:p w:rsidR="0088452B" w:rsidRPr="00D94F41" w:rsidP="00803841" w14:paraId="235D5D37" w14:textId="7F86CDDB">
            <w:pPr>
              <w:pStyle w:val="TableParagraph"/>
              <w:spacing w:before="30" w:after="30"/>
            </w:pPr>
            <w:r w:rsidRPr="00D94F41">
              <w:t>Housing Characteristics (HAQ)</w:t>
            </w:r>
          </w:p>
        </w:tc>
        <w:tc>
          <w:tcPr>
            <w:tcW w:w="1350" w:type="dxa"/>
            <w:tcMar>
              <w:left w:w="86" w:type="dxa"/>
              <w:right w:w="86" w:type="dxa"/>
            </w:tcMar>
          </w:tcPr>
          <w:p w:rsidR="0088452B" w:rsidRPr="00D94F41" w:rsidP="00803841" w14:paraId="4FCDBC41" w14:textId="77777777">
            <w:pPr>
              <w:pStyle w:val="TableParagraph"/>
              <w:spacing w:before="30" w:after="30"/>
            </w:pPr>
            <w:r w:rsidRPr="00D94F41">
              <w:t>Topical</w:t>
            </w:r>
          </w:p>
        </w:tc>
        <w:tc>
          <w:tcPr>
            <w:tcW w:w="3060" w:type="dxa"/>
            <w:tcMar>
              <w:left w:w="86" w:type="dxa"/>
              <w:right w:w="86" w:type="dxa"/>
            </w:tcMar>
          </w:tcPr>
          <w:p w:rsidR="0088452B" w:rsidRPr="00D94F41" w:rsidP="00803841" w14:paraId="22BBE913" w14:textId="3E85E1F9">
            <w:pPr>
              <w:pStyle w:val="TableParagraph"/>
              <w:spacing w:before="30" w:after="30"/>
            </w:pPr>
            <w:bookmarkStart w:id="24" w:name="OLE_LINK11"/>
            <w:r w:rsidRPr="00D94F41">
              <w:t xml:space="preserve">Fall (Rounds </w:t>
            </w:r>
            <w:r w:rsidRPr="00D94F41" w:rsidR="00C17A23">
              <w:t>10</w:t>
            </w:r>
            <w:r w:rsidR="00C17A23">
              <w:t>9</w:t>
            </w:r>
            <w:r w:rsidRPr="00D94F41" w:rsidR="00A61638">
              <w:t xml:space="preserve">, </w:t>
            </w:r>
            <w:r w:rsidRPr="00D94F41" w:rsidR="00C17A23">
              <w:t>1</w:t>
            </w:r>
            <w:r w:rsidR="00C17A23">
              <w:t>12</w:t>
            </w:r>
            <w:r w:rsidR="0063767F">
              <w:t>, 115</w:t>
            </w:r>
            <w:r w:rsidRPr="00D94F41">
              <w:t>)</w:t>
            </w:r>
            <w:bookmarkEnd w:id="24"/>
          </w:p>
        </w:tc>
        <w:tc>
          <w:tcPr>
            <w:tcW w:w="1345" w:type="dxa"/>
            <w:tcMar>
              <w:left w:w="86" w:type="dxa"/>
              <w:right w:w="86" w:type="dxa"/>
            </w:tcMar>
          </w:tcPr>
          <w:p w:rsidR="0088452B" w:rsidRPr="00D94F41" w:rsidP="00803841" w14:paraId="1DE9411E" w14:textId="77777777">
            <w:pPr>
              <w:pStyle w:val="TableParagraph"/>
              <w:spacing w:before="30" w:after="30"/>
            </w:pPr>
            <w:r w:rsidRPr="00D94F41">
              <w:t>Both</w:t>
            </w:r>
          </w:p>
        </w:tc>
      </w:tr>
      <w:tr w14:paraId="7A224B27" w14:textId="77777777" w:rsidTr="00B13DA1">
        <w:tblPrEx>
          <w:tblW w:w="5000" w:type="pct"/>
          <w:tblLayout w:type="fixed"/>
          <w:tblLook w:val="01E0"/>
        </w:tblPrEx>
        <w:trPr>
          <w:cantSplit/>
        </w:trPr>
        <w:tc>
          <w:tcPr>
            <w:tcW w:w="3595" w:type="dxa"/>
            <w:tcMar>
              <w:left w:w="86" w:type="dxa"/>
              <w:right w:w="86" w:type="dxa"/>
            </w:tcMar>
          </w:tcPr>
          <w:p w:rsidR="0088452B" w:rsidRPr="00D94F41" w:rsidP="00803841" w14:paraId="2D82CC13" w14:textId="45F85270">
            <w:pPr>
              <w:pStyle w:val="TableParagraph"/>
              <w:spacing w:before="30" w:after="30"/>
            </w:pPr>
            <w:r w:rsidRPr="00D94F41">
              <w:t>Health Insurance (HIQ)</w:t>
            </w:r>
          </w:p>
        </w:tc>
        <w:tc>
          <w:tcPr>
            <w:tcW w:w="1350" w:type="dxa"/>
            <w:tcMar>
              <w:left w:w="86" w:type="dxa"/>
              <w:right w:w="86" w:type="dxa"/>
            </w:tcMar>
          </w:tcPr>
          <w:p w:rsidR="0088452B" w:rsidRPr="00D94F41" w:rsidP="00803841" w14:paraId="0DDBC514" w14:textId="77777777">
            <w:pPr>
              <w:pStyle w:val="TableParagraph"/>
              <w:spacing w:before="30" w:after="30"/>
            </w:pPr>
            <w:r w:rsidRPr="00D94F41">
              <w:t>Core</w:t>
            </w:r>
          </w:p>
        </w:tc>
        <w:tc>
          <w:tcPr>
            <w:tcW w:w="3060" w:type="dxa"/>
            <w:tcMar>
              <w:left w:w="86" w:type="dxa"/>
              <w:right w:w="86" w:type="dxa"/>
            </w:tcMar>
          </w:tcPr>
          <w:p w:rsidR="0088452B" w:rsidRPr="00D94F41" w:rsidP="00803841" w14:paraId="43245161" w14:textId="46693AB7">
            <w:pPr>
              <w:pStyle w:val="TableParagraph"/>
              <w:spacing w:before="30" w:after="30"/>
            </w:pPr>
            <w:r>
              <w:t xml:space="preserve">All (Round </w:t>
            </w:r>
            <w:r w:rsidRPr="00C17A23" w:rsidR="00C17A23">
              <w:t>10</w:t>
            </w:r>
            <w:r w:rsidR="0063767F">
              <w:t>7</w:t>
            </w:r>
            <w:r w:rsidRPr="00C17A23" w:rsidR="00C17A23">
              <w:t>-11</w:t>
            </w:r>
            <w:r w:rsidR="0063767F">
              <w:t>5</w:t>
            </w:r>
            <w:r>
              <w:t>)</w:t>
            </w:r>
          </w:p>
        </w:tc>
        <w:tc>
          <w:tcPr>
            <w:tcW w:w="1345" w:type="dxa"/>
            <w:tcMar>
              <w:left w:w="86" w:type="dxa"/>
              <w:right w:w="86" w:type="dxa"/>
            </w:tcMar>
          </w:tcPr>
          <w:p w:rsidR="0088452B" w:rsidRPr="00D94F41" w:rsidP="00803841" w14:paraId="6352CA28" w14:textId="77777777">
            <w:pPr>
              <w:pStyle w:val="TableParagraph"/>
              <w:spacing w:before="30" w:after="30"/>
            </w:pPr>
            <w:r w:rsidRPr="00D94F41">
              <w:t>Both</w:t>
            </w:r>
          </w:p>
        </w:tc>
      </w:tr>
      <w:tr w14:paraId="68B686ED" w14:textId="77777777" w:rsidTr="00B13DA1">
        <w:tblPrEx>
          <w:tblW w:w="5000" w:type="pct"/>
          <w:tblLayout w:type="fixed"/>
          <w:tblLook w:val="01E0"/>
        </w:tblPrEx>
        <w:trPr>
          <w:cantSplit/>
        </w:trPr>
        <w:tc>
          <w:tcPr>
            <w:tcW w:w="3595" w:type="dxa"/>
            <w:tcMar>
              <w:left w:w="86" w:type="dxa"/>
              <w:right w:w="86" w:type="dxa"/>
            </w:tcMar>
          </w:tcPr>
          <w:p w:rsidR="00524E48" w:rsidRPr="00D94F41" w:rsidP="00803841" w14:paraId="55213BDC" w14:textId="4E2F1951">
            <w:pPr>
              <w:pStyle w:val="TableParagraph"/>
              <w:spacing w:before="30" w:after="30"/>
            </w:pPr>
            <w:r w:rsidRPr="00D94F41">
              <w:t>Mobility of Beneficiaries (MBQ)</w:t>
            </w:r>
          </w:p>
        </w:tc>
        <w:tc>
          <w:tcPr>
            <w:tcW w:w="1350" w:type="dxa"/>
            <w:tcMar>
              <w:left w:w="86" w:type="dxa"/>
              <w:right w:w="86" w:type="dxa"/>
            </w:tcMar>
          </w:tcPr>
          <w:p w:rsidR="00524E48" w:rsidRPr="00D94F41" w:rsidP="00803841" w14:paraId="77023AC3" w14:textId="7FEB1F4C">
            <w:pPr>
              <w:pStyle w:val="TableParagraph"/>
              <w:spacing w:before="30" w:after="30"/>
            </w:pPr>
            <w:r w:rsidRPr="00D94F41">
              <w:t>Topical</w:t>
            </w:r>
          </w:p>
        </w:tc>
        <w:tc>
          <w:tcPr>
            <w:tcW w:w="3060" w:type="dxa"/>
            <w:tcMar>
              <w:left w:w="86" w:type="dxa"/>
              <w:right w:w="86" w:type="dxa"/>
            </w:tcMar>
          </w:tcPr>
          <w:p w:rsidR="00524E48" w:rsidRPr="00D94F41" w:rsidP="00803841" w14:paraId="2B9554DC" w14:textId="479B05EE">
            <w:pPr>
              <w:pStyle w:val="TableParagraph"/>
              <w:spacing w:before="30" w:after="30"/>
            </w:pPr>
            <w:r>
              <w:t xml:space="preserve">Fall (Rounds </w:t>
            </w:r>
            <w:r w:rsidRPr="00C17A23" w:rsidR="00C17A23">
              <w:t>109, 112</w:t>
            </w:r>
            <w:r w:rsidR="0063767F">
              <w:t>, 115</w:t>
            </w:r>
            <w:r>
              <w:t>)</w:t>
            </w:r>
          </w:p>
        </w:tc>
        <w:tc>
          <w:tcPr>
            <w:tcW w:w="1345" w:type="dxa"/>
            <w:tcMar>
              <w:left w:w="86" w:type="dxa"/>
              <w:right w:w="86" w:type="dxa"/>
            </w:tcMar>
          </w:tcPr>
          <w:p w:rsidR="00524E48" w:rsidRPr="00D94F41" w:rsidP="00803841" w14:paraId="1AE545E1" w14:textId="3A7A113E">
            <w:pPr>
              <w:pStyle w:val="TableParagraph"/>
              <w:spacing w:before="30" w:after="30"/>
            </w:pPr>
            <w:r w:rsidRPr="00D94F41">
              <w:t>Both</w:t>
            </w:r>
          </w:p>
        </w:tc>
      </w:tr>
      <w:tr w14:paraId="795113CC" w14:textId="77777777" w:rsidTr="00B13DA1">
        <w:tblPrEx>
          <w:tblW w:w="5000" w:type="pct"/>
          <w:tblLayout w:type="fixed"/>
          <w:tblLook w:val="01E0"/>
        </w:tblPrEx>
        <w:trPr>
          <w:cantSplit/>
        </w:trPr>
        <w:tc>
          <w:tcPr>
            <w:tcW w:w="3595" w:type="dxa"/>
            <w:tcMar>
              <w:left w:w="86" w:type="dxa"/>
              <w:right w:w="86" w:type="dxa"/>
            </w:tcMar>
          </w:tcPr>
          <w:p w:rsidR="00524E48" w:rsidRPr="00D94F41" w:rsidP="00803841" w14:paraId="5606E012" w14:textId="28E50060">
            <w:pPr>
              <w:pStyle w:val="TableParagraph"/>
              <w:spacing w:before="30" w:after="30"/>
            </w:pPr>
            <w:r w:rsidRPr="00D94F41">
              <w:t>Preventive Care (PVQ)</w:t>
            </w:r>
            <w:r w:rsidR="00355E4B">
              <w:t>*</w:t>
            </w:r>
          </w:p>
        </w:tc>
        <w:tc>
          <w:tcPr>
            <w:tcW w:w="1350" w:type="dxa"/>
            <w:tcMar>
              <w:left w:w="86" w:type="dxa"/>
              <w:right w:w="86" w:type="dxa"/>
            </w:tcMar>
          </w:tcPr>
          <w:p w:rsidR="00524E48" w:rsidRPr="00D94F41" w:rsidP="00803841" w14:paraId="60CF04E1" w14:textId="6F6CD649">
            <w:pPr>
              <w:pStyle w:val="TableParagraph"/>
              <w:spacing w:before="30" w:after="30"/>
            </w:pPr>
            <w:r w:rsidRPr="00D94F41">
              <w:t>Topical</w:t>
            </w:r>
          </w:p>
        </w:tc>
        <w:tc>
          <w:tcPr>
            <w:tcW w:w="3060" w:type="dxa"/>
            <w:tcMar>
              <w:left w:w="86" w:type="dxa"/>
              <w:right w:w="86" w:type="dxa"/>
            </w:tcMar>
          </w:tcPr>
          <w:p w:rsidR="00524E48" w:rsidRPr="00D94F41" w:rsidP="00803841" w14:paraId="00FB0CA0" w14:textId="3E4617A0">
            <w:pPr>
              <w:pStyle w:val="TableParagraph"/>
              <w:spacing w:before="30" w:after="30"/>
            </w:pPr>
            <w:r w:rsidRPr="00E778E5">
              <w:t>Fall (Rounds 109, 112</w:t>
            </w:r>
            <w:r w:rsidR="0063767F">
              <w:t>, 115</w:t>
            </w:r>
            <w:r w:rsidRPr="00E778E5">
              <w:t>)</w:t>
            </w:r>
          </w:p>
        </w:tc>
        <w:tc>
          <w:tcPr>
            <w:tcW w:w="1345" w:type="dxa"/>
            <w:tcMar>
              <w:left w:w="86" w:type="dxa"/>
              <w:right w:w="86" w:type="dxa"/>
            </w:tcMar>
          </w:tcPr>
          <w:p w:rsidR="00524E48" w:rsidRPr="00D94F41" w:rsidP="00803841" w14:paraId="3A200448" w14:textId="015FBBC9">
            <w:pPr>
              <w:pStyle w:val="TableParagraph"/>
              <w:spacing w:before="30" w:after="30"/>
            </w:pPr>
            <w:r w:rsidRPr="00D94F41">
              <w:t>Both</w:t>
            </w:r>
          </w:p>
        </w:tc>
      </w:tr>
      <w:tr w14:paraId="7BECF64B" w14:textId="77777777" w:rsidTr="00B13DA1">
        <w:tblPrEx>
          <w:tblW w:w="5000" w:type="pct"/>
          <w:tblLayout w:type="fixed"/>
          <w:tblLook w:val="01E0"/>
        </w:tblPrEx>
        <w:trPr>
          <w:cantSplit/>
        </w:trPr>
        <w:tc>
          <w:tcPr>
            <w:tcW w:w="3595" w:type="dxa"/>
            <w:tcMar>
              <w:left w:w="86" w:type="dxa"/>
              <w:right w:w="86" w:type="dxa"/>
            </w:tcMar>
          </w:tcPr>
          <w:p w:rsidR="0015004D" w:rsidRPr="00D94F41" w:rsidP="00803841" w14:paraId="3ACFBCE4" w14:textId="79EFA7BB">
            <w:pPr>
              <w:pStyle w:val="TableParagraph"/>
              <w:spacing w:before="30" w:after="30"/>
            </w:pPr>
            <w:r w:rsidRPr="00D94F41">
              <w:t>Health Status and Functioning (HFQ)</w:t>
            </w:r>
            <w:r w:rsidR="00F36FB5">
              <w:t>*</w:t>
            </w:r>
          </w:p>
        </w:tc>
        <w:tc>
          <w:tcPr>
            <w:tcW w:w="1350" w:type="dxa"/>
            <w:tcMar>
              <w:left w:w="86" w:type="dxa"/>
              <w:right w:w="86" w:type="dxa"/>
            </w:tcMar>
          </w:tcPr>
          <w:p w:rsidR="0015004D" w:rsidRPr="00D94F41" w:rsidP="00803841" w14:paraId="4E8E449A" w14:textId="1A581F38">
            <w:pPr>
              <w:pStyle w:val="TableParagraph"/>
              <w:spacing w:before="30" w:after="30"/>
            </w:pPr>
            <w:r w:rsidRPr="00D94F41">
              <w:t>Core</w:t>
            </w:r>
          </w:p>
        </w:tc>
        <w:tc>
          <w:tcPr>
            <w:tcW w:w="3060" w:type="dxa"/>
            <w:tcMar>
              <w:left w:w="86" w:type="dxa"/>
              <w:right w:w="86" w:type="dxa"/>
            </w:tcMar>
          </w:tcPr>
          <w:p w:rsidR="0015004D" w:rsidRPr="00D94F41" w:rsidP="00803841" w14:paraId="42EAB69D" w14:textId="2BA4F591">
            <w:pPr>
              <w:pStyle w:val="TableParagraph"/>
              <w:spacing w:before="30" w:after="30"/>
            </w:pPr>
            <w:r>
              <w:t xml:space="preserve">Fall (Rounds </w:t>
            </w:r>
            <w:r w:rsidRPr="00C17A23" w:rsidR="00C17A23">
              <w:t>109, 112</w:t>
            </w:r>
            <w:r w:rsidR="0063767F">
              <w:t>, 115</w:t>
            </w:r>
            <w:r>
              <w:t>)</w:t>
            </w:r>
          </w:p>
        </w:tc>
        <w:tc>
          <w:tcPr>
            <w:tcW w:w="1345" w:type="dxa"/>
            <w:tcMar>
              <w:left w:w="86" w:type="dxa"/>
              <w:right w:w="86" w:type="dxa"/>
            </w:tcMar>
          </w:tcPr>
          <w:p w:rsidR="0015004D" w:rsidRPr="00D94F41" w:rsidP="00803841" w14:paraId="416C89BD" w14:textId="73DFAA1C">
            <w:pPr>
              <w:pStyle w:val="TableParagraph"/>
              <w:spacing w:before="30" w:after="30"/>
            </w:pPr>
            <w:r w:rsidRPr="00D94F41">
              <w:t>Both</w:t>
            </w:r>
          </w:p>
        </w:tc>
      </w:tr>
      <w:tr w14:paraId="10B00A6D" w14:textId="77777777" w:rsidTr="00B13DA1">
        <w:tblPrEx>
          <w:tblW w:w="5000" w:type="pct"/>
          <w:tblLayout w:type="fixed"/>
          <w:tblLook w:val="01E0"/>
        </w:tblPrEx>
        <w:trPr>
          <w:cantSplit/>
        </w:trPr>
        <w:tc>
          <w:tcPr>
            <w:tcW w:w="3595" w:type="dxa"/>
            <w:tcMar>
              <w:left w:w="86" w:type="dxa"/>
              <w:right w:w="86" w:type="dxa"/>
            </w:tcMar>
          </w:tcPr>
          <w:p w:rsidR="0015004D" w:rsidRPr="00D94F41" w:rsidP="00803841" w14:paraId="6F93F4E1" w14:textId="4707AB0A">
            <w:pPr>
              <w:pStyle w:val="TableParagraph"/>
              <w:spacing w:before="30" w:after="30"/>
            </w:pPr>
            <w:r w:rsidRPr="00D94F41">
              <w:t>Nicotine and Alcohol Use (NAQ)</w:t>
            </w:r>
          </w:p>
        </w:tc>
        <w:tc>
          <w:tcPr>
            <w:tcW w:w="1350" w:type="dxa"/>
            <w:tcMar>
              <w:left w:w="86" w:type="dxa"/>
              <w:right w:w="86" w:type="dxa"/>
            </w:tcMar>
          </w:tcPr>
          <w:p w:rsidR="0015004D" w:rsidRPr="00D94F41" w:rsidP="00803841" w14:paraId="1A26543A" w14:textId="0C396A50">
            <w:pPr>
              <w:pStyle w:val="TableParagraph"/>
              <w:spacing w:before="30" w:after="30"/>
            </w:pPr>
            <w:r w:rsidRPr="00D94F41">
              <w:t>Topical</w:t>
            </w:r>
          </w:p>
        </w:tc>
        <w:tc>
          <w:tcPr>
            <w:tcW w:w="3060" w:type="dxa"/>
            <w:tcMar>
              <w:left w:w="86" w:type="dxa"/>
              <w:right w:w="86" w:type="dxa"/>
            </w:tcMar>
          </w:tcPr>
          <w:p w:rsidR="0015004D" w:rsidRPr="00D94F41" w:rsidP="00803841" w14:paraId="4B79EB8B" w14:textId="35804053">
            <w:pPr>
              <w:pStyle w:val="TableParagraph"/>
              <w:spacing w:before="30" w:after="30"/>
            </w:pPr>
            <w:r>
              <w:t xml:space="preserve">Fall (Rounds </w:t>
            </w:r>
            <w:r w:rsidRPr="00C17A23" w:rsidR="00C17A23">
              <w:t>109, 112</w:t>
            </w:r>
            <w:r w:rsidR="0063767F">
              <w:t>, 115</w:t>
            </w:r>
            <w:r>
              <w:t>)</w:t>
            </w:r>
          </w:p>
        </w:tc>
        <w:tc>
          <w:tcPr>
            <w:tcW w:w="1345" w:type="dxa"/>
            <w:tcMar>
              <w:left w:w="86" w:type="dxa"/>
              <w:right w:w="86" w:type="dxa"/>
            </w:tcMar>
          </w:tcPr>
          <w:p w:rsidR="0015004D" w:rsidRPr="00D94F41" w:rsidP="00803841" w14:paraId="1F4E0F5C" w14:textId="32304B8B">
            <w:pPr>
              <w:pStyle w:val="TableParagraph"/>
              <w:spacing w:before="30" w:after="30"/>
            </w:pPr>
            <w:r w:rsidRPr="00D94F41">
              <w:t>Both</w:t>
            </w:r>
          </w:p>
        </w:tc>
      </w:tr>
      <w:tr w14:paraId="1FC7B6D8" w14:textId="77777777" w:rsidTr="00B13DA1">
        <w:tblPrEx>
          <w:tblW w:w="5000" w:type="pct"/>
          <w:tblLayout w:type="fixed"/>
          <w:tblLook w:val="01E0"/>
        </w:tblPrEx>
        <w:trPr>
          <w:cantSplit/>
        </w:trPr>
        <w:tc>
          <w:tcPr>
            <w:tcW w:w="3595" w:type="dxa"/>
            <w:tcMar>
              <w:left w:w="86" w:type="dxa"/>
              <w:right w:w="86" w:type="dxa"/>
            </w:tcMar>
          </w:tcPr>
          <w:p w:rsidR="0015004D" w:rsidRPr="00D94F41" w:rsidP="00803841" w14:paraId="066C5558" w14:textId="119F2F1D">
            <w:pPr>
              <w:pStyle w:val="TableParagraph"/>
              <w:spacing w:before="30" w:after="30"/>
            </w:pPr>
            <w:r w:rsidRPr="00D94F41">
              <w:t>Satisfaction with Care (SCQ)</w:t>
            </w:r>
            <w:r w:rsidR="00692AAB">
              <w:t>*</w:t>
            </w:r>
          </w:p>
        </w:tc>
        <w:tc>
          <w:tcPr>
            <w:tcW w:w="1350" w:type="dxa"/>
            <w:tcMar>
              <w:left w:w="86" w:type="dxa"/>
              <w:right w:w="86" w:type="dxa"/>
            </w:tcMar>
          </w:tcPr>
          <w:p w:rsidR="0015004D" w:rsidRPr="00D94F41" w:rsidP="00803841" w14:paraId="0512B490" w14:textId="0DBC9805">
            <w:pPr>
              <w:pStyle w:val="TableParagraph"/>
              <w:spacing w:before="30" w:after="30"/>
            </w:pPr>
            <w:r w:rsidRPr="00D94F41">
              <w:t>Core</w:t>
            </w:r>
          </w:p>
        </w:tc>
        <w:tc>
          <w:tcPr>
            <w:tcW w:w="3060" w:type="dxa"/>
            <w:tcMar>
              <w:left w:w="86" w:type="dxa"/>
              <w:right w:w="86" w:type="dxa"/>
            </w:tcMar>
          </w:tcPr>
          <w:p w:rsidR="0015004D" w:rsidRPr="00D94F41" w:rsidP="00803841" w14:paraId="39A5B681" w14:textId="7E61DB4C">
            <w:pPr>
              <w:pStyle w:val="TableParagraph"/>
              <w:spacing w:before="30" w:after="30"/>
            </w:pPr>
            <w:r>
              <w:t xml:space="preserve">Fall (Rounds </w:t>
            </w:r>
            <w:r w:rsidRPr="00C17A23" w:rsidR="00C17A23">
              <w:t>109, 112</w:t>
            </w:r>
            <w:r w:rsidR="0063767F">
              <w:t>, 115</w:t>
            </w:r>
            <w:r>
              <w:t>)</w:t>
            </w:r>
          </w:p>
        </w:tc>
        <w:tc>
          <w:tcPr>
            <w:tcW w:w="1345" w:type="dxa"/>
            <w:tcMar>
              <w:left w:w="86" w:type="dxa"/>
              <w:right w:w="86" w:type="dxa"/>
            </w:tcMar>
          </w:tcPr>
          <w:p w:rsidR="0015004D" w:rsidRPr="00D94F41" w:rsidP="00803841" w14:paraId="25574390" w14:textId="5AF39271">
            <w:pPr>
              <w:pStyle w:val="TableParagraph"/>
              <w:spacing w:before="30" w:after="30"/>
            </w:pPr>
            <w:r w:rsidRPr="00D94F41">
              <w:t>Both</w:t>
            </w:r>
          </w:p>
        </w:tc>
      </w:tr>
      <w:tr w14:paraId="35726B2F" w14:textId="77777777" w:rsidTr="00B13DA1">
        <w:tblPrEx>
          <w:tblW w:w="5000" w:type="pct"/>
          <w:tblLayout w:type="fixed"/>
          <w:tblLook w:val="01E0"/>
        </w:tblPrEx>
        <w:trPr>
          <w:cantSplit/>
        </w:trPr>
        <w:tc>
          <w:tcPr>
            <w:tcW w:w="3595" w:type="dxa"/>
            <w:tcMar>
              <w:left w:w="86" w:type="dxa"/>
              <w:right w:w="86" w:type="dxa"/>
            </w:tcMar>
          </w:tcPr>
          <w:p w:rsidR="0015004D" w:rsidRPr="00D94F41" w:rsidP="00803841" w14:paraId="1E6E58E9" w14:textId="107E56C0">
            <w:pPr>
              <w:pStyle w:val="TableParagraph"/>
              <w:spacing w:before="30" w:after="30"/>
            </w:pPr>
            <w:r w:rsidRPr="00D94F41">
              <w:t>Cognitive Measures (CMQ)</w:t>
            </w:r>
          </w:p>
        </w:tc>
        <w:tc>
          <w:tcPr>
            <w:tcW w:w="1350" w:type="dxa"/>
            <w:tcMar>
              <w:left w:w="86" w:type="dxa"/>
              <w:right w:w="86" w:type="dxa"/>
            </w:tcMar>
          </w:tcPr>
          <w:p w:rsidR="0015004D" w:rsidRPr="00D94F41" w:rsidP="00803841" w14:paraId="0A55AB2E" w14:textId="59D2C8E8">
            <w:pPr>
              <w:pStyle w:val="TableParagraph"/>
              <w:spacing w:before="30" w:after="30"/>
            </w:pPr>
            <w:r w:rsidRPr="00D94F41">
              <w:t xml:space="preserve">Core </w:t>
            </w:r>
          </w:p>
        </w:tc>
        <w:tc>
          <w:tcPr>
            <w:tcW w:w="3060" w:type="dxa"/>
            <w:tcMar>
              <w:left w:w="86" w:type="dxa"/>
              <w:right w:w="86" w:type="dxa"/>
            </w:tcMar>
          </w:tcPr>
          <w:p w:rsidR="0015004D" w:rsidRPr="00D94F41" w:rsidP="00803841" w14:paraId="1394B099" w14:textId="3D863D64">
            <w:pPr>
              <w:pStyle w:val="TableParagraph"/>
              <w:spacing w:before="30" w:after="30"/>
            </w:pPr>
            <w:r>
              <w:t xml:space="preserve">Fall (Rounds </w:t>
            </w:r>
            <w:r w:rsidRPr="00C17A23" w:rsidR="00C17A23">
              <w:t>109, 112</w:t>
            </w:r>
            <w:r w:rsidR="0063767F">
              <w:t>, 115</w:t>
            </w:r>
            <w:r>
              <w:t>)</w:t>
            </w:r>
          </w:p>
        </w:tc>
        <w:tc>
          <w:tcPr>
            <w:tcW w:w="1345" w:type="dxa"/>
            <w:tcMar>
              <w:left w:w="86" w:type="dxa"/>
              <w:right w:w="86" w:type="dxa"/>
            </w:tcMar>
          </w:tcPr>
          <w:p w:rsidR="0015004D" w:rsidRPr="00D94F41" w:rsidP="00803841" w14:paraId="4A47897D" w14:textId="6CBBD99B">
            <w:pPr>
              <w:pStyle w:val="TableParagraph"/>
              <w:spacing w:before="30" w:after="30"/>
            </w:pPr>
            <w:r w:rsidRPr="00D94F41">
              <w:t>Both</w:t>
            </w:r>
          </w:p>
        </w:tc>
      </w:tr>
      <w:tr w14:paraId="082BBF0D" w14:textId="77777777" w:rsidTr="00B13DA1">
        <w:tblPrEx>
          <w:tblW w:w="5000" w:type="pct"/>
          <w:tblLayout w:type="fixed"/>
          <w:tblLook w:val="01E0"/>
        </w:tblPrEx>
        <w:trPr>
          <w:cantSplit/>
        </w:trPr>
        <w:tc>
          <w:tcPr>
            <w:tcW w:w="3595" w:type="dxa"/>
            <w:tcMar>
              <w:left w:w="86" w:type="dxa"/>
              <w:right w:w="86" w:type="dxa"/>
            </w:tcMar>
          </w:tcPr>
          <w:p w:rsidR="0015004D" w:rsidRPr="00D94F41" w:rsidP="00803841" w14:paraId="1F4F3EBB" w14:textId="54A422AB">
            <w:pPr>
              <w:pStyle w:val="TableParagraph"/>
              <w:spacing w:before="30" w:after="30"/>
            </w:pPr>
            <w:r w:rsidRPr="00D94F41">
              <w:t>Demographics and Income (DIQ)</w:t>
            </w:r>
            <w:r w:rsidR="0063767F">
              <w:t>*</w:t>
            </w:r>
          </w:p>
        </w:tc>
        <w:tc>
          <w:tcPr>
            <w:tcW w:w="1350" w:type="dxa"/>
            <w:tcMar>
              <w:left w:w="86" w:type="dxa"/>
              <w:right w:w="86" w:type="dxa"/>
            </w:tcMar>
          </w:tcPr>
          <w:p w:rsidR="0015004D" w:rsidRPr="00D94F41" w:rsidP="00803841" w14:paraId="3E2644BB" w14:textId="38460FD0">
            <w:pPr>
              <w:pStyle w:val="TableParagraph"/>
              <w:spacing w:before="30" w:after="30"/>
            </w:pPr>
            <w:r w:rsidRPr="00D94F41">
              <w:t>Core</w:t>
            </w:r>
          </w:p>
        </w:tc>
        <w:tc>
          <w:tcPr>
            <w:tcW w:w="3060" w:type="dxa"/>
            <w:tcMar>
              <w:left w:w="86" w:type="dxa"/>
              <w:right w:w="86" w:type="dxa"/>
            </w:tcMar>
          </w:tcPr>
          <w:p w:rsidR="0015004D" w:rsidRPr="00D94F41" w:rsidP="00803841" w14:paraId="5D2787A2" w14:textId="3911A706">
            <w:pPr>
              <w:pStyle w:val="TableParagraph"/>
              <w:spacing w:before="30" w:after="30"/>
            </w:pPr>
            <w:r>
              <w:t xml:space="preserve">Fall (Rounds </w:t>
            </w:r>
            <w:r w:rsidRPr="00C17A23" w:rsidR="00C17A23">
              <w:t>109, 112</w:t>
            </w:r>
            <w:r w:rsidR="0063767F">
              <w:t>, 115</w:t>
            </w:r>
            <w:r>
              <w:t>)</w:t>
            </w:r>
          </w:p>
        </w:tc>
        <w:tc>
          <w:tcPr>
            <w:tcW w:w="1345" w:type="dxa"/>
            <w:tcMar>
              <w:left w:w="86" w:type="dxa"/>
              <w:right w:w="86" w:type="dxa"/>
            </w:tcMar>
          </w:tcPr>
          <w:p w:rsidR="0015004D" w:rsidRPr="00D94F41" w:rsidP="00803841" w14:paraId="508B398D" w14:textId="4EF60B2D">
            <w:pPr>
              <w:pStyle w:val="TableParagraph"/>
              <w:spacing w:before="30" w:after="30"/>
            </w:pPr>
            <w:r>
              <w:t>Baseline</w:t>
            </w:r>
          </w:p>
        </w:tc>
      </w:tr>
      <w:tr w14:paraId="27F87A90" w14:textId="77777777" w:rsidTr="00B13DA1">
        <w:tblPrEx>
          <w:tblW w:w="5000" w:type="pct"/>
          <w:tblLayout w:type="fixed"/>
          <w:tblLook w:val="01E0"/>
        </w:tblPrEx>
        <w:trPr>
          <w:cantSplit/>
        </w:trPr>
        <w:tc>
          <w:tcPr>
            <w:tcW w:w="3595" w:type="dxa"/>
            <w:tcBorders>
              <w:top w:val="single" w:sz="4" w:space="0" w:color="auto"/>
              <w:left w:val="single" w:sz="4" w:space="0" w:color="auto"/>
              <w:bottom w:val="single" w:sz="4" w:space="0" w:color="auto"/>
              <w:right w:val="single" w:sz="4" w:space="0" w:color="auto"/>
            </w:tcBorders>
            <w:tcMar>
              <w:top w:w="0" w:type="dxa"/>
              <w:left w:w="86" w:type="dxa"/>
              <w:bottom w:w="0" w:type="dxa"/>
              <w:right w:w="86" w:type="dxa"/>
            </w:tcMar>
            <w:hideMark/>
          </w:tcPr>
          <w:p w:rsidR="00881E8D" w:rsidP="00803841" w14:paraId="385274A1" w14:textId="77777777">
            <w:pPr>
              <w:pStyle w:val="TableParagraph"/>
              <w:spacing w:before="30" w:after="30"/>
            </w:pPr>
            <w:r>
              <w:t>Immunization (IMQ)*</w:t>
            </w:r>
          </w:p>
        </w:tc>
        <w:tc>
          <w:tcPr>
            <w:tcW w:w="1350" w:type="dxa"/>
            <w:tcBorders>
              <w:top w:val="single" w:sz="4" w:space="0" w:color="auto"/>
              <w:left w:val="single" w:sz="4" w:space="0" w:color="auto"/>
              <w:bottom w:val="single" w:sz="4" w:space="0" w:color="auto"/>
              <w:right w:val="single" w:sz="4" w:space="0" w:color="auto"/>
            </w:tcBorders>
            <w:tcMar>
              <w:top w:w="0" w:type="dxa"/>
              <w:left w:w="86" w:type="dxa"/>
              <w:bottom w:w="0" w:type="dxa"/>
              <w:right w:w="86" w:type="dxa"/>
            </w:tcMar>
            <w:hideMark/>
          </w:tcPr>
          <w:p w:rsidR="00881E8D" w:rsidP="00803841" w14:paraId="4E5126F2" w14:textId="77777777">
            <w:pPr>
              <w:pStyle w:val="TableParagraph"/>
              <w:spacing w:before="30" w:after="30"/>
            </w:pPr>
            <w:r>
              <w:t>Topical</w:t>
            </w:r>
          </w:p>
        </w:tc>
        <w:tc>
          <w:tcPr>
            <w:tcW w:w="3060" w:type="dxa"/>
            <w:tcBorders>
              <w:top w:val="single" w:sz="4" w:space="0" w:color="auto"/>
              <w:left w:val="single" w:sz="4" w:space="0" w:color="auto"/>
              <w:bottom w:val="single" w:sz="4" w:space="0" w:color="auto"/>
              <w:right w:val="single" w:sz="4" w:space="0" w:color="auto"/>
            </w:tcBorders>
            <w:tcMar>
              <w:top w:w="0" w:type="dxa"/>
              <w:left w:w="86" w:type="dxa"/>
              <w:bottom w:w="0" w:type="dxa"/>
              <w:right w:w="86" w:type="dxa"/>
            </w:tcMar>
            <w:hideMark/>
          </w:tcPr>
          <w:p w:rsidR="00881E8D" w:rsidP="00803841" w14:paraId="1A4FDF51" w14:textId="26457485">
            <w:pPr>
              <w:pStyle w:val="TableParagraph"/>
              <w:spacing w:before="30" w:after="30"/>
            </w:pPr>
            <w:r>
              <w:t xml:space="preserve">Winter (Round </w:t>
            </w:r>
            <w:r w:rsidRPr="00083B97" w:rsidR="00083B97">
              <w:t>107, 110, 113</w:t>
            </w:r>
            <w:r>
              <w:t>)</w:t>
            </w:r>
          </w:p>
        </w:tc>
        <w:tc>
          <w:tcPr>
            <w:tcW w:w="1345" w:type="dxa"/>
            <w:tcBorders>
              <w:top w:val="single" w:sz="4" w:space="0" w:color="auto"/>
              <w:left w:val="single" w:sz="4" w:space="0" w:color="auto"/>
              <w:bottom w:val="single" w:sz="4" w:space="0" w:color="auto"/>
              <w:right w:val="single" w:sz="4" w:space="0" w:color="auto"/>
            </w:tcBorders>
            <w:tcMar>
              <w:top w:w="0" w:type="dxa"/>
              <w:left w:w="86" w:type="dxa"/>
              <w:bottom w:w="0" w:type="dxa"/>
              <w:right w:w="86" w:type="dxa"/>
            </w:tcMar>
            <w:hideMark/>
          </w:tcPr>
          <w:p w:rsidR="00881E8D" w:rsidP="00803841" w14:paraId="0536F242" w14:textId="77777777">
            <w:pPr>
              <w:pStyle w:val="TableParagraph"/>
              <w:spacing w:before="30" w:after="30"/>
            </w:pPr>
            <w:r>
              <w:t>Continuing</w:t>
            </w:r>
          </w:p>
        </w:tc>
      </w:tr>
      <w:tr w14:paraId="6833D2C9" w14:textId="77777777" w:rsidTr="00B13DA1">
        <w:tblPrEx>
          <w:tblW w:w="5000" w:type="pct"/>
          <w:tblLayout w:type="fixed"/>
          <w:tblLook w:val="01E0"/>
        </w:tblPrEx>
        <w:trPr>
          <w:cantSplit/>
        </w:trPr>
        <w:tc>
          <w:tcPr>
            <w:tcW w:w="3595" w:type="dxa"/>
            <w:tcMar>
              <w:left w:w="86" w:type="dxa"/>
              <w:right w:w="86" w:type="dxa"/>
            </w:tcMar>
          </w:tcPr>
          <w:p w:rsidR="00F70FE0" w:rsidRPr="00D94F41" w:rsidP="00803841" w14:paraId="610234EA" w14:textId="64CF5DE5">
            <w:pPr>
              <w:pStyle w:val="TableParagraph"/>
              <w:spacing w:before="30" w:after="30"/>
            </w:pPr>
            <w:r w:rsidRPr="00D94F41">
              <w:t>Beneficiary Knowledge and Information Needs (KNQ)</w:t>
            </w:r>
            <w:r w:rsidR="00B02E2E">
              <w:t>*</w:t>
            </w:r>
          </w:p>
        </w:tc>
        <w:tc>
          <w:tcPr>
            <w:tcW w:w="1350" w:type="dxa"/>
            <w:tcMar>
              <w:left w:w="86" w:type="dxa"/>
              <w:right w:w="86" w:type="dxa"/>
            </w:tcMar>
          </w:tcPr>
          <w:p w:rsidR="00F70FE0" w:rsidRPr="00D94F41" w:rsidP="00803841" w14:paraId="2CB4EB3F" w14:textId="0E3F1E51">
            <w:pPr>
              <w:pStyle w:val="TableParagraph"/>
              <w:spacing w:before="30" w:after="30"/>
            </w:pPr>
            <w:r w:rsidRPr="00D94F41">
              <w:t>Topical</w:t>
            </w:r>
          </w:p>
        </w:tc>
        <w:tc>
          <w:tcPr>
            <w:tcW w:w="3060" w:type="dxa"/>
            <w:tcMar>
              <w:left w:w="86" w:type="dxa"/>
              <w:right w:w="86" w:type="dxa"/>
            </w:tcMar>
          </w:tcPr>
          <w:p w:rsidR="00F70FE0" w:rsidRPr="00D94F41" w:rsidP="00803841" w14:paraId="33B1A921" w14:textId="5193EB08">
            <w:pPr>
              <w:pStyle w:val="TableParagraph"/>
              <w:spacing w:before="30" w:after="30"/>
            </w:pPr>
            <w:r>
              <w:t xml:space="preserve">Winter (Round </w:t>
            </w:r>
            <w:r w:rsidRPr="00083B97" w:rsidR="00083B97">
              <w:t>107, 110, 113</w:t>
            </w:r>
            <w:r>
              <w:t>)</w:t>
            </w:r>
          </w:p>
        </w:tc>
        <w:tc>
          <w:tcPr>
            <w:tcW w:w="1345" w:type="dxa"/>
            <w:tcMar>
              <w:left w:w="86" w:type="dxa"/>
              <w:right w:w="86" w:type="dxa"/>
            </w:tcMar>
          </w:tcPr>
          <w:p w:rsidR="00F70FE0" w:rsidRPr="00D94F41" w:rsidP="00803841" w14:paraId="41B21747" w14:textId="4C0FCE36">
            <w:pPr>
              <w:pStyle w:val="TableParagraph"/>
              <w:spacing w:before="30" w:after="30"/>
            </w:pPr>
            <w:r w:rsidRPr="00D94F41">
              <w:t>Continuing</w:t>
            </w:r>
          </w:p>
        </w:tc>
      </w:tr>
      <w:tr w14:paraId="458CFEB2" w14:textId="77777777" w:rsidTr="00B13DA1">
        <w:tblPrEx>
          <w:tblW w:w="5000" w:type="pct"/>
          <w:tblLayout w:type="fixed"/>
          <w:tblLook w:val="01E0"/>
        </w:tblPrEx>
        <w:trPr>
          <w:cantSplit/>
        </w:trPr>
        <w:tc>
          <w:tcPr>
            <w:tcW w:w="3595" w:type="dxa"/>
            <w:tcMar>
              <w:left w:w="86" w:type="dxa"/>
              <w:right w:w="86" w:type="dxa"/>
            </w:tcMar>
          </w:tcPr>
          <w:p w:rsidR="00F70FE0" w:rsidRPr="00D94F41" w:rsidP="00803841" w14:paraId="39661848" w14:textId="22A0584E">
            <w:pPr>
              <w:pStyle w:val="TableParagraph"/>
              <w:spacing w:before="30" w:after="30"/>
            </w:pPr>
            <w:r>
              <w:t>Care Coordination Questionnaire (CCQ)</w:t>
            </w:r>
            <w:r>
              <w:rPr>
                <w:rStyle w:val="FootnoteReference"/>
              </w:rPr>
              <w:footnoteReference w:id="11"/>
            </w:r>
            <w:r w:rsidR="00622E3B">
              <w:t>*</w:t>
            </w:r>
          </w:p>
        </w:tc>
        <w:tc>
          <w:tcPr>
            <w:tcW w:w="1350" w:type="dxa"/>
            <w:tcMar>
              <w:left w:w="86" w:type="dxa"/>
              <w:right w:w="86" w:type="dxa"/>
            </w:tcMar>
          </w:tcPr>
          <w:p w:rsidR="00F70FE0" w:rsidRPr="00D94F41" w:rsidP="00803841" w14:paraId="1CBE4405" w14:textId="259F46EA">
            <w:pPr>
              <w:pStyle w:val="TableParagraph"/>
              <w:spacing w:before="30" w:after="30"/>
            </w:pPr>
            <w:r w:rsidRPr="00D94F41">
              <w:t>Core</w:t>
            </w:r>
          </w:p>
        </w:tc>
        <w:tc>
          <w:tcPr>
            <w:tcW w:w="3060" w:type="dxa"/>
            <w:tcMar>
              <w:left w:w="86" w:type="dxa"/>
              <w:right w:w="86" w:type="dxa"/>
            </w:tcMar>
          </w:tcPr>
          <w:p w:rsidR="00F70FE0" w:rsidRPr="00D94F41" w:rsidP="00803841" w14:paraId="4A4440B1" w14:textId="32AC6E25">
            <w:pPr>
              <w:pStyle w:val="TableParagraph"/>
              <w:spacing w:before="30" w:after="30"/>
            </w:pPr>
            <w:r>
              <w:t xml:space="preserve">Winter (Round </w:t>
            </w:r>
            <w:r w:rsidRPr="00083B97" w:rsidR="00083B97">
              <w:t>107, 110, 113</w:t>
            </w:r>
            <w:r>
              <w:t>)</w:t>
            </w:r>
          </w:p>
        </w:tc>
        <w:tc>
          <w:tcPr>
            <w:tcW w:w="1345" w:type="dxa"/>
            <w:tcMar>
              <w:left w:w="86" w:type="dxa"/>
              <w:right w:w="86" w:type="dxa"/>
            </w:tcMar>
          </w:tcPr>
          <w:p w:rsidR="00F70FE0" w:rsidRPr="00D94F41" w:rsidP="00803841" w14:paraId="3772AE14" w14:textId="7232D854">
            <w:pPr>
              <w:pStyle w:val="TableParagraph"/>
              <w:spacing w:before="30" w:after="30"/>
            </w:pPr>
            <w:r w:rsidRPr="00D94F41">
              <w:t>Continuing</w:t>
            </w:r>
          </w:p>
        </w:tc>
      </w:tr>
      <w:tr w14:paraId="684F74CB" w14:textId="77777777" w:rsidTr="00B13DA1">
        <w:tblPrEx>
          <w:tblW w:w="5000" w:type="pct"/>
          <w:tblLayout w:type="fixed"/>
          <w:tblLook w:val="01E0"/>
        </w:tblPrEx>
        <w:trPr>
          <w:cantSplit/>
        </w:trPr>
        <w:tc>
          <w:tcPr>
            <w:tcW w:w="3595" w:type="dxa"/>
            <w:tcMar>
              <w:left w:w="86" w:type="dxa"/>
              <w:right w:w="86" w:type="dxa"/>
            </w:tcMar>
          </w:tcPr>
          <w:p w:rsidR="00F70FE0" w:rsidRPr="00D94F41" w:rsidP="00803841" w14:paraId="6C6ED50D" w14:textId="5C72237E">
            <w:pPr>
              <w:pStyle w:val="TableParagraph"/>
              <w:spacing w:before="30" w:after="30"/>
            </w:pPr>
            <w:r w:rsidRPr="00D94F41">
              <w:t>Telemedicine (TLQ)</w:t>
            </w:r>
          </w:p>
        </w:tc>
        <w:tc>
          <w:tcPr>
            <w:tcW w:w="1350" w:type="dxa"/>
            <w:tcMar>
              <w:left w:w="86" w:type="dxa"/>
              <w:right w:w="86" w:type="dxa"/>
            </w:tcMar>
          </w:tcPr>
          <w:p w:rsidR="00F70FE0" w:rsidRPr="00D94F41" w:rsidP="00803841" w14:paraId="72F03B6C" w14:textId="1BFBB081">
            <w:pPr>
              <w:pStyle w:val="TableParagraph"/>
              <w:spacing w:before="30" w:after="30"/>
            </w:pPr>
            <w:r w:rsidRPr="00D94F41">
              <w:t>Topical</w:t>
            </w:r>
          </w:p>
        </w:tc>
        <w:tc>
          <w:tcPr>
            <w:tcW w:w="3060" w:type="dxa"/>
            <w:tcMar>
              <w:left w:w="86" w:type="dxa"/>
              <w:right w:w="86" w:type="dxa"/>
            </w:tcMar>
          </w:tcPr>
          <w:p w:rsidR="00F70FE0" w:rsidRPr="00D94F41" w:rsidP="00803841" w14:paraId="05248710" w14:textId="1C0A4BEC">
            <w:pPr>
              <w:pStyle w:val="TableParagraph"/>
              <w:spacing w:before="30" w:after="30"/>
            </w:pPr>
            <w:r>
              <w:t xml:space="preserve">Winter (Round </w:t>
            </w:r>
            <w:r w:rsidRPr="00083B97" w:rsidR="00083B97">
              <w:t>107, 110, 113</w:t>
            </w:r>
            <w:r>
              <w:t>)</w:t>
            </w:r>
          </w:p>
        </w:tc>
        <w:tc>
          <w:tcPr>
            <w:tcW w:w="1345" w:type="dxa"/>
            <w:tcMar>
              <w:left w:w="86" w:type="dxa"/>
              <w:right w:w="86" w:type="dxa"/>
            </w:tcMar>
          </w:tcPr>
          <w:p w:rsidR="00F70FE0" w:rsidRPr="00D94F41" w:rsidP="00803841" w14:paraId="655E28C8" w14:textId="55061EE6">
            <w:pPr>
              <w:pStyle w:val="TableParagraph"/>
              <w:spacing w:before="30" w:after="30"/>
            </w:pPr>
            <w:r w:rsidRPr="00D94F41">
              <w:t>Continuing</w:t>
            </w:r>
          </w:p>
        </w:tc>
      </w:tr>
      <w:tr w14:paraId="69F62CF7" w14:textId="77777777" w:rsidTr="00B13DA1">
        <w:tblPrEx>
          <w:tblW w:w="5000" w:type="pct"/>
          <w:tblLayout w:type="fixed"/>
          <w:tblLook w:val="01E0"/>
        </w:tblPrEx>
        <w:trPr>
          <w:cantSplit/>
        </w:trPr>
        <w:tc>
          <w:tcPr>
            <w:tcW w:w="3595" w:type="dxa"/>
            <w:tcMar>
              <w:left w:w="86" w:type="dxa"/>
              <w:right w:w="86" w:type="dxa"/>
            </w:tcMar>
          </w:tcPr>
          <w:p w:rsidR="00F70FE0" w:rsidRPr="00D94F41" w:rsidP="00803841" w14:paraId="6DCC5DB7" w14:textId="53FB4FBD">
            <w:pPr>
              <w:pStyle w:val="TableParagraph"/>
              <w:spacing w:before="30" w:after="30"/>
            </w:pPr>
            <w:r w:rsidRPr="00D94F41">
              <w:t>Chronic Pain (CPQ)</w:t>
            </w:r>
          </w:p>
        </w:tc>
        <w:tc>
          <w:tcPr>
            <w:tcW w:w="1350" w:type="dxa"/>
            <w:tcMar>
              <w:left w:w="86" w:type="dxa"/>
              <w:right w:w="86" w:type="dxa"/>
            </w:tcMar>
          </w:tcPr>
          <w:p w:rsidR="00F70FE0" w:rsidRPr="00D94F41" w:rsidP="00803841" w14:paraId="54341850" w14:textId="046D2497">
            <w:pPr>
              <w:pStyle w:val="TableParagraph"/>
              <w:spacing w:before="30" w:after="30"/>
            </w:pPr>
            <w:r w:rsidRPr="00D94F41">
              <w:t>Topical</w:t>
            </w:r>
          </w:p>
        </w:tc>
        <w:tc>
          <w:tcPr>
            <w:tcW w:w="3060" w:type="dxa"/>
            <w:tcMar>
              <w:left w:w="86" w:type="dxa"/>
              <w:right w:w="86" w:type="dxa"/>
            </w:tcMar>
          </w:tcPr>
          <w:p w:rsidR="00F70FE0" w:rsidRPr="00D94F41" w:rsidP="00803841" w14:paraId="6D9595F1" w14:textId="7C4C4164">
            <w:pPr>
              <w:pStyle w:val="TableParagraph"/>
              <w:spacing w:before="30" w:after="30"/>
            </w:pPr>
            <w:r w:rsidRPr="00D94F41">
              <w:t>Summer (Rounds 10</w:t>
            </w:r>
            <w:r w:rsidR="00083B97">
              <w:t>8</w:t>
            </w:r>
            <w:r w:rsidR="009D58E6">
              <w:t xml:space="preserve">, </w:t>
            </w:r>
            <w:r w:rsidR="00083B97">
              <w:t>111</w:t>
            </w:r>
            <w:r w:rsidR="00355E4B">
              <w:t xml:space="preserve">, </w:t>
            </w:r>
            <w:r w:rsidR="00083B97">
              <w:t>114</w:t>
            </w:r>
            <w:r w:rsidRPr="00D94F41">
              <w:t>)</w:t>
            </w:r>
          </w:p>
        </w:tc>
        <w:tc>
          <w:tcPr>
            <w:tcW w:w="1345" w:type="dxa"/>
            <w:tcMar>
              <w:left w:w="86" w:type="dxa"/>
              <w:right w:w="86" w:type="dxa"/>
            </w:tcMar>
          </w:tcPr>
          <w:p w:rsidR="00F70FE0" w:rsidRPr="00D94F41" w:rsidP="00803841" w14:paraId="1EA6396F" w14:textId="1CB82D0E">
            <w:pPr>
              <w:pStyle w:val="TableParagraph"/>
              <w:spacing w:before="30" w:after="30"/>
            </w:pPr>
            <w:r w:rsidRPr="00D94F41">
              <w:t>Continuing</w:t>
            </w:r>
          </w:p>
        </w:tc>
      </w:tr>
      <w:tr w14:paraId="3009FCE8" w14:textId="77777777" w:rsidTr="00B13DA1">
        <w:tblPrEx>
          <w:tblW w:w="5000" w:type="pct"/>
          <w:tblLayout w:type="fixed"/>
          <w:tblLook w:val="01E0"/>
        </w:tblPrEx>
        <w:trPr>
          <w:cantSplit/>
        </w:trPr>
        <w:tc>
          <w:tcPr>
            <w:tcW w:w="3595" w:type="dxa"/>
            <w:tcMar>
              <w:left w:w="86" w:type="dxa"/>
              <w:right w:w="86" w:type="dxa"/>
            </w:tcMar>
          </w:tcPr>
          <w:p w:rsidR="00F70FE0" w:rsidRPr="00D94F41" w:rsidP="00803841" w14:paraId="70F08014" w14:textId="56C3BBBF">
            <w:pPr>
              <w:pStyle w:val="TableParagraph"/>
              <w:spacing w:before="30" w:after="30"/>
            </w:pPr>
            <w:r w:rsidRPr="00D94F41">
              <w:t>Income and Assets (IAQ)</w:t>
            </w:r>
            <w:r w:rsidR="0063767F">
              <w:t>*</w:t>
            </w:r>
          </w:p>
        </w:tc>
        <w:tc>
          <w:tcPr>
            <w:tcW w:w="1350" w:type="dxa"/>
            <w:tcMar>
              <w:left w:w="86" w:type="dxa"/>
              <w:right w:w="86" w:type="dxa"/>
            </w:tcMar>
          </w:tcPr>
          <w:p w:rsidR="00F70FE0" w:rsidRPr="00D94F41" w:rsidP="00803841" w14:paraId="556E635E" w14:textId="2C0BEF6C">
            <w:pPr>
              <w:pStyle w:val="TableParagraph"/>
              <w:spacing w:before="30" w:after="30"/>
            </w:pPr>
            <w:r w:rsidRPr="00D94F41">
              <w:t>Core</w:t>
            </w:r>
          </w:p>
        </w:tc>
        <w:tc>
          <w:tcPr>
            <w:tcW w:w="3060" w:type="dxa"/>
            <w:tcMar>
              <w:left w:w="86" w:type="dxa"/>
              <w:right w:w="86" w:type="dxa"/>
            </w:tcMar>
          </w:tcPr>
          <w:p w:rsidR="00F70FE0" w:rsidRPr="00D94F41" w:rsidP="00803841" w14:paraId="06E700C4" w14:textId="102C66EC">
            <w:pPr>
              <w:pStyle w:val="TableParagraph"/>
              <w:spacing w:before="30" w:after="30"/>
            </w:pPr>
            <w:r w:rsidRPr="00D94F41">
              <w:t xml:space="preserve">Summer (Rounds </w:t>
            </w:r>
            <w:r w:rsidRPr="00083B97" w:rsidR="00083B97">
              <w:t>108, 111, 114</w:t>
            </w:r>
            <w:r w:rsidRPr="00D94F41">
              <w:t>)</w:t>
            </w:r>
          </w:p>
        </w:tc>
        <w:tc>
          <w:tcPr>
            <w:tcW w:w="1345" w:type="dxa"/>
            <w:tcMar>
              <w:left w:w="86" w:type="dxa"/>
              <w:right w:w="86" w:type="dxa"/>
            </w:tcMar>
          </w:tcPr>
          <w:p w:rsidR="00F70FE0" w:rsidRPr="00D94F41" w:rsidP="00803841" w14:paraId="67151D18" w14:textId="76A19AA7">
            <w:pPr>
              <w:pStyle w:val="TableParagraph"/>
              <w:spacing w:before="30" w:after="30"/>
            </w:pPr>
            <w:r w:rsidRPr="00D94F41">
              <w:t>Continuing</w:t>
            </w:r>
          </w:p>
        </w:tc>
      </w:tr>
      <w:tr w14:paraId="3E41A3C8" w14:textId="77777777" w:rsidTr="00B13DA1">
        <w:tblPrEx>
          <w:tblW w:w="5000" w:type="pct"/>
          <w:tblLayout w:type="fixed"/>
          <w:tblLook w:val="01E0"/>
        </w:tblPrEx>
        <w:trPr>
          <w:cantSplit/>
        </w:trPr>
        <w:tc>
          <w:tcPr>
            <w:tcW w:w="3595" w:type="dxa"/>
            <w:tcMar>
              <w:left w:w="86" w:type="dxa"/>
              <w:right w:w="86" w:type="dxa"/>
            </w:tcMar>
          </w:tcPr>
          <w:p w:rsidR="00192210" w:rsidRPr="00D94F41" w:rsidP="00803841" w14:paraId="2D557E85" w14:textId="3C84D7F0">
            <w:pPr>
              <w:pStyle w:val="TableParagraph"/>
              <w:spacing w:before="30" w:after="30"/>
            </w:pPr>
            <w:r>
              <w:t>Debt (DBQ)</w:t>
            </w:r>
          </w:p>
        </w:tc>
        <w:tc>
          <w:tcPr>
            <w:tcW w:w="1350" w:type="dxa"/>
            <w:tcMar>
              <w:left w:w="86" w:type="dxa"/>
              <w:right w:w="86" w:type="dxa"/>
            </w:tcMar>
          </w:tcPr>
          <w:p w:rsidR="00192210" w:rsidRPr="00D94F41" w:rsidP="00803841" w14:paraId="43E3740B" w14:textId="27A67894">
            <w:pPr>
              <w:pStyle w:val="TableParagraph"/>
              <w:spacing w:before="30" w:after="30"/>
            </w:pPr>
            <w:r>
              <w:t>Core</w:t>
            </w:r>
          </w:p>
        </w:tc>
        <w:tc>
          <w:tcPr>
            <w:tcW w:w="3060" w:type="dxa"/>
            <w:tcMar>
              <w:left w:w="86" w:type="dxa"/>
              <w:right w:w="86" w:type="dxa"/>
            </w:tcMar>
          </w:tcPr>
          <w:p w:rsidR="00192210" w:rsidRPr="00D94F41" w:rsidP="00803841" w14:paraId="07E7A347" w14:textId="5BE6487B">
            <w:pPr>
              <w:pStyle w:val="TableParagraph"/>
              <w:spacing w:before="30" w:after="30"/>
            </w:pPr>
            <w:r>
              <w:t>Summer (Rounds 108, 111, 114)</w:t>
            </w:r>
          </w:p>
        </w:tc>
        <w:tc>
          <w:tcPr>
            <w:tcW w:w="1345" w:type="dxa"/>
            <w:tcMar>
              <w:left w:w="86" w:type="dxa"/>
              <w:right w:w="86" w:type="dxa"/>
            </w:tcMar>
          </w:tcPr>
          <w:p w:rsidR="00192210" w:rsidRPr="00D94F41" w:rsidP="00803841" w14:paraId="5C6F8B58" w14:textId="5FFBE279">
            <w:pPr>
              <w:pStyle w:val="TableParagraph"/>
              <w:spacing w:before="30" w:after="30"/>
            </w:pPr>
            <w:r>
              <w:t>Continuing</w:t>
            </w:r>
          </w:p>
        </w:tc>
      </w:tr>
      <w:tr w14:paraId="2A67B631" w14:textId="77777777" w:rsidTr="00B13DA1">
        <w:tblPrEx>
          <w:tblW w:w="5000" w:type="pct"/>
          <w:tblLayout w:type="fixed"/>
          <w:tblLook w:val="01E0"/>
        </w:tblPrEx>
        <w:trPr>
          <w:cantSplit/>
        </w:trPr>
        <w:tc>
          <w:tcPr>
            <w:tcW w:w="3595" w:type="dxa"/>
            <w:tcMar>
              <w:left w:w="86" w:type="dxa"/>
              <w:right w:w="86" w:type="dxa"/>
            </w:tcMar>
          </w:tcPr>
          <w:p w:rsidR="00F70FE0" w:rsidRPr="00D94F41" w:rsidP="00803841" w14:paraId="61EB9FD9" w14:textId="26307B5C">
            <w:pPr>
              <w:pStyle w:val="TableParagraph"/>
              <w:spacing w:before="30" w:after="30"/>
            </w:pPr>
            <w:r w:rsidRPr="00D94F41">
              <w:t>Drug Coverage (RXQ)</w:t>
            </w:r>
            <w:r w:rsidR="0063767F">
              <w:t>*</w:t>
            </w:r>
            <w:r w:rsidRPr="00D94F41">
              <w:t xml:space="preserve"> </w:t>
            </w:r>
          </w:p>
        </w:tc>
        <w:tc>
          <w:tcPr>
            <w:tcW w:w="1350" w:type="dxa"/>
            <w:tcMar>
              <w:left w:w="86" w:type="dxa"/>
              <w:right w:w="86" w:type="dxa"/>
            </w:tcMar>
          </w:tcPr>
          <w:p w:rsidR="00F70FE0" w:rsidRPr="00D94F41" w:rsidP="00803841" w14:paraId="2760227F" w14:textId="7639F78C">
            <w:pPr>
              <w:pStyle w:val="TableParagraph"/>
              <w:spacing w:before="30" w:after="30"/>
            </w:pPr>
            <w:r w:rsidRPr="00D94F41">
              <w:t>Topical</w:t>
            </w:r>
          </w:p>
        </w:tc>
        <w:tc>
          <w:tcPr>
            <w:tcW w:w="3060" w:type="dxa"/>
            <w:tcMar>
              <w:left w:w="86" w:type="dxa"/>
              <w:right w:w="86" w:type="dxa"/>
            </w:tcMar>
          </w:tcPr>
          <w:p w:rsidR="00F70FE0" w:rsidRPr="00D94F41" w:rsidP="00803841" w14:paraId="2E1833BC" w14:textId="035A6B14">
            <w:pPr>
              <w:pStyle w:val="TableParagraph"/>
              <w:spacing w:before="30" w:after="30"/>
            </w:pPr>
            <w:r w:rsidRPr="00D94F41">
              <w:t xml:space="preserve">Summer (Rounds </w:t>
            </w:r>
            <w:r w:rsidRPr="00083B97" w:rsidR="00083B97">
              <w:t>108, 111, 114</w:t>
            </w:r>
            <w:r w:rsidRPr="00D94F41">
              <w:t>)</w:t>
            </w:r>
          </w:p>
        </w:tc>
        <w:tc>
          <w:tcPr>
            <w:tcW w:w="1345" w:type="dxa"/>
            <w:tcMar>
              <w:left w:w="86" w:type="dxa"/>
              <w:right w:w="86" w:type="dxa"/>
            </w:tcMar>
          </w:tcPr>
          <w:p w:rsidR="00F70FE0" w:rsidRPr="00D94F41" w:rsidP="00803841" w14:paraId="718585B7" w14:textId="67458FA0">
            <w:pPr>
              <w:pStyle w:val="TableParagraph"/>
              <w:spacing w:before="30" w:after="30"/>
            </w:pPr>
            <w:r w:rsidRPr="00D94F41">
              <w:t xml:space="preserve">Continuing </w:t>
            </w:r>
          </w:p>
        </w:tc>
      </w:tr>
      <w:tr w14:paraId="3D8EEE67" w14:textId="77777777" w:rsidTr="00B13DA1">
        <w:tblPrEx>
          <w:tblW w:w="5000" w:type="pct"/>
          <w:tblLayout w:type="fixed"/>
          <w:tblLook w:val="01E0"/>
        </w:tblPrEx>
        <w:trPr>
          <w:cantSplit/>
        </w:trPr>
        <w:tc>
          <w:tcPr>
            <w:tcW w:w="3595" w:type="dxa"/>
            <w:tcMar>
              <w:left w:w="86" w:type="dxa"/>
              <w:right w:w="86" w:type="dxa"/>
            </w:tcMar>
          </w:tcPr>
          <w:p w:rsidR="0015004D" w:rsidRPr="00D94F41" w:rsidP="00803841" w14:paraId="10AA0338" w14:textId="12DE5D58">
            <w:pPr>
              <w:pStyle w:val="TableParagraph"/>
              <w:spacing w:before="30" w:after="30"/>
            </w:pPr>
            <w:r w:rsidRPr="00D94F41">
              <w:t>Dental, Vision, and Hearing Care Utilization (DVH)</w:t>
            </w:r>
          </w:p>
        </w:tc>
        <w:tc>
          <w:tcPr>
            <w:tcW w:w="1350" w:type="dxa"/>
            <w:tcMar>
              <w:left w:w="86" w:type="dxa"/>
              <w:right w:w="86" w:type="dxa"/>
            </w:tcMar>
          </w:tcPr>
          <w:p w:rsidR="0015004D" w:rsidRPr="00D94F41" w:rsidP="00803841" w14:paraId="654A2C1F" w14:textId="77777777">
            <w:pPr>
              <w:pStyle w:val="TableParagraph"/>
              <w:spacing w:before="30" w:after="30"/>
            </w:pPr>
            <w:r w:rsidRPr="00D94F41">
              <w:t>Core</w:t>
            </w:r>
          </w:p>
        </w:tc>
        <w:tc>
          <w:tcPr>
            <w:tcW w:w="3060" w:type="dxa"/>
            <w:tcMar>
              <w:left w:w="86" w:type="dxa"/>
              <w:right w:w="86" w:type="dxa"/>
            </w:tcMar>
          </w:tcPr>
          <w:p w:rsidR="0015004D" w:rsidRPr="00D94F41" w:rsidP="00803841" w14:paraId="698B849D" w14:textId="7405A08B">
            <w:pPr>
              <w:pStyle w:val="TableParagraph"/>
              <w:spacing w:before="30" w:after="30"/>
            </w:pPr>
            <w:r w:rsidRPr="007A7965">
              <w:t xml:space="preserve">All (Round </w:t>
            </w:r>
            <w:r w:rsidRPr="00C17A23" w:rsidR="00C17A23">
              <w:t>10</w:t>
            </w:r>
            <w:r w:rsidR="0063767F">
              <w:t>7</w:t>
            </w:r>
            <w:r w:rsidRPr="00C17A23" w:rsidR="00C17A23">
              <w:t>-11</w:t>
            </w:r>
            <w:r w:rsidR="0063767F">
              <w:t>5</w:t>
            </w:r>
            <w:r w:rsidRPr="007A7965">
              <w:t>)</w:t>
            </w:r>
          </w:p>
        </w:tc>
        <w:tc>
          <w:tcPr>
            <w:tcW w:w="1345" w:type="dxa"/>
            <w:tcMar>
              <w:left w:w="86" w:type="dxa"/>
              <w:right w:w="86" w:type="dxa"/>
            </w:tcMar>
          </w:tcPr>
          <w:p w:rsidR="0015004D" w:rsidRPr="00D94F41" w:rsidP="00803841" w14:paraId="286B75B2" w14:textId="77777777">
            <w:pPr>
              <w:pStyle w:val="TableParagraph"/>
              <w:spacing w:before="30" w:after="30"/>
            </w:pPr>
            <w:r w:rsidRPr="00D94F41">
              <w:t>Continuing</w:t>
            </w:r>
          </w:p>
        </w:tc>
      </w:tr>
      <w:tr w14:paraId="012515C7" w14:textId="77777777" w:rsidTr="00B13DA1">
        <w:tblPrEx>
          <w:tblW w:w="5000" w:type="pct"/>
          <w:tblLayout w:type="fixed"/>
          <w:tblLook w:val="01E0"/>
        </w:tblPrEx>
        <w:trPr>
          <w:cantSplit/>
        </w:trPr>
        <w:tc>
          <w:tcPr>
            <w:tcW w:w="3595" w:type="dxa"/>
            <w:tcMar>
              <w:left w:w="86" w:type="dxa"/>
              <w:right w:w="86" w:type="dxa"/>
            </w:tcMar>
          </w:tcPr>
          <w:p w:rsidR="0015004D" w:rsidRPr="00D94F41" w:rsidP="00803841" w14:paraId="2F5CBCDC" w14:textId="77777777">
            <w:pPr>
              <w:pStyle w:val="TableParagraph"/>
              <w:spacing w:before="30" w:after="30"/>
            </w:pPr>
            <w:r w:rsidRPr="00D94F41">
              <w:t>Emergency Room Utilization (ERQ)</w:t>
            </w:r>
          </w:p>
        </w:tc>
        <w:tc>
          <w:tcPr>
            <w:tcW w:w="1350" w:type="dxa"/>
            <w:tcMar>
              <w:left w:w="86" w:type="dxa"/>
              <w:right w:w="86" w:type="dxa"/>
            </w:tcMar>
          </w:tcPr>
          <w:p w:rsidR="0015004D" w:rsidRPr="00D94F41" w:rsidP="00803841" w14:paraId="13C61CCA" w14:textId="77777777">
            <w:pPr>
              <w:pStyle w:val="TableParagraph"/>
              <w:spacing w:before="30" w:after="30"/>
            </w:pPr>
            <w:r w:rsidRPr="00D94F41">
              <w:t>Core</w:t>
            </w:r>
          </w:p>
        </w:tc>
        <w:tc>
          <w:tcPr>
            <w:tcW w:w="3060" w:type="dxa"/>
            <w:tcMar>
              <w:left w:w="86" w:type="dxa"/>
              <w:right w:w="86" w:type="dxa"/>
            </w:tcMar>
          </w:tcPr>
          <w:p w:rsidR="0015004D" w:rsidRPr="00D94F41" w:rsidP="00803841" w14:paraId="324B3532" w14:textId="0048A8FB">
            <w:pPr>
              <w:pStyle w:val="TableParagraph"/>
              <w:spacing w:before="30" w:after="30"/>
            </w:pPr>
            <w:r>
              <w:t xml:space="preserve">All (Round </w:t>
            </w:r>
            <w:r w:rsidRPr="00C17A23" w:rsidR="00C17A23">
              <w:t>10</w:t>
            </w:r>
            <w:r w:rsidR="0063767F">
              <w:t>7</w:t>
            </w:r>
            <w:r w:rsidRPr="00C17A23" w:rsidR="00C17A23">
              <w:t>-11</w:t>
            </w:r>
            <w:r w:rsidR="0063767F">
              <w:t>5</w:t>
            </w:r>
            <w:r>
              <w:t>)</w:t>
            </w:r>
          </w:p>
        </w:tc>
        <w:tc>
          <w:tcPr>
            <w:tcW w:w="1345" w:type="dxa"/>
            <w:tcMar>
              <w:left w:w="86" w:type="dxa"/>
              <w:right w:w="86" w:type="dxa"/>
            </w:tcMar>
          </w:tcPr>
          <w:p w:rsidR="0015004D" w:rsidRPr="00D94F41" w:rsidP="00803841" w14:paraId="0A448167" w14:textId="77777777">
            <w:pPr>
              <w:pStyle w:val="TableParagraph"/>
              <w:spacing w:before="30" w:after="30"/>
            </w:pPr>
            <w:r w:rsidRPr="00D94F41">
              <w:t>Continuing</w:t>
            </w:r>
          </w:p>
        </w:tc>
      </w:tr>
      <w:tr w14:paraId="5F0A66F8" w14:textId="77777777" w:rsidTr="00B13DA1">
        <w:tblPrEx>
          <w:tblW w:w="5000" w:type="pct"/>
          <w:tblLayout w:type="fixed"/>
          <w:tblLook w:val="01E0"/>
        </w:tblPrEx>
        <w:trPr>
          <w:cantSplit/>
        </w:trPr>
        <w:tc>
          <w:tcPr>
            <w:tcW w:w="3595" w:type="dxa"/>
            <w:tcMar>
              <w:left w:w="86" w:type="dxa"/>
              <w:right w:w="86" w:type="dxa"/>
            </w:tcMar>
          </w:tcPr>
          <w:p w:rsidR="0015004D" w:rsidRPr="00D94F41" w:rsidP="00803841" w14:paraId="06C1201B" w14:textId="77777777">
            <w:pPr>
              <w:pStyle w:val="TableParagraph"/>
              <w:spacing w:before="30" w:after="30"/>
            </w:pPr>
            <w:r w:rsidRPr="00D94F41">
              <w:t>Inpatient Utilization (IPQ)</w:t>
            </w:r>
          </w:p>
        </w:tc>
        <w:tc>
          <w:tcPr>
            <w:tcW w:w="1350" w:type="dxa"/>
            <w:tcMar>
              <w:left w:w="86" w:type="dxa"/>
              <w:right w:w="86" w:type="dxa"/>
            </w:tcMar>
          </w:tcPr>
          <w:p w:rsidR="0015004D" w:rsidRPr="00D94F41" w:rsidP="00803841" w14:paraId="39F950C0" w14:textId="77777777">
            <w:pPr>
              <w:pStyle w:val="TableParagraph"/>
              <w:spacing w:before="30" w:after="30"/>
            </w:pPr>
            <w:r w:rsidRPr="00D94F41">
              <w:t>Core</w:t>
            </w:r>
          </w:p>
        </w:tc>
        <w:tc>
          <w:tcPr>
            <w:tcW w:w="3060" w:type="dxa"/>
            <w:tcMar>
              <w:left w:w="86" w:type="dxa"/>
              <w:right w:w="86" w:type="dxa"/>
            </w:tcMar>
          </w:tcPr>
          <w:p w:rsidR="0015004D" w:rsidRPr="00D94F41" w:rsidP="00803841" w14:paraId="2C9BA9C9" w14:textId="6F75A69A">
            <w:pPr>
              <w:pStyle w:val="TableParagraph"/>
              <w:spacing w:before="30" w:after="30"/>
            </w:pPr>
            <w:r>
              <w:t xml:space="preserve">All (Round </w:t>
            </w:r>
            <w:r w:rsidRPr="00C17A23" w:rsidR="00C17A23">
              <w:t>10</w:t>
            </w:r>
            <w:r w:rsidR="0063767F">
              <w:t>7</w:t>
            </w:r>
            <w:r w:rsidRPr="00C17A23" w:rsidR="00C17A23">
              <w:t>-11</w:t>
            </w:r>
            <w:r w:rsidR="0063767F">
              <w:t>5</w:t>
            </w:r>
            <w:r>
              <w:t>)</w:t>
            </w:r>
          </w:p>
        </w:tc>
        <w:tc>
          <w:tcPr>
            <w:tcW w:w="1345" w:type="dxa"/>
            <w:tcMar>
              <w:left w:w="86" w:type="dxa"/>
              <w:right w:w="86" w:type="dxa"/>
            </w:tcMar>
          </w:tcPr>
          <w:p w:rsidR="0015004D" w:rsidRPr="00D94F41" w:rsidP="00803841" w14:paraId="6ACD3F83" w14:textId="77777777">
            <w:pPr>
              <w:pStyle w:val="TableParagraph"/>
              <w:spacing w:before="30" w:after="30"/>
            </w:pPr>
            <w:r w:rsidRPr="00D94F41">
              <w:t>Continuing</w:t>
            </w:r>
          </w:p>
        </w:tc>
      </w:tr>
      <w:tr w14:paraId="583CCB8B" w14:textId="77777777" w:rsidTr="00B13DA1">
        <w:tblPrEx>
          <w:tblW w:w="5000" w:type="pct"/>
          <w:tblLayout w:type="fixed"/>
          <w:tblLook w:val="01E0"/>
        </w:tblPrEx>
        <w:trPr>
          <w:cantSplit/>
        </w:trPr>
        <w:tc>
          <w:tcPr>
            <w:tcW w:w="3595" w:type="dxa"/>
            <w:tcMar>
              <w:left w:w="86" w:type="dxa"/>
              <w:right w:w="86" w:type="dxa"/>
            </w:tcMar>
          </w:tcPr>
          <w:p w:rsidR="0015004D" w:rsidRPr="00D94F41" w:rsidP="00803841" w14:paraId="2D1D24F7" w14:textId="77777777">
            <w:pPr>
              <w:pStyle w:val="TableParagraph"/>
              <w:spacing w:before="30" w:after="30"/>
            </w:pPr>
            <w:r w:rsidRPr="00D94F41">
              <w:t>Outpatient Utilization (OPQ)</w:t>
            </w:r>
          </w:p>
        </w:tc>
        <w:tc>
          <w:tcPr>
            <w:tcW w:w="1350" w:type="dxa"/>
            <w:tcMar>
              <w:left w:w="86" w:type="dxa"/>
              <w:right w:w="86" w:type="dxa"/>
            </w:tcMar>
          </w:tcPr>
          <w:p w:rsidR="0015004D" w:rsidRPr="00D94F41" w:rsidP="00803841" w14:paraId="521FEEA6" w14:textId="77777777">
            <w:pPr>
              <w:pStyle w:val="TableParagraph"/>
              <w:spacing w:before="30" w:after="30"/>
            </w:pPr>
            <w:r w:rsidRPr="00D94F41">
              <w:t>Core</w:t>
            </w:r>
          </w:p>
        </w:tc>
        <w:tc>
          <w:tcPr>
            <w:tcW w:w="3060" w:type="dxa"/>
            <w:tcMar>
              <w:left w:w="86" w:type="dxa"/>
              <w:right w:w="86" w:type="dxa"/>
            </w:tcMar>
          </w:tcPr>
          <w:p w:rsidR="0015004D" w:rsidRPr="00D94F41" w:rsidP="00803841" w14:paraId="2E1324C2" w14:textId="03524012">
            <w:pPr>
              <w:pStyle w:val="TableParagraph"/>
              <w:spacing w:before="30" w:after="30"/>
            </w:pPr>
            <w:r>
              <w:t xml:space="preserve">All (Round </w:t>
            </w:r>
            <w:r w:rsidRPr="00C17A23" w:rsidR="00C17A23">
              <w:t>10</w:t>
            </w:r>
            <w:r w:rsidR="0063767F">
              <w:t>7</w:t>
            </w:r>
            <w:r w:rsidRPr="00C17A23" w:rsidR="00C17A23">
              <w:t>-11</w:t>
            </w:r>
            <w:r w:rsidR="0063767F">
              <w:t>5</w:t>
            </w:r>
            <w:r>
              <w:t>)</w:t>
            </w:r>
          </w:p>
        </w:tc>
        <w:tc>
          <w:tcPr>
            <w:tcW w:w="1345" w:type="dxa"/>
            <w:tcMar>
              <w:left w:w="86" w:type="dxa"/>
              <w:right w:w="86" w:type="dxa"/>
            </w:tcMar>
          </w:tcPr>
          <w:p w:rsidR="0015004D" w:rsidRPr="00D94F41" w:rsidP="00803841" w14:paraId="2F75E0C6" w14:textId="77777777">
            <w:pPr>
              <w:pStyle w:val="TableParagraph"/>
              <w:spacing w:before="30" w:after="30"/>
            </w:pPr>
            <w:r w:rsidRPr="00D94F41">
              <w:t>Continuing</w:t>
            </w:r>
          </w:p>
        </w:tc>
      </w:tr>
      <w:tr w14:paraId="7B8FDF20" w14:textId="77777777" w:rsidTr="00B13DA1">
        <w:tblPrEx>
          <w:tblW w:w="5000" w:type="pct"/>
          <w:tblLayout w:type="fixed"/>
          <w:tblLook w:val="01E0"/>
        </w:tblPrEx>
        <w:trPr>
          <w:cantSplit/>
        </w:trPr>
        <w:tc>
          <w:tcPr>
            <w:tcW w:w="3595" w:type="dxa"/>
            <w:tcMar>
              <w:left w:w="86" w:type="dxa"/>
              <w:right w:w="86" w:type="dxa"/>
            </w:tcMar>
          </w:tcPr>
          <w:p w:rsidR="0015004D" w:rsidRPr="00D94F41" w:rsidP="00803841" w14:paraId="2F597581" w14:textId="77777777">
            <w:pPr>
              <w:pStyle w:val="TableParagraph"/>
              <w:spacing w:before="30" w:after="30"/>
            </w:pPr>
            <w:r w:rsidRPr="00D94F41">
              <w:t>Institutional Utilization (IUQ)</w:t>
            </w:r>
          </w:p>
        </w:tc>
        <w:tc>
          <w:tcPr>
            <w:tcW w:w="1350" w:type="dxa"/>
            <w:tcMar>
              <w:left w:w="86" w:type="dxa"/>
              <w:right w:w="86" w:type="dxa"/>
            </w:tcMar>
          </w:tcPr>
          <w:p w:rsidR="0015004D" w:rsidRPr="00D94F41" w:rsidP="00803841" w14:paraId="15FD9FD2" w14:textId="77777777">
            <w:pPr>
              <w:pStyle w:val="TableParagraph"/>
              <w:spacing w:before="30" w:after="30"/>
            </w:pPr>
            <w:r w:rsidRPr="00D94F41">
              <w:t>Core</w:t>
            </w:r>
          </w:p>
        </w:tc>
        <w:tc>
          <w:tcPr>
            <w:tcW w:w="3060" w:type="dxa"/>
            <w:tcMar>
              <w:left w:w="86" w:type="dxa"/>
              <w:right w:w="86" w:type="dxa"/>
            </w:tcMar>
          </w:tcPr>
          <w:p w:rsidR="0015004D" w:rsidRPr="00D94F41" w:rsidP="00803841" w14:paraId="3DE8F97B" w14:textId="28194C10">
            <w:pPr>
              <w:pStyle w:val="TableParagraph"/>
              <w:spacing w:before="30" w:after="30"/>
            </w:pPr>
            <w:r>
              <w:t xml:space="preserve">All (Round </w:t>
            </w:r>
            <w:r w:rsidRPr="00C17A23" w:rsidR="00C17A23">
              <w:t>10</w:t>
            </w:r>
            <w:r w:rsidR="0063767F">
              <w:t>7</w:t>
            </w:r>
            <w:r w:rsidRPr="00C17A23" w:rsidR="00C17A23">
              <w:t>-11</w:t>
            </w:r>
            <w:r w:rsidR="0063767F">
              <w:t>5</w:t>
            </w:r>
            <w:r>
              <w:t>)</w:t>
            </w:r>
          </w:p>
        </w:tc>
        <w:tc>
          <w:tcPr>
            <w:tcW w:w="1345" w:type="dxa"/>
            <w:tcMar>
              <w:left w:w="86" w:type="dxa"/>
              <w:right w:w="86" w:type="dxa"/>
            </w:tcMar>
          </w:tcPr>
          <w:p w:rsidR="0015004D" w:rsidRPr="00D94F41" w:rsidP="00803841" w14:paraId="2DB7B462" w14:textId="77777777">
            <w:pPr>
              <w:pStyle w:val="TableParagraph"/>
              <w:spacing w:before="30" w:after="30"/>
            </w:pPr>
            <w:r w:rsidRPr="00D94F41">
              <w:t>Continuing</w:t>
            </w:r>
          </w:p>
        </w:tc>
      </w:tr>
      <w:tr w14:paraId="44337D32" w14:textId="77777777" w:rsidTr="00B13DA1">
        <w:tblPrEx>
          <w:tblW w:w="5000" w:type="pct"/>
          <w:tblLayout w:type="fixed"/>
          <w:tblLook w:val="01E0"/>
        </w:tblPrEx>
        <w:trPr>
          <w:cantSplit/>
        </w:trPr>
        <w:tc>
          <w:tcPr>
            <w:tcW w:w="3595" w:type="dxa"/>
            <w:tcMar>
              <w:left w:w="86" w:type="dxa"/>
              <w:right w:w="86" w:type="dxa"/>
            </w:tcMar>
          </w:tcPr>
          <w:p w:rsidR="0015004D" w:rsidRPr="00D94F41" w:rsidP="00803841" w14:paraId="47A78226" w14:textId="77777777">
            <w:pPr>
              <w:pStyle w:val="TableParagraph"/>
              <w:spacing w:before="30" w:after="30"/>
            </w:pPr>
            <w:r w:rsidRPr="00D94F41">
              <w:t>Home Health Utilization (HHQ)</w:t>
            </w:r>
          </w:p>
        </w:tc>
        <w:tc>
          <w:tcPr>
            <w:tcW w:w="1350" w:type="dxa"/>
            <w:tcMar>
              <w:left w:w="86" w:type="dxa"/>
              <w:right w:w="86" w:type="dxa"/>
            </w:tcMar>
          </w:tcPr>
          <w:p w:rsidR="0015004D" w:rsidRPr="00D94F41" w:rsidP="00803841" w14:paraId="0038C546" w14:textId="77777777">
            <w:pPr>
              <w:pStyle w:val="TableParagraph"/>
              <w:spacing w:before="30" w:after="30"/>
            </w:pPr>
            <w:r w:rsidRPr="00D94F41">
              <w:t>Core</w:t>
            </w:r>
          </w:p>
        </w:tc>
        <w:tc>
          <w:tcPr>
            <w:tcW w:w="3060" w:type="dxa"/>
            <w:tcMar>
              <w:left w:w="86" w:type="dxa"/>
              <w:right w:w="86" w:type="dxa"/>
            </w:tcMar>
          </w:tcPr>
          <w:p w:rsidR="0015004D" w:rsidRPr="00D94F41" w:rsidP="00803841" w14:paraId="1CF4BD43" w14:textId="4EA059F3">
            <w:pPr>
              <w:pStyle w:val="TableParagraph"/>
              <w:spacing w:before="30" w:after="30"/>
            </w:pPr>
            <w:r>
              <w:t xml:space="preserve">All (Round </w:t>
            </w:r>
            <w:r w:rsidRPr="00C17A23" w:rsidR="00C17A23">
              <w:t>10</w:t>
            </w:r>
            <w:r w:rsidR="0063767F">
              <w:t>7</w:t>
            </w:r>
            <w:r w:rsidRPr="00C17A23" w:rsidR="00C17A23">
              <w:t>-11</w:t>
            </w:r>
            <w:r w:rsidR="0063767F">
              <w:t>5</w:t>
            </w:r>
            <w:r>
              <w:t>)</w:t>
            </w:r>
          </w:p>
        </w:tc>
        <w:tc>
          <w:tcPr>
            <w:tcW w:w="1345" w:type="dxa"/>
            <w:tcMar>
              <w:left w:w="86" w:type="dxa"/>
              <w:right w:w="86" w:type="dxa"/>
            </w:tcMar>
          </w:tcPr>
          <w:p w:rsidR="0015004D" w:rsidRPr="00D94F41" w:rsidP="00803841" w14:paraId="740D7AF8" w14:textId="77777777">
            <w:pPr>
              <w:pStyle w:val="TableParagraph"/>
              <w:spacing w:before="30" w:after="30"/>
            </w:pPr>
            <w:r w:rsidRPr="00D94F41">
              <w:t>Continuing</w:t>
            </w:r>
          </w:p>
        </w:tc>
      </w:tr>
      <w:tr w14:paraId="0361D19D" w14:textId="77777777" w:rsidTr="00B13DA1">
        <w:tblPrEx>
          <w:tblW w:w="5000" w:type="pct"/>
          <w:tblLayout w:type="fixed"/>
          <w:tblLook w:val="01E0"/>
        </w:tblPrEx>
        <w:trPr>
          <w:cantSplit/>
        </w:trPr>
        <w:tc>
          <w:tcPr>
            <w:tcW w:w="3595" w:type="dxa"/>
            <w:tcMar>
              <w:left w:w="86" w:type="dxa"/>
              <w:right w:w="86" w:type="dxa"/>
            </w:tcMar>
          </w:tcPr>
          <w:p w:rsidR="0015004D" w:rsidRPr="00D94F41" w:rsidP="00803841" w14:paraId="0656BFCF" w14:textId="77777777">
            <w:pPr>
              <w:pStyle w:val="TableParagraph"/>
              <w:spacing w:before="30" w:after="30"/>
            </w:pPr>
            <w:r w:rsidRPr="00D94F41">
              <w:t>Medical Provider Utilization (MPQ)</w:t>
            </w:r>
          </w:p>
        </w:tc>
        <w:tc>
          <w:tcPr>
            <w:tcW w:w="1350" w:type="dxa"/>
            <w:tcMar>
              <w:left w:w="86" w:type="dxa"/>
              <w:right w:w="86" w:type="dxa"/>
            </w:tcMar>
          </w:tcPr>
          <w:p w:rsidR="0015004D" w:rsidRPr="00D94F41" w:rsidP="00803841" w14:paraId="4909171B" w14:textId="77777777">
            <w:pPr>
              <w:pStyle w:val="TableParagraph"/>
              <w:spacing w:before="30" w:after="30"/>
            </w:pPr>
            <w:r w:rsidRPr="00D94F41">
              <w:t>Core</w:t>
            </w:r>
          </w:p>
        </w:tc>
        <w:tc>
          <w:tcPr>
            <w:tcW w:w="3060" w:type="dxa"/>
            <w:tcMar>
              <w:left w:w="86" w:type="dxa"/>
              <w:right w:w="86" w:type="dxa"/>
            </w:tcMar>
          </w:tcPr>
          <w:p w:rsidR="0015004D" w:rsidRPr="00D94F41" w:rsidP="00803841" w14:paraId="7CC83568" w14:textId="037C4C95">
            <w:pPr>
              <w:pStyle w:val="TableParagraph"/>
              <w:spacing w:before="30" w:after="30"/>
            </w:pPr>
            <w:r>
              <w:t xml:space="preserve">All (Round </w:t>
            </w:r>
            <w:r w:rsidRPr="00C17A23" w:rsidR="00C17A23">
              <w:t>10</w:t>
            </w:r>
            <w:r w:rsidR="0063767F">
              <w:t>7</w:t>
            </w:r>
            <w:r w:rsidRPr="00C17A23" w:rsidR="00C17A23">
              <w:t>-11</w:t>
            </w:r>
            <w:r w:rsidR="0063767F">
              <w:t>5</w:t>
            </w:r>
            <w:r>
              <w:t>)</w:t>
            </w:r>
          </w:p>
        </w:tc>
        <w:tc>
          <w:tcPr>
            <w:tcW w:w="1345" w:type="dxa"/>
            <w:tcMar>
              <w:left w:w="86" w:type="dxa"/>
              <w:right w:w="86" w:type="dxa"/>
            </w:tcMar>
          </w:tcPr>
          <w:p w:rsidR="0015004D" w:rsidRPr="00D94F41" w:rsidP="00803841" w14:paraId="27B5C561" w14:textId="77777777">
            <w:pPr>
              <w:pStyle w:val="TableParagraph"/>
              <w:spacing w:before="30" w:after="30"/>
            </w:pPr>
            <w:r w:rsidRPr="00D94F41">
              <w:t>Continuing</w:t>
            </w:r>
          </w:p>
        </w:tc>
      </w:tr>
      <w:tr w14:paraId="021B7438" w14:textId="77777777" w:rsidTr="00B13DA1">
        <w:tblPrEx>
          <w:tblW w:w="5000" w:type="pct"/>
          <w:tblLayout w:type="fixed"/>
          <w:tblLook w:val="01E0"/>
        </w:tblPrEx>
        <w:trPr>
          <w:cantSplit/>
        </w:trPr>
        <w:tc>
          <w:tcPr>
            <w:tcW w:w="3595" w:type="dxa"/>
            <w:tcMar>
              <w:left w:w="86" w:type="dxa"/>
              <w:right w:w="86" w:type="dxa"/>
            </w:tcMar>
          </w:tcPr>
          <w:p w:rsidR="0015004D" w:rsidRPr="00D94F41" w:rsidP="00803841" w14:paraId="2BCED726" w14:textId="77777777">
            <w:pPr>
              <w:pStyle w:val="TableParagraph"/>
              <w:spacing w:before="30" w:after="30"/>
            </w:pPr>
            <w:r w:rsidRPr="00D94F41">
              <w:t>Prescribed Medicine Utilization (PMQ)</w:t>
            </w:r>
          </w:p>
        </w:tc>
        <w:tc>
          <w:tcPr>
            <w:tcW w:w="1350" w:type="dxa"/>
            <w:tcMar>
              <w:left w:w="86" w:type="dxa"/>
              <w:right w:w="86" w:type="dxa"/>
            </w:tcMar>
          </w:tcPr>
          <w:p w:rsidR="0015004D" w:rsidRPr="00D94F41" w:rsidP="00803841" w14:paraId="3920A66B" w14:textId="77777777">
            <w:pPr>
              <w:pStyle w:val="TableParagraph"/>
              <w:spacing w:before="30" w:after="30"/>
            </w:pPr>
            <w:r w:rsidRPr="00D94F41">
              <w:t>Core</w:t>
            </w:r>
          </w:p>
        </w:tc>
        <w:tc>
          <w:tcPr>
            <w:tcW w:w="3060" w:type="dxa"/>
            <w:tcMar>
              <w:left w:w="86" w:type="dxa"/>
              <w:right w:w="86" w:type="dxa"/>
            </w:tcMar>
          </w:tcPr>
          <w:p w:rsidR="0015004D" w:rsidRPr="00D94F41" w:rsidP="00803841" w14:paraId="349D3A01" w14:textId="35C12407">
            <w:pPr>
              <w:pStyle w:val="TableParagraph"/>
              <w:spacing w:before="30" w:after="30"/>
            </w:pPr>
            <w:r>
              <w:t xml:space="preserve">All (Round </w:t>
            </w:r>
            <w:r w:rsidRPr="00C17A23" w:rsidR="00C17A23">
              <w:t>10</w:t>
            </w:r>
            <w:r w:rsidR="0063767F">
              <w:t>7</w:t>
            </w:r>
            <w:r w:rsidRPr="00C17A23" w:rsidR="00C17A23">
              <w:t>-11</w:t>
            </w:r>
            <w:r w:rsidR="0063767F">
              <w:t>5</w:t>
            </w:r>
            <w:r>
              <w:t>)</w:t>
            </w:r>
          </w:p>
        </w:tc>
        <w:tc>
          <w:tcPr>
            <w:tcW w:w="1345" w:type="dxa"/>
            <w:tcMar>
              <w:left w:w="86" w:type="dxa"/>
              <w:right w:w="86" w:type="dxa"/>
            </w:tcMar>
          </w:tcPr>
          <w:p w:rsidR="0015004D" w:rsidRPr="00D94F41" w:rsidP="00803841" w14:paraId="0EC6F7C2" w14:textId="77777777">
            <w:pPr>
              <w:pStyle w:val="TableParagraph"/>
              <w:spacing w:before="30" w:after="30"/>
            </w:pPr>
            <w:r w:rsidRPr="00D94F41">
              <w:t>Continuing</w:t>
            </w:r>
          </w:p>
        </w:tc>
      </w:tr>
      <w:tr w14:paraId="47E6153C" w14:textId="77777777" w:rsidTr="00B13DA1">
        <w:tblPrEx>
          <w:tblW w:w="5000" w:type="pct"/>
          <w:tblLayout w:type="fixed"/>
          <w:tblLook w:val="01E0"/>
        </w:tblPrEx>
        <w:trPr>
          <w:cantSplit/>
        </w:trPr>
        <w:tc>
          <w:tcPr>
            <w:tcW w:w="3595" w:type="dxa"/>
            <w:tcMar>
              <w:left w:w="86" w:type="dxa"/>
              <w:right w:w="86" w:type="dxa"/>
            </w:tcMar>
          </w:tcPr>
          <w:p w:rsidR="0015004D" w:rsidRPr="00D94F41" w:rsidP="00803841" w14:paraId="7246384C" w14:textId="77777777">
            <w:pPr>
              <w:pStyle w:val="TableParagraph"/>
              <w:spacing w:before="30" w:after="30"/>
            </w:pPr>
            <w:r w:rsidRPr="00D94F41">
              <w:t>Other Medical Expenses (OMQ)</w:t>
            </w:r>
          </w:p>
        </w:tc>
        <w:tc>
          <w:tcPr>
            <w:tcW w:w="1350" w:type="dxa"/>
            <w:tcMar>
              <w:left w:w="86" w:type="dxa"/>
              <w:right w:w="86" w:type="dxa"/>
            </w:tcMar>
          </w:tcPr>
          <w:p w:rsidR="0015004D" w:rsidRPr="00D94F41" w:rsidP="00803841" w14:paraId="0AEA9F0C" w14:textId="77777777">
            <w:pPr>
              <w:pStyle w:val="TableParagraph"/>
              <w:spacing w:before="30" w:after="30"/>
            </w:pPr>
            <w:r w:rsidRPr="00D94F41">
              <w:t>Core</w:t>
            </w:r>
          </w:p>
        </w:tc>
        <w:tc>
          <w:tcPr>
            <w:tcW w:w="3060" w:type="dxa"/>
            <w:tcMar>
              <w:left w:w="86" w:type="dxa"/>
              <w:right w:w="86" w:type="dxa"/>
            </w:tcMar>
          </w:tcPr>
          <w:p w:rsidR="0015004D" w:rsidRPr="00D94F41" w:rsidP="00803841" w14:paraId="65E434E5" w14:textId="58CDCA74">
            <w:pPr>
              <w:pStyle w:val="TableParagraph"/>
              <w:spacing w:before="30" w:after="30"/>
            </w:pPr>
            <w:r>
              <w:t xml:space="preserve">All (Round </w:t>
            </w:r>
            <w:r w:rsidRPr="00C17A23" w:rsidR="00C17A23">
              <w:t>10</w:t>
            </w:r>
            <w:r w:rsidR="0063767F">
              <w:t>7</w:t>
            </w:r>
            <w:r w:rsidRPr="00C17A23" w:rsidR="00C17A23">
              <w:t>-11</w:t>
            </w:r>
            <w:r w:rsidR="0063767F">
              <w:t>5</w:t>
            </w:r>
            <w:r>
              <w:t>)</w:t>
            </w:r>
          </w:p>
        </w:tc>
        <w:tc>
          <w:tcPr>
            <w:tcW w:w="1345" w:type="dxa"/>
            <w:tcMar>
              <w:left w:w="86" w:type="dxa"/>
              <w:right w:w="86" w:type="dxa"/>
            </w:tcMar>
          </w:tcPr>
          <w:p w:rsidR="0015004D" w:rsidRPr="00D94F41" w:rsidP="00803841" w14:paraId="7ECE3577" w14:textId="77777777">
            <w:pPr>
              <w:pStyle w:val="TableParagraph"/>
              <w:spacing w:before="30" w:after="30"/>
            </w:pPr>
            <w:r w:rsidRPr="00D94F41">
              <w:t>Continuing</w:t>
            </w:r>
          </w:p>
        </w:tc>
      </w:tr>
      <w:tr w14:paraId="5486E6A2" w14:textId="77777777" w:rsidTr="00B13DA1">
        <w:tblPrEx>
          <w:tblW w:w="5000" w:type="pct"/>
          <w:tblLayout w:type="fixed"/>
          <w:tblLook w:val="01E0"/>
        </w:tblPrEx>
        <w:trPr>
          <w:cantSplit/>
        </w:trPr>
        <w:tc>
          <w:tcPr>
            <w:tcW w:w="3595" w:type="dxa"/>
            <w:tcMar>
              <w:left w:w="86" w:type="dxa"/>
              <w:right w:w="86" w:type="dxa"/>
            </w:tcMar>
          </w:tcPr>
          <w:p w:rsidR="0015004D" w:rsidRPr="00D94F41" w:rsidP="00803841" w14:paraId="60C97423" w14:textId="77777777">
            <w:pPr>
              <w:pStyle w:val="TableParagraph"/>
              <w:spacing w:before="30" w:after="30"/>
            </w:pPr>
            <w:r w:rsidRPr="00D94F41">
              <w:t>Statement Cost Series (STQ)</w:t>
            </w:r>
          </w:p>
        </w:tc>
        <w:tc>
          <w:tcPr>
            <w:tcW w:w="1350" w:type="dxa"/>
            <w:tcMar>
              <w:left w:w="86" w:type="dxa"/>
              <w:right w:w="86" w:type="dxa"/>
            </w:tcMar>
          </w:tcPr>
          <w:p w:rsidR="0015004D" w:rsidRPr="00D94F41" w:rsidP="00803841" w14:paraId="2B795EA6" w14:textId="77777777">
            <w:pPr>
              <w:pStyle w:val="TableParagraph"/>
              <w:spacing w:before="30" w:after="30"/>
            </w:pPr>
            <w:r w:rsidRPr="00D94F41">
              <w:t>Core</w:t>
            </w:r>
          </w:p>
        </w:tc>
        <w:tc>
          <w:tcPr>
            <w:tcW w:w="3060" w:type="dxa"/>
            <w:tcMar>
              <w:left w:w="86" w:type="dxa"/>
              <w:right w:w="86" w:type="dxa"/>
            </w:tcMar>
          </w:tcPr>
          <w:p w:rsidR="0015004D" w:rsidRPr="00D94F41" w:rsidP="00803841" w14:paraId="6A30CA6A" w14:textId="5298B11E">
            <w:pPr>
              <w:pStyle w:val="TableParagraph"/>
              <w:spacing w:before="30" w:after="30"/>
            </w:pPr>
            <w:r>
              <w:t xml:space="preserve">All (Round </w:t>
            </w:r>
            <w:r w:rsidRPr="00C17A23" w:rsidR="00C17A23">
              <w:t>10</w:t>
            </w:r>
            <w:r w:rsidR="0063767F">
              <w:t>7</w:t>
            </w:r>
            <w:r w:rsidRPr="00C17A23" w:rsidR="00C17A23">
              <w:t>-11</w:t>
            </w:r>
            <w:r w:rsidR="0063767F">
              <w:t>5</w:t>
            </w:r>
            <w:r>
              <w:t>)</w:t>
            </w:r>
          </w:p>
        </w:tc>
        <w:tc>
          <w:tcPr>
            <w:tcW w:w="1345" w:type="dxa"/>
            <w:tcMar>
              <w:left w:w="86" w:type="dxa"/>
              <w:right w:w="86" w:type="dxa"/>
            </w:tcMar>
          </w:tcPr>
          <w:p w:rsidR="0015004D" w:rsidRPr="00D94F41" w:rsidP="00803841" w14:paraId="6CD2229E" w14:textId="77777777">
            <w:pPr>
              <w:pStyle w:val="TableParagraph"/>
              <w:spacing w:before="30" w:after="30"/>
            </w:pPr>
            <w:r w:rsidRPr="00D94F41">
              <w:t>Continuing</w:t>
            </w:r>
          </w:p>
        </w:tc>
      </w:tr>
      <w:tr w14:paraId="237CEF1D" w14:textId="77777777" w:rsidTr="00B13DA1">
        <w:tblPrEx>
          <w:tblW w:w="5000" w:type="pct"/>
          <w:tblLayout w:type="fixed"/>
          <w:tblLook w:val="01E0"/>
        </w:tblPrEx>
        <w:trPr>
          <w:cantSplit/>
        </w:trPr>
        <w:tc>
          <w:tcPr>
            <w:tcW w:w="3595" w:type="dxa"/>
            <w:tcMar>
              <w:left w:w="86" w:type="dxa"/>
              <w:right w:w="86" w:type="dxa"/>
            </w:tcMar>
          </w:tcPr>
          <w:p w:rsidR="0015004D" w:rsidRPr="00D94F41" w:rsidP="00803841" w14:paraId="564AA998" w14:textId="77777777">
            <w:pPr>
              <w:pStyle w:val="TableParagraph"/>
              <w:spacing w:before="30" w:after="30"/>
            </w:pPr>
            <w:r w:rsidRPr="00D94F41">
              <w:t>Post-Statement Cost (PSQ)</w:t>
            </w:r>
          </w:p>
        </w:tc>
        <w:tc>
          <w:tcPr>
            <w:tcW w:w="1350" w:type="dxa"/>
            <w:tcMar>
              <w:left w:w="86" w:type="dxa"/>
              <w:right w:w="86" w:type="dxa"/>
            </w:tcMar>
          </w:tcPr>
          <w:p w:rsidR="0015004D" w:rsidRPr="00D94F41" w:rsidP="00803841" w14:paraId="095916C5" w14:textId="77777777">
            <w:pPr>
              <w:pStyle w:val="TableParagraph"/>
              <w:spacing w:before="30" w:after="30"/>
            </w:pPr>
            <w:r w:rsidRPr="00D94F41">
              <w:t>Core</w:t>
            </w:r>
          </w:p>
        </w:tc>
        <w:tc>
          <w:tcPr>
            <w:tcW w:w="3060" w:type="dxa"/>
            <w:tcMar>
              <w:left w:w="86" w:type="dxa"/>
              <w:right w:w="86" w:type="dxa"/>
            </w:tcMar>
          </w:tcPr>
          <w:p w:rsidR="0015004D" w:rsidRPr="00D94F41" w:rsidP="00803841" w14:paraId="39CB4248" w14:textId="1BCF17AC">
            <w:pPr>
              <w:pStyle w:val="TableParagraph"/>
              <w:spacing w:before="30" w:after="30"/>
            </w:pPr>
            <w:r>
              <w:t xml:space="preserve">All (Round </w:t>
            </w:r>
            <w:r w:rsidRPr="00C17A23" w:rsidR="00C17A23">
              <w:t>10</w:t>
            </w:r>
            <w:r w:rsidR="0063767F">
              <w:t>7</w:t>
            </w:r>
            <w:r w:rsidRPr="00C17A23" w:rsidR="00C17A23">
              <w:t>-11</w:t>
            </w:r>
            <w:r w:rsidR="0063767F">
              <w:t>5</w:t>
            </w:r>
            <w:r>
              <w:t>)</w:t>
            </w:r>
          </w:p>
        </w:tc>
        <w:tc>
          <w:tcPr>
            <w:tcW w:w="1345" w:type="dxa"/>
            <w:tcMar>
              <w:left w:w="86" w:type="dxa"/>
              <w:right w:w="86" w:type="dxa"/>
            </w:tcMar>
          </w:tcPr>
          <w:p w:rsidR="0015004D" w:rsidRPr="00D94F41" w:rsidP="00803841" w14:paraId="45BA9F45" w14:textId="77777777">
            <w:pPr>
              <w:pStyle w:val="TableParagraph"/>
              <w:spacing w:before="30" w:after="30"/>
            </w:pPr>
            <w:r w:rsidRPr="00D94F41">
              <w:t>Continuing</w:t>
            </w:r>
          </w:p>
        </w:tc>
      </w:tr>
      <w:tr w14:paraId="114768C7" w14:textId="77777777" w:rsidTr="00B13DA1">
        <w:tblPrEx>
          <w:tblW w:w="5000" w:type="pct"/>
          <w:tblLayout w:type="fixed"/>
          <w:tblLook w:val="01E0"/>
        </w:tblPrEx>
        <w:trPr>
          <w:cantSplit/>
        </w:trPr>
        <w:tc>
          <w:tcPr>
            <w:tcW w:w="3595" w:type="dxa"/>
            <w:tcMar>
              <w:left w:w="86" w:type="dxa"/>
              <w:right w:w="86" w:type="dxa"/>
            </w:tcMar>
          </w:tcPr>
          <w:p w:rsidR="0015004D" w:rsidRPr="00D94F41" w:rsidP="00803841" w14:paraId="0AEDE53C" w14:textId="77777777">
            <w:pPr>
              <w:pStyle w:val="TableParagraph"/>
              <w:spacing w:before="30" w:after="30"/>
            </w:pPr>
            <w:r w:rsidRPr="00D94F41">
              <w:t>No Statement Cost Series (NSQ)</w:t>
            </w:r>
          </w:p>
        </w:tc>
        <w:tc>
          <w:tcPr>
            <w:tcW w:w="1350" w:type="dxa"/>
            <w:tcMar>
              <w:left w:w="86" w:type="dxa"/>
              <w:right w:w="86" w:type="dxa"/>
            </w:tcMar>
          </w:tcPr>
          <w:p w:rsidR="0015004D" w:rsidRPr="00D94F41" w:rsidP="00803841" w14:paraId="637FDD07" w14:textId="77777777">
            <w:pPr>
              <w:pStyle w:val="TableParagraph"/>
              <w:spacing w:before="30" w:after="30"/>
            </w:pPr>
            <w:r w:rsidRPr="00D94F41">
              <w:t>Core</w:t>
            </w:r>
          </w:p>
        </w:tc>
        <w:tc>
          <w:tcPr>
            <w:tcW w:w="3060" w:type="dxa"/>
            <w:tcMar>
              <w:left w:w="86" w:type="dxa"/>
              <w:right w:w="86" w:type="dxa"/>
            </w:tcMar>
          </w:tcPr>
          <w:p w:rsidR="0015004D" w:rsidRPr="00D94F41" w:rsidP="00803841" w14:paraId="3B4F3228" w14:textId="03D183FC">
            <w:pPr>
              <w:pStyle w:val="TableParagraph"/>
              <w:spacing w:before="30" w:after="30"/>
            </w:pPr>
            <w:r>
              <w:t xml:space="preserve">All (Round </w:t>
            </w:r>
            <w:r w:rsidRPr="00C17A23" w:rsidR="00C17A23">
              <w:t>10</w:t>
            </w:r>
            <w:r w:rsidR="0063767F">
              <w:t>7</w:t>
            </w:r>
            <w:r w:rsidRPr="00C17A23" w:rsidR="00C17A23">
              <w:t>-11</w:t>
            </w:r>
            <w:r w:rsidR="0063767F">
              <w:t>5</w:t>
            </w:r>
            <w:r>
              <w:t>)</w:t>
            </w:r>
          </w:p>
        </w:tc>
        <w:tc>
          <w:tcPr>
            <w:tcW w:w="1345" w:type="dxa"/>
            <w:tcMar>
              <w:left w:w="86" w:type="dxa"/>
              <w:right w:w="86" w:type="dxa"/>
            </w:tcMar>
          </w:tcPr>
          <w:p w:rsidR="0015004D" w:rsidRPr="00D94F41" w:rsidP="00803841" w14:paraId="6843EF7C" w14:textId="77777777">
            <w:pPr>
              <w:pStyle w:val="TableParagraph"/>
              <w:spacing w:before="30" w:after="30"/>
            </w:pPr>
            <w:r w:rsidRPr="00D94F41">
              <w:t>Continuing</w:t>
            </w:r>
          </w:p>
        </w:tc>
      </w:tr>
      <w:tr w14:paraId="63524CBF" w14:textId="77777777" w:rsidTr="00B13DA1">
        <w:tblPrEx>
          <w:tblW w:w="5000" w:type="pct"/>
          <w:tblLayout w:type="fixed"/>
          <w:tblLook w:val="01E0"/>
        </w:tblPrEx>
        <w:trPr>
          <w:cantSplit/>
        </w:trPr>
        <w:tc>
          <w:tcPr>
            <w:tcW w:w="3595" w:type="dxa"/>
            <w:tcMar>
              <w:left w:w="86" w:type="dxa"/>
              <w:right w:w="86" w:type="dxa"/>
            </w:tcMar>
          </w:tcPr>
          <w:p w:rsidR="0015004D" w:rsidRPr="00D94F41" w:rsidP="00803841" w14:paraId="7B8B5003" w14:textId="77777777">
            <w:pPr>
              <w:pStyle w:val="TableParagraph"/>
              <w:spacing w:before="30" w:after="30"/>
            </w:pPr>
            <w:r w:rsidRPr="00D94F41">
              <w:t>Cost Payment Summary (CPS)</w:t>
            </w:r>
          </w:p>
        </w:tc>
        <w:tc>
          <w:tcPr>
            <w:tcW w:w="1350" w:type="dxa"/>
            <w:tcMar>
              <w:left w:w="86" w:type="dxa"/>
              <w:right w:w="86" w:type="dxa"/>
            </w:tcMar>
          </w:tcPr>
          <w:p w:rsidR="0015004D" w:rsidRPr="00D94F41" w:rsidP="00803841" w14:paraId="2A898C5C" w14:textId="77777777">
            <w:pPr>
              <w:pStyle w:val="TableParagraph"/>
              <w:spacing w:before="30" w:after="30"/>
            </w:pPr>
            <w:r w:rsidRPr="00D94F41">
              <w:t>Core</w:t>
            </w:r>
          </w:p>
        </w:tc>
        <w:tc>
          <w:tcPr>
            <w:tcW w:w="3060" w:type="dxa"/>
            <w:tcMar>
              <w:left w:w="86" w:type="dxa"/>
              <w:right w:w="86" w:type="dxa"/>
            </w:tcMar>
          </w:tcPr>
          <w:p w:rsidR="0015004D" w:rsidRPr="00D94F41" w:rsidP="00803841" w14:paraId="79DA7644" w14:textId="62A6E673">
            <w:pPr>
              <w:pStyle w:val="TableParagraph"/>
              <w:spacing w:before="30" w:after="30"/>
            </w:pPr>
            <w:r>
              <w:t xml:space="preserve">All (Round </w:t>
            </w:r>
            <w:r w:rsidRPr="00C17A23" w:rsidR="00C17A23">
              <w:t>10</w:t>
            </w:r>
            <w:r w:rsidR="0063767F">
              <w:t>7</w:t>
            </w:r>
            <w:r w:rsidRPr="00C17A23" w:rsidR="00C17A23">
              <w:t>-11</w:t>
            </w:r>
            <w:r w:rsidR="0063767F">
              <w:t>5</w:t>
            </w:r>
            <w:r>
              <w:t>)</w:t>
            </w:r>
          </w:p>
        </w:tc>
        <w:tc>
          <w:tcPr>
            <w:tcW w:w="1345" w:type="dxa"/>
            <w:tcMar>
              <w:left w:w="86" w:type="dxa"/>
              <w:right w:w="86" w:type="dxa"/>
            </w:tcMar>
          </w:tcPr>
          <w:p w:rsidR="0015004D" w:rsidRPr="00D94F41" w:rsidP="00803841" w14:paraId="4CF80E88" w14:textId="77777777">
            <w:pPr>
              <w:pStyle w:val="TableParagraph"/>
              <w:spacing w:before="30" w:after="30"/>
            </w:pPr>
            <w:r w:rsidRPr="00D94F41">
              <w:t>Continuing</w:t>
            </w:r>
          </w:p>
        </w:tc>
      </w:tr>
      <w:tr w14:paraId="764D427B" w14:textId="77777777" w:rsidTr="00B13DA1">
        <w:tblPrEx>
          <w:tblW w:w="5000" w:type="pct"/>
          <w:tblLayout w:type="fixed"/>
          <w:tblLook w:val="01E0"/>
        </w:tblPrEx>
        <w:trPr>
          <w:cantSplit/>
        </w:trPr>
        <w:tc>
          <w:tcPr>
            <w:tcW w:w="3595" w:type="dxa"/>
            <w:tcMar>
              <w:left w:w="86" w:type="dxa"/>
              <w:right w:w="86" w:type="dxa"/>
            </w:tcMar>
          </w:tcPr>
          <w:p w:rsidR="00803841" w:rsidRPr="00D94F41" w:rsidP="00803841" w14:paraId="2E341AF4" w14:textId="44F55DB2">
            <w:pPr>
              <w:pStyle w:val="TableParagraph"/>
              <w:spacing w:before="30" w:after="30"/>
            </w:pPr>
            <w:r w:rsidRPr="00803841">
              <w:t>End Section (END)</w:t>
            </w:r>
          </w:p>
        </w:tc>
        <w:tc>
          <w:tcPr>
            <w:tcW w:w="1350" w:type="dxa"/>
            <w:tcMar>
              <w:left w:w="86" w:type="dxa"/>
              <w:right w:w="86" w:type="dxa"/>
            </w:tcMar>
          </w:tcPr>
          <w:p w:rsidR="00803841" w:rsidRPr="00D94F41" w:rsidP="00803841" w14:paraId="1FFADCA2" w14:textId="333CD11C">
            <w:pPr>
              <w:pStyle w:val="TableParagraph"/>
              <w:spacing w:before="30" w:after="30"/>
            </w:pPr>
            <w:r w:rsidRPr="00803841">
              <w:t>Core</w:t>
            </w:r>
          </w:p>
        </w:tc>
        <w:tc>
          <w:tcPr>
            <w:tcW w:w="3060" w:type="dxa"/>
            <w:tcMar>
              <w:left w:w="86" w:type="dxa"/>
              <w:right w:w="86" w:type="dxa"/>
            </w:tcMar>
          </w:tcPr>
          <w:p w:rsidR="00803841" w:rsidP="00803841" w14:paraId="75EEEC18" w14:textId="61228C42">
            <w:pPr>
              <w:pStyle w:val="TableParagraph"/>
              <w:spacing w:before="30" w:after="30"/>
            </w:pPr>
            <w:r w:rsidRPr="00803841">
              <w:t>All (Round 10</w:t>
            </w:r>
            <w:r w:rsidR="0063767F">
              <w:t>7</w:t>
            </w:r>
            <w:r w:rsidRPr="00803841">
              <w:t>-11</w:t>
            </w:r>
            <w:r w:rsidR="0063767F">
              <w:t>5</w:t>
            </w:r>
            <w:r w:rsidRPr="00803841">
              <w:t>)</w:t>
            </w:r>
          </w:p>
        </w:tc>
        <w:tc>
          <w:tcPr>
            <w:tcW w:w="1345" w:type="dxa"/>
            <w:tcMar>
              <w:left w:w="86" w:type="dxa"/>
              <w:right w:w="86" w:type="dxa"/>
            </w:tcMar>
          </w:tcPr>
          <w:p w:rsidR="00803841" w:rsidRPr="00D94F41" w:rsidP="00803841" w14:paraId="69E44C3A" w14:textId="3F2EFC62">
            <w:pPr>
              <w:pStyle w:val="TableParagraph"/>
              <w:spacing w:before="30" w:after="30"/>
            </w:pPr>
            <w:r>
              <w:t>Both</w:t>
            </w:r>
          </w:p>
        </w:tc>
      </w:tr>
    </w:tbl>
    <w:p w:rsidR="00E24A78" w:rsidRPr="00E24A78" w:rsidP="00E24A78" w14:paraId="2001D4BC" w14:textId="466026CB">
      <w:pPr>
        <w:pStyle w:val="BodyText"/>
        <w:rPr>
          <w:sz w:val="20"/>
          <w:szCs w:val="20"/>
        </w:rPr>
      </w:pPr>
      <w:r w:rsidRPr="00E24A78">
        <w:rPr>
          <w:sz w:val="20"/>
          <w:szCs w:val="20"/>
        </w:rPr>
        <w:t>^The Access to Care Questionnaire (ACQ) is not included in Table B-3 as it is being removed as of Winter 2027.</w:t>
      </w:r>
    </w:p>
    <w:p w:rsidR="0088452B" w:rsidRPr="00D94F41" w:rsidP="00803841" w14:paraId="7C2BC27C" w14:textId="7911193B">
      <w:pPr>
        <w:pStyle w:val="BodyText"/>
        <w:spacing w:before="180"/>
      </w:pPr>
      <w:r w:rsidRPr="00D94F41">
        <w:t>The Facility instrument collects information that is similar in content to the Community instrument. Table B.</w:t>
      </w:r>
      <w:r w:rsidR="00946F0A">
        <w:t>4</w:t>
      </w:r>
      <w:r w:rsidRPr="00D94F41">
        <w:t xml:space="preserve"> presents the </w:t>
      </w:r>
      <w:r w:rsidRPr="00D94F41" w:rsidR="005529C6">
        <w:t xml:space="preserve">core and topical </w:t>
      </w:r>
      <w:r w:rsidRPr="00D94F41">
        <w:t>sections that comprise the MCBS Facility instrument</w:t>
      </w:r>
      <w:r w:rsidRPr="00D94F41" w:rsidR="005529C6">
        <w:t>.</w:t>
      </w:r>
      <w:r w:rsidRPr="00D94F41">
        <w:t xml:space="preserve"> As with the Community instrument, the content and order of administration </w:t>
      </w:r>
      <w:r w:rsidRPr="00D94F41">
        <w:t>varies</w:t>
      </w:r>
      <w:r w:rsidRPr="00D94F41">
        <w:t xml:space="preserve"> based on season of data collection (Fall, Winter, Summer) and the type of interview (</w:t>
      </w:r>
      <w:r w:rsidRPr="00D94F41" w:rsidR="000A248B">
        <w:t>B</w:t>
      </w:r>
      <w:r w:rsidRPr="00D94F41">
        <w:t xml:space="preserve">aseline, </w:t>
      </w:r>
      <w:r w:rsidRPr="00D94F41" w:rsidR="000A248B">
        <w:t>C</w:t>
      </w:r>
      <w:r w:rsidRPr="00D94F41">
        <w:t>ontinuing).</w:t>
      </w:r>
      <w:r w:rsidRPr="00D94F41" w:rsidR="005529C6">
        <w:t xml:space="preserve"> Those sections with an asterisk (*) include a revision contained in this clearance request (either adding or deleting questions).</w:t>
      </w:r>
    </w:p>
    <w:p w:rsidR="00715467" w:rsidRPr="00D94F41" w:rsidP="00AE5C2C" w14:paraId="27E9CF91" w14:textId="0F1E179F">
      <w:pPr>
        <w:pStyle w:val="Caption"/>
        <w:tabs>
          <w:tab w:val="left" w:pos="1170"/>
        </w:tabs>
      </w:pPr>
      <w:r w:rsidRPr="00D94F41">
        <w:t>Table B.</w:t>
      </w:r>
      <w:r w:rsidR="00946F0A">
        <w:t>4</w:t>
      </w:r>
      <w:r w:rsidRPr="00D94F41">
        <w:t>:</w:t>
      </w:r>
      <w:r w:rsidR="00110F11">
        <w:tab/>
      </w:r>
      <w:r w:rsidRPr="00D94F41">
        <w:t>Facility Instrument Sections and Order of Administration</w:t>
      </w:r>
    </w:p>
    <w:tbl>
      <w:tblPr>
        <w:tblStyle w:val="GridTableLight"/>
        <w:tblDescription w:val="Facility Instrument Sections and Order of Administration"/>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06"/>
        <w:gridCol w:w="2606"/>
        <w:gridCol w:w="962"/>
        <w:gridCol w:w="1914"/>
        <w:gridCol w:w="1262"/>
      </w:tblGrid>
      <w:tr w14:paraId="4541B590" w14:textId="77777777" w:rsidTr="009C1AB2">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blHeader/>
        </w:trPr>
        <w:tc>
          <w:tcPr>
            <w:tcW w:w="1394" w:type="pct"/>
            <w:shd w:val="clear" w:color="auto" w:fill="D9D9D9"/>
            <w:vAlign w:val="center"/>
          </w:tcPr>
          <w:p w:rsidR="004F6096" w:rsidRPr="00D94F41" w:rsidP="001C1985" w14:paraId="3933D811" w14:textId="08C35E99">
            <w:pPr>
              <w:pStyle w:val="TableParagraph"/>
              <w:spacing w:before="40" w:after="40"/>
              <w:jc w:val="center"/>
              <w:rPr>
                <w:b/>
              </w:rPr>
            </w:pPr>
            <w:r>
              <w:rPr>
                <w:b/>
              </w:rPr>
              <w:t xml:space="preserve">Survey </w:t>
            </w:r>
            <w:r w:rsidR="009C1AB2">
              <w:rPr>
                <w:b/>
              </w:rPr>
              <w:t>Number</w:t>
            </w:r>
          </w:p>
        </w:tc>
        <w:tc>
          <w:tcPr>
            <w:tcW w:w="1394" w:type="pct"/>
            <w:shd w:val="clear" w:color="auto" w:fill="D9D9D9"/>
            <w:vAlign w:val="center"/>
          </w:tcPr>
          <w:p w:rsidR="004F6096" w:rsidRPr="00D94F41" w:rsidP="001C1985" w14:paraId="2FA1E33E" w14:textId="2E9C31EB">
            <w:pPr>
              <w:pStyle w:val="TableParagraph"/>
              <w:spacing w:before="40" w:after="40"/>
              <w:jc w:val="center"/>
              <w:rPr>
                <w:b/>
              </w:rPr>
            </w:pPr>
            <w:r w:rsidRPr="00D94F41">
              <w:rPr>
                <w:b/>
              </w:rPr>
              <w:t>Section</w:t>
            </w:r>
          </w:p>
        </w:tc>
        <w:tc>
          <w:tcPr>
            <w:tcW w:w="514" w:type="pct"/>
            <w:shd w:val="clear" w:color="auto" w:fill="D9D9D9"/>
            <w:vAlign w:val="center"/>
          </w:tcPr>
          <w:p w:rsidR="004F6096" w:rsidRPr="00D94F41" w:rsidP="001C1985" w14:paraId="1C9B05FC" w14:textId="22D3F1B7">
            <w:pPr>
              <w:pStyle w:val="TableParagraph"/>
              <w:spacing w:before="40" w:after="40"/>
              <w:jc w:val="center"/>
              <w:rPr>
                <w:b/>
              </w:rPr>
            </w:pPr>
            <w:r w:rsidRPr="00D94F41">
              <w:rPr>
                <w:b/>
              </w:rPr>
              <w:t>Type of Section</w:t>
            </w:r>
          </w:p>
          <w:p w:rsidR="004F6096" w:rsidRPr="00D94F41" w:rsidP="001C1985" w14:paraId="0BEAC6E9" w14:textId="4B051247">
            <w:pPr>
              <w:pStyle w:val="TableParagraph"/>
              <w:spacing w:before="40" w:after="40"/>
              <w:jc w:val="center"/>
              <w:rPr>
                <w:b/>
              </w:rPr>
            </w:pPr>
            <w:r w:rsidRPr="00D94F41">
              <w:t>(Core or Topical)</w:t>
            </w:r>
          </w:p>
        </w:tc>
        <w:tc>
          <w:tcPr>
            <w:tcW w:w="1024" w:type="pct"/>
            <w:shd w:val="clear" w:color="auto" w:fill="D9D9D9"/>
            <w:vAlign w:val="center"/>
          </w:tcPr>
          <w:p w:rsidR="004F6096" w:rsidP="001C1985" w14:paraId="3215D0F9" w14:textId="77777777">
            <w:pPr>
              <w:pStyle w:val="TableParagraph"/>
              <w:spacing w:before="40" w:after="40"/>
              <w:jc w:val="center"/>
              <w:rPr>
                <w:b/>
              </w:rPr>
            </w:pPr>
            <w:r w:rsidRPr="00D94F41">
              <w:rPr>
                <w:b/>
              </w:rPr>
              <w:t xml:space="preserve">Season of Administration </w:t>
            </w:r>
          </w:p>
          <w:p w:rsidR="004F6096" w:rsidRPr="00D94F41" w:rsidP="001C1985" w14:paraId="70977C1D" w14:textId="4CD8BEA0">
            <w:pPr>
              <w:pStyle w:val="TableParagraph"/>
              <w:spacing w:before="40" w:after="40"/>
              <w:jc w:val="center"/>
            </w:pPr>
            <w:r w:rsidRPr="00D94F41">
              <w:t>(Rounds Administered)</w:t>
            </w:r>
          </w:p>
        </w:tc>
        <w:tc>
          <w:tcPr>
            <w:tcW w:w="675" w:type="pct"/>
            <w:shd w:val="clear" w:color="auto" w:fill="D9D9D9"/>
            <w:vAlign w:val="center"/>
          </w:tcPr>
          <w:p w:rsidR="004F6096" w:rsidP="001C1985" w14:paraId="697F1F18" w14:textId="77777777">
            <w:pPr>
              <w:pStyle w:val="TableParagraph"/>
              <w:spacing w:before="40" w:after="40"/>
              <w:jc w:val="center"/>
              <w:rPr>
                <w:b/>
              </w:rPr>
            </w:pPr>
            <w:r w:rsidRPr="00D94F41">
              <w:rPr>
                <w:b/>
              </w:rPr>
              <w:t xml:space="preserve">Interview Type </w:t>
            </w:r>
          </w:p>
          <w:p w:rsidR="004F6096" w:rsidRPr="00D94F41" w:rsidP="001C1985" w14:paraId="7E816662" w14:textId="41F4DAEA">
            <w:pPr>
              <w:pStyle w:val="TableParagraph"/>
              <w:spacing w:before="40" w:after="40"/>
              <w:jc w:val="center"/>
            </w:pPr>
            <w:r w:rsidRPr="00D94F41">
              <w:t>(Baseline, Continuing, Both)</w:t>
            </w:r>
          </w:p>
        </w:tc>
      </w:tr>
      <w:tr w14:paraId="394DEB7E" w14:textId="77777777" w:rsidTr="009C1AB2">
        <w:tblPrEx>
          <w:tblW w:w="5000" w:type="pct"/>
          <w:tblLook w:val="01E0"/>
        </w:tblPrEx>
        <w:trPr>
          <w:cantSplit/>
        </w:trPr>
        <w:tc>
          <w:tcPr>
            <w:tcW w:w="1394" w:type="pct"/>
            <w:vAlign w:val="center"/>
          </w:tcPr>
          <w:p w:rsidR="004F6096" w:rsidRPr="00D94F41" w:rsidP="001C1985" w14:paraId="044F7688" w14:textId="1116853A">
            <w:pPr>
              <w:pStyle w:val="TableParagraph"/>
              <w:spacing w:before="40" w:after="40"/>
            </w:pPr>
            <w:r>
              <w:t>Survey 1</w:t>
            </w:r>
          </w:p>
        </w:tc>
        <w:tc>
          <w:tcPr>
            <w:tcW w:w="1394" w:type="pct"/>
            <w:vAlign w:val="center"/>
          </w:tcPr>
          <w:p w:rsidR="004F6096" w:rsidRPr="00D94F41" w:rsidP="001C1985" w14:paraId="04DF27D0" w14:textId="19DB1208">
            <w:pPr>
              <w:pStyle w:val="TableParagraph"/>
              <w:spacing w:before="40" w:after="40"/>
            </w:pPr>
            <w:r w:rsidRPr="00D94F41">
              <w:t>Facility Questionnaire (FQ)</w:t>
            </w:r>
          </w:p>
        </w:tc>
        <w:tc>
          <w:tcPr>
            <w:tcW w:w="514" w:type="pct"/>
            <w:vAlign w:val="center"/>
          </w:tcPr>
          <w:p w:rsidR="004F6096" w:rsidRPr="00D94F41" w:rsidP="001C1985" w14:paraId="77BCA2C4" w14:textId="4FA56F01">
            <w:pPr>
              <w:pStyle w:val="TableParagraph"/>
              <w:spacing w:before="40" w:after="40"/>
            </w:pPr>
            <w:r w:rsidRPr="00D94F41">
              <w:t>Core</w:t>
            </w:r>
          </w:p>
        </w:tc>
        <w:tc>
          <w:tcPr>
            <w:tcW w:w="1024" w:type="pct"/>
            <w:vAlign w:val="center"/>
          </w:tcPr>
          <w:p w:rsidR="004F6096" w:rsidRPr="00D94F41" w:rsidP="001C1985" w14:paraId="00070985" w14:textId="7E2D10D2">
            <w:pPr>
              <w:pStyle w:val="TableParagraph"/>
              <w:spacing w:before="40" w:after="40"/>
            </w:pPr>
            <w:r w:rsidRPr="00614CA9">
              <w:t xml:space="preserve">All (Round </w:t>
            </w:r>
            <w:r>
              <w:t>107-115</w:t>
            </w:r>
            <w:r w:rsidRPr="00614CA9">
              <w:t>)</w:t>
            </w:r>
          </w:p>
        </w:tc>
        <w:tc>
          <w:tcPr>
            <w:tcW w:w="675" w:type="pct"/>
            <w:vAlign w:val="center"/>
          </w:tcPr>
          <w:p w:rsidR="004F6096" w:rsidRPr="00D94F41" w:rsidP="001C1985" w14:paraId="2904D436" w14:textId="77777777">
            <w:pPr>
              <w:pStyle w:val="TableParagraph"/>
              <w:spacing w:before="40" w:after="40"/>
            </w:pPr>
            <w:r w:rsidRPr="00D94F41">
              <w:t>Both</w:t>
            </w:r>
          </w:p>
        </w:tc>
      </w:tr>
      <w:tr w14:paraId="0E92A6CA" w14:textId="77777777" w:rsidTr="009C1AB2">
        <w:tblPrEx>
          <w:tblW w:w="5000" w:type="pct"/>
          <w:tblLook w:val="01E0"/>
        </w:tblPrEx>
        <w:trPr>
          <w:cantSplit/>
        </w:trPr>
        <w:tc>
          <w:tcPr>
            <w:tcW w:w="1394" w:type="pct"/>
            <w:vAlign w:val="center"/>
          </w:tcPr>
          <w:p w:rsidR="004F6096" w:rsidRPr="00D94F41" w:rsidP="001C1985" w14:paraId="282E58E9" w14:textId="714CBCB3">
            <w:pPr>
              <w:pStyle w:val="TableParagraph"/>
              <w:spacing w:before="40" w:after="40"/>
            </w:pPr>
            <w:r>
              <w:t>Survey 1</w:t>
            </w:r>
          </w:p>
        </w:tc>
        <w:tc>
          <w:tcPr>
            <w:tcW w:w="1394" w:type="pct"/>
            <w:vAlign w:val="center"/>
          </w:tcPr>
          <w:p w:rsidR="004F6096" w:rsidRPr="00D94F41" w:rsidP="001C1985" w14:paraId="7D501A02" w14:textId="42BEAE37">
            <w:pPr>
              <w:pStyle w:val="TableParagraph"/>
              <w:spacing w:before="40" w:after="40"/>
            </w:pPr>
            <w:r w:rsidRPr="00D94F41">
              <w:t>Residence History (RH)</w:t>
            </w:r>
          </w:p>
        </w:tc>
        <w:tc>
          <w:tcPr>
            <w:tcW w:w="514" w:type="pct"/>
            <w:vAlign w:val="center"/>
          </w:tcPr>
          <w:p w:rsidR="004F6096" w:rsidRPr="00D94F41" w:rsidP="001C1985" w14:paraId="65C959B3" w14:textId="55B049D7">
            <w:pPr>
              <w:pStyle w:val="TableParagraph"/>
              <w:spacing w:before="40" w:after="40"/>
            </w:pPr>
            <w:r w:rsidRPr="00D94F41">
              <w:t xml:space="preserve">Core </w:t>
            </w:r>
          </w:p>
        </w:tc>
        <w:tc>
          <w:tcPr>
            <w:tcW w:w="1024" w:type="pct"/>
            <w:vAlign w:val="center"/>
          </w:tcPr>
          <w:p w:rsidR="004F6096" w:rsidRPr="00D94F41" w:rsidP="001C1985" w14:paraId="0502CBBF" w14:textId="2644E56D">
            <w:pPr>
              <w:pStyle w:val="TableParagraph"/>
              <w:spacing w:before="40" w:after="40"/>
            </w:pPr>
            <w:r w:rsidRPr="00614CA9">
              <w:t xml:space="preserve">All (Round </w:t>
            </w:r>
            <w:r>
              <w:t>107-115</w:t>
            </w:r>
            <w:r w:rsidRPr="00614CA9">
              <w:t>)</w:t>
            </w:r>
          </w:p>
        </w:tc>
        <w:tc>
          <w:tcPr>
            <w:tcW w:w="675" w:type="pct"/>
            <w:vAlign w:val="center"/>
          </w:tcPr>
          <w:p w:rsidR="004F6096" w:rsidRPr="00D94F41" w:rsidP="001C1985" w14:paraId="574F0C2B" w14:textId="77777777">
            <w:pPr>
              <w:pStyle w:val="TableParagraph"/>
              <w:spacing w:before="40" w:after="40"/>
            </w:pPr>
            <w:r w:rsidRPr="00D94F41">
              <w:t>Both</w:t>
            </w:r>
          </w:p>
        </w:tc>
      </w:tr>
      <w:tr w14:paraId="0587EDCB" w14:textId="77777777" w:rsidTr="009C1AB2">
        <w:tblPrEx>
          <w:tblW w:w="5000" w:type="pct"/>
          <w:tblLook w:val="01E0"/>
        </w:tblPrEx>
        <w:trPr>
          <w:cantSplit/>
        </w:trPr>
        <w:tc>
          <w:tcPr>
            <w:tcW w:w="1394" w:type="pct"/>
            <w:vAlign w:val="center"/>
          </w:tcPr>
          <w:p w:rsidR="004F6096" w:rsidRPr="00D94F41" w:rsidP="001C1985" w14:paraId="37ADD7C1" w14:textId="77AB49C2">
            <w:pPr>
              <w:pStyle w:val="TableParagraph"/>
              <w:spacing w:before="40" w:after="40"/>
            </w:pPr>
            <w:r>
              <w:t>Survey 1</w:t>
            </w:r>
          </w:p>
        </w:tc>
        <w:tc>
          <w:tcPr>
            <w:tcW w:w="1394" w:type="pct"/>
            <w:vAlign w:val="center"/>
          </w:tcPr>
          <w:p w:rsidR="004F6096" w:rsidRPr="00D94F41" w:rsidP="001C1985" w14:paraId="2B154CB4" w14:textId="30152EB6">
            <w:pPr>
              <w:pStyle w:val="TableParagraph"/>
              <w:spacing w:before="40" w:after="40"/>
            </w:pPr>
            <w:r w:rsidRPr="00D94F41">
              <w:t>Background Questionnaire (BQ)</w:t>
            </w:r>
          </w:p>
        </w:tc>
        <w:tc>
          <w:tcPr>
            <w:tcW w:w="514" w:type="pct"/>
            <w:vAlign w:val="center"/>
          </w:tcPr>
          <w:p w:rsidR="004F6096" w:rsidRPr="00D94F41" w:rsidP="001C1985" w14:paraId="57EAF0CA" w14:textId="7764DA71">
            <w:pPr>
              <w:pStyle w:val="TableParagraph"/>
              <w:spacing w:before="40" w:after="40"/>
            </w:pPr>
            <w:r w:rsidRPr="00D94F41">
              <w:t xml:space="preserve">Core </w:t>
            </w:r>
          </w:p>
        </w:tc>
        <w:tc>
          <w:tcPr>
            <w:tcW w:w="1024" w:type="pct"/>
            <w:vAlign w:val="center"/>
          </w:tcPr>
          <w:p w:rsidR="004F6096" w:rsidRPr="00D94F41" w:rsidP="001C1985" w14:paraId="6B2C6D81" w14:textId="2458F231">
            <w:pPr>
              <w:pStyle w:val="TableParagraph"/>
              <w:spacing w:before="40" w:after="40"/>
            </w:pPr>
            <w:r>
              <w:t>Fall (Rounds 109, 112, 115)</w:t>
            </w:r>
          </w:p>
        </w:tc>
        <w:tc>
          <w:tcPr>
            <w:tcW w:w="675" w:type="pct"/>
            <w:vAlign w:val="center"/>
          </w:tcPr>
          <w:p w:rsidR="004F6096" w:rsidRPr="00D94F41" w:rsidP="001C1985" w14:paraId="2271DF15" w14:textId="77777777">
            <w:pPr>
              <w:pStyle w:val="TableParagraph"/>
              <w:spacing w:before="40" w:after="40"/>
            </w:pPr>
            <w:r w:rsidRPr="00D94F41">
              <w:t>Baseline</w:t>
            </w:r>
          </w:p>
        </w:tc>
      </w:tr>
      <w:tr w14:paraId="02F468D4" w14:textId="77777777" w:rsidTr="009C1AB2">
        <w:tblPrEx>
          <w:tblW w:w="5000" w:type="pct"/>
          <w:tblLook w:val="01E0"/>
        </w:tblPrEx>
        <w:trPr>
          <w:cantSplit/>
        </w:trPr>
        <w:tc>
          <w:tcPr>
            <w:tcW w:w="1394" w:type="pct"/>
            <w:vAlign w:val="center"/>
          </w:tcPr>
          <w:p w:rsidR="004F6096" w:rsidRPr="00D94F41" w:rsidP="001C1985" w14:paraId="5689BF92" w14:textId="0BFFAF53">
            <w:pPr>
              <w:pStyle w:val="TableParagraph"/>
              <w:spacing w:before="40" w:after="40"/>
            </w:pPr>
            <w:r>
              <w:t>Survey 2</w:t>
            </w:r>
          </w:p>
        </w:tc>
        <w:tc>
          <w:tcPr>
            <w:tcW w:w="1394" w:type="pct"/>
            <w:vAlign w:val="center"/>
          </w:tcPr>
          <w:p w:rsidR="004F6096" w:rsidRPr="00D94F41" w:rsidP="001C1985" w14:paraId="4ABA2AF6" w14:textId="5FD05640">
            <w:pPr>
              <w:pStyle w:val="TableParagraph"/>
              <w:spacing w:before="40" w:after="40"/>
            </w:pPr>
            <w:r w:rsidRPr="00D94F41">
              <w:t>Health Insurance (IN)</w:t>
            </w:r>
          </w:p>
        </w:tc>
        <w:tc>
          <w:tcPr>
            <w:tcW w:w="514" w:type="pct"/>
            <w:vAlign w:val="center"/>
          </w:tcPr>
          <w:p w:rsidR="004F6096" w:rsidRPr="00D94F41" w:rsidP="001C1985" w14:paraId="6CC63AF1" w14:textId="60BE0D95">
            <w:pPr>
              <w:pStyle w:val="TableParagraph"/>
              <w:spacing w:before="40" w:after="40"/>
            </w:pPr>
            <w:r w:rsidRPr="00D94F41">
              <w:t>Core</w:t>
            </w:r>
          </w:p>
        </w:tc>
        <w:tc>
          <w:tcPr>
            <w:tcW w:w="1024" w:type="pct"/>
            <w:vAlign w:val="center"/>
          </w:tcPr>
          <w:p w:rsidR="004F6096" w:rsidRPr="00D94F41" w:rsidP="001C1985" w14:paraId="630EEB45" w14:textId="21748B3D">
            <w:pPr>
              <w:pStyle w:val="TableParagraph"/>
              <w:spacing w:before="40" w:after="40"/>
            </w:pPr>
            <w:r>
              <w:t>Fall (Rounds 109, 112, 115)</w:t>
            </w:r>
          </w:p>
        </w:tc>
        <w:tc>
          <w:tcPr>
            <w:tcW w:w="675" w:type="pct"/>
            <w:vAlign w:val="center"/>
          </w:tcPr>
          <w:p w:rsidR="004F6096" w:rsidRPr="00D94F41" w:rsidP="001C1985" w14:paraId="4E648FFB" w14:textId="77777777">
            <w:pPr>
              <w:pStyle w:val="TableParagraph"/>
              <w:spacing w:before="40" w:after="40"/>
            </w:pPr>
            <w:r w:rsidRPr="00D94F41">
              <w:t>Both</w:t>
            </w:r>
          </w:p>
        </w:tc>
      </w:tr>
      <w:tr w14:paraId="42D050B2" w14:textId="77777777" w:rsidTr="009C1AB2">
        <w:tblPrEx>
          <w:tblW w:w="5000" w:type="pct"/>
          <w:tblLook w:val="01E0"/>
        </w:tblPrEx>
        <w:trPr>
          <w:cantSplit/>
        </w:trPr>
        <w:tc>
          <w:tcPr>
            <w:tcW w:w="1394" w:type="pct"/>
            <w:vAlign w:val="center"/>
          </w:tcPr>
          <w:p w:rsidR="00D23CA9" w:rsidRPr="00D94F41" w:rsidP="00D23CA9" w14:paraId="3BA1865D" w14:textId="1F4FA429">
            <w:pPr>
              <w:pStyle w:val="TableParagraph"/>
              <w:keepNext/>
              <w:spacing w:before="40" w:after="40"/>
            </w:pPr>
            <w:r>
              <w:t>Survey 2</w:t>
            </w:r>
          </w:p>
        </w:tc>
        <w:tc>
          <w:tcPr>
            <w:tcW w:w="1394" w:type="pct"/>
            <w:vAlign w:val="center"/>
          </w:tcPr>
          <w:p w:rsidR="00D23CA9" w:rsidRPr="00D94F41" w:rsidP="00D23CA9" w14:paraId="3EAC7886" w14:textId="7FDF4F83">
            <w:pPr>
              <w:pStyle w:val="TableParagraph"/>
              <w:keepNext/>
              <w:spacing w:before="40" w:after="40"/>
            </w:pPr>
            <w:r>
              <w:t>Expenditures (EX)</w:t>
            </w:r>
          </w:p>
        </w:tc>
        <w:tc>
          <w:tcPr>
            <w:tcW w:w="514" w:type="pct"/>
            <w:vAlign w:val="center"/>
          </w:tcPr>
          <w:p w:rsidR="00D23CA9" w:rsidRPr="00D94F41" w:rsidP="00D23CA9" w14:paraId="7998853E" w14:textId="34FA50D2">
            <w:pPr>
              <w:pStyle w:val="TableParagraph"/>
              <w:keepNext/>
              <w:spacing w:before="40" w:after="40"/>
            </w:pPr>
            <w:r>
              <w:t xml:space="preserve">Core </w:t>
            </w:r>
          </w:p>
        </w:tc>
        <w:tc>
          <w:tcPr>
            <w:tcW w:w="1024" w:type="pct"/>
            <w:vAlign w:val="center"/>
          </w:tcPr>
          <w:p w:rsidR="00D23CA9" w:rsidRPr="004D4FBE" w:rsidP="00D23CA9" w14:paraId="6B3C902F" w14:textId="01FB686D">
            <w:pPr>
              <w:pStyle w:val="TableParagraph"/>
              <w:keepNext/>
              <w:spacing w:before="40" w:after="40"/>
            </w:pPr>
            <w:r>
              <w:t>All (Round 107-115)</w:t>
            </w:r>
          </w:p>
        </w:tc>
        <w:tc>
          <w:tcPr>
            <w:tcW w:w="675" w:type="pct"/>
            <w:vAlign w:val="center"/>
          </w:tcPr>
          <w:p w:rsidR="00D23CA9" w:rsidRPr="00D94F41" w:rsidP="00D23CA9" w14:paraId="0D74543D" w14:textId="24E1D2CC">
            <w:pPr>
              <w:pStyle w:val="TableParagraph"/>
              <w:keepNext/>
              <w:spacing w:before="40" w:after="40"/>
            </w:pPr>
            <w:r>
              <w:t>Continuing</w:t>
            </w:r>
          </w:p>
        </w:tc>
      </w:tr>
      <w:tr w14:paraId="4DAC4A10" w14:textId="77777777" w:rsidTr="009C1AB2">
        <w:tblPrEx>
          <w:tblW w:w="5000" w:type="pct"/>
          <w:tblLook w:val="01E0"/>
        </w:tblPrEx>
        <w:trPr>
          <w:cantSplit/>
        </w:trPr>
        <w:tc>
          <w:tcPr>
            <w:tcW w:w="1394" w:type="pct"/>
            <w:vAlign w:val="center"/>
          </w:tcPr>
          <w:p w:rsidR="004F6096" w:rsidRPr="00D94F41" w:rsidP="001C1985" w14:paraId="74CA7686" w14:textId="1F5D43AA">
            <w:pPr>
              <w:pStyle w:val="TableParagraph"/>
              <w:keepNext/>
              <w:spacing w:before="40" w:after="40"/>
            </w:pPr>
            <w:r>
              <w:t>Survey 3</w:t>
            </w:r>
          </w:p>
        </w:tc>
        <w:tc>
          <w:tcPr>
            <w:tcW w:w="1394" w:type="pct"/>
            <w:vAlign w:val="center"/>
          </w:tcPr>
          <w:p w:rsidR="004F6096" w:rsidRPr="00D94F41" w:rsidP="001C1985" w14:paraId="75663BEB" w14:textId="51318BBB">
            <w:pPr>
              <w:pStyle w:val="TableParagraph"/>
              <w:keepNext/>
              <w:spacing w:before="40" w:after="40"/>
            </w:pPr>
            <w:r w:rsidRPr="00D94F41">
              <w:t>Use of Health Services (US)</w:t>
            </w:r>
          </w:p>
        </w:tc>
        <w:tc>
          <w:tcPr>
            <w:tcW w:w="514" w:type="pct"/>
            <w:vAlign w:val="center"/>
          </w:tcPr>
          <w:p w:rsidR="004F6096" w:rsidRPr="00D94F41" w:rsidP="001C1985" w14:paraId="4CDBCFD3" w14:textId="6F591F34">
            <w:pPr>
              <w:pStyle w:val="TableParagraph"/>
              <w:keepNext/>
              <w:spacing w:before="40" w:after="40"/>
            </w:pPr>
            <w:r w:rsidRPr="00D94F41">
              <w:t>Core</w:t>
            </w:r>
          </w:p>
        </w:tc>
        <w:tc>
          <w:tcPr>
            <w:tcW w:w="1024" w:type="pct"/>
            <w:vAlign w:val="center"/>
          </w:tcPr>
          <w:p w:rsidR="004F6096" w:rsidRPr="00D94F41" w:rsidP="001C1985" w14:paraId="6E159B56" w14:textId="7582C6AA">
            <w:pPr>
              <w:pStyle w:val="TableParagraph"/>
              <w:keepNext/>
              <w:spacing w:before="40" w:after="40"/>
            </w:pPr>
            <w:r w:rsidRPr="004D4FBE">
              <w:t>All (Round 10</w:t>
            </w:r>
            <w:r>
              <w:t>7-115</w:t>
            </w:r>
            <w:r w:rsidRPr="004D4FBE">
              <w:t>)</w:t>
            </w:r>
          </w:p>
        </w:tc>
        <w:tc>
          <w:tcPr>
            <w:tcW w:w="675" w:type="pct"/>
            <w:vAlign w:val="center"/>
          </w:tcPr>
          <w:p w:rsidR="004F6096" w:rsidRPr="00D94F41" w:rsidP="001C1985" w14:paraId="4DF5117A" w14:textId="77777777">
            <w:pPr>
              <w:pStyle w:val="TableParagraph"/>
              <w:keepNext/>
              <w:spacing w:before="40" w:after="40"/>
            </w:pPr>
            <w:r w:rsidRPr="00D94F41">
              <w:t>Continuing</w:t>
            </w:r>
          </w:p>
        </w:tc>
      </w:tr>
      <w:tr w14:paraId="0A53EEBE" w14:textId="77777777" w:rsidTr="009C1AB2">
        <w:tblPrEx>
          <w:tblW w:w="5000" w:type="pct"/>
          <w:tblLook w:val="01E0"/>
        </w:tblPrEx>
        <w:trPr>
          <w:cantSplit/>
        </w:trPr>
        <w:tc>
          <w:tcPr>
            <w:tcW w:w="1394" w:type="pct"/>
            <w:vAlign w:val="center"/>
          </w:tcPr>
          <w:p w:rsidR="004F6096" w:rsidRPr="00D94F41" w:rsidP="001C1985" w14:paraId="343D9CF6" w14:textId="1248D52B">
            <w:pPr>
              <w:pStyle w:val="TableParagraph"/>
              <w:spacing w:before="40" w:after="40"/>
            </w:pPr>
            <w:r>
              <w:t>Survey 3</w:t>
            </w:r>
          </w:p>
        </w:tc>
        <w:tc>
          <w:tcPr>
            <w:tcW w:w="1394" w:type="pct"/>
            <w:vAlign w:val="center"/>
          </w:tcPr>
          <w:p w:rsidR="004F6096" w:rsidRPr="00D94F41" w:rsidP="001C1985" w14:paraId="4BB79453" w14:textId="35987141">
            <w:pPr>
              <w:pStyle w:val="TableParagraph"/>
              <w:spacing w:before="40" w:after="40"/>
            </w:pPr>
            <w:r w:rsidRPr="00D94F41">
              <w:t>Health Status (HS)</w:t>
            </w:r>
          </w:p>
        </w:tc>
        <w:tc>
          <w:tcPr>
            <w:tcW w:w="514" w:type="pct"/>
            <w:vAlign w:val="center"/>
          </w:tcPr>
          <w:p w:rsidR="004F6096" w:rsidRPr="00D94F41" w:rsidP="001C1985" w14:paraId="702AD54C" w14:textId="534CBA73">
            <w:pPr>
              <w:pStyle w:val="TableParagraph"/>
              <w:spacing w:before="40" w:after="40"/>
            </w:pPr>
            <w:r w:rsidRPr="00D94F41">
              <w:t>Core</w:t>
            </w:r>
          </w:p>
        </w:tc>
        <w:tc>
          <w:tcPr>
            <w:tcW w:w="1024" w:type="pct"/>
            <w:vAlign w:val="center"/>
          </w:tcPr>
          <w:p w:rsidR="004F6096" w:rsidRPr="00D94F41" w:rsidP="001C1985" w14:paraId="5CC208E5" w14:textId="7CF8A910">
            <w:pPr>
              <w:pStyle w:val="TableParagraph"/>
              <w:spacing w:before="40" w:after="40"/>
            </w:pPr>
            <w:r>
              <w:t>Fall (Rounds 109, 112, 115)</w:t>
            </w:r>
          </w:p>
        </w:tc>
        <w:tc>
          <w:tcPr>
            <w:tcW w:w="675" w:type="pct"/>
            <w:vAlign w:val="center"/>
          </w:tcPr>
          <w:p w:rsidR="004F6096" w:rsidRPr="00D94F41" w:rsidP="001C1985" w14:paraId="1ADC23BE" w14:textId="77777777">
            <w:pPr>
              <w:pStyle w:val="TableParagraph"/>
              <w:spacing w:before="40" w:after="40"/>
            </w:pPr>
            <w:r w:rsidRPr="00D94F41">
              <w:t>Both</w:t>
            </w:r>
          </w:p>
        </w:tc>
      </w:tr>
    </w:tbl>
    <w:p w:rsidR="002E73B3" w:rsidRPr="00D94F41" w:rsidP="00FB25F1" w14:paraId="0DAC8E29" w14:textId="468F18C9">
      <w:pPr>
        <w:pStyle w:val="BodyText"/>
        <w:spacing w:before="240"/>
      </w:pPr>
      <w:r w:rsidRPr="00D94F41">
        <w:t xml:space="preserve">The revision </w:t>
      </w:r>
      <w:r w:rsidRPr="00D94F41">
        <w:t>to</w:t>
      </w:r>
      <w:r w:rsidRPr="00D94F41">
        <w:t xml:space="preserve"> this OMB package includes the following content changes to the Community</w:t>
      </w:r>
      <w:r w:rsidR="00D926C8">
        <w:t xml:space="preserve"> </w:t>
      </w:r>
      <w:r w:rsidR="00845A99">
        <w:t xml:space="preserve">and Facility instruments. </w:t>
      </w:r>
    </w:p>
    <w:p w:rsidR="0088452B" w:rsidP="00224949" w14:paraId="2A0E78DE" w14:textId="62D061BF">
      <w:pPr>
        <w:pStyle w:val="Heading5"/>
        <w:rPr>
          <w:sz w:val="24"/>
          <w:szCs w:val="24"/>
        </w:rPr>
      </w:pPr>
      <w:r w:rsidRPr="00125D35">
        <w:rPr>
          <w:sz w:val="24"/>
          <w:szCs w:val="24"/>
        </w:rPr>
        <w:t xml:space="preserve">Summary of instrument changes beginning in </w:t>
      </w:r>
      <w:r w:rsidR="0063767F">
        <w:rPr>
          <w:sz w:val="24"/>
          <w:szCs w:val="24"/>
        </w:rPr>
        <w:t>Winter 2027</w:t>
      </w:r>
      <w:r w:rsidRPr="00125D35" w:rsidR="001E70F1">
        <w:rPr>
          <w:sz w:val="24"/>
          <w:szCs w:val="24"/>
        </w:rPr>
        <w:t xml:space="preserve"> Round 10</w:t>
      </w:r>
      <w:r w:rsidR="0063767F">
        <w:rPr>
          <w:sz w:val="24"/>
          <w:szCs w:val="24"/>
        </w:rPr>
        <w:t>7</w:t>
      </w:r>
      <w:r w:rsidRPr="00125D35">
        <w:rPr>
          <w:sz w:val="24"/>
          <w:szCs w:val="24"/>
        </w:rPr>
        <w:t xml:space="preserve"> through </w:t>
      </w:r>
      <w:r w:rsidR="0063767F">
        <w:rPr>
          <w:sz w:val="24"/>
          <w:szCs w:val="24"/>
        </w:rPr>
        <w:t>Fall</w:t>
      </w:r>
      <w:r w:rsidRPr="00125D35" w:rsidR="0063767F">
        <w:rPr>
          <w:sz w:val="24"/>
          <w:szCs w:val="24"/>
        </w:rPr>
        <w:t xml:space="preserve"> </w:t>
      </w:r>
      <w:r w:rsidRPr="00125D35" w:rsidR="001E70F1">
        <w:rPr>
          <w:sz w:val="24"/>
          <w:szCs w:val="24"/>
        </w:rPr>
        <w:t>2029 Round 11</w:t>
      </w:r>
      <w:r w:rsidR="0063767F">
        <w:rPr>
          <w:sz w:val="24"/>
          <w:szCs w:val="24"/>
        </w:rPr>
        <w:t>5</w:t>
      </w:r>
      <w:r w:rsidRPr="00125D35" w:rsidR="00D926C8">
        <w:rPr>
          <w:sz w:val="24"/>
          <w:szCs w:val="24"/>
        </w:rPr>
        <w:t>:</w:t>
      </w:r>
    </w:p>
    <w:p w:rsidR="00A91628" w:rsidP="00856411" w14:paraId="638D1F7D" w14:textId="65305C98">
      <w:pPr>
        <w:pStyle w:val="ListBullet2"/>
        <w:numPr>
          <w:ilvl w:val="0"/>
          <w:numId w:val="0"/>
        </w:numPr>
      </w:pPr>
      <w:r>
        <w:t xml:space="preserve">Deletions and revisions in the Community </w:t>
      </w:r>
      <w:r w:rsidR="004C5DEF">
        <w:t>q</w:t>
      </w:r>
      <w:r>
        <w:t>uestionnaire include:</w:t>
      </w:r>
    </w:p>
    <w:p w:rsidR="00E24A78" w:rsidRPr="00856B3F" w:rsidP="00ED5625" w14:paraId="5BA87C5A" w14:textId="7B9378C5">
      <w:pPr>
        <w:pStyle w:val="ListBullet2"/>
      </w:pPr>
      <w:r w:rsidRPr="00856B3F">
        <w:t xml:space="preserve">Removing the Access to Care Questionnaire (ACQ), consisting of 32 items, </w:t>
      </w:r>
      <w:r w:rsidRPr="00856B3F" w:rsidR="000E3E31">
        <w:t>to reduce respondent burden</w:t>
      </w:r>
      <w:r w:rsidRPr="00856B3F">
        <w:t xml:space="preserve">. Seven ACQ items will be retained and migrated to the revised Care Coordination Questionnaire (CCQ).  </w:t>
      </w:r>
    </w:p>
    <w:p w:rsidR="00E24A78" w:rsidRPr="00856B3F" w:rsidP="00ED5625" w14:paraId="286D4F9C" w14:textId="77777777">
      <w:pPr>
        <w:pStyle w:val="ListBullet2"/>
      </w:pPr>
      <w:r w:rsidRPr="00856B3F">
        <w:t>Removing seven items about the cost of vaccines from the Immunization Questionnaire (IMQ) to reduce respondent burden.</w:t>
      </w:r>
    </w:p>
    <w:p w:rsidR="00E24A78" w:rsidRPr="00856B3F" w:rsidP="00ED5625" w14:paraId="1E7ED101" w14:textId="77777777">
      <w:pPr>
        <w:pStyle w:val="ListBullet2"/>
      </w:pPr>
      <w:r w:rsidRPr="00856B3F">
        <w:t xml:space="preserve">Streamlining the collection of awareness of the right to file an appeal with Medicare in the Beneficiary Knowledge and Information Needs Questionnaire (KNQ) to reduce respondent burden.  </w:t>
      </w:r>
    </w:p>
    <w:p w:rsidR="001A0CF5" w:rsidP="001A0CF5" w14:paraId="6004278D" w14:textId="77777777">
      <w:pPr>
        <w:pStyle w:val="ListBullet2"/>
      </w:pPr>
      <w:r w:rsidRPr="00856B3F">
        <w:t xml:space="preserve">Streamlining the collection of knowledge and use of the Low-Income Subsidy (LIS) and Medicare Savings Program (MSP) in the Income and Assets Questionnaire (IAQ) to reduce respondent burden. </w:t>
      </w:r>
    </w:p>
    <w:p w:rsidR="00DE7CD6" w:rsidRPr="00856B3F" w:rsidP="001A0CF5" w14:paraId="666B72FE" w14:textId="4637A6BB">
      <w:pPr>
        <w:pStyle w:val="ListBullet2"/>
      </w:pPr>
      <w:r w:rsidRPr="00DE7CD6">
        <w:t>Revising thirteen items on prescription drug purchasing behavior in the Drug Coverage Questionnaire (RXQ)</w:t>
      </w:r>
      <w:r>
        <w:t xml:space="preserve"> to align with survey best practices. </w:t>
      </w:r>
    </w:p>
    <w:p w:rsidR="00E24A78" w:rsidRPr="00856B3F" w:rsidP="00ED5625" w14:paraId="5228A3B0" w14:textId="77777777">
      <w:pPr>
        <w:pStyle w:val="ListBullet2"/>
      </w:pPr>
      <w:r w:rsidRPr="00856B3F">
        <w:t xml:space="preserve">Removing two items about religious affiliation from the Demographics and Income Questionnaire (DIQ) to reduce respondent burden. </w:t>
      </w:r>
    </w:p>
    <w:p w:rsidR="00E24A78" w:rsidRPr="00856B3F" w:rsidP="00ED5625" w14:paraId="394694E8" w14:textId="0075F30B">
      <w:pPr>
        <w:pStyle w:val="ListBullet2"/>
      </w:pPr>
      <w:r w:rsidRPr="00856B3F">
        <w:t xml:space="preserve">Removing two items about household composition from the Enumeration Summary section (ENS). </w:t>
      </w:r>
    </w:p>
    <w:p w:rsidR="00E24A78" w:rsidRPr="00856B3F" w:rsidP="00ED5625" w14:paraId="0E01DB9D" w14:textId="3D0CDF8A">
      <w:pPr>
        <w:pStyle w:val="ListBullet2"/>
      </w:pPr>
      <w:r w:rsidRPr="00856B3F">
        <w:t xml:space="preserve">Removing </w:t>
      </w:r>
      <w:r w:rsidRPr="00856B3F" w:rsidR="000E3E31">
        <w:t>24</w:t>
      </w:r>
      <w:r w:rsidRPr="00856B3F">
        <w:t xml:space="preserve"> items from the HFQ to reduce respondent burden including </w:t>
      </w:r>
      <w:r w:rsidRPr="00856B3F" w:rsidR="000E3E31">
        <w:t>17</w:t>
      </w:r>
      <w:r w:rsidRPr="00856B3F">
        <w:t xml:space="preserve"> detailed follow-up items about diabetes management and </w:t>
      </w:r>
      <w:r w:rsidRPr="00856B3F" w:rsidR="000E3E31">
        <w:t>7</w:t>
      </w:r>
      <w:r w:rsidRPr="00856B3F">
        <w:t xml:space="preserve"> items about hypertension, urinary incontinence, and bowel incontinence. </w:t>
      </w:r>
    </w:p>
    <w:p w:rsidR="00E24A78" w:rsidRPr="00856B3F" w:rsidP="00ED5625" w14:paraId="0584AFE9" w14:textId="77777777">
      <w:pPr>
        <w:pStyle w:val="ListBullet2"/>
      </w:pPr>
      <w:r w:rsidRPr="00856B3F">
        <w:t xml:space="preserve">Streamlining the collection of healthcare screening information in the Preventive Care Questionnaire (PVQ) to reduce respondent burden and align with healthcare screening guidelines. </w:t>
      </w:r>
    </w:p>
    <w:p w:rsidR="00E24A78" w:rsidRPr="00856B3F" w:rsidP="00ED5625" w14:paraId="02ADA4C3" w14:textId="4B5F4185">
      <w:pPr>
        <w:pStyle w:val="ListBullet2"/>
      </w:pPr>
      <w:r w:rsidRPr="00856B3F">
        <w:t>Removing four items about satisfaction with health</w:t>
      </w:r>
      <w:r w:rsidRPr="00856B3F" w:rsidR="00BB7B7A">
        <w:t xml:space="preserve"> </w:t>
      </w:r>
      <w:r w:rsidRPr="00856B3F">
        <w:t xml:space="preserve">care services from the Satisfaction with Care Questionnaire (SCQ) to reduce respondent burden. </w:t>
      </w:r>
    </w:p>
    <w:p w:rsidR="00A91628" w:rsidP="00A91628" w14:paraId="12FE960B" w14:textId="109BEB64">
      <w:pPr>
        <w:pStyle w:val="ListBullet2"/>
        <w:numPr>
          <w:ilvl w:val="0"/>
          <w:numId w:val="0"/>
        </w:numPr>
      </w:pPr>
      <w:r w:rsidRPr="00A91628">
        <w:t xml:space="preserve">Deletions and </w:t>
      </w:r>
      <w:r>
        <w:t>r</w:t>
      </w:r>
      <w:r w:rsidRPr="00A91628">
        <w:t xml:space="preserve">evisions in the </w:t>
      </w:r>
      <w:r>
        <w:t xml:space="preserve">Facility </w:t>
      </w:r>
      <w:r w:rsidR="004C5DEF">
        <w:t>i</w:t>
      </w:r>
      <w:r>
        <w:t>nstrument</w:t>
      </w:r>
      <w:r w:rsidRPr="00A91628">
        <w:t xml:space="preserve"> include:</w:t>
      </w:r>
    </w:p>
    <w:p w:rsidR="00A91628" w:rsidRPr="00A91628" w:rsidP="00856411" w14:paraId="3EA5EAC2" w14:textId="77777777">
      <w:pPr>
        <w:pStyle w:val="ListBullet2"/>
        <w:numPr>
          <w:ilvl w:val="1"/>
          <w:numId w:val="23"/>
        </w:numPr>
        <w:ind w:left="360"/>
      </w:pPr>
      <w:r w:rsidRPr="00A91628">
        <w:t>Removing one facility contact item from the Facility Questionnaire (FQ) section.</w:t>
      </w:r>
    </w:p>
    <w:p w:rsidR="00A91628" w:rsidRPr="00A91628" w:rsidP="00856411" w14:paraId="7E2BF608" w14:textId="77777777">
      <w:pPr>
        <w:pStyle w:val="ListBullet2"/>
        <w:numPr>
          <w:ilvl w:val="1"/>
          <w:numId w:val="23"/>
        </w:numPr>
        <w:ind w:left="360"/>
      </w:pPr>
      <w:r w:rsidRPr="00A91628">
        <w:t>Removing three items that collect facility structure and facility contact details from the Residence History (RH) section.</w:t>
      </w:r>
    </w:p>
    <w:p w:rsidR="00A91628" w:rsidRPr="00A91628" w:rsidP="00856411" w14:paraId="778A7DC6" w14:textId="77777777">
      <w:pPr>
        <w:pStyle w:val="ListBullet2"/>
        <w:numPr>
          <w:ilvl w:val="1"/>
          <w:numId w:val="23"/>
        </w:numPr>
        <w:ind w:left="360"/>
      </w:pPr>
      <w:r w:rsidRPr="00A91628">
        <w:t>Removing sixty verification items that appear when a billing, insurance, or payment discrepancy is identified from the Expenditures (EX) section.</w:t>
      </w:r>
    </w:p>
    <w:p w:rsidR="00A91628" w:rsidRPr="00A91628" w:rsidP="00856411" w14:paraId="1708124A" w14:textId="77777777">
      <w:pPr>
        <w:pStyle w:val="ListBullet2"/>
        <w:numPr>
          <w:ilvl w:val="1"/>
          <w:numId w:val="23"/>
        </w:numPr>
        <w:ind w:left="360"/>
      </w:pPr>
      <w:r w:rsidRPr="00A91628">
        <w:t>Removing seventeen items that collect information on general health status, vision, Medicare eligibility, procedures, preventive screenings, and record identification from the Health Status (HS) section.</w:t>
      </w:r>
    </w:p>
    <w:p w:rsidR="00A91628" w:rsidRPr="00A91628" w:rsidP="00856411" w14:paraId="2BB25004" w14:textId="77777777">
      <w:pPr>
        <w:pStyle w:val="ListBullet2"/>
        <w:numPr>
          <w:ilvl w:val="1"/>
          <w:numId w:val="23"/>
        </w:numPr>
        <w:ind w:left="360"/>
      </w:pPr>
      <w:r w:rsidRPr="00A91628">
        <w:t>Revising the Activities of Daily Living (ADLs) and Instrumental Activities of Daily Living (IADLs) series to align with the flow used in the Community questionnaire.</w:t>
      </w:r>
    </w:p>
    <w:p w:rsidR="00A91628" w:rsidP="00662CE0" w14:paraId="6DD3DB02" w14:textId="3153CF94">
      <w:pPr>
        <w:pStyle w:val="ListBullet2"/>
        <w:numPr>
          <w:ilvl w:val="0"/>
          <w:numId w:val="0"/>
        </w:numPr>
      </w:pPr>
      <w:r>
        <w:t>A</w:t>
      </w:r>
      <w:r w:rsidRPr="00A91628">
        <w:t>dditions to the Community questionnaire include:</w:t>
      </w:r>
    </w:p>
    <w:p w:rsidR="00E24A78" w:rsidRPr="00856B3F" w:rsidP="00ED5625" w14:paraId="5BE4E82A" w14:textId="6F6F117B">
      <w:pPr>
        <w:pStyle w:val="ListBullet2"/>
      </w:pPr>
      <w:r w:rsidRPr="00856B3F">
        <w:t xml:space="preserve">Modernizing the Care Coordination Questionnaire (CCQ), formerly referred to as the Usual Source of Care Questionnaire (USQ) to include 15 new items about wait time for appointments, coordination of health care information and services, urgent care clinic visits; 15 new items about trust in health care providers, and 31 new items on pre-authorization of health care services, which are administered conditionally to a subset of respondents. </w:t>
      </w:r>
    </w:p>
    <w:p w:rsidR="00A91628" w:rsidP="00A91628" w14:paraId="2B8E493D" w14:textId="1A4785A2">
      <w:pPr>
        <w:pStyle w:val="ListBullet2"/>
      </w:pPr>
      <w:r>
        <w:t>Adding f</w:t>
      </w:r>
      <w:r w:rsidRPr="00856B3F" w:rsidR="00E24A78">
        <w:t>ive new items about prescription drug discount programs in the Drug Coverage Questionnaire (RXQ).</w:t>
      </w:r>
      <w:r w:rsidR="00E409BA">
        <w:t xml:space="preserve"> </w:t>
      </w:r>
      <w:r>
        <w:t>Adding o</w:t>
      </w:r>
      <w:r w:rsidRPr="00A91628">
        <w:t>ne new item about hypertension management and three new items about nutrition in the Health Status and Functioning Questionnaire (HFQ).</w:t>
      </w:r>
    </w:p>
    <w:p w:rsidR="00A91628" w:rsidRPr="00A91628" w:rsidP="00662CE0" w14:paraId="0213E503" w14:textId="00E266B5">
      <w:pPr>
        <w:pStyle w:val="ListBullet2"/>
        <w:numPr>
          <w:ilvl w:val="0"/>
          <w:numId w:val="0"/>
        </w:numPr>
      </w:pPr>
      <w:r>
        <w:t>B</w:t>
      </w:r>
      <w:r w:rsidRPr="00A91628">
        <w:t>urden neutral operational changes include</w:t>
      </w:r>
      <w:r>
        <w:t>:</w:t>
      </w:r>
    </w:p>
    <w:p w:rsidR="008534F0" w:rsidP="008534F0" w14:paraId="177B7BBF" w14:textId="674A5F3A">
      <w:pPr>
        <w:pStyle w:val="ListBullet2"/>
      </w:pPr>
      <w:r>
        <w:t xml:space="preserve">Implementing a multimode Facility data collection design, including a phone administered Facility screener followed </w:t>
      </w:r>
      <w:r w:rsidRPr="00A91628" w:rsidR="00A91628">
        <w:t>by three survey sections that may be self-administered via web or interviewer-administered via phone</w:t>
      </w:r>
      <w:r>
        <w:t xml:space="preserve">. </w:t>
      </w:r>
    </w:p>
    <w:p w:rsidR="0045352D" w:rsidP="0045352D" w14:paraId="2113A8B3" w14:textId="3D3BBB4E">
      <w:pPr>
        <w:pStyle w:val="ListBullet2"/>
      </w:pPr>
      <w:r>
        <w:t xml:space="preserve">Adding four new items to the suite of existing </w:t>
      </w:r>
      <w:r w:rsidR="00742B53">
        <w:t>F</w:t>
      </w:r>
      <w:r>
        <w:t>acility respondent materials.</w:t>
      </w:r>
    </w:p>
    <w:p w:rsidR="0045352D" w:rsidP="0045352D" w14:paraId="0A29EE70" w14:textId="22747AC7">
      <w:pPr>
        <w:pStyle w:val="ListBullet2"/>
      </w:pPr>
      <w:r>
        <w:t xml:space="preserve">Updating Community </w:t>
      </w:r>
      <w:r w:rsidR="00742B53">
        <w:t xml:space="preserve">respondent </w:t>
      </w:r>
      <w:r>
        <w:t>materials</w:t>
      </w:r>
      <w:r w:rsidR="00742B53">
        <w:t xml:space="preserve">. </w:t>
      </w:r>
    </w:p>
    <w:p w:rsidR="00856B3F" w:rsidRPr="00856B3F" w:rsidP="00ED5625" w14:paraId="79E090C0" w14:textId="2F65E990">
      <w:pPr>
        <w:pStyle w:val="BodyText"/>
        <w:rPr>
          <w:b/>
          <w:bCs/>
        </w:rPr>
      </w:pPr>
      <w:r w:rsidRPr="00856B3F">
        <w:rPr>
          <w:b/>
          <w:bCs/>
        </w:rPr>
        <w:t xml:space="preserve">Removing the Access to Care Questionnaire. </w:t>
      </w:r>
      <w:r w:rsidRPr="00856B3F">
        <w:t xml:space="preserve">In accordance with OMB’s terms of clearance to reduce respondent burden and ensure analytic efficiency, CMS is deleting the Access to Care Questionnaire (ACQ). A total of 32 items from the ACQ will be removed starting in Winter 2027. Seven items from the ACQ will be incorporated into the newly established Coordination of Care Questionnaire (CCQ). These prior ACQ items cover topics that continue to be of relevance to CMS, including emergency department visit wait times and difficulty with obtaining referrals to specialists. </w:t>
      </w:r>
    </w:p>
    <w:p w:rsidR="00856B3F" w:rsidRPr="00856B3F" w:rsidP="00ED5625" w14:paraId="371E2025" w14:textId="1F7D909F">
      <w:pPr>
        <w:pStyle w:val="BodyText"/>
      </w:pPr>
      <w:r w:rsidRPr="00856B3F">
        <w:rPr>
          <w:b/>
          <w:bCs/>
        </w:rPr>
        <w:t xml:space="preserve">Removing items from the Immunization Questionnaire (IMQ). </w:t>
      </w:r>
      <w:r w:rsidRPr="00856B3F">
        <w:t xml:space="preserve">In Winter 2025, immunization collection was expanded to include information about the cost of shingles, pneumonia, respiratory syncytial virus (RSV), and flu vaccines. To reduce respondent burden, seven immunization items from the IMQ related to the cost of vaccines will be removed starting in Winter 2027. </w:t>
      </w:r>
    </w:p>
    <w:p w:rsidR="00856B3F" w:rsidRPr="00856B3F" w:rsidP="00ED5625" w14:paraId="19C3F1CD" w14:textId="2F21EDA4">
      <w:pPr>
        <w:pStyle w:val="BodyText"/>
      </w:pPr>
      <w:r w:rsidRPr="00ED5625">
        <w:rPr>
          <w:b/>
          <w:bCs/>
        </w:rPr>
        <w:t>Streamlining the collection of Medicare program information in the Beneficiary Knowledge and Information Needs Questionnaire (KNQ).</w:t>
      </w:r>
      <w:r w:rsidRPr="00856B3F">
        <w:t xml:space="preserve"> In Winter 2023, one item about beneficiaries’ knowledge about their right to file a complaint or appeal under the Medicare program was added to KNQ. Starting in Winter 2027, the administration schedule of this item will be updated such that it is administered only once per panel, as opposed to annually. </w:t>
      </w:r>
    </w:p>
    <w:p w:rsidR="00856B3F" w:rsidP="00ED5625" w14:paraId="0D200E75" w14:textId="68E9DB7C">
      <w:pPr>
        <w:pStyle w:val="BodyText"/>
      </w:pPr>
      <w:r w:rsidRPr="00856B3F">
        <w:rPr>
          <w:b/>
          <w:bCs/>
        </w:rPr>
        <w:t>Streamlining the collection of Federal assistance program knowledge and awareness from the Income and Assets Questionnaire</w:t>
      </w:r>
      <w:r w:rsidR="001A0CF5">
        <w:rPr>
          <w:b/>
          <w:bCs/>
        </w:rPr>
        <w:t xml:space="preserve"> (IAQ)</w:t>
      </w:r>
      <w:r w:rsidRPr="00856B3F">
        <w:rPr>
          <w:b/>
          <w:bCs/>
        </w:rPr>
        <w:t xml:space="preserve">. </w:t>
      </w:r>
      <w:r w:rsidRPr="00856B3F">
        <w:t xml:space="preserve">In Summer 2025, the redesigned IAQ included a new series about Federal assistance program participation and awareness. Beneficiaries were first asked two items about awareness of the Low-Income Subsidy (LIS) and Medicare Savings Program (MSP) programs; those who responded affirmatively were asked if they participated in the respective program(s). Starting in Summer 2027, this series will be streamlined such that use of the LIS and MSP programs will be administered annually to all beneficiaries but awareness questions about LIS and MSP will only be asked once per panel, instead of annually. </w:t>
      </w:r>
    </w:p>
    <w:p w:rsidR="001A0CF5" w:rsidRPr="00856B3F" w:rsidP="00ED5625" w14:paraId="6A372D37" w14:textId="6E8CC852">
      <w:pPr>
        <w:pStyle w:val="BodyText"/>
        <w:rPr>
          <w:b/>
          <w:bCs/>
        </w:rPr>
      </w:pPr>
      <w:r w:rsidRPr="001A0CF5">
        <w:rPr>
          <w:b/>
          <w:bCs/>
        </w:rPr>
        <w:t xml:space="preserve">Revising thirteen items on prescription drug purchasing behavior in the Drug Coverage Questionnaire (RXQ). </w:t>
      </w:r>
      <w:r w:rsidRPr="00D83CEF">
        <w:t xml:space="preserve">In Summer 2027, the reference period for twelve items on the frequency of certain prescription drug purchasing behaviors will be changed from the current year to the </w:t>
      </w:r>
      <w:r w:rsidRPr="00D83CEF">
        <w:t>past twelve months. The code frame for these items will also be revised from a 3-point scale to a 5-point scale to reflect questionnaire design best practices.</w:t>
      </w:r>
      <w:r>
        <w:rPr>
          <w:vertAlign w:val="superscript"/>
        </w:rPr>
        <w:footnoteReference w:id="12"/>
      </w:r>
      <w:r w:rsidRPr="00D83CEF">
        <w:t xml:space="preserve"> </w:t>
      </w:r>
    </w:p>
    <w:p w:rsidR="00856B3F" w:rsidRPr="00856B3F" w:rsidP="00ED5625" w14:paraId="21D74ED6" w14:textId="37F1A06B">
      <w:pPr>
        <w:pStyle w:val="BodyText"/>
        <w:rPr>
          <w:b/>
          <w:bCs/>
        </w:rPr>
      </w:pPr>
      <w:r w:rsidRPr="00856B3F">
        <w:rPr>
          <w:b/>
          <w:bCs/>
        </w:rPr>
        <w:t xml:space="preserve">Removing two items about religious affiliation from the Demographics and Income Questionnaire (DIQ). </w:t>
      </w:r>
      <w:r w:rsidRPr="00856B3F">
        <w:t xml:space="preserve">CMS introduced two items on religious affiliation in Fall 2023 to expand socio-demographic information collected by </w:t>
      </w:r>
      <w:r w:rsidRPr="00856B3F">
        <w:t>the MCBS</w:t>
      </w:r>
      <w:r w:rsidRPr="00856B3F">
        <w:t xml:space="preserve">. In Fall 2027, the items capturing religious affiliation will be removed to reduce respondent burden. </w:t>
      </w:r>
    </w:p>
    <w:p w:rsidR="00856B3F" w:rsidRPr="00856B3F" w:rsidP="00ED5625" w14:paraId="5BF82149" w14:textId="4BA3FF6A">
      <w:pPr>
        <w:pStyle w:val="BodyText"/>
        <w:rPr>
          <w:b/>
          <w:bCs/>
        </w:rPr>
      </w:pPr>
      <w:r w:rsidRPr="00856B3F">
        <w:rPr>
          <w:b/>
        </w:rPr>
        <w:t>Removing two operational items about household members from the Enumeration Summary (ENS) section.</w:t>
      </w:r>
      <w:r w:rsidRPr="00856B3F">
        <w:rPr>
          <w:b/>
          <w:bCs/>
        </w:rPr>
        <w:t xml:space="preserve"> </w:t>
      </w:r>
      <w:r w:rsidRPr="00856B3F">
        <w:t xml:space="preserve">The ENS section currently captures operational information about household members, including age and employment status, to inform routing logic and text fills for downstream questionnaire sections. To reduce respondent burden, follow-up items on why individuals no longer live in the beneficiary’s household will be removed from the ENS. </w:t>
      </w:r>
    </w:p>
    <w:p w:rsidR="00856B3F" w:rsidP="00ED5625" w14:paraId="2563B04F" w14:textId="77777777">
      <w:pPr>
        <w:pStyle w:val="BodyText"/>
      </w:pPr>
      <w:r w:rsidRPr="00856B3F">
        <w:rPr>
          <w:b/>
        </w:rPr>
        <w:t>Streamlining the Health Status and Functioning Questionnaire (HFQ).</w:t>
      </w:r>
      <w:r w:rsidRPr="00856B3F">
        <w:rPr>
          <w:b/>
          <w:bCs/>
        </w:rPr>
        <w:t xml:space="preserve"> </w:t>
      </w:r>
      <w:r w:rsidRPr="00856B3F">
        <w:t>The HFQ is administered annually during the Fall round Baseline and Continuing interviews and collects important information on the beneficiaries’ general health status, health conditions, ability to perform various physical activities, Instrumental Activities of Daily Living, Activities of Daily Living, and mental health. During a review of this section, CMS identified several items to remove or revise to reduce redundancy and improve the policy relevance of the section. The following changes will be made to the Community questionnaire in Fall 2027:</w:t>
      </w:r>
    </w:p>
    <w:p w:rsidR="00856B3F" w:rsidP="00ED5625" w14:paraId="7B28F90D" w14:textId="50B2E20D">
      <w:pPr>
        <w:pStyle w:val="ListBullet2"/>
      </w:pPr>
      <w:r w:rsidRPr="00856B3F">
        <w:rPr>
          <w:b/>
          <w:bCs/>
          <w:i/>
          <w:iCs/>
        </w:rPr>
        <w:t>Remov</w:t>
      </w:r>
      <w:r w:rsidR="0051329C">
        <w:rPr>
          <w:b/>
          <w:bCs/>
          <w:i/>
          <w:iCs/>
        </w:rPr>
        <w:t>ing</w:t>
      </w:r>
      <w:r w:rsidRPr="00856B3F">
        <w:rPr>
          <w:b/>
          <w:bCs/>
          <w:i/>
          <w:iCs/>
        </w:rPr>
        <w:t xml:space="preserve"> </w:t>
      </w:r>
      <w:r w:rsidRPr="00856B3F">
        <w:rPr>
          <w:b/>
          <w:i/>
        </w:rPr>
        <w:t xml:space="preserve">17, </w:t>
      </w:r>
      <w:r w:rsidRPr="00856B3F">
        <w:rPr>
          <w:b/>
          <w:bCs/>
          <w:i/>
          <w:iCs/>
        </w:rPr>
        <w:t>revis</w:t>
      </w:r>
      <w:r w:rsidR="0051329C">
        <w:rPr>
          <w:b/>
          <w:bCs/>
          <w:i/>
          <w:iCs/>
        </w:rPr>
        <w:t>ing</w:t>
      </w:r>
      <w:r w:rsidRPr="00856B3F">
        <w:rPr>
          <w:b/>
          <w:bCs/>
          <w:i/>
          <w:iCs/>
        </w:rPr>
        <w:t xml:space="preserve"> two, and migrat</w:t>
      </w:r>
      <w:r w:rsidR="0051329C">
        <w:rPr>
          <w:b/>
          <w:bCs/>
          <w:i/>
          <w:iCs/>
        </w:rPr>
        <w:t>ing</w:t>
      </w:r>
      <w:r w:rsidRPr="00856B3F">
        <w:rPr>
          <w:b/>
          <w:bCs/>
          <w:i/>
          <w:iCs/>
        </w:rPr>
        <w:t xml:space="preserve"> one </w:t>
      </w:r>
      <w:r w:rsidRPr="00856B3F">
        <w:rPr>
          <w:b/>
          <w:i/>
        </w:rPr>
        <w:t>detailed follow-up items about diabetes management</w:t>
      </w:r>
      <w:r w:rsidRPr="00856B3F">
        <w:rPr>
          <w:b/>
          <w:bCs/>
          <w:i/>
          <w:iCs/>
        </w:rPr>
        <w:t xml:space="preserve">. </w:t>
      </w:r>
      <w:r w:rsidRPr="00856B3F">
        <w:t xml:space="preserve">The HFQ includes important information about beneficiaries with diabetes, including diabetes type, insulin use, related comorbidities like foot conditions, and diabetes management. To reduce respondent burden, the following changes will be made in Fall 2027:  </w:t>
      </w:r>
    </w:p>
    <w:p w:rsidR="00856B3F" w:rsidP="00587257" w14:paraId="02727C5C" w14:textId="3CD79456">
      <w:pPr>
        <w:pStyle w:val="ListBullet3"/>
      </w:pPr>
      <w:r w:rsidRPr="00856B3F">
        <w:t>Remov</w:t>
      </w:r>
      <w:r w:rsidR="0051329C">
        <w:t>ing</w:t>
      </w:r>
      <w:r w:rsidRPr="00856B3F">
        <w:t xml:space="preserve"> one redundant item on gestational diabetes.</w:t>
      </w:r>
    </w:p>
    <w:p w:rsidR="00856B3F" w:rsidP="00587257" w14:paraId="2A22ECC5" w14:textId="57CFF866">
      <w:pPr>
        <w:pStyle w:val="ListBullet3"/>
      </w:pPr>
      <w:r w:rsidRPr="00856B3F">
        <w:t>Remov</w:t>
      </w:r>
      <w:r w:rsidR="0051329C">
        <w:t>ing</w:t>
      </w:r>
      <w:r w:rsidRPr="00856B3F">
        <w:t xml:space="preserve"> five items on oral diabetes medication. The use of any prescribed oral diabetes medications is already collected in the Prescribed Medicine Utilization Questionnaire (PMQ). As the PMQ captures details such as medication dosage and frequency of use, additional items asking about oral diabetes medication are not needed in the HFQ. Given the redundancy of these items, they will be removed from the questionnaire.</w:t>
      </w:r>
    </w:p>
    <w:p w:rsidR="00856B3F" w:rsidP="00587257" w14:paraId="61E18266" w14:textId="5B0D73D5">
      <w:pPr>
        <w:pStyle w:val="ListBullet3"/>
      </w:pPr>
      <w:r w:rsidRPr="00856B3F">
        <w:t>Revis</w:t>
      </w:r>
      <w:r w:rsidR="0051329C">
        <w:t>ing</w:t>
      </w:r>
      <w:r w:rsidRPr="00856B3F">
        <w:t xml:space="preserve"> one and remov</w:t>
      </w:r>
      <w:r w:rsidR="0051329C">
        <w:t>ing</w:t>
      </w:r>
      <w:r w:rsidRPr="00856B3F">
        <w:t xml:space="preserve"> five items on checking for sores or irritation on the feet. Rather than asking if the beneficiary ever checks for sores, the question text will be revised to ask if the beneficiary checks for sores </w:t>
      </w:r>
      <w:r w:rsidRPr="00856B3F">
        <w:rPr>
          <w:i/>
          <w:iCs/>
        </w:rPr>
        <w:t>every day.</w:t>
      </w:r>
      <w:r w:rsidRPr="00856B3F">
        <w:rPr>
          <w:i/>
        </w:rPr>
        <w:t xml:space="preserve"> </w:t>
      </w:r>
      <w:r w:rsidRPr="00856B3F">
        <w:t xml:space="preserve">With this revision, the follow up items on the frequency of checks will be removed. </w:t>
      </w:r>
    </w:p>
    <w:p w:rsidR="00856B3F" w:rsidP="00587257" w14:paraId="0FD5518E" w14:textId="49E06AB4">
      <w:pPr>
        <w:pStyle w:val="ListBullet3"/>
      </w:pPr>
      <w:r w:rsidRPr="00856B3F">
        <w:t>Migrat</w:t>
      </w:r>
      <w:r w:rsidR="0051329C">
        <w:t>ing</w:t>
      </w:r>
      <w:r w:rsidRPr="00856B3F">
        <w:t xml:space="preserve"> one item on measuring blood pressure. All respondents will now be asked about measuring blood pressure at home in the Preventive Care Questionnaire (PVQ), regardless of whether they have diabetes or other health conditions.</w:t>
      </w:r>
    </w:p>
    <w:p w:rsidR="00856B3F" w:rsidP="00587257" w14:paraId="4339F63E" w14:textId="64E6D89D">
      <w:pPr>
        <w:pStyle w:val="ListBullet3"/>
      </w:pPr>
      <w:r w:rsidRPr="00856B3F">
        <w:t>Remov</w:t>
      </w:r>
      <w:r w:rsidR="0051329C">
        <w:t>ing</w:t>
      </w:r>
      <w:r w:rsidRPr="00856B3F">
        <w:t xml:space="preserve"> one item </w:t>
      </w:r>
      <w:r w:rsidRPr="00856B3F">
        <w:t>on</w:t>
      </w:r>
      <w:r w:rsidRPr="00856B3F">
        <w:t xml:space="preserve"> taking aspirin for diabetes. In 1997, the American Diabetes Association issued guidance that recommended daily low-dose aspirin for diabetic patients, who commonly also experience atherosclerotic cardiovascular disease </w:t>
      </w:r>
      <w:r w:rsidRPr="00856B3F">
        <w:t>(ASCVD).</w:t>
      </w:r>
      <w:r>
        <w:rPr>
          <w:vertAlign w:val="superscript"/>
        </w:rPr>
        <w:footnoteReference w:id="13"/>
      </w:r>
      <w:r w:rsidRPr="00856B3F">
        <w:t xml:space="preserve"> Following 2019 guideline changes related to aspirin use among those with ASCVD</w:t>
      </w:r>
      <w:r>
        <w:rPr>
          <w:vertAlign w:val="superscript"/>
        </w:rPr>
        <w:footnoteReference w:id="14"/>
      </w:r>
      <w:r w:rsidRPr="00856B3F">
        <w:t>, the use of aspirin has decreased, thereby making this item less relevant.</w:t>
      </w:r>
      <w:r>
        <w:rPr>
          <w:vertAlign w:val="superscript"/>
        </w:rPr>
        <w:footnoteReference w:id="15"/>
      </w:r>
      <w:r w:rsidRPr="00856B3F">
        <w:t xml:space="preserve">  </w:t>
      </w:r>
    </w:p>
    <w:p w:rsidR="00856B3F" w:rsidP="00587257" w14:paraId="1018BAC9" w14:textId="71292165">
      <w:pPr>
        <w:pStyle w:val="ListBullet3"/>
      </w:pPr>
      <w:r w:rsidRPr="00856B3F">
        <w:t>Remov</w:t>
      </w:r>
      <w:r w:rsidR="0051329C">
        <w:t>ing</w:t>
      </w:r>
      <w:r w:rsidRPr="00856B3F">
        <w:t xml:space="preserve"> one item on how the beneficiary treated their most serious episode of hypoglycemia due to low response variability. </w:t>
      </w:r>
    </w:p>
    <w:p w:rsidR="00856B3F" w:rsidP="00587257" w14:paraId="4B19FB6D" w14:textId="52DE5905">
      <w:pPr>
        <w:pStyle w:val="ListBullet3"/>
      </w:pPr>
      <w:r w:rsidRPr="00856B3F">
        <w:t>Remov</w:t>
      </w:r>
      <w:r w:rsidR="0051329C">
        <w:t>ing</w:t>
      </w:r>
      <w:r w:rsidRPr="00856B3F">
        <w:t xml:space="preserve"> one item on when the beneficiary attended a diabetes self-management course. As such courses are typically completed once and there are no guidelines for being up to date, this item is not analytically useful.</w:t>
      </w:r>
    </w:p>
    <w:p w:rsidR="00856B3F" w:rsidRPr="00856B3F" w:rsidP="00587257" w14:paraId="025E0296" w14:textId="75199BD0">
      <w:pPr>
        <w:pStyle w:val="ListBullet3"/>
      </w:pPr>
      <w:r w:rsidRPr="00856B3F">
        <w:t>Remov</w:t>
      </w:r>
      <w:r w:rsidR="0051329C">
        <w:t>ing</w:t>
      </w:r>
      <w:r w:rsidRPr="00856B3F">
        <w:t xml:space="preserve"> three and revis</w:t>
      </w:r>
      <w:r w:rsidR="0051329C">
        <w:t>ing</w:t>
      </w:r>
      <w:r w:rsidRPr="00856B3F">
        <w:t xml:space="preserve"> one item on blood tests to diagnose diabetes. Rather than administering items with different reference periods to Baseline and Continuing respondents, the HFQ will ask all respondents who did not report a diabetes diagnosis whether they received a blood test to assess their diabetes risk in the past twelve months. The follow-up item about </w:t>
      </w:r>
      <w:r w:rsidRPr="00856B3F">
        <w:rPr>
          <w:szCs w:val="24"/>
        </w:rPr>
        <w:t xml:space="preserve">knowledge of these tests will also be removed. </w:t>
      </w:r>
    </w:p>
    <w:p w:rsidR="00856B3F" w:rsidP="00587257" w14:paraId="424CCF5D" w14:textId="31E7EB3C">
      <w:pPr>
        <w:pStyle w:val="ListBullet2"/>
      </w:pPr>
      <w:r w:rsidRPr="00856B3F">
        <w:rPr>
          <w:b/>
          <w:i/>
        </w:rPr>
        <w:t>Remov</w:t>
      </w:r>
      <w:r w:rsidR="0051329C">
        <w:rPr>
          <w:b/>
          <w:i/>
        </w:rPr>
        <w:t>ing</w:t>
      </w:r>
      <w:r w:rsidRPr="00856B3F">
        <w:rPr>
          <w:b/>
          <w:i/>
        </w:rPr>
        <w:t xml:space="preserve"> two and revis</w:t>
      </w:r>
      <w:r w:rsidR="0051329C">
        <w:rPr>
          <w:b/>
          <w:i/>
        </w:rPr>
        <w:t>ing</w:t>
      </w:r>
      <w:r w:rsidRPr="00856B3F">
        <w:rPr>
          <w:b/>
          <w:i/>
        </w:rPr>
        <w:t xml:space="preserve"> one item on urinary incontinence.</w:t>
      </w:r>
      <w:r w:rsidRPr="00856B3F">
        <w:rPr>
          <w:b/>
          <w:bCs/>
        </w:rPr>
        <w:t xml:space="preserve"> </w:t>
      </w:r>
      <w:r w:rsidRPr="00856B3F">
        <w:t>Two items on urinary incontinence management will be removed to reduce respondent burden. One item will be revised to ask whether the respondent has been treated with medicine or surgery, rather than whether they have discussed these treatments with a healthcare professional.</w:t>
      </w:r>
    </w:p>
    <w:p w:rsidR="00856B3F" w:rsidP="00587257" w14:paraId="1F213FDA" w14:textId="38CF47D3">
      <w:pPr>
        <w:pStyle w:val="ListBullet2"/>
      </w:pPr>
      <w:r w:rsidRPr="00856B3F">
        <w:rPr>
          <w:b/>
          <w:bCs/>
          <w:i/>
          <w:iCs/>
        </w:rPr>
        <w:t>Remov</w:t>
      </w:r>
      <w:r w:rsidR="0051329C">
        <w:rPr>
          <w:b/>
          <w:bCs/>
          <w:i/>
          <w:iCs/>
        </w:rPr>
        <w:t>ing</w:t>
      </w:r>
      <w:r w:rsidRPr="00856B3F">
        <w:rPr>
          <w:b/>
          <w:bCs/>
          <w:i/>
          <w:iCs/>
        </w:rPr>
        <w:t xml:space="preserve"> four and revis</w:t>
      </w:r>
      <w:r w:rsidR="0051329C">
        <w:rPr>
          <w:b/>
          <w:bCs/>
          <w:i/>
          <w:iCs/>
        </w:rPr>
        <w:t>ing</w:t>
      </w:r>
      <w:r w:rsidRPr="00856B3F">
        <w:rPr>
          <w:b/>
          <w:bCs/>
          <w:i/>
          <w:iCs/>
        </w:rPr>
        <w:t xml:space="preserve"> two items on bowel incontinence. </w:t>
      </w:r>
      <w:r w:rsidRPr="00856B3F">
        <w:t xml:space="preserve">Four items were added to the HFQ in the Fall 2024 questionnaire to capture the prevalence and type of bowel incontinence, including leaking gas, leaking a small amount of stool, leaking a moderate amount of stool, and leaking a large amount of liquid stool. Beginning in Fall 2027, beneficiaries will only be asked how often they have leaked </w:t>
      </w:r>
      <w:r w:rsidRPr="00856B3F">
        <w:t>stool</w:t>
      </w:r>
      <w:r w:rsidRPr="00856B3F">
        <w:t xml:space="preserve"> that required a change of underwear. This change will allow CMS to continue measuring prevalence of bowel incontinence while reducing respondent burden. In addition, one item about bowel incontinence management will be added to align with the revised urinary incontinence series, such that the information provided by the urinary and bowel incontinence series will be standardized. </w:t>
      </w:r>
    </w:p>
    <w:p w:rsidR="00856B3F" w:rsidRPr="00856B3F" w:rsidP="00587257" w14:paraId="5394BBEA" w14:textId="1639D52A">
      <w:pPr>
        <w:pStyle w:val="ListBullet2"/>
      </w:pPr>
      <w:r w:rsidRPr="00856B3F">
        <w:rPr>
          <w:b/>
          <w:bCs/>
          <w:i/>
          <w:iCs/>
        </w:rPr>
        <w:t>Remov</w:t>
      </w:r>
      <w:r w:rsidR="0051329C">
        <w:rPr>
          <w:b/>
          <w:bCs/>
          <w:i/>
          <w:iCs/>
        </w:rPr>
        <w:t>ing</w:t>
      </w:r>
      <w:r w:rsidRPr="00856B3F">
        <w:rPr>
          <w:b/>
          <w:bCs/>
          <w:i/>
          <w:iCs/>
        </w:rPr>
        <w:t xml:space="preserve"> one, revis</w:t>
      </w:r>
      <w:r w:rsidR="0051329C">
        <w:rPr>
          <w:b/>
          <w:bCs/>
          <w:i/>
          <w:iCs/>
        </w:rPr>
        <w:t>ing</w:t>
      </w:r>
      <w:r w:rsidRPr="00856B3F">
        <w:rPr>
          <w:b/>
          <w:bCs/>
          <w:i/>
          <w:iCs/>
        </w:rPr>
        <w:t xml:space="preserve"> one, and migrat</w:t>
      </w:r>
      <w:r w:rsidR="0051329C">
        <w:rPr>
          <w:b/>
          <w:bCs/>
          <w:i/>
          <w:iCs/>
        </w:rPr>
        <w:t>ing</w:t>
      </w:r>
      <w:r w:rsidRPr="00856B3F">
        <w:rPr>
          <w:b/>
          <w:bCs/>
          <w:i/>
          <w:iCs/>
        </w:rPr>
        <w:t xml:space="preserve"> one item on hypertension management. </w:t>
      </w:r>
      <w:r w:rsidRPr="00856B3F">
        <w:t>To reduce redundancy and streamline the HFQ, the item asking whether the respondent was told they had high blood pressure on two or more medical visits will be removed. As a result of this removal, introductory text for the hypertension series will be moved to the new first item in the series. Finally, the item about measuring blood pressure at home will be migrated to PVQ and asked of all respondents, regardless of whether they have diabetes or other health conditions.</w:t>
      </w:r>
    </w:p>
    <w:p w:rsidR="00856B3F" w:rsidP="00587257" w14:paraId="76850B4B" w14:textId="77777777">
      <w:pPr>
        <w:pStyle w:val="BodyText"/>
      </w:pPr>
      <w:r w:rsidRPr="00856B3F">
        <w:rPr>
          <w:b/>
        </w:rPr>
        <w:t>Streamlining the collection of health care screening information in the Preventive Care</w:t>
      </w:r>
      <w:r>
        <w:rPr>
          <w:b/>
        </w:rPr>
        <w:t xml:space="preserve"> </w:t>
      </w:r>
      <w:r w:rsidRPr="00856B3F">
        <w:rPr>
          <w:b/>
        </w:rPr>
        <w:t>Questionnaire (PVQ).</w:t>
      </w:r>
      <w:r w:rsidRPr="00856B3F">
        <w:rPr>
          <w:b/>
          <w:bCs/>
        </w:rPr>
        <w:t xml:space="preserve"> </w:t>
      </w:r>
      <w:r w:rsidRPr="00856B3F">
        <w:t>The PVQ is administered annually during the Fall round Baseline and Continuing interviews and collects information about preventive health care measures taken by the beneficiary, including blood pressure and cholesterol checks, HIV testing, and guideline-recommended screenings, such as prostate blood tests for men. Through a recent review of the PVQ, CMS identified several items that are redundant, no longer relevant, or need to be updated to align with current healthcare screening guidelines. Starting in Fall 2027, the following changes will be made to the Community questionnaire:</w:t>
      </w:r>
    </w:p>
    <w:p w:rsidR="00856B3F" w:rsidP="00587257" w14:paraId="7C545EEC" w14:textId="79C55CBB">
      <w:pPr>
        <w:pStyle w:val="ListBullet2"/>
      </w:pPr>
      <w:r w:rsidRPr="00856B3F">
        <w:rPr>
          <w:b/>
          <w:bCs/>
          <w:i/>
          <w:iCs/>
        </w:rPr>
        <w:t>Migrat</w:t>
      </w:r>
      <w:r w:rsidR="0051329C">
        <w:rPr>
          <w:b/>
          <w:bCs/>
          <w:i/>
          <w:iCs/>
        </w:rPr>
        <w:t>ing</w:t>
      </w:r>
      <w:r w:rsidRPr="00856B3F">
        <w:rPr>
          <w:b/>
          <w:bCs/>
          <w:i/>
          <w:iCs/>
        </w:rPr>
        <w:t xml:space="preserve"> one item on measuring blood pressure at home from the HFQ to the PVQ. </w:t>
      </w:r>
      <w:r w:rsidRPr="00856B3F">
        <w:t>Currently, the HFQ asks only beneficiaries with diabetes or hypertension about home blood pressure monitoring. To streamline the questionnaire, these items will be removed from HFQ, and beginning in Fall 2027, all respondents will be asked about this topic in the PVQ.</w:t>
      </w:r>
    </w:p>
    <w:p w:rsidR="00856B3F" w:rsidP="00587257" w14:paraId="188450E5" w14:textId="06553207">
      <w:pPr>
        <w:pStyle w:val="ListBullet2"/>
      </w:pPr>
      <w:r w:rsidRPr="00856B3F">
        <w:rPr>
          <w:b/>
          <w:bCs/>
          <w:i/>
          <w:iCs/>
        </w:rPr>
        <w:t>Remov</w:t>
      </w:r>
      <w:r w:rsidR="0051329C">
        <w:rPr>
          <w:b/>
          <w:bCs/>
          <w:i/>
          <w:iCs/>
        </w:rPr>
        <w:t>ing</w:t>
      </w:r>
      <w:r w:rsidRPr="00856B3F">
        <w:rPr>
          <w:b/>
          <w:bCs/>
          <w:i/>
          <w:iCs/>
        </w:rPr>
        <w:t xml:space="preserve"> two items on oral cancer exams.</w:t>
      </w:r>
      <w:r w:rsidRPr="00856B3F">
        <w:t xml:space="preserve"> The National Institute of Dental and Craniofacial Research recommends incorporating head and neck examinations for oral cancer as part of routine dental check-ups, which are recommended every six months</w:t>
      </w:r>
      <w:r>
        <w:rPr>
          <w:vertAlign w:val="superscript"/>
        </w:rPr>
        <w:footnoteReference w:id="16"/>
      </w:r>
      <w:r w:rsidRPr="00856B3F">
        <w:t>. The current PVQ asks Baseline respondents whether the beneficiary has ever received an oral cancer exam, and if yes, how long ago it occurred. Continuing respondents are asked whether they have received an exam in the past year. To align with clinical guidance, the Baseline-only items will be removed, and all respondents will be asked if they had an oral cancer exam in the past year. </w:t>
      </w:r>
    </w:p>
    <w:p w:rsidR="00856B3F" w:rsidRPr="00856B3F" w:rsidP="00587257" w14:paraId="1B94DFB2" w14:textId="30BC0836">
      <w:pPr>
        <w:pStyle w:val="ListBullet2"/>
        <w:rPr>
          <w:szCs w:val="24"/>
        </w:rPr>
      </w:pPr>
      <w:r w:rsidRPr="00856B3F">
        <w:rPr>
          <w:b/>
          <w:bCs/>
          <w:i/>
          <w:iCs/>
        </w:rPr>
        <w:t>Remov</w:t>
      </w:r>
      <w:r w:rsidR="0051329C">
        <w:rPr>
          <w:b/>
          <w:bCs/>
          <w:i/>
          <w:iCs/>
        </w:rPr>
        <w:t>ing</w:t>
      </w:r>
      <w:r w:rsidRPr="00856B3F">
        <w:rPr>
          <w:b/>
          <w:bCs/>
          <w:i/>
          <w:iCs/>
        </w:rPr>
        <w:t xml:space="preserve"> </w:t>
      </w:r>
      <w:r w:rsidR="00305136">
        <w:rPr>
          <w:b/>
          <w:bCs/>
          <w:i/>
          <w:iCs/>
        </w:rPr>
        <w:t>three</w:t>
      </w:r>
      <w:r w:rsidRPr="00856B3F">
        <w:rPr>
          <w:b/>
          <w:bCs/>
          <w:i/>
          <w:iCs/>
        </w:rPr>
        <w:t xml:space="preserve"> and revis</w:t>
      </w:r>
      <w:r w:rsidR="0051329C">
        <w:rPr>
          <w:b/>
          <w:bCs/>
          <w:i/>
          <w:iCs/>
        </w:rPr>
        <w:t>ing</w:t>
      </w:r>
      <w:r w:rsidRPr="00856B3F">
        <w:rPr>
          <w:b/>
          <w:bCs/>
          <w:i/>
          <w:iCs/>
        </w:rPr>
        <w:t xml:space="preserve"> two items about why the beneficiary did not receive a preventive test or screening. </w:t>
      </w:r>
      <w:r w:rsidRPr="00856B3F">
        <w:t>For certain screening tests, including HIV and pap smears, the PVQ currently asks respondents who report not receiving a recent test or screening the reason why they have not been tested or screened. To reduce respondent burden, starting in Fall 2027, the PVQ will no longer ask respondents why they have not been tested for HIV or received a pap smear.</w:t>
      </w:r>
      <w:r w:rsidR="00305136">
        <w:t xml:space="preserve"> This will include the removal of one “other, specify” item.</w:t>
      </w:r>
      <w:r w:rsidRPr="00856B3F">
        <w:t xml:space="preserve"> CMS will also streamline the code list at the two items capturing why the beneficiary has not received a mammogram or prostate blood test. Beginning in Fall 2027, redundant response options or response options with low usage will be removed and new response options will be added.</w:t>
      </w:r>
    </w:p>
    <w:p w:rsidR="00856B3F" w:rsidRPr="00856B3F" w:rsidP="00587257" w14:paraId="7C8F1C14" w14:textId="6798B614">
      <w:pPr>
        <w:pStyle w:val="ListBullet2"/>
      </w:pPr>
      <w:r w:rsidRPr="00856B3F">
        <w:rPr>
          <w:b/>
          <w:bCs/>
          <w:i/>
          <w:iCs/>
        </w:rPr>
        <w:t>Revis</w:t>
      </w:r>
      <w:r w:rsidR="0051329C">
        <w:rPr>
          <w:b/>
          <w:bCs/>
          <w:i/>
          <w:iCs/>
        </w:rPr>
        <w:t>ing</w:t>
      </w:r>
      <w:r w:rsidRPr="00856B3F">
        <w:rPr>
          <w:b/>
          <w:bCs/>
          <w:i/>
          <w:iCs/>
        </w:rPr>
        <w:t xml:space="preserve"> one item on pap smears.</w:t>
      </w:r>
      <w:r w:rsidRPr="00856B3F">
        <w:rPr>
          <w:i/>
          <w:iCs/>
        </w:rPr>
        <w:t xml:space="preserve"> </w:t>
      </w:r>
      <w:r w:rsidRPr="00856B3F">
        <w:t>Gynecological exams may include a pap smear to screen for cervical cancer. The item about receiving a pap smear will be revised to ask about gynecological exams to more accurately reflect clinical guidelines.</w:t>
      </w:r>
      <w:r>
        <w:rPr>
          <w:vertAlign w:val="superscript"/>
        </w:rPr>
        <w:footnoteReference w:id="17"/>
      </w:r>
      <w:r w:rsidRPr="00856B3F">
        <w:t xml:space="preserve"> </w:t>
      </w:r>
    </w:p>
    <w:p w:rsidR="00856B3F" w:rsidP="00587257" w14:paraId="14C0F18E" w14:textId="77777777">
      <w:pPr>
        <w:pStyle w:val="BodyText"/>
        <w:rPr>
          <w:rFonts w:ascii="Arial" w:hAnsi="Arial" w:cs="Arial"/>
          <w:sz w:val="20"/>
          <w:szCs w:val="20"/>
        </w:rPr>
      </w:pPr>
      <w:r w:rsidRPr="00856B3F">
        <w:rPr>
          <w:b/>
          <w:bCs/>
        </w:rPr>
        <w:t>Removing</w:t>
      </w:r>
      <w:r w:rsidRPr="00856B3F">
        <w:rPr>
          <w:b/>
        </w:rPr>
        <w:t xml:space="preserve"> four redundant items about satisfaction with health care services from the</w:t>
      </w:r>
      <w:r>
        <w:rPr>
          <w:b/>
        </w:rPr>
        <w:t xml:space="preserve"> </w:t>
      </w:r>
      <w:r w:rsidRPr="00856B3F">
        <w:rPr>
          <w:b/>
        </w:rPr>
        <w:t>Satisfaction with Care Questionnaire (SCQ).</w:t>
      </w:r>
      <w:r w:rsidRPr="00856B3F">
        <w:t xml:space="preserve"> The SCQ is an important topical section in the Community questionnaire which provides CMS and other stakeholders with information about the respondent's opinion about the health care that the Medicare beneficiary has received. Through a recent review of </w:t>
      </w:r>
      <w:r w:rsidRPr="00856B3F">
        <w:t>the SCQ</w:t>
      </w:r>
      <w:r w:rsidRPr="00856B3F">
        <w:t>, CMS identified several items that are redundant. Starting in Fall 2027 the Community questionnaire will remove the following SCQ questions:</w:t>
      </w:r>
    </w:p>
    <w:p w:rsidR="00856B3F" w:rsidRPr="00856B3F" w:rsidP="00587257" w14:paraId="7031B9C9" w14:textId="77777777">
      <w:pPr>
        <w:pStyle w:val="ListBullet2"/>
        <w:rPr>
          <w:rFonts w:ascii="Arial" w:hAnsi="Arial" w:cs="Arial"/>
          <w:sz w:val="20"/>
          <w:szCs w:val="20"/>
        </w:rPr>
      </w:pPr>
      <w:r w:rsidRPr="00856B3F">
        <w:t>One question on the availability of health care at night and on weekends.</w:t>
      </w:r>
    </w:p>
    <w:p w:rsidR="00856B3F" w:rsidRPr="00856B3F" w:rsidP="00587257" w14:paraId="36B938FD" w14:textId="77777777">
      <w:pPr>
        <w:pStyle w:val="ListBullet2"/>
        <w:rPr>
          <w:rFonts w:ascii="Arial" w:hAnsi="Arial" w:cs="Arial"/>
          <w:sz w:val="20"/>
          <w:szCs w:val="20"/>
        </w:rPr>
      </w:pPr>
      <w:r w:rsidRPr="00856B3F">
        <w:t xml:space="preserve">One question on SCQ was redundant with CCQ. A question on the ease and convenience of getting to a doctor or other health professional from where the beneficiary lives will be removed from SCQ because distance to the beneficiary’s usual source of care is captured in the CCQ. </w:t>
      </w:r>
    </w:p>
    <w:p w:rsidR="00856B3F" w:rsidRPr="00856B3F" w:rsidP="00587257" w14:paraId="455DEF7E" w14:textId="77777777">
      <w:pPr>
        <w:pStyle w:val="ListBullet2"/>
        <w:rPr>
          <w:rFonts w:ascii="Arial" w:hAnsi="Arial" w:cs="Arial"/>
          <w:sz w:val="20"/>
          <w:szCs w:val="20"/>
        </w:rPr>
      </w:pPr>
      <w:r w:rsidRPr="00856B3F">
        <w:rPr>
          <w:szCs w:val="24"/>
        </w:rPr>
        <w:t>One question about the concern of doctors or other health professionals for the beneficiary’s overall health rather than just for an isolated symptom or disease.</w:t>
      </w:r>
    </w:p>
    <w:p w:rsidR="004C5DEF" w:rsidRPr="004C5DEF" w:rsidP="004C5DEF" w14:paraId="2CE4D047" w14:textId="320CAC0E">
      <w:pPr>
        <w:pStyle w:val="ListBullet2"/>
        <w:rPr>
          <w:rFonts w:ascii="Arial" w:hAnsi="Arial" w:cs="Arial"/>
          <w:sz w:val="20"/>
          <w:szCs w:val="20"/>
        </w:rPr>
      </w:pPr>
      <w:r w:rsidRPr="00856B3F">
        <w:rPr>
          <w:szCs w:val="24"/>
        </w:rPr>
        <w:t>One question on the ability to get all health care needs taken care of at the same location.</w:t>
      </w:r>
    </w:p>
    <w:p w:rsidR="004C5DEF" w:rsidRPr="00856411" w:rsidP="00856411" w14:paraId="354FFA9D" w14:textId="02CB9794">
      <w:pPr>
        <w:pStyle w:val="ListBullet2"/>
        <w:numPr>
          <w:ilvl w:val="0"/>
          <w:numId w:val="0"/>
        </w:numPr>
      </w:pPr>
      <w:r>
        <w:rPr>
          <w:b/>
          <w:bCs/>
        </w:rPr>
        <w:t>Revisions and removals of</w:t>
      </w:r>
      <w:r w:rsidRPr="00856411">
        <w:rPr>
          <w:b/>
          <w:bCs/>
        </w:rPr>
        <w:t xml:space="preserve"> </w:t>
      </w:r>
      <w:r>
        <w:rPr>
          <w:b/>
          <w:bCs/>
        </w:rPr>
        <w:t xml:space="preserve">existing </w:t>
      </w:r>
      <w:r w:rsidRPr="00856411">
        <w:rPr>
          <w:b/>
          <w:bCs/>
        </w:rPr>
        <w:t>Facility instrument content</w:t>
      </w:r>
      <w:r>
        <w:rPr>
          <w:b/>
          <w:bCs/>
        </w:rPr>
        <w:t>.</w:t>
      </w:r>
    </w:p>
    <w:p w:rsidR="004C5DEF" w:rsidP="004C5DEF" w14:paraId="3E6A48F7" w14:textId="2A718589">
      <w:pPr>
        <w:pStyle w:val="ListBullet2"/>
      </w:pPr>
      <w:r>
        <w:rPr>
          <w:b/>
          <w:bCs/>
        </w:rPr>
        <w:t>Removing one facility contact item from the Facility Questionnaire (FQ) in Sur</w:t>
      </w:r>
      <w:r w:rsidR="00E409BA">
        <w:rPr>
          <w:b/>
          <w:bCs/>
        </w:rPr>
        <w:t>v</w:t>
      </w:r>
      <w:r>
        <w:rPr>
          <w:b/>
          <w:bCs/>
        </w:rPr>
        <w:t>ey 1.</w:t>
      </w:r>
      <w:r>
        <w:t xml:space="preserve"> With the migration of items from the Facility Screener into the FQ, one redundant item that confirms facility contact information will be removed. </w:t>
      </w:r>
    </w:p>
    <w:p w:rsidR="004C5DEF" w:rsidP="004C5DEF" w14:paraId="0E7E02BA" w14:textId="77777777">
      <w:pPr>
        <w:pStyle w:val="ListBullet2"/>
      </w:pPr>
      <w:r>
        <w:rPr>
          <w:b/>
          <w:bCs/>
        </w:rPr>
        <w:t>Removing items from the Residence History (RH) section in Survey 1.</w:t>
      </w:r>
      <w:r>
        <w:t xml:space="preserve"> Three items that collect facility structure details and the relationship of the facility contact to the beneficiary will be removed, as the information is no longer needed for survey operations.</w:t>
      </w:r>
    </w:p>
    <w:p w:rsidR="004C5DEF" w:rsidP="004C5DEF" w14:paraId="133B48A1" w14:textId="77777777">
      <w:pPr>
        <w:pStyle w:val="ListBullet2"/>
      </w:pPr>
      <w:r>
        <w:rPr>
          <w:b/>
          <w:bCs/>
        </w:rPr>
        <w:t>Removing discrepant confirmation items from the Expenditures (EX) section in Survey 2.</w:t>
      </w:r>
      <w:r>
        <w:t xml:space="preserve"> Sixty items that appear when </w:t>
      </w:r>
      <w:r>
        <w:t>a billing</w:t>
      </w:r>
      <w:r>
        <w:t xml:space="preserve">, insurance, or payment discrepancy </w:t>
      </w:r>
      <w:r>
        <w:t>is</w:t>
      </w:r>
      <w:r>
        <w:t xml:space="preserve"> identified will be removed. These items prompt interviewers to verify the discrepancy and, if needed, back up to correct previously entered information. These items are rarely administered and have limited analytic utility.</w:t>
      </w:r>
    </w:p>
    <w:p w:rsidR="004C5DEF" w:rsidP="004C5DEF" w14:paraId="645DFEA9" w14:textId="532BFF13">
      <w:pPr>
        <w:pStyle w:val="ListBullet2"/>
      </w:pPr>
      <w:r>
        <w:rPr>
          <w:b/>
          <w:bCs/>
        </w:rPr>
        <w:t>Removing items from the Health Status (HS) section in Survey 3.</w:t>
      </w:r>
      <w:r>
        <w:t xml:space="preserve"> Seventeen items that collect information on general health status, vision, Medicare eligibility, procedures, preventive screenings, and record identification will be removed due to their</w:t>
      </w:r>
      <w:r w:rsidR="005A1CB3">
        <w:t xml:space="preserve"> low response variation, and thus,</w:t>
      </w:r>
      <w:r>
        <w:t xml:space="preserve"> limited analytic utility.</w:t>
      </w:r>
    </w:p>
    <w:p w:rsidR="004C5DEF" w:rsidRPr="00856411" w:rsidP="00856411" w14:paraId="243FFFC9" w14:textId="63B3DFB7">
      <w:pPr>
        <w:pStyle w:val="ListBullet2"/>
        <w:rPr>
          <w:b/>
          <w:bCs/>
        </w:rPr>
      </w:pPr>
      <w:r>
        <w:rPr>
          <w:b/>
          <w:bCs/>
        </w:rPr>
        <w:t>Revising the Activities of Daily Living (ADLs) and Instrumental Activities of Daily Living (IADLs) series in Survey 3.</w:t>
      </w:r>
      <w:r>
        <w:t xml:space="preserve"> </w:t>
      </w:r>
      <w:r w:rsidRPr="003B780F" w:rsidR="003B780F">
        <w:t>The ADL and IADL items in the Facility instrument were modified to align with the same series used in the Community questionnaire. This change was made to improve consistency across the MCBS instruments and improve the utility of Facility functional status data. This alignment involves the removal of 13 existing items that were no longer consistent with the parallel Community questionnaire and the revision of six existing Facility instrument items.</w:t>
      </w:r>
    </w:p>
    <w:p w:rsidR="00856B3F" w:rsidP="00587257" w14:paraId="77F410FD" w14:textId="5D446769">
      <w:pPr>
        <w:pStyle w:val="BodyText"/>
      </w:pPr>
      <w:r w:rsidRPr="00587257">
        <w:rPr>
          <w:b/>
          <w:bCs/>
        </w:rPr>
        <w:t>Adding new items about care coordination, trust in health care providers, and pre-authorization of health care services to the Care Coordination Questionnaire (CCQ).</w:t>
      </w:r>
      <w:r w:rsidRPr="00856B3F">
        <w:t xml:space="preserve"> Formerly referred to as the Usual Source of Care Questionnaire (USQ), this questionnaire section is administered annually in the Winter round and collects information on whether the beneficiary has a provider or clinic they usually go to when sick or in search of health advice. Previously, </w:t>
      </w:r>
      <w:r w:rsidRPr="00856B3F">
        <w:t>the USQ</w:t>
      </w:r>
      <w:r w:rsidRPr="00856B3F">
        <w:t xml:space="preserve"> focused narrowly on beneficiaries’ experiences with their usual source of care. However, Medicare beneficiaries may receive care across multiple settings and provider types, including specialists, urgent care centers, retail clinics, and telehealth providers. The revised questionnaire section, renamed the Care Coordination Questionnaire (CCQ), expands measurement to capture the full range of care sources and coordination across them. This revision enables more accurate assessment of care fragmentation, access pathways, and beneficiary navigation of the health care system. Starting in Winter 2027, CMS seeks approval to add the following new items to the CCQ to improve the policy relevance of MCBS data for evaluating delivery system reforms and initiatives aimed at strengthening care coordination and integration:</w:t>
      </w:r>
    </w:p>
    <w:p w:rsidR="00856B3F" w:rsidRPr="0033795C" w:rsidP="0033795C" w14:paraId="0C742299" w14:textId="77777777">
      <w:pPr>
        <w:pStyle w:val="ListBullet2"/>
        <w:keepLines w:val="0"/>
        <w:rPr>
          <w:spacing w:val="-2"/>
        </w:rPr>
      </w:pPr>
      <w:r w:rsidRPr="0033795C">
        <w:rPr>
          <w:b/>
          <w:bCs/>
          <w:i/>
          <w:iCs/>
          <w:spacing w:val="-2"/>
        </w:rPr>
        <w:t>Fifteen new items about care coordination</w:t>
      </w:r>
      <w:r w:rsidRPr="0033795C">
        <w:rPr>
          <w:spacing w:val="-2"/>
        </w:rPr>
        <w:t xml:space="preserve">, including: wait times for different types of provider visits, coordination of </w:t>
      </w:r>
      <w:r w:rsidRPr="0033795C">
        <w:rPr>
          <w:spacing w:val="-2"/>
        </w:rPr>
        <w:t>health care</w:t>
      </w:r>
      <w:r w:rsidRPr="0033795C">
        <w:rPr>
          <w:spacing w:val="-2"/>
        </w:rPr>
        <w:t xml:space="preserve"> information and services for emergency department visits and hospital stays, and experiences with urgent care clinic visits. Items asking about reasons for a visit to an emergency room or urgent care clinic were adapted from CMS’s Emergency Department Consumer Assessment of Healthcare Providers &amp; Systems (ED CAHPS)</w:t>
      </w:r>
      <w:r>
        <w:rPr>
          <w:spacing w:val="-2"/>
          <w:vertAlign w:val="superscript"/>
        </w:rPr>
        <w:footnoteReference w:id="18"/>
      </w:r>
      <w:r w:rsidRPr="0033795C">
        <w:rPr>
          <w:spacing w:val="-2"/>
        </w:rPr>
        <w:t>; other items in this category were adapted from existing MCBS content.</w:t>
      </w:r>
    </w:p>
    <w:p w:rsidR="00856B3F" w:rsidP="00587257" w14:paraId="274827ED" w14:textId="77777777">
      <w:pPr>
        <w:pStyle w:val="ListBullet2"/>
      </w:pPr>
      <w:r w:rsidRPr="00587257">
        <w:rPr>
          <w:b/>
          <w:bCs/>
          <w:i/>
          <w:iCs/>
        </w:rPr>
        <w:t>Seven items about emergency department visit wait times and difficulty with obtaining referrals to specialists</w:t>
      </w:r>
      <w:r w:rsidRPr="00856B3F">
        <w:t xml:space="preserve"> were migrated from the Access to Care Questionnaire (ACQ).</w:t>
      </w:r>
    </w:p>
    <w:p w:rsidR="00856B3F" w:rsidP="00587257" w14:paraId="46D097C2" w14:textId="77777777">
      <w:pPr>
        <w:pStyle w:val="ListBullet2"/>
      </w:pPr>
      <w:r w:rsidRPr="00856B3F">
        <w:rPr>
          <w:b/>
          <w:bCs/>
          <w:i/>
          <w:iCs/>
        </w:rPr>
        <w:t>Fifteen new items about trust in health care providers</w:t>
      </w:r>
      <w:r w:rsidRPr="00856B3F">
        <w:t>. Patient trust in healthcare providers and Medicare directly impacts patient engagement, treatment adherence, and health outcomes—all critical metrics for the administration's patient-centered reform agenda. Items measuring beneficiary trust in their primary care provider, the healthcare profession, and the Medicare program were adapted from three abbreviated five-item scales developed during a study supported by the Robert Wood Johnson Foundation and the University of Massachusetts Medical School Division of Geriatric Medicine</w:t>
      </w:r>
      <w:r>
        <w:rPr>
          <w:vertAlign w:val="superscript"/>
        </w:rPr>
        <w:footnoteReference w:id="19"/>
      </w:r>
      <w:r w:rsidRPr="00856B3F">
        <w:t xml:space="preserve">. These items were fielded in the Fall 2025 MCBS Beneficiary Trust Pulse Supplement under CMS’s Generic Clearance (0938-1275, </w:t>
      </w:r>
      <w:r w:rsidRPr="00856B3F">
        <w:t>GenIC</w:t>
      </w:r>
      <w:r w:rsidRPr="00856B3F">
        <w:t xml:space="preserve"> #8) where they were easily understood, had low levels of non-response and across beneficiaries, and showed expected variation in response frequency distribution. Incorporating these items into the main survey will enable CMS to produce nationally representative and state-level estimates of trust in health care providers and to monitor changes over time. Collecting these measures within MCBS allows CMS to examine how trust varies by demographic, socioeconomic, and coverage characteristics and how it relates to beneficiary experiences, health care utilization, adherence to medical recommendations, and preventive service uptake captured elsewhere in the survey. </w:t>
      </w:r>
    </w:p>
    <w:p w:rsidR="00856B3F" w:rsidP="00587257" w14:paraId="682C130B" w14:textId="77777777">
      <w:pPr>
        <w:pStyle w:val="ListBullet2"/>
      </w:pPr>
      <w:r w:rsidRPr="00856B3F">
        <w:rPr>
          <w:b/>
          <w:bCs/>
          <w:i/>
          <w:iCs/>
        </w:rPr>
        <w:t>Thirty-one new items about pre-authorization of health care services</w:t>
      </w:r>
      <w:r w:rsidRPr="00856B3F">
        <w:t xml:space="preserve">. Administrative data </w:t>
      </w:r>
      <w:r w:rsidRPr="00856B3F">
        <w:t>do</w:t>
      </w:r>
      <w:r w:rsidRPr="00856B3F">
        <w:t xml:space="preserve"> not capture beneficiary awareness, delays in care, service abandonment, or perceived access barriers resulting from the prior authorization process. As prior authorization policies continue to evolve across Medicare coverage types, beneficiary-reported data are necessary to understand how these requirements affect access to care and utilization. Under CMS’s Generic Clearance (0938-1275, </w:t>
      </w:r>
      <w:r w:rsidRPr="00856B3F">
        <w:t>GenIC</w:t>
      </w:r>
      <w:r w:rsidRPr="00856B3F">
        <w:t xml:space="preserve"> #8), OEDA partnered with the Center for Medicare &amp; Medicaid Innovation as well as the Center for Medicare to administer questions about beneficiary experience with the prior authorization process as part of the Fall 2025 MCBS Beneficiary Trust Supplement. These items cover pre-authorization of services such as prescription drugs, visits to health care providers, and specific treatments or procedures. Incorporating these items into the main MCBS Community questionnaire will enable analysis of the relationship between prior authorization experiences, detailed coverage characteristics (e.g., Medicare Advantage, supplemental coverage), and subsequent health care utilization captured in MCBS. These data will support evaluation of access associated with prior authorization policies.  </w:t>
      </w:r>
    </w:p>
    <w:p w:rsidR="00856B3F" w:rsidRPr="00856B3F" w:rsidP="0033795C" w14:paraId="1021FE8F" w14:textId="150E55C4">
      <w:pPr>
        <w:pStyle w:val="ListContinue"/>
      </w:pPr>
      <w:r w:rsidRPr="00856B3F">
        <w:t xml:space="preserve">These </w:t>
      </w:r>
      <w:r w:rsidR="00EE454C">
        <w:t xml:space="preserve">31 </w:t>
      </w:r>
      <w:r w:rsidRPr="00856B3F">
        <w:t xml:space="preserve">items will not be asked </w:t>
      </w:r>
      <w:bookmarkStart w:id="25" w:name="_Int_HJ2klXWv"/>
      <w:r w:rsidRPr="00856B3F">
        <w:t>of</w:t>
      </w:r>
      <w:bookmarkEnd w:id="25"/>
      <w:r w:rsidRPr="00856B3F">
        <w:t xml:space="preserve"> all respondents. Results from the MCBS Beneficiary Trust Pulse Supplement (0938-1275, </w:t>
      </w:r>
      <w:r w:rsidRPr="00856B3F">
        <w:t>GenIC</w:t>
      </w:r>
      <w:r w:rsidRPr="00856B3F">
        <w:t xml:space="preserve"> #8) indicate that just over half of respondents were </w:t>
      </w:r>
      <w:r w:rsidR="00491036">
        <w:t xml:space="preserve">ineligible for </w:t>
      </w:r>
      <w:r w:rsidR="00EE454C">
        <w:t>this series</w:t>
      </w:r>
      <w:r w:rsidR="00491036">
        <w:t xml:space="preserve"> </w:t>
      </w:r>
      <w:r w:rsidRPr="00856B3F">
        <w:t xml:space="preserve">as they had not had experience with pre-authorization of services during the reference period. </w:t>
      </w:r>
      <w:r w:rsidR="00EE454C">
        <w:t xml:space="preserve">Respondents will receive follow-up questions for each type of treatment or service they indicated requiring prior authorization. </w:t>
      </w:r>
      <w:r w:rsidR="00491036">
        <w:t>P</w:t>
      </w:r>
      <w:r w:rsidRPr="00856B3F">
        <w:t xml:space="preserve">rior authorization was most often </w:t>
      </w:r>
      <w:bookmarkStart w:id="26" w:name="_Int_YY74SCdz"/>
      <w:r w:rsidRPr="00856B3F">
        <w:t>required for</w:t>
      </w:r>
      <w:bookmarkEnd w:id="26"/>
      <w:r w:rsidRPr="00856B3F">
        <w:t xml:space="preserve"> a prescription drug from a pharmacy and/or a treatment, procedure, or surgery, with respondents receiving approximately eight follow-up items on average.</w:t>
      </w:r>
    </w:p>
    <w:p w:rsidR="00856B3F" w:rsidRPr="00856B3F" w:rsidP="00587257" w14:paraId="4E461F42" w14:textId="77777777">
      <w:pPr>
        <w:pStyle w:val="BodyText"/>
      </w:pPr>
      <w:r w:rsidRPr="00856B3F">
        <w:rPr>
          <w:b/>
        </w:rPr>
        <w:t>Adding five new items about prescription drug discount programs in the Drug Coverage Questionnaire (RXQ).</w:t>
      </w:r>
      <w:r w:rsidRPr="00856B3F">
        <w:rPr>
          <w:b/>
          <w:bCs/>
        </w:rPr>
        <w:t xml:space="preserve"> </w:t>
      </w:r>
      <w:r w:rsidRPr="00856B3F">
        <w:t>The RXQ</w:t>
      </w:r>
      <w:r w:rsidRPr="00856B3F">
        <w:t xml:space="preserve"> collects information regarding the beneficiary’s experiences with and knowledge of their current prescription drug coverage, including coverage through stand-alone Medicare Prescription Drug plans, Medicare Advantage plans, and private plans. </w:t>
      </w:r>
      <w:r w:rsidRPr="00856B3F">
        <w:t>However, Medicare beneficiaries may also obtain prescription medications through mechanisms outside of insurance benefits, including prescription discount card programs, manufacturer-sponsored assistance programs, or other alternative purchasing arrangements. These programs have risen in popularity, with a 2026 survey of adults using prescription drugs reporting that 42% had used a discount card or coupon to reduce the cost of a prescription drug in the past 12 months.</w:t>
      </w:r>
      <w:r>
        <w:rPr>
          <w:vertAlign w:val="superscript"/>
        </w:rPr>
        <w:footnoteReference w:id="20"/>
      </w:r>
      <w:r w:rsidRPr="00856B3F">
        <w:t xml:space="preserve"> Such transactions are not consistently reflected in administrative claims data, which limits CMS’s ability to fully measure total out-of-pocket spending, medication acquisition pathways, and the relationship between cost burden and adherence.</w:t>
      </w:r>
    </w:p>
    <w:p w:rsidR="00856B3F" w:rsidRPr="00856B3F" w:rsidP="00587257" w14:paraId="732A0862" w14:textId="77777777">
      <w:pPr>
        <w:pStyle w:val="BodyText"/>
      </w:pPr>
      <w:r w:rsidRPr="00856B3F">
        <w:t>As CMS continues to evaluate policies intended to improve prescription drug affordability and access, comprehensive data on how beneficiaries obtain and pay for medications are necessary to ensure accurate estimates of spending, subsidy interactions, and program participation. New items on the knowledge and use of prescription drug discount programs will provide estimates of program participation among the Medicare population. They will also provide insight into the types of bias present in current measures of out-of-pocket spending, financial burden, and access to medications among Medicare beneficiaries.</w:t>
      </w:r>
    </w:p>
    <w:p w:rsidR="00856B3F" w:rsidP="00587257" w14:paraId="327A603F" w14:textId="77777777">
      <w:pPr>
        <w:pStyle w:val="BodyText"/>
      </w:pPr>
      <w:r w:rsidRPr="00856B3F">
        <w:t xml:space="preserve">The existing RXQ section asks generally whether beneficiaries have purchased discounted prescription drugs without using any insurance. This item will be revised to serve as a universe filter for the five new items on prescription drug programs. Based on their response to this item, respondents will be </w:t>
      </w:r>
      <w:r w:rsidRPr="00856B3F">
        <w:t>asked</w:t>
      </w:r>
      <w:r w:rsidRPr="00856B3F">
        <w:t xml:space="preserve"> up to five follow-up items about their knowledge and use of programs, including:  </w:t>
      </w:r>
    </w:p>
    <w:p w:rsidR="00856B3F" w:rsidP="00587257" w14:paraId="30420780" w14:textId="77777777">
      <w:pPr>
        <w:pStyle w:val="ListBullet2"/>
      </w:pPr>
      <w:r w:rsidRPr="00856B3F">
        <w:rPr>
          <w:b/>
          <w:bCs/>
          <w:i/>
          <w:iCs/>
        </w:rPr>
        <w:t xml:space="preserve">One item on prescription discount services. </w:t>
      </w:r>
      <w:r w:rsidRPr="00856B3F">
        <w:t xml:space="preserve">This item will measure frequency of use of services that provide coupons or prescription savings cards that can be used while filling a prescription. Examples of such services include </w:t>
      </w:r>
      <w:r w:rsidRPr="00856B3F">
        <w:t>GoodRx</w:t>
      </w:r>
      <w:r w:rsidRPr="00856B3F">
        <w:t xml:space="preserve">, </w:t>
      </w:r>
      <w:r w:rsidRPr="00856B3F">
        <w:t>RxSaver</w:t>
      </w:r>
      <w:r w:rsidRPr="00856B3F">
        <w:t xml:space="preserve">, and </w:t>
      </w:r>
      <w:r w:rsidRPr="00856B3F">
        <w:t>WellRx</w:t>
      </w:r>
      <w:r w:rsidRPr="00856B3F">
        <w:t xml:space="preserve">. </w:t>
      </w:r>
      <w:r w:rsidRPr="00856B3F">
        <w:t>GoodRx</w:t>
      </w:r>
      <w:r w:rsidRPr="00856B3F">
        <w:t xml:space="preserve"> alone reports that its platform is used by nearly 25 million consumers annually.</w:t>
      </w:r>
      <w:r>
        <w:rPr>
          <w:vertAlign w:val="superscript"/>
        </w:rPr>
        <w:footnoteReference w:id="21"/>
      </w:r>
    </w:p>
    <w:p w:rsidR="00856B3F" w:rsidP="00587257" w14:paraId="78DE2728" w14:textId="77777777">
      <w:pPr>
        <w:pStyle w:val="ListBullet2"/>
      </w:pPr>
      <w:r w:rsidRPr="00856B3F">
        <w:rPr>
          <w:b/>
          <w:bCs/>
          <w:i/>
          <w:iCs/>
        </w:rPr>
        <w:t xml:space="preserve">One item on manufacturer discount cards. </w:t>
      </w:r>
      <w:r w:rsidRPr="00856B3F">
        <w:t xml:space="preserve">This item will measure frequency of use of coupons or copay cards provided directly by a drug manufacturer to the consumer. </w:t>
      </w:r>
    </w:p>
    <w:p w:rsidR="00856B3F" w:rsidRPr="00856B3F" w:rsidP="00587257" w14:paraId="15190AC7" w14:textId="1E7B4D02">
      <w:pPr>
        <w:pStyle w:val="ListBullet2"/>
      </w:pPr>
      <w:r w:rsidRPr="00856B3F">
        <w:rPr>
          <w:b/>
          <w:bCs/>
          <w:i/>
          <w:iCs/>
        </w:rPr>
        <w:t xml:space="preserve">Three items on </w:t>
      </w:r>
      <w:r w:rsidRPr="00856B3F">
        <w:rPr>
          <w:b/>
          <w:bCs/>
          <w:i/>
          <w:iCs/>
        </w:rPr>
        <w:t>TrumpRx</w:t>
      </w:r>
      <w:r w:rsidRPr="00856B3F">
        <w:rPr>
          <w:b/>
          <w:bCs/>
          <w:i/>
          <w:iCs/>
        </w:rPr>
        <w:t xml:space="preserve">. </w:t>
      </w:r>
      <w:r w:rsidRPr="00856B3F">
        <w:t>Launched in February 2026,</w:t>
      </w:r>
      <w:r w:rsidRPr="00856B3F">
        <w:rPr>
          <w:b/>
          <w:bCs/>
          <w:i/>
          <w:iCs/>
        </w:rPr>
        <w:t xml:space="preserve"> </w:t>
      </w:r>
      <w:r w:rsidRPr="00856B3F">
        <w:t>TrumpRx</w:t>
      </w:r>
      <w:r w:rsidRPr="00856B3F">
        <w:t xml:space="preserve"> is a federal government-run website that lists discounted drug prices for individuals to buy without using drug insurance. These drugs can be obtained at participating pharmacies using coupon cards displayed on </w:t>
      </w:r>
      <w:r w:rsidRPr="00856B3F">
        <w:t>TrumpRx</w:t>
      </w:r>
      <w:r w:rsidRPr="00856B3F">
        <w:t xml:space="preserve"> or directly through manufacturers' websites. </w:t>
      </w:r>
      <w:r w:rsidRPr="003728E2" w:rsidR="003728E2">
        <w:t xml:space="preserve">Respondents will first </w:t>
      </w:r>
      <w:r w:rsidR="00A423B6">
        <w:t xml:space="preserve">be asked </w:t>
      </w:r>
      <w:r w:rsidRPr="003728E2" w:rsidR="003728E2">
        <w:t xml:space="preserve">if they have ever heard of </w:t>
      </w:r>
      <w:r w:rsidRPr="003728E2" w:rsidR="003728E2">
        <w:t>TrumpRx</w:t>
      </w:r>
      <w:r w:rsidRPr="00856B3F">
        <w:t xml:space="preserve">. This item is modeled after the Make America Healthy Again knowledge items fielded in the Fall 2025 MCBS Beneficiary Trust Pulse Supplement (0938-1275, </w:t>
      </w:r>
      <w:r w:rsidRPr="00856B3F">
        <w:t>GenIC</w:t>
      </w:r>
      <w:r w:rsidRPr="00856B3F">
        <w:t xml:space="preserve"> #8). Those who report they </w:t>
      </w:r>
      <w:r w:rsidR="003728E2">
        <w:t>have heard</w:t>
      </w:r>
      <w:r w:rsidRPr="00856B3F">
        <w:t xml:space="preserve"> about the program will be asked if they have visited or accessed the official website for </w:t>
      </w:r>
      <w:r w:rsidRPr="00856B3F">
        <w:t>TrumpRx</w:t>
      </w:r>
      <w:r w:rsidRPr="00856B3F">
        <w:t xml:space="preserve">. Finally, respondents who </w:t>
      </w:r>
      <w:r w:rsidRPr="00856B3F">
        <w:t>report</w:t>
      </w:r>
      <w:r w:rsidRPr="00856B3F">
        <w:t xml:space="preserve"> visiting the </w:t>
      </w:r>
      <w:r w:rsidRPr="00856B3F">
        <w:t>TrumpRx</w:t>
      </w:r>
      <w:r w:rsidRPr="00856B3F">
        <w:t xml:space="preserve"> website will be asked if they have used it to </w:t>
      </w:r>
      <w:r w:rsidRPr="00856B3F">
        <w:t>fill</w:t>
      </w:r>
      <w:r w:rsidRPr="00856B3F">
        <w:t xml:space="preserve"> a prescription. Understanding the extent to which Medicare enrollees are aware of and using </w:t>
      </w:r>
      <w:r w:rsidRPr="00856B3F">
        <w:t>TrumpRx</w:t>
      </w:r>
      <w:r w:rsidRPr="00856B3F">
        <w:t xml:space="preserve"> will provide the federal government with valuable data on whether additional outreach should occur and if these efforts can be specialized for different segments of the Medicare populations. Certain demographic groups may be less aware of the various provisions and may benefit from tailored outreach and education efforts.</w:t>
      </w:r>
    </w:p>
    <w:p w:rsidR="00856B3F" w:rsidRPr="00856B3F" w:rsidP="00587257" w14:paraId="4FCC7B0D" w14:textId="77777777">
      <w:pPr>
        <w:pStyle w:val="BodyText"/>
      </w:pPr>
      <w:r w:rsidRPr="00856B3F">
        <w:rPr>
          <w:b/>
          <w:bCs/>
        </w:rPr>
        <w:t xml:space="preserve">Adding one new item about hypertension management in the Health Status and Functioning Questionnaire (HFQ). </w:t>
      </w:r>
      <w:r w:rsidRPr="00856B3F">
        <w:t xml:space="preserve">The HFQ collects information on the prevalence of chronic conditions to provide a comprehensive view of Medicare beneficiary health status. Hypertension is a chronic condition of </w:t>
      </w:r>
      <w:r w:rsidRPr="00856B3F">
        <w:t>particular policy</w:t>
      </w:r>
      <w:r w:rsidRPr="00856B3F">
        <w:t xml:space="preserve"> interest given the high prevalence among Medicare beneficiaries and impact on Medicare spending. In 2021, the life-time prevalence of hypertension was approximately 64 percent among Medicare beneficiaries with traditional Medicare.</w:t>
      </w:r>
      <w:r w:rsidRPr="00856B3F">
        <w:rPr>
          <w:vertAlign w:val="superscript"/>
        </w:rPr>
        <w:t xml:space="preserve"> </w:t>
      </w:r>
      <w:r>
        <w:rPr>
          <w:vertAlign w:val="superscript"/>
        </w:rPr>
        <w:footnoteReference w:id="22"/>
      </w:r>
      <w:r w:rsidRPr="00856B3F">
        <w:t xml:space="preserve"> Hypertension puts individuals at risk of heart disease, which is a leading cause of mortality among older adults.</w:t>
      </w:r>
      <w:r>
        <w:rPr>
          <w:vertAlign w:val="superscript"/>
        </w:rPr>
        <w:footnoteReference w:id="23"/>
      </w:r>
      <w:r w:rsidRPr="00856B3F">
        <w:t xml:space="preserve"> Medications to treat hypertension are also among the most frequently prescribed in Medicare.</w:t>
      </w:r>
      <w:r>
        <w:rPr>
          <w:vertAlign w:val="superscript"/>
        </w:rPr>
        <w:footnoteReference w:id="24"/>
      </w:r>
      <w:r w:rsidRPr="00856B3F">
        <w:t xml:space="preserve"> </w:t>
      </w:r>
    </w:p>
    <w:p w:rsidR="00856B3F" w:rsidRPr="00856B3F" w:rsidP="00587257" w14:paraId="72998C7E" w14:textId="77777777">
      <w:pPr>
        <w:pStyle w:val="BodyText"/>
      </w:pPr>
      <w:r w:rsidRPr="00856B3F">
        <w:t>To supplement existing items on the prevalence of hypertension, one item will be added to assess whether the beneficiary’s hypertension is “well controlled.” The definition for “well controlled” will align with clinical guidelines.</w:t>
      </w:r>
      <w:r>
        <w:rPr>
          <w:vertAlign w:val="superscript"/>
        </w:rPr>
        <w:footnoteReference w:id="25"/>
      </w:r>
      <w:r w:rsidRPr="00856B3F">
        <w:t xml:space="preserve"> Later in the hypertension series, respondents are asked an existing item about how </w:t>
      </w:r>
      <w:r w:rsidRPr="00587257">
        <w:t>confident</w:t>
      </w:r>
      <w:r w:rsidRPr="00856B3F">
        <w:t xml:space="preserve"> they are in their ability to follow recommendations to control blood pressure. With the addition of the new hypertension control item, the universe for this existing confidence item will be adjusted so that respondents who report having well-controlled blood pressure all the time will now skip this item.</w:t>
      </w:r>
    </w:p>
    <w:p w:rsidR="00856B3F" w:rsidP="00587257" w14:paraId="07AFB7C3" w14:textId="77777777">
      <w:pPr>
        <w:pStyle w:val="BodyText"/>
      </w:pPr>
      <w:r w:rsidRPr="00856B3F">
        <w:t xml:space="preserve">The MCBS does not currently produce estimates for the prevalence of controlled and uncontrolled hypertension among Medicare beneficiaries in different health status groups (e.g., uncontrolled hypertension among beneficiaries who have diabetes or who have a particular body mass index). Collecting up-to-date information within the MCBS will allow CMS to generate group-level estimates aligned with current clinical standards, thereby improving modeling of coverage impacts, beneficiary eligibility, and federal spending projections. This information will also enhance the precision of the number of diagnosed chronic conditions </w:t>
      </w:r>
      <w:r w:rsidRPr="00856B3F">
        <w:t>measure</w:t>
      </w:r>
      <w:r w:rsidRPr="00856B3F">
        <w:t xml:space="preserve">, which </w:t>
      </w:r>
      <w:r w:rsidRPr="00856B3F">
        <w:t>serves</w:t>
      </w:r>
      <w:r w:rsidRPr="00856B3F">
        <w:t xml:space="preserve"> as a critical health status indicator used by the Office of the Actuary, the Center for Medicare and Medicaid Innovation (CMMI), and the Congressional Budget Office (CBO) for policy analysis, coverage analysis, and budget projections.</w:t>
      </w:r>
    </w:p>
    <w:p w:rsidR="003728E2" w:rsidP="00587257" w14:paraId="3890092C" w14:textId="012FE0C0">
      <w:pPr>
        <w:pStyle w:val="BodyText"/>
      </w:pPr>
      <w:r w:rsidRPr="003728E2">
        <w:rPr>
          <w:b/>
          <w:bCs/>
        </w:rPr>
        <w:t>Adding three new items about Nutrition to the HFQ.</w:t>
      </w:r>
      <w:r w:rsidRPr="003728E2">
        <w:t xml:space="preserve"> CMS will add a three-item series on nutrition to the MCBS to better understand how nutrition influences health trajectories among older adults and people with disabilities. Two items related to </w:t>
      </w:r>
      <w:r w:rsidRPr="003728E2">
        <w:t>intake of fruit</w:t>
      </w:r>
      <w:r w:rsidRPr="003728E2">
        <w:t xml:space="preserve"> and vegetables will be added, along with one item which asks if a health care professional has talked with the beneficiary about healthy eating. All three items were previously fielded to MCBS respondents as part of the Patient-Reported Indicator Survey (PaRIS)</w:t>
      </w:r>
      <w:r>
        <w:rPr>
          <w:vertAlign w:val="superscript"/>
        </w:rPr>
        <w:footnoteReference w:id="26"/>
      </w:r>
      <w:r w:rsidRPr="003728E2">
        <w:t xml:space="preserve">, where they were easily understood. </w:t>
      </w:r>
    </w:p>
    <w:p w:rsidR="0035252E" w:rsidP="00587257" w14:paraId="3B1746D8" w14:textId="5F546B0F">
      <w:pPr>
        <w:pStyle w:val="BodyText"/>
        <w:rPr>
          <w:b/>
          <w:bCs/>
        </w:rPr>
      </w:pPr>
      <w:r>
        <w:rPr>
          <w:b/>
          <w:bCs/>
        </w:rPr>
        <w:t>Burden-neutral o</w:t>
      </w:r>
      <w:r w:rsidRPr="0035252E">
        <w:rPr>
          <w:b/>
          <w:bCs/>
        </w:rPr>
        <w:t>perational changes include the addition of a web-based mode for the Facility instrument and updates to respondent materials for the Facility and Community instruments.</w:t>
      </w:r>
    </w:p>
    <w:p w:rsidR="0045352D" w:rsidRPr="0045352D" w:rsidP="008C3393" w14:paraId="0A5E5EFA" w14:textId="3B5C663F">
      <w:pPr>
        <w:pStyle w:val="ListBullet2"/>
        <w:keepLines w:val="0"/>
      </w:pPr>
      <w:r>
        <w:rPr>
          <w:b/>
          <w:bCs/>
        </w:rPr>
        <w:t>Adding</w:t>
      </w:r>
      <w:r w:rsidRPr="0045352D">
        <w:rPr>
          <w:b/>
          <w:bCs/>
        </w:rPr>
        <w:t xml:space="preserve"> a web-based survey mode for the Facility Instrument and related revisions to the Facility Screener</w:t>
      </w:r>
      <w:r w:rsidRPr="0045352D">
        <w:t xml:space="preserve">. The Facility screener, which </w:t>
      </w:r>
      <w:r w:rsidRPr="0045352D">
        <w:t>screens for</w:t>
      </w:r>
      <w:r w:rsidRPr="0045352D">
        <w:t xml:space="preserve"> MCBS facility eligibility, will continue to be completed as an interviewer-administered phone survey for new facilities and will include items formerly administered as part of the Facility Questionnaire (FQ). </w:t>
      </w:r>
      <w:r w:rsidRPr="0045352D">
        <w:t xml:space="preserve">In </w:t>
      </w:r>
      <w:r w:rsidRPr="0045352D">
        <w:t>order to</w:t>
      </w:r>
      <w:r w:rsidRPr="0045352D">
        <w:t xml:space="preserve"> facilitate self-administration of the web survey, existing content has been migrated into three survey sections: Survey 1, Survey 2, and Survey 3. For both interviewer-administered or self-administered interviews, the Facility instrument will now consist of three sections:</w:t>
      </w:r>
    </w:p>
    <w:p w:rsidR="0045352D" w:rsidRPr="0045352D" w:rsidP="008C3393" w14:paraId="616E4E0C" w14:textId="77777777">
      <w:pPr>
        <w:pStyle w:val="ListBullet3"/>
      </w:pPr>
      <w:r w:rsidRPr="0045352D">
        <w:rPr>
          <w:b/>
          <w:bCs/>
        </w:rPr>
        <w:t>Survey 1</w:t>
      </w:r>
      <w:r w:rsidRPr="0045352D">
        <w:t xml:space="preserve"> contains content migrated from the Facility Questionnaire (FQ), Residence History (RH), and Background Questionnaire (BQ) and asks about Facility contact information and Facility information such as the CMS Certification Number (CCN) and certification and licensing status, residence history for the beneficiary, and beneficiary sociodemographic information.  </w:t>
      </w:r>
    </w:p>
    <w:p w:rsidR="0045352D" w:rsidRPr="0045352D" w:rsidP="008C3393" w14:paraId="5FB50929" w14:textId="77777777">
      <w:pPr>
        <w:pStyle w:val="ListBullet3"/>
      </w:pPr>
      <w:r w:rsidRPr="0045352D">
        <w:rPr>
          <w:b/>
          <w:bCs/>
        </w:rPr>
        <w:t>Survey 2</w:t>
      </w:r>
      <w:r w:rsidRPr="0045352D">
        <w:t xml:space="preserve"> contains content migrated from the Health Insurance (IN) and Expenditures (EX) sections and asks about beneficiary health insurance and expenditures. </w:t>
      </w:r>
    </w:p>
    <w:p w:rsidR="0045352D" w:rsidRPr="0045352D" w:rsidP="008C3393" w14:paraId="47C2C700" w14:textId="615E743A">
      <w:pPr>
        <w:pStyle w:val="ListBullet3"/>
      </w:pPr>
      <w:r w:rsidRPr="0045352D">
        <w:rPr>
          <w:b/>
          <w:bCs/>
        </w:rPr>
        <w:t>Survey 3</w:t>
      </w:r>
      <w:r w:rsidRPr="0045352D">
        <w:t xml:space="preserve"> contains content </w:t>
      </w:r>
      <w:r w:rsidRPr="0045352D">
        <w:t>migrated</w:t>
      </w:r>
      <w:r w:rsidRPr="0045352D">
        <w:t xml:space="preserve"> from the Health Status (HS) and Use of Health Services (US) sections and asks about beneficiary health status and use of health services. </w:t>
      </w:r>
    </w:p>
    <w:p w:rsidR="0045352D" w:rsidRPr="00856411" w:rsidP="008C3393" w14:paraId="1E7A19DD" w14:textId="686F5650">
      <w:pPr>
        <w:pStyle w:val="ListBullet2"/>
        <w:rPr>
          <w:b/>
          <w:bCs/>
        </w:rPr>
      </w:pPr>
      <w:r>
        <w:rPr>
          <w:b/>
          <w:bCs/>
        </w:rPr>
        <w:t>Adding new</w:t>
      </w:r>
      <w:r w:rsidRPr="0045352D">
        <w:rPr>
          <w:b/>
          <w:bCs/>
        </w:rPr>
        <w:t xml:space="preserve"> Facility </w:t>
      </w:r>
      <w:r>
        <w:rPr>
          <w:b/>
          <w:bCs/>
        </w:rPr>
        <w:t>m</w:t>
      </w:r>
      <w:r w:rsidRPr="0045352D">
        <w:rPr>
          <w:b/>
          <w:bCs/>
        </w:rPr>
        <w:t xml:space="preserve">aterials. </w:t>
      </w:r>
      <w:r w:rsidRPr="0045352D">
        <w:t>In preparation for the implementation of the facility web survey mode, CMS has also developed an initial change letter, which explains the option to complete web interviews for existing continuing facility cases, a screener advance letter, which is sent to facilities ahead of the screening call to explain the process, survey-specific invitation letters for each section of the web survey – including a separate letter designed for billing office staff – and reminder letters/postcards, to be sent as needed to non-responders</w:t>
      </w:r>
    </w:p>
    <w:p w:rsidR="001A0CF5" w:rsidRPr="00856411" w:rsidP="008C3393" w14:paraId="63E28D2C" w14:textId="26E0A344">
      <w:pPr>
        <w:pStyle w:val="ListBullet2"/>
        <w:rPr>
          <w:b/>
          <w:bCs/>
        </w:rPr>
      </w:pPr>
      <w:r w:rsidRPr="00856411">
        <w:rPr>
          <w:b/>
          <w:bCs/>
        </w:rPr>
        <w:t xml:space="preserve">Updating Community </w:t>
      </w:r>
      <w:r w:rsidR="00742B53">
        <w:rPr>
          <w:b/>
          <w:bCs/>
        </w:rPr>
        <w:t>m</w:t>
      </w:r>
      <w:r w:rsidRPr="00856411">
        <w:rPr>
          <w:b/>
          <w:bCs/>
        </w:rPr>
        <w:t xml:space="preserve">aterials. </w:t>
      </w:r>
      <w:r w:rsidRPr="00856411">
        <w:t xml:space="preserve">The Community brochure has been updated to modernize and streamline language and update statistics and publications. In response to the inclusion of </w:t>
      </w:r>
      <w:r w:rsidRPr="00856411">
        <w:t>video enhanced</w:t>
      </w:r>
      <w:r w:rsidRPr="00856411">
        <w:t xml:space="preserve"> telephone interviewing, CMS is adding a new material designed to serve as a gaining cooperation tool for continuing respondents to provide information on the video interviewing process. Mentions of the video </w:t>
      </w:r>
      <w:r w:rsidRPr="00856411">
        <w:t>interviewing</w:t>
      </w:r>
      <w:r w:rsidRPr="00856411">
        <w:t xml:space="preserve"> option were added to the Community Advance Letters. All materials with the MCBS logo were updated to reflect the new MCBS logo.</w:t>
      </w:r>
    </w:p>
    <w:p w:rsidR="0088452B" w:rsidRPr="00946F0A" w:rsidP="00224949" w14:paraId="5510938C" w14:textId="55B8D005">
      <w:pPr>
        <w:pStyle w:val="Heading5"/>
        <w:rPr>
          <w:sz w:val="24"/>
          <w:szCs w:val="24"/>
        </w:rPr>
      </w:pPr>
      <w:r w:rsidRPr="00946F0A">
        <w:rPr>
          <w:sz w:val="24"/>
          <w:szCs w:val="24"/>
        </w:rPr>
        <w:t xml:space="preserve">Rounds </w:t>
      </w:r>
      <w:r w:rsidR="00CD0D2B">
        <w:rPr>
          <w:sz w:val="24"/>
          <w:szCs w:val="24"/>
        </w:rPr>
        <w:t xml:space="preserve">107 </w:t>
      </w:r>
      <w:r w:rsidR="00681CB0">
        <w:rPr>
          <w:sz w:val="24"/>
          <w:szCs w:val="24"/>
        </w:rPr>
        <w:t xml:space="preserve">through </w:t>
      </w:r>
      <w:r w:rsidR="00CD0D2B">
        <w:rPr>
          <w:sz w:val="24"/>
          <w:szCs w:val="24"/>
        </w:rPr>
        <w:t>115</w:t>
      </w:r>
      <w:r w:rsidRPr="00946F0A" w:rsidR="00CD0D2B">
        <w:rPr>
          <w:sz w:val="24"/>
          <w:szCs w:val="24"/>
        </w:rPr>
        <w:t xml:space="preserve"> </w:t>
      </w:r>
      <w:r w:rsidRPr="00946F0A" w:rsidR="00974F57">
        <w:rPr>
          <w:sz w:val="24"/>
          <w:szCs w:val="24"/>
        </w:rPr>
        <w:t>Data C</w:t>
      </w:r>
      <w:r w:rsidRPr="00946F0A">
        <w:rPr>
          <w:sz w:val="24"/>
          <w:szCs w:val="24"/>
        </w:rPr>
        <w:t xml:space="preserve">ollection </w:t>
      </w:r>
      <w:r w:rsidRPr="00946F0A" w:rsidR="00974F57">
        <w:rPr>
          <w:sz w:val="24"/>
          <w:szCs w:val="24"/>
        </w:rPr>
        <w:t>P</w:t>
      </w:r>
      <w:r w:rsidRPr="00946F0A">
        <w:rPr>
          <w:sz w:val="24"/>
          <w:szCs w:val="24"/>
        </w:rPr>
        <w:t>rocedures</w:t>
      </w:r>
    </w:p>
    <w:p w:rsidR="00E752DB" w:rsidRPr="00587257" w:rsidP="00587257" w14:paraId="679D240B" w14:textId="0CCE5704">
      <w:pPr>
        <w:pStyle w:val="BodyText"/>
      </w:pPr>
      <w:r>
        <w:t xml:space="preserve">The </w:t>
      </w:r>
      <w:r w:rsidRPr="007F2779">
        <w:t xml:space="preserve">MCBS </w:t>
      </w:r>
      <w:r>
        <w:t xml:space="preserve">Community questionnaire </w:t>
      </w:r>
      <w:r w:rsidRPr="007F2779">
        <w:t xml:space="preserve">is conducted primarily by telephone with supplemental in-person outreach and the use of video calls. Below we describe the data collection outreach process and related materials (found in Attachment 1). Outreach strategies and materials vary based on sample type: Incoming Panel sample requires more dedicated outreach to introduce beneficiaries to the survey and gain initial cooperation. </w:t>
      </w:r>
      <w:r w:rsidR="00586D22">
        <w:t xml:space="preserve">Outreach </w:t>
      </w:r>
      <w:r w:rsidR="008B16EF">
        <w:t>for</w:t>
      </w:r>
      <w:r w:rsidR="00586D22">
        <w:t xml:space="preserve"> s</w:t>
      </w:r>
      <w:r w:rsidRPr="007F2779">
        <w:t>ubsequent Continuing interviews serve</w:t>
      </w:r>
      <w:r w:rsidR="008B16EF">
        <w:t>s</w:t>
      </w:r>
      <w:r w:rsidRPr="007F2779">
        <w:t xml:space="preserve"> to remind beneficiaries of the importance of continued participation.</w:t>
      </w:r>
    </w:p>
    <w:p w:rsidR="00827B31" w:rsidRPr="00827B31" w:rsidP="00827B31" w14:paraId="78183A57" w14:textId="7910F7B2">
      <w:pPr>
        <w:pStyle w:val="BodyText"/>
      </w:pPr>
      <w:r w:rsidRPr="006513F9">
        <w:rPr>
          <w:b/>
          <w:bCs/>
          <w:i/>
          <w:iCs/>
        </w:rPr>
        <w:t xml:space="preserve">Outreach </w:t>
      </w:r>
      <w:r w:rsidRPr="006513F9" w:rsidR="007F2779">
        <w:rPr>
          <w:b/>
          <w:bCs/>
          <w:i/>
          <w:iCs/>
        </w:rPr>
        <w:t>to</w:t>
      </w:r>
      <w:r w:rsidRPr="006513F9">
        <w:rPr>
          <w:b/>
          <w:bCs/>
          <w:i/>
          <w:iCs/>
        </w:rPr>
        <w:t xml:space="preserve"> Incoming Panel sample </w:t>
      </w:r>
      <w:r w:rsidRPr="006513F9">
        <w:rPr>
          <w:b/>
          <w:bCs/>
          <w:i/>
          <w:iCs/>
        </w:rPr>
        <w:t>persons</w:t>
      </w:r>
      <w:r w:rsidRPr="006513F9">
        <w:rPr>
          <w:b/>
          <w:bCs/>
          <w:i/>
          <w:iCs/>
        </w:rPr>
        <w:t xml:space="preserve"> in the community.</w:t>
      </w:r>
      <w:r w:rsidRPr="007F2779">
        <w:t xml:space="preserve"> In the Fall rounds (Round 109, 112</w:t>
      </w:r>
      <w:r w:rsidR="00CD0D2B">
        <w:t>, 115</w:t>
      </w:r>
      <w:r w:rsidRPr="007F2779">
        <w:t xml:space="preserve">), all newly selected beneficiaries will be mailed a </w:t>
      </w:r>
      <w:r w:rsidRPr="00946F0A">
        <w:rPr>
          <w:b/>
          <w:bCs/>
        </w:rPr>
        <w:t>Community Advance Letter</w:t>
      </w:r>
      <w:r w:rsidRPr="007F2779">
        <w:t xml:space="preserve"> from the </w:t>
      </w:r>
      <w:r w:rsidR="006C735C">
        <w:t>CMS</w:t>
      </w:r>
      <w:r w:rsidRPr="007F2779">
        <w:t xml:space="preserve">. This letter serves to provide notification to the beneficiary that an interviewer will contact them to request an interview. </w:t>
      </w:r>
      <w:r w:rsidR="00426D8A">
        <w:t xml:space="preserve">It also includes a copy of the </w:t>
      </w:r>
      <w:r w:rsidRPr="00946F0A" w:rsidR="00426D8A">
        <w:rPr>
          <w:b/>
          <w:bCs/>
        </w:rPr>
        <w:t>MCBS Community Brochure</w:t>
      </w:r>
      <w:r w:rsidR="00426D8A">
        <w:t xml:space="preserve">. </w:t>
      </w:r>
      <w:r>
        <w:t xml:space="preserve">The letter is </w:t>
      </w:r>
      <w:r w:rsidR="00426D8A">
        <w:t>printed</w:t>
      </w:r>
      <w:r>
        <w:t xml:space="preserve"> in both English and Spanish </w:t>
      </w:r>
      <w:r w:rsidR="00D737ED">
        <w:t xml:space="preserve">for </w:t>
      </w:r>
      <w:r>
        <w:t xml:space="preserve">all beneficiaries and a </w:t>
      </w:r>
      <w:r w:rsidR="00426D8A">
        <w:t>L</w:t>
      </w:r>
      <w:r>
        <w:t xml:space="preserve">anguage </w:t>
      </w:r>
      <w:r w:rsidR="00426D8A">
        <w:t>I</w:t>
      </w:r>
      <w:r>
        <w:t>nsert is</w:t>
      </w:r>
      <w:r w:rsidRPr="00827B31">
        <w:t xml:space="preserve"> included </w:t>
      </w:r>
      <w:r w:rsidR="00426D8A">
        <w:t>t</w:t>
      </w:r>
      <w:r w:rsidRPr="00827B31">
        <w:t xml:space="preserve">o provide an explanation of the survey for respondents who do not speak English or Spanish. </w:t>
      </w:r>
      <w:r w:rsidRPr="00426D8A" w:rsidR="00426D8A">
        <w:t>Following this letter, outreach is made by telephone to locate the beneficiary and begin the interview.</w:t>
      </w:r>
    </w:p>
    <w:p w:rsidR="00E752DB" w:rsidRPr="007F2779" w:rsidP="00946F0A" w14:paraId="0477353F" w14:textId="6E3B2B30">
      <w:pPr>
        <w:pStyle w:val="BodyText"/>
      </w:pPr>
      <w:r w:rsidRPr="00946F0A">
        <w:rPr>
          <w:b/>
          <w:bCs/>
        </w:rPr>
        <w:t>Refusal and Reminder Letters</w:t>
      </w:r>
      <w:r w:rsidRPr="007F2779">
        <w:t xml:space="preserve"> are sent as needed based on case disposition and call history. These materials may also contain the </w:t>
      </w:r>
      <w:r w:rsidRPr="00426D8A">
        <w:t xml:space="preserve">MCBS Community Brochure </w:t>
      </w:r>
      <w:r w:rsidRPr="007F2779">
        <w:t xml:space="preserve">and answers to frequently asked questions. </w:t>
      </w:r>
      <w:r w:rsidRPr="00946F0A">
        <w:rPr>
          <w:b/>
          <w:bCs/>
        </w:rPr>
        <w:t>Thank You Letters</w:t>
      </w:r>
      <w:r w:rsidRPr="007F2779">
        <w:t xml:space="preserve"> acknowledging participation </w:t>
      </w:r>
      <w:r w:rsidR="00D737ED">
        <w:t xml:space="preserve">and an </w:t>
      </w:r>
      <w:r w:rsidRPr="00945E1A" w:rsidR="00D737ED">
        <w:rPr>
          <w:b/>
          <w:bCs/>
        </w:rPr>
        <w:t xml:space="preserve">Annual Respondent </w:t>
      </w:r>
      <w:r w:rsidRPr="00945E1A" w:rsidR="00D737ED">
        <w:rPr>
          <w:b/>
          <w:bCs/>
        </w:rPr>
        <w:t>Newsletter</w:t>
      </w:r>
      <w:r w:rsidR="00D737ED">
        <w:t xml:space="preserve"> </w:t>
      </w:r>
      <w:r w:rsidRPr="007F2779">
        <w:t>provide additional ways to build rapport and gain cooperation with beneficiaries and further improve response rates.</w:t>
      </w:r>
      <w:r w:rsidR="00BA2FEB">
        <w:t xml:space="preserve"> Finally, an </w:t>
      </w:r>
      <w:r w:rsidRPr="00946F0A" w:rsidR="00BA2FEB">
        <w:rPr>
          <w:b/>
          <w:bCs/>
        </w:rPr>
        <w:t>MCBS Calendar</w:t>
      </w:r>
      <w:r w:rsidR="00BA2FEB">
        <w:t xml:space="preserve"> is available to respondents who would like to use it to track health care events and purchases. The calendar may be provided during an in-person interview or by mail.</w:t>
      </w:r>
    </w:p>
    <w:p w:rsidR="006A0B83" w:rsidP="00946F0A" w14:paraId="125DDD66" w14:textId="34773BFE">
      <w:pPr>
        <w:pStyle w:val="BodyText"/>
      </w:pPr>
      <w:r>
        <w:t>F</w:t>
      </w:r>
      <w:r w:rsidRPr="00D94F41" w:rsidR="00974F57">
        <w:t xml:space="preserve">ield </w:t>
      </w:r>
      <w:r w:rsidRPr="00D94F41" w:rsidR="004112E2">
        <w:t>interviewers</w:t>
      </w:r>
      <w:bookmarkStart w:id="27" w:name="B3._Methods_for_Maximizing_Response_Rate"/>
      <w:bookmarkEnd w:id="27"/>
      <w:r w:rsidRPr="00D94F41" w:rsidR="00974F57">
        <w:t xml:space="preserve"> </w:t>
      </w:r>
      <w:r>
        <w:t xml:space="preserve">also receive printed </w:t>
      </w:r>
      <w:r w:rsidRPr="00D94F41" w:rsidR="004112E2">
        <w:t xml:space="preserve">copies of </w:t>
      </w:r>
      <w:r w:rsidR="007F2779">
        <w:t xml:space="preserve">the </w:t>
      </w:r>
      <w:r>
        <w:t xml:space="preserve">respondent </w:t>
      </w:r>
      <w:r w:rsidRPr="00D94F41" w:rsidR="007B4872">
        <w:t xml:space="preserve">materials </w:t>
      </w:r>
      <w:r w:rsidR="007F2779">
        <w:t xml:space="preserve">described above </w:t>
      </w:r>
      <w:r>
        <w:t>which can be shown or mailed to</w:t>
      </w:r>
      <w:r w:rsidRPr="00D94F41" w:rsidR="004112E2">
        <w:t xml:space="preserve"> respondents who do not recall receiving </w:t>
      </w:r>
      <w:r w:rsidRPr="00D94F41" w:rsidR="007B4872">
        <w:t xml:space="preserve">them </w:t>
      </w:r>
      <w:r w:rsidRPr="00D94F41" w:rsidR="004112E2">
        <w:t>in the mail</w:t>
      </w:r>
      <w:r>
        <w:t xml:space="preserve">. </w:t>
      </w:r>
      <w:r w:rsidR="007864F6">
        <w:t xml:space="preserve">For limited </w:t>
      </w:r>
      <w:r>
        <w:t>in-person outreach,</w:t>
      </w:r>
      <w:r w:rsidR="007864F6">
        <w:t xml:space="preserve"> interviewers also have a</w:t>
      </w:r>
      <w:r w:rsidR="007F33D4">
        <w:t xml:space="preserve"> </w:t>
      </w:r>
      <w:r w:rsidRPr="007F33D4" w:rsidR="007F33D4">
        <w:rPr>
          <w:b/>
          <w:bCs/>
        </w:rPr>
        <w:t xml:space="preserve">Frequently Asked Questions document </w:t>
      </w:r>
      <w:r w:rsidRPr="007F33D4" w:rsidR="007F2779">
        <w:t>which contains answers to frequently</w:t>
      </w:r>
      <w:r w:rsidR="007F2779">
        <w:t xml:space="preserve"> asked questions and can be read to or by the respondent.</w:t>
      </w:r>
      <w:r w:rsidRPr="00D94F41" w:rsidR="00C00B83">
        <w:t xml:space="preserve"> </w:t>
      </w:r>
    </w:p>
    <w:p w:rsidR="007F2779" w:rsidRPr="007F2779" w:rsidP="007F2779" w14:paraId="1AEFBFB7" w14:textId="77A99E76">
      <w:pPr>
        <w:pStyle w:val="BodyText"/>
      </w:pPr>
      <w:r w:rsidRPr="007F2779">
        <w:t>Regardless of mode of administration, Community interviews (Rounds 10</w:t>
      </w:r>
      <w:r w:rsidR="00CD0D2B">
        <w:t>7</w:t>
      </w:r>
      <w:r w:rsidRPr="007F2779">
        <w:t>-11</w:t>
      </w:r>
      <w:r w:rsidR="00CD0D2B">
        <w:t>5</w:t>
      </w:r>
      <w:r w:rsidRPr="007F2779">
        <w:t xml:space="preserve">) will be administered to the respondent or a designated proxy using a </w:t>
      </w:r>
      <w:r w:rsidR="00D841AD">
        <w:t>CAPI</w:t>
      </w:r>
      <w:r w:rsidRPr="007F2779" w:rsidR="00D841AD">
        <w:t xml:space="preserve"> </w:t>
      </w:r>
      <w:r w:rsidRPr="007F2779">
        <w:t>program on a laptop computer. Attachment 2 includes a copy of all questionnaire sections administered in the Baseline interview, the Continuing interview, and the Showcards used by the interviewer to assist in the interviewing process</w:t>
      </w:r>
      <w:r>
        <w:rPr>
          <w:rStyle w:val="FootnoteReference"/>
        </w:rPr>
        <w:footnoteReference w:id="27"/>
      </w:r>
      <w:r w:rsidRPr="007F2779">
        <w:t>.</w:t>
      </w:r>
      <w:r>
        <w:t xml:space="preserve"> </w:t>
      </w:r>
    </w:p>
    <w:p w:rsidR="007F2779" w:rsidP="00946F0A" w14:paraId="5C652C8E" w14:textId="6C31C4BB">
      <w:pPr>
        <w:pStyle w:val="BodyText"/>
      </w:pPr>
      <w:r w:rsidRPr="006513F9">
        <w:rPr>
          <w:b/>
          <w:bCs/>
          <w:i/>
          <w:iCs/>
        </w:rPr>
        <w:t xml:space="preserve">Interviews with sample </w:t>
      </w:r>
      <w:r w:rsidRPr="006513F9">
        <w:rPr>
          <w:b/>
          <w:bCs/>
          <w:i/>
          <w:iCs/>
        </w:rPr>
        <w:t>persons</w:t>
      </w:r>
      <w:r w:rsidRPr="006513F9">
        <w:rPr>
          <w:b/>
          <w:bCs/>
          <w:i/>
          <w:iCs/>
        </w:rPr>
        <w:t xml:space="preserve"> in institutions. </w:t>
      </w:r>
      <w:r>
        <w:t xml:space="preserve">For all facility residents, the Facility Eligibility Screener is administered </w:t>
      </w:r>
      <w:r w:rsidR="00D314D4">
        <w:t xml:space="preserve">by phone </w:t>
      </w:r>
      <w:r>
        <w:t>each time a respondent is found to have entered a facility, or in the case of Baseline respondents, is currently in a facility (Attachment 3). The Facility instrument to be used in Rounds 10</w:t>
      </w:r>
      <w:r w:rsidR="00CD0D2B">
        <w:t>7</w:t>
      </w:r>
      <w:r>
        <w:t>-11</w:t>
      </w:r>
      <w:r w:rsidR="00CD0D2B">
        <w:t>5</w:t>
      </w:r>
      <w:r>
        <w:t xml:space="preserve"> is shown in Attachment 4.</w:t>
      </w:r>
    </w:p>
    <w:p w:rsidR="007F2779" w:rsidP="00946F0A" w14:paraId="306B1F13" w14:textId="750BFED1">
      <w:pPr>
        <w:pStyle w:val="BodyText"/>
      </w:pPr>
      <w:r>
        <w:t>An advance letter is sent to all facilities prior to an interview</w:t>
      </w:r>
      <w:r w:rsidR="00FF2466">
        <w:t>er</w:t>
      </w:r>
      <w:r>
        <w:t xml:space="preserve"> contacting the facility for an interview (Attachment 5). CMS has also developed additional materials to gain cooperation including providing information on how to prepare for the interview, introducing the study to staff at third-party billing offices who may provide additional survey responses, and thanking the facility staff for participation.</w:t>
      </w:r>
      <w:r w:rsidR="00490388">
        <w:t xml:space="preserve"> With the introduction of web surveys, CMS has also developed an initial change letter, which explains the option to complete web interviews for existing continuing facility cases, </w:t>
      </w:r>
      <w:r w:rsidR="00AB2634">
        <w:t xml:space="preserve">a screener advance letter, which is sent to facilities ahead of the screening call to explain the process, survey-specific invitation letters for each section of the web survey – including </w:t>
      </w:r>
      <w:r w:rsidR="007A5BAE">
        <w:t xml:space="preserve">a separate </w:t>
      </w:r>
      <w:r w:rsidR="00AB2634">
        <w:t xml:space="preserve">letter </w:t>
      </w:r>
      <w:r w:rsidR="007A5BAE">
        <w:t xml:space="preserve">designed for </w:t>
      </w:r>
      <w:r w:rsidR="00AB2634">
        <w:t xml:space="preserve">billing office </w:t>
      </w:r>
      <w:r w:rsidR="007A5BAE">
        <w:t xml:space="preserve">staff </w:t>
      </w:r>
      <w:r w:rsidRPr="00AB2634" w:rsidR="00AB2634">
        <w:t xml:space="preserve">– </w:t>
      </w:r>
      <w:r w:rsidR="00490388">
        <w:t>and reminder letters/postcards, to be sen</w:t>
      </w:r>
      <w:r w:rsidR="00F44735">
        <w:t>t</w:t>
      </w:r>
      <w:r w:rsidR="00490388">
        <w:t xml:space="preserve"> as needed to non-responders</w:t>
      </w:r>
      <w:r w:rsidR="008D368C">
        <w:t xml:space="preserve"> (Attachment 5)</w:t>
      </w:r>
      <w:r w:rsidR="00490388">
        <w:t xml:space="preserve">.  </w:t>
      </w:r>
    </w:p>
    <w:p w:rsidR="007F2779" w:rsidP="00946F0A" w14:paraId="1893ED6D" w14:textId="77777777">
      <w:pPr>
        <w:pStyle w:val="BodyText"/>
      </w:pPr>
      <w:r>
        <w:t>Some facility administrators will require consent of the sample person or a next of kin before releasing any information. The data collection contractor will offer to obtain such written consent, using the Resident Consent Form, and Next of Kin Consent Form. These forms as well as a HIPAA letter are included in Attachment 5.</w:t>
      </w:r>
    </w:p>
    <w:p w:rsidR="0088452B" w:rsidRPr="00D94F41" w:rsidP="007C21B0" w14:paraId="36FB54A4" w14:textId="77777777">
      <w:pPr>
        <w:pStyle w:val="Heading4"/>
        <w:ind w:left="360" w:hanging="360"/>
      </w:pPr>
      <w:r w:rsidRPr="00D94F41">
        <w:t>Proxy rules.</w:t>
      </w:r>
    </w:p>
    <w:p w:rsidR="00D7763B" w:rsidRPr="00D94F41" w:rsidP="007C21B0" w14:paraId="18A8E652" w14:textId="11E64251">
      <w:pPr>
        <w:pStyle w:val="ListContinue"/>
      </w:pPr>
      <w:r w:rsidRPr="00D94F41">
        <w:t>For Community respondents, the preferred mode is self-response. Respondents are asked to designate proxy respondents. These are individuals who are knowledgeable about the respondent’s health care. In the MCBS, only those individuals who are designated by the respondents can serve as proxy respondents.</w:t>
      </w:r>
      <w:r w:rsidRPr="00D94F41">
        <w:t xml:space="preserve"> In addition, a proxy </w:t>
      </w:r>
      <w:r w:rsidRPr="00D94F41" w:rsidR="009D00DA">
        <w:t>is</w:t>
      </w:r>
      <w:r w:rsidRPr="00D94F41">
        <w:t xml:space="preserve"> utilized if a beneficiary had been reported as deceased during the current round’s reference period or if a beneficiary who was residing in the community in the previous round had since </w:t>
      </w:r>
      <w:r w:rsidRPr="00D94F41">
        <w:t>entered into</w:t>
      </w:r>
      <w:r w:rsidRPr="00D94F41">
        <w:t xml:space="preserve"> a long-term care facility. Proxy interviews are only used for the Community interview, as the Facility interview is conducted with a staff member located at the facility.</w:t>
      </w:r>
    </w:p>
    <w:p w:rsidR="0088452B" w:rsidRPr="00D94F41" w:rsidP="007C21B0" w14:paraId="676DC7DF" w14:textId="7D479EE1">
      <w:pPr>
        <w:pStyle w:val="ListContinue"/>
      </w:pPr>
      <w:r>
        <w:t xml:space="preserve">Upon screening a facility where a sampled beneficiary is determined to be living, the interviewers identify the appropriate staff at the facility best able to respond. MCBS </w:t>
      </w:r>
      <w:r>
        <w:t xml:space="preserve">interviewers do not interview residents in a facility. Instead, interviewers are trained to determine and seek out the appropriate staff for the interview. If a respondent is incarcerated, </w:t>
      </w:r>
      <w:r w:rsidR="00E24A78">
        <w:t xml:space="preserve">no interview is conducted. </w:t>
      </w:r>
    </w:p>
    <w:p w:rsidR="0088452B" w:rsidRPr="00D94F41" w:rsidP="00CF2B93" w14:paraId="180A3800" w14:textId="4B48BFDB">
      <w:pPr>
        <w:pStyle w:val="Heading3"/>
        <w:tabs>
          <w:tab w:val="left" w:pos="540"/>
        </w:tabs>
      </w:pPr>
      <w:bookmarkStart w:id="28" w:name="_Toc91154937"/>
      <w:bookmarkStart w:id="29" w:name="_Toc235370775"/>
      <w:r w:rsidRPr="00D94F41">
        <w:t>B3.</w:t>
      </w:r>
      <w:r w:rsidRPr="00D94F41" w:rsidR="00BB2D9F">
        <w:tab/>
      </w:r>
      <w:r w:rsidRPr="00D94F41">
        <w:t>Methods for Maximizing Response Rates and Dealing with Issues of Non-Response</w:t>
      </w:r>
      <w:bookmarkEnd w:id="28"/>
      <w:bookmarkEnd w:id="29"/>
    </w:p>
    <w:p w:rsidR="00CA0928" w:rsidRPr="00D94F41" w:rsidP="00BF3DA4" w14:paraId="713F8F56" w14:textId="72092B09">
      <w:pPr>
        <w:pStyle w:val="BodyText"/>
      </w:pPr>
      <w:r>
        <w:t>The sample for the MCBS is a heterogeneous population that presents a unique challenge for maximizing response rates. The survey selects respondents from two Medicare groups – those age 65 and over and those younger than 65 who have disabilities.</w:t>
      </w:r>
      <w:bookmarkStart w:id="30" w:name="OLE_LINK6"/>
      <w:r>
        <w:t xml:space="preserve"> </w:t>
      </w:r>
      <w:bookmarkEnd w:id="30"/>
      <w:r w:rsidR="00E778E5">
        <w:t>Advancing</w:t>
      </w:r>
      <w:r>
        <w:t xml:space="preserve"> age, poor health or poor health of a family member are common reasons for refusal. On the other hand, older </w:t>
      </w:r>
      <w:r>
        <w:t>persons</w:t>
      </w:r>
      <w:r>
        <w:t xml:space="preserve"> are the least mobile segment of the population and thus, for a longitudinal survey, there is generally a low instance of failing to locate respondents. </w:t>
      </w:r>
    </w:p>
    <w:p w:rsidR="00B10A10" w:rsidP="00B10A10" w14:paraId="69340ADC" w14:textId="1AB90CA0">
      <w:pPr>
        <w:pStyle w:val="BodyText"/>
      </w:pPr>
      <w:r>
        <w:t xml:space="preserve">Because this is a longitudinal survey, </w:t>
      </w:r>
      <w:r w:rsidR="00E778E5">
        <w:t xml:space="preserve">maximizing response rates is essential. </w:t>
      </w:r>
      <w:r>
        <w:t xml:space="preserve">When beneficiaries are selected from the enrollment database, name and address are available, but telephone numbers are not. </w:t>
      </w:r>
      <w:r>
        <w:t>Prefield</w:t>
      </w:r>
      <w:r>
        <w:t xml:space="preserve"> locating activities (including electronic database searches using LexisNexis</w:t>
      </w:r>
      <w:r w:rsidRPr="6E8CB351">
        <w:rPr>
          <w:vertAlign w:val="superscript"/>
        </w:rPr>
        <w:t>®</w:t>
      </w:r>
      <w:r>
        <w:t xml:space="preserve"> Accurint</w:t>
      </w:r>
      <w:r w:rsidRPr="6E8CB351">
        <w:rPr>
          <w:vertAlign w:val="superscript"/>
        </w:rPr>
        <w:t>®</w:t>
      </w:r>
      <w:r>
        <w:t>, Verisk Marketing Solutions</w:t>
      </w:r>
      <w:r w:rsidRPr="6E8CB351">
        <w:rPr>
          <w:vertAlign w:val="superscript"/>
        </w:rPr>
        <w:t>®</w:t>
      </w:r>
      <w:r>
        <w:t>, and TransUnion</w:t>
      </w:r>
      <w:r w:rsidRPr="6E8CB351">
        <w:rPr>
          <w:vertAlign w:val="superscript"/>
        </w:rPr>
        <w:t>®</w:t>
      </w:r>
      <w:r>
        <w:t xml:space="preserve"> </w:t>
      </w:r>
      <w:r>
        <w:t>TLOxp</w:t>
      </w:r>
      <w:r>
        <w:t xml:space="preserve"> batch processing) are used to verify or update selected sample addresses and to obtain telephone numbers when available. </w:t>
      </w:r>
    </w:p>
    <w:p w:rsidR="00B10A10" w:rsidP="00B10A10" w14:paraId="6E4C55B7" w14:textId="6DF57BD2">
      <w:pPr>
        <w:pStyle w:val="BodyText"/>
      </w:pPr>
      <w:r>
        <w:t>D</w:t>
      </w:r>
      <w:r w:rsidRPr="00B10A10">
        <w:t xml:space="preserve">ata collection staff may use additional </w:t>
      </w:r>
      <w:r>
        <w:t xml:space="preserve">outreach strategies and </w:t>
      </w:r>
      <w:r w:rsidRPr="00B10A10">
        <w:t>resources to establish legitimacy</w:t>
      </w:r>
      <w:r w:rsidR="00586D22">
        <w:t xml:space="preserve"> and encourage cooperation</w:t>
      </w:r>
      <w:r w:rsidRPr="00B10A10">
        <w:t xml:space="preserve">. A </w:t>
      </w:r>
      <w:r w:rsidRPr="00945E1A" w:rsidR="00D737ED">
        <w:rPr>
          <w:b/>
          <w:bCs/>
        </w:rPr>
        <w:t>C</w:t>
      </w:r>
      <w:r w:rsidRPr="00945E1A">
        <w:rPr>
          <w:b/>
          <w:bCs/>
        </w:rPr>
        <w:t xml:space="preserve">ommunity </w:t>
      </w:r>
      <w:r w:rsidRPr="00945E1A" w:rsidR="00D737ED">
        <w:rPr>
          <w:b/>
          <w:bCs/>
        </w:rPr>
        <w:t>A</w:t>
      </w:r>
      <w:r w:rsidRPr="00945E1A">
        <w:rPr>
          <w:b/>
          <w:bCs/>
        </w:rPr>
        <w:t xml:space="preserve">uthority </w:t>
      </w:r>
      <w:r w:rsidRPr="00945E1A" w:rsidR="00D737ED">
        <w:rPr>
          <w:b/>
          <w:bCs/>
        </w:rPr>
        <w:t>L</w:t>
      </w:r>
      <w:r w:rsidRPr="00945E1A">
        <w:rPr>
          <w:b/>
          <w:bCs/>
        </w:rPr>
        <w:t>etter</w:t>
      </w:r>
      <w:r w:rsidRPr="00B10A10">
        <w:t xml:space="preserve"> (Attachment 1) provides a summary of the survey to national organizations such as AARP and can be shared with regional or local groups (social service and health departments, area agencies on aging, and others) if interviewers or managers receive questions about the</w:t>
      </w:r>
      <w:r>
        <w:t xml:space="preserve"> legitimacy or purpose of the</w:t>
      </w:r>
      <w:r w:rsidRPr="00B10A10">
        <w:t xml:space="preserve"> survey. </w:t>
      </w:r>
      <w:r>
        <w:t xml:space="preserve">General information about </w:t>
      </w:r>
      <w:r>
        <w:t>the MCBS</w:t>
      </w:r>
      <w:r>
        <w:t xml:space="preserve"> is also made </w:t>
      </w:r>
      <w:r w:rsidRPr="00B10A10">
        <w:t xml:space="preserve">available </w:t>
      </w:r>
      <w:r w:rsidR="003D4D6D">
        <w:t>to</w:t>
      </w:r>
      <w:r w:rsidRPr="00B10A10">
        <w:t xml:space="preserve"> senior centers and other networks to which respondents are likely to belong or reach out (such as the 1-800-Medicare hotline)</w:t>
      </w:r>
      <w:r>
        <w:t xml:space="preserve">. </w:t>
      </w:r>
    </w:p>
    <w:p w:rsidR="00802BE0" w:rsidP="00802BE0" w14:paraId="6B42E337" w14:textId="1BA068AD">
      <w:pPr>
        <w:pStyle w:val="BodyText"/>
      </w:pPr>
      <w:r w:rsidRPr="00B10A10">
        <w:t>Additional mailings</w:t>
      </w:r>
      <w:r w:rsidR="003E551B">
        <w:t xml:space="preserve">, including </w:t>
      </w:r>
      <w:r w:rsidRPr="00B10A10">
        <w:t>reminder letters</w:t>
      </w:r>
      <w:r>
        <w:t xml:space="preserve"> or refusal conversion letters</w:t>
      </w:r>
      <w:r w:rsidR="003E551B">
        <w:t xml:space="preserve">, are sent </w:t>
      </w:r>
      <w:r>
        <w:t xml:space="preserve">to respondents </w:t>
      </w:r>
      <w:r w:rsidR="003E551B">
        <w:t xml:space="preserve">via regular or priority mail (FedEx or similar) </w:t>
      </w:r>
      <w:r>
        <w:t xml:space="preserve">to encourage their participation in the survey. Further, additional </w:t>
      </w:r>
      <w:r w:rsidRPr="00B10A10">
        <w:t xml:space="preserve">locating and tracing efforts </w:t>
      </w:r>
      <w:r>
        <w:t xml:space="preserve">may be used during data collection </w:t>
      </w:r>
      <w:r w:rsidRPr="00B10A10">
        <w:t>to maximize response</w:t>
      </w:r>
      <w:r w:rsidR="003E551B">
        <w:t xml:space="preserve"> and in some cases, interviewers may</w:t>
      </w:r>
      <w:r w:rsidRPr="00802BE0" w:rsidR="003E551B">
        <w:t xml:space="preserve"> suppleme</w:t>
      </w:r>
      <w:r w:rsidR="003E551B">
        <w:t>nt</w:t>
      </w:r>
      <w:r w:rsidRPr="00802BE0">
        <w:t xml:space="preserve"> phone interviews with video capability to build rapport and encourage longer term participation.</w:t>
      </w:r>
    </w:p>
    <w:p w:rsidR="0013229A" w:rsidRPr="0013229A" w:rsidP="0013229A" w14:paraId="0C28B561" w14:textId="77777777">
      <w:pPr>
        <w:pStyle w:val="BodyText"/>
      </w:pPr>
      <w:r w:rsidRPr="0013229A">
        <w:t>In addition to outreach, the following efforts remain in place to maintain a sense of validity and relevance among the survey participants.</w:t>
      </w:r>
    </w:p>
    <w:p w:rsidR="0013229A" w:rsidRPr="0013229A" w:rsidP="00587257" w14:paraId="10C2FE04" w14:textId="25E81DFA">
      <w:pPr>
        <w:pStyle w:val="ListNumber2"/>
        <w:spacing w:after="0"/>
        <w:contextualSpacing w:val="0"/>
      </w:pPr>
      <w:r>
        <w:t>Interviewer training emphasizes effective approaches for communicating with older adults and people with disabilities and ways to overcome difficulties respondents may have in participating.</w:t>
      </w:r>
    </w:p>
    <w:p w:rsidR="0013229A" w:rsidRPr="0013229A" w:rsidP="00587257" w14:paraId="2397A6A3" w14:textId="04E6ACE6">
      <w:pPr>
        <w:pStyle w:val="ListNumber2"/>
        <w:spacing w:after="0"/>
        <w:contextualSpacing w:val="0"/>
      </w:pPr>
      <w:r>
        <w:t xml:space="preserve">Experienced </w:t>
      </w:r>
      <w:r w:rsidRPr="0013229A">
        <w:t xml:space="preserve">NORC field management staff conduct specialized </w:t>
      </w:r>
      <w:r w:rsidRPr="0013229A">
        <w:t>follow up</w:t>
      </w:r>
      <w:r w:rsidRPr="0013229A">
        <w:t xml:space="preserve"> with respondents who express concerns about participating due to privacy or confidentiality questions.</w:t>
      </w:r>
    </w:p>
    <w:p w:rsidR="0013229A" w:rsidRPr="0013229A" w:rsidP="00587257" w14:paraId="0BE08420" w14:textId="1069D657">
      <w:pPr>
        <w:pStyle w:val="ListNumber2"/>
        <w:spacing w:after="0"/>
        <w:contextualSpacing w:val="0"/>
      </w:pPr>
      <w:r w:rsidRPr="0013229A">
        <w:t>A dedicated project email address (</w:t>
      </w:r>
      <w:hyperlink r:id="rId10" w:tooltip="Email MCBS" w:history="1">
        <w:r w:rsidRPr="0013229A">
          <w:rPr>
            <w:rStyle w:val="Hyperlink"/>
          </w:rPr>
          <w:t xml:space="preserve">mcbs@norc.org) </w:t>
        </w:r>
      </w:hyperlink>
      <w:r w:rsidRPr="0013229A">
        <w:t xml:space="preserve">and toll-free number (1-844-777-2151) </w:t>
      </w:r>
      <w:r w:rsidR="00B060E0">
        <w:t>are</w:t>
      </w:r>
      <w:r w:rsidRPr="0013229A" w:rsidR="00B060E0">
        <w:t xml:space="preserve"> </w:t>
      </w:r>
      <w:r w:rsidRPr="0013229A">
        <w:t>available to answer respondent's questions. This information is listed on various materials provided to the respondent.</w:t>
      </w:r>
    </w:p>
    <w:p w:rsidR="0013229A" w:rsidRPr="0013229A" w:rsidP="00587257" w14:paraId="3F3968FC" w14:textId="422C9B09">
      <w:pPr>
        <w:pStyle w:val="ListNumber2"/>
        <w:spacing w:after="0"/>
        <w:contextualSpacing w:val="0"/>
      </w:pPr>
      <w:r w:rsidRPr="0013229A">
        <w:t>A project website (</w:t>
      </w:r>
      <w:hyperlink r:id="rId11" w:tooltip="MCBS project home page" w:history="1">
        <w:r w:rsidRPr="00AF5CD4">
          <w:rPr>
            <w:rStyle w:val="Hyperlink"/>
          </w:rPr>
          <w:t>mcbs.norc.org</w:t>
        </w:r>
      </w:hyperlink>
      <w:r w:rsidRPr="0013229A">
        <w:t xml:space="preserve">) contains information for respondents on the project and has recently been updated to include a short explanatory video. Respondents are also informed about the CMS MCBS Project Page – </w:t>
      </w:r>
      <w:hyperlink r:id="rId12" w:tooltip="CMS MCBS Project Page" w:history="1">
        <w:r w:rsidRPr="0013229A">
          <w:rPr>
            <w:rStyle w:val="Hyperlink"/>
          </w:rPr>
          <w:t>www.cms.gov/mcbs</w:t>
        </w:r>
      </w:hyperlink>
      <w:r w:rsidRPr="0013229A">
        <w:t>.</w:t>
      </w:r>
    </w:p>
    <w:p w:rsidR="0013229A" w:rsidRPr="0013229A" w:rsidP="00587257" w14:paraId="187D6F94" w14:textId="77777777">
      <w:pPr>
        <w:pStyle w:val="ListNumber2"/>
        <w:spacing w:after="0"/>
        <w:contextualSpacing w:val="0"/>
      </w:pPr>
      <w:r w:rsidRPr="0013229A">
        <w:t>Respondents receive an annual MCBS newsletter, which includes information about the survey as well as seasonal topics such as winter safety tips for seniors. Attachment 1 contains an example of a recent newsletter.</w:t>
      </w:r>
    </w:p>
    <w:p w:rsidR="0013229A" w:rsidRPr="0013229A" w:rsidP="00587257" w14:paraId="1F2E470D" w14:textId="77777777">
      <w:pPr>
        <w:pStyle w:val="ListNumber2"/>
        <w:spacing w:after="0"/>
        <w:contextualSpacing w:val="0"/>
      </w:pPr>
      <w:r w:rsidRPr="0013229A">
        <w:t>Whenever possible, the respondent is paired with the same interviewer throughout the survey. This maintains rapport and establishes continuity of process in the interview, whether conducted by phone or in-person.</w:t>
      </w:r>
    </w:p>
    <w:p w:rsidR="0013229A" w:rsidRPr="0013229A" w:rsidP="00587257" w14:paraId="4D687FBC" w14:textId="77777777">
      <w:pPr>
        <w:pStyle w:val="ListNumber2"/>
        <w:spacing w:after="0"/>
        <w:contextualSpacing w:val="0"/>
      </w:pPr>
      <w:r w:rsidRPr="0013229A">
        <w:t>Interviewers are encouraged to use personal touches such as thank you notes and birthday cards to maintain contact with respondents.</w:t>
      </w:r>
    </w:p>
    <w:p w:rsidR="00B41CCA" w:rsidRPr="00D94F41" w:rsidP="00587257" w14:paraId="01F58D64" w14:textId="5B9785F1">
      <w:pPr>
        <w:pStyle w:val="BodyText"/>
        <w:spacing w:before="240"/>
      </w:pPr>
      <w:r>
        <w:t xml:space="preserve">CMS intensively monitors both unconditional and conditional response rates. The unconditional response rate is the percentage of sample that was released during the fall round of the selection year and responded to the survey </w:t>
      </w:r>
      <w:r>
        <w:t>in a given year</w:t>
      </w:r>
      <w:r>
        <w:t xml:space="preserve">. The unconditional response rates, also called cumulative response rates, use the original selected sample size as the baseline in their calculation. Conditional response rates are the percentages of </w:t>
      </w:r>
      <w:r>
        <w:t>sample</w:t>
      </w:r>
      <w:r>
        <w:t xml:space="preserve"> that were </w:t>
      </w:r>
      <w:r w:rsidRPr="152A381E">
        <w:rPr>
          <w:i/>
          <w:iCs/>
        </w:rPr>
        <w:t>eligible</w:t>
      </w:r>
      <w:r>
        <w:t xml:space="preserve"> at the beginning of the Fall round of a particular year and responded during that year. Conditional response rates use the sample who are eligible to participate in the survey (a subset of the sample released in the Fall round of the selection year) as the baseline in their calculation. In other words, they are conditioned on eligibility. Both indicators are very important for understanding trends about response rates and where interventions should optimally be targeted. These trends are monitored over the full historical span of the survey, providing important insights </w:t>
      </w:r>
      <w:r>
        <w:t>in</w:t>
      </w:r>
      <w:r>
        <w:t xml:space="preserve"> changes to response rates over time.</w:t>
      </w:r>
    </w:p>
    <w:p w:rsidR="006E0017" w:rsidP="00BD72D7" w14:paraId="10C5E216" w14:textId="4521D0F1">
      <w:pPr>
        <w:pStyle w:val="BodyText"/>
      </w:pPr>
      <w:r w:rsidRPr="00D94F41">
        <w:t>Response is tracked throughout each round by a host of key indicators includ</w:t>
      </w:r>
      <w:r w:rsidRPr="00D94F41" w:rsidR="00CB154A">
        <w:t>ing</w:t>
      </w:r>
      <w:r w:rsidRPr="00D94F41">
        <w:t xml:space="preserve"> panel, HHS region, residential status (community or facility), current year Medicare enrollees or </w:t>
      </w:r>
      <w:r w:rsidRPr="00D94F41">
        <w:t>not</w:t>
      </w:r>
      <w:r w:rsidRPr="00D94F41">
        <w:t>-current year enrollees</w:t>
      </w:r>
      <w:r w:rsidR="00294C87">
        <w:t xml:space="preserve"> and demographic variables</w:t>
      </w:r>
      <w:r w:rsidRPr="00D94F41" w:rsidR="00536D54">
        <w:t>.</w:t>
      </w:r>
      <w:r w:rsidRPr="00D94F41">
        <w:t xml:space="preserve"> </w:t>
      </w:r>
      <w:r w:rsidRPr="00D94F41" w:rsidR="00B41CCA">
        <w:t>In addition, perfo</w:t>
      </w:r>
      <w:r w:rsidRPr="00D94F41" w:rsidR="0043667E">
        <w:t>rmance by field interviewers is</w:t>
      </w:r>
      <w:r w:rsidRPr="00D94F41" w:rsidR="00B41CCA">
        <w:t xml:space="preserve"> also tracked to identify any staff who need additional training or support</w:t>
      </w:r>
      <w:r w:rsidRPr="00D94F41" w:rsidR="0043667E">
        <w:t xml:space="preserve"> to improve their interview completion rates</w:t>
      </w:r>
      <w:r w:rsidRPr="00D94F41" w:rsidR="00B41CCA">
        <w:t xml:space="preserve">. </w:t>
      </w:r>
      <w:r w:rsidRPr="00D94F41" w:rsidR="00344404">
        <w:t>CMS continually analyzes response rates</w:t>
      </w:r>
      <w:r w:rsidR="00827B31">
        <w:t xml:space="preserve"> and uses an adaptive design approach to target additional outreach efforts where needed.</w:t>
      </w:r>
      <w:r w:rsidRPr="00D94F41" w:rsidR="00344404">
        <w:t xml:space="preserve"> </w:t>
      </w:r>
    </w:p>
    <w:p w:rsidR="00D6709B" w:rsidRPr="00D6709B" w:rsidP="00D6709B" w14:paraId="1A397D7F" w14:textId="67D1D961">
      <w:pPr>
        <w:pStyle w:val="BodyText"/>
      </w:pPr>
      <w:r>
        <w:t xml:space="preserve">Over the rounds, the following patterns of nonresponse have been observed, which have or have not changed over time. In the most recent three rounds for which a full analysis of response rates </w:t>
      </w:r>
      <w:r>
        <w:t>have</w:t>
      </w:r>
      <w:r>
        <w:t xml:space="preserve"> been completed, the round-level response rates for continuing panels remain high, ranging from 78.3% for the 2020 panel in Round 89 to 95.7% for the 2017 panel in Round 89. Despite these high rates, each year continuing panels are subjected to a nonresponse adjustment based on new response propensity models by panel. Incoming Panels at the first interview (e.g., the 2021 panel at Round 91) show a larger propensity for nonresponse due to having never been reached prior to the first interview. In Round 91 the response rate for the 2021 Incoming Panel was 38.1%. Once again, </w:t>
      </w:r>
      <w:r w:rsidR="00E24A78">
        <w:t>CMS relies</w:t>
      </w:r>
      <w:r>
        <w:t xml:space="preserve"> on cells derived from response propensity models to account for differential effects of demographic and geographic characteristics on the resulting data. By accounting for these characteristics in constructing the adjustment cells, we reduce the potential for nonresponse bias that could arise due to these differential factors. </w:t>
      </w:r>
    </w:p>
    <w:p w:rsidR="00D6709B" w:rsidRPr="00D6709B" w:rsidP="00D6709B" w14:paraId="2A903998" w14:textId="77777777">
      <w:pPr>
        <w:pStyle w:val="BodyText"/>
      </w:pPr>
      <w:r w:rsidRPr="00D6709B">
        <w:t xml:space="preserve">Adaptive design methods have also been applied to measure the representativeness of the MCBS incoming sample. In 2017, CMS conducted a review of the Representativity Indicators (R- indicators) or metrics for the Fall 2017 Baseline interview to monitor the representativeness of the achieved sample. The R-indicators provided a quantitative assessment of which segments of the sample were over/under producing and causing the achieved sample to be imbalanced in terms of sample representativeness. </w:t>
      </w:r>
    </w:p>
    <w:p w:rsidR="00D6709B" w:rsidRPr="00D6709B" w:rsidP="00D6709B" w14:paraId="79FE487E" w14:textId="77777777">
      <w:pPr>
        <w:pStyle w:val="BodyText"/>
      </w:pPr>
      <w:r w:rsidRPr="00D6709B">
        <w:t xml:space="preserve">A sample R-indictor as well as two partial R-indicators (variable and category) are used to monitor representativeness of the panel. The variable R-indicator measures the representativeness of the sample associated with each variable (looking at the strength of each co-variate subpopulation such as race, ethnicity, age, sex, region) to predict response propensity. </w:t>
      </w:r>
      <w:r w:rsidRPr="00D6709B">
        <w:t xml:space="preserve">The category R-indicator then looks at the categories of each variable to measure representativeness of the responding sample.  </w:t>
      </w:r>
    </w:p>
    <w:p w:rsidR="00D6709B" w:rsidRPr="00D94F41" w:rsidP="00D6709B" w14:paraId="12DD7FDC" w14:textId="2B300688">
      <w:pPr>
        <w:pStyle w:val="BodyText"/>
      </w:pPr>
      <w:r w:rsidRPr="00D6709B">
        <w:t xml:space="preserve">Since their inception, R-indicators have not been observed outside these thresholds; consequently, no data collection interventions were needed to improve the representativeness of the achieved sample. Use of R-indicators, along with a continual review of annual and historical response rates and non-response bias analysis are important tools in understanding response and ensuring that the </w:t>
      </w:r>
      <w:r w:rsidRPr="00D6709B">
        <w:t>sample as a whole, as well as</w:t>
      </w:r>
      <w:r w:rsidRPr="00D6709B">
        <w:t xml:space="preserve"> subpopulations, are represented to produce high quality data.</w:t>
      </w:r>
    </w:p>
    <w:p w:rsidR="00B41CCA" w:rsidRPr="00D94F41" w:rsidP="00BD72D7" w14:paraId="10560013" w14:textId="5EB82456">
      <w:pPr>
        <w:pStyle w:val="BodyText"/>
      </w:pPr>
      <w:bookmarkStart w:id="31" w:name="B4._Tests_of_Procedures_or_Methods"/>
      <w:bookmarkEnd w:id="31"/>
      <w:r>
        <w:t xml:space="preserve">The most recent </w:t>
      </w:r>
      <w:r w:rsidRPr="00D94F41">
        <w:t xml:space="preserve">non-response bias analysis for the MCBS </w:t>
      </w:r>
      <w:r w:rsidRPr="00D94F41" w:rsidR="005C125F">
        <w:t>wa</w:t>
      </w:r>
      <w:r w:rsidRPr="00D94F41">
        <w:t xml:space="preserve">s </w:t>
      </w:r>
      <w:r w:rsidRPr="00D94F41" w:rsidR="005C125F">
        <w:t>conducted</w:t>
      </w:r>
      <w:r w:rsidRPr="00D94F41">
        <w:t xml:space="preserve"> based on the 20</w:t>
      </w:r>
      <w:r w:rsidR="00B05459">
        <w:t>21</w:t>
      </w:r>
      <w:r w:rsidRPr="00D94F41">
        <w:t xml:space="preserve"> Panel and w</w:t>
      </w:r>
      <w:r w:rsidRPr="00D94F41" w:rsidR="005C125F">
        <w:t>as</w:t>
      </w:r>
      <w:r w:rsidRPr="00D94F41">
        <w:t xml:space="preserve"> released in the final 20</w:t>
      </w:r>
      <w:r w:rsidR="00B05459">
        <w:t>21</w:t>
      </w:r>
      <w:r w:rsidRPr="00D94F41">
        <w:t xml:space="preserve"> Methodology Report</w:t>
      </w:r>
      <w:r>
        <w:rPr>
          <w:rStyle w:val="FootnoteReference"/>
        </w:rPr>
        <w:footnoteReference w:id="28"/>
      </w:r>
      <w:r w:rsidRPr="00D94F41">
        <w:t xml:space="preserve">. </w:t>
      </w:r>
      <w:r w:rsidRPr="00D94F41" w:rsidR="005C125F">
        <w:t>This analysis also included beneficiaries who participated in COVID-19 surveys.</w:t>
      </w:r>
      <w:r w:rsidRPr="00D94F41" w:rsidR="006D6CFC">
        <w:t xml:space="preserve"> </w:t>
      </w:r>
      <w:r w:rsidRPr="00D94F41">
        <w:t xml:space="preserve">While non-response is carefully monitored every year, a complete non-response bias analysis is updated </w:t>
      </w:r>
      <w:r w:rsidRPr="00D94F41" w:rsidR="00A43772">
        <w:t>every</w:t>
      </w:r>
      <w:r w:rsidRPr="00D94F41">
        <w:t xml:space="preserve"> three years to ascertain trends both annually and for subpopulations.</w:t>
      </w:r>
      <w:r w:rsidR="002601C1">
        <w:t xml:space="preserve"> The next non-response bias analysis for </w:t>
      </w:r>
      <w:r w:rsidR="002601C1">
        <w:t>the MCBS</w:t>
      </w:r>
      <w:r w:rsidR="002601C1">
        <w:t xml:space="preserve"> will be conducted based on the 202</w:t>
      </w:r>
      <w:r w:rsidR="00B05459">
        <w:t>4</w:t>
      </w:r>
      <w:r w:rsidR="002601C1">
        <w:t xml:space="preserve"> Panel and released with the forthcoming 202</w:t>
      </w:r>
      <w:r w:rsidR="00B05459">
        <w:t>4</w:t>
      </w:r>
      <w:r w:rsidR="002601C1">
        <w:t xml:space="preserve"> </w:t>
      </w:r>
      <w:r w:rsidR="00B05459">
        <w:t>documentation</w:t>
      </w:r>
      <w:r w:rsidR="002601C1">
        <w:t xml:space="preserve">. </w:t>
      </w:r>
    </w:p>
    <w:p w:rsidR="00540AD0" w:rsidRPr="001C1985" w:rsidP="00F260D7" w14:paraId="1AAB7BD0" w14:textId="618CC8D7">
      <w:pPr>
        <w:pStyle w:val="BodyText"/>
        <w:rPr>
          <w:spacing w:val="-2"/>
        </w:rPr>
      </w:pPr>
      <w:r>
        <w:t xml:space="preserve">In the most recent non-response bias analysis, </w:t>
      </w:r>
      <w:r>
        <w:t>Fall</w:t>
      </w:r>
      <w:r>
        <w:t xml:space="preserve"> 2021 respondents and non-respondents were compared on various measures, including frame characteristics, Medicare claims payments, and chronic conditions, </w:t>
      </w:r>
      <w:r>
        <w:t>in order to</w:t>
      </w:r>
      <w:r>
        <w:t xml:space="preserve"> identify areas of potential bias. The effects of weighting on potential nonresponse bias were also investigated: unweighted and weighted proportions of respondents across select frame-level attributes were compared to corresponding benchmarks. Small but statistically significant differences were found across many of these measures. Among the demographic characteristics, Incoming Panel nonrespondents appeared more likely to be female and younger, but the differences were not large. Continuing Panel nonrespondents generally tended to skew older than the respondents and were more likely to be Hispanic. </w:t>
      </w:r>
      <w:r w:rsidRPr="001C1985">
        <w:rPr>
          <w:spacing w:val="-2"/>
        </w:rPr>
        <w:t xml:space="preserve">In all panels, there were proportionately more respondents than nonrespondents located in the Northeast. Some of these demographic differences, such as imbalances among the youngest age group of respondents, are related to lower phone match rates which make it more difficult to conduct interviews by phone. Significant differences were also found across various claims payment measures but were minimal and not consistently in the same direction (i.e., sometimes respondents had higher claims payments in certain settings, and other times non-respondents did). The same was true for beneficiaries with chronic conditions: Incoming Panel respondents in the Fall round were more likely to have a </w:t>
      </w:r>
      <w:r w:rsidRPr="001C1985">
        <w:rPr>
          <w:spacing w:val="-2"/>
        </w:rPr>
        <w:t>few of the</w:t>
      </w:r>
      <w:r w:rsidRPr="001C1985">
        <w:rPr>
          <w:spacing w:val="-2"/>
        </w:rPr>
        <w:t xml:space="preserve"> chronic conditions than nonrespondents, but in later rounds and for the continuing panels, nonrespondents were more likely to have some of the chronic conditions than were respondents. While many differences were found, most were not large in a practical sense. Furthermore, across most of these measures, weighted respondent distributions were closer to benchmarks than unweighted respondent distributions, suggesting that the potential bias identified via these analyses is expected to be minimized by the weighting procedures. </w:t>
      </w:r>
    </w:p>
    <w:p w:rsidR="00E2475C" w:rsidP="00BD72D7" w14:paraId="1B15D40A" w14:textId="60ED193A">
      <w:pPr>
        <w:pStyle w:val="BodyText"/>
      </w:pPr>
      <w:r>
        <w:t xml:space="preserve">In contrast to most surveys, </w:t>
      </w:r>
      <w:r>
        <w:t>the MCBS</w:t>
      </w:r>
      <w:r>
        <w:t xml:space="preserve"> has a large amount of information to characterize nonrespondents. This information, including Medicare claims data, can be used for imputation if necessary. While the nonresponse bias analysis excluded Medicare Advantage (MA) enrollees from many analyses, it has been noted in recent years that MA beneficiaries are more likely to respond to the MCBS than beneficiaries enrolled in original Medicare. Beginning in 2017, CMS introduced additional nonresponse adjustments and calibration of the MCBS weights to match enrollment benchmarks by Fee-for-Service (FFS)/MA status, to reduce or eliminate any potential bias the differential response rates by enrollment status may have introduced.</w:t>
      </w:r>
      <w:r w:rsidRPr="00D94F41" w:rsidR="00FE750A">
        <w:t xml:space="preserve"> </w:t>
      </w:r>
    </w:p>
    <w:p w:rsidR="00412AD2" w:rsidP="00412AD2" w14:paraId="0D74789E" w14:textId="2A9A8FBC">
      <w:pPr>
        <w:pStyle w:val="Heading4"/>
        <w:numPr>
          <w:ilvl w:val="0"/>
          <w:numId w:val="0"/>
        </w:numPr>
        <w:ind w:left="245" w:hanging="245"/>
      </w:pPr>
      <w:r>
        <w:t xml:space="preserve">Multimode </w:t>
      </w:r>
      <w:r>
        <w:t>Survey Administration</w:t>
      </w:r>
    </w:p>
    <w:p w:rsidR="00412AD2" w:rsidP="00D73AA4" w14:paraId="5E36622E" w14:textId="69B6989C">
      <w:pPr>
        <w:pStyle w:val="BodyText"/>
      </w:pPr>
      <w:r>
        <w:t>NORC interviewers conduct phone</w:t>
      </w:r>
      <w:r w:rsidR="00540AD0">
        <w:t xml:space="preserve"> </w:t>
      </w:r>
      <w:r w:rsidR="00540AD0">
        <w:t>interviewing</w:t>
      </w:r>
      <w:r w:rsidR="00540AD0">
        <w:t>,</w:t>
      </w:r>
      <w:r w:rsidR="00C77658">
        <w:t xml:space="preserve"> supplemented by</w:t>
      </w:r>
      <w:r w:rsidR="00E874A7">
        <w:t xml:space="preserve"> </w:t>
      </w:r>
      <w:r w:rsidR="00C77658">
        <w:t xml:space="preserve">in-person </w:t>
      </w:r>
      <w:r w:rsidR="00540AD0">
        <w:t>outreach where feasible within the budget constraints</w:t>
      </w:r>
      <w:r w:rsidR="00C77658">
        <w:t>. Phone interviews may</w:t>
      </w:r>
      <w:r w:rsidR="00540AD0">
        <w:t xml:space="preserve"> </w:t>
      </w:r>
      <w:r w:rsidR="00C77658">
        <w:t xml:space="preserve">be </w:t>
      </w:r>
      <w:r w:rsidR="00540AD0">
        <w:t>enhanced</w:t>
      </w:r>
      <w:r w:rsidR="00C77658">
        <w:t xml:space="preserve"> with video calling when respondents </w:t>
      </w:r>
      <w:r w:rsidR="00CD3F90">
        <w:t>are interested and can access</w:t>
      </w:r>
      <w:r w:rsidR="00C77658">
        <w:t xml:space="preserve"> this technology</w:t>
      </w:r>
      <w:r>
        <w:t>.</w:t>
      </w:r>
      <w:r w:rsidR="0058407B">
        <w:t xml:space="preserve"> To supplement Facility phone interviews, CMS has added a </w:t>
      </w:r>
      <w:r w:rsidRPr="0058407B" w:rsidR="0058407B">
        <w:t>self-administered web survey</w:t>
      </w:r>
      <w:r w:rsidR="0058407B">
        <w:t>.</w:t>
      </w:r>
      <w:r>
        <w:t xml:space="preserve"> </w:t>
      </w:r>
      <w:r w:rsidR="00E874A7">
        <w:t>A</w:t>
      </w:r>
      <w:r w:rsidR="00573DF3">
        <w:t xml:space="preserve"> </w:t>
      </w:r>
      <w:r>
        <w:t xml:space="preserve">small proportion </w:t>
      </w:r>
      <w:r w:rsidR="00E874A7">
        <w:t xml:space="preserve">of interviews will continue to be </w:t>
      </w:r>
      <w:r w:rsidR="00573DF3">
        <w:t xml:space="preserve">conducted </w:t>
      </w:r>
      <w:r w:rsidR="00E874A7">
        <w:t>in person</w:t>
      </w:r>
      <w:r w:rsidR="00CD3F90">
        <w:t>, based on location.</w:t>
      </w:r>
      <w:r w:rsidR="00426D8A">
        <w:t xml:space="preserve"> </w:t>
      </w:r>
      <w:r w:rsidRPr="00426D8A" w:rsidR="00426D8A">
        <w:t xml:space="preserve">Results of several in-depth analyses along with feedback from field staff have shown that phone data collection works well for </w:t>
      </w:r>
      <w:r w:rsidRPr="00426D8A" w:rsidR="00426D8A">
        <w:t>a majority of</w:t>
      </w:r>
      <w:r w:rsidRPr="00426D8A" w:rsidR="00426D8A">
        <w:t xml:space="preserve"> interviews, maintaining stability in representativeness and data quality. The phone mode also offers a cost-effective option for both contacting and interviewing. </w:t>
      </w:r>
      <w:r w:rsidR="00426D8A">
        <w:t xml:space="preserve">Limited in-person interviews are generally used for locating respondents where phone outreach has failed, non-response follow-up, and to administer the interview to beneficiaries with high levels of utilization or difficulty using the phone. </w:t>
      </w:r>
      <w:r w:rsidR="0058407B">
        <w:t>With the introduction of the self-administered web surveys for Facility interviews, CMS</w:t>
      </w:r>
      <w:r w:rsidR="00E874A7">
        <w:t xml:space="preserve"> will evaluate the effectiveness of web </w:t>
      </w:r>
      <w:r w:rsidR="0058407B">
        <w:t>surveys</w:t>
      </w:r>
      <w:r w:rsidR="00E874A7">
        <w:t xml:space="preserve"> and adjust the mix of interview modes as needed to balance cost effectiveness and data quality. </w:t>
      </w:r>
    </w:p>
    <w:p w:rsidR="0088452B" w:rsidRPr="00D94F41" w:rsidP="00CF2B93" w14:paraId="5464AC65" w14:textId="25153A84">
      <w:pPr>
        <w:pStyle w:val="Heading3"/>
        <w:tabs>
          <w:tab w:val="left" w:pos="540"/>
        </w:tabs>
      </w:pPr>
      <w:bookmarkStart w:id="32" w:name="_Toc91154938"/>
      <w:bookmarkStart w:id="33" w:name="_Toc235370776"/>
      <w:r w:rsidRPr="00D94F41">
        <w:t>B4.</w:t>
      </w:r>
      <w:r w:rsidRPr="00D94F41" w:rsidR="00BB2D9F">
        <w:tab/>
      </w:r>
      <w:r w:rsidRPr="00D94F41">
        <w:t>Tests of Procedures or Methods</w:t>
      </w:r>
      <w:bookmarkEnd w:id="32"/>
      <w:bookmarkEnd w:id="33"/>
    </w:p>
    <w:p w:rsidR="003D6ABC" w:rsidP="008437C5" w14:paraId="05172897" w14:textId="445A57FC">
      <w:pPr>
        <w:pStyle w:val="BodyText"/>
      </w:pPr>
      <w:r>
        <w:t>The MCBS has two generic clearances. The generic</w:t>
      </w:r>
      <w:r w:rsidRPr="003D6ABC">
        <w:t xml:space="preserve"> clearance for Questionnaire Testing and Methodological Research for the MCBS</w:t>
      </w:r>
      <w:r w:rsidR="00856411">
        <w:t xml:space="preserve"> (</w:t>
      </w:r>
      <w:r w:rsidRPr="00856411" w:rsidR="00856411">
        <w:t>OMB No. 0938-1275</w:t>
      </w:r>
      <w:r w:rsidR="00856411">
        <w:t>)</w:t>
      </w:r>
      <w:r>
        <w:t>, and the generic clearance for the MCBS Pulse</w:t>
      </w:r>
      <w:r w:rsidR="00856411">
        <w:t xml:space="preserve"> </w:t>
      </w:r>
      <w:r w:rsidRPr="00856411" w:rsidR="00856411">
        <w:t>(OMB No. 0938-1494</w:t>
      </w:r>
      <w:r w:rsidR="00856411">
        <w:t>)</w:t>
      </w:r>
      <w:r>
        <w:t xml:space="preserve">. </w:t>
      </w:r>
    </w:p>
    <w:p w:rsidR="0088452B" w:rsidRPr="00D94F41" w:rsidP="008437C5" w14:paraId="353674A3" w14:textId="1E15698A">
      <w:pPr>
        <w:pStyle w:val="BodyText"/>
      </w:pPr>
      <w:r w:rsidRPr="00D94F41">
        <w:t xml:space="preserve">MCBS’ generic clearance for Questionnaire Testing and Methodological Research for the MCBS was </w:t>
      </w:r>
      <w:r w:rsidRPr="00D94F41" w:rsidR="00A26470">
        <w:t xml:space="preserve">first </w:t>
      </w:r>
      <w:r w:rsidRPr="00D94F41">
        <w:t>approved by OMB in May 2015</w:t>
      </w:r>
      <w:r w:rsidRPr="00D94F41" w:rsidR="00A26470">
        <w:t xml:space="preserve"> and most recently received approval for revision on June 2</w:t>
      </w:r>
      <w:r w:rsidR="00D16682">
        <w:t>6</w:t>
      </w:r>
      <w:r w:rsidRPr="00D94F41" w:rsidR="00A26470">
        <w:t xml:space="preserve">, </w:t>
      </w:r>
      <w:r w:rsidR="00D16682">
        <w:t>2024</w:t>
      </w:r>
      <w:r w:rsidR="00072F5E">
        <w:t xml:space="preserve"> </w:t>
      </w:r>
      <w:r w:rsidRPr="00D94F41">
        <w:t>(OMB No. 0938-1275, expiration 0</w:t>
      </w:r>
      <w:r w:rsidRPr="00D94F41" w:rsidR="00A26470">
        <w:t>6</w:t>
      </w:r>
      <w:r w:rsidRPr="00D94F41">
        <w:t>/3</w:t>
      </w:r>
      <w:r w:rsidRPr="00D94F41" w:rsidR="00A26470">
        <w:t>0</w:t>
      </w:r>
      <w:r w:rsidRPr="00D94F41">
        <w:t>/20</w:t>
      </w:r>
      <w:r w:rsidRPr="00D94F41" w:rsidR="00F60E6D">
        <w:t>2</w:t>
      </w:r>
      <w:r w:rsidR="00D16682">
        <w:t>7</w:t>
      </w:r>
      <w:r w:rsidRPr="00D94F41">
        <w:t xml:space="preserve">). </w:t>
      </w:r>
      <w:r w:rsidRPr="00D94F41">
        <w:t>The generic</w:t>
      </w:r>
      <w:r w:rsidRPr="00D94F41">
        <w:t xml:space="preserve"> clearance encompasses development and testing of MCBS </w:t>
      </w:r>
      <w:r w:rsidRPr="008437C5">
        <w:t>questionnaires</w:t>
      </w:r>
      <w:r w:rsidRPr="00D94F41">
        <w:t xml:space="preserve">, instrumentation, and methodological experiments. It contains approval for </w:t>
      </w:r>
      <w:r w:rsidRPr="00D94F41" w:rsidR="00A26470">
        <w:t xml:space="preserve">six </w:t>
      </w:r>
      <w:r w:rsidRPr="00D94F41">
        <w:t>types of potential research activities:</w:t>
      </w:r>
    </w:p>
    <w:p w:rsidR="00072F5E" w:rsidP="007D2229" w14:paraId="1A6C2073" w14:textId="77777777">
      <w:pPr>
        <w:pStyle w:val="BodyText"/>
      </w:pPr>
      <w:r w:rsidRPr="00D94F41">
        <w:t>1) cognitive interviewing, 2) focus groups, 3) usability testing, 4) field testing</w:t>
      </w:r>
      <w:r w:rsidRPr="00D94F41" w:rsidR="00A26470">
        <w:t xml:space="preserve"> (both within and outside the MCBS production environment)</w:t>
      </w:r>
      <w:r w:rsidRPr="00D94F41">
        <w:t xml:space="preserve">, 5) respondent debriefing questionnaire, and </w:t>
      </w:r>
      <w:r w:rsidRPr="00D94F41" w:rsidR="00A26470">
        <w:t>6</w:t>
      </w:r>
      <w:r w:rsidRPr="00D94F41">
        <w:t>) research about incentives. Any future changes to the MCBS instrumentation, data collection methods, or procedures that require testing will be submitted as individual collection requests under the generic clearance.</w:t>
      </w:r>
      <w:bookmarkStart w:id="34" w:name="B5._Individuals_Consulted_on_Statistical"/>
      <w:bookmarkStart w:id="35" w:name="A1._Circumstances_Making_the_Collection_"/>
      <w:bookmarkStart w:id="36" w:name="A2._Purpose_and_Use_of_Information_Colle"/>
      <w:bookmarkStart w:id="37" w:name="_Toc91154939"/>
      <w:bookmarkEnd w:id="34"/>
      <w:bookmarkEnd w:id="35"/>
      <w:bookmarkEnd w:id="36"/>
    </w:p>
    <w:p w:rsidR="003D6ABC" w:rsidP="007D2229" w14:paraId="2FDE57F9" w14:textId="77777777">
      <w:pPr>
        <w:pStyle w:val="BodyText"/>
      </w:pPr>
      <w:r>
        <w:t xml:space="preserve">In Fall 2025, CMS fielded the “MCBS Pulse Beneficiary Trust Supplement” under the CMS Generic Clearance (OMB No. 0938-1275, expiration 06/30/2027). The MCBS Pulse Beneficiary Trust Supplement focused on beneficiary trust in Medicare and their experiences with the program. A total of 4,043 interviews were completed with existing and recently exited MCBS respondents between October 22, </w:t>
      </w:r>
      <w:r>
        <w:t>2025</w:t>
      </w:r>
      <w:r>
        <w:t xml:space="preserve"> and December 30, 2025. Items administered under the Pulse Supplement </w:t>
      </w:r>
      <w:r w:rsidR="00D841AD">
        <w:t>were easily understood, had low levels of non-response and across beneficiaries, showed expected variation in response frequency distribution</w:t>
      </w:r>
      <w:r>
        <w:t xml:space="preserve">. CMS is requesting permission via this full clearance revision to incorporate a subset of the items, including those on trust in health care providers and pre-authorization of health care services, into the main MCBS. </w:t>
      </w:r>
    </w:p>
    <w:p w:rsidR="00533918" w:rsidP="00B25A4F" w14:paraId="0EA1045D" w14:textId="1458BEC0">
      <w:pPr>
        <w:pStyle w:val="BodyText"/>
      </w:pPr>
      <w:r w:rsidRPr="003D6ABC">
        <w:t xml:space="preserve">MCBS’ </w:t>
      </w:r>
      <w:r w:rsidRPr="00B25A4F" w:rsidR="00B25A4F">
        <w:t>Generic Clearance for the Collection of Medicare Current Beneficiary Survey (MCBS) Respondent</w:t>
      </w:r>
      <w:r w:rsidR="00B25A4F">
        <w:t xml:space="preserve"> </w:t>
      </w:r>
      <w:r w:rsidRPr="00B25A4F" w:rsidR="00B25A4F">
        <w:t xml:space="preserve">“Pulse” Feedback </w:t>
      </w:r>
      <w:r>
        <w:t xml:space="preserve"> </w:t>
      </w:r>
      <w:r w:rsidRPr="003D6ABC">
        <w:t xml:space="preserve">was first approved by OMB in </w:t>
      </w:r>
      <w:r>
        <w:t>June</w:t>
      </w:r>
      <w:r w:rsidRPr="003D6ABC">
        <w:t xml:space="preserve"> 20</w:t>
      </w:r>
      <w:r>
        <w:t xml:space="preserve">26 (OMB No. </w:t>
      </w:r>
      <w:r w:rsidRPr="003D6ABC">
        <w:t>0938-1494</w:t>
      </w:r>
      <w:r>
        <w:t xml:space="preserve">, expiration </w:t>
      </w:r>
      <w:r w:rsidRPr="003D6ABC">
        <w:t>06/30/2029</w:t>
      </w:r>
      <w:r>
        <w:t>)</w:t>
      </w:r>
      <w:r w:rsidR="1FF9CD87">
        <w:t>. The new MCBS Pulse generic clearance provide</w:t>
      </w:r>
      <w:r>
        <w:t>s</w:t>
      </w:r>
      <w:r w:rsidR="1FF9CD87">
        <w:t xml:space="preserve"> CMS with time-sensitive data to inform </w:t>
      </w:r>
      <w:r w:rsidR="1FF9CD87">
        <w:t>early stage</w:t>
      </w:r>
      <w:r w:rsidR="1FF9CD87">
        <w:t xml:space="preserve"> program planning and decision-making.</w:t>
      </w:r>
    </w:p>
    <w:p w:rsidR="0088452B" w:rsidRPr="00D94F41" w:rsidP="00CF2B93" w14:paraId="7AFF8BB6" w14:textId="3CE826B3">
      <w:pPr>
        <w:pStyle w:val="Heading3"/>
        <w:tabs>
          <w:tab w:val="left" w:pos="540"/>
        </w:tabs>
      </w:pPr>
      <w:bookmarkStart w:id="38" w:name="_Toc235370777"/>
      <w:r w:rsidRPr="00D94F41">
        <w:t>B5.</w:t>
      </w:r>
      <w:r w:rsidRPr="00D94F41">
        <w:tab/>
      </w:r>
      <w:r w:rsidRPr="00D94F41" w:rsidR="004112E2">
        <w:t>Individuals Consulted on Statistical Aspects of Design</w:t>
      </w:r>
      <w:bookmarkEnd w:id="37"/>
      <w:bookmarkEnd w:id="38"/>
    </w:p>
    <w:p w:rsidR="0088452B" w:rsidRPr="00D94F41" w:rsidP="00BB2D9F" w14:paraId="60F7D3D9" w14:textId="5F63CD8F">
      <w:pPr>
        <w:pStyle w:val="BodyText"/>
      </w:pPr>
      <w:r w:rsidRPr="00D94F41">
        <w:t xml:space="preserve">The person responsible for statistical aspects of design </w:t>
      </w:r>
      <w:r w:rsidRPr="00D94F41">
        <w:t>is</w:t>
      </w:r>
      <w:r w:rsidRPr="00D94F41">
        <w:t>:</w:t>
      </w:r>
    </w:p>
    <w:p w:rsidR="00533918" w:rsidRPr="00533918" w:rsidP="00533918" w14:paraId="209CC65E" w14:textId="77777777">
      <w:pPr>
        <w:pStyle w:val="BodyText"/>
        <w:spacing w:after="0"/>
        <w:ind w:left="720"/>
      </w:pPr>
      <w:r w:rsidRPr="00533918">
        <w:t>Susan Paddock, Executive Vice President &amp; Chief Scientist</w:t>
      </w:r>
    </w:p>
    <w:p w:rsidR="00533918" w:rsidRPr="00533918" w:rsidP="00533918" w14:paraId="3972CC15" w14:textId="77777777">
      <w:pPr>
        <w:pStyle w:val="BodyText"/>
        <w:spacing w:after="0"/>
        <w:ind w:left="720"/>
      </w:pPr>
      <w:r w:rsidRPr="00533918">
        <w:t xml:space="preserve">NORC at the University of Chicago </w:t>
      </w:r>
    </w:p>
    <w:p w:rsidR="00533918" w:rsidRPr="00533918" w:rsidP="00533918" w14:paraId="040C037F" w14:textId="77777777">
      <w:pPr>
        <w:pStyle w:val="BodyText"/>
        <w:spacing w:after="0"/>
        <w:ind w:left="720"/>
      </w:pPr>
      <w:r w:rsidRPr="00533918">
        <w:t>55 East Monroe Street, 30th Floor</w:t>
      </w:r>
    </w:p>
    <w:p w:rsidR="00533918" w:rsidRPr="00533918" w:rsidP="00533918" w14:paraId="5BEEC5A6" w14:textId="77777777">
      <w:pPr>
        <w:pStyle w:val="BodyText"/>
        <w:spacing w:after="0"/>
        <w:ind w:left="720"/>
      </w:pPr>
      <w:r w:rsidRPr="00533918">
        <w:t>Chicago IL 60603</w:t>
      </w:r>
    </w:p>
    <w:p w:rsidR="00533918" w:rsidRPr="00533918" w:rsidP="00533918" w14:paraId="72215914" w14:textId="77777777">
      <w:pPr>
        <w:pStyle w:val="BodyText"/>
        <w:spacing w:after="0"/>
        <w:ind w:left="720"/>
      </w:pPr>
      <w:r w:rsidRPr="00533918">
        <w:t>(312) 759-2670</w:t>
      </w:r>
    </w:p>
    <w:p w:rsidR="00533918" w:rsidRPr="00533918" w:rsidP="00533918" w14:paraId="04634410" w14:textId="77777777">
      <w:pPr>
        <w:pStyle w:val="BodyText"/>
        <w:spacing w:after="0"/>
        <w:ind w:left="720"/>
      </w:pPr>
      <w:hyperlink r:id="rId13" w:history="1">
        <w:r w:rsidRPr="00533918">
          <w:rPr>
            <w:rStyle w:val="Hyperlink"/>
          </w:rPr>
          <w:t>paddock-susan@norc.org</w:t>
        </w:r>
      </w:hyperlink>
      <w:r w:rsidRPr="00533918">
        <w:t xml:space="preserve">  </w:t>
      </w:r>
    </w:p>
    <w:p w:rsidR="0088452B" w:rsidRPr="00D94F41" w:rsidP="00BD72D7" w14:paraId="706712A9" w14:textId="77777777">
      <w:pPr>
        <w:pStyle w:val="BodyText"/>
        <w:spacing w:before="240"/>
      </w:pPr>
      <w:r w:rsidRPr="00D94F41">
        <w:t>The contractor collecting the information is NORC at the University of Chicago.</w:t>
      </w:r>
    </w:p>
    <w:sectPr w:rsidSect="00156176">
      <w:pgSz w:w="12240" w:h="15840" w:code="1"/>
      <w:pgMar w:top="1080" w:right="1440" w:bottom="108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0BF8" w:rsidRPr="00200E3E" w:rsidP="00200E3E" w14:paraId="5D996B32" w14:textId="48BA9731">
    <w:pPr>
      <w:pStyle w:val="Footer"/>
      <w:jc w:val="right"/>
      <w:rPr>
        <w:sz w:val="20"/>
        <w:szCs w:val="20"/>
      </w:rPr>
    </w:pPr>
    <w:r w:rsidRPr="00200E3E">
      <w:rPr>
        <w:sz w:val="20"/>
        <w:szCs w:val="20"/>
      </w:rPr>
      <w:t xml:space="preserve">Page </w:t>
    </w:r>
    <w:r w:rsidRPr="00200E3E">
      <w:rPr>
        <w:sz w:val="20"/>
        <w:szCs w:val="20"/>
      </w:rPr>
      <w:fldChar w:fldCharType="begin"/>
    </w:r>
    <w:r w:rsidRPr="00200E3E">
      <w:rPr>
        <w:sz w:val="20"/>
        <w:szCs w:val="20"/>
      </w:rPr>
      <w:instrText xml:space="preserve"> PAGE   \* MERGEFORMAT </w:instrText>
    </w:r>
    <w:r w:rsidRPr="00200E3E">
      <w:rPr>
        <w:sz w:val="20"/>
        <w:szCs w:val="20"/>
      </w:rPr>
      <w:fldChar w:fldCharType="separate"/>
    </w:r>
    <w:r>
      <w:rPr>
        <w:noProof/>
        <w:sz w:val="20"/>
        <w:szCs w:val="20"/>
      </w:rPr>
      <w:t>i</w:t>
    </w:r>
    <w:r w:rsidRPr="00200E3E">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0BF8" w:rsidRPr="00200E3E" w:rsidP="00200E3E" w14:paraId="10CC06CF" w14:textId="7E3D8ABC">
    <w:pPr>
      <w:pStyle w:val="Footer"/>
      <w:jc w:val="right"/>
      <w:rPr>
        <w:sz w:val="20"/>
        <w:szCs w:val="20"/>
      </w:rPr>
    </w:pPr>
    <w:r w:rsidRPr="00200E3E">
      <w:rPr>
        <w:sz w:val="20"/>
        <w:szCs w:val="20"/>
      </w:rPr>
      <w:t xml:space="preserve">Page </w:t>
    </w:r>
    <w:r w:rsidRPr="00200E3E">
      <w:rPr>
        <w:sz w:val="20"/>
        <w:szCs w:val="20"/>
      </w:rPr>
      <w:fldChar w:fldCharType="begin"/>
    </w:r>
    <w:r w:rsidRPr="00200E3E">
      <w:rPr>
        <w:sz w:val="20"/>
        <w:szCs w:val="20"/>
      </w:rPr>
      <w:instrText xml:space="preserve"> PAGE   \* MERGEFORMAT </w:instrText>
    </w:r>
    <w:r w:rsidRPr="00200E3E">
      <w:rPr>
        <w:sz w:val="20"/>
        <w:szCs w:val="20"/>
      </w:rPr>
      <w:fldChar w:fldCharType="separate"/>
    </w:r>
    <w:r>
      <w:rPr>
        <w:noProof/>
        <w:sz w:val="20"/>
        <w:szCs w:val="20"/>
      </w:rPr>
      <w:t>24</w:t>
    </w:r>
    <w:r w:rsidRPr="00200E3E">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7140" w:rsidRPr="00200E3E" w:rsidP="00200E3E" w14:paraId="6EFCC066" w14:textId="77777777">
    <w:pPr>
      <w:pStyle w:val="Footer"/>
      <w:jc w:val="right"/>
      <w:rPr>
        <w:sz w:val="20"/>
        <w:szCs w:val="20"/>
      </w:rPr>
    </w:pPr>
    <w:r w:rsidRPr="00200E3E">
      <w:rPr>
        <w:sz w:val="20"/>
        <w:szCs w:val="20"/>
      </w:rPr>
      <w:t xml:space="preserve">Page </w:t>
    </w:r>
    <w:r w:rsidRPr="00200E3E">
      <w:rPr>
        <w:sz w:val="20"/>
        <w:szCs w:val="20"/>
      </w:rPr>
      <w:fldChar w:fldCharType="begin"/>
    </w:r>
    <w:r w:rsidRPr="00200E3E">
      <w:rPr>
        <w:sz w:val="20"/>
        <w:szCs w:val="20"/>
      </w:rPr>
      <w:instrText xml:space="preserve"> PAGE   \* MERGEFORMAT </w:instrText>
    </w:r>
    <w:r w:rsidRPr="00200E3E">
      <w:rPr>
        <w:sz w:val="20"/>
        <w:szCs w:val="20"/>
      </w:rPr>
      <w:fldChar w:fldCharType="separate"/>
    </w:r>
    <w:r>
      <w:rPr>
        <w:noProof/>
        <w:sz w:val="20"/>
        <w:szCs w:val="20"/>
      </w:rPr>
      <w:t>24</w:t>
    </w:r>
    <w:r w:rsidRPr="00200E3E">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97664" w14:paraId="21450ABC" w14:textId="77777777">
      <w:r>
        <w:separator/>
      </w:r>
    </w:p>
  </w:footnote>
  <w:footnote w:type="continuationSeparator" w:id="1">
    <w:p w:rsidR="00197664" w14:paraId="17BA1A58" w14:textId="77777777">
      <w:r>
        <w:continuationSeparator/>
      </w:r>
    </w:p>
  </w:footnote>
  <w:footnote w:type="continuationNotice" w:id="2">
    <w:p w:rsidR="00197664" w14:paraId="3BFA14E0" w14:textId="77777777"/>
  </w:footnote>
  <w:footnote w:id="3">
    <w:p w:rsidR="00F30B83" w:rsidP="0033795C" w14:paraId="310AAFD5" w14:textId="2343FBC8">
      <w:pPr>
        <w:pStyle w:val="FootnoteText"/>
        <w:keepLines/>
        <w:spacing w:after="40"/>
      </w:pPr>
      <w:r>
        <w:rPr>
          <w:rStyle w:val="FootnoteReference"/>
        </w:rPr>
        <w:footnoteRef/>
      </w:r>
      <w:r>
        <w:t xml:space="preserve"> Note that, beginning in Fall 2026 under the sample redesign, the age groups </w:t>
      </w:r>
      <w:r w:rsidR="00FD6F49">
        <w:t>are</w:t>
      </w:r>
      <w:r>
        <w:t xml:space="preserve"> collapsed into three groups (&lt;</w:t>
      </w:r>
      <w:r w:rsidR="00F8353B">
        <w:t xml:space="preserve">65, </w:t>
      </w:r>
      <w:r>
        <w:t>65-79, and 80+).</w:t>
      </w:r>
    </w:p>
  </w:footnote>
  <w:footnote w:id="4">
    <w:p w:rsidR="00F10BF8" w:rsidRPr="00110F11" w:rsidP="0033795C" w14:paraId="0990C4D7" w14:textId="77606591">
      <w:pPr>
        <w:pStyle w:val="FootnoteText"/>
        <w:keepLines/>
        <w:spacing w:after="40"/>
      </w:pPr>
      <w:r w:rsidRPr="00110F11">
        <w:rPr>
          <w:rStyle w:val="FootnoteReference"/>
        </w:rPr>
        <w:footnoteRef/>
      </w:r>
      <w:r w:rsidRPr="00110F11">
        <w:t xml:space="preserve"> Note that telephone numbers for beneficiaries are not available in the CMS administrative data used for sampling. Telephone numbers were appended to sampled addresses using vendor matching software; these numbers only sometimes reached the intended respondent. Additional manual locating was conducted by the field team to improve locating rates.</w:t>
      </w:r>
    </w:p>
  </w:footnote>
  <w:footnote w:id="5">
    <w:p w:rsidR="00F10BF8" w:rsidRPr="00110F11" w:rsidP="0033795C" w14:paraId="228A449D" w14:textId="4EE6A997">
      <w:pPr>
        <w:pStyle w:val="FootnoteText"/>
        <w:keepLines/>
        <w:spacing w:after="40"/>
      </w:pPr>
      <w:r w:rsidRPr="00110F11">
        <w:rPr>
          <w:rStyle w:val="FootnoteReference"/>
        </w:rPr>
        <w:footnoteRef/>
      </w:r>
      <w:r w:rsidRPr="00110F11">
        <w:t xml:space="preserve"> Note that prior to 2017, 107 PSUs were used for sampling for the MCBS. These included three PSUs in Puerto Rico. Beginning in 2017, Puerto Rico was removed from the MCBS sampling frame.</w:t>
      </w:r>
    </w:p>
  </w:footnote>
  <w:footnote w:id="6">
    <w:p w:rsidR="0014103D" w:rsidP="0033795C" w14:paraId="469A4EBA" w14:textId="2B5702DC">
      <w:pPr>
        <w:pStyle w:val="FootnoteText"/>
        <w:keepLines/>
        <w:spacing w:after="40"/>
      </w:pPr>
      <w:r>
        <w:rPr>
          <w:rStyle w:val="FootnoteReference"/>
        </w:rPr>
        <w:footnoteRef/>
      </w:r>
      <w:r>
        <w:t xml:space="preserve"> </w:t>
      </w:r>
      <w:r w:rsidRPr="0014103D">
        <w:t>The strata used for selection of the PSUs covers the 50 states and the District of Columbia. Since PSUs were selected randomly with probabilities proportionate to size, there are some states without any sample PSUs within their boundaries. Within major strata defined by region and metropolitan status, PSUs were sorted by percent of beneficiaries enrolled in HMOs and/or percent of beneficiaries who are minorities based on data in CMS administrative files. Substrata of roughly equal size were created from the ordered list for sample selection.</w:t>
      </w:r>
    </w:p>
  </w:footnote>
  <w:footnote w:id="7">
    <w:p w:rsidR="0014103D" w:rsidP="0033795C" w14:paraId="2249B408" w14:textId="7E8E7434">
      <w:pPr>
        <w:pStyle w:val="FootnoteText"/>
        <w:keepLines/>
        <w:spacing w:after="40"/>
      </w:pPr>
      <w:r>
        <w:rPr>
          <w:rStyle w:val="FootnoteReference"/>
        </w:rPr>
        <w:footnoteRef/>
      </w:r>
      <w:r>
        <w:t xml:space="preserve"> </w:t>
      </w:r>
      <w:r w:rsidR="00970137">
        <w:t>The</w:t>
      </w:r>
      <w:r w:rsidRPr="0014103D">
        <w:t xml:space="preserve"> second-stage units (SSUs) consis</w:t>
      </w:r>
      <w:r w:rsidR="00970137">
        <w:t>t</w:t>
      </w:r>
      <w:r w:rsidRPr="0014103D">
        <w:t xml:space="preserve"> of Census tracts or clusters of adjacent tracts. A minimum measure of size was used to determine whether a Census tract was large enough (i.e., had enough Medicare beneficiaries) to stand on its own as an SSU or would need to be combined with one or more adjacent tracts. A frame of 24,212 SSUs was constructed, and a sample of 703 SSUs was selected using systematic probability proportional to size. These SSUs have been used for sampling MCBS beneficiaries since 2014</w:t>
      </w:r>
      <w:r w:rsidRPr="0014103D">
        <w:rPr>
          <w:vertAlign w:val="superscript"/>
        </w:rPr>
        <w:footnoteRef/>
      </w:r>
      <w:r w:rsidRPr="0014103D">
        <w:t xml:space="preserve"> and were sized to be used for up to 20 years. An additional sample of 339 reserve SSUs was also selected to support an expansion of the sample or the study of special rare populations in future years. To date, these reserve SSUs have not yet been used for sampling for the MCBS. </w:t>
      </w:r>
    </w:p>
  </w:footnote>
  <w:footnote w:id="8">
    <w:p w:rsidR="0006667B" w:rsidP="0033795C" w14:paraId="0650E30E" w14:textId="562B4B3D">
      <w:pPr>
        <w:pStyle w:val="FootnoteText"/>
        <w:keepLines/>
        <w:spacing w:after="40"/>
      </w:pPr>
      <w:r>
        <w:rPr>
          <w:rStyle w:val="FootnoteReference"/>
        </w:rPr>
        <w:footnoteRef/>
      </w:r>
      <w:r>
        <w:t xml:space="preserve"> A new panel is introduced each year; after </w:t>
      </w:r>
      <w:r w:rsidR="00945E1A">
        <w:t>four</w:t>
      </w:r>
      <w:r>
        <w:t xml:space="preserve"> years of selecting panels using the redesigned methodology</w:t>
      </w:r>
      <w:r w:rsidR="00C13D9E">
        <w:t xml:space="preserve"> (2026-2029)</w:t>
      </w:r>
      <w:r>
        <w:t xml:space="preserve">, the MCBS will have fully implemented the redesign. Sample sizes across states are designed to be robust enough for state-level estimation after full </w:t>
      </w:r>
      <w:r w:rsidR="0052501E">
        <w:t>implementation</w:t>
      </w:r>
      <w:r>
        <w:t>.</w:t>
      </w:r>
    </w:p>
  </w:footnote>
  <w:footnote w:id="9">
    <w:p w:rsidR="00F10BF8" w:rsidRPr="00110F11" w:rsidP="0033795C" w14:paraId="21685C76" w14:textId="3D610CA1">
      <w:pPr>
        <w:pStyle w:val="FootnoteText"/>
        <w:keepLines/>
        <w:spacing w:after="40"/>
      </w:pPr>
      <w:r w:rsidRPr="00110F11">
        <w:rPr>
          <w:rStyle w:val="FootnoteReference"/>
        </w:rPr>
        <w:footnoteRef/>
      </w:r>
      <w:r w:rsidRPr="00110F11">
        <w:t xml:space="preserve"> Events and costs incurred after enrollment in Medicare but prior to the first interview.</w:t>
      </w:r>
    </w:p>
  </w:footnote>
  <w:footnote w:id="10">
    <w:p w:rsidR="00F10BF8" w:rsidRPr="00110F11" w:rsidP="0033795C" w14:paraId="25414731" w14:textId="072A1E5B">
      <w:pPr>
        <w:pStyle w:val="FootnoteText"/>
        <w:keepLines/>
        <w:spacing w:after="40"/>
      </w:pPr>
      <w:r w:rsidRPr="00110F11">
        <w:rPr>
          <w:rStyle w:val="FootnoteReference"/>
        </w:rPr>
        <w:footnoteRef/>
      </w:r>
      <w:r w:rsidRPr="00110F11">
        <w:t xml:space="preserve"> Neter J. Waksberg J. A Study of Response Errors in Expenditures Data from Household Interviews. Psychology. Journal of the American Statistical Association. March 1964. </w:t>
      </w:r>
    </w:p>
  </w:footnote>
  <w:footnote w:id="11">
    <w:p w:rsidR="0063767F" w:rsidP="0033795C" w14:paraId="62B67E7F" w14:textId="387AD727">
      <w:pPr>
        <w:pStyle w:val="FootnoteText"/>
        <w:keepLines/>
        <w:spacing w:after="40"/>
      </w:pPr>
      <w:r>
        <w:rPr>
          <w:rStyle w:val="FootnoteReference"/>
        </w:rPr>
        <w:footnoteRef/>
      </w:r>
      <w:r>
        <w:t xml:space="preserve"> Formerly referred to as the Usual Source of Care Questionnaire (USQ). </w:t>
      </w:r>
    </w:p>
  </w:footnote>
  <w:footnote w:id="12">
    <w:p w:rsidR="001A0CF5" w:rsidP="0033795C" w14:paraId="57A3EBCC" w14:textId="77777777">
      <w:pPr>
        <w:pStyle w:val="FootnoteText"/>
        <w:keepLines/>
        <w:spacing w:after="40"/>
      </w:pPr>
      <w:r>
        <w:rPr>
          <w:rStyle w:val="FootnoteReference"/>
        </w:rPr>
        <w:footnoteRef/>
      </w:r>
      <w:r>
        <w:t xml:space="preserve"> </w:t>
      </w:r>
      <w:hyperlink r:id="rId1" w:history="1">
        <w:r>
          <w:rPr>
            <w:rStyle w:val="Hyperlink"/>
          </w:rPr>
          <w:t>https://onlinelibrary.wiley.com/doi/book/10.1002/9781394260645</w:t>
        </w:r>
      </w:hyperlink>
      <w:r>
        <w:t xml:space="preserve"> </w:t>
      </w:r>
    </w:p>
  </w:footnote>
  <w:footnote w:id="13">
    <w:p w:rsidR="00856B3F" w:rsidP="0033795C" w14:paraId="07E66FDF" w14:textId="77777777">
      <w:pPr>
        <w:pStyle w:val="FootnoteText"/>
        <w:keepLines/>
        <w:spacing w:after="40"/>
      </w:pPr>
      <w:r>
        <w:rPr>
          <w:rStyle w:val="FootnoteReference"/>
        </w:rPr>
        <w:footnoteRef/>
      </w:r>
      <w:r>
        <w:t xml:space="preserve"> </w:t>
      </w:r>
      <w:hyperlink r:id="rId2" w:history="1">
        <w:r>
          <w:rPr>
            <w:rStyle w:val="Hyperlink"/>
          </w:rPr>
          <w:t>https://diabetesjournals.org/care/article-pdf/20/11/1772/583603/20-11-1772.pdf</w:t>
        </w:r>
      </w:hyperlink>
      <w:r>
        <w:t xml:space="preserve"> </w:t>
      </w:r>
    </w:p>
  </w:footnote>
  <w:footnote w:id="14">
    <w:p w:rsidR="00856B3F" w:rsidP="0033795C" w14:paraId="2E5E7323" w14:textId="77777777">
      <w:pPr>
        <w:pStyle w:val="FootnoteText"/>
        <w:keepLines/>
        <w:spacing w:after="40"/>
      </w:pPr>
      <w:r>
        <w:rPr>
          <w:rStyle w:val="FootnoteReference"/>
        </w:rPr>
        <w:footnoteRef/>
      </w:r>
      <w:r>
        <w:t xml:space="preserve"> </w:t>
      </w:r>
      <w:hyperlink r:id="rId3" w:history="1">
        <w:r>
          <w:rPr>
            <w:rStyle w:val="Hyperlink"/>
          </w:rPr>
          <w:t>https://www-ahajournals-org.proxy.uchicago.edu/doi/10.1161/cir.0000000000000678</w:t>
        </w:r>
      </w:hyperlink>
      <w:r>
        <w:t xml:space="preserve"> </w:t>
      </w:r>
    </w:p>
  </w:footnote>
  <w:footnote w:id="15">
    <w:p w:rsidR="00856B3F" w:rsidP="0033795C" w14:paraId="7873D73C" w14:textId="77777777">
      <w:pPr>
        <w:pStyle w:val="FootnoteText"/>
        <w:keepLines/>
        <w:spacing w:after="40"/>
      </w:pPr>
      <w:r>
        <w:rPr>
          <w:rStyle w:val="FootnoteReference"/>
        </w:rPr>
        <w:footnoteRef/>
      </w:r>
      <w:r>
        <w:t xml:space="preserve"> </w:t>
      </w:r>
      <w:hyperlink r:id="rId4" w:history="1">
        <w:r>
          <w:rPr>
            <w:rStyle w:val="Hyperlink"/>
          </w:rPr>
          <w:t>https://pubmed.ncbi.nlm.nih.gov/40243986/</w:t>
        </w:r>
      </w:hyperlink>
      <w:r>
        <w:t xml:space="preserve"> </w:t>
      </w:r>
    </w:p>
  </w:footnote>
  <w:footnote w:id="16">
    <w:p w:rsidR="00856B3F" w:rsidP="0033795C" w14:paraId="0F150A9E" w14:textId="77777777">
      <w:pPr>
        <w:pStyle w:val="FootnoteText"/>
        <w:keepLines/>
        <w:spacing w:after="40"/>
      </w:pPr>
      <w:r>
        <w:rPr>
          <w:rStyle w:val="FootnoteReference"/>
        </w:rPr>
        <w:footnoteRef/>
      </w:r>
      <w:r>
        <w:t xml:space="preserve"> </w:t>
      </w:r>
      <w:hyperlink r:id="rId5" w:history="1">
        <w:r>
          <w:rPr>
            <w:rStyle w:val="Hyperlink"/>
          </w:rPr>
          <w:t>Detecting Oral Cancer: A Guide for Health Care Professionals</w:t>
        </w:r>
      </w:hyperlink>
    </w:p>
  </w:footnote>
  <w:footnote w:id="17">
    <w:p w:rsidR="00856B3F" w:rsidP="0033795C" w14:paraId="3544FF94" w14:textId="77777777">
      <w:pPr>
        <w:pStyle w:val="FootnoteText"/>
        <w:keepLines/>
        <w:spacing w:after="40"/>
      </w:pPr>
      <w:r>
        <w:rPr>
          <w:rStyle w:val="FootnoteReference"/>
        </w:rPr>
        <w:footnoteRef/>
      </w:r>
      <w:r>
        <w:t xml:space="preserve"> </w:t>
      </w:r>
      <w:hyperlink r:id="rId6" w:history="1">
        <w:r>
          <w:rPr>
            <w:rStyle w:val="Hyperlink"/>
          </w:rPr>
          <w:t>https://www.acog.org/clinical/clinical-guidance/committee-opinion/articles/2018/10/the-utility-of-and-indications-for-routine-pelvic-examination</w:t>
        </w:r>
      </w:hyperlink>
      <w:r>
        <w:t xml:space="preserve"> </w:t>
      </w:r>
    </w:p>
  </w:footnote>
  <w:footnote w:id="18">
    <w:p w:rsidR="00856B3F" w:rsidP="0033795C" w14:paraId="330DA2BD" w14:textId="77777777">
      <w:pPr>
        <w:pStyle w:val="FootnoteText"/>
        <w:keepLines/>
        <w:spacing w:after="40"/>
      </w:pPr>
      <w:r>
        <w:rPr>
          <w:rStyle w:val="FootnoteReference"/>
        </w:rPr>
        <w:footnoteRef/>
      </w:r>
      <w:r>
        <w:t xml:space="preserve"> </w:t>
      </w:r>
      <w:hyperlink r:id="rId7" w:history="1">
        <w:r>
          <w:rPr>
            <w:rStyle w:val="Hyperlink"/>
          </w:rPr>
          <w:t>https://www.cms.gov/data-research/research/consumer-assessment-healthcare-providers-systems/emergency-department-cahps</w:t>
        </w:r>
      </w:hyperlink>
      <w:r>
        <w:t xml:space="preserve"> </w:t>
      </w:r>
    </w:p>
  </w:footnote>
  <w:footnote w:id="19">
    <w:p w:rsidR="00856B3F" w:rsidP="0033795C" w14:paraId="2D28FB90" w14:textId="77777777">
      <w:pPr>
        <w:pStyle w:val="FootnoteText"/>
        <w:keepLines/>
        <w:spacing w:after="40"/>
      </w:pPr>
      <w:r>
        <w:rPr>
          <w:rStyle w:val="FootnoteReference"/>
        </w:rPr>
        <w:footnoteRef/>
      </w:r>
      <w:r>
        <w:t xml:space="preserve"> </w:t>
      </w:r>
      <w:hyperlink r:id="rId8" w:history="1">
        <w:r>
          <w:rPr>
            <w:rStyle w:val="Hyperlink"/>
          </w:rPr>
          <w:t>https://pmc.ncbi.nlm.nih.gov/articles/PMC1262715/</w:t>
        </w:r>
      </w:hyperlink>
    </w:p>
  </w:footnote>
  <w:footnote w:id="20">
    <w:p w:rsidR="00856B3F" w:rsidP="0033795C" w14:paraId="1847810E" w14:textId="77777777">
      <w:pPr>
        <w:pStyle w:val="FootnoteText"/>
        <w:keepLines/>
        <w:spacing w:after="40"/>
      </w:pPr>
      <w:r>
        <w:rPr>
          <w:rStyle w:val="FootnoteReference"/>
        </w:rPr>
        <w:footnoteRef/>
      </w:r>
      <w:r>
        <w:t xml:space="preserve"> </w:t>
      </w:r>
      <w:hyperlink r:id="rId9" w:history="1">
        <w:r>
          <w:rPr>
            <w:rStyle w:val="Hyperlink"/>
          </w:rPr>
          <w:t>https://www.kff.org/public-opinion/public-views-on-prescription-drug-costs-regulation-affordability-and-trumprx/</w:t>
        </w:r>
      </w:hyperlink>
      <w:r>
        <w:t xml:space="preserve"> </w:t>
      </w:r>
    </w:p>
  </w:footnote>
  <w:footnote w:id="21">
    <w:p w:rsidR="00856B3F" w:rsidP="0033795C" w14:paraId="0A2EC357" w14:textId="77777777">
      <w:pPr>
        <w:pStyle w:val="FootnoteText"/>
        <w:keepLines/>
        <w:spacing w:after="40"/>
      </w:pPr>
      <w:r>
        <w:rPr>
          <w:rStyle w:val="FootnoteReference"/>
        </w:rPr>
        <w:footnoteRef/>
      </w:r>
      <w:r>
        <w:t xml:space="preserve"> </w:t>
      </w:r>
      <w:hyperlink r:id="rId10" w:history="1">
        <w:r>
          <w:rPr>
            <w:rStyle w:val="Hyperlink"/>
          </w:rPr>
          <w:t>https://investors.goodrx.com/news-releases/news-release-details/goodrx-reports-fourth-quarter-and-full-year-2025-results</w:t>
        </w:r>
      </w:hyperlink>
      <w:r>
        <w:t xml:space="preserve"> </w:t>
      </w:r>
    </w:p>
  </w:footnote>
  <w:footnote w:id="22">
    <w:p w:rsidR="00856B3F" w:rsidP="0033795C" w14:paraId="48B54953" w14:textId="35182E4A">
      <w:pPr>
        <w:pStyle w:val="FootnoteText"/>
        <w:keepLines/>
        <w:spacing w:after="40"/>
      </w:pPr>
      <w:r>
        <w:rPr>
          <w:rStyle w:val="FootnoteReference"/>
        </w:rPr>
        <w:footnoteRef/>
      </w:r>
      <w:r>
        <w:t xml:space="preserve"> </w:t>
      </w:r>
      <w:hyperlink r:id="rId11" w:history="1">
        <w:r>
          <w:rPr>
            <w:rStyle w:val="Hyperlink"/>
          </w:rPr>
          <w:t>https://www.cms.gov/files/document/data-snapshot-hypertension-jan-2023.pdf</w:t>
        </w:r>
      </w:hyperlink>
      <w:r>
        <w:t xml:space="preserve"> </w:t>
      </w:r>
    </w:p>
  </w:footnote>
  <w:footnote w:id="23">
    <w:p w:rsidR="00856B3F" w:rsidP="0033795C" w14:paraId="6DCAD129" w14:textId="77777777">
      <w:pPr>
        <w:pStyle w:val="FootnoteText"/>
        <w:keepLines/>
        <w:spacing w:after="40"/>
      </w:pPr>
      <w:r>
        <w:rPr>
          <w:rStyle w:val="FootnoteReference"/>
        </w:rPr>
        <w:footnoteRef/>
      </w:r>
      <w:r>
        <w:t xml:space="preserve"> </w:t>
      </w:r>
      <w:hyperlink r:id="rId12" w:history="1">
        <w:r>
          <w:rPr>
            <w:rStyle w:val="Hyperlink"/>
          </w:rPr>
          <w:t>https://www.cdc.gov/nchs/fastats/older-american-health.htm</w:t>
        </w:r>
      </w:hyperlink>
      <w:r>
        <w:t xml:space="preserve"> </w:t>
      </w:r>
    </w:p>
  </w:footnote>
  <w:footnote w:id="24">
    <w:p w:rsidR="00856B3F" w:rsidP="0033795C" w14:paraId="18C71433" w14:textId="77777777">
      <w:pPr>
        <w:pStyle w:val="FootnoteText"/>
        <w:keepLines/>
        <w:spacing w:after="40"/>
      </w:pPr>
      <w:r>
        <w:rPr>
          <w:rStyle w:val="FootnoteReference"/>
        </w:rPr>
        <w:footnoteRef/>
      </w:r>
      <w:r>
        <w:t xml:space="preserve"> </w:t>
      </w:r>
      <w:hyperlink r:id="rId13" w:history="1">
        <w:r>
          <w:rPr>
            <w:rStyle w:val="Hyperlink"/>
          </w:rPr>
          <w:t>https://aspe.hhs.gov/sites/default/files/documents/920ec8349c53a362b27e3b10669dafd4/generic-drug-landscape-ib.pdf</w:t>
        </w:r>
      </w:hyperlink>
      <w:r>
        <w:t xml:space="preserve"> </w:t>
      </w:r>
    </w:p>
  </w:footnote>
  <w:footnote w:id="25">
    <w:p w:rsidR="00856B3F" w:rsidP="0033795C" w14:paraId="285E9736" w14:textId="77777777">
      <w:pPr>
        <w:pStyle w:val="FootnoteText"/>
        <w:keepLines/>
        <w:spacing w:after="40"/>
      </w:pPr>
      <w:r>
        <w:rPr>
          <w:rStyle w:val="FootnoteReference"/>
        </w:rPr>
        <w:footnoteRef/>
      </w:r>
      <w:r>
        <w:t xml:space="preserve"> </w:t>
      </w:r>
      <w:hyperlink r:id="rId14" w:history="1">
        <w:r>
          <w:rPr>
            <w:rStyle w:val="Hyperlink"/>
          </w:rPr>
          <w:t>https://www-ahajournals-org.proxy.uchicago.edu/doi/10.1161/CIR.0000000000001356</w:t>
        </w:r>
      </w:hyperlink>
      <w:r>
        <w:t xml:space="preserve"> </w:t>
      </w:r>
    </w:p>
  </w:footnote>
  <w:footnote w:id="26">
    <w:p w:rsidR="003728E2" w:rsidP="0033795C" w14:paraId="152B70D7" w14:textId="77777777">
      <w:pPr>
        <w:pStyle w:val="FootnoteText"/>
        <w:keepLines/>
        <w:spacing w:after="40"/>
      </w:pPr>
      <w:r>
        <w:rPr>
          <w:rStyle w:val="FootnoteReference"/>
        </w:rPr>
        <w:footnoteRef/>
      </w:r>
      <w:r>
        <w:t xml:space="preserve"> OMB Control Number 0938-1434</w:t>
      </w:r>
    </w:p>
  </w:footnote>
  <w:footnote w:id="27">
    <w:p w:rsidR="00845A99" w:rsidP="0033795C" w14:paraId="1E9DB867" w14:textId="60A68F31">
      <w:pPr>
        <w:pStyle w:val="FootnoteText"/>
        <w:keepLines/>
        <w:spacing w:after="40"/>
      </w:pPr>
      <w:r>
        <w:rPr>
          <w:rStyle w:val="FootnoteReference"/>
        </w:rPr>
        <w:footnoteRef/>
      </w:r>
      <w:r>
        <w:t xml:space="preserve"> </w:t>
      </w:r>
      <w:r w:rsidRPr="00845A99">
        <w:t xml:space="preserve">Showcards are available to respondents to download in order to follow along during phone interviews. </w:t>
      </w:r>
    </w:p>
  </w:footnote>
  <w:footnote w:id="28">
    <w:p w:rsidR="00F10BF8" w:rsidRPr="00110F11" w:rsidP="0033795C" w14:paraId="01EC3963" w14:textId="0A2FE275">
      <w:pPr>
        <w:pStyle w:val="FootnoteText"/>
        <w:keepLines/>
        <w:spacing w:after="40"/>
      </w:pPr>
      <w:r w:rsidRPr="00110F11">
        <w:rPr>
          <w:rStyle w:val="FootnoteReference"/>
        </w:rPr>
        <w:footnoteRef/>
      </w:r>
      <w:r w:rsidRPr="00110F11">
        <w:t xml:space="preserve"> </w:t>
      </w:r>
      <w:hyperlink r:id="rId15" w:tooltip="2021 METHODOLOGY REPORT" w:history="1">
        <w:r w:rsidRPr="002531CB" w:rsidR="00B05459">
          <w:rPr>
            <w:rStyle w:val="Hyperlink"/>
          </w:rPr>
          <w:t>https://www.cms.gov/files/document/2021-mcbs-methodology-report.pdf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3"/>
    <w:multiLevelType w:val="singleLevel"/>
    <w:tmpl w:val="530A1B60"/>
    <w:lvl w:ilvl="0">
      <w:start w:val="1"/>
      <w:numFmt w:val="bullet"/>
      <w:pStyle w:val="ListBullet2"/>
      <w:lvlText w:val="●"/>
      <w:lvlJc w:val="left"/>
      <w:pPr>
        <w:ind w:left="720" w:hanging="360"/>
      </w:pPr>
      <w:rPr>
        <w:rFonts w:ascii="Arial" w:hAnsi="Arial" w:hint="default"/>
        <w:sz w:val="20"/>
      </w:rPr>
    </w:lvl>
  </w:abstractNum>
  <w:abstractNum w:abstractNumId="1">
    <w:nsid w:val="FFFFFF88"/>
    <w:multiLevelType w:val="singleLevel"/>
    <w:tmpl w:val="65909C62"/>
    <w:lvl w:ilvl="0">
      <w:start w:val="1"/>
      <w:numFmt w:val="decimal"/>
      <w:pStyle w:val="ListNumber"/>
      <w:lvlText w:val="%1."/>
      <w:lvlJc w:val="left"/>
      <w:pPr>
        <w:tabs>
          <w:tab w:val="num" w:pos="360"/>
        </w:tabs>
        <w:ind w:left="360" w:hanging="360"/>
      </w:pPr>
      <w:rPr>
        <w:b w:val="0"/>
        <w:bCs w:val="0"/>
        <w:i w:val="0"/>
        <w:iCs w:val="0"/>
      </w:rPr>
    </w:lvl>
  </w:abstractNum>
  <w:abstractNum w:abstractNumId="2">
    <w:nsid w:val="223A3F37"/>
    <w:multiLevelType w:val="hybridMultilevel"/>
    <w:tmpl w:val="A6DA8904"/>
    <w:lvl w:ilvl="0">
      <w:start w:val="1"/>
      <w:numFmt w:val="bullet"/>
      <w:pStyle w:val="ListBullet3"/>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
    <w:nsid w:val="290022E0"/>
    <w:multiLevelType w:val="hybridMultilevel"/>
    <w:tmpl w:val="91C22AD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298C09E7"/>
    <w:multiLevelType w:val="multilevel"/>
    <w:tmpl w:val="2A3A68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9F315ED"/>
    <w:multiLevelType w:val="hybridMultilevel"/>
    <w:tmpl w:val="87B6D354"/>
    <w:lvl w:ilvl="0">
      <w:start w:val="1"/>
      <w:numFmt w:val="lowerLetter"/>
      <w:pStyle w:val="Heading4"/>
      <w:lvlText w:val="%1."/>
      <w:lvlJc w:val="left"/>
      <w:pPr>
        <w:ind w:left="340" w:hanging="240"/>
      </w:pPr>
      <w:rPr>
        <w:rFonts w:ascii="Times New Roman" w:eastAsia="Times New Roman" w:hAnsi="Times New Roman" w:cs="Times New Roman" w:hint="default"/>
        <w:b/>
        <w:bCs/>
        <w:spacing w:val="0"/>
        <w:w w:val="99"/>
        <w:sz w:val="24"/>
        <w:szCs w:val="24"/>
      </w:rPr>
    </w:lvl>
    <w:lvl w:ilvl="1">
      <w:start w:val="1"/>
      <w:numFmt w:val="decimal"/>
      <w:lvlText w:val="%2)"/>
      <w:lvlJc w:val="left"/>
      <w:pPr>
        <w:ind w:left="840" w:hanging="360"/>
      </w:pPr>
      <w:rPr>
        <w:rFonts w:ascii="Times New Roman" w:eastAsia="Times New Roman" w:hAnsi="Times New Roman" w:cs="Times New Roman" w:hint="default"/>
        <w:spacing w:val="-20"/>
        <w:w w:val="99"/>
        <w:sz w:val="24"/>
        <w:szCs w:val="24"/>
      </w:rPr>
    </w:lvl>
    <w:lvl w:ilvl="2">
      <w:start w:val="0"/>
      <w:numFmt w:val="bullet"/>
      <w:lvlText w:val="•"/>
      <w:lvlJc w:val="left"/>
      <w:pPr>
        <w:ind w:left="1833" w:hanging="360"/>
      </w:pPr>
      <w:rPr>
        <w:rFonts w:hint="default"/>
      </w:rPr>
    </w:lvl>
    <w:lvl w:ilvl="3">
      <w:start w:val="0"/>
      <w:numFmt w:val="bullet"/>
      <w:lvlText w:val="•"/>
      <w:lvlJc w:val="left"/>
      <w:pPr>
        <w:ind w:left="2826" w:hanging="360"/>
      </w:pPr>
      <w:rPr>
        <w:rFonts w:hint="default"/>
      </w:rPr>
    </w:lvl>
    <w:lvl w:ilvl="4">
      <w:start w:val="0"/>
      <w:numFmt w:val="bullet"/>
      <w:lvlText w:val="•"/>
      <w:lvlJc w:val="left"/>
      <w:pPr>
        <w:ind w:left="3820" w:hanging="360"/>
      </w:pPr>
      <w:rPr>
        <w:rFonts w:hint="default"/>
      </w:rPr>
    </w:lvl>
    <w:lvl w:ilvl="5">
      <w:start w:val="0"/>
      <w:numFmt w:val="bullet"/>
      <w:lvlText w:val="•"/>
      <w:lvlJc w:val="left"/>
      <w:pPr>
        <w:ind w:left="4813" w:hanging="360"/>
      </w:pPr>
      <w:rPr>
        <w:rFonts w:hint="default"/>
      </w:rPr>
    </w:lvl>
    <w:lvl w:ilvl="6">
      <w:start w:val="0"/>
      <w:numFmt w:val="bullet"/>
      <w:lvlText w:val="•"/>
      <w:lvlJc w:val="left"/>
      <w:pPr>
        <w:ind w:left="5806" w:hanging="360"/>
      </w:pPr>
      <w:rPr>
        <w:rFonts w:hint="default"/>
      </w:rPr>
    </w:lvl>
    <w:lvl w:ilvl="7">
      <w:start w:val="0"/>
      <w:numFmt w:val="bullet"/>
      <w:lvlText w:val="•"/>
      <w:lvlJc w:val="left"/>
      <w:pPr>
        <w:ind w:left="6800" w:hanging="360"/>
      </w:pPr>
      <w:rPr>
        <w:rFonts w:hint="default"/>
      </w:rPr>
    </w:lvl>
    <w:lvl w:ilvl="8">
      <w:start w:val="0"/>
      <w:numFmt w:val="bullet"/>
      <w:lvlText w:val="•"/>
      <w:lvlJc w:val="left"/>
      <w:pPr>
        <w:ind w:left="7793" w:hanging="360"/>
      </w:pPr>
      <w:rPr>
        <w:rFonts w:hint="default"/>
      </w:rPr>
    </w:lvl>
  </w:abstractNum>
  <w:abstractNum w:abstractNumId="6">
    <w:nsid w:val="2B86678B"/>
    <w:multiLevelType w:val="hybridMultilevel"/>
    <w:tmpl w:val="0E680E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0927D09"/>
    <w:multiLevelType w:val="hybridMultilevel"/>
    <w:tmpl w:val="2D6CE79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364D7187"/>
    <w:multiLevelType w:val="hybridMultilevel"/>
    <w:tmpl w:val="A594CCDE"/>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7172E94"/>
    <w:multiLevelType w:val="hybridMultilevel"/>
    <w:tmpl w:val="386CEC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38F01FB"/>
    <w:multiLevelType w:val="hybridMultilevel"/>
    <w:tmpl w:val="4BFA0C9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4746710"/>
    <w:multiLevelType w:val="hybridMultilevel"/>
    <w:tmpl w:val="5832FA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4C953F8F"/>
    <w:multiLevelType w:val="hybridMultilevel"/>
    <w:tmpl w:val="ED4AB014"/>
    <w:lvl w:ilvl="0">
      <w:start w:val="1"/>
      <w:numFmt w:val="lowerLetter"/>
      <w:pStyle w:val="ListNumber2"/>
      <w:lvlText w:val="%1."/>
      <w:lvlJc w:val="left"/>
      <w:pPr>
        <w:ind w:left="920" w:hanging="360"/>
      </w:pPr>
      <w:rPr>
        <w:rFonts w:ascii="Times New Roman" w:eastAsia="Times New Roman" w:hAnsi="Times New Roman" w:cs="Times New Roman" w:hint="default"/>
        <w:spacing w:val="0"/>
        <w:w w:val="100"/>
        <w:sz w:val="24"/>
        <w:szCs w:val="24"/>
      </w:rPr>
    </w:lvl>
    <w:lvl w:ilvl="1">
      <w:start w:val="0"/>
      <w:numFmt w:val="bullet"/>
      <w:lvlText w:val="•"/>
      <w:lvlJc w:val="left"/>
      <w:pPr>
        <w:ind w:left="1806" w:hanging="360"/>
      </w:pPr>
      <w:rPr>
        <w:rFonts w:hint="default"/>
      </w:rPr>
    </w:lvl>
    <w:lvl w:ilvl="2">
      <w:start w:val="0"/>
      <w:numFmt w:val="bullet"/>
      <w:lvlText w:val="•"/>
      <w:lvlJc w:val="left"/>
      <w:pPr>
        <w:ind w:left="2692" w:hanging="360"/>
      </w:pPr>
      <w:rPr>
        <w:rFonts w:hint="default"/>
      </w:rPr>
    </w:lvl>
    <w:lvl w:ilvl="3">
      <w:start w:val="0"/>
      <w:numFmt w:val="bullet"/>
      <w:lvlText w:val="•"/>
      <w:lvlJc w:val="left"/>
      <w:pPr>
        <w:ind w:left="3578" w:hanging="360"/>
      </w:pPr>
      <w:rPr>
        <w:rFonts w:hint="default"/>
      </w:rPr>
    </w:lvl>
    <w:lvl w:ilvl="4">
      <w:start w:val="0"/>
      <w:numFmt w:val="bullet"/>
      <w:lvlText w:val="•"/>
      <w:lvlJc w:val="left"/>
      <w:pPr>
        <w:ind w:left="4464" w:hanging="360"/>
      </w:pPr>
      <w:rPr>
        <w:rFonts w:hint="default"/>
      </w:rPr>
    </w:lvl>
    <w:lvl w:ilvl="5">
      <w:start w:val="0"/>
      <w:numFmt w:val="bullet"/>
      <w:lvlText w:val="•"/>
      <w:lvlJc w:val="left"/>
      <w:pPr>
        <w:ind w:left="5350" w:hanging="360"/>
      </w:pPr>
      <w:rPr>
        <w:rFonts w:hint="default"/>
      </w:rPr>
    </w:lvl>
    <w:lvl w:ilvl="6">
      <w:start w:val="0"/>
      <w:numFmt w:val="bullet"/>
      <w:lvlText w:val="•"/>
      <w:lvlJc w:val="left"/>
      <w:pPr>
        <w:ind w:left="6236" w:hanging="360"/>
      </w:pPr>
      <w:rPr>
        <w:rFonts w:hint="default"/>
      </w:rPr>
    </w:lvl>
    <w:lvl w:ilvl="7">
      <w:start w:val="0"/>
      <w:numFmt w:val="bullet"/>
      <w:lvlText w:val="•"/>
      <w:lvlJc w:val="left"/>
      <w:pPr>
        <w:ind w:left="7122" w:hanging="360"/>
      </w:pPr>
      <w:rPr>
        <w:rFonts w:hint="default"/>
      </w:rPr>
    </w:lvl>
    <w:lvl w:ilvl="8">
      <w:start w:val="0"/>
      <w:numFmt w:val="bullet"/>
      <w:lvlText w:val="•"/>
      <w:lvlJc w:val="left"/>
      <w:pPr>
        <w:ind w:left="8008" w:hanging="360"/>
      </w:pPr>
      <w:rPr>
        <w:rFonts w:hint="default"/>
      </w:rPr>
    </w:lvl>
  </w:abstractNum>
  <w:abstractNum w:abstractNumId="13">
    <w:nsid w:val="4D6F6210"/>
    <w:multiLevelType w:val="hybridMultilevel"/>
    <w:tmpl w:val="9EC202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04E7EC2"/>
    <w:multiLevelType w:val="hybridMultilevel"/>
    <w:tmpl w:val="3BF817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D774FA7"/>
    <w:multiLevelType w:val="hybridMultilevel"/>
    <w:tmpl w:val="11B0F0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1AF1A10"/>
    <w:multiLevelType w:val="hybridMultilevel"/>
    <w:tmpl w:val="DDAC90DA"/>
    <w:lvl w:ilvl="0">
      <w:start w:val="1"/>
      <w:numFmt w:val="upperLetter"/>
      <w:pStyle w:val="Heading2"/>
      <w:lvlText w:val="%1."/>
      <w:lvlJc w:val="left"/>
      <w:pPr>
        <w:ind w:left="418" w:hanging="318"/>
      </w:pPr>
      <w:rPr>
        <w:rFonts w:ascii="Times New Roman" w:eastAsia="Times New Roman" w:hAnsi="Times New Roman" w:cs="Times New Roman" w:hint="default"/>
        <w:b/>
        <w:bCs/>
        <w:w w:val="100"/>
        <w:sz w:val="26"/>
        <w:szCs w:val="26"/>
      </w:rPr>
    </w:lvl>
    <w:lvl w:ilvl="1">
      <w:start w:val="0"/>
      <w:numFmt w:val="bullet"/>
      <w:lvlText w:val=""/>
      <w:lvlJc w:val="left"/>
      <w:pPr>
        <w:ind w:left="940" w:hanging="310"/>
      </w:pPr>
      <w:rPr>
        <w:rFonts w:ascii="Symbol" w:eastAsia="Symbol" w:hAnsi="Symbol" w:cs="Symbol" w:hint="default"/>
        <w:w w:val="100"/>
        <w:sz w:val="24"/>
        <w:szCs w:val="24"/>
      </w:rPr>
    </w:lvl>
    <w:lvl w:ilvl="2">
      <w:start w:val="0"/>
      <w:numFmt w:val="bullet"/>
      <w:lvlText w:val="•"/>
      <w:lvlJc w:val="left"/>
      <w:pPr>
        <w:ind w:left="1924" w:hanging="310"/>
      </w:pPr>
      <w:rPr>
        <w:rFonts w:hint="default"/>
      </w:rPr>
    </w:lvl>
    <w:lvl w:ilvl="3">
      <w:start w:val="0"/>
      <w:numFmt w:val="bullet"/>
      <w:lvlText w:val="•"/>
      <w:lvlJc w:val="left"/>
      <w:pPr>
        <w:ind w:left="2908" w:hanging="310"/>
      </w:pPr>
      <w:rPr>
        <w:rFonts w:hint="default"/>
      </w:rPr>
    </w:lvl>
    <w:lvl w:ilvl="4">
      <w:start w:val="0"/>
      <w:numFmt w:val="bullet"/>
      <w:lvlText w:val="•"/>
      <w:lvlJc w:val="left"/>
      <w:pPr>
        <w:ind w:left="3893" w:hanging="310"/>
      </w:pPr>
      <w:rPr>
        <w:rFonts w:hint="default"/>
      </w:rPr>
    </w:lvl>
    <w:lvl w:ilvl="5">
      <w:start w:val="0"/>
      <w:numFmt w:val="bullet"/>
      <w:lvlText w:val="•"/>
      <w:lvlJc w:val="left"/>
      <w:pPr>
        <w:ind w:left="4877" w:hanging="310"/>
      </w:pPr>
      <w:rPr>
        <w:rFonts w:hint="default"/>
      </w:rPr>
    </w:lvl>
    <w:lvl w:ilvl="6">
      <w:start w:val="0"/>
      <w:numFmt w:val="bullet"/>
      <w:lvlText w:val="•"/>
      <w:lvlJc w:val="left"/>
      <w:pPr>
        <w:ind w:left="5862" w:hanging="310"/>
      </w:pPr>
      <w:rPr>
        <w:rFonts w:hint="default"/>
      </w:rPr>
    </w:lvl>
    <w:lvl w:ilvl="7">
      <w:start w:val="0"/>
      <w:numFmt w:val="bullet"/>
      <w:lvlText w:val="•"/>
      <w:lvlJc w:val="left"/>
      <w:pPr>
        <w:ind w:left="6846" w:hanging="310"/>
      </w:pPr>
      <w:rPr>
        <w:rFonts w:hint="default"/>
      </w:rPr>
    </w:lvl>
    <w:lvl w:ilvl="8">
      <w:start w:val="0"/>
      <w:numFmt w:val="bullet"/>
      <w:lvlText w:val="•"/>
      <w:lvlJc w:val="left"/>
      <w:pPr>
        <w:ind w:left="7831" w:hanging="310"/>
      </w:pPr>
      <w:rPr>
        <w:rFonts w:hint="default"/>
      </w:rPr>
    </w:lvl>
  </w:abstractNum>
  <w:abstractNum w:abstractNumId="17">
    <w:nsid w:val="7581223A"/>
    <w:multiLevelType w:val="hybridMultilevel"/>
    <w:tmpl w:val="25DCC3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5B0271E"/>
    <w:multiLevelType w:val="hybridMultilevel"/>
    <w:tmpl w:val="BFEC77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B1820C1"/>
    <w:multiLevelType w:val="hybridMultilevel"/>
    <w:tmpl w:val="A224A5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79066202">
    <w:abstractNumId w:val="12"/>
  </w:num>
  <w:num w:numId="2" w16cid:durableId="944456080">
    <w:abstractNumId w:val="5"/>
  </w:num>
  <w:num w:numId="3" w16cid:durableId="793518113">
    <w:abstractNumId w:val="16"/>
  </w:num>
  <w:num w:numId="4" w16cid:durableId="1558664294">
    <w:abstractNumId w:val="0"/>
  </w:num>
  <w:num w:numId="5" w16cid:durableId="1441099882">
    <w:abstractNumId w:val="1"/>
  </w:num>
  <w:num w:numId="6" w16cid:durableId="538976161">
    <w:abstractNumId w:val="2"/>
  </w:num>
  <w:num w:numId="7" w16cid:durableId="1806199280">
    <w:abstractNumId w:val="1"/>
    <w:lvlOverride w:ilvl="0">
      <w:startOverride w:val="1"/>
    </w:lvlOverride>
  </w:num>
  <w:num w:numId="8" w16cid:durableId="1601915693">
    <w:abstractNumId w:val="10"/>
  </w:num>
  <w:num w:numId="9" w16cid:durableId="1588689263">
    <w:abstractNumId w:val="3"/>
  </w:num>
  <w:num w:numId="10" w16cid:durableId="835267050">
    <w:abstractNumId w:val="7"/>
  </w:num>
  <w:num w:numId="11" w16cid:durableId="1763136136">
    <w:abstractNumId w:val="17"/>
  </w:num>
  <w:num w:numId="12" w16cid:durableId="572854489">
    <w:abstractNumId w:val="19"/>
  </w:num>
  <w:num w:numId="13" w16cid:durableId="1060901944">
    <w:abstractNumId w:val="14"/>
  </w:num>
  <w:num w:numId="14" w16cid:durableId="991445875">
    <w:abstractNumId w:val="13"/>
  </w:num>
  <w:num w:numId="15" w16cid:durableId="493954841">
    <w:abstractNumId w:val="9"/>
  </w:num>
  <w:num w:numId="16" w16cid:durableId="1056271379">
    <w:abstractNumId w:val="18"/>
  </w:num>
  <w:num w:numId="17" w16cid:durableId="1094977803">
    <w:abstractNumId w:val="18"/>
  </w:num>
  <w:num w:numId="18" w16cid:durableId="2035307327">
    <w:abstractNumId w:val="15"/>
  </w:num>
  <w:num w:numId="19" w16cid:durableId="37365049">
    <w:abstractNumId w:val="15"/>
  </w:num>
  <w:num w:numId="20" w16cid:durableId="909071739">
    <w:abstractNumId w:val="4"/>
  </w:num>
  <w:num w:numId="21" w16cid:durableId="865212978">
    <w:abstractNumId w:val="6"/>
  </w:num>
  <w:num w:numId="22" w16cid:durableId="299186585">
    <w:abstractNumId w:val="8"/>
  </w:num>
  <w:num w:numId="23" w16cid:durableId="828014194">
    <w:abstractNumId w:val="8"/>
  </w:num>
  <w:num w:numId="24" w16cid:durableId="572617246">
    <w:abstractNumId w:val="18"/>
  </w:num>
  <w:num w:numId="25" w16cid:durableId="423183018">
    <w:abstractNumId w:val="6"/>
  </w:num>
  <w:num w:numId="26" w16cid:durableId="1416129805">
    <w:abstractNumId w:val="3"/>
  </w:num>
  <w:num w:numId="27" w16cid:durableId="1471247418">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stylePaneSortMethod w:val="name"/>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52B"/>
    <w:rsid w:val="00000631"/>
    <w:rsid w:val="00002CA4"/>
    <w:rsid w:val="00006816"/>
    <w:rsid w:val="000101BD"/>
    <w:rsid w:val="00011174"/>
    <w:rsid w:val="00012CA7"/>
    <w:rsid w:val="000144C7"/>
    <w:rsid w:val="00015740"/>
    <w:rsid w:val="00015C99"/>
    <w:rsid w:val="0001688D"/>
    <w:rsid w:val="00020EC0"/>
    <w:rsid w:val="00021378"/>
    <w:rsid w:val="000237D6"/>
    <w:rsid w:val="00023D84"/>
    <w:rsid w:val="000247E3"/>
    <w:rsid w:val="0002576F"/>
    <w:rsid w:val="000300D9"/>
    <w:rsid w:val="0003030E"/>
    <w:rsid w:val="00030B08"/>
    <w:rsid w:val="000313F9"/>
    <w:rsid w:val="00032D21"/>
    <w:rsid w:val="00034FF8"/>
    <w:rsid w:val="0003529C"/>
    <w:rsid w:val="000370A8"/>
    <w:rsid w:val="00042219"/>
    <w:rsid w:val="000448B7"/>
    <w:rsid w:val="00044971"/>
    <w:rsid w:val="00045542"/>
    <w:rsid w:val="000461AC"/>
    <w:rsid w:val="000461B1"/>
    <w:rsid w:val="000467D5"/>
    <w:rsid w:val="00047632"/>
    <w:rsid w:val="00051346"/>
    <w:rsid w:val="00054512"/>
    <w:rsid w:val="0005551B"/>
    <w:rsid w:val="0006207F"/>
    <w:rsid w:val="000620BE"/>
    <w:rsid w:val="00062A6F"/>
    <w:rsid w:val="000631FB"/>
    <w:rsid w:val="00063504"/>
    <w:rsid w:val="0006667B"/>
    <w:rsid w:val="00066A29"/>
    <w:rsid w:val="00066B99"/>
    <w:rsid w:val="00067A33"/>
    <w:rsid w:val="00072F5E"/>
    <w:rsid w:val="00074953"/>
    <w:rsid w:val="00077669"/>
    <w:rsid w:val="00080D41"/>
    <w:rsid w:val="00083B97"/>
    <w:rsid w:val="00084291"/>
    <w:rsid w:val="00084C3D"/>
    <w:rsid w:val="0009032E"/>
    <w:rsid w:val="00094042"/>
    <w:rsid w:val="000944BB"/>
    <w:rsid w:val="0009546A"/>
    <w:rsid w:val="000975E5"/>
    <w:rsid w:val="000978CE"/>
    <w:rsid w:val="00097C3A"/>
    <w:rsid w:val="000A248B"/>
    <w:rsid w:val="000A723E"/>
    <w:rsid w:val="000B17A2"/>
    <w:rsid w:val="000B1EAA"/>
    <w:rsid w:val="000B315E"/>
    <w:rsid w:val="000B319C"/>
    <w:rsid w:val="000B4728"/>
    <w:rsid w:val="000B520E"/>
    <w:rsid w:val="000B70CB"/>
    <w:rsid w:val="000B7184"/>
    <w:rsid w:val="000B767D"/>
    <w:rsid w:val="000B7A89"/>
    <w:rsid w:val="000C29E3"/>
    <w:rsid w:val="000C3246"/>
    <w:rsid w:val="000C384A"/>
    <w:rsid w:val="000C5174"/>
    <w:rsid w:val="000D07A7"/>
    <w:rsid w:val="000D1953"/>
    <w:rsid w:val="000D3542"/>
    <w:rsid w:val="000D38AE"/>
    <w:rsid w:val="000D7D89"/>
    <w:rsid w:val="000E1D3A"/>
    <w:rsid w:val="000E2349"/>
    <w:rsid w:val="000E343B"/>
    <w:rsid w:val="000E3E31"/>
    <w:rsid w:val="000E49C8"/>
    <w:rsid w:val="000E5CDB"/>
    <w:rsid w:val="000E76B1"/>
    <w:rsid w:val="000F32AB"/>
    <w:rsid w:val="000F4D55"/>
    <w:rsid w:val="000F5739"/>
    <w:rsid w:val="000F716A"/>
    <w:rsid w:val="000F7647"/>
    <w:rsid w:val="000F776C"/>
    <w:rsid w:val="0010064F"/>
    <w:rsid w:val="00101EE1"/>
    <w:rsid w:val="00104136"/>
    <w:rsid w:val="001049CE"/>
    <w:rsid w:val="00105272"/>
    <w:rsid w:val="001052BF"/>
    <w:rsid w:val="00105F0E"/>
    <w:rsid w:val="001060F5"/>
    <w:rsid w:val="00110F11"/>
    <w:rsid w:val="00120A5C"/>
    <w:rsid w:val="0012130C"/>
    <w:rsid w:val="00123866"/>
    <w:rsid w:val="001252B9"/>
    <w:rsid w:val="00125D35"/>
    <w:rsid w:val="001274F5"/>
    <w:rsid w:val="00127AEA"/>
    <w:rsid w:val="0013229A"/>
    <w:rsid w:val="001327D1"/>
    <w:rsid w:val="0013326A"/>
    <w:rsid w:val="00133BF9"/>
    <w:rsid w:val="00134BCE"/>
    <w:rsid w:val="0014103D"/>
    <w:rsid w:val="0014189B"/>
    <w:rsid w:val="00143CB5"/>
    <w:rsid w:val="0014427B"/>
    <w:rsid w:val="00144C6B"/>
    <w:rsid w:val="00147C92"/>
    <w:rsid w:val="0015004D"/>
    <w:rsid w:val="00150B2F"/>
    <w:rsid w:val="0015131C"/>
    <w:rsid w:val="00151EB4"/>
    <w:rsid w:val="001520B1"/>
    <w:rsid w:val="00152AEE"/>
    <w:rsid w:val="0015306E"/>
    <w:rsid w:val="00156176"/>
    <w:rsid w:val="00157DE6"/>
    <w:rsid w:val="00163703"/>
    <w:rsid w:val="00164243"/>
    <w:rsid w:val="0016778E"/>
    <w:rsid w:val="0017024A"/>
    <w:rsid w:val="00170939"/>
    <w:rsid w:val="001716BE"/>
    <w:rsid w:val="00172C65"/>
    <w:rsid w:val="00175146"/>
    <w:rsid w:val="00175803"/>
    <w:rsid w:val="00175C84"/>
    <w:rsid w:val="00176B52"/>
    <w:rsid w:val="00176F2C"/>
    <w:rsid w:val="00177230"/>
    <w:rsid w:val="001802DB"/>
    <w:rsid w:val="0018049F"/>
    <w:rsid w:val="00181A36"/>
    <w:rsid w:val="00181DA7"/>
    <w:rsid w:val="00183353"/>
    <w:rsid w:val="001841A4"/>
    <w:rsid w:val="00184C23"/>
    <w:rsid w:val="00186915"/>
    <w:rsid w:val="001874C3"/>
    <w:rsid w:val="0018751B"/>
    <w:rsid w:val="00190CAB"/>
    <w:rsid w:val="00192210"/>
    <w:rsid w:val="0019228C"/>
    <w:rsid w:val="00193464"/>
    <w:rsid w:val="00193901"/>
    <w:rsid w:val="00193FE6"/>
    <w:rsid w:val="00197664"/>
    <w:rsid w:val="001A0325"/>
    <w:rsid w:val="001A0CF5"/>
    <w:rsid w:val="001A1C5D"/>
    <w:rsid w:val="001A598E"/>
    <w:rsid w:val="001A7112"/>
    <w:rsid w:val="001A7DA8"/>
    <w:rsid w:val="001B141B"/>
    <w:rsid w:val="001B47CD"/>
    <w:rsid w:val="001B573C"/>
    <w:rsid w:val="001B5D55"/>
    <w:rsid w:val="001B663C"/>
    <w:rsid w:val="001B7704"/>
    <w:rsid w:val="001C1642"/>
    <w:rsid w:val="001C1985"/>
    <w:rsid w:val="001C2387"/>
    <w:rsid w:val="001C4996"/>
    <w:rsid w:val="001C4F0F"/>
    <w:rsid w:val="001C4F5B"/>
    <w:rsid w:val="001C5F58"/>
    <w:rsid w:val="001C6175"/>
    <w:rsid w:val="001D1A42"/>
    <w:rsid w:val="001D318D"/>
    <w:rsid w:val="001D3ACF"/>
    <w:rsid w:val="001D3E4D"/>
    <w:rsid w:val="001D6CAE"/>
    <w:rsid w:val="001E06AE"/>
    <w:rsid w:val="001E44D4"/>
    <w:rsid w:val="001E6768"/>
    <w:rsid w:val="001E70F1"/>
    <w:rsid w:val="001E7469"/>
    <w:rsid w:val="001F1584"/>
    <w:rsid w:val="001F1AF2"/>
    <w:rsid w:val="001F1DDE"/>
    <w:rsid w:val="001F4EC1"/>
    <w:rsid w:val="001F5027"/>
    <w:rsid w:val="001F55CC"/>
    <w:rsid w:val="001F5FAC"/>
    <w:rsid w:val="00200E3E"/>
    <w:rsid w:val="00201AC2"/>
    <w:rsid w:val="00203BFE"/>
    <w:rsid w:val="002068E7"/>
    <w:rsid w:val="002074C0"/>
    <w:rsid w:val="00207FA8"/>
    <w:rsid w:val="002103E3"/>
    <w:rsid w:val="00210822"/>
    <w:rsid w:val="00211360"/>
    <w:rsid w:val="002113AD"/>
    <w:rsid w:val="002130FE"/>
    <w:rsid w:val="00221BEC"/>
    <w:rsid w:val="002229E3"/>
    <w:rsid w:val="00223040"/>
    <w:rsid w:val="00224949"/>
    <w:rsid w:val="00225736"/>
    <w:rsid w:val="00230B3A"/>
    <w:rsid w:val="00231FE4"/>
    <w:rsid w:val="00232471"/>
    <w:rsid w:val="002338A1"/>
    <w:rsid w:val="00234E89"/>
    <w:rsid w:val="00234EC5"/>
    <w:rsid w:val="00237C9F"/>
    <w:rsid w:val="0024114C"/>
    <w:rsid w:val="00241F2F"/>
    <w:rsid w:val="00242599"/>
    <w:rsid w:val="00243B17"/>
    <w:rsid w:val="002457CD"/>
    <w:rsid w:val="00246E2F"/>
    <w:rsid w:val="00247140"/>
    <w:rsid w:val="0025185F"/>
    <w:rsid w:val="002519D9"/>
    <w:rsid w:val="002531CB"/>
    <w:rsid w:val="00254B1A"/>
    <w:rsid w:val="00254DA2"/>
    <w:rsid w:val="00255E53"/>
    <w:rsid w:val="002575A8"/>
    <w:rsid w:val="00257889"/>
    <w:rsid w:val="002601C1"/>
    <w:rsid w:val="00261177"/>
    <w:rsid w:val="00261F87"/>
    <w:rsid w:val="002629FF"/>
    <w:rsid w:val="0026648D"/>
    <w:rsid w:val="00267F93"/>
    <w:rsid w:val="00275A0E"/>
    <w:rsid w:val="00277503"/>
    <w:rsid w:val="002860FB"/>
    <w:rsid w:val="0028679E"/>
    <w:rsid w:val="00287739"/>
    <w:rsid w:val="0029042C"/>
    <w:rsid w:val="0029045C"/>
    <w:rsid w:val="002934C7"/>
    <w:rsid w:val="00293E8C"/>
    <w:rsid w:val="00294C87"/>
    <w:rsid w:val="002A2015"/>
    <w:rsid w:val="002A28CE"/>
    <w:rsid w:val="002A3732"/>
    <w:rsid w:val="002A3D24"/>
    <w:rsid w:val="002A4BDB"/>
    <w:rsid w:val="002A6CA7"/>
    <w:rsid w:val="002A7797"/>
    <w:rsid w:val="002B033C"/>
    <w:rsid w:val="002B0401"/>
    <w:rsid w:val="002B2704"/>
    <w:rsid w:val="002B4860"/>
    <w:rsid w:val="002B6147"/>
    <w:rsid w:val="002C0961"/>
    <w:rsid w:val="002C0CDB"/>
    <w:rsid w:val="002C2466"/>
    <w:rsid w:val="002C473C"/>
    <w:rsid w:val="002C7596"/>
    <w:rsid w:val="002D02BA"/>
    <w:rsid w:val="002D2A0C"/>
    <w:rsid w:val="002D3F09"/>
    <w:rsid w:val="002D43C0"/>
    <w:rsid w:val="002D4FED"/>
    <w:rsid w:val="002D649B"/>
    <w:rsid w:val="002D73C9"/>
    <w:rsid w:val="002E0091"/>
    <w:rsid w:val="002E1BBE"/>
    <w:rsid w:val="002E2860"/>
    <w:rsid w:val="002E73B3"/>
    <w:rsid w:val="002E7C47"/>
    <w:rsid w:val="002E7F6E"/>
    <w:rsid w:val="002F059F"/>
    <w:rsid w:val="002F06B3"/>
    <w:rsid w:val="002F2312"/>
    <w:rsid w:val="002F2D36"/>
    <w:rsid w:val="002F3B6E"/>
    <w:rsid w:val="002F41A4"/>
    <w:rsid w:val="002F4EBC"/>
    <w:rsid w:val="002F4F3F"/>
    <w:rsid w:val="002F52B9"/>
    <w:rsid w:val="002F708A"/>
    <w:rsid w:val="002F7632"/>
    <w:rsid w:val="002F76D6"/>
    <w:rsid w:val="0030138B"/>
    <w:rsid w:val="00303F54"/>
    <w:rsid w:val="00304B1C"/>
    <w:rsid w:val="00305136"/>
    <w:rsid w:val="00305381"/>
    <w:rsid w:val="003066E9"/>
    <w:rsid w:val="00310894"/>
    <w:rsid w:val="003135A3"/>
    <w:rsid w:val="00313C09"/>
    <w:rsid w:val="003143AF"/>
    <w:rsid w:val="0031657F"/>
    <w:rsid w:val="003169B3"/>
    <w:rsid w:val="00316E8E"/>
    <w:rsid w:val="003179FB"/>
    <w:rsid w:val="003212C4"/>
    <w:rsid w:val="00321A0C"/>
    <w:rsid w:val="00323D4C"/>
    <w:rsid w:val="00324808"/>
    <w:rsid w:val="003269CF"/>
    <w:rsid w:val="00326BF1"/>
    <w:rsid w:val="00327876"/>
    <w:rsid w:val="00330FB9"/>
    <w:rsid w:val="0033227E"/>
    <w:rsid w:val="00332765"/>
    <w:rsid w:val="00332F37"/>
    <w:rsid w:val="00333774"/>
    <w:rsid w:val="003338A5"/>
    <w:rsid w:val="0033795C"/>
    <w:rsid w:val="00337D90"/>
    <w:rsid w:val="00340310"/>
    <w:rsid w:val="00341A9B"/>
    <w:rsid w:val="00342162"/>
    <w:rsid w:val="00342E6F"/>
    <w:rsid w:val="003430D6"/>
    <w:rsid w:val="003442CF"/>
    <w:rsid w:val="00344404"/>
    <w:rsid w:val="00345110"/>
    <w:rsid w:val="00346687"/>
    <w:rsid w:val="00350255"/>
    <w:rsid w:val="0035191D"/>
    <w:rsid w:val="003520F6"/>
    <w:rsid w:val="0035252E"/>
    <w:rsid w:val="003533FC"/>
    <w:rsid w:val="00355CCE"/>
    <w:rsid w:val="00355E4B"/>
    <w:rsid w:val="00356678"/>
    <w:rsid w:val="00360F12"/>
    <w:rsid w:val="003614C9"/>
    <w:rsid w:val="003614E7"/>
    <w:rsid w:val="0036252F"/>
    <w:rsid w:val="00364216"/>
    <w:rsid w:val="003642D3"/>
    <w:rsid w:val="003728E2"/>
    <w:rsid w:val="003741E9"/>
    <w:rsid w:val="00374589"/>
    <w:rsid w:val="00375351"/>
    <w:rsid w:val="00375978"/>
    <w:rsid w:val="00376CDC"/>
    <w:rsid w:val="00377EFD"/>
    <w:rsid w:val="00383200"/>
    <w:rsid w:val="003839DB"/>
    <w:rsid w:val="003870E2"/>
    <w:rsid w:val="003874A3"/>
    <w:rsid w:val="00387868"/>
    <w:rsid w:val="00390ADE"/>
    <w:rsid w:val="00391CBF"/>
    <w:rsid w:val="003937EF"/>
    <w:rsid w:val="00395042"/>
    <w:rsid w:val="003975A0"/>
    <w:rsid w:val="00397D2B"/>
    <w:rsid w:val="003A0E54"/>
    <w:rsid w:val="003A1AB1"/>
    <w:rsid w:val="003A414D"/>
    <w:rsid w:val="003A427E"/>
    <w:rsid w:val="003A7753"/>
    <w:rsid w:val="003B0DC7"/>
    <w:rsid w:val="003B0E01"/>
    <w:rsid w:val="003B1F56"/>
    <w:rsid w:val="003B2872"/>
    <w:rsid w:val="003B3FF5"/>
    <w:rsid w:val="003B5735"/>
    <w:rsid w:val="003B695E"/>
    <w:rsid w:val="003B780F"/>
    <w:rsid w:val="003B7873"/>
    <w:rsid w:val="003C0E08"/>
    <w:rsid w:val="003C1495"/>
    <w:rsid w:val="003C1744"/>
    <w:rsid w:val="003C37E2"/>
    <w:rsid w:val="003C3E04"/>
    <w:rsid w:val="003C52AC"/>
    <w:rsid w:val="003C6A00"/>
    <w:rsid w:val="003C7124"/>
    <w:rsid w:val="003D34C2"/>
    <w:rsid w:val="003D4D23"/>
    <w:rsid w:val="003D4D6D"/>
    <w:rsid w:val="003D6ABC"/>
    <w:rsid w:val="003E1EC0"/>
    <w:rsid w:val="003E3F08"/>
    <w:rsid w:val="003E481D"/>
    <w:rsid w:val="003E486D"/>
    <w:rsid w:val="003E52AA"/>
    <w:rsid w:val="003E551B"/>
    <w:rsid w:val="003E5A5E"/>
    <w:rsid w:val="003F17CF"/>
    <w:rsid w:val="003F2AD8"/>
    <w:rsid w:val="003F3610"/>
    <w:rsid w:val="003F4D5F"/>
    <w:rsid w:val="003F4FEC"/>
    <w:rsid w:val="004024CD"/>
    <w:rsid w:val="0040294E"/>
    <w:rsid w:val="00403684"/>
    <w:rsid w:val="0040456E"/>
    <w:rsid w:val="00405995"/>
    <w:rsid w:val="00407D79"/>
    <w:rsid w:val="00407EBB"/>
    <w:rsid w:val="004108C0"/>
    <w:rsid w:val="0041110C"/>
    <w:rsid w:val="004112E2"/>
    <w:rsid w:val="004126A1"/>
    <w:rsid w:val="00412AD2"/>
    <w:rsid w:val="004143C7"/>
    <w:rsid w:val="00415AE3"/>
    <w:rsid w:val="00417E97"/>
    <w:rsid w:val="00420827"/>
    <w:rsid w:val="00420B0B"/>
    <w:rsid w:val="00421346"/>
    <w:rsid w:val="00423868"/>
    <w:rsid w:val="00426D8A"/>
    <w:rsid w:val="004352C0"/>
    <w:rsid w:val="00435579"/>
    <w:rsid w:val="00435A97"/>
    <w:rsid w:val="004364EB"/>
    <w:rsid w:val="0043667E"/>
    <w:rsid w:val="00436836"/>
    <w:rsid w:val="00437332"/>
    <w:rsid w:val="0044006A"/>
    <w:rsid w:val="00440EBF"/>
    <w:rsid w:val="00442A91"/>
    <w:rsid w:val="0044386F"/>
    <w:rsid w:val="00444AB8"/>
    <w:rsid w:val="004451A0"/>
    <w:rsid w:val="00445929"/>
    <w:rsid w:val="00446DC8"/>
    <w:rsid w:val="004470FD"/>
    <w:rsid w:val="00450740"/>
    <w:rsid w:val="004510D6"/>
    <w:rsid w:val="0045352D"/>
    <w:rsid w:val="00453B4F"/>
    <w:rsid w:val="0045458B"/>
    <w:rsid w:val="0045532F"/>
    <w:rsid w:val="00460098"/>
    <w:rsid w:val="00464389"/>
    <w:rsid w:val="00470849"/>
    <w:rsid w:val="0047177B"/>
    <w:rsid w:val="004719DE"/>
    <w:rsid w:val="00473191"/>
    <w:rsid w:val="00473873"/>
    <w:rsid w:val="004739F8"/>
    <w:rsid w:val="00473E69"/>
    <w:rsid w:val="004741AE"/>
    <w:rsid w:val="0047465A"/>
    <w:rsid w:val="0047474C"/>
    <w:rsid w:val="00475547"/>
    <w:rsid w:val="00475846"/>
    <w:rsid w:val="00475DEB"/>
    <w:rsid w:val="004803C1"/>
    <w:rsid w:val="00485C02"/>
    <w:rsid w:val="00490388"/>
    <w:rsid w:val="00491036"/>
    <w:rsid w:val="00491616"/>
    <w:rsid w:val="00492FC2"/>
    <w:rsid w:val="00495C2D"/>
    <w:rsid w:val="00496196"/>
    <w:rsid w:val="00496A3F"/>
    <w:rsid w:val="004A0A07"/>
    <w:rsid w:val="004A187A"/>
    <w:rsid w:val="004A2105"/>
    <w:rsid w:val="004A3763"/>
    <w:rsid w:val="004A3958"/>
    <w:rsid w:val="004A3CEF"/>
    <w:rsid w:val="004A4DCD"/>
    <w:rsid w:val="004A56D0"/>
    <w:rsid w:val="004A6345"/>
    <w:rsid w:val="004A7F92"/>
    <w:rsid w:val="004B2A78"/>
    <w:rsid w:val="004B5379"/>
    <w:rsid w:val="004B5583"/>
    <w:rsid w:val="004B6782"/>
    <w:rsid w:val="004C1221"/>
    <w:rsid w:val="004C5DEF"/>
    <w:rsid w:val="004C6055"/>
    <w:rsid w:val="004C63F5"/>
    <w:rsid w:val="004D4AE9"/>
    <w:rsid w:val="004D4FBE"/>
    <w:rsid w:val="004D548B"/>
    <w:rsid w:val="004D628F"/>
    <w:rsid w:val="004D6EBE"/>
    <w:rsid w:val="004D7000"/>
    <w:rsid w:val="004E046B"/>
    <w:rsid w:val="004E1371"/>
    <w:rsid w:val="004E28E1"/>
    <w:rsid w:val="004E2ACD"/>
    <w:rsid w:val="004E3A72"/>
    <w:rsid w:val="004E40E7"/>
    <w:rsid w:val="004E7BF6"/>
    <w:rsid w:val="004F0025"/>
    <w:rsid w:val="004F12AE"/>
    <w:rsid w:val="004F1ECC"/>
    <w:rsid w:val="004F4B4F"/>
    <w:rsid w:val="004F5471"/>
    <w:rsid w:val="004F5F7E"/>
    <w:rsid w:val="004F6096"/>
    <w:rsid w:val="0050063F"/>
    <w:rsid w:val="00500A19"/>
    <w:rsid w:val="00500A44"/>
    <w:rsid w:val="00501205"/>
    <w:rsid w:val="0050236E"/>
    <w:rsid w:val="005027D1"/>
    <w:rsid w:val="00502B6C"/>
    <w:rsid w:val="005037C7"/>
    <w:rsid w:val="005045CE"/>
    <w:rsid w:val="00504D69"/>
    <w:rsid w:val="00505BED"/>
    <w:rsid w:val="0050626C"/>
    <w:rsid w:val="005073B9"/>
    <w:rsid w:val="00507E58"/>
    <w:rsid w:val="00511088"/>
    <w:rsid w:val="00512E20"/>
    <w:rsid w:val="0051329C"/>
    <w:rsid w:val="00514F67"/>
    <w:rsid w:val="005216E9"/>
    <w:rsid w:val="00522115"/>
    <w:rsid w:val="00522C26"/>
    <w:rsid w:val="00523F6E"/>
    <w:rsid w:val="0052463F"/>
    <w:rsid w:val="00524E48"/>
    <w:rsid w:val="0052501E"/>
    <w:rsid w:val="00525ADA"/>
    <w:rsid w:val="00526639"/>
    <w:rsid w:val="00531702"/>
    <w:rsid w:val="0053175A"/>
    <w:rsid w:val="00531A4A"/>
    <w:rsid w:val="00533918"/>
    <w:rsid w:val="00535471"/>
    <w:rsid w:val="00536D54"/>
    <w:rsid w:val="005404F3"/>
    <w:rsid w:val="00540AD0"/>
    <w:rsid w:val="005424CB"/>
    <w:rsid w:val="00542614"/>
    <w:rsid w:val="00542AE0"/>
    <w:rsid w:val="00542DDA"/>
    <w:rsid w:val="0054487F"/>
    <w:rsid w:val="00545151"/>
    <w:rsid w:val="00547E1D"/>
    <w:rsid w:val="00550BE2"/>
    <w:rsid w:val="005529C6"/>
    <w:rsid w:val="00555729"/>
    <w:rsid w:val="00555832"/>
    <w:rsid w:val="00556D78"/>
    <w:rsid w:val="0055747A"/>
    <w:rsid w:val="005628E5"/>
    <w:rsid w:val="0056358A"/>
    <w:rsid w:val="00566BE2"/>
    <w:rsid w:val="00567F6A"/>
    <w:rsid w:val="00572E23"/>
    <w:rsid w:val="00573DF3"/>
    <w:rsid w:val="00573E44"/>
    <w:rsid w:val="00574146"/>
    <w:rsid w:val="005770A6"/>
    <w:rsid w:val="005811C2"/>
    <w:rsid w:val="0058282B"/>
    <w:rsid w:val="0058407B"/>
    <w:rsid w:val="005842CD"/>
    <w:rsid w:val="00584D49"/>
    <w:rsid w:val="00586D22"/>
    <w:rsid w:val="00587257"/>
    <w:rsid w:val="005916A0"/>
    <w:rsid w:val="005970FE"/>
    <w:rsid w:val="005A1214"/>
    <w:rsid w:val="005A15AC"/>
    <w:rsid w:val="005A1CB3"/>
    <w:rsid w:val="005A1F0A"/>
    <w:rsid w:val="005A2930"/>
    <w:rsid w:val="005A4789"/>
    <w:rsid w:val="005B29A6"/>
    <w:rsid w:val="005B3370"/>
    <w:rsid w:val="005B34C7"/>
    <w:rsid w:val="005B4C30"/>
    <w:rsid w:val="005B53E1"/>
    <w:rsid w:val="005B554D"/>
    <w:rsid w:val="005B5F27"/>
    <w:rsid w:val="005B761F"/>
    <w:rsid w:val="005C05E0"/>
    <w:rsid w:val="005C125F"/>
    <w:rsid w:val="005C17EA"/>
    <w:rsid w:val="005C278E"/>
    <w:rsid w:val="005C2CCA"/>
    <w:rsid w:val="005C37C0"/>
    <w:rsid w:val="005C3E3F"/>
    <w:rsid w:val="005C4838"/>
    <w:rsid w:val="005C67E5"/>
    <w:rsid w:val="005C6803"/>
    <w:rsid w:val="005C728A"/>
    <w:rsid w:val="005C7EB1"/>
    <w:rsid w:val="005C7F78"/>
    <w:rsid w:val="005D00F4"/>
    <w:rsid w:val="005D04E5"/>
    <w:rsid w:val="005D242F"/>
    <w:rsid w:val="005D40FF"/>
    <w:rsid w:val="005D5D51"/>
    <w:rsid w:val="005D639F"/>
    <w:rsid w:val="005D6A87"/>
    <w:rsid w:val="005D6BD6"/>
    <w:rsid w:val="005D6BE6"/>
    <w:rsid w:val="005E0E67"/>
    <w:rsid w:val="005E30CC"/>
    <w:rsid w:val="005E4A5F"/>
    <w:rsid w:val="005E50E1"/>
    <w:rsid w:val="005E6984"/>
    <w:rsid w:val="005F10FB"/>
    <w:rsid w:val="005F12B2"/>
    <w:rsid w:val="005F29DD"/>
    <w:rsid w:val="005F2E1D"/>
    <w:rsid w:val="005F553E"/>
    <w:rsid w:val="005F5B12"/>
    <w:rsid w:val="005F5E74"/>
    <w:rsid w:val="005F6EBF"/>
    <w:rsid w:val="00600BD5"/>
    <w:rsid w:val="0060100A"/>
    <w:rsid w:val="0060143F"/>
    <w:rsid w:val="00602230"/>
    <w:rsid w:val="00602FE9"/>
    <w:rsid w:val="00605AB9"/>
    <w:rsid w:val="006075C5"/>
    <w:rsid w:val="00610910"/>
    <w:rsid w:val="00612879"/>
    <w:rsid w:val="00612F01"/>
    <w:rsid w:val="00614CA9"/>
    <w:rsid w:val="00616CC0"/>
    <w:rsid w:val="00617403"/>
    <w:rsid w:val="006217E2"/>
    <w:rsid w:val="006225EA"/>
    <w:rsid w:val="00622A4F"/>
    <w:rsid w:val="00622E3B"/>
    <w:rsid w:val="00625A83"/>
    <w:rsid w:val="006260F7"/>
    <w:rsid w:val="00626323"/>
    <w:rsid w:val="00626708"/>
    <w:rsid w:val="0062699F"/>
    <w:rsid w:val="006270EA"/>
    <w:rsid w:val="006317BB"/>
    <w:rsid w:val="006329C4"/>
    <w:rsid w:val="00632E4F"/>
    <w:rsid w:val="0063322C"/>
    <w:rsid w:val="00633FB4"/>
    <w:rsid w:val="006362A6"/>
    <w:rsid w:val="0063767F"/>
    <w:rsid w:val="006377C7"/>
    <w:rsid w:val="00640B85"/>
    <w:rsid w:val="00642734"/>
    <w:rsid w:val="00645D93"/>
    <w:rsid w:val="00647510"/>
    <w:rsid w:val="00650751"/>
    <w:rsid w:val="006508A0"/>
    <w:rsid w:val="006513F9"/>
    <w:rsid w:val="00653C03"/>
    <w:rsid w:val="00656770"/>
    <w:rsid w:val="00662CE0"/>
    <w:rsid w:val="00664097"/>
    <w:rsid w:val="00666A77"/>
    <w:rsid w:val="006709B6"/>
    <w:rsid w:val="00672345"/>
    <w:rsid w:val="0067247B"/>
    <w:rsid w:val="006728E7"/>
    <w:rsid w:val="0067682C"/>
    <w:rsid w:val="006779E9"/>
    <w:rsid w:val="00680982"/>
    <w:rsid w:val="00680E29"/>
    <w:rsid w:val="00681CB0"/>
    <w:rsid w:val="0068257D"/>
    <w:rsid w:val="00682933"/>
    <w:rsid w:val="00683517"/>
    <w:rsid w:val="00685245"/>
    <w:rsid w:val="006853DF"/>
    <w:rsid w:val="00686ABB"/>
    <w:rsid w:val="00690C30"/>
    <w:rsid w:val="00690D8A"/>
    <w:rsid w:val="00691ED2"/>
    <w:rsid w:val="00692AAB"/>
    <w:rsid w:val="006938AE"/>
    <w:rsid w:val="00693A78"/>
    <w:rsid w:val="00694DB8"/>
    <w:rsid w:val="00697525"/>
    <w:rsid w:val="006A0B83"/>
    <w:rsid w:val="006A1622"/>
    <w:rsid w:val="006A20BF"/>
    <w:rsid w:val="006A2F27"/>
    <w:rsid w:val="006A3992"/>
    <w:rsid w:val="006A4E68"/>
    <w:rsid w:val="006A752E"/>
    <w:rsid w:val="006A7803"/>
    <w:rsid w:val="006B0CDE"/>
    <w:rsid w:val="006B1CEE"/>
    <w:rsid w:val="006B2D85"/>
    <w:rsid w:val="006B39D5"/>
    <w:rsid w:val="006B595E"/>
    <w:rsid w:val="006B5A58"/>
    <w:rsid w:val="006B60F8"/>
    <w:rsid w:val="006B648A"/>
    <w:rsid w:val="006B72D2"/>
    <w:rsid w:val="006B76A2"/>
    <w:rsid w:val="006C0576"/>
    <w:rsid w:val="006C2977"/>
    <w:rsid w:val="006C32F4"/>
    <w:rsid w:val="006C506D"/>
    <w:rsid w:val="006C6619"/>
    <w:rsid w:val="006C681A"/>
    <w:rsid w:val="006C735C"/>
    <w:rsid w:val="006D1426"/>
    <w:rsid w:val="006D22BC"/>
    <w:rsid w:val="006D3F5D"/>
    <w:rsid w:val="006D4C53"/>
    <w:rsid w:val="006D6635"/>
    <w:rsid w:val="006D6CFC"/>
    <w:rsid w:val="006E0017"/>
    <w:rsid w:val="006E08C3"/>
    <w:rsid w:val="006E5B67"/>
    <w:rsid w:val="006E6947"/>
    <w:rsid w:val="006F001A"/>
    <w:rsid w:val="006F2768"/>
    <w:rsid w:val="006F2A7F"/>
    <w:rsid w:val="006F44BD"/>
    <w:rsid w:val="006F7778"/>
    <w:rsid w:val="00700118"/>
    <w:rsid w:val="0070112B"/>
    <w:rsid w:val="007013A2"/>
    <w:rsid w:val="00701FF0"/>
    <w:rsid w:val="00702F01"/>
    <w:rsid w:val="007030AC"/>
    <w:rsid w:val="007043F8"/>
    <w:rsid w:val="00704BE0"/>
    <w:rsid w:val="007060C3"/>
    <w:rsid w:val="00714524"/>
    <w:rsid w:val="007152E2"/>
    <w:rsid w:val="00715467"/>
    <w:rsid w:val="00715B3F"/>
    <w:rsid w:val="00721235"/>
    <w:rsid w:val="00721722"/>
    <w:rsid w:val="00724A44"/>
    <w:rsid w:val="00724F41"/>
    <w:rsid w:val="00725DF0"/>
    <w:rsid w:val="00726F22"/>
    <w:rsid w:val="00727629"/>
    <w:rsid w:val="0073069A"/>
    <w:rsid w:val="00730FAA"/>
    <w:rsid w:val="00732CD0"/>
    <w:rsid w:val="00732D8A"/>
    <w:rsid w:val="00733EAB"/>
    <w:rsid w:val="007342F6"/>
    <w:rsid w:val="00734E72"/>
    <w:rsid w:val="00735ED0"/>
    <w:rsid w:val="0073766C"/>
    <w:rsid w:val="007427B5"/>
    <w:rsid w:val="00742B53"/>
    <w:rsid w:val="00743FA8"/>
    <w:rsid w:val="0074606C"/>
    <w:rsid w:val="00746B91"/>
    <w:rsid w:val="0075105A"/>
    <w:rsid w:val="007562F5"/>
    <w:rsid w:val="00756870"/>
    <w:rsid w:val="007572BD"/>
    <w:rsid w:val="007612D1"/>
    <w:rsid w:val="00765667"/>
    <w:rsid w:val="007700F3"/>
    <w:rsid w:val="007712B1"/>
    <w:rsid w:val="0077150C"/>
    <w:rsid w:val="0077170B"/>
    <w:rsid w:val="00771ABD"/>
    <w:rsid w:val="00771E3A"/>
    <w:rsid w:val="007733E2"/>
    <w:rsid w:val="0077365B"/>
    <w:rsid w:val="0077371E"/>
    <w:rsid w:val="00774FC1"/>
    <w:rsid w:val="007757B3"/>
    <w:rsid w:val="0077700F"/>
    <w:rsid w:val="00780281"/>
    <w:rsid w:val="00780CCA"/>
    <w:rsid w:val="00782BCA"/>
    <w:rsid w:val="00783B29"/>
    <w:rsid w:val="007864F6"/>
    <w:rsid w:val="00786FC2"/>
    <w:rsid w:val="00787FE2"/>
    <w:rsid w:val="00791A9B"/>
    <w:rsid w:val="00792997"/>
    <w:rsid w:val="00795F14"/>
    <w:rsid w:val="00796917"/>
    <w:rsid w:val="007A186D"/>
    <w:rsid w:val="007A1B04"/>
    <w:rsid w:val="007A2956"/>
    <w:rsid w:val="007A4D0F"/>
    <w:rsid w:val="007A5BAE"/>
    <w:rsid w:val="007A7965"/>
    <w:rsid w:val="007B208A"/>
    <w:rsid w:val="007B3904"/>
    <w:rsid w:val="007B3C62"/>
    <w:rsid w:val="007B4872"/>
    <w:rsid w:val="007B5538"/>
    <w:rsid w:val="007B553A"/>
    <w:rsid w:val="007B642B"/>
    <w:rsid w:val="007B6FB2"/>
    <w:rsid w:val="007C13CB"/>
    <w:rsid w:val="007C1D5F"/>
    <w:rsid w:val="007C21B0"/>
    <w:rsid w:val="007D1E05"/>
    <w:rsid w:val="007D2229"/>
    <w:rsid w:val="007D2DA2"/>
    <w:rsid w:val="007D2FDE"/>
    <w:rsid w:val="007D38B1"/>
    <w:rsid w:val="007D3A83"/>
    <w:rsid w:val="007D3BA4"/>
    <w:rsid w:val="007D46BE"/>
    <w:rsid w:val="007D5B6B"/>
    <w:rsid w:val="007D5D48"/>
    <w:rsid w:val="007D75BC"/>
    <w:rsid w:val="007E0440"/>
    <w:rsid w:val="007E07E4"/>
    <w:rsid w:val="007E126D"/>
    <w:rsid w:val="007E1A64"/>
    <w:rsid w:val="007E6DE7"/>
    <w:rsid w:val="007E751D"/>
    <w:rsid w:val="007E7941"/>
    <w:rsid w:val="007F0839"/>
    <w:rsid w:val="007F1043"/>
    <w:rsid w:val="007F129B"/>
    <w:rsid w:val="007F1E51"/>
    <w:rsid w:val="007F2779"/>
    <w:rsid w:val="007F33D4"/>
    <w:rsid w:val="007F516C"/>
    <w:rsid w:val="007F6AE1"/>
    <w:rsid w:val="007F6E34"/>
    <w:rsid w:val="00802BE0"/>
    <w:rsid w:val="00803841"/>
    <w:rsid w:val="00803FF3"/>
    <w:rsid w:val="00804CFA"/>
    <w:rsid w:val="0080512A"/>
    <w:rsid w:val="00810F8C"/>
    <w:rsid w:val="00811BEC"/>
    <w:rsid w:val="00814743"/>
    <w:rsid w:val="00815091"/>
    <w:rsid w:val="008163AB"/>
    <w:rsid w:val="008171F7"/>
    <w:rsid w:val="008174B4"/>
    <w:rsid w:val="008174FC"/>
    <w:rsid w:val="00820DA6"/>
    <w:rsid w:val="008237CD"/>
    <w:rsid w:val="00827B31"/>
    <w:rsid w:val="00832B9C"/>
    <w:rsid w:val="00835459"/>
    <w:rsid w:val="00836126"/>
    <w:rsid w:val="00842C06"/>
    <w:rsid w:val="008437C5"/>
    <w:rsid w:val="00843C7D"/>
    <w:rsid w:val="00844164"/>
    <w:rsid w:val="00844281"/>
    <w:rsid w:val="00845A99"/>
    <w:rsid w:val="00846489"/>
    <w:rsid w:val="00847390"/>
    <w:rsid w:val="00850994"/>
    <w:rsid w:val="0085141C"/>
    <w:rsid w:val="00851C58"/>
    <w:rsid w:val="008534F0"/>
    <w:rsid w:val="00853A05"/>
    <w:rsid w:val="008549D5"/>
    <w:rsid w:val="00854D44"/>
    <w:rsid w:val="00855861"/>
    <w:rsid w:val="00855EF3"/>
    <w:rsid w:val="00856411"/>
    <w:rsid w:val="00856ADE"/>
    <w:rsid w:val="00856B3F"/>
    <w:rsid w:val="00860A8C"/>
    <w:rsid w:val="0086179C"/>
    <w:rsid w:val="00861C1F"/>
    <w:rsid w:val="0086372F"/>
    <w:rsid w:val="00863D59"/>
    <w:rsid w:val="008646F9"/>
    <w:rsid w:val="008647DB"/>
    <w:rsid w:val="008657F7"/>
    <w:rsid w:val="008677F6"/>
    <w:rsid w:val="0087006A"/>
    <w:rsid w:val="00871A7A"/>
    <w:rsid w:val="008764E5"/>
    <w:rsid w:val="0087781C"/>
    <w:rsid w:val="00880742"/>
    <w:rsid w:val="00880973"/>
    <w:rsid w:val="00881E8D"/>
    <w:rsid w:val="0088452B"/>
    <w:rsid w:val="00885EED"/>
    <w:rsid w:val="00886A8C"/>
    <w:rsid w:val="00887C90"/>
    <w:rsid w:val="008911CB"/>
    <w:rsid w:val="008922D1"/>
    <w:rsid w:val="00893119"/>
    <w:rsid w:val="00893F9B"/>
    <w:rsid w:val="0089712E"/>
    <w:rsid w:val="00897878"/>
    <w:rsid w:val="008A1EAC"/>
    <w:rsid w:val="008A3DA3"/>
    <w:rsid w:val="008A3E55"/>
    <w:rsid w:val="008A4DFD"/>
    <w:rsid w:val="008B000D"/>
    <w:rsid w:val="008B0777"/>
    <w:rsid w:val="008B0870"/>
    <w:rsid w:val="008B16EF"/>
    <w:rsid w:val="008B3E80"/>
    <w:rsid w:val="008B4A58"/>
    <w:rsid w:val="008B52B9"/>
    <w:rsid w:val="008B52C7"/>
    <w:rsid w:val="008B65F1"/>
    <w:rsid w:val="008B6728"/>
    <w:rsid w:val="008B6755"/>
    <w:rsid w:val="008B705D"/>
    <w:rsid w:val="008C09A7"/>
    <w:rsid w:val="008C0B63"/>
    <w:rsid w:val="008C3393"/>
    <w:rsid w:val="008C374F"/>
    <w:rsid w:val="008C4031"/>
    <w:rsid w:val="008C51E9"/>
    <w:rsid w:val="008C5570"/>
    <w:rsid w:val="008C614A"/>
    <w:rsid w:val="008C622A"/>
    <w:rsid w:val="008C65AA"/>
    <w:rsid w:val="008C66A1"/>
    <w:rsid w:val="008C6F83"/>
    <w:rsid w:val="008C6FF4"/>
    <w:rsid w:val="008C7EDA"/>
    <w:rsid w:val="008D0E8E"/>
    <w:rsid w:val="008D20DB"/>
    <w:rsid w:val="008D363D"/>
    <w:rsid w:val="008D368C"/>
    <w:rsid w:val="008D5838"/>
    <w:rsid w:val="008D7A5E"/>
    <w:rsid w:val="008E0935"/>
    <w:rsid w:val="008E18A6"/>
    <w:rsid w:val="008E2CAE"/>
    <w:rsid w:val="008E67A7"/>
    <w:rsid w:val="008E6B2F"/>
    <w:rsid w:val="008E76A6"/>
    <w:rsid w:val="008F10D8"/>
    <w:rsid w:val="008F1BDB"/>
    <w:rsid w:val="008F342E"/>
    <w:rsid w:val="008F3871"/>
    <w:rsid w:val="008F464E"/>
    <w:rsid w:val="008F6A14"/>
    <w:rsid w:val="009008A5"/>
    <w:rsid w:val="00900B96"/>
    <w:rsid w:val="00902C63"/>
    <w:rsid w:val="0090331E"/>
    <w:rsid w:val="00905616"/>
    <w:rsid w:val="009058CF"/>
    <w:rsid w:val="0091283D"/>
    <w:rsid w:val="00914C04"/>
    <w:rsid w:val="00914FC8"/>
    <w:rsid w:val="00917249"/>
    <w:rsid w:val="009173C6"/>
    <w:rsid w:val="00920970"/>
    <w:rsid w:val="009209B4"/>
    <w:rsid w:val="0092282C"/>
    <w:rsid w:val="0092376C"/>
    <w:rsid w:val="00923A82"/>
    <w:rsid w:val="0092468D"/>
    <w:rsid w:val="00925965"/>
    <w:rsid w:val="00925F2F"/>
    <w:rsid w:val="00927032"/>
    <w:rsid w:val="00930507"/>
    <w:rsid w:val="0093055E"/>
    <w:rsid w:val="00930F58"/>
    <w:rsid w:val="009310DD"/>
    <w:rsid w:val="00931DDE"/>
    <w:rsid w:val="00932A15"/>
    <w:rsid w:val="0093354D"/>
    <w:rsid w:val="00933AEA"/>
    <w:rsid w:val="00935D95"/>
    <w:rsid w:val="0094170A"/>
    <w:rsid w:val="00943421"/>
    <w:rsid w:val="00944084"/>
    <w:rsid w:val="00944849"/>
    <w:rsid w:val="00944999"/>
    <w:rsid w:val="00945E1A"/>
    <w:rsid w:val="00946F0A"/>
    <w:rsid w:val="0095084D"/>
    <w:rsid w:val="0095238C"/>
    <w:rsid w:val="0095274C"/>
    <w:rsid w:val="00952971"/>
    <w:rsid w:val="00955089"/>
    <w:rsid w:val="00955EB5"/>
    <w:rsid w:val="009568AB"/>
    <w:rsid w:val="00960270"/>
    <w:rsid w:val="0096133C"/>
    <w:rsid w:val="009619B0"/>
    <w:rsid w:val="00961BD7"/>
    <w:rsid w:val="009630D0"/>
    <w:rsid w:val="0096357B"/>
    <w:rsid w:val="00963E20"/>
    <w:rsid w:val="009641B8"/>
    <w:rsid w:val="00965083"/>
    <w:rsid w:val="00970137"/>
    <w:rsid w:val="009733A8"/>
    <w:rsid w:val="00973462"/>
    <w:rsid w:val="00974F57"/>
    <w:rsid w:val="00975BF8"/>
    <w:rsid w:val="009761B1"/>
    <w:rsid w:val="00977087"/>
    <w:rsid w:val="009808A8"/>
    <w:rsid w:val="00980951"/>
    <w:rsid w:val="00981BA8"/>
    <w:rsid w:val="0098243E"/>
    <w:rsid w:val="00984576"/>
    <w:rsid w:val="00985761"/>
    <w:rsid w:val="00985853"/>
    <w:rsid w:val="009864F3"/>
    <w:rsid w:val="009871B4"/>
    <w:rsid w:val="0099019D"/>
    <w:rsid w:val="0099029C"/>
    <w:rsid w:val="00991739"/>
    <w:rsid w:val="009926E6"/>
    <w:rsid w:val="00993474"/>
    <w:rsid w:val="00993F01"/>
    <w:rsid w:val="0099595E"/>
    <w:rsid w:val="00995DE8"/>
    <w:rsid w:val="00995E09"/>
    <w:rsid w:val="00996B19"/>
    <w:rsid w:val="009A55E5"/>
    <w:rsid w:val="009A6100"/>
    <w:rsid w:val="009A644B"/>
    <w:rsid w:val="009A6DB8"/>
    <w:rsid w:val="009A7F69"/>
    <w:rsid w:val="009B0327"/>
    <w:rsid w:val="009B0FDA"/>
    <w:rsid w:val="009B2E1D"/>
    <w:rsid w:val="009B4C39"/>
    <w:rsid w:val="009B5882"/>
    <w:rsid w:val="009C1AB2"/>
    <w:rsid w:val="009C59ED"/>
    <w:rsid w:val="009C6E7C"/>
    <w:rsid w:val="009D00DA"/>
    <w:rsid w:val="009D02DA"/>
    <w:rsid w:val="009D0EB7"/>
    <w:rsid w:val="009D1D6A"/>
    <w:rsid w:val="009D44C1"/>
    <w:rsid w:val="009D4B3F"/>
    <w:rsid w:val="009D58E6"/>
    <w:rsid w:val="009E01E1"/>
    <w:rsid w:val="009E184C"/>
    <w:rsid w:val="009E3220"/>
    <w:rsid w:val="009E5484"/>
    <w:rsid w:val="009F0B58"/>
    <w:rsid w:val="009F0EFD"/>
    <w:rsid w:val="009F1F46"/>
    <w:rsid w:val="009F1FCB"/>
    <w:rsid w:val="009F3E90"/>
    <w:rsid w:val="009F55C2"/>
    <w:rsid w:val="009F5BB5"/>
    <w:rsid w:val="009F6F9D"/>
    <w:rsid w:val="00A00553"/>
    <w:rsid w:val="00A00657"/>
    <w:rsid w:val="00A015D7"/>
    <w:rsid w:val="00A03CF9"/>
    <w:rsid w:val="00A04364"/>
    <w:rsid w:val="00A05A57"/>
    <w:rsid w:val="00A12E2C"/>
    <w:rsid w:val="00A12FBC"/>
    <w:rsid w:val="00A13F15"/>
    <w:rsid w:val="00A1465B"/>
    <w:rsid w:val="00A16557"/>
    <w:rsid w:val="00A16DF1"/>
    <w:rsid w:val="00A20B93"/>
    <w:rsid w:val="00A2218A"/>
    <w:rsid w:val="00A24ED6"/>
    <w:rsid w:val="00A25C6B"/>
    <w:rsid w:val="00A26470"/>
    <w:rsid w:val="00A30A9B"/>
    <w:rsid w:val="00A31B3A"/>
    <w:rsid w:val="00A32942"/>
    <w:rsid w:val="00A33FCC"/>
    <w:rsid w:val="00A34C9B"/>
    <w:rsid w:val="00A35741"/>
    <w:rsid w:val="00A35A0E"/>
    <w:rsid w:val="00A35E62"/>
    <w:rsid w:val="00A35F89"/>
    <w:rsid w:val="00A378B6"/>
    <w:rsid w:val="00A4097D"/>
    <w:rsid w:val="00A41C24"/>
    <w:rsid w:val="00A423B6"/>
    <w:rsid w:val="00A42DA8"/>
    <w:rsid w:val="00A43273"/>
    <w:rsid w:val="00A43772"/>
    <w:rsid w:val="00A51BB4"/>
    <w:rsid w:val="00A528D4"/>
    <w:rsid w:val="00A53717"/>
    <w:rsid w:val="00A53F0D"/>
    <w:rsid w:val="00A5794F"/>
    <w:rsid w:val="00A60E26"/>
    <w:rsid w:val="00A61638"/>
    <w:rsid w:val="00A61BD1"/>
    <w:rsid w:val="00A62703"/>
    <w:rsid w:val="00A63990"/>
    <w:rsid w:val="00A63A40"/>
    <w:rsid w:val="00A641A7"/>
    <w:rsid w:val="00A64B49"/>
    <w:rsid w:val="00A6517A"/>
    <w:rsid w:val="00A66B6C"/>
    <w:rsid w:val="00A672EA"/>
    <w:rsid w:val="00A710C4"/>
    <w:rsid w:val="00A766F7"/>
    <w:rsid w:val="00A76CE3"/>
    <w:rsid w:val="00A76CE8"/>
    <w:rsid w:val="00A7710A"/>
    <w:rsid w:val="00A77A74"/>
    <w:rsid w:val="00A80E5E"/>
    <w:rsid w:val="00A8346E"/>
    <w:rsid w:val="00A834AF"/>
    <w:rsid w:val="00A8353C"/>
    <w:rsid w:val="00A83B3C"/>
    <w:rsid w:val="00A84348"/>
    <w:rsid w:val="00A84681"/>
    <w:rsid w:val="00A85C02"/>
    <w:rsid w:val="00A85C80"/>
    <w:rsid w:val="00A8726C"/>
    <w:rsid w:val="00A91628"/>
    <w:rsid w:val="00A922B8"/>
    <w:rsid w:val="00A924DE"/>
    <w:rsid w:val="00A927A7"/>
    <w:rsid w:val="00A92C76"/>
    <w:rsid w:val="00A92D8F"/>
    <w:rsid w:val="00A96037"/>
    <w:rsid w:val="00A979AB"/>
    <w:rsid w:val="00AA0354"/>
    <w:rsid w:val="00AA07E5"/>
    <w:rsid w:val="00AA22B0"/>
    <w:rsid w:val="00AA3C1D"/>
    <w:rsid w:val="00AA5F67"/>
    <w:rsid w:val="00AB112B"/>
    <w:rsid w:val="00AB2554"/>
    <w:rsid w:val="00AB2634"/>
    <w:rsid w:val="00AB2D56"/>
    <w:rsid w:val="00AB3380"/>
    <w:rsid w:val="00AB499D"/>
    <w:rsid w:val="00AB4AAF"/>
    <w:rsid w:val="00AB4E49"/>
    <w:rsid w:val="00AB50CA"/>
    <w:rsid w:val="00AB76F4"/>
    <w:rsid w:val="00AB7AB3"/>
    <w:rsid w:val="00AC087B"/>
    <w:rsid w:val="00AC08A6"/>
    <w:rsid w:val="00AC2DA5"/>
    <w:rsid w:val="00AC33F3"/>
    <w:rsid w:val="00AC355B"/>
    <w:rsid w:val="00AC4CC1"/>
    <w:rsid w:val="00AC4F81"/>
    <w:rsid w:val="00AC76D6"/>
    <w:rsid w:val="00AC79EC"/>
    <w:rsid w:val="00AD0D2A"/>
    <w:rsid w:val="00AD2BAF"/>
    <w:rsid w:val="00AD425B"/>
    <w:rsid w:val="00AD4395"/>
    <w:rsid w:val="00AD55E4"/>
    <w:rsid w:val="00AD63B8"/>
    <w:rsid w:val="00AE2063"/>
    <w:rsid w:val="00AE2936"/>
    <w:rsid w:val="00AE32A7"/>
    <w:rsid w:val="00AE3C9E"/>
    <w:rsid w:val="00AE5B08"/>
    <w:rsid w:val="00AE5C2C"/>
    <w:rsid w:val="00AE68D3"/>
    <w:rsid w:val="00AE6BFA"/>
    <w:rsid w:val="00AE7D21"/>
    <w:rsid w:val="00AF0BAC"/>
    <w:rsid w:val="00AF0C2B"/>
    <w:rsid w:val="00AF0D61"/>
    <w:rsid w:val="00AF2D71"/>
    <w:rsid w:val="00AF3BF2"/>
    <w:rsid w:val="00AF5787"/>
    <w:rsid w:val="00AF5AD2"/>
    <w:rsid w:val="00AF5CD4"/>
    <w:rsid w:val="00AF78A1"/>
    <w:rsid w:val="00B01836"/>
    <w:rsid w:val="00B01E7A"/>
    <w:rsid w:val="00B02E2E"/>
    <w:rsid w:val="00B05459"/>
    <w:rsid w:val="00B060E0"/>
    <w:rsid w:val="00B06E1F"/>
    <w:rsid w:val="00B07DBD"/>
    <w:rsid w:val="00B10289"/>
    <w:rsid w:val="00B1062F"/>
    <w:rsid w:val="00B10996"/>
    <w:rsid w:val="00B10A10"/>
    <w:rsid w:val="00B1139D"/>
    <w:rsid w:val="00B11C3D"/>
    <w:rsid w:val="00B13C80"/>
    <w:rsid w:val="00B13DA1"/>
    <w:rsid w:val="00B14106"/>
    <w:rsid w:val="00B14D41"/>
    <w:rsid w:val="00B1563D"/>
    <w:rsid w:val="00B164C8"/>
    <w:rsid w:val="00B16654"/>
    <w:rsid w:val="00B16ECC"/>
    <w:rsid w:val="00B172AE"/>
    <w:rsid w:val="00B21125"/>
    <w:rsid w:val="00B21A04"/>
    <w:rsid w:val="00B22F5B"/>
    <w:rsid w:val="00B236C5"/>
    <w:rsid w:val="00B23F7C"/>
    <w:rsid w:val="00B2437A"/>
    <w:rsid w:val="00B25A4F"/>
    <w:rsid w:val="00B2688A"/>
    <w:rsid w:val="00B3066E"/>
    <w:rsid w:val="00B31B7D"/>
    <w:rsid w:val="00B32668"/>
    <w:rsid w:val="00B34B01"/>
    <w:rsid w:val="00B34FC9"/>
    <w:rsid w:val="00B368D4"/>
    <w:rsid w:val="00B401ED"/>
    <w:rsid w:val="00B41430"/>
    <w:rsid w:val="00B41CCA"/>
    <w:rsid w:val="00B436DC"/>
    <w:rsid w:val="00B43B45"/>
    <w:rsid w:val="00B43FDF"/>
    <w:rsid w:val="00B44AB6"/>
    <w:rsid w:val="00B45B10"/>
    <w:rsid w:val="00B46BA7"/>
    <w:rsid w:val="00B512BD"/>
    <w:rsid w:val="00B5197D"/>
    <w:rsid w:val="00B52FB9"/>
    <w:rsid w:val="00B539F7"/>
    <w:rsid w:val="00B55D62"/>
    <w:rsid w:val="00B56BB1"/>
    <w:rsid w:val="00B60125"/>
    <w:rsid w:val="00B607A1"/>
    <w:rsid w:val="00B62AAF"/>
    <w:rsid w:val="00B62BF0"/>
    <w:rsid w:val="00B63093"/>
    <w:rsid w:val="00B6312A"/>
    <w:rsid w:val="00B637E7"/>
    <w:rsid w:val="00B63D3C"/>
    <w:rsid w:val="00B6488A"/>
    <w:rsid w:val="00B652D1"/>
    <w:rsid w:val="00B6631E"/>
    <w:rsid w:val="00B6652A"/>
    <w:rsid w:val="00B66F5E"/>
    <w:rsid w:val="00B70100"/>
    <w:rsid w:val="00B71648"/>
    <w:rsid w:val="00B72334"/>
    <w:rsid w:val="00B73B45"/>
    <w:rsid w:val="00B74326"/>
    <w:rsid w:val="00B749A0"/>
    <w:rsid w:val="00B76263"/>
    <w:rsid w:val="00B7686F"/>
    <w:rsid w:val="00B770CD"/>
    <w:rsid w:val="00B77A1A"/>
    <w:rsid w:val="00B81F5A"/>
    <w:rsid w:val="00B826FE"/>
    <w:rsid w:val="00B84776"/>
    <w:rsid w:val="00B851A6"/>
    <w:rsid w:val="00B867EB"/>
    <w:rsid w:val="00B91691"/>
    <w:rsid w:val="00B9296F"/>
    <w:rsid w:val="00B930E5"/>
    <w:rsid w:val="00B94A64"/>
    <w:rsid w:val="00B95B94"/>
    <w:rsid w:val="00B96551"/>
    <w:rsid w:val="00BA103C"/>
    <w:rsid w:val="00BA222E"/>
    <w:rsid w:val="00BA226A"/>
    <w:rsid w:val="00BA2FEB"/>
    <w:rsid w:val="00BA3A43"/>
    <w:rsid w:val="00BA3CBE"/>
    <w:rsid w:val="00BA532C"/>
    <w:rsid w:val="00BA5FB3"/>
    <w:rsid w:val="00BA7372"/>
    <w:rsid w:val="00BB07E7"/>
    <w:rsid w:val="00BB1E0E"/>
    <w:rsid w:val="00BB2D9F"/>
    <w:rsid w:val="00BB526D"/>
    <w:rsid w:val="00BB6C1D"/>
    <w:rsid w:val="00BB7B7A"/>
    <w:rsid w:val="00BC039B"/>
    <w:rsid w:val="00BC104A"/>
    <w:rsid w:val="00BC219E"/>
    <w:rsid w:val="00BC2BB6"/>
    <w:rsid w:val="00BC4EA9"/>
    <w:rsid w:val="00BC7F82"/>
    <w:rsid w:val="00BD03A8"/>
    <w:rsid w:val="00BD0687"/>
    <w:rsid w:val="00BD3851"/>
    <w:rsid w:val="00BD4A99"/>
    <w:rsid w:val="00BD5964"/>
    <w:rsid w:val="00BD5B15"/>
    <w:rsid w:val="00BD6683"/>
    <w:rsid w:val="00BD72D7"/>
    <w:rsid w:val="00BE16DF"/>
    <w:rsid w:val="00BE3AD9"/>
    <w:rsid w:val="00BE52DC"/>
    <w:rsid w:val="00BE5A40"/>
    <w:rsid w:val="00BF03C2"/>
    <w:rsid w:val="00BF0F10"/>
    <w:rsid w:val="00BF2880"/>
    <w:rsid w:val="00BF37B9"/>
    <w:rsid w:val="00BF3942"/>
    <w:rsid w:val="00BF3DA4"/>
    <w:rsid w:val="00BF43E3"/>
    <w:rsid w:val="00BF5D64"/>
    <w:rsid w:val="00BF6EAC"/>
    <w:rsid w:val="00BF721A"/>
    <w:rsid w:val="00C00B83"/>
    <w:rsid w:val="00C00C81"/>
    <w:rsid w:val="00C02029"/>
    <w:rsid w:val="00C035D2"/>
    <w:rsid w:val="00C06ACB"/>
    <w:rsid w:val="00C07A97"/>
    <w:rsid w:val="00C10F2F"/>
    <w:rsid w:val="00C12184"/>
    <w:rsid w:val="00C122EC"/>
    <w:rsid w:val="00C130BD"/>
    <w:rsid w:val="00C13D9E"/>
    <w:rsid w:val="00C142FF"/>
    <w:rsid w:val="00C14FB5"/>
    <w:rsid w:val="00C15327"/>
    <w:rsid w:val="00C15676"/>
    <w:rsid w:val="00C15DCD"/>
    <w:rsid w:val="00C16C2D"/>
    <w:rsid w:val="00C170DB"/>
    <w:rsid w:val="00C17A23"/>
    <w:rsid w:val="00C20992"/>
    <w:rsid w:val="00C2141C"/>
    <w:rsid w:val="00C23437"/>
    <w:rsid w:val="00C24C03"/>
    <w:rsid w:val="00C26C79"/>
    <w:rsid w:val="00C27049"/>
    <w:rsid w:val="00C27A57"/>
    <w:rsid w:val="00C30380"/>
    <w:rsid w:val="00C30835"/>
    <w:rsid w:val="00C3086C"/>
    <w:rsid w:val="00C3189B"/>
    <w:rsid w:val="00C31E5D"/>
    <w:rsid w:val="00C3351B"/>
    <w:rsid w:val="00C33AB6"/>
    <w:rsid w:val="00C35E52"/>
    <w:rsid w:val="00C37FE2"/>
    <w:rsid w:val="00C42BC6"/>
    <w:rsid w:val="00C43A46"/>
    <w:rsid w:val="00C452A3"/>
    <w:rsid w:val="00C50631"/>
    <w:rsid w:val="00C50A69"/>
    <w:rsid w:val="00C54FEF"/>
    <w:rsid w:val="00C557D4"/>
    <w:rsid w:val="00C560CE"/>
    <w:rsid w:val="00C61436"/>
    <w:rsid w:val="00C648BC"/>
    <w:rsid w:val="00C65D98"/>
    <w:rsid w:val="00C65E0F"/>
    <w:rsid w:val="00C7066E"/>
    <w:rsid w:val="00C70706"/>
    <w:rsid w:val="00C7144C"/>
    <w:rsid w:val="00C760C4"/>
    <w:rsid w:val="00C76EE9"/>
    <w:rsid w:val="00C77658"/>
    <w:rsid w:val="00C80EA3"/>
    <w:rsid w:val="00C816EB"/>
    <w:rsid w:val="00C818ED"/>
    <w:rsid w:val="00C82E50"/>
    <w:rsid w:val="00C85C6B"/>
    <w:rsid w:val="00C8618E"/>
    <w:rsid w:val="00C87AA7"/>
    <w:rsid w:val="00C87B16"/>
    <w:rsid w:val="00C87E27"/>
    <w:rsid w:val="00C91997"/>
    <w:rsid w:val="00C92C03"/>
    <w:rsid w:val="00C95254"/>
    <w:rsid w:val="00C97697"/>
    <w:rsid w:val="00C97781"/>
    <w:rsid w:val="00C97F7C"/>
    <w:rsid w:val="00CA0928"/>
    <w:rsid w:val="00CA14A6"/>
    <w:rsid w:val="00CA1E06"/>
    <w:rsid w:val="00CA25A8"/>
    <w:rsid w:val="00CA6B67"/>
    <w:rsid w:val="00CA75A8"/>
    <w:rsid w:val="00CA75F4"/>
    <w:rsid w:val="00CB08A2"/>
    <w:rsid w:val="00CB0CCE"/>
    <w:rsid w:val="00CB154A"/>
    <w:rsid w:val="00CB1DBA"/>
    <w:rsid w:val="00CB3A81"/>
    <w:rsid w:val="00CB683B"/>
    <w:rsid w:val="00CC0DE2"/>
    <w:rsid w:val="00CC2333"/>
    <w:rsid w:val="00CC2F25"/>
    <w:rsid w:val="00CC349F"/>
    <w:rsid w:val="00CC4DE7"/>
    <w:rsid w:val="00CC53F6"/>
    <w:rsid w:val="00CC5BD4"/>
    <w:rsid w:val="00CC5D9D"/>
    <w:rsid w:val="00CD0D2B"/>
    <w:rsid w:val="00CD209E"/>
    <w:rsid w:val="00CD3F90"/>
    <w:rsid w:val="00CD4D23"/>
    <w:rsid w:val="00CD5C48"/>
    <w:rsid w:val="00CE03D8"/>
    <w:rsid w:val="00CE0DAD"/>
    <w:rsid w:val="00CE1CD6"/>
    <w:rsid w:val="00CE243C"/>
    <w:rsid w:val="00CE5493"/>
    <w:rsid w:val="00CE54E3"/>
    <w:rsid w:val="00CE5C58"/>
    <w:rsid w:val="00CE6411"/>
    <w:rsid w:val="00CF0BA2"/>
    <w:rsid w:val="00CF2247"/>
    <w:rsid w:val="00CF2B93"/>
    <w:rsid w:val="00CF4177"/>
    <w:rsid w:val="00CF4E16"/>
    <w:rsid w:val="00CF65EF"/>
    <w:rsid w:val="00CF6DE7"/>
    <w:rsid w:val="00D0057E"/>
    <w:rsid w:val="00D03F5A"/>
    <w:rsid w:val="00D04471"/>
    <w:rsid w:val="00D04B37"/>
    <w:rsid w:val="00D05FAC"/>
    <w:rsid w:val="00D105F6"/>
    <w:rsid w:val="00D1197E"/>
    <w:rsid w:val="00D13B1C"/>
    <w:rsid w:val="00D13D8B"/>
    <w:rsid w:val="00D16682"/>
    <w:rsid w:val="00D176BD"/>
    <w:rsid w:val="00D21202"/>
    <w:rsid w:val="00D22DE3"/>
    <w:rsid w:val="00D2330F"/>
    <w:rsid w:val="00D23CA9"/>
    <w:rsid w:val="00D23E69"/>
    <w:rsid w:val="00D25288"/>
    <w:rsid w:val="00D271BD"/>
    <w:rsid w:val="00D27E05"/>
    <w:rsid w:val="00D27EA8"/>
    <w:rsid w:val="00D314D4"/>
    <w:rsid w:val="00D31CF7"/>
    <w:rsid w:val="00D31DF6"/>
    <w:rsid w:val="00D34D6C"/>
    <w:rsid w:val="00D35671"/>
    <w:rsid w:val="00D376A5"/>
    <w:rsid w:val="00D40A56"/>
    <w:rsid w:val="00D40CA4"/>
    <w:rsid w:val="00D416EF"/>
    <w:rsid w:val="00D4207F"/>
    <w:rsid w:val="00D43A2D"/>
    <w:rsid w:val="00D43BB9"/>
    <w:rsid w:val="00D448D1"/>
    <w:rsid w:val="00D457FC"/>
    <w:rsid w:val="00D465AB"/>
    <w:rsid w:val="00D47044"/>
    <w:rsid w:val="00D47FB3"/>
    <w:rsid w:val="00D501C5"/>
    <w:rsid w:val="00D505A7"/>
    <w:rsid w:val="00D524B8"/>
    <w:rsid w:val="00D53D2B"/>
    <w:rsid w:val="00D55A28"/>
    <w:rsid w:val="00D56524"/>
    <w:rsid w:val="00D5679F"/>
    <w:rsid w:val="00D56C58"/>
    <w:rsid w:val="00D60017"/>
    <w:rsid w:val="00D6069A"/>
    <w:rsid w:val="00D60AA1"/>
    <w:rsid w:val="00D62CF3"/>
    <w:rsid w:val="00D65EBD"/>
    <w:rsid w:val="00D669C9"/>
    <w:rsid w:val="00D6709B"/>
    <w:rsid w:val="00D70D5F"/>
    <w:rsid w:val="00D724C5"/>
    <w:rsid w:val="00D724CC"/>
    <w:rsid w:val="00D733FC"/>
    <w:rsid w:val="00D737ED"/>
    <w:rsid w:val="00D73AA4"/>
    <w:rsid w:val="00D74230"/>
    <w:rsid w:val="00D7763B"/>
    <w:rsid w:val="00D809DC"/>
    <w:rsid w:val="00D814F7"/>
    <w:rsid w:val="00D83CEF"/>
    <w:rsid w:val="00D841AD"/>
    <w:rsid w:val="00D841B0"/>
    <w:rsid w:val="00D8684D"/>
    <w:rsid w:val="00D906DC"/>
    <w:rsid w:val="00D9180E"/>
    <w:rsid w:val="00D918BA"/>
    <w:rsid w:val="00D9191A"/>
    <w:rsid w:val="00D9198C"/>
    <w:rsid w:val="00D91CFE"/>
    <w:rsid w:val="00D926C8"/>
    <w:rsid w:val="00D94F41"/>
    <w:rsid w:val="00DA048C"/>
    <w:rsid w:val="00DA2626"/>
    <w:rsid w:val="00DA3C6D"/>
    <w:rsid w:val="00DA53AD"/>
    <w:rsid w:val="00DA76E7"/>
    <w:rsid w:val="00DA7FA5"/>
    <w:rsid w:val="00DB0887"/>
    <w:rsid w:val="00DB088D"/>
    <w:rsid w:val="00DB10D4"/>
    <w:rsid w:val="00DB24D7"/>
    <w:rsid w:val="00DB3C44"/>
    <w:rsid w:val="00DB3CAD"/>
    <w:rsid w:val="00DB4437"/>
    <w:rsid w:val="00DB6BE8"/>
    <w:rsid w:val="00DB6DA8"/>
    <w:rsid w:val="00DB7A2C"/>
    <w:rsid w:val="00DB7A6C"/>
    <w:rsid w:val="00DC250E"/>
    <w:rsid w:val="00DC68F4"/>
    <w:rsid w:val="00DC7380"/>
    <w:rsid w:val="00DC7AB4"/>
    <w:rsid w:val="00DD07C1"/>
    <w:rsid w:val="00DD1771"/>
    <w:rsid w:val="00DD4BC9"/>
    <w:rsid w:val="00DD7F37"/>
    <w:rsid w:val="00DE0131"/>
    <w:rsid w:val="00DE098F"/>
    <w:rsid w:val="00DE14F3"/>
    <w:rsid w:val="00DE1787"/>
    <w:rsid w:val="00DE2377"/>
    <w:rsid w:val="00DE2BDB"/>
    <w:rsid w:val="00DE360C"/>
    <w:rsid w:val="00DE384F"/>
    <w:rsid w:val="00DE4567"/>
    <w:rsid w:val="00DE6332"/>
    <w:rsid w:val="00DE6F87"/>
    <w:rsid w:val="00DE7CD6"/>
    <w:rsid w:val="00DF1C0C"/>
    <w:rsid w:val="00DF2CE3"/>
    <w:rsid w:val="00DF3926"/>
    <w:rsid w:val="00DF3F7E"/>
    <w:rsid w:val="00DF4FC6"/>
    <w:rsid w:val="00DF57CD"/>
    <w:rsid w:val="00DF67A9"/>
    <w:rsid w:val="00DF6C84"/>
    <w:rsid w:val="00DF7377"/>
    <w:rsid w:val="00DF7721"/>
    <w:rsid w:val="00DF79C0"/>
    <w:rsid w:val="00E00E3D"/>
    <w:rsid w:val="00E01B01"/>
    <w:rsid w:val="00E02117"/>
    <w:rsid w:val="00E07F78"/>
    <w:rsid w:val="00E1094D"/>
    <w:rsid w:val="00E11138"/>
    <w:rsid w:val="00E12AD9"/>
    <w:rsid w:val="00E146E1"/>
    <w:rsid w:val="00E219CE"/>
    <w:rsid w:val="00E22947"/>
    <w:rsid w:val="00E2367E"/>
    <w:rsid w:val="00E2475C"/>
    <w:rsid w:val="00E24A78"/>
    <w:rsid w:val="00E25084"/>
    <w:rsid w:val="00E251E2"/>
    <w:rsid w:val="00E25CED"/>
    <w:rsid w:val="00E25F9D"/>
    <w:rsid w:val="00E26CE7"/>
    <w:rsid w:val="00E26E96"/>
    <w:rsid w:val="00E270E2"/>
    <w:rsid w:val="00E27D9E"/>
    <w:rsid w:val="00E33049"/>
    <w:rsid w:val="00E33085"/>
    <w:rsid w:val="00E36D6D"/>
    <w:rsid w:val="00E402EE"/>
    <w:rsid w:val="00E409BA"/>
    <w:rsid w:val="00E4287B"/>
    <w:rsid w:val="00E4431B"/>
    <w:rsid w:val="00E44B0B"/>
    <w:rsid w:val="00E47D6C"/>
    <w:rsid w:val="00E50C32"/>
    <w:rsid w:val="00E51898"/>
    <w:rsid w:val="00E525DC"/>
    <w:rsid w:val="00E52A94"/>
    <w:rsid w:val="00E53680"/>
    <w:rsid w:val="00E54072"/>
    <w:rsid w:val="00E543C8"/>
    <w:rsid w:val="00E54D2F"/>
    <w:rsid w:val="00E55A77"/>
    <w:rsid w:val="00E6057C"/>
    <w:rsid w:val="00E61FB5"/>
    <w:rsid w:val="00E62841"/>
    <w:rsid w:val="00E63942"/>
    <w:rsid w:val="00E63D64"/>
    <w:rsid w:val="00E6551B"/>
    <w:rsid w:val="00E66EC1"/>
    <w:rsid w:val="00E6712B"/>
    <w:rsid w:val="00E730B6"/>
    <w:rsid w:val="00E752DB"/>
    <w:rsid w:val="00E75EDB"/>
    <w:rsid w:val="00E77310"/>
    <w:rsid w:val="00E77393"/>
    <w:rsid w:val="00E778E5"/>
    <w:rsid w:val="00E8088A"/>
    <w:rsid w:val="00E82E79"/>
    <w:rsid w:val="00E85594"/>
    <w:rsid w:val="00E860DC"/>
    <w:rsid w:val="00E874A7"/>
    <w:rsid w:val="00E920B7"/>
    <w:rsid w:val="00E92E25"/>
    <w:rsid w:val="00E95785"/>
    <w:rsid w:val="00E959B5"/>
    <w:rsid w:val="00E95E7E"/>
    <w:rsid w:val="00E96921"/>
    <w:rsid w:val="00E97681"/>
    <w:rsid w:val="00EA1F4F"/>
    <w:rsid w:val="00EA1FDA"/>
    <w:rsid w:val="00EA66BC"/>
    <w:rsid w:val="00EA74DE"/>
    <w:rsid w:val="00EA7602"/>
    <w:rsid w:val="00EB00AF"/>
    <w:rsid w:val="00EB05D9"/>
    <w:rsid w:val="00EB1202"/>
    <w:rsid w:val="00EB3B39"/>
    <w:rsid w:val="00EB5306"/>
    <w:rsid w:val="00EB5691"/>
    <w:rsid w:val="00EB6AF3"/>
    <w:rsid w:val="00EB76C8"/>
    <w:rsid w:val="00EC3422"/>
    <w:rsid w:val="00EC4ED3"/>
    <w:rsid w:val="00EC59A4"/>
    <w:rsid w:val="00EC7AD6"/>
    <w:rsid w:val="00EC7DF5"/>
    <w:rsid w:val="00ED5625"/>
    <w:rsid w:val="00ED65A1"/>
    <w:rsid w:val="00EE0221"/>
    <w:rsid w:val="00EE0BE3"/>
    <w:rsid w:val="00EE1A7B"/>
    <w:rsid w:val="00EE1F7F"/>
    <w:rsid w:val="00EE23BB"/>
    <w:rsid w:val="00EE454C"/>
    <w:rsid w:val="00EE460F"/>
    <w:rsid w:val="00EE73BD"/>
    <w:rsid w:val="00EE73BF"/>
    <w:rsid w:val="00EF1998"/>
    <w:rsid w:val="00EF3225"/>
    <w:rsid w:val="00EF442A"/>
    <w:rsid w:val="00EF7BDD"/>
    <w:rsid w:val="00EF7FD8"/>
    <w:rsid w:val="00F001B7"/>
    <w:rsid w:val="00F0304D"/>
    <w:rsid w:val="00F03BAD"/>
    <w:rsid w:val="00F03E68"/>
    <w:rsid w:val="00F07215"/>
    <w:rsid w:val="00F0748C"/>
    <w:rsid w:val="00F10486"/>
    <w:rsid w:val="00F10BF8"/>
    <w:rsid w:val="00F10E62"/>
    <w:rsid w:val="00F11CA0"/>
    <w:rsid w:val="00F15F4B"/>
    <w:rsid w:val="00F2289C"/>
    <w:rsid w:val="00F22EC4"/>
    <w:rsid w:val="00F24C60"/>
    <w:rsid w:val="00F260D7"/>
    <w:rsid w:val="00F30B83"/>
    <w:rsid w:val="00F323C1"/>
    <w:rsid w:val="00F3665B"/>
    <w:rsid w:val="00F3696E"/>
    <w:rsid w:val="00F36FB5"/>
    <w:rsid w:val="00F41EFA"/>
    <w:rsid w:val="00F44735"/>
    <w:rsid w:val="00F45944"/>
    <w:rsid w:val="00F46066"/>
    <w:rsid w:val="00F5190B"/>
    <w:rsid w:val="00F5306C"/>
    <w:rsid w:val="00F53796"/>
    <w:rsid w:val="00F550BE"/>
    <w:rsid w:val="00F55CD4"/>
    <w:rsid w:val="00F578AA"/>
    <w:rsid w:val="00F60718"/>
    <w:rsid w:val="00F607CD"/>
    <w:rsid w:val="00F60853"/>
    <w:rsid w:val="00F6087D"/>
    <w:rsid w:val="00F60E6D"/>
    <w:rsid w:val="00F62BA3"/>
    <w:rsid w:val="00F66F42"/>
    <w:rsid w:val="00F7007E"/>
    <w:rsid w:val="00F70CB9"/>
    <w:rsid w:val="00F70FE0"/>
    <w:rsid w:val="00F73B3C"/>
    <w:rsid w:val="00F751C2"/>
    <w:rsid w:val="00F758E5"/>
    <w:rsid w:val="00F75B5D"/>
    <w:rsid w:val="00F800C4"/>
    <w:rsid w:val="00F80E85"/>
    <w:rsid w:val="00F8266B"/>
    <w:rsid w:val="00F8353B"/>
    <w:rsid w:val="00F85178"/>
    <w:rsid w:val="00F85C55"/>
    <w:rsid w:val="00F90E76"/>
    <w:rsid w:val="00F92A30"/>
    <w:rsid w:val="00F93657"/>
    <w:rsid w:val="00F9588E"/>
    <w:rsid w:val="00F95C46"/>
    <w:rsid w:val="00FA069B"/>
    <w:rsid w:val="00FA17A4"/>
    <w:rsid w:val="00FA3977"/>
    <w:rsid w:val="00FA5465"/>
    <w:rsid w:val="00FA7C6F"/>
    <w:rsid w:val="00FA7D55"/>
    <w:rsid w:val="00FA7FFB"/>
    <w:rsid w:val="00FB1EC4"/>
    <w:rsid w:val="00FB25F1"/>
    <w:rsid w:val="00FB2A31"/>
    <w:rsid w:val="00FB2EC6"/>
    <w:rsid w:val="00FB328E"/>
    <w:rsid w:val="00FB53D7"/>
    <w:rsid w:val="00FB6107"/>
    <w:rsid w:val="00FB64EC"/>
    <w:rsid w:val="00FB6D7C"/>
    <w:rsid w:val="00FB767B"/>
    <w:rsid w:val="00FC07C4"/>
    <w:rsid w:val="00FC1161"/>
    <w:rsid w:val="00FC15DB"/>
    <w:rsid w:val="00FC1C1B"/>
    <w:rsid w:val="00FC30DF"/>
    <w:rsid w:val="00FC5D94"/>
    <w:rsid w:val="00FC61BB"/>
    <w:rsid w:val="00FC6FE4"/>
    <w:rsid w:val="00FD040E"/>
    <w:rsid w:val="00FD2232"/>
    <w:rsid w:val="00FD2483"/>
    <w:rsid w:val="00FD3342"/>
    <w:rsid w:val="00FD372D"/>
    <w:rsid w:val="00FD3B3C"/>
    <w:rsid w:val="00FD4AC6"/>
    <w:rsid w:val="00FD4CE0"/>
    <w:rsid w:val="00FD5249"/>
    <w:rsid w:val="00FD6A18"/>
    <w:rsid w:val="00FD6F49"/>
    <w:rsid w:val="00FD7A13"/>
    <w:rsid w:val="00FD7D3A"/>
    <w:rsid w:val="00FE05E6"/>
    <w:rsid w:val="00FE084B"/>
    <w:rsid w:val="00FE1844"/>
    <w:rsid w:val="00FE2D84"/>
    <w:rsid w:val="00FE750A"/>
    <w:rsid w:val="00FF00B6"/>
    <w:rsid w:val="00FF2466"/>
    <w:rsid w:val="00FF2721"/>
    <w:rsid w:val="00FF4B17"/>
    <w:rsid w:val="00FF5B17"/>
    <w:rsid w:val="00FF6DCC"/>
    <w:rsid w:val="00FF74EE"/>
    <w:rsid w:val="00FF7BF7"/>
    <w:rsid w:val="0E66B744"/>
    <w:rsid w:val="152A381E"/>
    <w:rsid w:val="16971414"/>
    <w:rsid w:val="1ADD96AA"/>
    <w:rsid w:val="1AF9D1BF"/>
    <w:rsid w:val="1FF9CD87"/>
    <w:rsid w:val="237B9690"/>
    <w:rsid w:val="23D1C9CD"/>
    <w:rsid w:val="24B1E477"/>
    <w:rsid w:val="24D0A0BB"/>
    <w:rsid w:val="25ACF8D9"/>
    <w:rsid w:val="2D735B17"/>
    <w:rsid w:val="30663190"/>
    <w:rsid w:val="386DBB2B"/>
    <w:rsid w:val="397FF73F"/>
    <w:rsid w:val="430677EE"/>
    <w:rsid w:val="44558A9E"/>
    <w:rsid w:val="548CBF80"/>
    <w:rsid w:val="59E7688F"/>
    <w:rsid w:val="5C56C3D1"/>
    <w:rsid w:val="5E96B329"/>
    <w:rsid w:val="607629A3"/>
    <w:rsid w:val="6257F274"/>
    <w:rsid w:val="67A04517"/>
    <w:rsid w:val="6E8CB35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B8B822E"/>
  <w15:docId w15:val="{CB050561-F7ED-4C4B-9001-BFB725A34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5"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587257"/>
    <w:rPr>
      <w:rFonts w:ascii="Times New Roman" w:eastAsia="Times New Roman" w:hAnsi="Times New Roman" w:cs="Times New Roman"/>
    </w:rPr>
  </w:style>
  <w:style w:type="paragraph" w:styleId="Heading1">
    <w:name w:val="heading 1"/>
    <w:basedOn w:val="Normal"/>
    <w:uiPriority w:val="1"/>
    <w:qFormat/>
    <w:rsid w:val="00AA22B0"/>
    <w:pPr>
      <w:spacing w:before="68" w:after="720"/>
      <w:ind w:left="130" w:right="130"/>
      <w:jc w:val="center"/>
      <w:outlineLvl w:val="0"/>
    </w:pPr>
    <w:rPr>
      <w:b/>
      <w:sz w:val="36"/>
    </w:rPr>
  </w:style>
  <w:style w:type="paragraph" w:styleId="Heading2">
    <w:name w:val="heading 2"/>
    <w:basedOn w:val="ListParagraph"/>
    <w:next w:val="Normal"/>
    <w:link w:val="Heading2Char"/>
    <w:uiPriority w:val="9"/>
    <w:unhideWhenUsed/>
    <w:qFormat/>
    <w:rsid w:val="002D43C0"/>
    <w:pPr>
      <w:numPr>
        <w:numId w:val="3"/>
      </w:numPr>
      <w:tabs>
        <w:tab w:val="left" w:pos="419"/>
      </w:tabs>
      <w:spacing w:before="360" w:after="240"/>
      <w:ind w:hanging="317"/>
      <w:outlineLvl w:val="1"/>
    </w:pPr>
    <w:rPr>
      <w:b/>
      <w:sz w:val="26"/>
    </w:rPr>
  </w:style>
  <w:style w:type="paragraph" w:styleId="Heading3">
    <w:name w:val="heading 3"/>
    <w:basedOn w:val="Normal"/>
    <w:next w:val="Normal"/>
    <w:link w:val="Heading3Char"/>
    <w:uiPriority w:val="9"/>
    <w:unhideWhenUsed/>
    <w:qFormat/>
    <w:rsid w:val="002D43C0"/>
    <w:pPr>
      <w:keepNext/>
      <w:keepLines/>
      <w:widowControl/>
      <w:spacing w:before="240" w:after="120"/>
      <w:outlineLvl w:val="2"/>
    </w:pPr>
    <w:rPr>
      <w:rFonts w:eastAsiaTheme="majorEastAsia" w:cstheme="majorBidi"/>
      <w:b/>
      <w:i/>
      <w:color w:val="000000" w:themeColor="text1"/>
      <w:sz w:val="24"/>
      <w:szCs w:val="24"/>
    </w:rPr>
  </w:style>
  <w:style w:type="paragraph" w:styleId="Heading4">
    <w:name w:val="heading 4"/>
    <w:basedOn w:val="ListParagraph"/>
    <w:next w:val="Normal"/>
    <w:link w:val="Heading4Char"/>
    <w:uiPriority w:val="9"/>
    <w:unhideWhenUsed/>
    <w:qFormat/>
    <w:rsid w:val="00F53796"/>
    <w:pPr>
      <w:numPr>
        <w:numId w:val="2"/>
      </w:numPr>
      <w:tabs>
        <w:tab w:val="left" w:pos="341"/>
      </w:tabs>
      <w:spacing w:before="202" w:after="120"/>
      <w:ind w:left="245" w:hanging="245"/>
      <w:outlineLvl w:val="3"/>
    </w:pPr>
    <w:rPr>
      <w:b/>
      <w:sz w:val="24"/>
    </w:rPr>
  </w:style>
  <w:style w:type="paragraph" w:styleId="Heading5">
    <w:name w:val="heading 5"/>
    <w:basedOn w:val="Normal"/>
    <w:next w:val="Normal"/>
    <w:link w:val="Heading5Char"/>
    <w:uiPriority w:val="5"/>
    <w:qFormat/>
    <w:rsid w:val="00E860DC"/>
    <w:pPr>
      <w:keepNext/>
      <w:widowControl/>
      <w:autoSpaceDE/>
      <w:autoSpaceDN/>
      <w:spacing w:before="320" w:after="120"/>
      <w:outlineLvl w:val="4"/>
    </w:pPr>
    <w:rPr>
      <w:b/>
      <w:bCs/>
      <w:iCs/>
      <w:szCs w:val="26"/>
    </w:rPr>
  </w:style>
  <w:style w:type="paragraph" w:styleId="Heading6">
    <w:name w:val="heading 6"/>
    <w:basedOn w:val="Normal"/>
    <w:next w:val="Normal"/>
    <w:link w:val="Heading6Char"/>
    <w:uiPriority w:val="9"/>
    <w:unhideWhenUsed/>
    <w:qFormat/>
    <w:rsid w:val="00A60E26"/>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DF1C0C"/>
    <w:pPr>
      <w:tabs>
        <w:tab w:val="left" w:pos="450"/>
        <w:tab w:val="right" w:leader="dot" w:pos="9350"/>
      </w:tabs>
      <w:spacing w:before="269"/>
      <w:ind w:left="100"/>
    </w:pPr>
    <w:rPr>
      <w:noProof/>
      <w:sz w:val="24"/>
    </w:rPr>
  </w:style>
  <w:style w:type="paragraph" w:styleId="TOC2">
    <w:name w:val="toc 2"/>
    <w:basedOn w:val="Normal"/>
    <w:uiPriority w:val="39"/>
    <w:qFormat/>
    <w:rsid w:val="00D94F41"/>
    <w:pPr>
      <w:tabs>
        <w:tab w:val="left" w:pos="1350"/>
        <w:tab w:val="right" w:leader="dot" w:pos="9350"/>
      </w:tabs>
      <w:spacing w:before="99"/>
      <w:ind w:left="1350" w:hanging="630"/>
    </w:pPr>
    <w:rPr>
      <w:noProof/>
      <w:sz w:val="24"/>
    </w:rPr>
  </w:style>
  <w:style w:type="paragraph" w:styleId="BodyText">
    <w:name w:val="Body Text"/>
    <w:basedOn w:val="Normal"/>
    <w:link w:val="BodyTextChar"/>
    <w:uiPriority w:val="1"/>
    <w:qFormat/>
    <w:rsid w:val="007D1E05"/>
    <w:pPr>
      <w:widowControl/>
      <w:spacing w:after="180"/>
    </w:pPr>
    <w:rPr>
      <w:sz w:val="24"/>
      <w:szCs w:val="24"/>
    </w:rPr>
  </w:style>
  <w:style w:type="paragraph" w:styleId="ListParagraph">
    <w:name w:val="List Paragraph"/>
    <w:basedOn w:val="Normal"/>
    <w:link w:val="ListParagraphChar"/>
    <w:uiPriority w:val="34"/>
    <w:qFormat/>
    <w:rsid w:val="002D43C0"/>
    <w:pPr>
      <w:keepLines/>
      <w:widowControl/>
      <w:ind w:left="936" w:hanging="360"/>
    </w:pPr>
  </w:style>
  <w:style w:type="paragraph" w:customStyle="1" w:styleId="TableParagraph">
    <w:name w:val="Table Paragraph"/>
    <w:basedOn w:val="Normal"/>
    <w:uiPriority w:val="1"/>
    <w:qFormat/>
    <w:rsid w:val="002D43C0"/>
    <w:pPr>
      <w:spacing w:before="38"/>
    </w:pPr>
  </w:style>
  <w:style w:type="character" w:styleId="CommentReference">
    <w:name w:val="annotation reference"/>
    <w:basedOn w:val="DefaultParagraphFont"/>
    <w:uiPriority w:val="99"/>
    <w:unhideWhenUsed/>
    <w:rsid w:val="002D43C0"/>
    <w:rPr>
      <w:sz w:val="16"/>
      <w:szCs w:val="16"/>
    </w:rPr>
  </w:style>
  <w:style w:type="paragraph" w:styleId="CommentText">
    <w:name w:val="annotation text"/>
    <w:basedOn w:val="Normal"/>
    <w:link w:val="CommentTextChar"/>
    <w:uiPriority w:val="99"/>
    <w:unhideWhenUsed/>
    <w:rsid w:val="002D43C0"/>
    <w:rPr>
      <w:sz w:val="20"/>
      <w:szCs w:val="20"/>
    </w:rPr>
  </w:style>
  <w:style w:type="character" w:customStyle="1" w:styleId="CommentTextChar">
    <w:name w:val="Comment Text Char"/>
    <w:basedOn w:val="DefaultParagraphFont"/>
    <w:link w:val="CommentText"/>
    <w:uiPriority w:val="99"/>
    <w:rsid w:val="002D43C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D43C0"/>
    <w:rPr>
      <w:b/>
      <w:bCs/>
    </w:rPr>
  </w:style>
  <w:style w:type="character" w:customStyle="1" w:styleId="CommentSubjectChar">
    <w:name w:val="Comment Subject Char"/>
    <w:basedOn w:val="CommentTextChar"/>
    <w:link w:val="CommentSubject"/>
    <w:uiPriority w:val="99"/>
    <w:semiHidden/>
    <w:rsid w:val="002D43C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D43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3C0"/>
    <w:rPr>
      <w:rFonts w:ascii="Segoe UI" w:eastAsia="Times New Roman" w:hAnsi="Segoe UI" w:cs="Segoe UI"/>
      <w:sz w:val="18"/>
      <w:szCs w:val="18"/>
    </w:rPr>
  </w:style>
  <w:style w:type="character" w:styleId="Hyperlink">
    <w:name w:val="Hyperlink"/>
    <w:basedOn w:val="DefaultParagraphFont"/>
    <w:uiPriority w:val="99"/>
    <w:unhideWhenUsed/>
    <w:rsid w:val="002D43C0"/>
    <w:rPr>
      <w:color w:val="0000FF" w:themeColor="hyperlink"/>
      <w:u w:val="single"/>
    </w:rPr>
  </w:style>
  <w:style w:type="paragraph" w:styleId="FootnoteText">
    <w:name w:val="footnote text"/>
    <w:basedOn w:val="Normal"/>
    <w:link w:val="FootnoteTextChar"/>
    <w:uiPriority w:val="99"/>
    <w:unhideWhenUsed/>
    <w:rsid w:val="002D43C0"/>
    <w:rPr>
      <w:sz w:val="20"/>
      <w:szCs w:val="20"/>
    </w:rPr>
  </w:style>
  <w:style w:type="character" w:customStyle="1" w:styleId="FootnoteTextChar">
    <w:name w:val="Footnote Text Char"/>
    <w:basedOn w:val="DefaultParagraphFont"/>
    <w:link w:val="FootnoteText"/>
    <w:uiPriority w:val="99"/>
    <w:rsid w:val="002D43C0"/>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2D43C0"/>
    <w:rPr>
      <w:vertAlign w:val="superscript"/>
    </w:rPr>
  </w:style>
  <w:style w:type="character" w:customStyle="1" w:styleId="tp-label">
    <w:name w:val="tp-label"/>
    <w:basedOn w:val="DefaultParagraphFont"/>
    <w:rsid w:val="002D43C0"/>
  </w:style>
  <w:style w:type="character" w:customStyle="1" w:styleId="Heading5Char">
    <w:name w:val="Heading 5 Char"/>
    <w:basedOn w:val="DefaultParagraphFont"/>
    <w:link w:val="Heading5"/>
    <w:uiPriority w:val="5"/>
    <w:rsid w:val="00E860DC"/>
    <w:rPr>
      <w:rFonts w:ascii="Times New Roman" w:eastAsia="Times New Roman" w:hAnsi="Times New Roman" w:cs="Times New Roman"/>
      <w:b/>
      <w:bCs/>
      <w:iCs/>
      <w:szCs w:val="26"/>
    </w:rPr>
  </w:style>
  <w:style w:type="paragraph" w:customStyle="1" w:styleId="Default">
    <w:name w:val="Default"/>
    <w:rsid w:val="002D43C0"/>
    <w:pPr>
      <w:widowControl/>
      <w:adjustRightInd w:val="0"/>
    </w:pPr>
    <w:rPr>
      <w:rFonts w:ascii="Arial" w:hAnsi="Arial" w:cs="Arial"/>
      <w:color w:val="000000"/>
      <w:sz w:val="24"/>
      <w:szCs w:val="24"/>
    </w:rPr>
  </w:style>
  <w:style w:type="paragraph" w:styleId="TOCHeading">
    <w:name w:val="TOC Heading"/>
    <w:basedOn w:val="Heading1"/>
    <w:next w:val="Normal"/>
    <w:uiPriority w:val="39"/>
    <w:unhideWhenUsed/>
    <w:qFormat/>
    <w:rsid w:val="002D43C0"/>
    <w:pPr>
      <w:keepNext/>
      <w:keepLines/>
      <w:widowControl/>
      <w:autoSpaceDE/>
      <w:autoSpaceDN/>
      <w:spacing w:before="240" w:line="259" w:lineRule="auto"/>
      <w:ind w:left="0"/>
      <w:outlineLvl w:val="9"/>
    </w:pPr>
    <w:rPr>
      <w:rFonts w:asciiTheme="majorHAnsi" w:eastAsiaTheme="majorEastAsia" w:hAnsiTheme="majorHAnsi" w:cstheme="majorBidi"/>
      <w:b w:val="0"/>
      <w:bCs/>
      <w:color w:val="365F91" w:themeColor="accent1" w:themeShade="BF"/>
      <w:sz w:val="32"/>
      <w:szCs w:val="32"/>
    </w:rPr>
  </w:style>
  <w:style w:type="character" w:customStyle="1" w:styleId="Heading3Char">
    <w:name w:val="Heading 3 Char"/>
    <w:basedOn w:val="DefaultParagraphFont"/>
    <w:link w:val="Heading3"/>
    <w:uiPriority w:val="9"/>
    <w:rsid w:val="002D43C0"/>
    <w:rPr>
      <w:rFonts w:ascii="Times New Roman" w:hAnsi="Times New Roman" w:eastAsiaTheme="majorEastAsia" w:cstheme="majorBidi"/>
      <w:b/>
      <w:i/>
      <w:color w:val="000000" w:themeColor="text1"/>
      <w:sz w:val="24"/>
      <w:szCs w:val="24"/>
    </w:rPr>
  </w:style>
  <w:style w:type="paragraph" w:styleId="NormalWeb">
    <w:name w:val="Normal (Web)"/>
    <w:basedOn w:val="Normal"/>
    <w:uiPriority w:val="99"/>
    <w:semiHidden/>
    <w:unhideWhenUsed/>
    <w:rsid w:val="002D43C0"/>
    <w:pPr>
      <w:widowControl/>
      <w:autoSpaceDE/>
      <w:autoSpaceDN/>
      <w:spacing w:before="100" w:beforeAutospacing="1" w:after="100" w:afterAutospacing="1"/>
    </w:pPr>
    <w:rPr>
      <w:rFonts w:eastAsiaTheme="minorHAnsi"/>
      <w:sz w:val="24"/>
      <w:szCs w:val="24"/>
    </w:rPr>
  </w:style>
  <w:style w:type="character" w:styleId="Emphasis">
    <w:name w:val="Emphasis"/>
    <w:basedOn w:val="DefaultParagraphFont"/>
    <w:uiPriority w:val="20"/>
    <w:qFormat/>
    <w:rsid w:val="002D43C0"/>
    <w:rPr>
      <w:i/>
      <w:iCs/>
    </w:rPr>
  </w:style>
  <w:style w:type="character" w:customStyle="1" w:styleId="BodyTextChar">
    <w:name w:val="Body Text Char"/>
    <w:basedOn w:val="DefaultParagraphFont"/>
    <w:link w:val="BodyText"/>
    <w:uiPriority w:val="1"/>
    <w:rsid w:val="007D1E05"/>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2D43C0"/>
    <w:rPr>
      <w:sz w:val="20"/>
      <w:szCs w:val="20"/>
    </w:rPr>
  </w:style>
  <w:style w:type="character" w:customStyle="1" w:styleId="EndnoteTextChar">
    <w:name w:val="Endnote Text Char"/>
    <w:basedOn w:val="DefaultParagraphFont"/>
    <w:link w:val="EndnoteText"/>
    <w:uiPriority w:val="99"/>
    <w:semiHidden/>
    <w:rsid w:val="002D43C0"/>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2D43C0"/>
    <w:rPr>
      <w:vertAlign w:val="superscript"/>
    </w:rPr>
  </w:style>
  <w:style w:type="paragraph" w:styleId="Header">
    <w:name w:val="header"/>
    <w:basedOn w:val="Normal"/>
    <w:link w:val="HeaderChar"/>
    <w:uiPriority w:val="99"/>
    <w:unhideWhenUsed/>
    <w:rsid w:val="002D43C0"/>
    <w:pPr>
      <w:tabs>
        <w:tab w:val="center" w:pos="4680"/>
        <w:tab w:val="right" w:pos="9360"/>
      </w:tabs>
    </w:pPr>
  </w:style>
  <w:style w:type="character" w:customStyle="1" w:styleId="HeaderChar">
    <w:name w:val="Header Char"/>
    <w:basedOn w:val="DefaultParagraphFont"/>
    <w:link w:val="Header"/>
    <w:uiPriority w:val="99"/>
    <w:rsid w:val="002D43C0"/>
    <w:rPr>
      <w:rFonts w:ascii="Times New Roman" w:eastAsia="Times New Roman" w:hAnsi="Times New Roman" w:cs="Times New Roman"/>
    </w:rPr>
  </w:style>
  <w:style w:type="paragraph" w:styleId="Footer">
    <w:name w:val="footer"/>
    <w:basedOn w:val="Normal"/>
    <w:link w:val="FooterChar"/>
    <w:uiPriority w:val="99"/>
    <w:unhideWhenUsed/>
    <w:rsid w:val="002D43C0"/>
    <w:pPr>
      <w:tabs>
        <w:tab w:val="center" w:pos="4680"/>
        <w:tab w:val="right" w:pos="9360"/>
      </w:tabs>
    </w:pPr>
  </w:style>
  <w:style w:type="character" w:customStyle="1" w:styleId="FooterChar">
    <w:name w:val="Footer Char"/>
    <w:basedOn w:val="DefaultParagraphFont"/>
    <w:link w:val="Footer"/>
    <w:uiPriority w:val="99"/>
    <w:rsid w:val="002D43C0"/>
    <w:rPr>
      <w:rFonts w:ascii="Times New Roman" w:eastAsia="Times New Roman" w:hAnsi="Times New Roman" w:cs="Times New Roman"/>
    </w:rPr>
  </w:style>
  <w:style w:type="character" w:customStyle="1" w:styleId="Heading2Char">
    <w:name w:val="Heading 2 Char"/>
    <w:basedOn w:val="DefaultParagraphFont"/>
    <w:link w:val="Heading2"/>
    <w:uiPriority w:val="9"/>
    <w:rsid w:val="002D43C0"/>
    <w:rPr>
      <w:rFonts w:ascii="Times New Roman" w:eastAsia="Times New Roman" w:hAnsi="Times New Roman" w:cs="Times New Roman"/>
      <w:b/>
      <w:sz w:val="26"/>
    </w:rPr>
  </w:style>
  <w:style w:type="paragraph" w:styleId="Caption">
    <w:name w:val="caption"/>
    <w:basedOn w:val="Normal"/>
    <w:next w:val="Normal"/>
    <w:uiPriority w:val="35"/>
    <w:unhideWhenUsed/>
    <w:qFormat/>
    <w:rsid w:val="002D43C0"/>
    <w:pPr>
      <w:keepNext/>
      <w:keepLines/>
      <w:widowControl/>
      <w:spacing w:before="240" w:after="120"/>
    </w:pPr>
    <w:rPr>
      <w:b/>
      <w:sz w:val="24"/>
    </w:rPr>
  </w:style>
  <w:style w:type="paragraph" w:styleId="TOC3">
    <w:name w:val="toc 3"/>
    <w:basedOn w:val="Normal"/>
    <w:next w:val="Normal"/>
    <w:autoRedefine/>
    <w:uiPriority w:val="39"/>
    <w:unhideWhenUsed/>
    <w:rsid w:val="002D43C0"/>
    <w:pPr>
      <w:spacing w:after="100"/>
      <w:ind w:left="440"/>
    </w:pPr>
  </w:style>
  <w:style w:type="paragraph" w:styleId="Title">
    <w:name w:val="Title"/>
    <w:basedOn w:val="Normal"/>
    <w:next w:val="Normal"/>
    <w:link w:val="TitleChar"/>
    <w:uiPriority w:val="10"/>
    <w:qFormat/>
    <w:rsid w:val="004D6EBE"/>
    <w:pPr>
      <w:keepNext/>
      <w:widowControl/>
      <w:contextualSpacing/>
    </w:pPr>
    <w:rPr>
      <w:rFonts w:eastAsiaTheme="majorEastAsia" w:cstheme="majorBidi"/>
      <w:spacing w:val="-10"/>
      <w:kern w:val="28"/>
      <w:sz w:val="36"/>
      <w:szCs w:val="56"/>
    </w:rPr>
  </w:style>
  <w:style w:type="character" w:customStyle="1" w:styleId="TitleChar">
    <w:name w:val="Title Char"/>
    <w:basedOn w:val="DefaultParagraphFont"/>
    <w:link w:val="Title"/>
    <w:uiPriority w:val="10"/>
    <w:rsid w:val="004D6EBE"/>
    <w:rPr>
      <w:rFonts w:ascii="Times New Roman" w:hAnsi="Times New Roman" w:eastAsiaTheme="majorEastAsia" w:cstheme="majorBidi"/>
      <w:spacing w:val="-10"/>
      <w:kern w:val="28"/>
      <w:sz w:val="36"/>
      <w:szCs w:val="56"/>
    </w:rPr>
  </w:style>
  <w:style w:type="character" w:customStyle="1" w:styleId="Heading4Char">
    <w:name w:val="Heading 4 Char"/>
    <w:basedOn w:val="DefaultParagraphFont"/>
    <w:link w:val="Heading4"/>
    <w:uiPriority w:val="9"/>
    <w:rsid w:val="00F53796"/>
    <w:rPr>
      <w:rFonts w:ascii="Times New Roman" w:eastAsia="Times New Roman" w:hAnsi="Times New Roman" w:cs="Times New Roman"/>
      <w:b/>
      <w:sz w:val="24"/>
    </w:rPr>
  </w:style>
  <w:style w:type="paragraph" w:styleId="ListBullet">
    <w:name w:val="List Bullet"/>
    <w:basedOn w:val="Normal"/>
    <w:uiPriority w:val="99"/>
    <w:unhideWhenUsed/>
    <w:rsid w:val="004D6EBE"/>
    <w:pPr>
      <w:tabs>
        <w:tab w:val="num" w:pos="360"/>
      </w:tabs>
      <w:ind w:left="360" w:hanging="360"/>
      <w:contextualSpacing/>
    </w:pPr>
  </w:style>
  <w:style w:type="paragraph" w:styleId="ListBullet2">
    <w:name w:val="List Bullet 2"/>
    <w:basedOn w:val="Normal"/>
    <w:uiPriority w:val="99"/>
    <w:unhideWhenUsed/>
    <w:rsid w:val="0033795C"/>
    <w:pPr>
      <w:keepLines/>
      <w:widowControl/>
      <w:numPr>
        <w:numId w:val="4"/>
      </w:numPr>
      <w:spacing w:after="180"/>
      <w:ind w:left="360"/>
    </w:pPr>
    <w:rPr>
      <w:sz w:val="24"/>
    </w:rPr>
  </w:style>
  <w:style w:type="paragraph" w:styleId="BodyTextIndent">
    <w:name w:val="Body Text Indent"/>
    <w:basedOn w:val="BodyText"/>
    <w:link w:val="BodyTextIndentChar"/>
    <w:uiPriority w:val="99"/>
    <w:unhideWhenUsed/>
    <w:rsid w:val="00F53796"/>
    <w:pPr>
      <w:spacing w:before="180"/>
      <w:ind w:left="360"/>
    </w:pPr>
  </w:style>
  <w:style w:type="character" w:customStyle="1" w:styleId="BodyTextIndentChar">
    <w:name w:val="Body Text Indent Char"/>
    <w:basedOn w:val="DefaultParagraphFont"/>
    <w:link w:val="BodyTextIndent"/>
    <w:uiPriority w:val="99"/>
    <w:rsid w:val="00F53796"/>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D43C0"/>
    <w:rPr>
      <w:color w:val="800080" w:themeColor="followedHyperlink"/>
      <w:u w:val="single"/>
    </w:rPr>
  </w:style>
  <w:style w:type="paragraph" w:styleId="ListBullet3">
    <w:name w:val="List Bullet 3"/>
    <w:basedOn w:val="Normal"/>
    <w:uiPriority w:val="99"/>
    <w:unhideWhenUsed/>
    <w:rsid w:val="0033795C"/>
    <w:pPr>
      <w:widowControl/>
      <w:numPr>
        <w:numId w:val="6"/>
      </w:numPr>
      <w:spacing w:after="120"/>
      <w:ind w:left="720"/>
    </w:pPr>
    <w:rPr>
      <w:sz w:val="24"/>
    </w:rPr>
  </w:style>
  <w:style w:type="paragraph" w:styleId="Revision">
    <w:name w:val="Revision"/>
    <w:hidden/>
    <w:uiPriority w:val="99"/>
    <w:semiHidden/>
    <w:rsid w:val="00A00553"/>
    <w:pPr>
      <w:widowControl/>
      <w:autoSpaceDE/>
      <w:autoSpaceDN/>
    </w:pPr>
    <w:rPr>
      <w:rFonts w:ascii="Times New Roman" w:eastAsia="Times New Roman" w:hAnsi="Times New Roman" w:cs="Times New Roman"/>
    </w:rPr>
  </w:style>
  <w:style w:type="paragraph" w:customStyle="1" w:styleId="Heading2-NoTOC">
    <w:name w:val="Heading 2 - No TOC"/>
    <w:basedOn w:val="Heading2"/>
    <w:uiPriority w:val="1"/>
    <w:qFormat/>
    <w:rsid w:val="00AA22B0"/>
    <w:pPr>
      <w:numPr>
        <w:numId w:val="0"/>
      </w:numPr>
      <w:spacing w:before="0"/>
      <w:ind w:left="418" w:hanging="317"/>
    </w:pPr>
    <w:rPr>
      <w:b w:val="0"/>
      <w:sz w:val="32"/>
      <w:szCs w:val="32"/>
    </w:rPr>
  </w:style>
  <w:style w:type="character" w:customStyle="1" w:styleId="Heading6Char">
    <w:name w:val="Heading 6 Char"/>
    <w:basedOn w:val="DefaultParagraphFont"/>
    <w:link w:val="Heading6"/>
    <w:uiPriority w:val="9"/>
    <w:rsid w:val="00A60E26"/>
    <w:rPr>
      <w:rFonts w:asciiTheme="majorHAnsi" w:eastAsiaTheme="majorEastAsia" w:hAnsiTheme="majorHAnsi" w:cstheme="majorBidi"/>
      <w:color w:val="243F60" w:themeColor="accent1" w:themeShade="7F"/>
    </w:rPr>
  </w:style>
  <w:style w:type="paragraph" w:styleId="ListNumber">
    <w:name w:val="List Number"/>
    <w:basedOn w:val="Normal"/>
    <w:uiPriority w:val="99"/>
    <w:unhideWhenUsed/>
    <w:rsid w:val="004E1371"/>
    <w:pPr>
      <w:widowControl/>
      <w:numPr>
        <w:numId w:val="5"/>
      </w:numPr>
      <w:spacing w:after="180"/>
      <w:contextualSpacing/>
    </w:pPr>
    <w:rPr>
      <w:sz w:val="24"/>
    </w:rPr>
  </w:style>
  <w:style w:type="paragraph" w:styleId="ListContinue2">
    <w:name w:val="List Continue 2"/>
    <w:basedOn w:val="Normal"/>
    <w:uiPriority w:val="99"/>
    <w:unhideWhenUsed/>
    <w:rsid w:val="00B70100"/>
    <w:pPr>
      <w:spacing w:after="160"/>
      <w:ind w:left="720"/>
    </w:pPr>
    <w:rPr>
      <w:sz w:val="24"/>
    </w:rPr>
  </w:style>
  <w:style w:type="paragraph" w:styleId="ListContinue">
    <w:name w:val="List Continue"/>
    <w:basedOn w:val="Normal"/>
    <w:uiPriority w:val="99"/>
    <w:unhideWhenUsed/>
    <w:rsid w:val="004E1371"/>
    <w:pPr>
      <w:widowControl/>
      <w:spacing w:after="180"/>
      <w:ind w:left="360"/>
    </w:pPr>
    <w:rPr>
      <w:sz w:val="24"/>
    </w:rPr>
  </w:style>
  <w:style w:type="paragraph" w:customStyle="1" w:styleId="Note">
    <w:name w:val="Note"/>
    <w:basedOn w:val="Normal"/>
    <w:uiPriority w:val="1"/>
    <w:qFormat/>
    <w:rsid w:val="00FD4AC6"/>
    <w:pPr>
      <w:widowControl/>
      <w:spacing w:before="60" w:after="60"/>
    </w:pPr>
    <w:rPr>
      <w:sz w:val="20"/>
      <w:szCs w:val="20"/>
    </w:rPr>
  </w:style>
  <w:style w:type="character" w:styleId="UnresolvedMention">
    <w:name w:val="Unresolved Mention"/>
    <w:basedOn w:val="DefaultParagraphFont"/>
    <w:uiPriority w:val="99"/>
    <w:semiHidden/>
    <w:unhideWhenUsed/>
    <w:rsid w:val="00FB25F1"/>
    <w:rPr>
      <w:color w:val="605E5C"/>
      <w:shd w:val="clear" w:color="auto" w:fill="E1DFDD"/>
    </w:rPr>
  </w:style>
  <w:style w:type="table" w:styleId="GridTableLight">
    <w:name w:val="Grid Table Light"/>
    <w:basedOn w:val="TableNormal"/>
    <w:uiPriority w:val="40"/>
    <w:rsid w:val="00D94F4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Continue4">
    <w:name w:val="List Continue 4"/>
    <w:basedOn w:val="Normal"/>
    <w:uiPriority w:val="99"/>
    <w:semiHidden/>
    <w:unhideWhenUsed/>
    <w:rsid w:val="00893119"/>
    <w:pPr>
      <w:spacing w:after="120"/>
      <w:ind w:left="1440"/>
      <w:contextualSpacing/>
    </w:pPr>
  </w:style>
  <w:style w:type="paragraph" w:styleId="ListBullet4">
    <w:name w:val="List Bullet 4"/>
    <w:basedOn w:val="ListBullet2"/>
    <w:uiPriority w:val="99"/>
    <w:unhideWhenUsed/>
    <w:rsid w:val="00893119"/>
    <w:pPr>
      <w:numPr>
        <w:numId w:val="0"/>
      </w:numPr>
      <w:ind w:left="2160" w:hanging="360"/>
    </w:pPr>
  </w:style>
  <w:style w:type="character" w:customStyle="1" w:styleId="cf01">
    <w:name w:val="cf01"/>
    <w:basedOn w:val="DefaultParagraphFont"/>
    <w:rsid w:val="00E11138"/>
    <w:rPr>
      <w:rFonts w:ascii="Segoe UI" w:hAnsi="Segoe UI" w:cs="Segoe UI" w:hint="default"/>
      <w:sz w:val="18"/>
      <w:szCs w:val="18"/>
    </w:rPr>
  </w:style>
  <w:style w:type="paragraph" w:customStyle="1" w:styleId="pf0">
    <w:name w:val="pf0"/>
    <w:basedOn w:val="Normal"/>
    <w:rsid w:val="00B6652A"/>
    <w:pPr>
      <w:widowControl/>
      <w:autoSpaceDE/>
      <w:autoSpaceDN/>
      <w:spacing w:before="100" w:beforeAutospacing="1" w:after="100" w:afterAutospacing="1"/>
    </w:pPr>
    <w:rPr>
      <w:sz w:val="24"/>
      <w:szCs w:val="24"/>
    </w:rPr>
  </w:style>
  <w:style w:type="paragraph" w:styleId="ListNumber2">
    <w:name w:val="List Number 2"/>
    <w:basedOn w:val="ListParagraph"/>
    <w:uiPriority w:val="99"/>
    <w:unhideWhenUsed/>
    <w:rsid w:val="005D6BD6"/>
    <w:pPr>
      <w:numPr>
        <w:numId w:val="1"/>
      </w:numPr>
      <w:tabs>
        <w:tab w:val="left" w:pos="920"/>
      </w:tabs>
      <w:spacing w:after="180"/>
      <w:ind w:left="360"/>
      <w:contextualSpacing/>
    </w:pPr>
    <w:rPr>
      <w:sz w:val="24"/>
      <w:szCs w:val="24"/>
    </w:rPr>
  </w:style>
  <w:style w:type="table" w:styleId="TableGrid">
    <w:name w:val="Table Grid"/>
    <w:basedOn w:val="TableNormal"/>
    <w:uiPriority w:val="59"/>
    <w:rsid w:val="008437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2E0091"/>
  </w:style>
  <w:style w:type="character" w:customStyle="1" w:styleId="ListParagraphChar">
    <w:name w:val="List Paragraph Char"/>
    <w:basedOn w:val="DefaultParagraphFont"/>
    <w:link w:val="ListParagraph"/>
    <w:uiPriority w:val="34"/>
    <w:locked/>
    <w:rsid w:val="00D841B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mcbs@norc.org)" TargetMode="External" /><Relationship Id="rId11" Type="http://schemas.openxmlformats.org/officeDocument/2006/relationships/hyperlink" Target="https://www.norc.org" TargetMode="External" /><Relationship Id="rId12" Type="http://schemas.openxmlformats.org/officeDocument/2006/relationships/hyperlink" Target="http://www.cms.gov/mcbs" TargetMode="External" /><Relationship Id="rId13" Type="http://schemas.openxmlformats.org/officeDocument/2006/relationships/hyperlink" Target="mailto:paddock-susan@norc.org" TargetMode="Externa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mailto:william.long@cms.hhs.gov"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notes.xml.rels><?xml version="1.0" encoding="utf-8" standalone="yes"?><Relationships xmlns="http://schemas.openxmlformats.org/package/2006/relationships"><Relationship Id="rId1" Type="http://schemas.openxmlformats.org/officeDocument/2006/relationships/hyperlink" Target="https://onlinelibrary.wiley.com/doi/book/10.1002/9781394260645" TargetMode="External" /><Relationship Id="rId10" Type="http://schemas.openxmlformats.org/officeDocument/2006/relationships/hyperlink" Target="https://investors.goodrx.com/news-releases/news-release-details/goodrx-reports-fourth-quarter-and-full-year-2025-results" TargetMode="External" /><Relationship Id="rId11" Type="http://schemas.openxmlformats.org/officeDocument/2006/relationships/hyperlink" Target="https://www.cms.gov/files/document/data-snapshot-hypertension-jan-2023.pdf" TargetMode="External" /><Relationship Id="rId12" Type="http://schemas.openxmlformats.org/officeDocument/2006/relationships/hyperlink" Target="https://www.cdc.gov/nchs/fastats/older-american-health.htm" TargetMode="External" /><Relationship Id="rId13" Type="http://schemas.openxmlformats.org/officeDocument/2006/relationships/hyperlink" Target="https://aspe.hhs.gov/sites/default/files/documents/920ec8349c53a362b27e3b10669dafd4/generic-drug-landscape-ib.pdf" TargetMode="External" /><Relationship Id="rId14" Type="http://schemas.openxmlformats.org/officeDocument/2006/relationships/hyperlink" Target="https://www-ahajournals-org.proxy.uchicago.edu/doi/10.1161/CIR.0000000000001356" TargetMode="External" /><Relationship Id="rId15" Type="http://schemas.openxmlformats.org/officeDocument/2006/relationships/hyperlink" Target="https://www.cms.gov/files/document/2021-mcbs-methodology-report.pdf" TargetMode="External" /><Relationship Id="rId2" Type="http://schemas.openxmlformats.org/officeDocument/2006/relationships/hyperlink" Target="https://diabetesjournals.org/care/article-pdf/20/11/1772/583603/20-11-1772.pdf" TargetMode="External" /><Relationship Id="rId3" Type="http://schemas.openxmlformats.org/officeDocument/2006/relationships/hyperlink" Target="https://www-ahajournals-org.proxy.uchicago.edu/doi/10.1161/cir.0000000000000678" TargetMode="External" /><Relationship Id="rId4" Type="http://schemas.openxmlformats.org/officeDocument/2006/relationships/hyperlink" Target="https://pubmed.ncbi.nlm.nih.gov/40243986/" TargetMode="External" /><Relationship Id="rId5" Type="http://schemas.openxmlformats.org/officeDocument/2006/relationships/hyperlink" Target="https://www.nidcr.nih.gov/sites/default/files/2020-10/Detecting-Oral-Cancer-Healthcare-Professionals.pdf" TargetMode="External" /><Relationship Id="rId6" Type="http://schemas.openxmlformats.org/officeDocument/2006/relationships/hyperlink" Target="https://www.acog.org/clinical/clinical-guidance/committee-opinion/articles/2018/10/the-utility-of-and-indications-for-routine-pelvic-examination" TargetMode="External" /><Relationship Id="rId7" Type="http://schemas.openxmlformats.org/officeDocument/2006/relationships/hyperlink" Target="https://www.cms.gov/data-research/research/consumer-assessment-healthcare-providers-systems/emergency-department-cahps" TargetMode="External" /><Relationship Id="rId8" Type="http://schemas.openxmlformats.org/officeDocument/2006/relationships/hyperlink" Target="https://pmc.ncbi.nlm.nih.gov/articles/PMC1262715/" TargetMode="External" /><Relationship Id="rId9" Type="http://schemas.openxmlformats.org/officeDocument/2006/relationships/hyperlink" Target="https://www.kff.org/public-opinion/public-views-on-prescription-drug-costs-regulation-affordability-and-trumpr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CC980-DEF5-4262-B111-A88DCC24E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32</Pages>
  <Words>13286</Words>
  <Characters>75468</Characters>
  <Application>Microsoft Office Word</Application>
  <DocSecurity>0</DocSecurity>
  <Lines>1640</Lines>
  <Paragraphs>896</Paragraphs>
  <ScaleCrop>false</ScaleCrop>
  <HeadingPairs>
    <vt:vector size="2" baseType="variant">
      <vt:variant>
        <vt:lpstr>Title</vt:lpstr>
      </vt:variant>
      <vt:variant>
        <vt:i4>1</vt:i4>
      </vt:variant>
    </vt:vector>
  </HeadingPairs>
  <TitlesOfParts>
    <vt:vector size="1" baseType="lpstr">
      <vt:lpstr>CMS P-0015A 0938-0568_SSB</vt:lpstr>
    </vt:vector>
  </TitlesOfParts>
  <Company>NORC</Company>
  <LinksUpToDate>false</LinksUpToDate>
  <CharactersWithSpaces>87858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CMS P-0015A 0938-0568_SSB</dc:title>
  <dc:subject>MCBS 2027 Full Clearance Revision</dc:subject>
  <dc:creator>NORC</dc:creator>
  <cp:keywords>MCBS; ICR package; OMB clearance; supporting statement</cp:keywords>
  <cp:lastModifiedBy>Amanda Lynch</cp:lastModifiedBy>
  <cp:revision>7</cp:revision>
  <cp:lastPrinted>2019-03-15T19:40:00Z</cp:lastPrinted>
  <dcterms:created xsi:type="dcterms:W3CDTF">2026-07-15T21:06:00Z</dcterms:created>
  <dcterms:modified xsi:type="dcterms:W3CDTF">2026-07-20T04:15:00Z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2018-05-10T00:00:00Z</vt:filetime>
  </property>
  <property fmtid="{D5CDD505-2E9C-101B-9397-08002B2CF9AE}" pid="3" name="Creator">
    <vt:lpwstr>Acrobat PDFMaker 11 for Word</vt:lpwstr>
  </property>
  <property fmtid="{D5CDD505-2E9C-101B-9397-08002B2CF9AE}" pid="4" name="LastSaved">
    <vt:filetime>2018-05-23T00:00:00Z</vt:filetime>
  </property>
  <property fmtid="{D5CDD505-2E9C-101B-9397-08002B2CF9AE}" pid="5" name="_DocHome">
    <vt:i4>-254999852</vt:i4>
  </property>
  <property fmtid="{D5CDD505-2E9C-101B-9397-08002B2CF9AE}" pid="6" name="_NewReviewCycle">
    <vt:lpwstr/>
  </property>
</Properties>
</file>