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7.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1416F1" w:rsidRPr="001416F1" w:rsidP="00793B69" w14:paraId="1454A8AF" w14:textId="05E06277">
      <w:pPr>
        <w:spacing w:after="0" w:line="240" w:lineRule="auto"/>
        <w:jc w:val="center"/>
        <w:rPr>
          <w:rFonts w:cs="Times New Roman"/>
          <w:szCs w:val="24"/>
        </w:rPr>
      </w:pPr>
      <w:r w:rsidRPr="001416F1">
        <w:rPr>
          <w:rFonts w:cs="Times New Roman"/>
          <w:szCs w:val="24"/>
        </w:rPr>
        <w:t xml:space="preserve">Generic </w:t>
      </w:r>
      <w:r w:rsidRPr="001416F1" w:rsidR="00CB646D">
        <w:rPr>
          <w:rFonts w:cs="Times New Roman"/>
          <w:szCs w:val="24"/>
        </w:rPr>
        <w:t>Information Collection</w:t>
      </w:r>
    </w:p>
    <w:p w:rsidR="008C11BC" w:rsidRPr="001416F1" w:rsidP="00793B69" w14:paraId="79F39011" w14:textId="56BFBA23">
      <w:pPr>
        <w:spacing w:after="0" w:line="240" w:lineRule="auto"/>
        <w:jc w:val="center"/>
        <w:rPr>
          <w:rFonts w:cs="Times New Roman"/>
          <w:color w:val="000000" w:themeColor="text1"/>
          <w:szCs w:val="24"/>
        </w:rPr>
      </w:pPr>
      <w:r w:rsidRPr="001416F1">
        <w:rPr>
          <w:rFonts w:cs="Times New Roman"/>
          <w:color w:val="000000" w:themeColor="text1"/>
          <w:szCs w:val="24"/>
        </w:rPr>
        <w:t>Eligibility and Enrollment Performance Indicators</w:t>
      </w:r>
    </w:p>
    <w:p w:rsidR="001416F1" w:rsidRPr="001416F1" w:rsidP="00793B69" w14:paraId="36A148F8" w14:textId="66021FFB">
      <w:pPr>
        <w:spacing w:after="0" w:line="240" w:lineRule="auto"/>
        <w:jc w:val="center"/>
        <w:rPr>
          <w:rFonts w:cs="Times New Roman"/>
          <w:szCs w:val="24"/>
        </w:rPr>
      </w:pPr>
      <w:r w:rsidRPr="001416F1">
        <w:rPr>
          <w:rFonts w:cs="Times New Roman"/>
          <w:szCs w:val="24"/>
        </w:rPr>
        <w:t>CMS-10398 #35, OMB 0938-1148</w:t>
      </w:r>
    </w:p>
    <w:p w:rsidR="001416F1" w:rsidP="00793B69" w14:paraId="3BB891BD" w14:textId="77777777">
      <w:pPr>
        <w:spacing w:after="0" w:line="240" w:lineRule="auto"/>
        <w:jc w:val="center"/>
        <w:rPr>
          <w:rFonts w:cs="Times New Roman"/>
          <w:szCs w:val="24"/>
        </w:rPr>
      </w:pPr>
    </w:p>
    <w:p w:rsidR="007D6E75" w:rsidRPr="007B1F57" w:rsidP="00965F99" w14:paraId="79F3901E" w14:textId="0138D86B">
      <w:pPr>
        <w:pStyle w:val="Heading1"/>
      </w:pPr>
      <w:r w:rsidRPr="007B1F57">
        <w:t>Background</w:t>
      </w:r>
    </w:p>
    <w:p w:rsidR="00D81259" w:rsidRPr="003B2A8C" w:rsidP="00793B69" w14:paraId="6DA2F51D" w14:textId="77777777">
      <w:pPr>
        <w:spacing w:after="0" w:line="240" w:lineRule="auto"/>
      </w:pPr>
    </w:p>
    <w:p w:rsidR="1C5C5927" w:rsidRPr="003B2A8C" w:rsidP="00793B69" w14:paraId="4E12D2EC" w14:textId="58E37E5C">
      <w:pPr>
        <w:spacing w:after="0" w:line="240" w:lineRule="auto"/>
        <w:rPr>
          <w:rFonts w:cs="Times New Roman"/>
          <w:szCs w:val="24"/>
        </w:rPr>
      </w:pPr>
      <w:r w:rsidRPr="003B2A8C">
        <w:rPr>
          <w:rFonts w:cs="Times New Roman"/>
          <w:szCs w:val="24"/>
        </w:rPr>
        <w:t xml:space="preserve">The Centers for Medicare &amp; Medicaid Services (CMS) work in partnership with States to implement Medicaid and the Children’s Health Insurance Program (CHIP). Together these programs provide health coverage to millions of Americans. Medicaid and CHIP are based in Federal statute, associated regulations and policy guidance, and the approved State plan documents that serve as a contract between CMS and States about how Medicaid and CHIP will be operated in that State. </w:t>
      </w:r>
      <w:r w:rsidRPr="003B2A8C">
        <w:rPr>
          <w:rFonts w:eastAsia="Times New Roman" w:cs="Times New Roman"/>
          <w:szCs w:val="24"/>
        </w:rPr>
        <w:t>CMS works collaboratively with States in the ongoing management of programs and policies</w:t>
      </w:r>
      <w:r w:rsidRPr="003B2A8C" w:rsidR="00F41E88">
        <w:rPr>
          <w:rFonts w:eastAsia="Times New Roman" w:cs="Times New Roman"/>
          <w:szCs w:val="24"/>
        </w:rPr>
        <w:t>.</w:t>
      </w:r>
    </w:p>
    <w:p w:rsidR="00D81259" w:rsidP="00793B69" w14:paraId="1BEF2286" w14:textId="77777777">
      <w:pPr>
        <w:spacing w:after="0" w:line="240" w:lineRule="auto"/>
      </w:pPr>
    </w:p>
    <w:p w:rsidR="000E52DD" w:rsidRPr="002F3FC5" w:rsidP="00F77FE9" w14:paraId="768F84B8" w14:textId="7E20A0B2">
      <w:pPr>
        <w:spacing w:after="0" w:line="240" w:lineRule="auto"/>
        <w:rPr>
          <w:rFonts w:eastAsia="Times New Roman" w:cs="Times New Roman"/>
          <w:szCs w:val="24"/>
        </w:rPr>
      </w:pPr>
      <w:r w:rsidRPr="00544983">
        <w:t xml:space="preserve">In association with our June 3, 2026 </w:t>
      </w:r>
      <w:r w:rsidRPr="00544983" w:rsidR="00F77FE9">
        <w:t xml:space="preserve">(91 FR 33348) </w:t>
      </w:r>
      <w:r w:rsidRPr="00544983">
        <w:t xml:space="preserve">interim final rule with comment period (CMS-2454-IFC; RIN 0938-AV98) entitled, “Medicaid Program; Community Engagement Requirement for Certain Individuals” </w:t>
      </w:r>
      <w:r w:rsidRPr="002F3FC5">
        <w:rPr>
          <w:rFonts w:eastAsia="Times New Roman" w:cs="Times New Roman"/>
          <w:szCs w:val="24"/>
        </w:rPr>
        <w:t>section 71119 of the Working Families Tax Cut (WFTC) legislation adds section 1902(xx) to the Social Security Act and requires States, as a condition of Medicaid eligibility for certain individuals, to establish and administer a community engagement requirement. CMS anticipates monthly State submissions of monitoring and program operations data related to community engagement implementation and outcomes, as included at 42 CFR 435.562.</w:t>
      </w:r>
    </w:p>
    <w:p w:rsidR="000E52DD" w:rsidRPr="002F3FC5" w:rsidP="000E52DD" w14:paraId="7AE36BC5" w14:textId="77777777">
      <w:pPr>
        <w:spacing w:after="0" w:line="240" w:lineRule="auto"/>
        <w:rPr>
          <w:rFonts w:eastAsia="Times New Roman" w:cs="Times New Roman"/>
          <w:szCs w:val="24"/>
        </w:rPr>
      </w:pPr>
    </w:p>
    <w:p w:rsidR="00EB5595" w:rsidP="00793B69" w14:paraId="4280095C" w14:textId="0FD28B33">
      <w:pPr>
        <w:spacing w:after="0" w:line="240" w:lineRule="auto"/>
        <w:rPr>
          <w:rFonts w:eastAsia="Times New Roman" w:cs="Times New Roman"/>
          <w:szCs w:val="24"/>
        </w:rPr>
      </w:pPr>
      <w:r w:rsidRPr="002F3FC5">
        <w:rPr>
          <w:rFonts w:eastAsia="Times New Roman" w:cs="Times New Roman"/>
          <w:szCs w:val="24"/>
        </w:rPr>
        <w:t>CMS interprets the statutory requirements at sections 1902(a)(6) and 1902(a)(75) of the Act to provide authority to require States to submit data that allow for monitoring of their eligibility and enrollment processes. States already submit monthly Medicaid and CHIP eligibility and enrollment information to CMS through established Medicaid and CHIP Performance Indicator (PI) data reporting.</w:t>
      </w:r>
    </w:p>
    <w:p w:rsidR="00992A79" w:rsidRPr="00F31EC3" w:rsidP="00793B69" w14:paraId="7FF60CDE" w14:textId="77777777">
      <w:pPr>
        <w:spacing w:after="0" w:line="240" w:lineRule="auto"/>
      </w:pPr>
    </w:p>
    <w:p w:rsidR="007D6E75" w:rsidRPr="000920E0" w:rsidP="00965F99" w14:paraId="6A7F9AD4" w14:textId="11264E57">
      <w:pPr>
        <w:pStyle w:val="Heading1"/>
      </w:pPr>
      <w:r w:rsidRPr="000920E0">
        <w:t>Description of Information Collection</w:t>
      </w:r>
    </w:p>
    <w:p w:rsidR="000920E0" w:rsidP="00793B69" w14:paraId="041F1738" w14:textId="77777777">
      <w:pPr>
        <w:spacing w:after="0" w:line="240" w:lineRule="auto"/>
        <w:rPr>
          <w:rFonts w:cs="Times New Roman"/>
          <w:szCs w:val="24"/>
        </w:rPr>
      </w:pPr>
    </w:p>
    <w:p w:rsidR="00ED2FB9" w:rsidRPr="000B2E30" w:rsidP="00793B69" w14:paraId="1EE0C32E" w14:textId="1CBC6FF0">
      <w:pPr>
        <w:spacing w:after="0" w:line="240" w:lineRule="auto"/>
        <w:rPr>
          <w:rFonts w:cs="Times New Roman"/>
          <w:szCs w:val="24"/>
        </w:rPr>
      </w:pPr>
      <w:r w:rsidRPr="00731262">
        <w:rPr>
          <w:rFonts w:cs="Times New Roman"/>
          <w:szCs w:val="24"/>
        </w:rPr>
        <w:t xml:space="preserve">This additional </w:t>
      </w:r>
      <w:r w:rsidRPr="00731262" w:rsidR="00725056">
        <w:rPr>
          <w:rFonts w:cs="Times New Roman"/>
          <w:szCs w:val="24"/>
        </w:rPr>
        <w:t>collection support</w:t>
      </w:r>
      <w:r w:rsidR="009C5995">
        <w:rPr>
          <w:rFonts w:cs="Times New Roman"/>
          <w:szCs w:val="24"/>
        </w:rPr>
        <w:t xml:space="preserve">s our </w:t>
      </w:r>
      <w:r w:rsidRPr="00731262" w:rsidR="00725056">
        <w:rPr>
          <w:rFonts w:cs="Times New Roman"/>
          <w:szCs w:val="24"/>
        </w:rPr>
        <w:t xml:space="preserve">Medicaid and CHIP Performance Indicators, </w:t>
      </w:r>
      <w:r w:rsidRPr="000B2E30" w:rsidR="00725056">
        <w:rPr>
          <w:rFonts w:cs="Times New Roman"/>
          <w:szCs w:val="24"/>
        </w:rPr>
        <w:t xml:space="preserve">which are an initial set of business process performance indicators for all state Medicaid and Children’s Health Insurance Program (CHIP) programs, which CMS indicated they would begin to collect in association with the development of new IT systems in the final rules entitled “Federal Funding for Medicaid Eligibility Determination and Enrollment Activities” (75 FR 21950) and “Eligibility Changes under the Affordable Care Act of 2010” (77 FR 17144).  </w:t>
      </w:r>
    </w:p>
    <w:p w:rsidR="00ED2FB9" w:rsidRPr="000B2E30" w:rsidP="00793B69" w14:paraId="45C72957" w14:textId="77777777">
      <w:pPr>
        <w:spacing w:after="0" w:line="240" w:lineRule="auto"/>
        <w:rPr>
          <w:rFonts w:cs="Times New Roman"/>
          <w:szCs w:val="24"/>
        </w:rPr>
      </w:pPr>
    </w:p>
    <w:p w:rsidR="00ED2FB9" w:rsidRPr="00AD3492" w:rsidP="00793B69" w14:paraId="1BF5ECEA" w14:textId="77777777">
      <w:pPr>
        <w:spacing w:after="0" w:line="240" w:lineRule="auto"/>
        <w:rPr>
          <w:rFonts w:cs="Times New Roman"/>
          <w:szCs w:val="24"/>
        </w:rPr>
      </w:pPr>
      <w:r w:rsidRPr="00AD3492">
        <w:rPr>
          <w:rFonts w:cs="Times New Roman"/>
          <w:szCs w:val="24"/>
        </w:rPr>
        <w:t xml:space="preserve">Under §435.562, States must submit data for applicants and beneficiaries who are applying for and receiving medical assistance, including individuals subject to section 1902(xx) of the Act. CMS anticipates that States will report these data primarily through existing Medicaid and CHIP Performance Indicator (PI) data reporting processes and, if needed, through other CMS-specified reporting vehicles. The required monitoring and program operations data may include enrollment totals for individuals applying for and receiving medical assistance; measures related to application and renewal processing timeliness and backlogs; outcomes of eligibility determinations and redeterminations; and population counts of individuals who are subject to, </w:t>
      </w:r>
      <w:r w:rsidRPr="00AD3492">
        <w:rPr>
          <w:rFonts w:cs="Times New Roman"/>
          <w:szCs w:val="24"/>
        </w:rPr>
        <w:t xml:space="preserve">and compliant with, the requirements of section 1902(xx) of the Act or §§435.550 through 435.563. </w:t>
      </w:r>
    </w:p>
    <w:p w:rsidR="00ED2FB9" w:rsidRPr="00AD3492" w:rsidP="00793B69" w14:paraId="448E952A" w14:textId="77777777">
      <w:pPr>
        <w:spacing w:after="0" w:line="240" w:lineRule="auto"/>
        <w:rPr>
          <w:rFonts w:cs="Times New Roman"/>
          <w:szCs w:val="24"/>
        </w:rPr>
      </w:pPr>
    </w:p>
    <w:p w:rsidR="00ED2FB9" w:rsidRPr="000B2E30" w:rsidP="00793B69" w14:paraId="3020E292" w14:textId="0B543F12">
      <w:pPr>
        <w:spacing w:after="0" w:line="240" w:lineRule="auto"/>
        <w:rPr>
          <w:rFonts w:cs="Times New Roman"/>
          <w:szCs w:val="24"/>
        </w:rPr>
      </w:pPr>
      <w:r w:rsidRPr="00AD3492">
        <w:rPr>
          <w:rFonts w:cs="Times New Roman"/>
          <w:szCs w:val="24"/>
        </w:rPr>
        <w:t xml:space="preserve">CMS may also require other data specified in regulation, guidance, or technical specifications as needed to monitor State implementation of section 1902(xx) of the Act or §§435.550 through 435.563. For purposes of this requirement, a State means any of the 50 States and the District of Columbia that provides medical assistance on a basis subject to section 1902(xx) of the Act. CMS estimates that </w:t>
      </w:r>
      <w:r w:rsidRPr="000B2E30">
        <w:rPr>
          <w:rFonts w:cs="Times New Roman"/>
          <w:szCs w:val="24"/>
        </w:rPr>
        <w:t xml:space="preserve">currently </w:t>
      </w:r>
      <w:r w:rsidRPr="00AD3492">
        <w:rPr>
          <w:rFonts w:cs="Times New Roman"/>
          <w:szCs w:val="24"/>
        </w:rPr>
        <w:t>44 jurisdictions meet this definition, consisting of 43 States and the District of Columbia.</w:t>
      </w:r>
      <w:r w:rsidR="00DC5308">
        <w:rPr>
          <w:rFonts w:cs="Times New Roman"/>
          <w:szCs w:val="24"/>
        </w:rPr>
        <w:t xml:space="preserve"> </w:t>
      </w:r>
      <w:r w:rsidRPr="00DC5308" w:rsidR="00DC5308">
        <w:rPr>
          <w:rFonts w:cs="Times New Roman"/>
          <w:szCs w:val="24"/>
        </w:rPr>
        <w:t xml:space="preserve">However, there are 51 jurisdictions </w:t>
      </w:r>
      <w:r w:rsidR="00246803">
        <w:rPr>
          <w:rFonts w:cs="Times New Roman"/>
          <w:szCs w:val="24"/>
        </w:rPr>
        <w:t>(50</w:t>
      </w:r>
      <w:r w:rsidRPr="00246803" w:rsidR="00246803">
        <w:rPr>
          <w:rFonts w:cs="Times New Roman"/>
          <w:szCs w:val="24"/>
        </w:rPr>
        <w:t xml:space="preserve"> States and the District of Columbia</w:t>
      </w:r>
      <w:r w:rsidR="00246803">
        <w:rPr>
          <w:rFonts w:cs="Times New Roman"/>
          <w:szCs w:val="24"/>
        </w:rPr>
        <w:t>)</w:t>
      </w:r>
      <w:r w:rsidRPr="00246803" w:rsidR="00246803">
        <w:rPr>
          <w:rFonts w:cs="Times New Roman"/>
          <w:szCs w:val="24"/>
        </w:rPr>
        <w:t xml:space="preserve"> </w:t>
      </w:r>
      <w:r w:rsidRPr="00DC5308" w:rsidR="00DC5308">
        <w:rPr>
          <w:rFonts w:cs="Times New Roman"/>
          <w:szCs w:val="24"/>
        </w:rPr>
        <w:t>who submit PI data.</w:t>
      </w:r>
    </w:p>
    <w:p w:rsidR="00F0464D" w:rsidRPr="00AD3492" w:rsidP="00793B69" w14:paraId="74118CEB" w14:textId="77777777">
      <w:pPr>
        <w:spacing w:after="0" w:line="240" w:lineRule="auto"/>
        <w:rPr>
          <w:rFonts w:cs="Times New Roman"/>
          <w:szCs w:val="24"/>
        </w:rPr>
      </w:pPr>
    </w:p>
    <w:p w:rsidR="00C01A08" w:rsidRPr="00583150" w:rsidP="00793B69" w14:paraId="1DC33835" w14:textId="6AEB5026">
      <w:pPr>
        <w:spacing w:after="0" w:line="240" w:lineRule="auto"/>
        <w:rPr>
          <w:rFonts w:cs="Times New Roman"/>
          <w:szCs w:val="24"/>
        </w:rPr>
      </w:pPr>
      <w:r w:rsidRPr="000B2E30">
        <w:rPr>
          <w:rFonts w:cs="Times New Roman"/>
          <w:szCs w:val="24"/>
        </w:rPr>
        <w:t xml:space="preserve">This additional collection represents a targeted expansion of the existing data set and is intended to support system enhancement efforts necessary to align State data collection with updated federal </w:t>
      </w:r>
      <w:r w:rsidRPr="00583150">
        <w:rPr>
          <w:rFonts w:cs="Times New Roman"/>
          <w:szCs w:val="24"/>
        </w:rPr>
        <w:t xml:space="preserve">specifications. Following this initial enhancement, States will continue to report and maintain these data through ongoing Medicaid and CHIP Performance Indicator reporting processes. </w:t>
      </w:r>
    </w:p>
    <w:p w:rsidR="00623E3D" w:rsidRPr="00583150" w:rsidP="00793B69" w14:paraId="6F6C14C7" w14:textId="77777777">
      <w:pPr>
        <w:spacing w:after="0" w:line="240" w:lineRule="auto"/>
        <w:rPr>
          <w:rFonts w:cs="Times New Roman"/>
          <w:szCs w:val="24"/>
        </w:rPr>
      </w:pPr>
    </w:p>
    <w:p w:rsidR="071BD9DD" w:rsidRPr="00AD3492" w:rsidP="00793B69" w14:paraId="437187AE" w14:textId="6BE04892">
      <w:pPr>
        <w:pStyle w:val="ListParagraph"/>
        <w:numPr>
          <w:ilvl w:val="0"/>
          <w:numId w:val="6"/>
        </w:numPr>
        <w:spacing w:after="0" w:line="240" w:lineRule="auto"/>
        <w:ind w:left="144" w:firstLine="0"/>
        <w:contextualSpacing w:val="0"/>
        <w:rPr>
          <w:rFonts w:ascii="Times New Roman" w:eastAsia="Batang" w:hAnsi="Times New Roman"/>
          <w:sz w:val="24"/>
          <w:szCs w:val="24"/>
        </w:rPr>
      </w:pPr>
      <w:r w:rsidRPr="00AD3492">
        <w:rPr>
          <w:rFonts w:ascii="Times New Roman" w:eastAsia="Batang" w:hAnsi="Times New Roman"/>
          <w:sz w:val="24"/>
          <w:szCs w:val="24"/>
        </w:rPr>
        <w:t xml:space="preserve">Additional metrics for collection: </w:t>
      </w:r>
    </w:p>
    <w:p w:rsidR="071BD9DD" w:rsidRPr="00AD3492" w:rsidP="00793B69" w14:paraId="1DB3E176" w14:textId="3CA9F40E">
      <w:pPr>
        <w:spacing w:after="0" w:line="240" w:lineRule="auto"/>
        <w:ind w:left="144"/>
        <w:rPr>
          <w:rFonts w:eastAsia="Batang" w:cs="Times New Roman"/>
          <w:szCs w:val="24"/>
        </w:rPr>
      </w:pPr>
      <w:r w:rsidRPr="00AD3492">
        <w:rPr>
          <w:rFonts w:eastAsia="Batang" w:cs="Times New Roman"/>
          <w:szCs w:val="24"/>
        </w:rPr>
        <w:t>By Community Engagement (CE) eligibility determination at application</w:t>
      </w:r>
    </w:p>
    <w:p w:rsidR="071BD9DD" w:rsidRPr="00AD3492" w:rsidP="00793B69" w14:paraId="07DEB901" w14:textId="2A1A850C">
      <w:pPr>
        <w:spacing w:after="0" w:line="240" w:lineRule="auto"/>
        <w:ind w:left="144"/>
        <w:rPr>
          <w:rFonts w:eastAsia="Batang"/>
          <w:szCs w:val="24"/>
        </w:rPr>
      </w:pPr>
      <w:r w:rsidRPr="00AD3492">
        <w:rPr>
          <w:rFonts w:eastAsia="Batang" w:cs="Times New Roman"/>
          <w:szCs w:val="24"/>
        </w:rPr>
        <w:t xml:space="preserve">      Eligible: </w:t>
      </w:r>
    </w:p>
    <w:p w:rsidR="071BD9DD" w:rsidRPr="00AD3492" w:rsidP="00793B69" w14:paraId="5F059D9B" w14:textId="09892B43">
      <w:pPr>
        <w:pStyle w:val="ListParagraph"/>
        <w:numPr>
          <w:ilvl w:val="0"/>
          <w:numId w:val="7"/>
        </w:numPr>
        <w:spacing w:after="0" w:line="240" w:lineRule="auto"/>
        <w:ind w:left="288" w:firstLine="0"/>
        <w:contextualSpacing w:val="0"/>
        <w:rPr>
          <w:rFonts w:eastAsia="Batang"/>
          <w:szCs w:val="24"/>
        </w:rPr>
      </w:pPr>
      <w:r w:rsidRPr="00AD3492">
        <w:rPr>
          <w:rFonts w:ascii="Times New Roman" w:eastAsia="Batang" w:hAnsi="Times New Roman"/>
          <w:sz w:val="24"/>
          <w:szCs w:val="24"/>
        </w:rPr>
        <w:t>Number of individuals determined eligible who are determined to be a specified excluded individual</w:t>
      </w:r>
    </w:p>
    <w:p w:rsidR="071BD9DD" w:rsidRPr="00AD3492" w:rsidP="00793B69" w14:paraId="3EEA876A" w14:textId="6E4D54F2">
      <w:pPr>
        <w:pStyle w:val="ListParagraph"/>
        <w:numPr>
          <w:ilvl w:val="0"/>
          <w:numId w:val="7"/>
        </w:numPr>
        <w:spacing w:after="0" w:line="240" w:lineRule="auto"/>
        <w:ind w:left="288" w:firstLine="0"/>
        <w:contextualSpacing w:val="0"/>
        <w:rPr>
          <w:rFonts w:eastAsia="Batang"/>
          <w:szCs w:val="24"/>
        </w:rPr>
      </w:pPr>
      <w:r w:rsidRPr="00AD3492">
        <w:rPr>
          <w:rFonts w:ascii="Times New Roman" w:eastAsia="Batang" w:hAnsi="Times New Roman"/>
          <w:sz w:val="24"/>
          <w:szCs w:val="24"/>
        </w:rPr>
        <w:t xml:space="preserve">Number of individuals determined eligible who are applicable individuals and either </w:t>
      </w:r>
      <w:r w:rsidRPr="00AD3492">
        <w:rPr>
          <w:rFonts w:ascii="Times New Roman" w:eastAsia="Aptos" w:hAnsi="Times New Roman"/>
          <w:sz w:val="24"/>
          <w:szCs w:val="24"/>
        </w:rPr>
        <w:t>demonstrated community engagement or were deemed to have demonstrated community engagement by meeting a mandatory exception.</w:t>
      </w:r>
    </w:p>
    <w:p w:rsidR="071BD9DD" w:rsidRPr="00AD3492" w:rsidP="00793B69" w14:paraId="5E9D38D8" w14:textId="27C0BD2E">
      <w:pPr>
        <w:pStyle w:val="ListParagraph"/>
        <w:numPr>
          <w:ilvl w:val="0"/>
          <w:numId w:val="7"/>
        </w:numPr>
        <w:spacing w:after="0" w:line="240" w:lineRule="auto"/>
        <w:ind w:left="288" w:firstLine="0"/>
        <w:contextualSpacing w:val="0"/>
        <w:rPr>
          <w:rFonts w:eastAsia="Batang"/>
          <w:szCs w:val="24"/>
        </w:rPr>
      </w:pPr>
      <w:r w:rsidRPr="00AD3492">
        <w:rPr>
          <w:rFonts w:ascii="Times New Roman" w:eastAsia="Batang" w:hAnsi="Times New Roman"/>
          <w:sz w:val="24"/>
          <w:szCs w:val="24"/>
        </w:rPr>
        <w:t>Number of individuals determined eligible who are applicable individuals and were deemed to have demonstrated community engagement by meeting a short-term hardship exception</w:t>
      </w:r>
    </w:p>
    <w:p w:rsidR="63E8D240" w:rsidRPr="00AD3492" w:rsidP="00793B69" w14:paraId="7AB1AD6C" w14:textId="43799226">
      <w:pPr>
        <w:pStyle w:val="ListParagraph"/>
        <w:spacing w:after="0" w:line="240" w:lineRule="auto"/>
        <w:ind w:left="288"/>
        <w:contextualSpacing w:val="0"/>
        <w:rPr>
          <w:rFonts w:ascii="Times New Roman" w:hAnsi="Times New Roman"/>
          <w:sz w:val="24"/>
          <w:szCs w:val="24"/>
        </w:rPr>
      </w:pPr>
    </w:p>
    <w:p w:rsidR="003B2FED" w:rsidRPr="00AD3492" w:rsidP="00793B69" w14:paraId="48C7CFF7" w14:textId="77777777">
      <w:pPr>
        <w:spacing w:after="0" w:line="240" w:lineRule="auto"/>
        <w:ind w:left="288"/>
        <w:rPr>
          <w:rFonts w:eastAsia="Batang" w:cs="Times New Roman"/>
          <w:szCs w:val="24"/>
        </w:rPr>
      </w:pPr>
      <w:r w:rsidRPr="00AD3492">
        <w:rPr>
          <w:rFonts w:eastAsia="Batang" w:cs="Times New Roman"/>
          <w:szCs w:val="24"/>
        </w:rPr>
        <w:t>Ineligible:</w:t>
      </w:r>
    </w:p>
    <w:p w:rsidR="003B2FED" w:rsidRPr="00AD3492" w:rsidP="00793B69" w14:paraId="34820E53" w14:textId="438D3D85">
      <w:pPr>
        <w:pStyle w:val="ListParagraph"/>
        <w:numPr>
          <w:ilvl w:val="0"/>
          <w:numId w:val="7"/>
        </w:numPr>
        <w:spacing w:after="0" w:line="240" w:lineRule="auto"/>
        <w:ind w:left="288" w:firstLine="0"/>
        <w:contextualSpacing w:val="0"/>
        <w:rPr>
          <w:rFonts w:ascii="Times New Roman" w:eastAsia="Batang" w:hAnsi="Times New Roman"/>
          <w:sz w:val="24"/>
          <w:szCs w:val="24"/>
        </w:rPr>
      </w:pPr>
      <w:r w:rsidRPr="00AD3492">
        <w:rPr>
          <w:rFonts w:ascii="Times New Roman" w:eastAsia="Batang" w:hAnsi="Times New Roman"/>
          <w:sz w:val="24"/>
          <w:szCs w:val="24"/>
        </w:rPr>
        <w:t>Number of individuals determined ineligible due to not meeting the community engagement requirement</w:t>
      </w:r>
    </w:p>
    <w:p w:rsidR="003B2FED" w:rsidRPr="00AD3492" w:rsidP="00793B69" w14:paraId="7C6C4696" w14:textId="1C7DEFCF">
      <w:pPr>
        <w:pStyle w:val="ListParagraph"/>
        <w:numPr>
          <w:ilvl w:val="0"/>
          <w:numId w:val="7"/>
        </w:numPr>
        <w:spacing w:after="0" w:line="240" w:lineRule="auto"/>
        <w:ind w:left="288" w:firstLine="0"/>
        <w:contextualSpacing w:val="0"/>
        <w:rPr>
          <w:rFonts w:ascii="Times New Roman" w:eastAsia="Batang" w:hAnsi="Times New Roman"/>
          <w:sz w:val="24"/>
          <w:szCs w:val="24"/>
        </w:rPr>
      </w:pPr>
      <w:r w:rsidRPr="00AD3492">
        <w:rPr>
          <w:rFonts w:ascii="Times New Roman" w:eastAsia="Batang" w:hAnsi="Times New Roman"/>
          <w:sz w:val="24"/>
          <w:szCs w:val="24"/>
        </w:rPr>
        <w:t>Number of individuals determined ineligible for procedural reasons</w:t>
      </w:r>
    </w:p>
    <w:p w:rsidR="003B2FED" w:rsidRPr="00AD3492" w:rsidP="00793B69" w14:paraId="60DCF0C9" w14:textId="26659F88">
      <w:pPr>
        <w:pStyle w:val="ListParagraph"/>
        <w:numPr>
          <w:ilvl w:val="0"/>
          <w:numId w:val="7"/>
        </w:numPr>
        <w:spacing w:after="0" w:line="240" w:lineRule="auto"/>
        <w:ind w:left="288" w:firstLine="0"/>
        <w:contextualSpacing w:val="0"/>
        <w:rPr>
          <w:rFonts w:ascii="Times New Roman" w:eastAsia="Batang" w:hAnsi="Times New Roman"/>
          <w:sz w:val="24"/>
          <w:szCs w:val="24"/>
        </w:rPr>
      </w:pPr>
      <w:r w:rsidRPr="00AD3492">
        <w:rPr>
          <w:rFonts w:ascii="Times New Roman" w:eastAsia="Batang" w:hAnsi="Times New Roman"/>
          <w:sz w:val="24"/>
          <w:szCs w:val="24"/>
        </w:rPr>
        <w:t>Number of individuals determined ineligible for all other reasons</w:t>
      </w:r>
    </w:p>
    <w:p w:rsidR="00AA37EC" w:rsidRPr="00E12568" w:rsidP="00793B69" w14:paraId="79F39027" w14:textId="7777777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Times New Roman"/>
          <w:szCs w:val="24"/>
        </w:rPr>
      </w:pPr>
    </w:p>
    <w:p w:rsidR="007D6E75" w:rsidP="00965F99" w14:paraId="79F39028" w14:textId="02ABA883">
      <w:pPr>
        <w:pStyle w:val="Heading1"/>
      </w:pPr>
      <w:r w:rsidRPr="000B2E30">
        <w:t>Deviations from Generic Request</w:t>
      </w:r>
    </w:p>
    <w:p w:rsidR="00D81259" w:rsidRPr="00D81259" w:rsidP="00793B69" w14:paraId="555F788C" w14:textId="77777777">
      <w:pPr>
        <w:spacing w:after="0" w:line="240" w:lineRule="auto"/>
      </w:pPr>
    </w:p>
    <w:p w:rsidR="007D6E75" w:rsidRPr="000B2E30" w:rsidP="00793B69" w14:paraId="79F39029" w14:textId="77777777">
      <w:pPr>
        <w:spacing w:after="0" w:line="240" w:lineRule="auto"/>
        <w:rPr>
          <w:rFonts w:cs="Times New Roman"/>
          <w:szCs w:val="24"/>
        </w:rPr>
      </w:pPr>
      <w:r w:rsidRPr="000B2E30">
        <w:rPr>
          <w:rFonts w:cs="Times New Roman"/>
          <w:szCs w:val="24"/>
        </w:rPr>
        <w:t>No deviations are requested.</w:t>
      </w:r>
    </w:p>
    <w:p w:rsidR="00D81259" w:rsidRPr="00D81259" w:rsidP="00793B69" w14:paraId="4D5FB607" w14:textId="77777777">
      <w:pPr>
        <w:spacing w:after="0" w:line="240" w:lineRule="auto"/>
      </w:pPr>
    </w:p>
    <w:p w:rsidR="007D6E75" w:rsidRPr="000920E0" w:rsidP="00965F99" w14:paraId="79F3902B" w14:textId="0E6C53ED">
      <w:pPr>
        <w:pStyle w:val="Heading1"/>
      </w:pPr>
      <w:r w:rsidRPr="000920E0">
        <w:t>Burden Hour Deduction</w:t>
      </w:r>
    </w:p>
    <w:p w:rsidR="00132C95" w:rsidRPr="00AD3492" w:rsidP="00793B69" w14:paraId="16516B0C" w14:textId="77777777">
      <w:pPr>
        <w:spacing w:after="0" w:line="240" w:lineRule="auto"/>
        <w:rPr>
          <w:rFonts w:cs="Times New Roman"/>
          <w:i/>
          <w:iCs/>
          <w:szCs w:val="24"/>
          <w:highlight w:val="yellow"/>
        </w:rPr>
      </w:pPr>
    </w:p>
    <w:p w:rsidR="00132C95" w:rsidP="00793B69" w14:paraId="4C845B50" w14:textId="58AE39BC">
      <w:pPr>
        <w:spacing w:after="0" w:line="240" w:lineRule="auto"/>
        <w:rPr>
          <w:rFonts w:cs="Times New Roman"/>
          <w:i/>
          <w:iCs/>
          <w:szCs w:val="24"/>
        </w:rPr>
      </w:pPr>
      <w:r w:rsidRPr="00EB43D7">
        <w:rPr>
          <w:rFonts w:cs="Times New Roman"/>
          <w:i/>
          <w:iCs/>
          <w:szCs w:val="24"/>
        </w:rPr>
        <w:t xml:space="preserve">Wage </w:t>
      </w:r>
      <w:r w:rsidRPr="00EB43D7" w:rsidR="00793B69">
        <w:rPr>
          <w:rFonts w:cs="Times New Roman"/>
          <w:i/>
          <w:iCs/>
          <w:szCs w:val="24"/>
        </w:rPr>
        <w:t>Data</w:t>
      </w:r>
    </w:p>
    <w:p w:rsidR="00793B69" w:rsidRPr="000B2E30" w:rsidP="00793B69" w14:paraId="762FA924" w14:textId="77777777">
      <w:pPr>
        <w:spacing w:after="0" w:line="240" w:lineRule="auto"/>
        <w:rPr>
          <w:rFonts w:cs="Times New Roman"/>
          <w:i/>
          <w:iCs/>
          <w:szCs w:val="24"/>
        </w:rPr>
      </w:pPr>
    </w:p>
    <w:p w:rsidR="00132C95" w:rsidRPr="000B2E30" w:rsidP="00793B69" w14:paraId="54839009" w14:textId="670A1602">
      <w:pPr>
        <w:spacing w:after="0" w:line="240" w:lineRule="auto"/>
        <w:rPr>
          <w:rFonts w:cs="Times New Roman"/>
          <w:szCs w:val="24"/>
        </w:rPr>
      </w:pPr>
      <w:r w:rsidRPr="00AC2214">
        <w:rPr>
          <w:rFonts w:cs="Times New Roman"/>
          <w:szCs w:val="24"/>
        </w:rPr>
        <w:t xml:space="preserve">To derive average costs, we used data from the U.S. Bureau of Labor Statistics’ </w:t>
      </w:r>
      <w:r w:rsidRPr="00C42C3D">
        <w:rPr>
          <w:rFonts w:cs="Times New Roman"/>
          <w:szCs w:val="24"/>
        </w:rPr>
        <w:t xml:space="preserve">May </w:t>
      </w:r>
      <w:r w:rsidRPr="00AC2214" w:rsidR="00635525">
        <w:rPr>
          <w:rFonts w:cs="Times New Roman"/>
          <w:szCs w:val="24"/>
        </w:rPr>
        <w:t>2025</w:t>
      </w:r>
      <w:r w:rsidRPr="000B2E30" w:rsidR="007442A9">
        <w:rPr>
          <w:rFonts w:cs="Times New Roman"/>
          <w:szCs w:val="24"/>
        </w:rPr>
        <w:t xml:space="preserve"> </w:t>
      </w:r>
      <w:r w:rsidRPr="000B2E30">
        <w:rPr>
          <w:rFonts w:cs="Times New Roman"/>
          <w:szCs w:val="24"/>
        </w:rPr>
        <w:t>National Occupational Employment and Wage Estimates for all salary estimates (</w:t>
      </w:r>
      <w:hyperlink r:id="rId11" w:history="1">
        <w:r w:rsidRPr="000B2E30">
          <w:rPr>
            <w:rStyle w:val="Hyperlink"/>
            <w:rFonts w:cs="Times New Roman"/>
            <w:szCs w:val="24"/>
          </w:rPr>
          <w:t>http://www.bls.gov/oes/current/oes_nat.htm</w:t>
        </w:r>
      </w:hyperlink>
      <w:r w:rsidRPr="000B2E30">
        <w:rPr>
          <w:rFonts w:cs="Times New Roman"/>
          <w:szCs w:val="24"/>
        </w:rPr>
        <w:t xml:space="preserve">). In this regard, the following table presents </w:t>
      </w:r>
      <w:r w:rsidR="00DE4E58">
        <w:rPr>
          <w:rFonts w:cs="Times New Roman"/>
          <w:szCs w:val="24"/>
        </w:rPr>
        <w:t xml:space="preserve">BLS’ </w:t>
      </w:r>
      <w:r w:rsidRPr="000B2E30">
        <w:rPr>
          <w:rFonts w:cs="Times New Roman"/>
          <w:szCs w:val="24"/>
        </w:rPr>
        <w:t xml:space="preserve">mean hourly wage, </w:t>
      </w:r>
      <w:r w:rsidR="00DE4E58">
        <w:rPr>
          <w:rFonts w:cs="Times New Roman"/>
          <w:szCs w:val="24"/>
        </w:rPr>
        <w:t xml:space="preserve">our estimated </w:t>
      </w:r>
      <w:r w:rsidRPr="000B2E30">
        <w:rPr>
          <w:rFonts w:cs="Times New Roman"/>
          <w:szCs w:val="24"/>
        </w:rPr>
        <w:t xml:space="preserve">cost of fringe benefits </w:t>
      </w:r>
      <w:r w:rsidR="00DE4E58">
        <w:rPr>
          <w:rFonts w:cs="Times New Roman"/>
          <w:szCs w:val="24"/>
        </w:rPr>
        <w:t xml:space="preserve">and other indirect costs </w:t>
      </w:r>
      <w:r w:rsidRPr="000B2E30">
        <w:rPr>
          <w:rFonts w:cs="Times New Roman"/>
          <w:szCs w:val="24"/>
        </w:rPr>
        <w:t xml:space="preserve">(calculated at 100 percent of salary), and </w:t>
      </w:r>
      <w:r w:rsidR="00DE4E58">
        <w:rPr>
          <w:rFonts w:cs="Times New Roman"/>
          <w:szCs w:val="24"/>
        </w:rPr>
        <w:t xml:space="preserve">our </w:t>
      </w:r>
      <w:r w:rsidRPr="000B2E30">
        <w:rPr>
          <w:rFonts w:cs="Times New Roman"/>
          <w:szCs w:val="24"/>
        </w:rPr>
        <w:t>adjusted hourly wage.</w:t>
      </w:r>
    </w:p>
    <w:p w:rsidR="00132C95" w:rsidRPr="000B2E30" w:rsidP="00793B69" w14:paraId="56398C40" w14:textId="77777777">
      <w:pPr>
        <w:spacing w:after="0" w:line="240" w:lineRule="auto"/>
        <w:rPr>
          <w:rFonts w:cs="Times New Roman"/>
          <w:i/>
          <w:iCs/>
          <w:szCs w:val="24"/>
          <w:highlight w:val="yellow"/>
        </w:rPr>
      </w:pPr>
    </w:p>
    <w:tbl>
      <w:tblPr>
        <w:tblW w:w="89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543"/>
        <w:gridCol w:w="1530"/>
        <w:gridCol w:w="1620"/>
        <w:gridCol w:w="1080"/>
        <w:gridCol w:w="2137"/>
      </w:tblGrid>
      <w:tr w14:paraId="6AB37906" w14:textId="77777777" w:rsidTr="00A163C2">
        <w:tblPrEx>
          <w:tblW w:w="89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800"/>
          <w:tblHeader/>
        </w:trPr>
        <w:tc>
          <w:tcPr>
            <w:tcW w:w="2543" w:type="dxa"/>
            <w:tcMar>
              <w:top w:w="0" w:type="dxa"/>
              <w:left w:w="108" w:type="dxa"/>
              <w:bottom w:w="0" w:type="dxa"/>
              <w:right w:w="108" w:type="dxa"/>
            </w:tcMar>
            <w:hideMark/>
          </w:tcPr>
          <w:p w:rsidR="00132C95" w:rsidRPr="00DE4E58" w:rsidP="00793B69" w14:paraId="78C64B10" w14:textId="77777777">
            <w:pPr>
              <w:spacing w:after="0" w:line="240" w:lineRule="auto"/>
              <w:rPr>
                <w:rFonts w:cs="Times New Roman"/>
                <w:sz w:val="20"/>
                <w:szCs w:val="20"/>
              </w:rPr>
            </w:pPr>
            <w:r w:rsidRPr="00DE4E58">
              <w:rPr>
                <w:rFonts w:cs="Times New Roman"/>
                <w:sz w:val="20"/>
                <w:szCs w:val="20"/>
              </w:rPr>
              <w:t>Occupation Title</w:t>
            </w:r>
          </w:p>
        </w:tc>
        <w:tc>
          <w:tcPr>
            <w:tcW w:w="1530" w:type="dxa"/>
            <w:tcMar>
              <w:top w:w="0" w:type="dxa"/>
              <w:left w:w="108" w:type="dxa"/>
              <w:bottom w:w="0" w:type="dxa"/>
              <w:right w:w="108" w:type="dxa"/>
            </w:tcMar>
            <w:hideMark/>
          </w:tcPr>
          <w:p w:rsidR="00132C95" w:rsidRPr="00DE4E58" w:rsidP="00793B69" w14:paraId="6A3AA084" w14:textId="77777777">
            <w:pPr>
              <w:spacing w:after="0" w:line="240" w:lineRule="auto"/>
              <w:rPr>
                <w:rFonts w:cs="Times New Roman"/>
                <w:sz w:val="20"/>
                <w:szCs w:val="20"/>
              </w:rPr>
            </w:pPr>
            <w:r w:rsidRPr="00DE4E58">
              <w:rPr>
                <w:rFonts w:cs="Times New Roman"/>
                <w:sz w:val="20"/>
                <w:szCs w:val="20"/>
              </w:rPr>
              <w:t>Occupation Code</w:t>
            </w:r>
          </w:p>
        </w:tc>
        <w:tc>
          <w:tcPr>
            <w:tcW w:w="1620" w:type="dxa"/>
            <w:tcMar>
              <w:top w:w="0" w:type="dxa"/>
              <w:left w:w="108" w:type="dxa"/>
              <w:bottom w:w="0" w:type="dxa"/>
              <w:right w:w="108" w:type="dxa"/>
            </w:tcMar>
            <w:hideMark/>
          </w:tcPr>
          <w:p w:rsidR="00132C95" w:rsidRPr="00DE4E58" w:rsidP="00A163C2" w14:paraId="662CE3F5" w14:textId="77777777">
            <w:pPr>
              <w:spacing w:after="0" w:line="240" w:lineRule="auto"/>
              <w:jc w:val="center"/>
              <w:rPr>
                <w:rFonts w:cs="Times New Roman"/>
                <w:sz w:val="20"/>
                <w:szCs w:val="20"/>
              </w:rPr>
            </w:pPr>
            <w:r w:rsidRPr="00DE4E58">
              <w:rPr>
                <w:rFonts w:cs="Times New Roman"/>
                <w:sz w:val="20"/>
                <w:szCs w:val="20"/>
              </w:rPr>
              <w:t>Mean Hourly Wage ($/hr)</w:t>
            </w:r>
          </w:p>
        </w:tc>
        <w:tc>
          <w:tcPr>
            <w:tcW w:w="1080" w:type="dxa"/>
            <w:tcMar>
              <w:top w:w="0" w:type="dxa"/>
              <w:left w:w="108" w:type="dxa"/>
              <w:bottom w:w="0" w:type="dxa"/>
              <w:right w:w="108" w:type="dxa"/>
            </w:tcMar>
            <w:hideMark/>
          </w:tcPr>
          <w:p w:rsidR="00132C95" w:rsidRPr="00DE4E58" w:rsidP="00A163C2" w14:paraId="63321F72" w14:textId="08FB4BAF">
            <w:pPr>
              <w:spacing w:after="0" w:line="240" w:lineRule="auto"/>
              <w:jc w:val="center"/>
              <w:rPr>
                <w:rFonts w:cs="Times New Roman"/>
                <w:sz w:val="20"/>
                <w:szCs w:val="20"/>
              </w:rPr>
            </w:pPr>
            <w:r w:rsidRPr="00DE4E58">
              <w:rPr>
                <w:rFonts w:cs="Times New Roman"/>
                <w:sz w:val="20"/>
                <w:szCs w:val="20"/>
              </w:rPr>
              <w:t>Fringe Benefit</w:t>
            </w:r>
            <w:r w:rsidR="00E57B74">
              <w:rPr>
                <w:rFonts w:cs="Times New Roman"/>
                <w:sz w:val="20"/>
                <w:szCs w:val="20"/>
              </w:rPr>
              <w:t>s</w:t>
            </w:r>
            <w:r w:rsidRPr="00DE4E58">
              <w:rPr>
                <w:rFonts w:cs="Times New Roman"/>
                <w:sz w:val="20"/>
                <w:szCs w:val="20"/>
              </w:rPr>
              <w:t xml:space="preserve"> ($/hr)</w:t>
            </w:r>
            <w:r w:rsidRPr="00DE4E58" w:rsidR="00DE4E58">
              <w:rPr>
                <w:rFonts w:cs="Times New Roman"/>
                <w:sz w:val="20"/>
                <w:szCs w:val="20"/>
              </w:rPr>
              <w:t xml:space="preserve"> and Other Indirect Costs</w:t>
            </w:r>
          </w:p>
        </w:tc>
        <w:tc>
          <w:tcPr>
            <w:tcW w:w="2137" w:type="dxa"/>
            <w:tcMar>
              <w:top w:w="0" w:type="dxa"/>
              <w:left w:w="108" w:type="dxa"/>
              <w:bottom w:w="0" w:type="dxa"/>
              <w:right w:w="108" w:type="dxa"/>
            </w:tcMar>
            <w:hideMark/>
          </w:tcPr>
          <w:p w:rsidR="00132C95" w:rsidRPr="00DE4E58" w:rsidP="00A163C2" w14:paraId="14ED3268" w14:textId="77777777">
            <w:pPr>
              <w:spacing w:after="0" w:line="240" w:lineRule="auto"/>
              <w:jc w:val="center"/>
              <w:rPr>
                <w:rFonts w:cs="Times New Roman"/>
                <w:sz w:val="20"/>
                <w:szCs w:val="20"/>
              </w:rPr>
            </w:pPr>
            <w:r w:rsidRPr="00DE4E58">
              <w:rPr>
                <w:rFonts w:cs="Times New Roman"/>
                <w:sz w:val="20"/>
                <w:szCs w:val="20"/>
              </w:rPr>
              <w:t>Adjusted Hourly Wage ($/hr)</w:t>
            </w:r>
          </w:p>
        </w:tc>
      </w:tr>
      <w:tr w14:paraId="142F40C5" w14:textId="77777777" w:rsidTr="00A163C2">
        <w:tblPrEx>
          <w:tblW w:w="8910" w:type="dxa"/>
          <w:tblInd w:w="-5" w:type="dxa"/>
          <w:tblCellMar>
            <w:left w:w="0" w:type="dxa"/>
            <w:right w:w="0" w:type="dxa"/>
          </w:tblCellMar>
          <w:tblLook w:val="04A0"/>
        </w:tblPrEx>
        <w:tc>
          <w:tcPr>
            <w:tcW w:w="2543" w:type="dxa"/>
            <w:tcMar>
              <w:top w:w="0" w:type="dxa"/>
              <w:left w:w="108" w:type="dxa"/>
              <w:bottom w:w="0" w:type="dxa"/>
              <w:right w:w="108" w:type="dxa"/>
            </w:tcMar>
            <w:hideMark/>
          </w:tcPr>
          <w:p w:rsidR="00132C95" w:rsidRPr="00DE4E58" w:rsidP="00793B69" w14:paraId="0236D2B2" w14:textId="77777777">
            <w:pPr>
              <w:spacing w:after="0" w:line="240" w:lineRule="auto"/>
              <w:rPr>
                <w:rFonts w:cs="Times New Roman"/>
                <w:sz w:val="20"/>
                <w:szCs w:val="20"/>
              </w:rPr>
            </w:pPr>
            <w:r w:rsidRPr="00DE4E58">
              <w:rPr>
                <w:rFonts w:cs="Times New Roman"/>
                <w:sz w:val="20"/>
                <w:szCs w:val="20"/>
              </w:rPr>
              <w:t>Computer and Information Analyst</w:t>
            </w:r>
          </w:p>
        </w:tc>
        <w:tc>
          <w:tcPr>
            <w:tcW w:w="1530" w:type="dxa"/>
            <w:tcMar>
              <w:top w:w="0" w:type="dxa"/>
              <w:left w:w="108" w:type="dxa"/>
              <w:bottom w:w="0" w:type="dxa"/>
              <w:right w:w="108" w:type="dxa"/>
            </w:tcMar>
            <w:hideMark/>
          </w:tcPr>
          <w:p w:rsidR="00132C95" w:rsidRPr="00DE4E58" w:rsidP="00793B69" w14:paraId="0C3D9F47" w14:textId="1B42E46B">
            <w:pPr>
              <w:spacing w:after="0" w:line="240" w:lineRule="auto"/>
              <w:rPr>
                <w:rFonts w:cs="Times New Roman"/>
                <w:sz w:val="20"/>
                <w:szCs w:val="20"/>
              </w:rPr>
            </w:pPr>
            <w:r w:rsidRPr="00DE4E58">
              <w:rPr>
                <w:rFonts w:cs="Times New Roman"/>
                <w:sz w:val="20"/>
                <w:szCs w:val="20"/>
              </w:rPr>
              <w:t>15-</w:t>
            </w:r>
            <w:r w:rsidRPr="00DE4E58" w:rsidR="007442A9">
              <w:rPr>
                <w:rFonts w:cs="Times New Roman"/>
                <w:sz w:val="20"/>
                <w:szCs w:val="20"/>
              </w:rPr>
              <w:t>1210</w:t>
            </w:r>
          </w:p>
        </w:tc>
        <w:tc>
          <w:tcPr>
            <w:tcW w:w="1620" w:type="dxa"/>
            <w:tcMar>
              <w:top w:w="0" w:type="dxa"/>
              <w:left w:w="108" w:type="dxa"/>
              <w:bottom w:w="0" w:type="dxa"/>
              <w:right w:w="108" w:type="dxa"/>
            </w:tcMar>
            <w:hideMark/>
          </w:tcPr>
          <w:p w:rsidR="00132C95" w:rsidRPr="00DE4E58" w:rsidP="00A163C2" w14:paraId="33142B81" w14:textId="2B931CD7">
            <w:pPr>
              <w:spacing w:after="0" w:line="240" w:lineRule="auto"/>
              <w:jc w:val="center"/>
              <w:rPr>
                <w:rFonts w:cs="Times New Roman"/>
                <w:sz w:val="20"/>
                <w:szCs w:val="20"/>
              </w:rPr>
            </w:pPr>
            <w:r>
              <w:rPr>
                <w:rFonts w:cs="Times New Roman"/>
                <w:sz w:val="20"/>
                <w:szCs w:val="20"/>
              </w:rPr>
              <w:t>57.41</w:t>
            </w:r>
          </w:p>
        </w:tc>
        <w:tc>
          <w:tcPr>
            <w:tcW w:w="1080" w:type="dxa"/>
            <w:tcMar>
              <w:top w:w="0" w:type="dxa"/>
              <w:left w:w="108" w:type="dxa"/>
              <w:bottom w:w="0" w:type="dxa"/>
              <w:right w:w="108" w:type="dxa"/>
            </w:tcMar>
            <w:hideMark/>
          </w:tcPr>
          <w:p w:rsidR="00132C95" w:rsidRPr="00DE4E58" w:rsidP="00A163C2" w14:paraId="27D5D3FD" w14:textId="45C63AA6">
            <w:pPr>
              <w:spacing w:after="0" w:line="240" w:lineRule="auto"/>
              <w:jc w:val="center"/>
              <w:rPr>
                <w:rFonts w:cs="Times New Roman"/>
                <w:sz w:val="20"/>
                <w:szCs w:val="20"/>
              </w:rPr>
            </w:pPr>
            <w:r>
              <w:rPr>
                <w:rFonts w:cs="Times New Roman"/>
                <w:sz w:val="20"/>
                <w:szCs w:val="20"/>
              </w:rPr>
              <w:t>57.41</w:t>
            </w:r>
          </w:p>
        </w:tc>
        <w:tc>
          <w:tcPr>
            <w:tcW w:w="2137" w:type="dxa"/>
            <w:tcMar>
              <w:top w:w="0" w:type="dxa"/>
              <w:left w:w="108" w:type="dxa"/>
              <w:bottom w:w="0" w:type="dxa"/>
              <w:right w:w="108" w:type="dxa"/>
            </w:tcMar>
            <w:hideMark/>
          </w:tcPr>
          <w:p w:rsidR="00132C95" w:rsidRPr="00DE4E58" w:rsidP="00A163C2" w14:paraId="51325D39" w14:textId="60C4C446">
            <w:pPr>
              <w:spacing w:after="0" w:line="240" w:lineRule="auto"/>
              <w:jc w:val="center"/>
              <w:rPr>
                <w:rFonts w:cs="Times New Roman"/>
                <w:sz w:val="20"/>
                <w:szCs w:val="20"/>
              </w:rPr>
            </w:pPr>
            <w:r w:rsidRPr="00635525">
              <w:rPr>
                <w:rFonts w:cs="Times New Roman"/>
                <w:sz w:val="20"/>
                <w:szCs w:val="20"/>
              </w:rPr>
              <w:t>114.82</w:t>
            </w:r>
          </w:p>
        </w:tc>
      </w:tr>
      <w:tr w14:paraId="14E95069" w14:textId="77777777" w:rsidTr="00A163C2">
        <w:tblPrEx>
          <w:tblW w:w="8910" w:type="dxa"/>
          <w:tblInd w:w="-5" w:type="dxa"/>
          <w:tblCellMar>
            <w:left w:w="0" w:type="dxa"/>
            <w:right w:w="0" w:type="dxa"/>
          </w:tblCellMar>
          <w:tblLook w:val="04A0"/>
        </w:tblPrEx>
        <w:trPr>
          <w:trHeight w:val="300"/>
        </w:trPr>
        <w:tc>
          <w:tcPr>
            <w:tcW w:w="2543" w:type="dxa"/>
            <w:tcMar>
              <w:top w:w="0" w:type="dxa"/>
              <w:left w:w="108" w:type="dxa"/>
              <w:bottom w:w="0" w:type="dxa"/>
              <w:right w:w="108" w:type="dxa"/>
            </w:tcMar>
            <w:hideMark/>
          </w:tcPr>
          <w:p w:rsidR="1695673B" w:rsidRPr="00DE4E58" w:rsidP="00793B69" w14:paraId="172C1D2D" w14:textId="6CB10629">
            <w:pPr>
              <w:keepNext/>
              <w:spacing w:after="0" w:line="240" w:lineRule="auto"/>
              <w:rPr>
                <w:rFonts w:cs="Times New Roman"/>
                <w:sz w:val="20"/>
                <w:szCs w:val="20"/>
              </w:rPr>
            </w:pPr>
            <w:r w:rsidRPr="00DE4E58">
              <w:rPr>
                <w:rFonts w:cs="Times New Roman"/>
                <w:sz w:val="20"/>
                <w:szCs w:val="20"/>
              </w:rPr>
              <w:t xml:space="preserve">General and Operations Managers </w:t>
            </w:r>
          </w:p>
        </w:tc>
        <w:tc>
          <w:tcPr>
            <w:tcW w:w="1530" w:type="dxa"/>
            <w:tcMar>
              <w:top w:w="0" w:type="dxa"/>
              <w:left w:w="108" w:type="dxa"/>
              <w:bottom w:w="0" w:type="dxa"/>
              <w:right w:w="108" w:type="dxa"/>
            </w:tcMar>
            <w:hideMark/>
          </w:tcPr>
          <w:p w:rsidR="1695673B" w:rsidRPr="00DE4E58" w:rsidP="00793B69" w14:paraId="38FA0E09" w14:textId="1A910257">
            <w:pPr>
              <w:keepNext/>
              <w:spacing w:after="0" w:line="240" w:lineRule="auto"/>
              <w:rPr>
                <w:rFonts w:cs="Times New Roman"/>
                <w:sz w:val="20"/>
                <w:szCs w:val="20"/>
              </w:rPr>
            </w:pPr>
            <w:r w:rsidRPr="00DE4E58">
              <w:rPr>
                <w:rFonts w:cs="Times New Roman"/>
                <w:sz w:val="20"/>
                <w:szCs w:val="20"/>
              </w:rPr>
              <w:t>11-1021</w:t>
            </w:r>
          </w:p>
        </w:tc>
        <w:tc>
          <w:tcPr>
            <w:tcW w:w="1620" w:type="dxa"/>
            <w:tcMar>
              <w:top w:w="0" w:type="dxa"/>
              <w:left w:w="108" w:type="dxa"/>
              <w:bottom w:w="0" w:type="dxa"/>
              <w:right w:w="108" w:type="dxa"/>
            </w:tcMar>
            <w:hideMark/>
          </w:tcPr>
          <w:p w:rsidR="1695673B" w:rsidRPr="00DE4E58" w:rsidP="00A163C2" w14:paraId="15D277C0" w14:textId="2649862A">
            <w:pPr>
              <w:keepNext/>
              <w:spacing w:after="0" w:line="240" w:lineRule="auto"/>
              <w:jc w:val="center"/>
              <w:rPr>
                <w:rFonts w:cs="Times New Roman"/>
                <w:sz w:val="20"/>
                <w:szCs w:val="20"/>
              </w:rPr>
            </w:pPr>
            <w:r w:rsidRPr="00DE4E58">
              <w:rPr>
                <w:rFonts w:cs="Times New Roman"/>
                <w:sz w:val="20"/>
                <w:szCs w:val="20"/>
              </w:rPr>
              <w:t>64.</w:t>
            </w:r>
            <w:r w:rsidR="00570731">
              <w:rPr>
                <w:rFonts w:cs="Times New Roman"/>
                <w:sz w:val="20"/>
                <w:szCs w:val="20"/>
              </w:rPr>
              <w:t>87</w:t>
            </w:r>
          </w:p>
        </w:tc>
        <w:tc>
          <w:tcPr>
            <w:tcW w:w="1080" w:type="dxa"/>
            <w:tcMar>
              <w:top w:w="0" w:type="dxa"/>
              <w:left w:w="108" w:type="dxa"/>
              <w:bottom w:w="0" w:type="dxa"/>
              <w:right w:w="108" w:type="dxa"/>
            </w:tcMar>
            <w:hideMark/>
          </w:tcPr>
          <w:p w:rsidR="1695673B" w:rsidRPr="00DE4E58" w:rsidP="00A163C2" w14:paraId="3B4F2E66" w14:textId="4BD11EEC">
            <w:pPr>
              <w:keepNext/>
              <w:spacing w:after="0" w:line="240" w:lineRule="auto"/>
              <w:jc w:val="center"/>
              <w:rPr>
                <w:rFonts w:cs="Times New Roman"/>
                <w:sz w:val="20"/>
                <w:szCs w:val="20"/>
              </w:rPr>
            </w:pPr>
            <w:r w:rsidRPr="00DE4E58">
              <w:rPr>
                <w:rFonts w:cs="Times New Roman"/>
                <w:sz w:val="20"/>
                <w:szCs w:val="20"/>
              </w:rPr>
              <w:t>64.</w:t>
            </w:r>
            <w:r w:rsidR="00570731">
              <w:rPr>
                <w:rFonts w:cs="Times New Roman"/>
                <w:sz w:val="20"/>
                <w:szCs w:val="20"/>
              </w:rPr>
              <w:t>87</w:t>
            </w:r>
          </w:p>
        </w:tc>
        <w:tc>
          <w:tcPr>
            <w:tcW w:w="2137" w:type="dxa"/>
            <w:tcMar>
              <w:top w:w="0" w:type="dxa"/>
              <w:left w:w="108" w:type="dxa"/>
              <w:bottom w:w="0" w:type="dxa"/>
              <w:right w:w="108" w:type="dxa"/>
            </w:tcMar>
            <w:hideMark/>
          </w:tcPr>
          <w:p w:rsidR="1695673B" w:rsidRPr="00DE4E58" w:rsidP="00A163C2" w14:paraId="0A3A2AC3" w14:textId="33E96823">
            <w:pPr>
              <w:keepNext/>
              <w:spacing w:after="0" w:line="240" w:lineRule="auto"/>
              <w:jc w:val="center"/>
              <w:rPr>
                <w:rFonts w:cs="Times New Roman"/>
                <w:sz w:val="20"/>
                <w:szCs w:val="20"/>
              </w:rPr>
            </w:pPr>
            <w:r>
              <w:rPr>
                <w:rFonts w:cs="Times New Roman"/>
                <w:sz w:val="20"/>
                <w:szCs w:val="20"/>
              </w:rPr>
              <w:t>129.74</w:t>
            </w:r>
          </w:p>
        </w:tc>
      </w:tr>
    </w:tbl>
    <w:p w:rsidR="00132C95" w:rsidRPr="00AD3492" w:rsidP="00793B69" w14:paraId="73D47452" w14:textId="77777777">
      <w:pPr>
        <w:spacing w:after="0" w:line="240" w:lineRule="auto"/>
        <w:rPr>
          <w:rFonts w:cs="Times New Roman"/>
          <w:szCs w:val="24"/>
          <w:highlight w:val="yellow"/>
        </w:rPr>
      </w:pPr>
    </w:p>
    <w:p w:rsidR="00132C95" w:rsidRPr="000B2E30" w:rsidP="00793B69" w14:paraId="387F54D1" w14:textId="21490EE4">
      <w:pPr>
        <w:spacing w:after="0" w:line="240" w:lineRule="auto"/>
        <w:rPr>
          <w:rFonts w:cs="Times New Roman"/>
          <w:szCs w:val="24"/>
        </w:rPr>
      </w:pPr>
      <w:r w:rsidRPr="000B2E30">
        <w:rPr>
          <w:rFonts w:cs="Times New Roman"/>
          <w:szCs w:val="24"/>
        </w:rPr>
        <w:t>As indicated, we are adjusting our employee hourly wage estimates by a factor of 100 percent. This is necessarily a rough adjustment, both because fringe benefits and o</w:t>
      </w:r>
      <w:r w:rsidR="00DE4E58">
        <w:rPr>
          <w:rFonts w:cs="Times New Roman"/>
          <w:szCs w:val="24"/>
        </w:rPr>
        <w:t xml:space="preserve">ther indirect costs </w:t>
      </w:r>
      <w:r w:rsidRPr="000B2E30">
        <w:rPr>
          <w:rFonts w:cs="Times New Roman"/>
          <w:szCs w:val="24"/>
        </w:rPr>
        <w:t xml:space="preserve">vary significantly from employer to employer and because methods for estimating these costs vary widely </w:t>
      </w:r>
      <w:r w:rsidR="00DC5308">
        <w:rPr>
          <w:rFonts w:cs="Times New Roman"/>
          <w:szCs w:val="24"/>
        </w:rPr>
        <w:t>from study to</w:t>
      </w:r>
      <w:r w:rsidRPr="000B2E30">
        <w:rPr>
          <w:rFonts w:cs="Times New Roman"/>
          <w:szCs w:val="24"/>
        </w:rPr>
        <w:t xml:space="preserve"> stud</w:t>
      </w:r>
      <w:r w:rsidR="00DC5308">
        <w:rPr>
          <w:rFonts w:cs="Times New Roman"/>
          <w:szCs w:val="24"/>
        </w:rPr>
        <w:t>y</w:t>
      </w:r>
      <w:r w:rsidRPr="000B2E30">
        <w:rPr>
          <w:rFonts w:cs="Times New Roman"/>
          <w:szCs w:val="24"/>
        </w:rPr>
        <w:t xml:space="preserve">. Nonetheless, </w:t>
      </w:r>
      <w:r w:rsidR="00DE4E58">
        <w:rPr>
          <w:rFonts w:cs="Times New Roman"/>
          <w:szCs w:val="24"/>
        </w:rPr>
        <w:t xml:space="preserve">we believe that </w:t>
      </w:r>
      <w:r w:rsidRPr="000B2E30">
        <w:rPr>
          <w:rFonts w:cs="Times New Roman"/>
          <w:szCs w:val="24"/>
        </w:rPr>
        <w:t>doubling the hourly wage to estimate the total cost is a reasonably accurate estimation method.</w:t>
      </w:r>
    </w:p>
    <w:p w:rsidR="0097778A" w:rsidP="00793B69" w14:paraId="0AA2C8AB" w14:textId="1EA8896F">
      <w:pPr>
        <w:spacing w:after="0" w:line="240" w:lineRule="auto"/>
        <w:rPr>
          <w:rFonts w:cs="Times New Roman"/>
          <w:szCs w:val="24"/>
        </w:rPr>
      </w:pPr>
    </w:p>
    <w:p w:rsidR="005E6510" w:rsidRPr="00DC5308" w:rsidP="005E6510" w14:paraId="24954781" w14:textId="77777777">
      <w:pPr>
        <w:spacing w:after="0" w:line="240" w:lineRule="auto"/>
        <w:rPr>
          <w:rFonts w:cs="Times New Roman"/>
          <w:szCs w:val="24"/>
        </w:rPr>
      </w:pPr>
      <w:r w:rsidRPr="00DC5308">
        <w:rPr>
          <w:rFonts w:cs="Times New Roman"/>
          <w:szCs w:val="24"/>
        </w:rPr>
        <w:t xml:space="preserve">To estimate the financial burden on States, it was important to consider the Federal government’s contribution to the cost of administering the Medicaid program.  For Medicaid, all States receive a 50 percent Federal matching rate for most administration expenditures.  States also receive higher Federal matching rates of 90 percent for design, development, and implementation and 75 percent for operations and maintenance of Medicaid IT systems.  After </w:t>
      </w:r>
      <w:r w:rsidRPr="00DC5308">
        <w:rPr>
          <w:rFonts w:cs="Times New Roman"/>
          <w:szCs w:val="24"/>
        </w:rPr>
        <w:t>taking into account</w:t>
      </w:r>
      <w:r w:rsidRPr="00DC5308">
        <w:rPr>
          <w:rFonts w:cs="Times New Roman"/>
          <w:szCs w:val="24"/>
        </w:rPr>
        <w:t xml:space="preserve"> the Federal contribution to the costs of administering the Medicaid programs for purposes of estimating State burden for collection of information we are estimating that States will contribute 25 percent of the costs.</w:t>
      </w:r>
    </w:p>
    <w:p w:rsidR="005E6510" w:rsidRPr="000B2E30" w:rsidP="00793B69" w14:paraId="2E844D46" w14:textId="77777777">
      <w:pPr>
        <w:spacing w:after="0" w:line="240" w:lineRule="auto"/>
        <w:rPr>
          <w:rFonts w:cs="Times New Roman"/>
          <w:szCs w:val="24"/>
        </w:rPr>
      </w:pPr>
    </w:p>
    <w:p w:rsidR="002A7437" w:rsidP="00793B69" w14:paraId="49B3F552" w14:textId="02C8D6B5">
      <w:pPr>
        <w:spacing w:after="0" w:line="240" w:lineRule="auto"/>
        <w:rPr>
          <w:rFonts w:cs="Times New Roman"/>
          <w:i/>
          <w:iCs/>
          <w:szCs w:val="24"/>
        </w:rPr>
      </w:pPr>
      <w:r w:rsidRPr="009D2E75">
        <w:rPr>
          <w:rFonts w:cs="Times New Roman"/>
          <w:i/>
          <w:iCs/>
          <w:szCs w:val="24"/>
        </w:rPr>
        <w:t xml:space="preserve">Collection of Information Requirements and Associated </w:t>
      </w:r>
      <w:r w:rsidRPr="009D2E75" w:rsidR="4A08275F">
        <w:rPr>
          <w:rFonts w:cs="Times New Roman"/>
          <w:i/>
          <w:iCs/>
          <w:szCs w:val="24"/>
        </w:rPr>
        <w:t>Burden Estimates</w:t>
      </w:r>
    </w:p>
    <w:p w:rsidR="00DC5308" w:rsidRPr="00DC5308" w:rsidP="00793B69" w14:paraId="16A7001C" w14:textId="77777777">
      <w:pPr>
        <w:spacing w:after="0" w:line="240" w:lineRule="auto"/>
        <w:rPr>
          <w:rFonts w:cs="Times New Roman"/>
          <w:szCs w:val="24"/>
        </w:rPr>
      </w:pPr>
    </w:p>
    <w:p w:rsidR="00DC5308" w:rsidRPr="00DC5308" w:rsidP="00793B69" w14:paraId="05F8A7E5" w14:textId="7E072465">
      <w:pPr>
        <w:spacing w:after="0" w:line="240" w:lineRule="auto"/>
        <w:rPr>
          <w:rFonts w:cs="Times New Roman"/>
          <w:szCs w:val="24"/>
        </w:rPr>
      </w:pPr>
      <w:r w:rsidRPr="00DC5308">
        <w:rPr>
          <w:rFonts w:cs="Times New Roman"/>
          <w:szCs w:val="24"/>
        </w:rPr>
        <w:t>The burden associated with the PI data consists of the time and effort for the state to pull and analyze data for accuracy and completeness and to submit the data through the designated reporting mechanism.  There are 51 jurisdictions who submit the PI Data Report.</w:t>
      </w:r>
    </w:p>
    <w:p w:rsidR="00DC5308" w:rsidRPr="00DD7DC4" w:rsidP="00793B69" w14:paraId="2F4DB25E" w14:textId="77777777">
      <w:pPr>
        <w:spacing w:after="0" w:line="240" w:lineRule="auto"/>
        <w:rPr>
          <w:rFonts w:cs="Times New Roman"/>
          <w:szCs w:val="24"/>
        </w:rPr>
      </w:pPr>
    </w:p>
    <w:p w:rsidR="00DC5308" w:rsidRPr="00DC5308" w:rsidP="00793B69" w14:paraId="52C08023" w14:textId="4EDE0A5A">
      <w:pPr>
        <w:spacing w:after="0" w:line="240" w:lineRule="auto"/>
        <w:rPr>
          <w:rFonts w:cs="Times New Roman"/>
          <w:szCs w:val="24"/>
        </w:rPr>
      </w:pPr>
      <w:r w:rsidRPr="00DD7DC4">
        <w:rPr>
          <w:rFonts w:cs="Times New Roman"/>
          <w:szCs w:val="24"/>
        </w:rPr>
        <w:t xml:space="preserve">CMS estimates that 51 jurisdictions will pull the data monthly and report it to CMS for a </w:t>
      </w:r>
      <w:r w:rsidRPr="00DC5308">
        <w:rPr>
          <w:rFonts w:cs="Times New Roman"/>
          <w:szCs w:val="24"/>
        </w:rPr>
        <w:t xml:space="preserve">total of 1,224 responses </w:t>
      </w:r>
      <w:r w:rsidR="002B0883">
        <w:rPr>
          <w:rFonts w:cs="Times New Roman"/>
          <w:szCs w:val="24"/>
        </w:rPr>
        <w:t xml:space="preserve">per year </w:t>
      </w:r>
      <w:r w:rsidRPr="00DC5308">
        <w:rPr>
          <w:rFonts w:cs="Times New Roman"/>
          <w:szCs w:val="24"/>
        </w:rPr>
        <w:t>(51 jurisdictions x 12 months x 2 responses</w:t>
      </w:r>
      <w:r w:rsidR="00DA129F">
        <w:rPr>
          <w:rFonts w:cs="Times New Roman"/>
          <w:szCs w:val="24"/>
        </w:rPr>
        <w:t>/month</w:t>
      </w:r>
      <w:r w:rsidRPr="00DC5308">
        <w:rPr>
          <w:rFonts w:cs="Times New Roman"/>
          <w:szCs w:val="24"/>
        </w:rPr>
        <w:t>).  CMS estimates it will take a Computer and Information Analyst 15 hours  at $</w:t>
      </w:r>
      <w:r w:rsidR="000D477A">
        <w:rPr>
          <w:rFonts w:cs="Times New Roman"/>
          <w:szCs w:val="24"/>
        </w:rPr>
        <w:t>114.82</w:t>
      </w:r>
      <w:r w:rsidRPr="00DC5308">
        <w:rPr>
          <w:rFonts w:cs="Times New Roman"/>
          <w:szCs w:val="24"/>
        </w:rPr>
        <w:t>/hr to review existing eligibility and enrollment data and organize these data appropriately to submit to CMS.  In total, we estimate a</w:t>
      </w:r>
      <w:r w:rsidR="00DE0042">
        <w:rPr>
          <w:rFonts w:cs="Times New Roman"/>
          <w:szCs w:val="24"/>
        </w:rPr>
        <w:t>n</w:t>
      </w:r>
      <w:r w:rsidRPr="00DC5308">
        <w:rPr>
          <w:rFonts w:cs="Times New Roman"/>
          <w:szCs w:val="24"/>
        </w:rPr>
        <w:t xml:space="preserve"> annual </w:t>
      </w:r>
      <w:r w:rsidR="000033D0">
        <w:rPr>
          <w:rFonts w:cs="Times New Roman"/>
          <w:szCs w:val="24"/>
        </w:rPr>
        <w:t xml:space="preserve">burden of </w:t>
      </w:r>
      <w:r w:rsidRPr="000033D0" w:rsidR="000033D0">
        <w:rPr>
          <w:rFonts w:cs="Times New Roman"/>
          <w:szCs w:val="24"/>
        </w:rPr>
        <w:t xml:space="preserve">18,360 </w:t>
      </w:r>
      <w:r w:rsidR="000033D0">
        <w:rPr>
          <w:rFonts w:cs="Times New Roman"/>
          <w:szCs w:val="24"/>
        </w:rPr>
        <w:t>hr</w:t>
      </w:r>
      <w:r w:rsidR="00CE342B">
        <w:rPr>
          <w:rFonts w:cs="Times New Roman"/>
          <w:szCs w:val="24"/>
        </w:rPr>
        <w:t xml:space="preserve"> </w:t>
      </w:r>
      <w:r w:rsidR="000033D0">
        <w:rPr>
          <w:rFonts w:cs="Times New Roman"/>
          <w:szCs w:val="24"/>
        </w:rPr>
        <w:t>(</w:t>
      </w:r>
      <w:r w:rsidRPr="00DC5308" w:rsidR="000033D0">
        <w:rPr>
          <w:rFonts w:cs="Times New Roman"/>
          <w:szCs w:val="24"/>
        </w:rPr>
        <w:t xml:space="preserve">1,224 responses </w:t>
      </w:r>
      <w:r w:rsidR="000033D0">
        <w:rPr>
          <w:rFonts w:cs="Times New Roman"/>
          <w:szCs w:val="24"/>
        </w:rPr>
        <w:t xml:space="preserve">x 15 hr/response) at a </w:t>
      </w:r>
      <w:r w:rsidRPr="00DC5308">
        <w:rPr>
          <w:rFonts w:cs="Times New Roman"/>
          <w:szCs w:val="24"/>
        </w:rPr>
        <w:t>cost of $</w:t>
      </w:r>
      <w:r w:rsidRPr="000033D0" w:rsidR="000033D0">
        <w:rPr>
          <w:rFonts w:cs="Times New Roman"/>
          <w:szCs w:val="24"/>
        </w:rPr>
        <w:t>2,108,095</w:t>
      </w:r>
      <w:r w:rsidRPr="00DC5308">
        <w:rPr>
          <w:rFonts w:cs="Times New Roman"/>
          <w:szCs w:val="24"/>
        </w:rPr>
        <w:t xml:space="preserve"> (</w:t>
      </w:r>
      <w:r w:rsidRPr="000033D0" w:rsidR="000033D0">
        <w:rPr>
          <w:rFonts w:cs="Times New Roman"/>
          <w:szCs w:val="24"/>
        </w:rPr>
        <w:t>18,360</w:t>
      </w:r>
      <w:r w:rsidRPr="00DC5308">
        <w:rPr>
          <w:rFonts w:cs="Times New Roman"/>
          <w:szCs w:val="24"/>
        </w:rPr>
        <w:t xml:space="preserve"> h</w:t>
      </w:r>
      <w:r w:rsidR="000033D0">
        <w:rPr>
          <w:rFonts w:cs="Times New Roman"/>
          <w:szCs w:val="24"/>
        </w:rPr>
        <w:t>r</w:t>
      </w:r>
      <w:r w:rsidRPr="00DC5308">
        <w:rPr>
          <w:rFonts w:cs="Times New Roman"/>
          <w:szCs w:val="24"/>
        </w:rPr>
        <w:t xml:space="preserve"> x $</w:t>
      </w:r>
      <w:r w:rsidR="000D477A">
        <w:rPr>
          <w:rFonts w:cs="Times New Roman"/>
          <w:szCs w:val="24"/>
        </w:rPr>
        <w:t>114.82</w:t>
      </w:r>
      <w:r w:rsidRPr="00DC5308">
        <w:rPr>
          <w:rFonts w:cs="Times New Roman"/>
          <w:szCs w:val="24"/>
        </w:rPr>
        <w:t>/hr). Assuming a Federal administrative match of 75%, the estimated State share is $</w:t>
      </w:r>
      <w:r w:rsidRPr="00F520C8" w:rsidR="00F520C8">
        <w:rPr>
          <w:rFonts w:cs="Times New Roman"/>
          <w:szCs w:val="24"/>
        </w:rPr>
        <w:t>527,02</w:t>
      </w:r>
      <w:r w:rsidR="00291705">
        <w:rPr>
          <w:rFonts w:cs="Times New Roman"/>
          <w:szCs w:val="24"/>
        </w:rPr>
        <w:t>4</w:t>
      </w:r>
      <w:r w:rsidR="00F520C8">
        <w:rPr>
          <w:rFonts w:cs="Times New Roman"/>
          <w:szCs w:val="24"/>
        </w:rPr>
        <w:t xml:space="preserve"> (</w:t>
      </w:r>
      <w:r w:rsidRPr="00DC5308" w:rsidR="00F520C8">
        <w:rPr>
          <w:rFonts w:cs="Times New Roman"/>
          <w:szCs w:val="24"/>
        </w:rPr>
        <w:t>$</w:t>
      </w:r>
      <w:r w:rsidRPr="000033D0" w:rsidR="00F520C8">
        <w:rPr>
          <w:rFonts w:cs="Times New Roman"/>
          <w:szCs w:val="24"/>
        </w:rPr>
        <w:t>2,108,095</w:t>
      </w:r>
      <w:r w:rsidR="00F520C8">
        <w:rPr>
          <w:rFonts w:cs="Times New Roman"/>
          <w:szCs w:val="24"/>
        </w:rPr>
        <w:t xml:space="preserve"> x 0.25)</w:t>
      </w:r>
      <w:r w:rsidRPr="00DC5308">
        <w:rPr>
          <w:rFonts w:cs="Times New Roman"/>
          <w:szCs w:val="24"/>
        </w:rPr>
        <w:t>.</w:t>
      </w:r>
    </w:p>
    <w:p w:rsidR="00FE4FF0" w:rsidP="00793B69" w14:paraId="623417FC" w14:textId="77777777">
      <w:pPr>
        <w:spacing w:after="0" w:line="240" w:lineRule="auto"/>
        <w:rPr>
          <w:rFonts w:cs="Times New Roman"/>
          <w:szCs w:val="24"/>
        </w:rPr>
        <w:sectPr w:rsidSect="007D6E75">
          <w:pgSz w:w="12240" w:h="15840" w:code="1"/>
          <w:pgMar w:top="1440" w:right="1440" w:bottom="1440" w:left="1440" w:header="720" w:footer="720" w:gutter="0"/>
          <w:cols w:space="720"/>
          <w:docGrid w:linePitch="360"/>
        </w:sectPr>
      </w:pPr>
    </w:p>
    <w:p w:rsidR="000702B0" w:rsidP="00793B69" w14:paraId="6070B06A" w14:textId="77777777">
      <w:pPr>
        <w:spacing w:after="0" w:line="240" w:lineRule="auto"/>
        <w:rPr>
          <w:rFonts w:cs="Times New Roman"/>
          <w:szCs w:val="24"/>
        </w:rPr>
      </w:pPr>
    </w:p>
    <w:tbl>
      <w:tblPr>
        <w:tblStyle w:val="TableGrid"/>
        <w:tblW w:w="10800" w:type="dxa"/>
        <w:tblInd w:w="-185" w:type="dxa"/>
        <w:tblLayout w:type="fixed"/>
        <w:tblLook w:val="04A0"/>
      </w:tblPr>
      <w:tblGrid>
        <w:gridCol w:w="1403"/>
        <w:gridCol w:w="1429"/>
        <w:gridCol w:w="1154"/>
        <w:gridCol w:w="1182"/>
        <w:gridCol w:w="1252"/>
        <w:gridCol w:w="969"/>
        <w:gridCol w:w="1137"/>
        <w:gridCol w:w="1137"/>
        <w:gridCol w:w="1137"/>
      </w:tblGrid>
      <w:tr w14:paraId="701B0080" w14:textId="77777777" w:rsidTr="00465B89">
        <w:tblPrEx>
          <w:tblW w:w="10800" w:type="dxa"/>
          <w:tblInd w:w="-185" w:type="dxa"/>
          <w:tblLayout w:type="fixed"/>
          <w:tblLook w:val="04A0"/>
        </w:tblPrEx>
        <w:tc>
          <w:tcPr>
            <w:tcW w:w="1560" w:type="dxa"/>
            <w:tcBorders>
              <w:top w:val="single" w:sz="4" w:space="0" w:color="auto"/>
              <w:left w:val="single" w:sz="4" w:space="0" w:color="auto"/>
              <w:bottom w:val="single" w:sz="4" w:space="0" w:color="auto"/>
              <w:right w:val="single" w:sz="4" w:space="0" w:color="auto"/>
            </w:tcBorders>
            <w:hideMark/>
          </w:tcPr>
          <w:p w:rsidR="00BA1B63" w:rsidRPr="00DE4E58" w:rsidP="009F0A9A" w14:paraId="00F522D1" w14:textId="77777777">
            <w:pPr>
              <w:rPr>
                <w:rFonts w:cs="Times New Roman"/>
                <w:bCs/>
                <w:sz w:val="20"/>
                <w:szCs w:val="20"/>
              </w:rPr>
            </w:pPr>
            <w:r w:rsidRPr="00DE4E58">
              <w:rPr>
                <w:rFonts w:cs="Times New Roman"/>
                <w:bCs/>
                <w:sz w:val="20"/>
                <w:szCs w:val="20"/>
              </w:rPr>
              <w:t>Requirements</w:t>
            </w:r>
          </w:p>
        </w:tc>
        <w:tc>
          <w:tcPr>
            <w:tcW w:w="1590" w:type="dxa"/>
            <w:tcBorders>
              <w:top w:val="single" w:sz="4" w:space="0" w:color="auto"/>
              <w:left w:val="single" w:sz="4" w:space="0" w:color="auto"/>
              <w:bottom w:val="single" w:sz="4" w:space="0" w:color="auto"/>
              <w:right w:val="single" w:sz="4" w:space="0" w:color="auto"/>
            </w:tcBorders>
            <w:hideMark/>
          </w:tcPr>
          <w:p w:rsidR="00BA1B63" w:rsidRPr="00DE4E58" w:rsidP="009F0A9A" w14:paraId="57455642" w14:textId="77777777">
            <w:pPr>
              <w:rPr>
                <w:rFonts w:cs="Times New Roman"/>
                <w:bCs/>
                <w:sz w:val="20"/>
                <w:szCs w:val="20"/>
              </w:rPr>
            </w:pPr>
            <w:r w:rsidRPr="00DE4E58">
              <w:rPr>
                <w:rFonts w:cs="Times New Roman"/>
                <w:bCs/>
                <w:sz w:val="20"/>
                <w:szCs w:val="20"/>
              </w:rPr>
              <w:t>Number of Respondents</w:t>
            </w:r>
          </w:p>
        </w:tc>
        <w:tc>
          <w:tcPr>
            <w:tcW w:w="1278" w:type="dxa"/>
            <w:tcBorders>
              <w:top w:val="single" w:sz="4" w:space="0" w:color="auto"/>
              <w:left w:val="single" w:sz="4" w:space="0" w:color="auto"/>
              <w:bottom w:val="single" w:sz="4" w:space="0" w:color="auto"/>
              <w:right w:val="single" w:sz="4" w:space="0" w:color="auto"/>
            </w:tcBorders>
            <w:hideMark/>
          </w:tcPr>
          <w:p w:rsidR="00BA1B63" w:rsidRPr="00DE4E58" w:rsidP="009F0A9A" w14:paraId="1A0B13DF" w14:textId="77777777">
            <w:pPr>
              <w:rPr>
                <w:rFonts w:cs="Times New Roman"/>
                <w:bCs/>
                <w:sz w:val="20"/>
                <w:szCs w:val="20"/>
              </w:rPr>
            </w:pPr>
            <w:r w:rsidRPr="00DE4E58">
              <w:rPr>
                <w:rFonts w:cs="Times New Roman"/>
                <w:bCs/>
                <w:sz w:val="20"/>
                <w:szCs w:val="20"/>
              </w:rPr>
              <w:t>Total Number of Responses</w:t>
            </w:r>
          </w:p>
        </w:tc>
        <w:tc>
          <w:tcPr>
            <w:tcW w:w="1309" w:type="dxa"/>
            <w:tcBorders>
              <w:top w:val="single" w:sz="4" w:space="0" w:color="auto"/>
              <w:left w:val="single" w:sz="4" w:space="0" w:color="auto"/>
              <w:bottom w:val="single" w:sz="4" w:space="0" w:color="auto"/>
              <w:right w:val="single" w:sz="4" w:space="0" w:color="auto"/>
            </w:tcBorders>
            <w:hideMark/>
          </w:tcPr>
          <w:p w:rsidR="00BA1B63" w:rsidRPr="00DE4E58" w:rsidP="009F0A9A" w14:paraId="3606148D" w14:textId="77777777">
            <w:pPr>
              <w:rPr>
                <w:rFonts w:cs="Times New Roman"/>
                <w:bCs/>
                <w:sz w:val="20"/>
                <w:szCs w:val="20"/>
              </w:rPr>
            </w:pPr>
            <w:r w:rsidRPr="00DE4E58">
              <w:rPr>
                <w:rFonts w:cs="Times New Roman"/>
                <w:bCs/>
                <w:sz w:val="20"/>
                <w:szCs w:val="20"/>
              </w:rPr>
              <w:t>Time per Response (hours)</w:t>
            </w:r>
          </w:p>
        </w:tc>
        <w:tc>
          <w:tcPr>
            <w:tcW w:w="1389" w:type="dxa"/>
            <w:tcBorders>
              <w:top w:val="single" w:sz="4" w:space="0" w:color="auto"/>
              <w:left w:val="single" w:sz="4" w:space="0" w:color="auto"/>
              <w:bottom w:val="single" w:sz="4" w:space="0" w:color="auto"/>
              <w:right w:val="single" w:sz="4" w:space="0" w:color="auto"/>
            </w:tcBorders>
            <w:hideMark/>
          </w:tcPr>
          <w:p w:rsidR="00BA1B63" w:rsidRPr="00DE4E58" w:rsidP="009F0A9A" w14:paraId="224F2417" w14:textId="77777777">
            <w:pPr>
              <w:rPr>
                <w:rFonts w:cs="Times New Roman"/>
                <w:bCs/>
                <w:sz w:val="20"/>
                <w:szCs w:val="20"/>
              </w:rPr>
            </w:pPr>
            <w:r w:rsidRPr="00DE4E58">
              <w:rPr>
                <w:rFonts w:cs="Times New Roman"/>
                <w:bCs/>
                <w:sz w:val="20"/>
                <w:szCs w:val="20"/>
              </w:rPr>
              <w:t>Total Time (hours)</w:t>
            </w:r>
          </w:p>
        </w:tc>
        <w:tc>
          <w:tcPr>
            <w:tcW w:w="1068" w:type="dxa"/>
            <w:tcBorders>
              <w:top w:val="single" w:sz="4" w:space="0" w:color="auto"/>
              <w:left w:val="single" w:sz="4" w:space="0" w:color="auto"/>
              <w:bottom w:val="single" w:sz="4" w:space="0" w:color="auto"/>
              <w:right w:val="single" w:sz="4" w:space="0" w:color="auto"/>
            </w:tcBorders>
            <w:hideMark/>
          </w:tcPr>
          <w:p w:rsidR="00BA1B63" w:rsidRPr="00DE4E58" w:rsidP="009F0A9A" w14:paraId="5128490A" w14:textId="77777777">
            <w:pPr>
              <w:rPr>
                <w:rFonts w:cs="Times New Roman"/>
                <w:bCs/>
                <w:sz w:val="20"/>
                <w:szCs w:val="20"/>
              </w:rPr>
            </w:pPr>
            <w:r w:rsidRPr="00DE4E58">
              <w:rPr>
                <w:rFonts w:cs="Times New Roman"/>
                <w:bCs/>
                <w:sz w:val="20"/>
                <w:szCs w:val="20"/>
              </w:rPr>
              <w:t>Labor Rate ($/hr)</w:t>
            </w:r>
          </w:p>
        </w:tc>
        <w:tc>
          <w:tcPr>
            <w:tcW w:w="1258" w:type="dxa"/>
            <w:tcBorders>
              <w:top w:val="single" w:sz="4" w:space="0" w:color="auto"/>
              <w:left w:val="single" w:sz="4" w:space="0" w:color="auto"/>
              <w:bottom w:val="single" w:sz="4" w:space="0" w:color="auto"/>
              <w:right w:val="single" w:sz="4" w:space="0" w:color="auto"/>
            </w:tcBorders>
            <w:hideMark/>
          </w:tcPr>
          <w:p w:rsidR="00BA1B63" w:rsidRPr="00DE4E58" w:rsidP="009F0A9A" w14:paraId="1186F7CD" w14:textId="77777777">
            <w:pPr>
              <w:rPr>
                <w:rFonts w:cs="Times New Roman"/>
                <w:bCs/>
                <w:sz w:val="20"/>
                <w:szCs w:val="20"/>
              </w:rPr>
            </w:pPr>
            <w:r w:rsidRPr="00DE4E58">
              <w:rPr>
                <w:rFonts w:cs="Times New Roman"/>
                <w:bCs/>
                <w:sz w:val="20"/>
                <w:szCs w:val="20"/>
              </w:rPr>
              <w:t>Total Cost ($)</w:t>
            </w:r>
          </w:p>
        </w:tc>
        <w:tc>
          <w:tcPr>
            <w:tcW w:w="1258" w:type="dxa"/>
            <w:tcBorders>
              <w:top w:val="single" w:sz="4" w:space="0" w:color="auto"/>
              <w:left w:val="single" w:sz="4" w:space="0" w:color="auto"/>
              <w:bottom w:val="single" w:sz="4" w:space="0" w:color="auto"/>
              <w:right w:val="single" w:sz="4" w:space="0" w:color="auto"/>
            </w:tcBorders>
          </w:tcPr>
          <w:p w:rsidR="00BA1B63" w:rsidRPr="00DE4E58" w:rsidP="009F0A9A" w14:paraId="01DD2DEC" w14:textId="77777777">
            <w:pPr>
              <w:rPr>
                <w:rFonts w:cs="Times New Roman"/>
                <w:bCs/>
                <w:sz w:val="20"/>
                <w:szCs w:val="20"/>
              </w:rPr>
            </w:pPr>
            <w:r>
              <w:rPr>
                <w:rFonts w:cs="Times New Roman"/>
                <w:bCs/>
                <w:sz w:val="20"/>
                <w:szCs w:val="20"/>
              </w:rPr>
              <w:t xml:space="preserve">Federal Match </w:t>
            </w:r>
            <w:r w:rsidRPr="00DE4E58">
              <w:rPr>
                <w:rFonts w:cs="Times New Roman"/>
                <w:bCs/>
                <w:sz w:val="20"/>
                <w:szCs w:val="20"/>
              </w:rPr>
              <w:t>($)</w:t>
            </w:r>
          </w:p>
        </w:tc>
        <w:tc>
          <w:tcPr>
            <w:tcW w:w="1258" w:type="dxa"/>
            <w:tcBorders>
              <w:top w:val="single" w:sz="4" w:space="0" w:color="auto"/>
              <w:left w:val="single" w:sz="4" w:space="0" w:color="auto"/>
              <w:bottom w:val="single" w:sz="4" w:space="0" w:color="auto"/>
              <w:right w:val="single" w:sz="4" w:space="0" w:color="auto"/>
            </w:tcBorders>
            <w:hideMark/>
          </w:tcPr>
          <w:p w:rsidR="00BA1B63" w:rsidRPr="00DE4E58" w:rsidP="009F0A9A" w14:paraId="1D375DED" w14:textId="77777777">
            <w:pPr>
              <w:rPr>
                <w:rFonts w:cs="Times New Roman"/>
                <w:bCs/>
                <w:sz w:val="20"/>
                <w:szCs w:val="20"/>
              </w:rPr>
            </w:pPr>
            <w:r w:rsidRPr="00DE4E58">
              <w:rPr>
                <w:rFonts w:cs="Times New Roman"/>
                <w:bCs/>
                <w:sz w:val="20"/>
                <w:szCs w:val="20"/>
              </w:rPr>
              <w:t>State Share ($)</w:t>
            </w:r>
          </w:p>
        </w:tc>
      </w:tr>
      <w:tr w14:paraId="224FCD2B" w14:textId="77777777" w:rsidTr="00465B89">
        <w:tblPrEx>
          <w:tblW w:w="10800" w:type="dxa"/>
          <w:tblInd w:w="-185" w:type="dxa"/>
          <w:tblLayout w:type="fixed"/>
          <w:tblLook w:val="04A0"/>
        </w:tblPrEx>
        <w:tc>
          <w:tcPr>
            <w:tcW w:w="1560" w:type="dxa"/>
            <w:tcBorders>
              <w:top w:val="single" w:sz="4" w:space="0" w:color="auto"/>
              <w:left w:val="single" w:sz="4" w:space="0" w:color="auto"/>
              <w:bottom w:val="single" w:sz="4" w:space="0" w:color="auto"/>
              <w:right w:val="single" w:sz="4" w:space="0" w:color="auto"/>
            </w:tcBorders>
            <w:vAlign w:val="bottom"/>
            <w:hideMark/>
          </w:tcPr>
          <w:p w:rsidR="00BA1B63" w:rsidRPr="00DE4E58" w:rsidP="009F0A9A" w14:paraId="56EF1035" w14:textId="77777777">
            <w:pPr>
              <w:rPr>
                <w:rFonts w:cs="Times New Roman"/>
                <w:sz w:val="20"/>
                <w:szCs w:val="20"/>
              </w:rPr>
            </w:pPr>
            <w:r>
              <w:rPr>
                <w:rFonts w:cs="Times New Roman"/>
                <w:sz w:val="20"/>
                <w:szCs w:val="20"/>
              </w:rPr>
              <w:t xml:space="preserve">Monthly </w:t>
            </w:r>
            <w:r w:rsidRPr="00DE4E58">
              <w:rPr>
                <w:rFonts w:cs="Times New Roman"/>
                <w:sz w:val="20"/>
                <w:szCs w:val="20"/>
              </w:rPr>
              <w:t>Performance Indicator Data</w:t>
            </w:r>
            <w:r>
              <w:rPr>
                <w:rFonts w:cs="Times New Roman"/>
                <w:sz w:val="20"/>
                <w:szCs w:val="20"/>
              </w:rPr>
              <w:t xml:space="preserve"> </w:t>
            </w:r>
            <w:r>
              <w:rPr>
                <w:rFonts w:cs="Times New Roman"/>
                <w:sz w:val="20"/>
                <w:szCs w:val="20"/>
              </w:rPr>
              <w:t>Report</w:t>
            </w:r>
            <w:r w:rsidRPr="00DE4E58">
              <w:rPr>
                <w:rFonts w:cs="Times New Roman"/>
                <w:sz w:val="20"/>
                <w:szCs w:val="20"/>
              </w:rPr>
              <w:t xml:space="preserve"> </w:t>
            </w:r>
            <w:r>
              <w:rPr>
                <w:rFonts w:cs="Times New Roman"/>
                <w:sz w:val="20"/>
                <w:szCs w:val="20"/>
              </w:rPr>
              <w:t>(Active)</w:t>
            </w:r>
          </w:p>
        </w:tc>
        <w:tc>
          <w:tcPr>
            <w:tcW w:w="1590" w:type="dxa"/>
            <w:tcBorders>
              <w:top w:val="single" w:sz="4" w:space="0" w:color="auto"/>
              <w:left w:val="single" w:sz="4" w:space="0" w:color="auto"/>
              <w:bottom w:val="single" w:sz="4" w:space="0" w:color="auto"/>
              <w:right w:val="single" w:sz="4" w:space="0" w:color="auto"/>
            </w:tcBorders>
            <w:hideMark/>
          </w:tcPr>
          <w:p w:rsidR="00BA1B63" w:rsidRPr="00DE4E58" w:rsidP="009F0A9A" w14:paraId="2C4D95B3" w14:textId="77777777">
            <w:pPr>
              <w:rPr>
                <w:rFonts w:cs="Times New Roman"/>
                <w:sz w:val="20"/>
                <w:szCs w:val="20"/>
              </w:rPr>
            </w:pPr>
            <w:r w:rsidRPr="00DE4E58">
              <w:rPr>
                <w:rFonts w:cs="Times New Roman"/>
                <w:sz w:val="20"/>
                <w:szCs w:val="20"/>
              </w:rPr>
              <w:t>51 Jurisdictions</w:t>
            </w:r>
          </w:p>
        </w:tc>
        <w:tc>
          <w:tcPr>
            <w:tcW w:w="1278" w:type="dxa"/>
            <w:tcBorders>
              <w:top w:val="single" w:sz="4" w:space="0" w:color="auto"/>
              <w:left w:val="single" w:sz="4" w:space="0" w:color="auto"/>
              <w:bottom w:val="single" w:sz="4" w:space="0" w:color="auto"/>
              <w:right w:val="single" w:sz="4" w:space="0" w:color="auto"/>
            </w:tcBorders>
            <w:hideMark/>
          </w:tcPr>
          <w:p w:rsidR="00BA1B63" w:rsidRPr="00DE4E58" w:rsidP="009F0A9A" w14:paraId="3774C2B4" w14:textId="77777777">
            <w:pPr>
              <w:rPr>
                <w:rFonts w:cs="Times New Roman"/>
                <w:sz w:val="20"/>
                <w:szCs w:val="20"/>
              </w:rPr>
            </w:pPr>
            <w:r w:rsidRPr="00DE4E58">
              <w:rPr>
                <w:rFonts w:cs="Times New Roman"/>
                <w:sz w:val="20"/>
                <w:szCs w:val="20"/>
              </w:rPr>
              <w:t xml:space="preserve">1,224 (51 x 2 </w:t>
            </w:r>
            <w:r>
              <w:rPr>
                <w:rFonts w:cs="Times New Roman"/>
                <w:sz w:val="20"/>
                <w:szCs w:val="20"/>
              </w:rPr>
              <w:t>responses/</w:t>
            </w:r>
            <w:r>
              <w:rPr>
                <w:rFonts w:cs="Times New Roman"/>
                <w:sz w:val="20"/>
                <w:szCs w:val="20"/>
              </w:rPr>
              <w:t xml:space="preserve">month </w:t>
            </w:r>
            <w:r w:rsidRPr="00DE4E58">
              <w:rPr>
                <w:rFonts w:cs="Times New Roman"/>
                <w:sz w:val="20"/>
                <w:szCs w:val="20"/>
              </w:rPr>
              <w:t>x 12 responses/</w:t>
            </w:r>
          </w:p>
          <w:p w:rsidR="00BA1B63" w:rsidRPr="00DE4E58" w:rsidP="009F0A9A" w14:paraId="155E4298" w14:textId="77777777">
            <w:pPr>
              <w:rPr>
                <w:rFonts w:cs="Times New Roman"/>
                <w:sz w:val="20"/>
                <w:szCs w:val="20"/>
              </w:rPr>
            </w:pPr>
            <w:r w:rsidRPr="00DE4E58">
              <w:rPr>
                <w:rFonts w:cs="Times New Roman"/>
                <w:sz w:val="20"/>
                <w:szCs w:val="20"/>
              </w:rPr>
              <w:t>year)</w:t>
            </w:r>
          </w:p>
        </w:tc>
        <w:tc>
          <w:tcPr>
            <w:tcW w:w="1309" w:type="dxa"/>
            <w:tcBorders>
              <w:top w:val="single" w:sz="4" w:space="0" w:color="auto"/>
              <w:left w:val="single" w:sz="4" w:space="0" w:color="auto"/>
              <w:bottom w:val="single" w:sz="4" w:space="0" w:color="auto"/>
              <w:right w:val="single" w:sz="4" w:space="0" w:color="auto"/>
            </w:tcBorders>
            <w:hideMark/>
          </w:tcPr>
          <w:p w:rsidR="00BA1B63" w:rsidRPr="00DE4E58" w:rsidP="009F0A9A" w14:paraId="5C2D7478" w14:textId="77777777">
            <w:pPr>
              <w:rPr>
                <w:rFonts w:cs="Times New Roman"/>
                <w:sz w:val="20"/>
                <w:szCs w:val="20"/>
              </w:rPr>
            </w:pPr>
            <w:r w:rsidRPr="00DE4E58">
              <w:rPr>
                <w:rFonts w:cs="Times New Roman"/>
                <w:sz w:val="20"/>
                <w:szCs w:val="20"/>
              </w:rPr>
              <w:t>15</w:t>
            </w:r>
          </w:p>
        </w:tc>
        <w:tc>
          <w:tcPr>
            <w:tcW w:w="1389" w:type="dxa"/>
            <w:tcBorders>
              <w:top w:val="single" w:sz="4" w:space="0" w:color="auto"/>
              <w:left w:val="single" w:sz="4" w:space="0" w:color="auto"/>
              <w:bottom w:val="single" w:sz="4" w:space="0" w:color="auto"/>
              <w:right w:val="single" w:sz="4" w:space="0" w:color="auto"/>
            </w:tcBorders>
            <w:hideMark/>
          </w:tcPr>
          <w:p w:rsidR="00BA1B63" w:rsidRPr="00DE4E58" w:rsidP="009F0A9A" w14:paraId="56DA02B9" w14:textId="77777777">
            <w:pPr>
              <w:rPr>
                <w:rFonts w:cs="Times New Roman"/>
                <w:sz w:val="20"/>
                <w:szCs w:val="20"/>
              </w:rPr>
            </w:pPr>
            <w:r w:rsidRPr="00DE4E58">
              <w:rPr>
                <w:rFonts w:cs="Times New Roman"/>
                <w:sz w:val="20"/>
                <w:szCs w:val="20"/>
              </w:rPr>
              <w:t>18,360</w:t>
            </w:r>
          </w:p>
        </w:tc>
        <w:tc>
          <w:tcPr>
            <w:tcW w:w="1068" w:type="dxa"/>
            <w:tcBorders>
              <w:top w:val="single" w:sz="4" w:space="0" w:color="auto"/>
              <w:left w:val="single" w:sz="4" w:space="0" w:color="auto"/>
              <w:bottom w:val="single" w:sz="4" w:space="0" w:color="auto"/>
              <w:right w:val="single" w:sz="4" w:space="0" w:color="auto"/>
            </w:tcBorders>
            <w:hideMark/>
          </w:tcPr>
          <w:p w:rsidR="00BA1B63" w:rsidRPr="00DE4E58" w:rsidP="009F0A9A" w14:paraId="04A758F7" w14:textId="77777777">
            <w:pPr>
              <w:rPr>
                <w:rFonts w:cs="Times New Roman"/>
                <w:sz w:val="20"/>
                <w:szCs w:val="20"/>
              </w:rPr>
            </w:pPr>
            <w:r>
              <w:rPr>
                <w:rFonts w:cs="Times New Roman"/>
                <w:sz w:val="20"/>
                <w:szCs w:val="20"/>
              </w:rPr>
              <w:t>114.82</w:t>
            </w:r>
          </w:p>
        </w:tc>
        <w:tc>
          <w:tcPr>
            <w:tcW w:w="1258" w:type="dxa"/>
            <w:tcBorders>
              <w:top w:val="single" w:sz="4" w:space="0" w:color="auto"/>
              <w:left w:val="single" w:sz="4" w:space="0" w:color="auto"/>
              <w:bottom w:val="single" w:sz="4" w:space="0" w:color="auto"/>
              <w:right w:val="single" w:sz="4" w:space="0" w:color="auto"/>
            </w:tcBorders>
            <w:hideMark/>
          </w:tcPr>
          <w:p w:rsidR="00BA1B63" w:rsidRPr="00DE4E58" w:rsidP="009F0A9A" w14:paraId="230CA278" w14:textId="77777777">
            <w:pPr>
              <w:rPr>
                <w:rFonts w:cs="Times New Roman"/>
                <w:sz w:val="20"/>
                <w:szCs w:val="20"/>
              </w:rPr>
            </w:pPr>
            <w:r w:rsidRPr="0023583D">
              <w:rPr>
                <w:rFonts w:cs="Times New Roman"/>
                <w:sz w:val="20"/>
                <w:szCs w:val="20"/>
              </w:rPr>
              <w:t>2,108,095</w:t>
            </w:r>
          </w:p>
        </w:tc>
        <w:tc>
          <w:tcPr>
            <w:tcW w:w="1258" w:type="dxa"/>
            <w:tcBorders>
              <w:top w:val="single" w:sz="4" w:space="0" w:color="auto"/>
              <w:left w:val="single" w:sz="4" w:space="0" w:color="auto"/>
              <w:bottom w:val="single" w:sz="4" w:space="0" w:color="auto"/>
              <w:right w:val="single" w:sz="4" w:space="0" w:color="auto"/>
            </w:tcBorders>
          </w:tcPr>
          <w:p w:rsidR="00BA1B63" w:rsidRPr="00DE4E58" w:rsidP="009F0A9A" w14:paraId="36C1ABE9" w14:textId="77777777">
            <w:pPr>
              <w:rPr>
                <w:rFonts w:cs="Times New Roman"/>
                <w:sz w:val="20"/>
                <w:szCs w:val="20"/>
              </w:rPr>
            </w:pPr>
            <w:r w:rsidRPr="007643CC">
              <w:rPr>
                <w:rFonts w:cs="Times New Roman"/>
                <w:sz w:val="20"/>
                <w:szCs w:val="20"/>
              </w:rPr>
              <w:t>1,581,071</w:t>
            </w:r>
          </w:p>
        </w:tc>
        <w:tc>
          <w:tcPr>
            <w:tcW w:w="1258" w:type="dxa"/>
            <w:tcBorders>
              <w:top w:val="single" w:sz="4" w:space="0" w:color="auto"/>
              <w:left w:val="single" w:sz="4" w:space="0" w:color="auto"/>
              <w:bottom w:val="single" w:sz="4" w:space="0" w:color="auto"/>
              <w:right w:val="single" w:sz="4" w:space="0" w:color="auto"/>
            </w:tcBorders>
            <w:hideMark/>
          </w:tcPr>
          <w:p w:rsidR="00BA1B63" w:rsidRPr="00DE4E58" w:rsidP="009F0A9A" w14:paraId="3EECED13" w14:textId="77777777">
            <w:pPr>
              <w:rPr>
                <w:rFonts w:cs="Times New Roman"/>
                <w:sz w:val="20"/>
                <w:szCs w:val="20"/>
              </w:rPr>
            </w:pPr>
            <w:r w:rsidRPr="0023583D">
              <w:rPr>
                <w:rFonts w:cs="Times New Roman"/>
                <w:sz w:val="20"/>
                <w:szCs w:val="20"/>
              </w:rPr>
              <w:t>527,02</w:t>
            </w:r>
            <w:r>
              <w:rPr>
                <w:rFonts w:cs="Times New Roman"/>
                <w:sz w:val="20"/>
                <w:szCs w:val="20"/>
              </w:rPr>
              <w:t>4</w:t>
            </w:r>
          </w:p>
        </w:tc>
      </w:tr>
    </w:tbl>
    <w:p w:rsidR="00FE4FF0" w:rsidP="00793B69" w14:paraId="0389122A" w14:textId="77777777">
      <w:pPr>
        <w:spacing w:after="0" w:line="240" w:lineRule="auto"/>
        <w:rPr>
          <w:rFonts w:cs="Times New Roman"/>
          <w:szCs w:val="24"/>
        </w:rPr>
        <w:sectPr w:rsidSect="00FE4FF0">
          <w:type w:val="continuous"/>
          <w:pgSz w:w="12240" w:h="15840" w:code="1"/>
          <w:pgMar w:top="1440" w:right="432" w:bottom="1440" w:left="432" w:header="720" w:footer="720" w:gutter="0"/>
          <w:cols w:space="720"/>
          <w:docGrid w:linePitch="360"/>
        </w:sectPr>
      </w:pPr>
    </w:p>
    <w:p w:rsidR="00BA1B63" w:rsidP="00793B69" w14:paraId="23048F2B" w14:textId="77777777">
      <w:pPr>
        <w:spacing w:after="0" w:line="240" w:lineRule="auto"/>
        <w:rPr>
          <w:rFonts w:cs="Times New Roman"/>
          <w:szCs w:val="24"/>
        </w:rPr>
      </w:pPr>
    </w:p>
    <w:p w:rsidR="0097778A" w:rsidRPr="000B2E30" w:rsidP="00A755B4" w14:paraId="2C06A508" w14:textId="637BDFEC">
      <w:pPr>
        <w:spacing w:after="0" w:line="240" w:lineRule="auto"/>
        <w:rPr>
          <w:rFonts w:cs="Times New Roman"/>
          <w:szCs w:val="24"/>
        </w:rPr>
      </w:pPr>
      <w:r>
        <w:t>With regard to</w:t>
      </w:r>
      <w:r>
        <w:t xml:space="preserve"> our </w:t>
      </w:r>
      <w:r w:rsidRPr="00B77D87">
        <w:t xml:space="preserve">June 3, </w:t>
      </w:r>
      <w:r w:rsidRPr="00B77D87">
        <w:t>2026</w:t>
      </w:r>
      <w:r>
        <w:t xml:space="preserve"> i</w:t>
      </w:r>
      <w:r w:rsidRPr="00B77D87">
        <w:t xml:space="preserve">nterim </w:t>
      </w:r>
      <w:r>
        <w:t>f</w:t>
      </w:r>
      <w:r w:rsidRPr="00B77D87">
        <w:t xml:space="preserve">inal </w:t>
      </w:r>
      <w:r>
        <w:t>r</w:t>
      </w:r>
      <w:r w:rsidRPr="00B77D87">
        <w:t xml:space="preserve">ule with </w:t>
      </w:r>
      <w:r>
        <w:t>c</w:t>
      </w:r>
      <w:r w:rsidRPr="00B77D87">
        <w:t xml:space="preserve">omment </w:t>
      </w:r>
      <w:r>
        <w:t>p</w:t>
      </w:r>
      <w:r w:rsidRPr="00B77D87">
        <w:t xml:space="preserve">eriod </w:t>
      </w:r>
      <w:r>
        <w:rPr>
          <w:rFonts w:cs="Times New Roman"/>
          <w:szCs w:val="24"/>
        </w:rPr>
        <w:t>t</w:t>
      </w:r>
      <w:r w:rsidRPr="000B2E30" w:rsidR="6B092B36">
        <w:rPr>
          <w:rFonts w:cs="Times New Roman"/>
          <w:szCs w:val="24"/>
        </w:rPr>
        <w:t xml:space="preserve">he burden associated with the PI data report consists of the initial, one-time system and process changes in a state to the PI data reporting to be able to pull the new data collection and report to CMS.  The burden also consists of the time and effort for the state to pull and analyze data for accuracy and completeness and to submit the data through the designated reporting mechanism. CMS estimates that 44 </w:t>
      </w:r>
      <w:r w:rsidR="00867E2B">
        <w:rPr>
          <w:rFonts w:cs="Times New Roman"/>
          <w:szCs w:val="24"/>
        </w:rPr>
        <w:t>jurisdictions</w:t>
      </w:r>
      <w:r w:rsidRPr="000B2E30" w:rsidR="6B092B36">
        <w:rPr>
          <w:rFonts w:cs="Times New Roman"/>
          <w:szCs w:val="24"/>
        </w:rPr>
        <w:t xml:space="preserve"> will need to report the 6 new data metrics </w:t>
      </w:r>
      <w:r w:rsidRPr="000B2E30" w:rsidR="6B092B36">
        <w:rPr>
          <w:rFonts w:cs="Times New Roman"/>
          <w:szCs w:val="24"/>
        </w:rPr>
        <w:t>on a monthly basis</w:t>
      </w:r>
      <w:r w:rsidRPr="000B2E30" w:rsidR="6B092B36">
        <w:rPr>
          <w:rFonts w:cs="Times New Roman"/>
          <w:szCs w:val="24"/>
        </w:rPr>
        <w:t xml:space="preserve"> and update the data of a previously submitted PI data report </w:t>
      </w:r>
      <w:r w:rsidRPr="000B2E30" w:rsidR="6B092B36">
        <w:rPr>
          <w:rFonts w:cs="Times New Roman"/>
          <w:szCs w:val="24"/>
        </w:rPr>
        <w:t>on a monthly basis</w:t>
      </w:r>
      <w:r w:rsidRPr="000B2E30" w:rsidR="6B092B36">
        <w:rPr>
          <w:rFonts w:cs="Times New Roman"/>
          <w:szCs w:val="24"/>
        </w:rPr>
        <w:t xml:space="preserve">.  </w:t>
      </w:r>
    </w:p>
    <w:p w:rsidR="540202E0" w:rsidRPr="000B2E30" w:rsidP="00793B69" w14:paraId="70F61A6F" w14:textId="6627748E">
      <w:pPr>
        <w:spacing w:after="0" w:line="240" w:lineRule="auto"/>
        <w:rPr>
          <w:rFonts w:cs="Times New Roman"/>
          <w:szCs w:val="24"/>
        </w:rPr>
      </w:pPr>
    </w:p>
    <w:p w:rsidR="540202E0" w:rsidP="00793B69" w14:paraId="076538AA" w14:textId="55DE192C">
      <w:pPr>
        <w:spacing w:after="0" w:line="240" w:lineRule="auto"/>
        <w:rPr>
          <w:rFonts w:eastAsia="Times New Roman" w:cs="Times New Roman"/>
          <w:color w:val="000000" w:themeColor="text1"/>
          <w:szCs w:val="24"/>
        </w:rPr>
      </w:pPr>
      <w:r w:rsidRPr="000B2E30">
        <w:rPr>
          <w:rFonts w:eastAsia="Times New Roman" w:cs="Times New Roman"/>
          <w:color w:val="000000" w:themeColor="text1"/>
          <w:szCs w:val="24"/>
        </w:rPr>
        <w:t xml:space="preserve">For the one-time system and process updates, CMS estimates 44 </w:t>
      </w:r>
      <w:r w:rsidR="00867E2B">
        <w:rPr>
          <w:rFonts w:eastAsia="Times New Roman" w:cs="Times New Roman"/>
          <w:color w:val="000000" w:themeColor="text1"/>
          <w:szCs w:val="24"/>
        </w:rPr>
        <w:t>jurisdictions</w:t>
      </w:r>
      <w:r w:rsidRPr="000B2E30">
        <w:rPr>
          <w:rFonts w:eastAsia="Times New Roman" w:cs="Times New Roman"/>
          <w:color w:val="000000" w:themeColor="text1"/>
          <w:szCs w:val="24"/>
        </w:rPr>
        <w:t xml:space="preserve"> will spend 162 hours mak</w:t>
      </w:r>
      <w:r w:rsidR="00867E2B">
        <w:rPr>
          <w:rFonts w:eastAsia="Times New Roman" w:cs="Times New Roman"/>
          <w:color w:val="000000" w:themeColor="text1"/>
          <w:szCs w:val="24"/>
        </w:rPr>
        <w:t>ing</w:t>
      </w:r>
      <w:r w:rsidRPr="000B2E30">
        <w:rPr>
          <w:rFonts w:eastAsia="Times New Roman" w:cs="Times New Roman"/>
          <w:color w:val="000000" w:themeColor="text1"/>
          <w:szCs w:val="24"/>
        </w:rPr>
        <w:t xml:space="preserve"> </w:t>
      </w:r>
      <w:r w:rsidR="00DE0042">
        <w:rPr>
          <w:rFonts w:eastAsia="Times New Roman" w:cs="Times New Roman"/>
          <w:color w:val="000000" w:themeColor="text1"/>
          <w:szCs w:val="24"/>
        </w:rPr>
        <w:t xml:space="preserve">such </w:t>
      </w:r>
      <w:r w:rsidRPr="000B2E30">
        <w:rPr>
          <w:rFonts w:eastAsia="Times New Roman" w:cs="Times New Roman"/>
          <w:color w:val="000000" w:themeColor="text1"/>
          <w:szCs w:val="24"/>
        </w:rPr>
        <w:t>changes</w:t>
      </w:r>
      <w:r w:rsidR="00DE0042">
        <w:rPr>
          <w:rFonts w:eastAsia="Times New Roman" w:cs="Times New Roman"/>
          <w:color w:val="000000" w:themeColor="text1"/>
          <w:szCs w:val="24"/>
        </w:rPr>
        <w:t>.</w:t>
      </w:r>
      <w:r w:rsidR="006615A3">
        <w:rPr>
          <w:rFonts w:eastAsia="Times New Roman" w:cs="Times New Roman"/>
          <w:color w:val="000000" w:themeColor="text1"/>
          <w:szCs w:val="24"/>
        </w:rPr>
        <w:t xml:space="preserve"> </w:t>
      </w:r>
      <w:r w:rsidR="00DE0042">
        <w:rPr>
          <w:rFonts w:eastAsia="Times New Roman" w:cs="Times New Roman"/>
          <w:color w:val="000000" w:themeColor="text1"/>
          <w:szCs w:val="24"/>
        </w:rPr>
        <w:t xml:space="preserve">Of the </w:t>
      </w:r>
      <w:r w:rsidRPr="000B2E30" w:rsidR="00DE0042">
        <w:rPr>
          <w:rFonts w:eastAsia="Times New Roman" w:cs="Times New Roman"/>
          <w:color w:val="000000" w:themeColor="text1"/>
          <w:szCs w:val="24"/>
        </w:rPr>
        <w:t>162 hours</w:t>
      </w:r>
      <w:r w:rsidR="00DE0042">
        <w:rPr>
          <w:rFonts w:eastAsia="Times New Roman" w:cs="Times New Roman"/>
          <w:color w:val="000000" w:themeColor="text1"/>
          <w:szCs w:val="24"/>
        </w:rPr>
        <w:t>,</w:t>
      </w:r>
      <w:r w:rsidRPr="000B2E30" w:rsidR="00DE0042">
        <w:rPr>
          <w:rFonts w:eastAsia="Times New Roman" w:cs="Times New Roman"/>
          <w:color w:val="000000" w:themeColor="text1"/>
          <w:szCs w:val="24"/>
        </w:rPr>
        <w:t xml:space="preserve"> </w:t>
      </w:r>
      <w:r w:rsidRPr="000B2E30">
        <w:rPr>
          <w:rFonts w:eastAsia="Times New Roman" w:cs="Times New Roman"/>
          <w:color w:val="000000" w:themeColor="text1"/>
          <w:szCs w:val="24"/>
        </w:rPr>
        <w:t>CMS estimates it will take a Computer and Information Analyst 160 hours at $</w:t>
      </w:r>
      <w:r w:rsidR="000D477A">
        <w:rPr>
          <w:rFonts w:eastAsia="Times New Roman" w:cs="Times New Roman"/>
          <w:color w:val="000000" w:themeColor="text1"/>
          <w:szCs w:val="24"/>
        </w:rPr>
        <w:t>114.82</w:t>
      </w:r>
      <w:r w:rsidRPr="000B2E30">
        <w:rPr>
          <w:rFonts w:eastAsia="Times New Roman" w:cs="Times New Roman"/>
          <w:color w:val="000000" w:themeColor="text1"/>
          <w:szCs w:val="24"/>
        </w:rPr>
        <w:t xml:space="preserve">/hr to review existing eligibility and enrollment data and organize these data appropriately to submit to CMS to meet the PI reporting requirements of §435.562. </w:t>
      </w:r>
      <w:r w:rsidR="00854AE1">
        <w:rPr>
          <w:rFonts w:eastAsia="Times New Roman" w:cs="Times New Roman"/>
          <w:color w:val="000000" w:themeColor="text1"/>
          <w:szCs w:val="24"/>
        </w:rPr>
        <w:t>W</w:t>
      </w:r>
      <w:r w:rsidRPr="000B2E30">
        <w:rPr>
          <w:rFonts w:eastAsia="Times New Roman" w:cs="Times New Roman"/>
          <w:color w:val="000000" w:themeColor="text1"/>
          <w:szCs w:val="24"/>
        </w:rPr>
        <w:t xml:space="preserve">e </w:t>
      </w:r>
      <w:r w:rsidR="00854AE1">
        <w:rPr>
          <w:rFonts w:eastAsia="Times New Roman" w:cs="Times New Roman"/>
          <w:color w:val="000000" w:themeColor="text1"/>
          <w:szCs w:val="24"/>
        </w:rPr>
        <w:t xml:space="preserve">also </w:t>
      </w:r>
      <w:r w:rsidRPr="000B2E30">
        <w:rPr>
          <w:rFonts w:eastAsia="Times New Roman" w:cs="Times New Roman"/>
          <w:color w:val="000000" w:themeColor="text1"/>
          <w:szCs w:val="24"/>
        </w:rPr>
        <w:t>estimate it will take a General and Operations Manager 2 hours at $</w:t>
      </w:r>
      <w:r w:rsidR="00530BC6">
        <w:rPr>
          <w:rFonts w:eastAsia="Times New Roman" w:cs="Times New Roman"/>
          <w:color w:val="000000" w:themeColor="text1"/>
          <w:szCs w:val="24"/>
        </w:rPr>
        <w:t>129.74</w:t>
      </w:r>
      <w:r w:rsidR="002A7437">
        <w:rPr>
          <w:rFonts w:eastAsia="Times New Roman" w:cs="Times New Roman"/>
          <w:szCs w:val="24"/>
        </w:rPr>
        <w:t>/</w:t>
      </w:r>
      <w:r w:rsidRPr="000B2E30">
        <w:rPr>
          <w:rFonts w:eastAsia="Times New Roman" w:cs="Times New Roman"/>
          <w:color w:val="000000" w:themeColor="text1"/>
          <w:szCs w:val="24"/>
        </w:rPr>
        <w:t>hr to review the data and approve the submission of the data to CMS. In total, we estimate a</w:t>
      </w:r>
      <w:r w:rsidR="00DE0042">
        <w:rPr>
          <w:rFonts w:eastAsia="Times New Roman" w:cs="Times New Roman"/>
          <w:color w:val="000000" w:themeColor="text1"/>
          <w:szCs w:val="24"/>
        </w:rPr>
        <w:t>n</w:t>
      </w:r>
      <w:r w:rsidRPr="000B2E30">
        <w:rPr>
          <w:rFonts w:eastAsia="Times New Roman" w:cs="Times New Roman"/>
          <w:color w:val="000000" w:themeColor="text1"/>
          <w:szCs w:val="24"/>
        </w:rPr>
        <w:t xml:space="preserve"> annual</w:t>
      </w:r>
      <w:r w:rsidRPr="0067622B" w:rsidR="0067622B">
        <w:t xml:space="preserve"> </w:t>
      </w:r>
      <w:r w:rsidRPr="0067622B" w:rsidR="0067622B">
        <w:rPr>
          <w:rFonts w:eastAsia="Times New Roman" w:cs="Times New Roman"/>
          <w:color w:val="000000" w:themeColor="text1"/>
          <w:szCs w:val="24"/>
        </w:rPr>
        <w:t xml:space="preserve">burden of </w:t>
      </w:r>
      <w:r w:rsidR="0067622B">
        <w:rPr>
          <w:rFonts w:eastAsia="Times New Roman" w:cs="Times New Roman"/>
          <w:color w:val="000000" w:themeColor="text1"/>
          <w:szCs w:val="24"/>
        </w:rPr>
        <w:t>7</w:t>
      </w:r>
      <w:r w:rsidRPr="0067622B" w:rsidR="0067622B">
        <w:rPr>
          <w:rFonts w:eastAsia="Times New Roman" w:cs="Times New Roman"/>
          <w:color w:val="000000" w:themeColor="text1"/>
          <w:szCs w:val="24"/>
        </w:rPr>
        <w:t>,</w:t>
      </w:r>
      <w:r w:rsidR="00FF5ACE">
        <w:rPr>
          <w:rFonts w:eastAsia="Times New Roman" w:cs="Times New Roman"/>
          <w:color w:val="000000" w:themeColor="text1"/>
          <w:szCs w:val="24"/>
        </w:rPr>
        <w:t>128</w:t>
      </w:r>
      <w:r w:rsidRPr="0067622B" w:rsidR="0067622B">
        <w:rPr>
          <w:rFonts w:eastAsia="Times New Roman" w:cs="Times New Roman"/>
          <w:color w:val="000000" w:themeColor="text1"/>
          <w:szCs w:val="24"/>
        </w:rPr>
        <w:t xml:space="preserve"> hr</w:t>
      </w:r>
      <w:r w:rsidR="00FF5ACE">
        <w:rPr>
          <w:rFonts w:eastAsia="Times New Roman" w:cs="Times New Roman"/>
          <w:color w:val="000000" w:themeColor="text1"/>
          <w:szCs w:val="24"/>
        </w:rPr>
        <w:t xml:space="preserve"> </w:t>
      </w:r>
      <w:r w:rsidRPr="0067622B" w:rsidR="0067622B">
        <w:rPr>
          <w:rFonts w:eastAsia="Times New Roman" w:cs="Times New Roman"/>
          <w:color w:val="000000" w:themeColor="text1"/>
          <w:szCs w:val="24"/>
        </w:rPr>
        <w:t>(4</w:t>
      </w:r>
      <w:r w:rsidR="00FF5ACE">
        <w:rPr>
          <w:rFonts w:eastAsia="Times New Roman" w:cs="Times New Roman"/>
          <w:color w:val="000000" w:themeColor="text1"/>
          <w:szCs w:val="24"/>
        </w:rPr>
        <w:t>4</w:t>
      </w:r>
      <w:r w:rsidRPr="0067622B" w:rsidR="0067622B">
        <w:rPr>
          <w:rFonts w:eastAsia="Times New Roman" w:cs="Times New Roman"/>
          <w:color w:val="000000" w:themeColor="text1"/>
          <w:szCs w:val="24"/>
        </w:rPr>
        <w:t xml:space="preserve"> responses x </w:t>
      </w:r>
      <w:r w:rsidR="00FF5ACE">
        <w:rPr>
          <w:rFonts w:eastAsia="Times New Roman" w:cs="Times New Roman"/>
          <w:color w:val="000000" w:themeColor="text1"/>
          <w:szCs w:val="24"/>
        </w:rPr>
        <w:t>162</w:t>
      </w:r>
      <w:r w:rsidRPr="0067622B" w:rsidR="0067622B">
        <w:rPr>
          <w:rFonts w:eastAsia="Times New Roman" w:cs="Times New Roman"/>
          <w:color w:val="000000" w:themeColor="text1"/>
          <w:szCs w:val="24"/>
        </w:rPr>
        <w:t xml:space="preserve"> hr/response) at a</w:t>
      </w:r>
      <w:r w:rsidRPr="000B2E30">
        <w:rPr>
          <w:rFonts w:eastAsia="Times New Roman" w:cs="Times New Roman"/>
          <w:color w:val="000000" w:themeColor="text1"/>
          <w:szCs w:val="24"/>
        </w:rPr>
        <w:t xml:space="preserve"> cost of $</w:t>
      </w:r>
      <w:r w:rsidR="00FF5ACE">
        <w:rPr>
          <w:rFonts w:eastAsia="Times New Roman" w:cs="Times New Roman"/>
          <w:color w:val="000000" w:themeColor="text1"/>
          <w:szCs w:val="24"/>
        </w:rPr>
        <w:t>819,750</w:t>
      </w:r>
      <w:r w:rsidRPr="000B2E30">
        <w:rPr>
          <w:rFonts w:eastAsia="Times New Roman" w:cs="Times New Roman"/>
          <w:color w:val="000000" w:themeColor="text1"/>
          <w:szCs w:val="24"/>
        </w:rPr>
        <w:t xml:space="preserve"> </w:t>
      </w:r>
      <w:r w:rsidR="00A755B4">
        <w:rPr>
          <w:rFonts w:eastAsia="Times New Roman" w:cs="Times New Roman"/>
          <w:color w:val="000000" w:themeColor="text1"/>
          <w:szCs w:val="24"/>
        </w:rPr>
        <w:t>(</w:t>
      </w:r>
      <w:r w:rsidRPr="000B2E30">
        <w:rPr>
          <w:rFonts w:eastAsia="Times New Roman" w:cs="Times New Roman"/>
          <w:color w:val="000000" w:themeColor="text1"/>
          <w:szCs w:val="24"/>
        </w:rPr>
        <w:t xml:space="preserve">44 </w:t>
      </w:r>
      <w:r w:rsidR="00103528">
        <w:rPr>
          <w:rFonts w:eastAsia="Times New Roman" w:cs="Times New Roman"/>
          <w:color w:val="000000" w:themeColor="text1"/>
          <w:szCs w:val="24"/>
        </w:rPr>
        <w:t>j</w:t>
      </w:r>
      <w:r w:rsidRPr="00103528" w:rsidR="00103528">
        <w:rPr>
          <w:rFonts w:eastAsia="Times New Roman" w:cs="Times New Roman"/>
          <w:color w:val="000000" w:themeColor="text1"/>
          <w:szCs w:val="24"/>
        </w:rPr>
        <w:t xml:space="preserve">urisdictions </w:t>
      </w:r>
      <w:r w:rsidRPr="000B2E30">
        <w:rPr>
          <w:rFonts w:eastAsia="Times New Roman" w:cs="Times New Roman"/>
          <w:color w:val="000000" w:themeColor="text1"/>
          <w:szCs w:val="24"/>
        </w:rPr>
        <w:t>x [(160 h</w:t>
      </w:r>
      <w:r w:rsidR="00854AE1">
        <w:rPr>
          <w:rFonts w:eastAsia="Times New Roman" w:cs="Times New Roman"/>
          <w:color w:val="000000" w:themeColor="text1"/>
          <w:szCs w:val="24"/>
        </w:rPr>
        <w:t>r</w:t>
      </w:r>
      <w:r w:rsidRPr="000B2E30">
        <w:rPr>
          <w:rFonts w:eastAsia="Times New Roman" w:cs="Times New Roman"/>
          <w:color w:val="000000" w:themeColor="text1"/>
          <w:szCs w:val="24"/>
        </w:rPr>
        <w:t xml:space="preserve"> x $</w:t>
      </w:r>
      <w:r w:rsidR="000D477A">
        <w:rPr>
          <w:rFonts w:eastAsia="Times New Roman" w:cs="Times New Roman"/>
          <w:color w:val="000000" w:themeColor="text1"/>
          <w:szCs w:val="24"/>
        </w:rPr>
        <w:t>114.82</w:t>
      </w:r>
      <w:r w:rsidRPr="000B2E30">
        <w:rPr>
          <w:rFonts w:eastAsia="Times New Roman" w:cs="Times New Roman"/>
          <w:color w:val="000000" w:themeColor="text1"/>
          <w:szCs w:val="24"/>
        </w:rPr>
        <w:t>/hr) + (2 h</w:t>
      </w:r>
      <w:r w:rsidR="00854AE1">
        <w:rPr>
          <w:rFonts w:eastAsia="Times New Roman" w:cs="Times New Roman"/>
          <w:color w:val="000000" w:themeColor="text1"/>
          <w:szCs w:val="24"/>
        </w:rPr>
        <w:t>r</w:t>
      </w:r>
      <w:r w:rsidRPr="000B2E30">
        <w:rPr>
          <w:rFonts w:eastAsia="Times New Roman" w:cs="Times New Roman"/>
          <w:color w:val="000000" w:themeColor="text1"/>
          <w:szCs w:val="24"/>
        </w:rPr>
        <w:t xml:space="preserve"> x $</w:t>
      </w:r>
      <w:r w:rsidR="00530BC6">
        <w:rPr>
          <w:rFonts w:eastAsia="Times New Roman" w:cs="Times New Roman"/>
          <w:color w:val="000000" w:themeColor="text1"/>
          <w:szCs w:val="24"/>
        </w:rPr>
        <w:t>129.74</w:t>
      </w:r>
      <w:r w:rsidR="002A7437">
        <w:rPr>
          <w:rFonts w:eastAsia="Times New Roman" w:cs="Times New Roman"/>
          <w:szCs w:val="24"/>
        </w:rPr>
        <w:t>/hr</w:t>
      </w:r>
      <w:r w:rsidRPr="000B2E30">
        <w:rPr>
          <w:rFonts w:eastAsia="Times New Roman" w:cs="Times New Roman"/>
          <w:color w:val="000000" w:themeColor="text1"/>
          <w:szCs w:val="24"/>
        </w:rPr>
        <w:t>)]</w:t>
      </w:r>
      <w:r w:rsidR="00A755B4">
        <w:rPr>
          <w:rFonts w:eastAsia="Times New Roman" w:cs="Times New Roman"/>
          <w:color w:val="000000" w:themeColor="text1"/>
          <w:szCs w:val="24"/>
        </w:rPr>
        <w:t>)</w:t>
      </w:r>
      <w:r w:rsidRPr="000B2E30">
        <w:rPr>
          <w:rFonts w:eastAsia="Times New Roman" w:cs="Times New Roman"/>
          <w:color w:val="000000" w:themeColor="text1"/>
          <w:szCs w:val="24"/>
        </w:rPr>
        <w:t>. Assuming a Federal administrative match of 75%, the estimated State share is $</w:t>
      </w:r>
      <w:r w:rsidR="005B3A6F">
        <w:rPr>
          <w:rFonts w:eastAsia="Times New Roman" w:cs="Times New Roman"/>
          <w:color w:val="000000" w:themeColor="text1"/>
          <w:szCs w:val="24"/>
        </w:rPr>
        <w:t>204,93</w:t>
      </w:r>
      <w:r w:rsidR="0010471A">
        <w:rPr>
          <w:rFonts w:eastAsia="Times New Roman" w:cs="Times New Roman"/>
          <w:color w:val="000000" w:themeColor="text1"/>
          <w:szCs w:val="24"/>
        </w:rPr>
        <w:t>8</w:t>
      </w:r>
      <w:r w:rsidR="005B3A6F">
        <w:rPr>
          <w:rFonts w:cs="Times New Roman"/>
          <w:szCs w:val="24"/>
        </w:rPr>
        <w:t xml:space="preserve"> (</w:t>
      </w:r>
      <w:r w:rsidRPr="00DC5308" w:rsidR="005B3A6F">
        <w:rPr>
          <w:rFonts w:cs="Times New Roman"/>
          <w:szCs w:val="24"/>
        </w:rPr>
        <w:t>$</w:t>
      </w:r>
      <w:r w:rsidRPr="005B3A6F" w:rsidR="005B3A6F">
        <w:rPr>
          <w:rFonts w:cs="Times New Roman"/>
          <w:szCs w:val="24"/>
        </w:rPr>
        <w:t>819,750</w:t>
      </w:r>
      <w:r w:rsidR="005B3A6F">
        <w:rPr>
          <w:rFonts w:cs="Times New Roman"/>
          <w:szCs w:val="24"/>
        </w:rPr>
        <w:t xml:space="preserve"> x 0.25)</w:t>
      </w:r>
      <w:r w:rsidRPr="000B2E30">
        <w:rPr>
          <w:rFonts w:eastAsia="Times New Roman" w:cs="Times New Roman"/>
          <w:color w:val="000000" w:themeColor="text1"/>
          <w:szCs w:val="24"/>
        </w:rPr>
        <w:t>.</w:t>
      </w:r>
    </w:p>
    <w:p w:rsidR="00793B69" w:rsidRPr="000B2E30" w:rsidP="00793B69" w14:paraId="07F79BA6" w14:textId="77777777">
      <w:pPr>
        <w:spacing w:after="0" w:line="240" w:lineRule="auto"/>
        <w:rPr>
          <w:rFonts w:eastAsia="Times New Roman" w:cs="Times New Roman"/>
          <w:szCs w:val="24"/>
        </w:rPr>
      </w:pPr>
    </w:p>
    <w:p w:rsidR="000702B0" w:rsidRPr="000B2E30" w:rsidP="00793B69" w14:paraId="4464358C" w14:textId="648CF833">
      <w:pPr>
        <w:spacing w:after="0" w:line="240" w:lineRule="auto"/>
        <w:rPr>
          <w:rFonts w:cs="Times New Roman"/>
          <w:szCs w:val="24"/>
        </w:rPr>
      </w:pPr>
      <w:r w:rsidRPr="00DD7DC4">
        <w:rPr>
          <w:rFonts w:cs="Times New Roman"/>
          <w:szCs w:val="24"/>
        </w:rPr>
        <w:t xml:space="preserve">For the monthly reporting and updates of PI data, CMS estimates 44 jurisdictions will </w:t>
      </w:r>
      <w:r w:rsidRPr="00867E2B">
        <w:rPr>
          <w:rFonts w:cs="Times New Roman"/>
          <w:szCs w:val="24"/>
        </w:rPr>
        <w:t>submit 2 reports each with existing metrics and new community engagement metrics on up to a monthly basis or 1</w:t>
      </w:r>
      <w:r w:rsidR="00885F0B">
        <w:rPr>
          <w:rFonts w:cs="Times New Roman"/>
          <w:szCs w:val="24"/>
        </w:rPr>
        <w:t>,</w:t>
      </w:r>
      <w:r w:rsidRPr="00867E2B">
        <w:rPr>
          <w:rFonts w:cs="Times New Roman"/>
          <w:szCs w:val="24"/>
        </w:rPr>
        <w:t>056 responses  annual</w:t>
      </w:r>
      <w:r w:rsidR="00885F0B">
        <w:rPr>
          <w:rFonts w:cs="Times New Roman"/>
          <w:szCs w:val="24"/>
        </w:rPr>
        <w:t>ly</w:t>
      </w:r>
      <w:r w:rsidRPr="00867E2B">
        <w:rPr>
          <w:rFonts w:cs="Times New Roman"/>
          <w:szCs w:val="24"/>
        </w:rPr>
        <w:t xml:space="preserve"> (44 jurisdictions x 2 reports</w:t>
      </w:r>
      <w:r w:rsidR="00DA129F">
        <w:rPr>
          <w:rFonts w:cs="Times New Roman"/>
          <w:szCs w:val="24"/>
        </w:rPr>
        <w:t>/month</w:t>
      </w:r>
      <w:r w:rsidRPr="00867E2B">
        <w:rPr>
          <w:rFonts w:cs="Times New Roman"/>
          <w:szCs w:val="24"/>
        </w:rPr>
        <w:t xml:space="preserve"> x 12 months).  CMS estimates it will take a Computer and Information Analyst 3 hours (0.50 h</w:t>
      </w:r>
      <w:r w:rsidR="0030076A">
        <w:rPr>
          <w:rFonts w:cs="Times New Roman"/>
          <w:szCs w:val="24"/>
        </w:rPr>
        <w:t>r/metric</w:t>
      </w:r>
      <w:r w:rsidRPr="00867E2B">
        <w:rPr>
          <w:rFonts w:cs="Times New Roman"/>
          <w:szCs w:val="24"/>
        </w:rPr>
        <w:t xml:space="preserve"> </w:t>
      </w:r>
      <w:r w:rsidR="0030076A">
        <w:rPr>
          <w:rFonts w:cs="Times New Roman"/>
          <w:szCs w:val="24"/>
        </w:rPr>
        <w:t xml:space="preserve">x </w:t>
      </w:r>
      <w:r w:rsidRPr="00867E2B">
        <w:rPr>
          <w:rFonts w:cs="Times New Roman"/>
          <w:szCs w:val="24"/>
        </w:rPr>
        <w:t>6 metrics) at $</w:t>
      </w:r>
      <w:r w:rsidR="000D477A">
        <w:rPr>
          <w:rFonts w:cs="Times New Roman"/>
          <w:szCs w:val="24"/>
        </w:rPr>
        <w:t>114.82</w:t>
      </w:r>
      <w:r w:rsidRPr="00867E2B">
        <w:rPr>
          <w:rFonts w:cs="Times New Roman"/>
          <w:szCs w:val="24"/>
        </w:rPr>
        <w:t xml:space="preserve">/hr to conduct the  monthly reporting and updates for new community engagement measures.  </w:t>
      </w:r>
      <w:r w:rsidR="009A5E7C">
        <w:rPr>
          <w:rFonts w:cs="Times New Roman"/>
          <w:szCs w:val="24"/>
        </w:rPr>
        <w:t>W</w:t>
      </w:r>
      <w:r w:rsidRPr="00867E2B">
        <w:rPr>
          <w:rFonts w:cs="Times New Roman"/>
          <w:szCs w:val="24"/>
        </w:rPr>
        <w:t xml:space="preserve">e </w:t>
      </w:r>
      <w:r w:rsidR="009A5E7C">
        <w:rPr>
          <w:rFonts w:cs="Times New Roman"/>
          <w:szCs w:val="24"/>
        </w:rPr>
        <w:t xml:space="preserve">also </w:t>
      </w:r>
      <w:r w:rsidRPr="00867E2B">
        <w:rPr>
          <w:rFonts w:cs="Times New Roman"/>
          <w:szCs w:val="24"/>
        </w:rPr>
        <w:t>estimate it will take a General and Operations Manager 1 hour (10 minutes</w:t>
      </w:r>
      <w:r w:rsidR="009A5E7C">
        <w:rPr>
          <w:rFonts w:cs="Times New Roman"/>
          <w:szCs w:val="24"/>
        </w:rPr>
        <w:t>/metric</w:t>
      </w:r>
      <w:r w:rsidRPr="00867E2B">
        <w:rPr>
          <w:rFonts w:cs="Times New Roman"/>
          <w:szCs w:val="24"/>
        </w:rPr>
        <w:t xml:space="preserve"> </w:t>
      </w:r>
      <w:r w:rsidR="009A5E7C">
        <w:rPr>
          <w:rFonts w:cs="Times New Roman"/>
          <w:szCs w:val="24"/>
        </w:rPr>
        <w:t xml:space="preserve">x </w:t>
      </w:r>
      <w:r w:rsidRPr="00867E2B">
        <w:rPr>
          <w:rFonts w:cs="Times New Roman"/>
          <w:szCs w:val="24"/>
        </w:rPr>
        <w:t>6 metrics) at $</w:t>
      </w:r>
      <w:r w:rsidR="00192E39">
        <w:rPr>
          <w:rFonts w:cs="Times New Roman"/>
          <w:szCs w:val="24"/>
        </w:rPr>
        <w:t>129.74</w:t>
      </w:r>
      <w:r w:rsidRPr="00867E2B">
        <w:rPr>
          <w:rFonts w:cs="Times New Roman"/>
          <w:szCs w:val="24"/>
        </w:rPr>
        <w:t xml:space="preserve">/hr to review the data and approve the submission of the community engagement data to CMS.  </w:t>
      </w:r>
      <w:r w:rsidRPr="000B2E30" w:rsidR="00D21E0D">
        <w:rPr>
          <w:rFonts w:eastAsia="Times New Roman" w:cs="Times New Roman"/>
          <w:color w:val="000000" w:themeColor="text1"/>
          <w:szCs w:val="24"/>
        </w:rPr>
        <w:t>In total, we estimate a total annual</w:t>
      </w:r>
      <w:r w:rsidRPr="0067622B" w:rsidR="00D21E0D">
        <w:t xml:space="preserve"> </w:t>
      </w:r>
      <w:r w:rsidRPr="0067622B" w:rsidR="00D21E0D">
        <w:rPr>
          <w:rFonts w:eastAsia="Times New Roman" w:cs="Times New Roman"/>
          <w:color w:val="000000" w:themeColor="text1"/>
          <w:szCs w:val="24"/>
        </w:rPr>
        <w:t xml:space="preserve">burden of </w:t>
      </w:r>
      <w:r w:rsidR="007B54CC">
        <w:rPr>
          <w:rFonts w:eastAsia="Times New Roman" w:cs="Times New Roman"/>
          <w:color w:val="000000" w:themeColor="text1"/>
          <w:szCs w:val="24"/>
        </w:rPr>
        <w:t>4</w:t>
      </w:r>
      <w:r w:rsidRPr="0067622B" w:rsidR="00D21E0D">
        <w:rPr>
          <w:rFonts w:eastAsia="Times New Roman" w:cs="Times New Roman"/>
          <w:color w:val="000000" w:themeColor="text1"/>
          <w:szCs w:val="24"/>
        </w:rPr>
        <w:t>,</w:t>
      </w:r>
      <w:r w:rsidR="007B54CC">
        <w:rPr>
          <w:rFonts w:eastAsia="Times New Roman" w:cs="Times New Roman"/>
          <w:color w:val="000000" w:themeColor="text1"/>
          <w:szCs w:val="24"/>
        </w:rPr>
        <w:t>224</w:t>
      </w:r>
      <w:r w:rsidRPr="0067622B" w:rsidR="00D21E0D">
        <w:rPr>
          <w:rFonts w:eastAsia="Times New Roman" w:cs="Times New Roman"/>
          <w:color w:val="000000" w:themeColor="text1"/>
          <w:szCs w:val="24"/>
        </w:rPr>
        <w:t xml:space="preserve"> hr</w:t>
      </w:r>
      <w:r w:rsidRPr="00867E2B" w:rsidR="00D21E0D">
        <w:rPr>
          <w:rFonts w:cs="Times New Roman"/>
          <w:szCs w:val="24"/>
        </w:rPr>
        <w:t xml:space="preserve"> </w:t>
      </w:r>
      <w:r w:rsidR="00D11723">
        <w:rPr>
          <w:rFonts w:cs="Times New Roman"/>
          <w:szCs w:val="24"/>
        </w:rPr>
        <w:t>(</w:t>
      </w:r>
      <w:r w:rsidRPr="00867E2B" w:rsidR="00D11723">
        <w:rPr>
          <w:rFonts w:cs="Times New Roman"/>
          <w:szCs w:val="24"/>
        </w:rPr>
        <w:t xml:space="preserve">1,056 </w:t>
      </w:r>
      <w:r w:rsidR="00D11723">
        <w:rPr>
          <w:rFonts w:cs="Times New Roman"/>
          <w:szCs w:val="24"/>
        </w:rPr>
        <w:t xml:space="preserve">responses x 4 hr/response) </w:t>
      </w:r>
      <w:r w:rsidR="00D21E0D">
        <w:rPr>
          <w:rFonts w:cs="Times New Roman"/>
          <w:szCs w:val="24"/>
        </w:rPr>
        <w:t xml:space="preserve">at a </w:t>
      </w:r>
      <w:r w:rsidRPr="00867E2B">
        <w:rPr>
          <w:rFonts w:cs="Times New Roman"/>
          <w:szCs w:val="24"/>
        </w:rPr>
        <w:t xml:space="preserve"> cost is $</w:t>
      </w:r>
      <w:r w:rsidR="00D0168F">
        <w:rPr>
          <w:rFonts w:cs="Times New Roman"/>
          <w:szCs w:val="24"/>
        </w:rPr>
        <w:t>500,755</w:t>
      </w:r>
      <w:r w:rsidRPr="00867E2B">
        <w:rPr>
          <w:rFonts w:cs="Times New Roman"/>
          <w:szCs w:val="24"/>
        </w:rPr>
        <w:t xml:space="preserve"> </w:t>
      </w:r>
      <w:r w:rsidR="00704DD5">
        <w:rPr>
          <w:rFonts w:cs="Times New Roman"/>
          <w:szCs w:val="24"/>
        </w:rPr>
        <w:t>(</w:t>
      </w:r>
      <w:r w:rsidRPr="00867E2B">
        <w:rPr>
          <w:rFonts w:cs="Times New Roman"/>
          <w:szCs w:val="24"/>
        </w:rPr>
        <w:t xml:space="preserve">[1,056 </w:t>
      </w:r>
      <w:r w:rsidR="00704DD5">
        <w:rPr>
          <w:rFonts w:cs="Times New Roman"/>
          <w:szCs w:val="24"/>
        </w:rPr>
        <w:t xml:space="preserve">responses </w:t>
      </w:r>
      <w:r w:rsidRPr="00867E2B">
        <w:rPr>
          <w:rFonts w:cs="Times New Roman"/>
          <w:szCs w:val="24"/>
        </w:rPr>
        <w:t xml:space="preserve">x </w:t>
      </w:r>
      <w:r w:rsidR="00704DD5">
        <w:rPr>
          <w:rFonts w:cs="Times New Roman"/>
          <w:szCs w:val="24"/>
        </w:rPr>
        <w:t>[</w:t>
      </w:r>
      <w:r w:rsidRPr="00867E2B">
        <w:rPr>
          <w:rFonts w:cs="Times New Roman"/>
          <w:szCs w:val="24"/>
        </w:rPr>
        <w:t>(3 h</w:t>
      </w:r>
      <w:r w:rsidR="00D21E0D">
        <w:rPr>
          <w:rFonts w:cs="Times New Roman"/>
          <w:szCs w:val="24"/>
        </w:rPr>
        <w:t>r</w:t>
      </w:r>
      <w:r w:rsidRPr="00867E2B">
        <w:rPr>
          <w:rFonts w:cs="Times New Roman"/>
          <w:szCs w:val="24"/>
        </w:rPr>
        <w:t xml:space="preserve"> x $</w:t>
      </w:r>
      <w:r w:rsidR="000D477A">
        <w:rPr>
          <w:rFonts w:cs="Times New Roman"/>
          <w:szCs w:val="24"/>
        </w:rPr>
        <w:t>114.82</w:t>
      </w:r>
      <w:r w:rsidRPr="00867E2B">
        <w:rPr>
          <w:rFonts w:cs="Times New Roman"/>
          <w:szCs w:val="24"/>
        </w:rPr>
        <w:t>/hr) + (1 h</w:t>
      </w:r>
      <w:r w:rsidR="00D21E0D">
        <w:rPr>
          <w:rFonts w:cs="Times New Roman"/>
          <w:szCs w:val="24"/>
        </w:rPr>
        <w:t>r</w:t>
      </w:r>
      <w:r w:rsidRPr="00867E2B">
        <w:rPr>
          <w:rFonts w:cs="Times New Roman"/>
          <w:szCs w:val="24"/>
        </w:rPr>
        <w:t xml:space="preserve"> x $</w:t>
      </w:r>
      <w:r w:rsidR="00192E39">
        <w:rPr>
          <w:rFonts w:cs="Times New Roman"/>
          <w:szCs w:val="24"/>
        </w:rPr>
        <w:t>129.74</w:t>
      </w:r>
      <w:r w:rsidRPr="00867E2B">
        <w:rPr>
          <w:rFonts w:cs="Times New Roman"/>
          <w:szCs w:val="24"/>
        </w:rPr>
        <w:t>/hr)]</w:t>
      </w:r>
      <w:r w:rsidR="00704DD5">
        <w:rPr>
          <w:rFonts w:cs="Times New Roman"/>
          <w:szCs w:val="24"/>
        </w:rPr>
        <w:t>)</w:t>
      </w:r>
      <w:r w:rsidRPr="00867E2B">
        <w:rPr>
          <w:rFonts w:cs="Times New Roman"/>
          <w:szCs w:val="24"/>
        </w:rPr>
        <w:t>.  Assuming a Federal administrative match of 75%, the estimated State share is $</w:t>
      </w:r>
      <w:r w:rsidR="00D0168F">
        <w:rPr>
          <w:rFonts w:cs="Times New Roman"/>
          <w:szCs w:val="24"/>
        </w:rPr>
        <w:t>125,189 (500,755 x 0.25)</w:t>
      </w:r>
      <w:r w:rsidRPr="00867E2B">
        <w:rPr>
          <w:rFonts w:cs="Times New Roman"/>
          <w:szCs w:val="24"/>
        </w:rPr>
        <w:t>.</w:t>
      </w:r>
    </w:p>
    <w:p w:rsidR="00FE4FF0" w:rsidP="00793B69" w14:paraId="36A577B2" w14:textId="77777777">
      <w:pPr>
        <w:spacing w:after="0" w:line="240" w:lineRule="auto"/>
        <w:rPr>
          <w:rFonts w:cs="Times New Roman"/>
          <w:i/>
          <w:iCs/>
          <w:szCs w:val="24"/>
        </w:rPr>
        <w:sectPr w:rsidSect="00FE4FF0">
          <w:type w:val="continuous"/>
          <w:pgSz w:w="12240" w:h="15840" w:code="1"/>
          <w:pgMar w:top="1440" w:right="1440" w:bottom="1440" w:left="1440" w:header="720" w:footer="720" w:gutter="0"/>
          <w:cols w:space="720"/>
          <w:docGrid w:linePitch="360"/>
        </w:sectPr>
      </w:pPr>
    </w:p>
    <w:p w:rsidR="558F8BE0" w:rsidP="00793B69" w14:paraId="306C5C22" w14:textId="19DEFA30">
      <w:pPr>
        <w:spacing w:after="0" w:line="240" w:lineRule="auto"/>
        <w:rPr>
          <w:rFonts w:cs="Times New Roman"/>
          <w:i/>
          <w:iCs/>
          <w:szCs w:val="24"/>
        </w:rPr>
      </w:pPr>
    </w:p>
    <w:tbl>
      <w:tblPr>
        <w:tblStyle w:val="TableGrid"/>
        <w:tblW w:w="10800" w:type="dxa"/>
        <w:tblInd w:w="-185" w:type="dxa"/>
        <w:tblLayout w:type="fixed"/>
        <w:tblLook w:val="04A0"/>
      </w:tblPr>
      <w:tblGrid>
        <w:gridCol w:w="1403"/>
        <w:gridCol w:w="1429"/>
        <w:gridCol w:w="1154"/>
        <w:gridCol w:w="1182"/>
        <w:gridCol w:w="1252"/>
        <w:gridCol w:w="969"/>
        <w:gridCol w:w="1137"/>
        <w:gridCol w:w="1137"/>
        <w:gridCol w:w="1137"/>
      </w:tblGrid>
      <w:tr w14:paraId="4B969334" w14:textId="77777777" w:rsidTr="00465B89">
        <w:tblPrEx>
          <w:tblW w:w="10800" w:type="dxa"/>
          <w:tblInd w:w="-185" w:type="dxa"/>
          <w:tblLayout w:type="fixed"/>
          <w:tblLook w:val="04A0"/>
        </w:tblPrEx>
        <w:tc>
          <w:tcPr>
            <w:tcW w:w="1560" w:type="dxa"/>
            <w:tcBorders>
              <w:top w:val="single" w:sz="4" w:space="0" w:color="auto"/>
              <w:left w:val="single" w:sz="4" w:space="0" w:color="auto"/>
              <w:bottom w:val="single" w:sz="4" w:space="0" w:color="auto"/>
              <w:right w:val="single" w:sz="4" w:space="0" w:color="auto"/>
            </w:tcBorders>
            <w:hideMark/>
          </w:tcPr>
          <w:p w:rsidR="00BA1B63" w:rsidRPr="00954795" w:rsidP="009F0A9A" w14:paraId="1F2A128B" w14:textId="77777777">
            <w:pPr>
              <w:rPr>
                <w:rFonts w:cs="Times New Roman"/>
                <w:bCs/>
                <w:sz w:val="20"/>
                <w:szCs w:val="20"/>
              </w:rPr>
            </w:pPr>
            <w:r w:rsidRPr="00954795">
              <w:rPr>
                <w:rFonts w:cs="Times New Roman"/>
                <w:bCs/>
                <w:sz w:val="20"/>
                <w:szCs w:val="20"/>
              </w:rPr>
              <w:t>Requirements</w:t>
            </w:r>
          </w:p>
        </w:tc>
        <w:tc>
          <w:tcPr>
            <w:tcW w:w="1590" w:type="dxa"/>
            <w:tcBorders>
              <w:top w:val="single" w:sz="4" w:space="0" w:color="auto"/>
              <w:left w:val="single" w:sz="4" w:space="0" w:color="auto"/>
              <w:bottom w:val="single" w:sz="4" w:space="0" w:color="auto"/>
              <w:right w:val="single" w:sz="4" w:space="0" w:color="auto"/>
            </w:tcBorders>
            <w:hideMark/>
          </w:tcPr>
          <w:p w:rsidR="00BA1B63" w:rsidRPr="00954795" w:rsidP="009F0A9A" w14:paraId="2C1618DE" w14:textId="77777777">
            <w:pPr>
              <w:rPr>
                <w:rFonts w:cs="Times New Roman"/>
                <w:bCs/>
                <w:sz w:val="20"/>
                <w:szCs w:val="20"/>
              </w:rPr>
            </w:pPr>
            <w:r w:rsidRPr="00954795">
              <w:rPr>
                <w:rFonts w:cs="Times New Roman"/>
                <w:bCs/>
                <w:sz w:val="20"/>
                <w:szCs w:val="20"/>
              </w:rPr>
              <w:t>Number of Respondents</w:t>
            </w:r>
          </w:p>
        </w:tc>
        <w:tc>
          <w:tcPr>
            <w:tcW w:w="1278" w:type="dxa"/>
            <w:tcBorders>
              <w:top w:val="single" w:sz="4" w:space="0" w:color="auto"/>
              <w:left w:val="single" w:sz="4" w:space="0" w:color="auto"/>
              <w:bottom w:val="single" w:sz="4" w:space="0" w:color="auto"/>
              <w:right w:val="single" w:sz="4" w:space="0" w:color="auto"/>
            </w:tcBorders>
            <w:hideMark/>
          </w:tcPr>
          <w:p w:rsidR="00BA1B63" w:rsidRPr="00954795" w:rsidP="009F0A9A" w14:paraId="66C4C33B" w14:textId="77777777">
            <w:pPr>
              <w:rPr>
                <w:rFonts w:cs="Times New Roman"/>
                <w:bCs/>
                <w:sz w:val="20"/>
                <w:szCs w:val="20"/>
              </w:rPr>
            </w:pPr>
            <w:r w:rsidRPr="00954795">
              <w:rPr>
                <w:rFonts w:cs="Times New Roman"/>
                <w:bCs/>
                <w:sz w:val="20"/>
                <w:szCs w:val="20"/>
              </w:rPr>
              <w:t>Total Number of Responses</w:t>
            </w:r>
          </w:p>
        </w:tc>
        <w:tc>
          <w:tcPr>
            <w:tcW w:w="1309" w:type="dxa"/>
            <w:tcBorders>
              <w:top w:val="single" w:sz="4" w:space="0" w:color="auto"/>
              <w:left w:val="single" w:sz="4" w:space="0" w:color="auto"/>
              <w:bottom w:val="single" w:sz="4" w:space="0" w:color="auto"/>
              <w:right w:val="single" w:sz="4" w:space="0" w:color="auto"/>
            </w:tcBorders>
            <w:hideMark/>
          </w:tcPr>
          <w:p w:rsidR="00BA1B63" w:rsidRPr="00954795" w:rsidP="009F0A9A" w14:paraId="25828C52" w14:textId="77777777">
            <w:pPr>
              <w:rPr>
                <w:rFonts w:cs="Times New Roman"/>
                <w:bCs/>
                <w:sz w:val="20"/>
                <w:szCs w:val="20"/>
              </w:rPr>
            </w:pPr>
            <w:r w:rsidRPr="00954795">
              <w:rPr>
                <w:rFonts w:cs="Times New Roman"/>
                <w:bCs/>
                <w:sz w:val="20"/>
                <w:szCs w:val="20"/>
              </w:rPr>
              <w:t>Time per Response (hours)</w:t>
            </w:r>
          </w:p>
        </w:tc>
        <w:tc>
          <w:tcPr>
            <w:tcW w:w="1389" w:type="dxa"/>
            <w:tcBorders>
              <w:top w:val="single" w:sz="4" w:space="0" w:color="auto"/>
              <w:left w:val="single" w:sz="4" w:space="0" w:color="auto"/>
              <w:bottom w:val="single" w:sz="4" w:space="0" w:color="auto"/>
              <w:right w:val="single" w:sz="4" w:space="0" w:color="auto"/>
            </w:tcBorders>
            <w:hideMark/>
          </w:tcPr>
          <w:p w:rsidR="00BA1B63" w:rsidRPr="00954795" w:rsidP="009F0A9A" w14:paraId="1C4DF01F" w14:textId="77777777">
            <w:pPr>
              <w:rPr>
                <w:rFonts w:cs="Times New Roman"/>
                <w:bCs/>
                <w:sz w:val="20"/>
                <w:szCs w:val="20"/>
              </w:rPr>
            </w:pPr>
            <w:r w:rsidRPr="00954795">
              <w:rPr>
                <w:rFonts w:cs="Times New Roman"/>
                <w:bCs/>
                <w:sz w:val="20"/>
                <w:szCs w:val="20"/>
              </w:rPr>
              <w:t>Total Time (hours)</w:t>
            </w:r>
          </w:p>
        </w:tc>
        <w:tc>
          <w:tcPr>
            <w:tcW w:w="1068" w:type="dxa"/>
            <w:tcBorders>
              <w:top w:val="single" w:sz="4" w:space="0" w:color="auto"/>
              <w:left w:val="single" w:sz="4" w:space="0" w:color="auto"/>
              <w:bottom w:val="single" w:sz="4" w:space="0" w:color="auto"/>
              <w:right w:val="single" w:sz="4" w:space="0" w:color="auto"/>
            </w:tcBorders>
            <w:hideMark/>
          </w:tcPr>
          <w:p w:rsidR="00BA1B63" w:rsidRPr="00954795" w:rsidP="009F0A9A" w14:paraId="75018FED" w14:textId="77777777">
            <w:pPr>
              <w:rPr>
                <w:rFonts w:cs="Times New Roman"/>
                <w:bCs/>
                <w:sz w:val="20"/>
                <w:szCs w:val="20"/>
              </w:rPr>
            </w:pPr>
            <w:r w:rsidRPr="00954795">
              <w:rPr>
                <w:rFonts w:cs="Times New Roman"/>
                <w:bCs/>
                <w:sz w:val="20"/>
                <w:szCs w:val="20"/>
              </w:rPr>
              <w:t>Labor Rate ($/hr)</w:t>
            </w:r>
          </w:p>
        </w:tc>
        <w:tc>
          <w:tcPr>
            <w:tcW w:w="1258" w:type="dxa"/>
            <w:tcBorders>
              <w:top w:val="single" w:sz="4" w:space="0" w:color="auto"/>
              <w:left w:val="single" w:sz="4" w:space="0" w:color="auto"/>
              <w:bottom w:val="single" w:sz="4" w:space="0" w:color="auto"/>
              <w:right w:val="single" w:sz="4" w:space="0" w:color="auto"/>
            </w:tcBorders>
            <w:hideMark/>
          </w:tcPr>
          <w:p w:rsidR="00BA1B63" w:rsidRPr="00954795" w:rsidP="009F0A9A" w14:paraId="57FB7FEA" w14:textId="77777777">
            <w:pPr>
              <w:rPr>
                <w:rFonts w:cs="Times New Roman"/>
                <w:bCs/>
                <w:sz w:val="20"/>
                <w:szCs w:val="20"/>
              </w:rPr>
            </w:pPr>
            <w:r w:rsidRPr="00954795">
              <w:rPr>
                <w:rFonts w:cs="Times New Roman"/>
                <w:bCs/>
                <w:sz w:val="20"/>
                <w:szCs w:val="20"/>
              </w:rPr>
              <w:t>Total Cost ($)</w:t>
            </w:r>
          </w:p>
        </w:tc>
        <w:tc>
          <w:tcPr>
            <w:tcW w:w="1258" w:type="dxa"/>
            <w:tcBorders>
              <w:top w:val="single" w:sz="4" w:space="0" w:color="auto"/>
              <w:left w:val="single" w:sz="4" w:space="0" w:color="auto"/>
              <w:bottom w:val="single" w:sz="4" w:space="0" w:color="auto"/>
              <w:right w:val="single" w:sz="4" w:space="0" w:color="auto"/>
            </w:tcBorders>
          </w:tcPr>
          <w:p w:rsidR="00BA1B63" w:rsidRPr="00954795" w:rsidP="009F0A9A" w14:paraId="666727EB" w14:textId="77777777">
            <w:pPr>
              <w:rPr>
                <w:rFonts w:cs="Times New Roman"/>
                <w:bCs/>
                <w:sz w:val="20"/>
                <w:szCs w:val="20"/>
              </w:rPr>
            </w:pPr>
            <w:r w:rsidRPr="00954795">
              <w:rPr>
                <w:rFonts w:cs="Times New Roman"/>
                <w:bCs/>
                <w:sz w:val="20"/>
                <w:szCs w:val="20"/>
              </w:rPr>
              <w:t>Federal Match ($)</w:t>
            </w:r>
          </w:p>
        </w:tc>
        <w:tc>
          <w:tcPr>
            <w:tcW w:w="1258" w:type="dxa"/>
            <w:tcBorders>
              <w:top w:val="single" w:sz="4" w:space="0" w:color="auto"/>
              <w:left w:val="single" w:sz="4" w:space="0" w:color="auto"/>
              <w:bottom w:val="single" w:sz="4" w:space="0" w:color="auto"/>
              <w:right w:val="single" w:sz="4" w:space="0" w:color="auto"/>
            </w:tcBorders>
            <w:hideMark/>
          </w:tcPr>
          <w:p w:rsidR="00BA1B63" w:rsidRPr="00954795" w:rsidP="009F0A9A" w14:paraId="1E736280" w14:textId="77777777">
            <w:pPr>
              <w:rPr>
                <w:rFonts w:cs="Times New Roman"/>
                <w:bCs/>
                <w:sz w:val="20"/>
                <w:szCs w:val="20"/>
              </w:rPr>
            </w:pPr>
            <w:r w:rsidRPr="00954795">
              <w:rPr>
                <w:rFonts w:cs="Times New Roman"/>
                <w:bCs/>
                <w:sz w:val="20"/>
                <w:szCs w:val="20"/>
              </w:rPr>
              <w:t>State Share ($)</w:t>
            </w:r>
          </w:p>
        </w:tc>
      </w:tr>
      <w:tr w14:paraId="59BCB2C9" w14:textId="77777777" w:rsidTr="00465B89">
        <w:tblPrEx>
          <w:tblW w:w="10800" w:type="dxa"/>
          <w:tblInd w:w="-185" w:type="dxa"/>
          <w:tblLayout w:type="fixed"/>
          <w:tblLook w:val="04A0"/>
        </w:tblPrEx>
        <w:tc>
          <w:tcPr>
            <w:tcW w:w="1560" w:type="dxa"/>
            <w:tcBorders>
              <w:top w:val="single" w:sz="4" w:space="0" w:color="auto"/>
              <w:left w:val="single" w:sz="4" w:space="0" w:color="auto"/>
              <w:bottom w:val="single" w:sz="4" w:space="0" w:color="auto"/>
              <w:right w:val="single" w:sz="4" w:space="0" w:color="auto"/>
            </w:tcBorders>
            <w:vAlign w:val="bottom"/>
          </w:tcPr>
          <w:p w:rsidR="00BA1B63" w:rsidRPr="00954795" w:rsidP="009F0A9A" w14:paraId="339235AA" w14:textId="77777777">
            <w:pPr>
              <w:rPr>
                <w:rFonts w:cs="Times New Roman"/>
                <w:sz w:val="20"/>
                <w:szCs w:val="20"/>
              </w:rPr>
            </w:pPr>
            <w:r w:rsidRPr="00954795">
              <w:rPr>
                <w:rFonts w:cs="Times New Roman"/>
                <w:sz w:val="20"/>
                <w:szCs w:val="20"/>
              </w:rPr>
              <w:t>One-time System and Process Updates (CMS-2454-IFC)</w:t>
            </w:r>
          </w:p>
        </w:tc>
        <w:tc>
          <w:tcPr>
            <w:tcW w:w="1590" w:type="dxa"/>
            <w:tcBorders>
              <w:top w:val="single" w:sz="4" w:space="0" w:color="auto"/>
              <w:left w:val="single" w:sz="4" w:space="0" w:color="auto"/>
              <w:bottom w:val="single" w:sz="4" w:space="0" w:color="auto"/>
              <w:right w:val="single" w:sz="4" w:space="0" w:color="auto"/>
            </w:tcBorders>
          </w:tcPr>
          <w:p w:rsidR="00BA1B63" w:rsidRPr="00954795" w:rsidP="009F0A9A" w14:paraId="0B218205" w14:textId="77777777">
            <w:pPr>
              <w:rPr>
                <w:rFonts w:cs="Times New Roman"/>
                <w:sz w:val="20"/>
                <w:szCs w:val="20"/>
              </w:rPr>
            </w:pPr>
            <w:r w:rsidRPr="00954795">
              <w:rPr>
                <w:rFonts w:cs="Times New Roman"/>
                <w:sz w:val="20"/>
                <w:szCs w:val="20"/>
              </w:rPr>
              <w:t>44 Jurisdictions</w:t>
            </w:r>
          </w:p>
        </w:tc>
        <w:tc>
          <w:tcPr>
            <w:tcW w:w="1278" w:type="dxa"/>
            <w:tcBorders>
              <w:top w:val="single" w:sz="4" w:space="0" w:color="auto"/>
              <w:left w:val="single" w:sz="4" w:space="0" w:color="auto"/>
              <w:bottom w:val="single" w:sz="4" w:space="0" w:color="auto"/>
              <w:right w:val="single" w:sz="4" w:space="0" w:color="auto"/>
            </w:tcBorders>
          </w:tcPr>
          <w:p w:rsidR="00BA1B63" w:rsidRPr="00954795" w:rsidP="009F0A9A" w14:paraId="1F85A354" w14:textId="77777777">
            <w:pPr>
              <w:rPr>
                <w:rFonts w:cs="Times New Roman"/>
                <w:sz w:val="20"/>
                <w:szCs w:val="20"/>
              </w:rPr>
            </w:pPr>
            <w:r w:rsidRPr="00954795">
              <w:rPr>
                <w:rFonts w:cs="Times New Roman"/>
                <w:sz w:val="20"/>
                <w:szCs w:val="20"/>
              </w:rPr>
              <w:t>44</w:t>
            </w:r>
          </w:p>
        </w:tc>
        <w:tc>
          <w:tcPr>
            <w:tcW w:w="1309" w:type="dxa"/>
            <w:tcBorders>
              <w:top w:val="single" w:sz="4" w:space="0" w:color="auto"/>
              <w:left w:val="single" w:sz="4" w:space="0" w:color="auto"/>
              <w:bottom w:val="single" w:sz="4" w:space="0" w:color="auto"/>
              <w:right w:val="single" w:sz="4" w:space="0" w:color="auto"/>
            </w:tcBorders>
          </w:tcPr>
          <w:p w:rsidR="00BA1B63" w:rsidRPr="00954795" w:rsidP="009F0A9A" w14:paraId="64D7991E" w14:textId="77777777">
            <w:pPr>
              <w:rPr>
                <w:rFonts w:cs="Times New Roman"/>
                <w:sz w:val="20"/>
                <w:szCs w:val="20"/>
              </w:rPr>
            </w:pPr>
            <w:r w:rsidRPr="00954795">
              <w:rPr>
                <w:rFonts w:cs="Times New Roman"/>
                <w:sz w:val="20"/>
                <w:szCs w:val="20"/>
              </w:rPr>
              <w:t>162</w:t>
            </w:r>
          </w:p>
        </w:tc>
        <w:tc>
          <w:tcPr>
            <w:tcW w:w="1389" w:type="dxa"/>
            <w:tcBorders>
              <w:top w:val="single" w:sz="4" w:space="0" w:color="auto"/>
              <w:left w:val="single" w:sz="4" w:space="0" w:color="auto"/>
              <w:bottom w:val="single" w:sz="4" w:space="0" w:color="auto"/>
              <w:right w:val="single" w:sz="4" w:space="0" w:color="auto"/>
            </w:tcBorders>
          </w:tcPr>
          <w:p w:rsidR="00BA1B63" w:rsidRPr="00954795" w:rsidP="009F0A9A" w14:paraId="3E19F84E" w14:textId="77777777">
            <w:pPr>
              <w:rPr>
                <w:rFonts w:cs="Times New Roman"/>
                <w:sz w:val="20"/>
                <w:szCs w:val="20"/>
              </w:rPr>
            </w:pPr>
            <w:r w:rsidRPr="00954795">
              <w:rPr>
                <w:rFonts w:cs="Times New Roman"/>
                <w:sz w:val="20"/>
                <w:szCs w:val="20"/>
              </w:rPr>
              <w:t>7,128</w:t>
            </w:r>
          </w:p>
        </w:tc>
        <w:tc>
          <w:tcPr>
            <w:tcW w:w="1068" w:type="dxa"/>
            <w:tcBorders>
              <w:top w:val="single" w:sz="4" w:space="0" w:color="auto"/>
              <w:left w:val="single" w:sz="4" w:space="0" w:color="auto"/>
              <w:bottom w:val="single" w:sz="4" w:space="0" w:color="auto"/>
              <w:right w:val="single" w:sz="4" w:space="0" w:color="auto"/>
            </w:tcBorders>
          </w:tcPr>
          <w:p w:rsidR="00BA1B63" w:rsidRPr="00954795" w:rsidP="009F0A9A" w14:paraId="05578B1A" w14:textId="77777777">
            <w:pPr>
              <w:rPr>
                <w:rFonts w:cs="Times New Roman"/>
                <w:sz w:val="20"/>
                <w:szCs w:val="20"/>
              </w:rPr>
            </w:pPr>
            <w:r w:rsidRPr="00954795">
              <w:rPr>
                <w:rFonts w:cs="Times New Roman"/>
                <w:sz w:val="20"/>
                <w:szCs w:val="20"/>
              </w:rPr>
              <w:t>varies</w:t>
            </w:r>
          </w:p>
        </w:tc>
        <w:tc>
          <w:tcPr>
            <w:tcW w:w="1258" w:type="dxa"/>
            <w:tcBorders>
              <w:top w:val="single" w:sz="4" w:space="0" w:color="auto"/>
              <w:left w:val="single" w:sz="4" w:space="0" w:color="auto"/>
              <w:bottom w:val="single" w:sz="4" w:space="0" w:color="auto"/>
              <w:right w:val="single" w:sz="4" w:space="0" w:color="auto"/>
            </w:tcBorders>
          </w:tcPr>
          <w:p w:rsidR="00BA1B63" w:rsidRPr="00954795" w:rsidP="009F0A9A" w14:paraId="0A8011DB" w14:textId="77777777">
            <w:pPr>
              <w:rPr>
                <w:rFonts w:cs="Times New Roman"/>
                <w:sz w:val="20"/>
                <w:szCs w:val="20"/>
              </w:rPr>
            </w:pPr>
            <w:r w:rsidRPr="00954795">
              <w:rPr>
                <w:rFonts w:cs="Times New Roman"/>
                <w:sz w:val="20"/>
                <w:szCs w:val="20"/>
              </w:rPr>
              <w:t>819,750</w:t>
            </w:r>
          </w:p>
        </w:tc>
        <w:tc>
          <w:tcPr>
            <w:tcW w:w="1258" w:type="dxa"/>
            <w:tcBorders>
              <w:top w:val="single" w:sz="4" w:space="0" w:color="auto"/>
              <w:left w:val="single" w:sz="4" w:space="0" w:color="auto"/>
              <w:bottom w:val="single" w:sz="4" w:space="0" w:color="auto"/>
              <w:right w:val="single" w:sz="4" w:space="0" w:color="auto"/>
            </w:tcBorders>
          </w:tcPr>
          <w:p w:rsidR="00BA1B63" w:rsidRPr="00954795" w:rsidP="009F0A9A" w14:paraId="6E39B4E1" w14:textId="77777777">
            <w:pPr>
              <w:rPr>
                <w:rFonts w:cs="Times New Roman"/>
                <w:sz w:val="20"/>
                <w:szCs w:val="20"/>
              </w:rPr>
            </w:pPr>
            <w:r w:rsidRPr="00954795">
              <w:rPr>
                <w:rFonts w:cs="Times New Roman"/>
                <w:sz w:val="20"/>
                <w:szCs w:val="20"/>
              </w:rPr>
              <w:t>614,813</w:t>
            </w:r>
          </w:p>
        </w:tc>
        <w:tc>
          <w:tcPr>
            <w:tcW w:w="1258" w:type="dxa"/>
            <w:tcBorders>
              <w:top w:val="single" w:sz="4" w:space="0" w:color="auto"/>
              <w:left w:val="single" w:sz="4" w:space="0" w:color="auto"/>
              <w:bottom w:val="single" w:sz="4" w:space="0" w:color="auto"/>
              <w:right w:val="single" w:sz="4" w:space="0" w:color="auto"/>
            </w:tcBorders>
          </w:tcPr>
          <w:p w:rsidR="00BA1B63" w:rsidRPr="00954795" w:rsidP="009F0A9A" w14:paraId="36DD1007" w14:textId="77777777">
            <w:pPr>
              <w:rPr>
                <w:rFonts w:cs="Times New Roman"/>
                <w:sz w:val="20"/>
                <w:szCs w:val="20"/>
              </w:rPr>
            </w:pPr>
            <w:r w:rsidRPr="00954795">
              <w:rPr>
                <w:rFonts w:cs="Times New Roman"/>
                <w:sz w:val="20"/>
                <w:szCs w:val="20"/>
              </w:rPr>
              <w:t>204,938</w:t>
            </w:r>
          </w:p>
        </w:tc>
      </w:tr>
      <w:tr w14:paraId="4AB86EBD" w14:textId="77777777" w:rsidTr="00465B89">
        <w:tblPrEx>
          <w:tblW w:w="10800" w:type="dxa"/>
          <w:tblInd w:w="-185" w:type="dxa"/>
          <w:tblLayout w:type="fixed"/>
          <w:tblLook w:val="04A0"/>
        </w:tblPrEx>
        <w:tc>
          <w:tcPr>
            <w:tcW w:w="1560" w:type="dxa"/>
            <w:tcBorders>
              <w:top w:val="single" w:sz="4" w:space="0" w:color="auto"/>
              <w:left w:val="single" w:sz="4" w:space="0" w:color="auto"/>
              <w:bottom w:val="single" w:sz="4" w:space="0" w:color="auto"/>
              <w:right w:val="single" w:sz="4" w:space="0" w:color="auto"/>
            </w:tcBorders>
            <w:vAlign w:val="bottom"/>
            <w:hideMark/>
          </w:tcPr>
          <w:p w:rsidR="00BA1B63" w:rsidRPr="00954795" w:rsidP="009F0A9A" w14:paraId="3723A57B" w14:textId="77777777">
            <w:pPr>
              <w:rPr>
                <w:rFonts w:cs="Times New Roman"/>
                <w:sz w:val="20"/>
                <w:szCs w:val="20"/>
              </w:rPr>
            </w:pPr>
            <w:r w:rsidRPr="00954795">
              <w:rPr>
                <w:rFonts w:cs="Times New Roman"/>
                <w:sz w:val="20"/>
                <w:szCs w:val="20"/>
              </w:rPr>
              <w:t xml:space="preserve">Monthly Data Monitoring for Community Engagement </w:t>
            </w:r>
            <w:r w:rsidRPr="00954795">
              <w:rPr>
                <w:rFonts w:cs="Times New Roman"/>
                <w:sz w:val="20"/>
                <w:szCs w:val="20"/>
              </w:rPr>
              <w:t>(CMS-2454-IFC)</w:t>
            </w:r>
          </w:p>
        </w:tc>
        <w:tc>
          <w:tcPr>
            <w:tcW w:w="1590" w:type="dxa"/>
            <w:tcBorders>
              <w:top w:val="single" w:sz="4" w:space="0" w:color="auto"/>
              <w:left w:val="single" w:sz="4" w:space="0" w:color="auto"/>
              <w:bottom w:val="single" w:sz="4" w:space="0" w:color="auto"/>
              <w:right w:val="single" w:sz="4" w:space="0" w:color="auto"/>
            </w:tcBorders>
            <w:hideMark/>
          </w:tcPr>
          <w:p w:rsidR="00BA1B63" w:rsidRPr="00954795" w:rsidP="009F0A9A" w14:paraId="6D903F11" w14:textId="77777777">
            <w:pPr>
              <w:rPr>
                <w:rFonts w:cs="Times New Roman"/>
                <w:sz w:val="20"/>
                <w:szCs w:val="20"/>
              </w:rPr>
            </w:pPr>
            <w:r w:rsidRPr="00954795">
              <w:rPr>
                <w:rFonts w:cs="Times New Roman"/>
                <w:sz w:val="20"/>
                <w:szCs w:val="20"/>
              </w:rPr>
              <w:t>44 Jurisdictions</w:t>
            </w:r>
          </w:p>
        </w:tc>
        <w:tc>
          <w:tcPr>
            <w:tcW w:w="1278" w:type="dxa"/>
            <w:tcBorders>
              <w:top w:val="single" w:sz="4" w:space="0" w:color="auto"/>
              <w:left w:val="single" w:sz="4" w:space="0" w:color="auto"/>
              <w:bottom w:val="single" w:sz="4" w:space="0" w:color="auto"/>
              <w:right w:val="single" w:sz="4" w:space="0" w:color="auto"/>
            </w:tcBorders>
            <w:hideMark/>
          </w:tcPr>
          <w:p w:rsidR="00BA1B63" w:rsidRPr="00954795" w:rsidP="009F0A9A" w14:paraId="51D051C8" w14:textId="77777777">
            <w:pPr>
              <w:rPr>
                <w:rFonts w:cs="Times New Roman"/>
                <w:sz w:val="20"/>
                <w:szCs w:val="20"/>
              </w:rPr>
            </w:pPr>
            <w:r w:rsidRPr="00954795">
              <w:rPr>
                <w:rFonts w:cs="Times New Roman"/>
                <w:sz w:val="20"/>
                <w:szCs w:val="20"/>
              </w:rPr>
              <w:t xml:space="preserve">1,056 (44 x 2 responses/month x 12 </w:t>
            </w:r>
            <w:r w:rsidRPr="00954795">
              <w:rPr>
                <w:rFonts w:cs="Times New Roman"/>
                <w:sz w:val="20"/>
                <w:szCs w:val="20"/>
              </w:rPr>
              <w:t>responses/ year)</w:t>
            </w:r>
          </w:p>
        </w:tc>
        <w:tc>
          <w:tcPr>
            <w:tcW w:w="1309" w:type="dxa"/>
            <w:tcBorders>
              <w:top w:val="single" w:sz="4" w:space="0" w:color="auto"/>
              <w:left w:val="single" w:sz="4" w:space="0" w:color="auto"/>
              <w:bottom w:val="single" w:sz="4" w:space="0" w:color="auto"/>
              <w:right w:val="single" w:sz="4" w:space="0" w:color="auto"/>
            </w:tcBorders>
            <w:hideMark/>
          </w:tcPr>
          <w:p w:rsidR="00BA1B63" w:rsidRPr="00954795" w:rsidP="009F0A9A" w14:paraId="3FDE40FF" w14:textId="77777777">
            <w:pPr>
              <w:rPr>
                <w:rFonts w:cs="Times New Roman"/>
                <w:sz w:val="20"/>
                <w:szCs w:val="20"/>
              </w:rPr>
            </w:pPr>
            <w:r w:rsidRPr="00954795">
              <w:rPr>
                <w:rFonts w:cs="Times New Roman"/>
                <w:sz w:val="20"/>
                <w:szCs w:val="20"/>
              </w:rPr>
              <w:t>4</w:t>
            </w:r>
          </w:p>
        </w:tc>
        <w:tc>
          <w:tcPr>
            <w:tcW w:w="1389" w:type="dxa"/>
            <w:tcBorders>
              <w:top w:val="single" w:sz="4" w:space="0" w:color="auto"/>
              <w:left w:val="single" w:sz="4" w:space="0" w:color="auto"/>
              <w:bottom w:val="single" w:sz="4" w:space="0" w:color="auto"/>
              <w:right w:val="single" w:sz="4" w:space="0" w:color="auto"/>
            </w:tcBorders>
            <w:hideMark/>
          </w:tcPr>
          <w:p w:rsidR="00BA1B63" w:rsidRPr="00954795" w:rsidP="009F0A9A" w14:paraId="4C703A39" w14:textId="77777777">
            <w:pPr>
              <w:rPr>
                <w:rFonts w:cs="Times New Roman"/>
                <w:sz w:val="20"/>
                <w:szCs w:val="20"/>
              </w:rPr>
            </w:pPr>
            <w:r w:rsidRPr="00954795">
              <w:rPr>
                <w:rFonts w:cs="Times New Roman"/>
                <w:sz w:val="20"/>
                <w:szCs w:val="20"/>
              </w:rPr>
              <w:t>4,224</w:t>
            </w:r>
          </w:p>
        </w:tc>
        <w:tc>
          <w:tcPr>
            <w:tcW w:w="1068" w:type="dxa"/>
            <w:tcBorders>
              <w:top w:val="single" w:sz="4" w:space="0" w:color="auto"/>
              <w:left w:val="single" w:sz="4" w:space="0" w:color="auto"/>
              <w:bottom w:val="single" w:sz="4" w:space="0" w:color="auto"/>
              <w:right w:val="single" w:sz="4" w:space="0" w:color="auto"/>
            </w:tcBorders>
            <w:hideMark/>
          </w:tcPr>
          <w:p w:rsidR="00BA1B63" w:rsidRPr="00954795" w:rsidP="009F0A9A" w14:paraId="08767068" w14:textId="77777777">
            <w:pPr>
              <w:rPr>
                <w:rFonts w:cs="Times New Roman"/>
                <w:sz w:val="20"/>
                <w:szCs w:val="20"/>
              </w:rPr>
            </w:pPr>
            <w:r w:rsidRPr="00954795">
              <w:rPr>
                <w:rFonts w:cs="Times New Roman"/>
                <w:sz w:val="20"/>
                <w:szCs w:val="20"/>
              </w:rPr>
              <w:t>Varies</w:t>
            </w:r>
          </w:p>
        </w:tc>
        <w:tc>
          <w:tcPr>
            <w:tcW w:w="1258" w:type="dxa"/>
            <w:tcBorders>
              <w:top w:val="single" w:sz="4" w:space="0" w:color="auto"/>
              <w:left w:val="single" w:sz="4" w:space="0" w:color="auto"/>
              <w:bottom w:val="single" w:sz="4" w:space="0" w:color="auto"/>
              <w:right w:val="single" w:sz="4" w:space="0" w:color="auto"/>
            </w:tcBorders>
            <w:hideMark/>
          </w:tcPr>
          <w:p w:rsidR="00BA1B63" w:rsidRPr="00954795" w:rsidP="009F0A9A" w14:paraId="42C2F523" w14:textId="77777777">
            <w:pPr>
              <w:rPr>
                <w:rFonts w:cs="Times New Roman"/>
                <w:sz w:val="20"/>
                <w:szCs w:val="20"/>
              </w:rPr>
            </w:pPr>
            <w:r w:rsidRPr="00954795">
              <w:rPr>
                <w:rFonts w:cs="Times New Roman"/>
                <w:sz w:val="20"/>
                <w:szCs w:val="20"/>
              </w:rPr>
              <w:t>500,755</w:t>
            </w:r>
          </w:p>
        </w:tc>
        <w:tc>
          <w:tcPr>
            <w:tcW w:w="1258" w:type="dxa"/>
            <w:tcBorders>
              <w:top w:val="single" w:sz="4" w:space="0" w:color="auto"/>
              <w:left w:val="single" w:sz="4" w:space="0" w:color="auto"/>
              <w:bottom w:val="single" w:sz="4" w:space="0" w:color="auto"/>
              <w:right w:val="single" w:sz="4" w:space="0" w:color="auto"/>
            </w:tcBorders>
          </w:tcPr>
          <w:p w:rsidR="00BA1B63" w:rsidRPr="00954795" w:rsidP="009F0A9A" w14:paraId="4C4311C3" w14:textId="77777777">
            <w:pPr>
              <w:rPr>
                <w:rFonts w:cs="Times New Roman"/>
                <w:sz w:val="20"/>
                <w:szCs w:val="20"/>
              </w:rPr>
            </w:pPr>
            <w:r w:rsidRPr="00954795">
              <w:rPr>
                <w:rFonts w:cs="Times New Roman"/>
                <w:sz w:val="20"/>
                <w:szCs w:val="20"/>
              </w:rPr>
              <w:t>375,566</w:t>
            </w:r>
          </w:p>
        </w:tc>
        <w:tc>
          <w:tcPr>
            <w:tcW w:w="1258" w:type="dxa"/>
            <w:tcBorders>
              <w:top w:val="single" w:sz="4" w:space="0" w:color="auto"/>
              <w:left w:val="single" w:sz="4" w:space="0" w:color="auto"/>
              <w:bottom w:val="single" w:sz="4" w:space="0" w:color="auto"/>
              <w:right w:val="single" w:sz="4" w:space="0" w:color="auto"/>
            </w:tcBorders>
            <w:hideMark/>
          </w:tcPr>
          <w:p w:rsidR="00BA1B63" w:rsidRPr="00954795" w:rsidP="009F0A9A" w14:paraId="440D3BB5" w14:textId="77777777">
            <w:pPr>
              <w:rPr>
                <w:rFonts w:cs="Times New Roman"/>
                <w:sz w:val="20"/>
                <w:szCs w:val="20"/>
              </w:rPr>
            </w:pPr>
            <w:r w:rsidRPr="00954795">
              <w:rPr>
                <w:rFonts w:cs="Times New Roman"/>
                <w:sz w:val="20"/>
                <w:szCs w:val="20"/>
              </w:rPr>
              <w:t>125,189</w:t>
            </w:r>
          </w:p>
        </w:tc>
      </w:tr>
      <w:tr w14:paraId="546A7BFE" w14:textId="77777777" w:rsidTr="00465B89">
        <w:tblPrEx>
          <w:tblW w:w="10800" w:type="dxa"/>
          <w:tblInd w:w="-185" w:type="dxa"/>
          <w:tblLayout w:type="fixed"/>
          <w:tblLook w:val="04A0"/>
        </w:tblPrEx>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BA1B63" w:rsidRPr="00954795" w:rsidP="009F0A9A" w14:paraId="207D164A" w14:textId="77777777">
            <w:pPr>
              <w:rPr>
                <w:rFonts w:cs="Times New Roman"/>
                <w:sz w:val="20"/>
                <w:szCs w:val="20"/>
              </w:rPr>
            </w:pPr>
            <w:r w:rsidRPr="00954795">
              <w:rPr>
                <w:rFonts w:cs="Times New Roman"/>
                <w:sz w:val="20"/>
                <w:szCs w:val="20"/>
              </w:rPr>
              <w:t>TOTAL</w:t>
            </w:r>
          </w:p>
        </w:tc>
        <w:tc>
          <w:tcPr>
            <w:tcW w:w="159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BA1B63" w:rsidRPr="00954795" w:rsidP="009F0A9A" w14:paraId="79CCCF40" w14:textId="0C9F6C4C">
            <w:pPr>
              <w:rPr>
                <w:rFonts w:cs="Times New Roman"/>
                <w:sz w:val="20"/>
                <w:szCs w:val="20"/>
              </w:rPr>
            </w:pPr>
            <w:r w:rsidRPr="00954795">
              <w:rPr>
                <w:rFonts w:cs="Times New Roman"/>
                <w:sz w:val="20"/>
                <w:szCs w:val="20"/>
              </w:rPr>
              <w:t>44</w:t>
            </w:r>
            <w:r w:rsidRPr="00954795">
              <w:rPr>
                <w:rFonts w:cs="Times New Roman"/>
                <w:sz w:val="20"/>
                <w:szCs w:val="20"/>
              </w:rPr>
              <w:t xml:space="preserve"> Jurisdictions</w:t>
            </w:r>
          </w:p>
        </w:tc>
        <w:tc>
          <w:tcPr>
            <w:tcW w:w="127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BA1B63" w:rsidRPr="00954795" w:rsidP="009F0A9A" w14:paraId="4137B732" w14:textId="0423E49A">
            <w:pPr>
              <w:rPr>
                <w:rFonts w:cs="Times New Roman"/>
                <w:sz w:val="20"/>
                <w:szCs w:val="20"/>
              </w:rPr>
            </w:pPr>
            <w:r w:rsidRPr="00954795">
              <w:rPr>
                <w:rFonts w:cs="Times New Roman"/>
                <w:sz w:val="20"/>
                <w:szCs w:val="20"/>
              </w:rPr>
              <w:t>1</w:t>
            </w:r>
            <w:r w:rsidRPr="00954795">
              <w:rPr>
                <w:rFonts w:cs="Times New Roman"/>
                <w:sz w:val="20"/>
                <w:szCs w:val="20"/>
              </w:rPr>
              <w:t>,</w:t>
            </w:r>
            <w:r w:rsidRPr="00954795">
              <w:rPr>
                <w:rFonts w:cs="Times New Roman"/>
                <w:sz w:val="20"/>
                <w:szCs w:val="20"/>
              </w:rPr>
              <w:t>100</w:t>
            </w:r>
          </w:p>
        </w:tc>
        <w:tc>
          <w:tcPr>
            <w:tcW w:w="130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BA1B63" w:rsidRPr="00954795" w:rsidP="009F0A9A" w14:paraId="117BD734" w14:textId="77777777">
            <w:pPr>
              <w:rPr>
                <w:rFonts w:cs="Times New Roman"/>
                <w:sz w:val="20"/>
                <w:szCs w:val="20"/>
              </w:rPr>
            </w:pPr>
            <w:r w:rsidRPr="00954795">
              <w:rPr>
                <w:rFonts w:cs="Times New Roman"/>
                <w:sz w:val="20"/>
                <w:szCs w:val="20"/>
              </w:rPr>
              <w:t>varies</w:t>
            </w:r>
          </w:p>
        </w:tc>
        <w:tc>
          <w:tcPr>
            <w:tcW w:w="138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BA1B63" w:rsidRPr="00954795" w:rsidP="009F0A9A" w14:paraId="56FB97CB" w14:textId="38B88CB5">
            <w:pPr>
              <w:rPr>
                <w:rFonts w:cs="Times New Roman"/>
                <w:sz w:val="20"/>
                <w:szCs w:val="20"/>
              </w:rPr>
            </w:pPr>
            <w:r w:rsidRPr="00954795">
              <w:rPr>
                <w:sz w:val="20"/>
                <w:szCs w:val="20"/>
              </w:rPr>
              <w:t>11</w:t>
            </w:r>
            <w:r w:rsidRPr="00954795">
              <w:rPr>
                <w:rFonts w:cs="Times New Roman"/>
                <w:sz w:val="20"/>
                <w:szCs w:val="20"/>
              </w:rPr>
              <w:t>,</w:t>
            </w:r>
            <w:r w:rsidRPr="00954795">
              <w:rPr>
                <w:rFonts w:cs="Times New Roman"/>
                <w:sz w:val="20"/>
                <w:szCs w:val="20"/>
              </w:rPr>
              <w:t>352</w:t>
            </w:r>
          </w:p>
        </w:tc>
        <w:tc>
          <w:tcPr>
            <w:tcW w:w="106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BA1B63" w:rsidRPr="00954795" w:rsidP="009F0A9A" w14:paraId="0CFB1F8A" w14:textId="77777777">
            <w:pPr>
              <w:rPr>
                <w:rFonts w:cs="Times New Roman"/>
                <w:sz w:val="20"/>
                <w:szCs w:val="20"/>
              </w:rPr>
            </w:pPr>
            <w:r w:rsidRPr="00954795">
              <w:rPr>
                <w:rFonts w:cs="Times New Roman"/>
                <w:sz w:val="20"/>
                <w:szCs w:val="20"/>
              </w:rPr>
              <w:t>Varies</w:t>
            </w:r>
          </w:p>
        </w:tc>
        <w:tc>
          <w:tcPr>
            <w:tcW w:w="125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BA1B63" w:rsidRPr="00954795" w:rsidP="009F0A9A" w14:paraId="18F5ADFA" w14:textId="1BBEC99F">
            <w:pPr>
              <w:rPr>
                <w:rFonts w:cs="Times New Roman"/>
                <w:sz w:val="20"/>
                <w:szCs w:val="20"/>
              </w:rPr>
            </w:pPr>
            <w:r w:rsidRPr="00954795">
              <w:rPr>
                <w:rFonts w:cs="Times New Roman"/>
                <w:sz w:val="20"/>
                <w:szCs w:val="20"/>
              </w:rPr>
              <w:t>1,320,505</w:t>
            </w:r>
          </w:p>
        </w:tc>
        <w:tc>
          <w:tcPr>
            <w:tcW w:w="125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A1B63" w:rsidRPr="00954795" w:rsidP="009F0A9A" w14:paraId="2420162E" w14:textId="14DADBD0">
            <w:pPr>
              <w:rPr>
                <w:rFonts w:cs="Times New Roman"/>
                <w:sz w:val="20"/>
                <w:szCs w:val="20"/>
              </w:rPr>
            </w:pPr>
            <w:r w:rsidRPr="00954795">
              <w:rPr>
                <w:rFonts w:cs="Times New Roman"/>
                <w:sz w:val="20"/>
                <w:szCs w:val="20"/>
              </w:rPr>
              <w:t>990,379</w:t>
            </w:r>
          </w:p>
        </w:tc>
        <w:tc>
          <w:tcPr>
            <w:tcW w:w="125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BA1B63" w:rsidRPr="00954795" w:rsidP="009F0A9A" w14:paraId="7DFFABB0" w14:textId="04BABB08">
            <w:pPr>
              <w:rPr>
                <w:rFonts w:cs="Times New Roman"/>
                <w:sz w:val="20"/>
                <w:szCs w:val="20"/>
              </w:rPr>
            </w:pPr>
            <w:r w:rsidRPr="00954795">
              <w:rPr>
                <w:rFonts w:cs="Times New Roman"/>
                <w:sz w:val="20"/>
                <w:szCs w:val="20"/>
              </w:rPr>
              <w:t>330,127</w:t>
            </w:r>
          </w:p>
        </w:tc>
      </w:tr>
    </w:tbl>
    <w:p w:rsidR="00BA1B63" w:rsidP="00793B69" w14:paraId="643F9771" w14:textId="77777777">
      <w:pPr>
        <w:spacing w:after="0" w:line="240" w:lineRule="auto"/>
        <w:rPr>
          <w:rFonts w:cs="Times New Roman"/>
          <w:i/>
          <w:iCs/>
          <w:szCs w:val="24"/>
        </w:rPr>
      </w:pPr>
    </w:p>
    <w:p w:rsidR="00867E2B" w:rsidRPr="00867E2B" w:rsidP="00793B69" w14:paraId="4C0A2CC7" w14:textId="77777777">
      <w:pPr>
        <w:spacing w:after="0" w:line="240" w:lineRule="auto"/>
        <w:rPr>
          <w:rFonts w:cs="Times New Roman"/>
          <w:i/>
          <w:iCs/>
          <w:szCs w:val="24"/>
        </w:rPr>
      </w:pPr>
      <w:r w:rsidRPr="004F79A8">
        <w:rPr>
          <w:rFonts w:cs="Times New Roman"/>
          <w:i/>
          <w:iCs/>
          <w:szCs w:val="24"/>
        </w:rPr>
        <w:t>Annual Burden Summary</w:t>
      </w:r>
    </w:p>
    <w:p w:rsidR="00867E2B" w:rsidRPr="00867E2B" w:rsidP="00793B69" w14:paraId="3D64A223" w14:textId="77777777">
      <w:pPr>
        <w:spacing w:after="0" w:line="240" w:lineRule="auto"/>
        <w:rPr>
          <w:rFonts w:cs="Times New Roman"/>
          <w:i/>
          <w:iCs/>
          <w:szCs w:val="24"/>
        </w:rPr>
      </w:pPr>
    </w:p>
    <w:tbl>
      <w:tblPr>
        <w:tblStyle w:val="TableGrid"/>
        <w:tblW w:w="10800" w:type="dxa"/>
        <w:tblInd w:w="-185" w:type="dxa"/>
        <w:tblLayout w:type="fixed"/>
        <w:tblLook w:val="04A0"/>
      </w:tblPr>
      <w:tblGrid>
        <w:gridCol w:w="1403"/>
        <w:gridCol w:w="1429"/>
        <w:gridCol w:w="1154"/>
        <w:gridCol w:w="1182"/>
        <w:gridCol w:w="1252"/>
        <w:gridCol w:w="969"/>
        <w:gridCol w:w="1137"/>
        <w:gridCol w:w="1137"/>
        <w:gridCol w:w="1137"/>
      </w:tblGrid>
      <w:tr w14:paraId="22FD1765" w14:textId="77777777" w:rsidTr="00465B89">
        <w:tblPrEx>
          <w:tblW w:w="10800" w:type="dxa"/>
          <w:tblInd w:w="-185" w:type="dxa"/>
          <w:tblLayout w:type="fixed"/>
          <w:tblLook w:val="04A0"/>
        </w:tblPrEx>
        <w:tc>
          <w:tcPr>
            <w:tcW w:w="1560" w:type="dxa"/>
            <w:tcBorders>
              <w:top w:val="single" w:sz="4" w:space="0" w:color="auto"/>
              <w:left w:val="single" w:sz="4" w:space="0" w:color="auto"/>
              <w:bottom w:val="single" w:sz="4" w:space="0" w:color="auto"/>
              <w:right w:val="single" w:sz="4" w:space="0" w:color="auto"/>
            </w:tcBorders>
            <w:hideMark/>
          </w:tcPr>
          <w:p w:rsidR="00A7659E" w:rsidRPr="00DE4E58" w:rsidP="00465B89" w14:paraId="58ACFC5E" w14:textId="77777777">
            <w:pPr>
              <w:widowControl w:val="0"/>
              <w:rPr>
                <w:rFonts w:cs="Times New Roman"/>
                <w:bCs/>
                <w:sz w:val="20"/>
                <w:szCs w:val="20"/>
              </w:rPr>
            </w:pPr>
            <w:r w:rsidRPr="00DE4E58">
              <w:rPr>
                <w:rFonts w:cs="Times New Roman"/>
                <w:bCs/>
                <w:sz w:val="20"/>
                <w:szCs w:val="20"/>
              </w:rPr>
              <w:t>Requirements</w:t>
            </w:r>
          </w:p>
        </w:tc>
        <w:tc>
          <w:tcPr>
            <w:tcW w:w="1590" w:type="dxa"/>
            <w:tcBorders>
              <w:top w:val="single" w:sz="4" w:space="0" w:color="auto"/>
              <w:left w:val="single" w:sz="4" w:space="0" w:color="auto"/>
              <w:bottom w:val="single" w:sz="4" w:space="0" w:color="auto"/>
              <w:right w:val="single" w:sz="4" w:space="0" w:color="auto"/>
            </w:tcBorders>
            <w:hideMark/>
          </w:tcPr>
          <w:p w:rsidR="00A7659E" w:rsidRPr="00DE4E58" w:rsidP="00465B89" w14:paraId="7F5A9250" w14:textId="77777777">
            <w:pPr>
              <w:widowControl w:val="0"/>
              <w:rPr>
                <w:rFonts w:cs="Times New Roman"/>
                <w:bCs/>
                <w:sz w:val="20"/>
                <w:szCs w:val="20"/>
              </w:rPr>
            </w:pPr>
            <w:r w:rsidRPr="00DE4E58">
              <w:rPr>
                <w:rFonts w:cs="Times New Roman"/>
                <w:bCs/>
                <w:sz w:val="20"/>
                <w:szCs w:val="20"/>
              </w:rPr>
              <w:t>Number of Respondents</w:t>
            </w:r>
          </w:p>
        </w:tc>
        <w:tc>
          <w:tcPr>
            <w:tcW w:w="1278" w:type="dxa"/>
            <w:tcBorders>
              <w:top w:val="single" w:sz="4" w:space="0" w:color="auto"/>
              <w:left w:val="single" w:sz="4" w:space="0" w:color="auto"/>
              <w:bottom w:val="single" w:sz="4" w:space="0" w:color="auto"/>
              <w:right w:val="single" w:sz="4" w:space="0" w:color="auto"/>
            </w:tcBorders>
            <w:hideMark/>
          </w:tcPr>
          <w:p w:rsidR="00A7659E" w:rsidRPr="00DE4E58" w:rsidP="00465B89" w14:paraId="50AC040B" w14:textId="77777777">
            <w:pPr>
              <w:widowControl w:val="0"/>
              <w:rPr>
                <w:rFonts w:cs="Times New Roman"/>
                <w:bCs/>
                <w:sz w:val="20"/>
                <w:szCs w:val="20"/>
              </w:rPr>
            </w:pPr>
            <w:r w:rsidRPr="00DE4E58">
              <w:rPr>
                <w:rFonts w:cs="Times New Roman"/>
                <w:bCs/>
                <w:sz w:val="20"/>
                <w:szCs w:val="20"/>
              </w:rPr>
              <w:t>Total Number of Responses</w:t>
            </w:r>
          </w:p>
        </w:tc>
        <w:tc>
          <w:tcPr>
            <w:tcW w:w="1309" w:type="dxa"/>
            <w:tcBorders>
              <w:top w:val="single" w:sz="4" w:space="0" w:color="auto"/>
              <w:left w:val="single" w:sz="4" w:space="0" w:color="auto"/>
              <w:bottom w:val="single" w:sz="4" w:space="0" w:color="auto"/>
              <w:right w:val="single" w:sz="4" w:space="0" w:color="auto"/>
            </w:tcBorders>
            <w:hideMark/>
          </w:tcPr>
          <w:p w:rsidR="00A7659E" w:rsidRPr="00DE4E58" w:rsidP="00465B89" w14:paraId="7223F2EF" w14:textId="77777777">
            <w:pPr>
              <w:widowControl w:val="0"/>
              <w:rPr>
                <w:rFonts w:cs="Times New Roman"/>
                <w:bCs/>
                <w:sz w:val="20"/>
                <w:szCs w:val="20"/>
              </w:rPr>
            </w:pPr>
            <w:r w:rsidRPr="00DE4E58">
              <w:rPr>
                <w:rFonts w:cs="Times New Roman"/>
                <w:bCs/>
                <w:sz w:val="20"/>
                <w:szCs w:val="20"/>
              </w:rPr>
              <w:t>Time per Response (hours)</w:t>
            </w:r>
          </w:p>
        </w:tc>
        <w:tc>
          <w:tcPr>
            <w:tcW w:w="1389" w:type="dxa"/>
            <w:tcBorders>
              <w:top w:val="single" w:sz="4" w:space="0" w:color="auto"/>
              <w:left w:val="single" w:sz="4" w:space="0" w:color="auto"/>
              <w:bottom w:val="single" w:sz="4" w:space="0" w:color="auto"/>
              <w:right w:val="single" w:sz="4" w:space="0" w:color="auto"/>
            </w:tcBorders>
            <w:hideMark/>
          </w:tcPr>
          <w:p w:rsidR="00A7659E" w:rsidRPr="00DE4E58" w:rsidP="00465B89" w14:paraId="682BABF7" w14:textId="77777777">
            <w:pPr>
              <w:widowControl w:val="0"/>
              <w:rPr>
                <w:rFonts w:cs="Times New Roman"/>
                <w:bCs/>
                <w:sz w:val="20"/>
                <w:szCs w:val="20"/>
              </w:rPr>
            </w:pPr>
            <w:r w:rsidRPr="00DE4E58">
              <w:rPr>
                <w:rFonts w:cs="Times New Roman"/>
                <w:bCs/>
                <w:sz w:val="20"/>
                <w:szCs w:val="20"/>
              </w:rPr>
              <w:t>Total Time (hours)</w:t>
            </w:r>
          </w:p>
        </w:tc>
        <w:tc>
          <w:tcPr>
            <w:tcW w:w="1068" w:type="dxa"/>
            <w:tcBorders>
              <w:top w:val="single" w:sz="4" w:space="0" w:color="auto"/>
              <w:left w:val="single" w:sz="4" w:space="0" w:color="auto"/>
              <w:bottom w:val="single" w:sz="4" w:space="0" w:color="auto"/>
              <w:right w:val="single" w:sz="4" w:space="0" w:color="auto"/>
            </w:tcBorders>
            <w:hideMark/>
          </w:tcPr>
          <w:p w:rsidR="00A7659E" w:rsidRPr="00DE4E58" w:rsidP="00465B89" w14:paraId="6E71075B" w14:textId="77777777">
            <w:pPr>
              <w:widowControl w:val="0"/>
              <w:rPr>
                <w:rFonts w:cs="Times New Roman"/>
                <w:bCs/>
                <w:sz w:val="20"/>
                <w:szCs w:val="20"/>
              </w:rPr>
            </w:pPr>
            <w:r w:rsidRPr="00DE4E58">
              <w:rPr>
                <w:rFonts w:cs="Times New Roman"/>
                <w:bCs/>
                <w:sz w:val="20"/>
                <w:szCs w:val="20"/>
              </w:rPr>
              <w:t>Labor Rate ($/hr)</w:t>
            </w:r>
          </w:p>
        </w:tc>
        <w:tc>
          <w:tcPr>
            <w:tcW w:w="1258" w:type="dxa"/>
            <w:tcBorders>
              <w:top w:val="single" w:sz="4" w:space="0" w:color="auto"/>
              <w:left w:val="single" w:sz="4" w:space="0" w:color="auto"/>
              <w:bottom w:val="single" w:sz="4" w:space="0" w:color="auto"/>
              <w:right w:val="single" w:sz="4" w:space="0" w:color="auto"/>
            </w:tcBorders>
            <w:hideMark/>
          </w:tcPr>
          <w:p w:rsidR="00A7659E" w:rsidRPr="00DE4E58" w:rsidP="00465B89" w14:paraId="01342C18" w14:textId="77777777">
            <w:pPr>
              <w:widowControl w:val="0"/>
              <w:rPr>
                <w:rFonts w:cs="Times New Roman"/>
                <w:bCs/>
                <w:sz w:val="20"/>
                <w:szCs w:val="20"/>
              </w:rPr>
            </w:pPr>
            <w:r w:rsidRPr="00DE4E58">
              <w:rPr>
                <w:rFonts w:cs="Times New Roman"/>
                <w:bCs/>
                <w:sz w:val="20"/>
                <w:szCs w:val="20"/>
              </w:rPr>
              <w:t>Total Cost ($)</w:t>
            </w:r>
          </w:p>
        </w:tc>
        <w:tc>
          <w:tcPr>
            <w:tcW w:w="1258" w:type="dxa"/>
            <w:tcBorders>
              <w:top w:val="single" w:sz="4" w:space="0" w:color="auto"/>
              <w:left w:val="single" w:sz="4" w:space="0" w:color="auto"/>
              <w:bottom w:val="single" w:sz="4" w:space="0" w:color="auto"/>
              <w:right w:val="single" w:sz="4" w:space="0" w:color="auto"/>
            </w:tcBorders>
          </w:tcPr>
          <w:p w:rsidR="00A7659E" w:rsidRPr="00DE4E58" w:rsidP="00465B89" w14:paraId="4D018DC1" w14:textId="2E1B560B">
            <w:pPr>
              <w:widowControl w:val="0"/>
              <w:rPr>
                <w:rFonts w:cs="Times New Roman"/>
                <w:bCs/>
                <w:sz w:val="20"/>
                <w:szCs w:val="20"/>
              </w:rPr>
            </w:pPr>
            <w:r>
              <w:rPr>
                <w:rFonts w:cs="Times New Roman"/>
                <w:bCs/>
                <w:sz w:val="20"/>
                <w:szCs w:val="20"/>
              </w:rPr>
              <w:t xml:space="preserve">Federal Match </w:t>
            </w:r>
            <w:r w:rsidRPr="00DE4E58">
              <w:rPr>
                <w:rFonts w:cs="Times New Roman"/>
                <w:bCs/>
                <w:sz w:val="20"/>
                <w:szCs w:val="20"/>
              </w:rPr>
              <w:t>($)</w:t>
            </w:r>
          </w:p>
        </w:tc>
        <w:tc>
          <w:tcPr>
            <w:tcW w:w="1258" w:type="dxa"/>
            <w:tcBorders>
              <w:top w:val="single" w:sz="4" w:space="0" w:color="auto"/>
              <w:left w:val="single" w:sz="4" w:space="0" w:color="auto"/>
              <w:bottom w:val="single" w:sz="4" w:space="0" w:color="auto"/>
              <w:right w:val="single" w:sz="4" w:space="0" w:color="auto"/>
            </w:tcBorders>
            <w:hideMark/>
          </w:tcPr>
          <w:p w:rsidR="00A7659E" w:rsidRPr="00DE4E58" w:rsidP="00465B89" w14:paraId="498C35E9" w14:textId="1477A4FF">
            <w:pPr>
              <w:widowControl w:val="0"/>
              <w:rPr>
                <w:rFonts w:cs="Times New Roman"/>
                <w:bCs/>
                <w:sz w:val="20"/>
                <w:szCs w:val="20"/>
              </w:rPr>
            </w:pPr>
            <w:r w:rsidRPr="00DE4E58">
              <w:rPr>
                <w:rFonts w:cs="Times New Roman"/>
                <w:bCs/>
                <w:sz w:val="20"/>
                <w:szCs w:val="20"/>
              </w:rPr>
              <w:t>State Share ($)</w:t>
            </w:r>
          </w:p>
        </w:tc>
      </w:tr>
      <w:tr w14:paraId="45E14A7B" w14:textId="77777777" w:rsidTr="00465B89">
        <w:tblPrEx>
          <w:tblW w:w="10800" w:type="dxa"/>
          <w:tblInd w:w="-185" w:type="dxa"/>
          <w:tblLayout w:type="fixed"/>
          <w:tblLook w:val="04A0"/>
        </w:tblPrEx>
        <w:tc>
          <w:tcPr>
            <w:tcW w:w="1560" w:type="dxa"/>
            <w:tcBorders>
              <w:top w:val="single" w:sz="4" w:space="0" w:color="auto"/>
              <w:left w:val="single" w:sz="4" w:space="0" w:color="auto"/>
              <w:bottom w:val="single" w:sz="4" w:space="0" w:color="auto"/>
              <w:right w:val="single" w:sz="4" w:space="0" w:color="auto"/>
            </w:tcBorders>
            <w:vAlign w:val="bottom"/>
            <w:hideMark/>
          </w:tcPr>
          <w:p w:rsidR="00A7659E" w:rsidRPr="00DE4E58" w:rsidP="00465B89" w14:paraId="62774446" w14:textId="5AAA846B">
            <w:pPr>
              <w:widowControl w:val="0"/>
              <w:rPr>
                <w:rFonts w:cs="Times New Roman"/>
                <w:sz w:val="20"/>
                <w:szCs w:val="20"/>
              </w:rPr>
            </w:pPr>
            <w:r>
              <w:rPr>
                <w:rFonts w:cs="Times New Roman"/>
                <w:sz w:val="20"/>
                <w:szCs w:val="20"/>
              </w:rPr>
              <w:t xml:space="preserve">Currently Approved </w:t>
            </w:r>
            <w:r w:rsidR="00474425">
              <w:rPr>
                <w:rFonts w:cs="Times New Roman"/>
                <w:sz w:val="20"/>
                <w:szCs w:val="20"/>
              </w:rPr>
              <w:t>(Active)</w:t>
            </w:r>
            <w:r>
              <w:rPr>
                <w:rFonts w:cs="Times New Roman"/>
                <w:sz w:val="20"/>
                <w:szCs w:val="20"/>
              </w:rPr>
              <w:t xml:space="preserve"> Requirements/Burden</w:t>
            </w:r>
          </w:p>
        </w:tc>
        <w:tc>
          <w:tcPr>
            <w:tcW w:w="1590" w:type="dxa"/>
            <w:tcBorders>
              <w:top w:val="single" w:sz="4" w:space="0" w:color="auto"/>
              <w:left w:val="single" w:sz="4" w:space="0" w:color="auto"/>
              <w:bottom w:val="single" w:sz="4" w:space="0" w:color="auto"/>
              <w:right w:val="single" w:sz="4" w:space="0" w:color="auto"/>
            </w:tcBorders>
            <w:hideMark/>
          </w:tcPr>
          <w:p w:rsidR="00A7659E" w:rsidRPr="00DE4E58" w:rsidP="00465B89" w14:paraId="14830F51" w14:textId="77777777">
            <w:pPr>
              <w:widowControl w:val="0"/>
              <w:rPr>
                <w:rFonts w:cs="Times New Roman"/>
                <w:sz w:val="20"/>
                <w:szCs w:val="20"/>
              </w:rPr>
            </w:pPr>
            <w:r w:rsidRPr="00DE4E58">
              <w:rPr>
                <w:rFonts w:cs="Times New Roman"/>
                <w:sz w:val="20"/>
                <w:szCs w:val="20"/>
              </w:rPr>
              <w:t>51 Jurisdictions</w:t>
            </w:r>
          </w:p>
        </w:tc>
        <w:tc>
          <w:tcPr>
            <w:tcW w:w="1278" w:type="dxa"/>
            <w:tcBorders>
              <w:top w:val="single" w:sz="4" w:space="0" w:color="auto"/>
              <w:left w:val="single" w:sz="4" w:space="0" w:color="auto"/>
              <w:bottom w:val="single" w:sz="4" w:space="0" w:color="auto"/>
              <w:right w:val="single" w:sz="4" w:space="0" w:color="auto"/>
            </w:tcBorders>
            <w:hideMark/>
          </w:tcPr>
          <w:p w:rsidR="00A7659E" w:rsidRPr="00DE4E58" w:rsidP="00465B89" w14:paraId="02EF60C2" w14:textId="6FB2FBB4">
            <w:pPr>
              <w:widowControl w:val="0"/>
              <w:rPr>
                <w:rFonts w:cs="Times New Roman"/>
                <w:sz w:val="20"/>
                <w:szCs w:val="20"/>
              </w:rPr>
            </w:pPr>
            <w:r w:rsidRPr="00DE4E58">
              <w:rPr>
                <w:rFonts w:cs="Times New Roman"/>
                <w:sz w:val="20"/>
                <w:szCs w:val="20"/>
              </w:rPr>
              <w:t xml:space="preserve">1,224 (51 x 2 </w:t>
            </w:r>
            <w:r>
              <w:rPr>
                <w:rFonts w:cs="Times New Roman"/>
                <w:sz w:val="20"/>
                <w:szCs w:val="20"/>
              </w:rPr>
              <w:t xml:space="preserve">responses/month </w:t>
            </w:r>
            <w:r w:rsidRPr="00DE4E58">
              <w:rPr>
                <w:rFonts w:cs="Times New Roman"/>
                <w:sz w:val="20"/>
                <w:szCs w:val="20"/>
              </w:rPr>
              <w:t>x 12 responses/</w:t>
            </w:r>
          </w:p>
          <w:p w:rsidR="00A7659E" w:rsidRPr="00DE4E58" w:rsidP="00465B89" w14:paraId="345FAD25" w14:textId="77777777">
            <w:pPr>
              <w:widowControl w:val="0"/>
              <w:rPr>
                <w:rFonts w:cs="Times New Roman"/>
                <w:sz w:val="20"/>
                <w:szCs w:val="20"/>
              </w:rPr>
            </w:pPr>
            <w:r w:rsidRPr="00DE4E58">
              <w:rPr>
                <w:rFonts w:cs="Times New Roman"/>
                <w:sz w:val="20"/>
                <w:szCs w:val="20"/>
              </w:rPr>
              <w:t>year)</w:t>
            </w:r>
          </w:p>
        </w:tc>
        <w:tc>
          <w:tcPr>
            <w:tcW w:w="1309" w:type="dxa"/>
            <w:tcBorders>
              <w:top w:val="single" w:sz="4" w:space="0" w:color="auto"/>
              <w:left w:val="single" w:sz="4" w:space="0" w:color="auto"/>
              <w:bottom w:val="single" w:sz="4" w:space="0" w:color="auto"/>
              <w:right w:val="single" w:sz="4" w:space="0" w:color="auto"/>
            </w:tcBorders>
            <w:hideMark/>
          </w:tcPr>
          <w:p w:rsidR="00A7659E" w:rsidRPr="00DE4E58" w:rsidP="00465B89" w14:paraId="558246E6" w14:textId="77777777">
            <w:pPr>
              <w:widowControl w:val="0"/>
              <w:rPr>
                <w:rFonts w:cs="Times New Roman"/>
                <w:sz w:val="20"/>
                <w:szCs w:val="20"/>
              </w:rPr>
            </w:pPr>
            <w:r w:rsidRPr="00DE4E58">
              <w:rPr>
                <w:rFonts w:cs="Times New Roman"/>
                <w:sz w:val="20"/>
                <w:szCs w:val="20"/>
              </w:rPr>
              <w:t>15</w:t>
            </w:r>
          </w:p>
        </w:tc>
        <w:tc>
          <w:tcPr>
            <w:tcW w:w="1389" w:type="dxa"/>
            <w:tcBorders>
              <w:top w:val="single" w:sz="4" w:space="0" w:color="auto"/>
              <w:left w:val="single" w:sz="4" w:space="0" w:color="auto"/>
              <w:bottom w:val="single" w:sz="4" w:space="0" w:color="auto"/>
              <w:right w:val="single" w:sz="4" w:space="0" w:color="auto"/>
            </w:tcBorders>
            <w:hideMark/>
          </w:tcPr>
          <w:p w:rsidR="00A7659E" w:rsidRPr="00DE4E58" w:rsidP="00465B89" w14:paraId="01E6C9F6" w14:textId="77777777">
            <w:pPr>
              <w:widowControl w:val="0"/>
              <w:rPr>
                <w:rFonts w:cs="Times New Roman"/>
                <w:sz w:val="20"/>
                <w:szCs w:val="20"/>
              </w:rPr>
            </w:pPr>
            <w:r w:rsidRPr="00DE4E58">
              <w:rPr>
                <w:rFonts w:cs="Times New Roman"/>
                <w:sz w:val="20"/>
                <w:szCs w:val="20"/>
              </w:rPr>
              <w:t>18,360</w:t>
            </w:r>
          </w:p>
        </w:tc>
        <w:tc>
          <w:tcPr>
            <w:tcW w:w="1068" w:type="dxa"/>
            <w:tcBorders>
              <w:top w:val="single" w:sz="4" w:space="0" w:color="auto"/>
              <w:left w:val="single" w:sz="4" w:space="0" w:color="auto"/>
              <w:bottom w:val="single" w:sz="4" w:space="0" w:color="auto"/>
              <w:right w:val="single" w:sz="4" w:space="0" w:color="auto"/>
            </w:tcBorders>
            <w:hideMark/>
          </w:tcPr>
          <w:p w:rsidR="00A7659E" w:rsidRPr="00DE4E58" w:rsidP="00465B89" w14:paraId="0DDEA522" w14:textId="0F1AB2D8">
            <w:pPr>
              <w:widowControl w:val="0"/>
              <w:rPr>
                <w:rFonts w:cs="Times New Roman"/>
                <w:sz w:val="20"/>
                <w:szCs w:val="20"/>
              </w:rPr>
            </w:pPr>
            <w:r>
              <w:rPr>
                <w:rFonts w:cs="Times New Roman"/>
                <w:sz w:val="20"/>
                <w:szCs w:val="20"/>
              </w:rPr>
              <w:t>114.82</w:t>
            </w:r>
          </w:p>
        </w:tc>
        <w:tc>
          <w:tcPr>
            <w:tcW w:w="1258" w:type="dxa"/>
            <w:tcBorders>
              <w:top w:val="single" w:sz="4" w:space="0" w:color="auto"/>
              <w:left w:val="single" w:sz="4" w:space="0" w:color="auto"/>
              <w:bottom w:val="single" w:sz="4" w:space="0" w:color="auto"/>
              <w:right w:val="single" w:sz="4" w:space="0" w:color="auto"/>
            </w:tcBorders>
            <w:hideMark/>
          </w:tcPr>
          <w:p w:rsidR="00A7659E" w:rsidRPr="00DE4E58" w:rsidP="00465B89" w14:paraId="3171B6C3" w14:textId="0E4BB4AE">
            <w:pPr>
              <w:widowControl w:val="0"/>
              <w:rPr>
                <w:rFonts w:cs="Times New Roman"/>
                <w:sz w:val="20"/>
                <w:szCs w:val="20"/>
              </w:rPr>
            </w:pPr>
            <w:r w:rsidRPr="0023583D">
              <w:rPr>
                <w:rFonts w:cs="Times New Roman"/>
                <w:sz w:val="20"/>
                <w:szCs w:val="20"/>
              </w:rPr>
              <w:t>2,108,095</w:t>
            </w:r>
          </w:p>
        </w:tc>
        <w:tc>
          <w:tcPr>
            <w:tcW w:w="1258" w:type="dxa"/>
            <w:tcBorders>
              <w:top w:val="single" w:sz="4" w:space="0" w:color="auto"/>
              <w:left w:val="single" w:sz="4" w:space="0" w:color="auto"/>
              <w:bottom w:val="single" w:sz="4" w:space="0" w:color="auto"/>
              <w:right w:val="single" w:sz="4" w:space="0" w:color="auto"/>
            </w:tcBorders>
          </w:tcPr>
          <w:p w:rsidR="00A7659E" w:rsidRPr="00DE4E58" w:rsidP="00465B89" w14:paraId="7AA9D356" w14:textId="095F3122">
            <w:pPr>
              <w:widowControl w:val="0"/>
              <w:rPr>
                <w:rFonts w:cs="Times New Roman"/>
                <w:sz w:val="20"/>
                <w:szCs w:val="20"/>
              </w:rPr>
            </w:pPr>
            <w:r w:rsidRPr="007643CC">
              <w:rPr>
                <w:rFonts w:cs="Times New Roman"/>
                <w:sz w:val="20"/>
                <w:szCs w:val="20"/>
              </w:rPr>
              <w:t>1,581,071</w:t>
            </w:r>
          </w:p>
        </w:tc>
        <w:tc>
          <w:tcPr>
            <w:tcW w:w="1258" w:type="dxa"/>
            <w:tcBorders>
              <w:top w:val="single" w:sz="4" w:space="0" w:color="auto"/>
              <w:left w:val="single" w:sz="4" w:space="0" w:color="auto"/>
              <w:bottom w:val="single" w:sz="4" w:space="0" w:color="auto"/>
              <w:right w:val="single" w:sz="4" w:space="0" w:color="auto"/>
            </w:tcBorders>
            <w:hideMark/>
          </w:tcPr>
          <w:p w:rsidR="00A7659E" w:rsidRPr="00DE4E58" w:rsidP="00465B89" w14:paraId="727D242A" w14:textId="1D05D5C5">
            <w:pPr>
              <w:widowControl w:val="0"/>
              <w:rPr>
                <w:rFonts w:cs="Times New Roman"/>
                <w:sz w:val="20"/>
                <w:szCs w:val="20"/>
              </w:rPr>
            </w:pPr>
            <w:r w:rsidRPr="0023583D">
              <w:rPr>
                <w:rFonts w:cs="Times New Roman"/>
                <w:sz w:val="20"/>
                <w:szCs w:val="20"/>
              </w:rPr>
              <w:t>527,02</w:t>
            </w:r>
            <w:r w:rsidR="00A2532E">
              <w:rPr>
                <w:rFonts w:cs="Times New Roman"/>
                <w:sz w:val="20"/>
                <w:szCs w:val="20"/>
              </w:rPr>
              <w:t>4</w:t>
            </w:r>
          </w:p>
        </w:tc>
      </w:tr>
      <w:tr w14:paraId="62A979BD" w14:textId="77777777" w:rsidTr="00465B89">
        <w:tblPrEx>
          <w:tblW w:w="10800" w:type="dxa"/>
          <w:tblInd w:w="-185" w:type="dxa"/>
          <w:tblLayout w:type="fixed"/>
          <w:tblLook w:val="04A0"/>
        </w:tblPrEx>
        <w:tc>
          <w:tcPr>
            <w:tcW w:w="1560" w:type="dxa"/>
            <w:tcBorders>
              <w:top w:val="single" w:sz="4" w:space="0" w:color="auto"/>
              <w:left w:val="single" w:sz="4" w:space="0" w:color="auto"/>
              <w:bottom w:val="single" w:sz="4" w:space="0" w:color="auto"/>
              <w:right w:val="single" w:sz="4" w:space="0" w:color="auto"/>
            </w:tcBorders>
            <w:vAlign w:val="bottom"/>
            <w:hideMark/>
          </w:tcPr>
          <w:p w:rsidR="00A80931" w:rsidRPr="00DE4E58" w:rsidP="00465B89" w14:paraId="6EF327D3" w14:textId="027BE54A">
            <w:pPr>
              <w:widowControl w:val="0"/>
              <w:rPr>
                <w:rFonts w:cs="Times New Roman"/>
                <w:sz w:val="20"/>
                <w:szCs w:val="20"/>
              </w:rPr>
            </w:pPr>
            <w:r w:rsidRPr="00DE4E58">
              <w:rPr>
                <w:rFonts w:cs="Times New Roman"/>
                <w:sz w:val="20"/>
                <w:szCs w:val="20"/>
              </w:rPr>
              <w:t>Community Engagement</w:t>
            </w:r>
            <w:r>
              <w:rPr>
                <w:rFonts w:cs="Times New Roman"/>
                <w:sz w:val="20"/>
                <w:szCs w:val="20"/>
              </w:rPr>
              <w:t xml:space="preserve"> Rule (</w:t>
            </w:r>
            <w:r w:rsidRPr="00896DA2">
              <w:rPr>
                <w:rFonts w:cs="Times New Roman"/>
                <w:sz w:val="20"/>
                <w:szCs w:val="20"/>
              </w:rPr>
              <w:t>CMS-2454-IFC</w:t>
            </w:r>
            <w:r>
              <w:rPr>
                <w:rFonts w:cs="Times New Roman"/>
                <w:sz w:val="20"/>
                <w:szCs w:val="20"/>
              </w:rPr>
              <w:t>)</w:t>
            </w:r>
          </w:p>
        </w:tc>
        <w:tc>
          <w:tcPr>
            <w:tcW w:w="1590" w:type="dxa"/>
            <w:tcBorders>
              <w:top w:val="single" w:sz="4" w:space="0" w:color="auto"/>
              <w:left w:val="single" w:sz="4" w:space="0" w:color="auto"/>
              <w:bottom w:val="single" w:sz="4" w:space="0" w:color="auto"/>
              <w:right w:val="single" w:sz="4" w:space="0" w:color="auto"/>
            </w:tcBorders>
            <w:hideMark/>
          </w:tcPr>
          <w:p w:rsidR="00A80931" w:rsidRPr="00DE4E58" w:rsidP="00465B89" w14:paraId="014BAD03" w14:textId="13691ABA">
            <w:pPr>
              <w:widowControl w:val="0"/>
              <w:rPr>
                <w:rFonts w:cs="Times New Roman"/>
                <w:sz w:val="20"/>
                <w:szCs w:val="20"/>
              </w:rPr>
            </w:pPr>
            <w:r w:rsidRPr="00954795">
              <w:rPr>
                <w:rFonts w:cs="Times New Roman"/>
                <w:sz w:val="20"/>
                <w:szCs w:val="20"/>
              </w:rPr>
              <w:t>44 Jurisdictions</w:t>
            </w:r>
          </w:p>
        </w:tc>
        <w:tc>
          <w:tcPr>
            <w:tcW w:w="1278" w:type="dxa"/>
            <w:tcBorders>
              <w:top w:val="single" w:sz="4" w:space="0" w:color="auto"/>
              <w:left w:val="single" w:sz="4" w:space="0" w:color="auto"/>
              <w:bottom w:val="single" w:sz="4" w:space="0" w:color="auto"/>
              <w:right w:val="single" w:sz="4" w:space="0" w:color="auto"/>
            </w:tcBorders>
            <w:hideMark/>
          </w:tcPr>
          <w:p w:rsidR="00A80931" w:rsidRPr="00DE4E58" w:rsidP="00465B89" w14:paraId="4F38FA2C" w14:textId="38CBA0C0">
            <w:pPr>
              <w:widowControl w:val="0"/>
              <w:rPr>
                <w:rFonts w:cs="Times New Roman"/>
                <w:sz w:val="20"/>
                <w:szCs w:val="20"/>
              </w:rPr>
            </w:pPr>
            <w:r w:rsidRPr="00954795">
              <w:rPr>
                <w:rFonts w:cs="Times New Roman"/>
                <w:sz w:val="20"/>
                <w:szCs w:val="20"/>
              </w:rPr>
              <w:t>1,100</w:t>
            </w:r>
          </w:p>
        </w:tc>
        <w:tc>
          <w:tcPr>
            <w:tcW w:w="1309" w:type="dxa"/>
            <w:tcBorders>
              <w:top w:val="single" w:sz="4" w:space="0" w:color="auto"/>
              <w:left w:val="single" w:sz="4" w:space="0" w:color="auto"/>
              <w:bottom w:val="single" w:sz="4" w:space="0" w:color="auto"/>
              <w:right w:val="single" w:sz="4" w:space="0" w:color="auto"/>
            </w:tcBorders>
            <w:hideMark/>
          </w:tcPr>
          <w:p w:rsidR="00A80931" w:rsidRPr="00DE4E58" w:rsidP="00465B89" w14:paraId="57E238A9" w14:textId="722AC90E">
            <w:pPr>
              <w:widowControl w:val="0"/>
              <w:rPr>
                <w:rFonts w:cs="Times New Roman"/>
                <w:sz w:val="20"/>
                <w:szCs w:val="20"/>
              </w:rPr>
            </w:pPr>
            <w:r w:rsidRPr="00954795">
              <w:rPr>
                <w:rFonts w:cs="Times New Roman"/>
                <w:sz w:val="20"/>
                <w:szCs w:val="20"/>
              </w:rPr>
              <w:t>varies</w:t>
            </w:r>
          </w:p>
        </w:tc>
        <w:tc>
          <w:tcPr>
            <w:tcW w:w="1389" w:type="dxa"/>
            <w:tcBorders>
              <w:top w:val="single" w:sz="4" w:space="0" w:color="auto"/>
              <w:left w:val="single" w:sz="4" w:space="0" w:color="auto"/>
              <w:bottom w:val="single" w:sz="4" w:space="0" w:color="auto"/>
              <w:right w:val="single" w:sz="4" w:space="0" w:color="auto"/>
            </w:tcBorders>
            <w:hideMark/>
          </w:tcPr>
          <w:p w:rsidR="00A80931" w:rsidRPr="00DE4E58" w:rsidP="00465B89" w14:paraId="1CA4860F" w14:textId="59BD82E0">
            <w:pPr>
              <w:widowControl w:val="0"/>
              <w:rPr>
                <w:rFonts w:cs="Times New Roman"/>
                <w:sz w:val="20"/>
                <w:szCs w:val="20"/>
              </w:rPr>
            </w:pPr>
            <w:r w:rsidRPr="00954795">
              <w:rPr>
                <w:sz w:val="20"/>
                <w:szCs w:val="20"/>
              </w:rPr>
              <w:t>11</w:t>
            </w:r>
            <w:r w:rsidRPr="00954795">
              <w:rPr>
                <w:rFonts w:cs="Times New Roman"/>
                <w:sz w:val="20"/>
                <w:szCs w:val="20"/>
              </w:rPr>
              <w:t>,352</w:t>
            </w:r>
          </w:p>
        </w:tc>
        <w:tc>
          <w:tcPr>
            <w:tcW w:w="1068" w:type="dxa"/>
            <w:tcBorders>
              <w:top w:val="single" w:sz="4" w:space="0" w:color="auto"/>
              <w:left w:val="single" w:sz="4" w:space="0" w:color="auto"/>
              <w:bottom w:val="single" w:sz="4" w:space="0" w:color="auto"/>
              <w:right w:val="single" w:sz="4" w:space="0" w:color="auto"/>
            </w:tcBorders>
            <w:hideMark/>
          </w:tcPr>
          <w:p w:rsidR="00A80931" w:rsidRPr="00DE4E58" w:rsidP="00465B89" w14:paraId="6EB7BF0B" w14:textId="3EE05AE4">
            <w:pPr>
              <w:widowControl w:val="0"/>
              <w:rPr>
                <w:rFonts w:cs="Times New Roman"/>
                <w:sz w:val="20"/>
                <w:szCs w:val="20"/>
              </w:rPr>
            </w:pPr>
            <w:r w:rsidRPr="00954795">
              <w:rPr>
                <w:rFonts w:cs="Times New Roman"/>
                <w:sz w:val="20"/>
                <w:szCs w:val="20"/>
              </w:rPr>
              <w:t>Varies</w:t>
            </w:r>
          </w:p>
        </w:tc>
        <w:tc>
          <w:tcPr>
            <w:tcW w:w="1258" w:type="dxa"/>
            <w:tcBorders>
              <w:top w:val="single" w:sz="4" w:space="0" w:color="auto"/>
              <w:left w:val="single" w:sz="4" w:space="0" w:color="auto"/>
              <w:bottom w:val="single" w:sz="4" w:space="0" w:color="auto"/>
              <w:right w:val="single" w:sz="4" w:space="0" w:color="auto"/>
            </w:tcBorders>
            <w:hideMark/>
          </w:tcPr>
          <w:p w:rsidR="00A80931" w:rsidRPr="00DE4E58" w:rsidP="00465B89" w14:paraId="1A2901C8" w14:textId="1A3DE8E3">
            <w:pPr>
              <w:widowControl w:val="0"/>
              <w:rPr>
                <w:rFonts w:cs="Times New Roman"/>
                <w:sz w:val="20"/>
                <w:szCs w:val="20"/>
              </w:rPr>
            </w:pPr>
            <w:r w:rsidRPr="00954795">
              <w:rPr>
                <w:rFonts w:cs="Times New Roman"/>
                <w:sz w:val="20"/>
                <w:szCs w:val="20"/>
              </w:rPr>
              <w:t>1,320,505</w:t>
            </w:r>
          </w:p>
        </w:tc>
        <w:tc>
          <w:tcPr>
            <w:tcW w:w="1258" w:type="dxa"/>
            <w:tcBorders>
              <w:top w:val="single" w:sz="4" w:space="0" w:color="auto"/>
              <w:left w:val="single" w:sz="4" w:space="0" w:color="auto"/>
              <w:bottom w:val="single" w:sz="4" w:space="0" w:color="auto"/>
              <w:right w:val="single" w:sz="4" w:space="0" w:color="auto"/>
            </w:tcBorders>
          </w:tcPr>
          <w:p w:rsidR="00A80931" w:rsidRPr="00DE4E58" w:rsidP="00465B89" w14:paraId="159B390E" w14:textId="50399D9A">
            <w:pPr>
              <w:widowControl w:val="0"/>
              <w:rPr>
                <w:rFonts w:cs="Times New Roman"/>
                <w:sz w:val="20"/>
                <w:szCs w:val="20"/>
              </w:rPr>
            </w:pPr>
            <w:r w:rsidRPr="00954795">
              <w:rPr>
                <w:rFonts w:cs="Times New Roman"/>
                <w:sz w:val="20"/>
                <w:szCs w:val="20"/>
              </w:rPr>
              <w:t>990,379</w:t>
            </w:r>
          </w:p>
        </w:tc>
        <w:tc>
          <w:tcPr>
            <w:tcW w:w="1258" w:type="dxa"/>
            <w:tcBorders>
              <w:top w:val="single" w:sz="4" w:space="0" w:color="auto"/>
              <w:left w:val="single" w:sz="4" w:space="0" w:color="auto"/>
              <w:bottom w:val="single" w:sz="4" w:space="0" w:color="auto"/>
              <w:right w:val="single" w:sz="4" w:space="0" w:color="auto"/>
            </w:tcBorders>
            <w:hideMark/>
          </w:tcPr>
          <w:p w:rsidR="00A80931" w:rsidRPr="00DE4E58" w:rsidP="00465B89" w14:paraId="32362801" w14:textId="7814F176">
            <w:pPr>
              <w:widowControl w:val="0"/>
              <w:rPr>
                <w:rFonts w:cs="Times New Roman"/>
                <w:sz w:val="20"/>
                <w:szCs w:val="20"/>
              </w:rPr>
            </w:pPr>
            <w:r w:rsidRPr="00954795">
              <w:rPr>
                <w:rFonts w:cs="Times New Roman"/>
                <w:sz w:val="20"/>
                <w:szCs w:val="20"/>
              </w:rPr>
              <w:t>330,127</w:t>
            </w:r>
          </w:p>
        </w:tc>
      </w:tr>
      <w:tr w14:paraId="5F52A896" w14:textId="77777777" w:rsidTr="00465B89">
        <w:tblPrEx>
          <w:tblW w:w="10800" w:type="dxa"/>
          <w:tblInd w:w="-185" w:type="dxa"/>
          <w:tblLayout w:type="fixed"/>
          <w:tblLook w:val="04A0"/>
        </w:tblPrEx>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A80931" w:rsidRPr="000A57E6" w:rsidP="00465B89" w14:paraId="1AB03D86" w14:textId="77777777">
            <w:pPr>
              <w:widowControl w:val="0"/>
              <w:rPr>
                <w:rFonts w:cs="Times New Roman"/>
                <w:sz w:val="20"/>
                <w:szCs w:val="20"/>
              </w:rPr>
            </w:pPr>
            <w:r w:rsidRPr="000A57E6">
              <w:rPr>
                <w:rFonts w:cs="Times New Roman"/>
                <w:sz w:val="20"/>
                <w:szCs w:val="20"/>
              </w:rPr>
              <w:t>TOTAL</w:t>
            </w:r>
          </w:p>
        </w:tc>
        <w:tc>
          <w:tcPr>
            <w:tcW w:w="159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A80931" w:rsidRPr="000A57E6" w:rsidP="00465B89" w14:paraId="76350CCD" w14:textId="77777777">
            <w:pPr>
              <w:widowControl w:val="0"/>
              <w:rPr>
                <w:rFonts w:cs="Times New Roman"/>
                <w:sz w:val="20"/>
                <w:szCs w:val="20"/>
              </w:rPr>
            </w:pPr>
            <w:r w:rsidRPr="000A57E6">
              <w:rPr>
                <w:rFonts w:cs="Times New Roman"/>
                <w:sz w:val="20"/>
                <w:szCs w:val="20"/>
              </w:rPr>
              <w:t>51 Jurisdictions</w:t>
            </w:r>
          </w:p>
        </w:tc>
        <w:tc>
          <w:tcPr>
            <w:tcW w:w="127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A80931" w:rsidRPr="000A57E6" w:rsidP="00465B89" w14:paraId="6C390D7B" w14:textId="69158279">
            <w:pPr>
              <w:widowControl w:val="0"/>
              <w:rPr>
                <w:rFonts w:cs="Times New Roman"/>
                <w:sz w:val="20"/>
                <w:szCs w:val="20"/>
              </w:rPr>
            </w:pPr>
            <w:r>
              <w:rPr>
                <w:rFonts w:cs="Times New Roman"/>
                <w:sz w:val="20"/>
                <w:szCs w:val="20"/>
              </w:rPr>
              <w:t>2,324</w:t>
            </w:r>
          </w:p>
        </w:tc>
        <w:tc>
          <w:tcPr>
            <w:tcW w:w="130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A80931" w:rsidRPr="000A57E6" w:rsidP="00465B89" w14:paraId="63C70F02" w14:textId="793B521E">
            <w:pPr>
              <w:widowControl w:val="0"/>
              <w:rPr>
                <w:rFonts w:cs="Times New Roman"/>
                <w:sz w:val="20"/>
                <w:szCs w:val="20"/>
              </w:rPr>
            </w:pPr>
            <w:r>
              <w:rPr>
                <w:rFonts w:cs="Times New Roman"/>
                <w:sz w:val="20"/>
                <w:szCs w:val="20"/>
              </w:rPr>
              <w:t>varies</w:t>
            </w:r>
          </w:p>
        </w:tc>
        <w:tc>
          <w:tcPr>
            <w:tcW w:w="138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A80931" w:rsidRPr="000A57E6" w:rsidP="00465B89" w14:paraId="6697AC25" w14:textId="49FDCC4C">
            <w:pPr>
              <w:widowControl w:val="0"/>
              <w:rPr>
                <w:rFonts w:cs="Times New Roman"/>
                <w:sz w:val="20"/>
                <w:szCs w:val="20"/>
              </w:rPr>
            </w:pPr>
            <w:r w:rsidRPr="00713E2E">
              <w:rPr>
                <w:rFonts w:cs="Times New Roman"/>
                <w:sz w:val="20"/>
                <w:szCs w:val="20"/>
              </w:rPr>
              <w:t>29,712</w:t>
            </w:r>
          </w:p>
        </w:tc>
        <w:tc>
          <w:tcPr>
            <w:tcW w:w="106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A80931" w:rsidRPr="000A57E6" w:rsidP="00465B89" w14:paraId="63B40146" w14:textId="77777777">
            <w:pPr>
              <w:widowControl w:val="0"/>
              <w:rPr>
                <w:rFonts w:cs="Times New Roman"/>
                <w:sz w:val="20"/>
                <w:szCs w:val="20"/>
              </w:rPr>
            </w:pPr>
            <w:r w:rsidRPr="000A57E6">
              <w:rPr>
                <w:rFonts w:cs="Times New Roman"/>
                <w:sz w:val="20"/>
                <w:szCs w:val="20"/>
              </w:rPr>
              <w:t>Varies</w:t>
            </w:r>
          </w:p>
        </w:tc>
        <w:tc>
          <w:tcPr>
            <w:tcW w:w="125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A80931" w:rsidRPr="000A57E6" w:rsidP="00465B89" w14:paraId="0BA1C19C" w14:textId="28934AB0">
            <w:pPr>
              <w:widowControl w:val="0"/>
              <w:rPr>
                <w:rFonts w:cs="Times New Roman"/>
                <w:sz w:val="20"/>
                <w:szCs w:val="20"/>
              </w:rPr>
            </w:pPr>
            <w:r w:rsidRPr="007A1B08">
              <w:rPr>
                <w:rFonts w:cs="Times New Roman"/>
                <w:sz w:val="20"/>
                <w:szCs w:val="20"/>
              </w:rPr>
              <w:t>3,428,600</w:t>
            </w:r>
          </w:p>
        </w:tc>
        <w:tc>
          <w:tcPr>
            <w:tcW w:w="125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80931" w:rsidRPr="000A57E6" w:rsidP="00465B89" w14:paraId="3C9EF65E" w14:textId="2F35C0B8">
            <w:pPr>
              <w:widowControl w:val="0"/>
              <w:rPr>
                <w:rFonts w:cs="Times New Roman"/>
                <w:sz w:val="20"/>
                <w:szCs w:val="20"/>
              </w:rPr>
            </w:pPr>
            <w:r w:rsidRPr="00B504C6">
              <w:rPr>
                <w:rFonts w:cs="Times New Roman"/>
                <w:sz w:val="20"/>
                <w:szCs w:val="20"/>
              </w:rPr>
              <w:t>2,571,450</w:t>
            </w:r>
          </w:p>
        </w:tc>
        <w:tc>
          <w:tcPr>
            <w:tcW w:w="125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A80931" w:rsidRPr="000A57E6" w:rsidP="00465B89" w14:paraId="578D35B8" w14:textId="67B7E499">
            <w:pPr>
              <w:widowControl w:val="0"/>
              <w:rPr>
                <w:rFonts w:cs="Times New Roman"/>
                <w:sz w:val="20"/>
                <w:szCs w:val="20"/>
              </w:rPr>
            </w:pPr>
            <w:r w:rsidRPr="00C40CB6">
              <w:rPr>
                <w:rFonts w:cs="Times New Roman"/>
                <w:sz w:val="20"/>
                <w:szCs w:val="20"/>
              </w:rPr>
              <w:t>857,1</w:t>
            </w:r>
            <w:r>
              <w:rPr>
                <w:rFonts w:cs="Times New Roman"/>
                <w:sz w:val="20"/>
                <w:szCs w:val="20"/>
              </w:rPr>
              <w:t>50</w:t>
            </w:r>
          </w:p>
        </w:tc>
      </w:tr>
    </w:tbl>
    <w:p w:rsidR="00FE4FF0" w:rsidP="00793B69" w14:paraId="04EDC2C8" w14:textId="77777777">
      <w:pPr>
        <w:spacing w:after="0" w:line="240" w:lineRule="auto"/>
        <w:rPr>
          <w:rFonts w:cs="Times New Roman"/>
          <w:szCs w:val="24"/>
        </w:rPr>
        <w:sectPr w:rsidSect="00B845D9">
          <w:type w:val="continuous"/>
          <w:pgSz w:w="12240" w:h="15840" w:code="1"/>
          <w:pgMar w:top="1440" w:right="432" w:bottom="1440" w:left="432" w:header="720" w:footer="720" w:gutter="0"/>
          <w:cols w:space="720"/>
          <w:docGrid w:linePitch="360"/>
        </w:sectPr>
      </w:pPr>
    </w:p>
    <w:p w:rsidR="00867E2B" w:rsidRPr="004113EB" w:rsidP="00793B69" w14:paraId="481D1320" w14:textId="77777777">
      <w:pPr>
        <w:spacing w:after="0" w:line="240" w:lineRule="auto"/>
        <w:rPr>
          <w:rFonts w:cs="Times New Roman"/>
          <w:szCs w:val="24"/>
        </w:rPr>
      </w:pPr>
    </w:p>
    <w:p w:rsidR="00B7750E" w:rsidP="00793B69" w14:paraId="08E3012C" w14:textId="1E586C8B">
      <w:pPr>
        <w:spacing w:after="0" w:line="240" w:lineRule="auto"/>
        <w:rPr>
          <w:rFonts w:cs="Times New Roman"/>
          <w:szCs w:val="24"/>
        </w:rPr>
      </w:pPr>
      <w:r w:rsidRPr="00B7750E">
        <w:rPr>
          <w:rFonts w:cs="Times New Roman"/>
          <w:szCs w:val="24"/>
        </w:rPr>
        <w:t xml:space="preserve">Although this collection of information request proposes </w:t>
      </w:r>
      <w:r w:rsidRPr="00893A0F" w:rsidR="00893A0F">
        <w:rPr>
          <w:rFonts w:cs="Times New Roman"/>
          <w:szCs w:val="24"/>
        </w:rPr>
        <w:t>29,712</w:t>
      </w:r>
      <w:r w:rsidRPr="00B7750E">
        <w:rPr>
          <w:rFonts w:cs="Times New Roman"/>
          <w:szCs w:val="24"/>
        </w:rPr>
        <w:t xml:space="preserve"> hours of burden, this iteration requests the addition of </w:t>
      </w:r>
      <w:r w:rsidRPr="00F57741" w:rsidR="00F57741">
        <w:rPr>
          <w:rFonts w:cs="Times New Roman"/>
          <w:szCs w:val="24"/>
        </w:rPr>
        <w:t>11,352</w:t>
      </w:r>
      <w:r w:rsidRPr="00B7750E">
        <w:rPr>
          <w:rFonts w:cs="Times New Roman"/>
          <w:szCs w:val="24"/>
        </w:rPr>
        <w:t xml:space="preserve"> hours (</w:t>
      </w:r>
      <w:r w:rsidRPr="00893A0F" w:rsidR="00893A0F">
        <w:rPr>
          <w:rFonts w:cs="Times New Roman"/>
          <w:szCs w:val="24"/>
        </w:rPr>
        <w:t>29,712</w:t>
      </w:r>
      <w:r w:rsidRPr="00B7750E">
        <w:rPr>
          <w:rFonts w:cs="Times New Roman"/>
          <w:szCs w:val="24"/>
        </w:rPr>
        <w:t xml:space="preserve"> </w:t>
      </w:r>
      <w:r w:rsidRPr="00B7750E">
        <w:rPr>
          <w:rFonts w:cs="Times New Roman"/>
          <w:szCs w:val="24"/>
        </w:rPr>
        <w:t>hr</w:t>
      </w:r>
      <w:r w:rsidRPr="00B7750E">
        <w:rPr>
          <w:rFonts w:cs="Times New Roman"/>
          <w:szCs w:val="24"/>
        </w:rPr>
        <w:t xml:space="preserve"> [revised] - </w:t>
      </w:r>
      <w:r w:rsidRPr="00893A0F" w:rsidR="00893A0F">
        <w:rPr>
          <w:rFonts w:cs="Times New Roman"/>
          <w:szCs w:val="24"/>
        </w:rPr>
        <w:t>18,360</w:t>
      </w:r>
      <w:r w:rsidRPr="00B7750E">
        <w:rPr>
          <w:rFonts w:cs="Times New Roman"/>
          <w:szCs w:val="24"/>
        </w:rPr>
        <w:t xml:space="preserve"> </w:t>
      </w:r>
      <w:r w:rsidRPr="00B7750E">
        <w:rPr>
          <w:rFonts w:cs="Times New Roman"/>
          <w:szCs w:val="24"/>
        </w:rPr>
        <w:t>hr</w:t>
      </w:r>
      <w:r w:rsidRPr="00B7750E">
        <w:rPr>
          <w:rFonts w:cs="Times New Roman"/>
          <w:szCs w:val="24"/>
        </w:rPr>
        <w:t xml:space="preserve"> [active]) to avoid double counting or recounting our active estimate of 38 hours.</w:t>
      </w:r>
    </w:p>
    <w:p w:rsidR="00B7750E" w:rsidRPr="004113EB" w:rsidP="00793B69" w14:paraId="20BF9715" w14:textId="77777777">
      <w:pPr>
        <w:spacing w:after="0" w:line="240" w:lineRule="auto"/>
        <w:rPr>
          <w:rFonts w:cs="Times New Roman"/>
          <w:szCs w:val="24"/>
        </w:rPr>
      </w:pPr>
    </w:p>
    <w:p w:rsidR="0097778A" w:rsidRPr="000B6BD8" w:rsidP="00793B69" w14:paraId="6F578E57" w14:textId="22803170">
      <w:pPr>
        <w:spacing w:after="0" w:line="240" w:lineRule="auto"/>
        <w:rPr>
          <w:rFonts w:cs="Times New Roman"/>
          <w:i/>
          <w:iCs/>
          <w:szCs w:val="24"/>
        </w:rPr>
      </w:pPr>
      <w:r w:rsidRPr="004F79A8">
        <w:rPr>
          <w:rFonts w:cs="Times New Roman"/>
          <w:i/>
          <w:iCs/>
          <w:szCs w:val="24"/>
        </w:rPr>
        <w:t>Collection of Information Instruments</w:t>
      </w:r>
    </w:p>
    <w:p w:rsidR="00474425" w:rsidRPr="000B6BD8" w:rsidP="00793B69" w14:paraId="7E5FA163" w14:textId="77777777">
      <w:pPr>
        <w:spacing w:after="0" w:line="240" w:lineRule="auto"/>
        <w:rPr>
          <w:rFonts w:cs="Times New Roman"/>
          <w:szCs w:val="24"/>
        </w:rPr>
      </w:pPr>
    </w:p>
    <w:p w:rsidR="004D04ED" w:rsidRPr="00715D8B" w:rsidP="00793B69" w14:paraId="3D8E5A74" w14:textId="7394024B">
      <w:pPr>
        <w:numPr>
          <w:ilvl w:val="0"/>
          <w:numId w:val="8"/>
        </w:numPr>
        <w:spacing w:after="0" w:line="240" w:lineRule="auto"/>
        <w:ind w:left="0" w:firstLine="0"/>
        <w:rPr>
          <w:szCs w:val="24"/>
        </w:rPr>
      </w:pPr>
      <w:r w:rsidRPr="00715D8B">
        <w:rPr>
          <w:rFonts w:cs="Times New Roman"/>
          <w:szCs w:val="24"/>
        </w:rPr>
        <w:t xml:space="preserve">Performance Indicators Data Dictionary </w:t>
      </w:r>
      <w:r w:rsidRPr="00715D8B" w:rsidR="000F65A9">
        <w:rPr>
          <w:rFonts w:cs="Times New Roman"/>
          <w:szCs w:val="24"/>
        </w:rPr>
        <w:t>(</w:t>
      </w:r>
      <w:r w:rsidRPr="00715D8B" w:rsidR="001E2F2C">
        <w:rPr>
          <w:rFonts w:cs="Times New Roman"/>
          <w:szCs w:val="24"/>
        </w:rPr>
        <w:t>Revised</w:t>
      </w:r>
      <w:r w:rsidRPr="00715D8B" w:rsidR="000F65A9">
        <w:rPr>
          <w:rFonts w:cs="Times New Roman"/>
          <w:szCs w:val="24"/>
        </w:rPr>
        <w:t>)</w:t>
      </w:r>
    </w:p>
    <w:p w:rsidR="000F65A9" w:rsidRPr="00715D8B" w:rsidP="00793B69" w14:paraId="66A2892B" w14:textId="3D1B400C">
      <w:pPr>
        <w:numPr>
          <w:ilvl w:val="0"/>
          <w:numId w:val="8"/>
        </w:numPr>
        <w:spacing w:after="0" w:line="240" w:lineRule="auto"/>
        <w:ind w:left="0" w:firstLine="0"/>
        <w:rPr>
          <w:szCs w:val="24"/>
        </w:rPr>
      </w:pPr>
      <w:r w:rsidRPr="00715D8B">
        <w:rPr>
          <w:szCs w:val="24"/>
        </w:rPr>
        <w:t>Eligibility and Enrollment Performance Indicators Template (Revised)</w:t>
      </w:r>
    </w:p>
    <w:p w:rsidR="0097778A" w:rsidRPr="000920E0" w:rsidP="00965F99" w14:paraId="248076BA" w14:textId="77777777">
      <w:pPr>
        <w:pStyle w:val="Heading1"/>
        <w:numPr>
          <w:ilvl w:val="0"/>
          <w:numId w:val="0"/>
        </w:numPr>
        <w:ind w:left="360" w:hanging="360"/>
      </w:pPr>
    </w:p>
    <w:p w:rsidR="007D6E75" w:rsidRPr="000920E0" w:rsidP="00965F99" w14:paraId="79F3902E" w14:textId="10234CD1">
      <w:pPr>
        <w:pStyle w:val="Heading1"/>
      </w:pPr>
      <w:r w:rsidRPr="000920E0">
        <w:t>Timeline</w:t>
      </w:r>
    </w:p>
    <w:p w:rsidR="00270765" w:rsidP="00793B69" w14:paraId="79F39034" w14:textId="77777777">
      <w:pPr>
        <w:spacing w:after="0" w:line="240" w:lineRule="auto"/>
        <w:rPr>
          <w:rFonts w:cs="Times New Roman"/>
          <w:szCs w:val="24"/>
        </w:rPr>
      </w:pPr>
    </w:p>
    <w:p w:rsidR="00B7750E" w:rsidP="00793B69" w14:paraId="46870CF2" w14:textId="46087C4D">
      <w:pPr>
        <w:spacing w:after="0" w:line="240" w:lineRule="auto"/>
        <w:rPr>
          <w:rFonts w:cs="Times New Roman"/>
          <w:szCs w:val="24"/>
        </w:rPr>
      </w:pPr>
      <w:r w:rsidRPr="00B7750E">
        <w:rPr>
          <w:rFonts w:cs="Times New Roman"/>
          <w:szCs w:val="24"/>
        </w:rPr>
        <w:t>The changes in this 2026 collection of information request are associated with our Interim Final Rule with Comment Period (CMS-2454-IFC; RIN 0938-AV98) entitled, “Medicaid Program; Community Engagement Requirement for Certain Individuals.” The rule filed for public inspection on June 1, 2026, and published on June 3, 2026 (91 FR 33348). Comments must be received by July 31, 2026.</w:t>
      </w:r>
    </w:p>
    <w:p w:rsidR="00B7750E" w:rsidRPr="000B2E30" w:rsidP="00793B69" w14:paraId="339CC5E8" w14:textId="77777777">
      <w:pPr>
        <w:spacing w:after="0" w:line="240" w:lineRule="auto"/>
        <w:rPr>
          <w:rFonts w:cs="Times New Roman"/>
          <w:szCs w:val="24"/>
        </w:rPr>
      </w:pPr>
    </w:p>
    <w:sectPr w:rsidSect="00291705">
      <w:type w:val="continuous"/>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886A36"/>
    <w:multiLevelType w:val="hybridMultilevel"/>
    <w:tmpl w:val="1E9E0978"/>
    <w:lvl w:ilvl="0">
      <w:start w:val="1"/>
      <w:numFmt w:val="decimal"/>
      <w:lvlText w:val="%1."/>
      <w:lvlJc w:val="left"/>
      <w:pPr>
        <w:ind w:left="720" w:hanging="360"/>
      </w:pPr>
      <w:rPr>
        <w:rFonts w:ascii="Times New Roman" w:hAnsi="Times New Roman" w:eastAsiaTheme="minorHAnsi" w:cstheme="minorBidi" w:hint="default"/>
        <w:sz w:val="23"/>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8F541FC"/>
    <w:multiLevelType w:val="hybridMultilevel"/>
    <w:tmpl w:val="9154E5FC"/>
    <w:lvl w:ilvl="0">
      <w:start w:val="1"/>
      <w:numFmt w:val="decimal"/>
      <w:lvlText w:val="%1."/>
      <w:lvlJc w:val="left"/>
      <w:pPr>
        <w:ind w:left="720" w:hanging="360"/>
      </w:pPr>
      <w:rPr>
        <w:b w:val="0"/>
        <w:bCs/>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E162684"/>
    <w:multiLevelType w:val="hybridMultilevel"/>
    <w:tmpl w:val="BE8EDA52"/>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3206F01"/>
    <w:multiLevelType w:val="hybridMultilevel"/>
    <w:tmpl w:val="7FFC831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32476E9"/>
    <w:multiLevelType w:val="hybridMultilevel"/>
    <w:tmpl w:val="289646A0"/>
    <w:lvl w:ilvl="0">
      <w:start w:val="1"/>
      <w:numFmt w:val="upp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20FA5670"/>
    <w:multiLevelType w:val="hybridMultilevel"/>
    <w:tmpl w:val="C9A0A2DA"/>
    <w:lvl w:ilvl="0">
      <w:start w:val="1"/>
      <w:numFmt w:val="upperLetter"/>
      <w:pStyle w:val="Heading1"/>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2543C33"/>
    <w:multiLevelType w:val="hybridMultilevel"/>
    <w:tmpl w:val="80C69948"/>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7">
    <w:nsid w:val="230231A1"/>
    <w:multiLevelType w:val="hybridMultilevel"/>
    <w:tmpl w:val="DDEA090A"/>
    <w:lvl w:ilvl="0">
      <w:start w:val="1"/>
      <w:numFmt w:val="upp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
    <w:nsid w:val="2DB24218"/>
    <w:multiLevelType w:val="hybridMultilevel"/>
    <w:tmpl w:val="A358D60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3C3B6D69"/>
    <w:multiLevelType w:val="hybridMultilevel"/>
    <w:tmpl w:val="A350CAB0"/>
    <w:lvl w:ilvl="0">
      <w:start w:val="1"/>
      <w:numFmt w:val="upperLetter"/>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0">
    <w:nsid w:val="3DD41D09"/>
    <w:multiLevelType w:val="hybridMultilevel"/>
    <w:tmpl w:val="73D2A140"/>
    <w:lvl w:ilvl="0">
      <w:start w:val="1"/>
      <w:numFmt w:val="upperLetter"/>
      <w:lvlText w:val="%1&gt;"/>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1">
    <w:nsid w:val="41DB4019"/>
    <w:multiLevelType w:val="hybridMultilevel"/>
    <w:tmpl w:val="6DE452C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2">
    <w:nsid w:val="5ED30D56"/>
    <w:multiLevelType w:val="hybridMultilevel"/>
    <w:tmpl w:val="895CEF5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673B14A6"/>
    <w:multiLevelType w:val="hybridMultilevel"/>
    <w:tmpl w:val="C1D0F934"/>
    <w:lvl w:ilvl="0">
      <w:start w:val="1"/>
      <w:numFmt w:val="bullet"/>
      <w:lvlText w:val=""/>
      <w:lvlJc w:val="left"/>
      <w:pPr>
        <w:ind w:left="360" w:hanging="360"/>
      </w:pPr>
      <w:rPr>
        <w:rFonts w:ascii="Wingdings" w:hAnsi="Wingdings"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4">
    <w:nsid w:val="67FC0897"/>
    <w:multiLevelType w:val="hybridMultilevel"/>
    <w:tmpl w:val="048EF7A8"/>
    <w:lvl w:ilvl="0">
      <w:start w:val="1"/>
      <w:numFmt w:val="upperLetter"/>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nsid w:val="6BCC50CA"/>
    <w:multiLevelType w:val="hybridMultilevel"/>
    <w:tmpl w:val="2A2A1934"/>
    <w:lvl w:ilvl="0">
      <w:start w:val="1"/>
      <w:numFmt w:val="upperLetter"/>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6">
    <w:nsid w:val="7F036642"/>
    <w:multiLevelType w:val="hybridMultilevel"/>
    <w:tmpl w:val="F80A2230"/>
    <w:lvl w:ilvl="0">
      <w:start w:val="1"/>
      <w:numFmt w:val="upperLetter"/>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16cid:durableId="1620261528">
    <w:abstractNumId w:val="12"/>
  </w:num>
  <w:num w:numId="2" w16cid:durableId="1430389226">
    <w:abstractNumId w:val="8"/>
  </w:num>
  <w:num w:numId="3" w16cid:durableId="1129397041">
    <w:abstractNumId w:val="11"/>
  </w:num>
  <w:num w:numId="4" w16cid:durableId="656886548">
    <w:abstractNumId w:val="13"/>
  </w:num>
  <w:num w:numId="5" w16cid:durableId="1564214380">
    <w:abstractNumId w:val="3"/>
  </w:num>
  <w:num w:numId="6" w16cid:durableId="1013917098">
    <w:abstractNumId w:val="0"/>
  </w:num>
  <w:num w:numId="7" w16cid:durableId="1931960840">
    <w:abstractNumId w:val="6"/>
  </w:num>
  <w:num w:numId="8" w16cid:durableId="1457984105">
    <w:abstractNumId w:val="1"/>
  </w:num>
  <w:num w:numId="9" w16cid:durableId="680788620">
    <w:abstractNumId w:val="16"/>
  </w:num>
  <w:num w:numId="10" w16cid:durableId="1384136838">
    <w:abstractNumId w:val="10"/>
  </w:num>
  <w:num w:numId="11" w16cid:durableId="654770248">
    <w:abstractNumId w:val="2"/>
  </w:num>
  <w:num w:numId="12" w16cid:durableId="842285284">
    <w:abstractNumId w:val="4"/>
  </w:num>
  <w:num w:numId="13" w16cid:durableId="1589382348">
    <w:abstractNumId w:val="3"/>
  </w:num>
  <w:num w:numId="14" w16cid:durableId="1330450515">
    <w:abstractNumId w:val="14"/>
  </w:num>
  <w:num w:numId="15" w16cid:durableId="1251307879">
    <w:abstractNumId w:val="9"/>
  </w:num>
  <w:num w:numId="16" w16cid:durableId="7950016">
    <w:abstractNumId w:val="7"/>
  </w:num>
  <w:num w:numId="17" w16cid:durableId="2143304076">
    <w:abstractNumId w:val="15"/>
  </w:num>
  <w:num w:numId="18" w16cid:durableId="208183090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E75"/>
    <w:rsid w:val="000033D0"/>
    <w:rsid w:val="00011FEE"/>
    <w:rsid w:val="00023E6F"/>
    <w:rsid w:val="00027B26"/>
    <w:rsid w:val="000333CA"/>
    <w:rsid w:val="000437D9"/>
    <w:rsid w:val="00043D0E"/>
    <w:rsid w:val="00047FF8"/>
    <w:rsid w:val="00052CB5"/>
    <w:rsid w:val="000536F0"/>
    <w:rsid w:val="0005695D"/>
    <w:rsid w:val="00060DCB"/>
    <w:rsid w:val="00067DF6"/>
    <w:rsid w:val="000702B0"/>
    <w:rsid w:val="000712B4"/>
    <w:rsid w:val="000822AC"/>
    <w:rsid w:val="0009024E"/>
    <w:rsid w:val="000917F6"/>
    <w:rsid w:val="000920E0"/>
    <w:rsid w:val="000A57E6"/>
    <w:rsid w:val="000B0CBF"/>
    <w:rsid w:val="000B2E30"/>
    <w:rsid w:val="000B6BD8"/>
    <w:rsid w:val="000B7423"/>
    <w:rsid w:val="000D1CFD"/>
    <w:rsid w:val="000D477A"/>
    <w:rsid w:val="000D66B7"/>
    <w:rsid w:val="000E1414"/>
    <w:rsid w:val="000E1C59"/>
    <w:rsid w:val="000E52DD"/>
    <w:rsid w:val="000E55DA"/>
    <w:rsid w:val="000F2F0A"/>
    <w:rsid w:val="000F65A9"/>
    <w:rsid w:val="00100E5E"/>
    <w:rsid w:val="0010188F"/>
    <w:rsid w:val="00103528"/>
    <w:rsid w:val="0010471A"/>
    <w:rsid w:val="00106D13"/>
    <w:rsid w:val="001132E0"/>
    <w:rsid w:val="00114560"/>
    <w:rsid w:val="001179A6"/>
    <w:rsid w:val="00122C0E"/>
    <w:rsid w:val="00132C95"/>
    <w:rsid w:val="001416F1"/>
    <w:rsid w:val="00143D9C"/>
    <w:rsid w:val="001539C6"/>
    <w:rsid w:val="001602D2"/>
    <w:rsid w:val="00161913"/>
    <w:rsid w:val="00164966"/>
    <w:rsid w:val="00175A39"/>
    <w:rsid w:val="00184F56"/>
    <w:rsid w:val="00185CB4"/>
    <w:rsid w:val="00192E39"/>
    <w:rsid w:val="001A1FC6"/>
    <w:rsid w:val="001B2A1A"/>
    <w:rsid w:val="001C5DE4"/>
    <w:rsid w:val="001E2F2C"/>
    <w:rsid w:val="001E5888"/>
    <w:rsid w:val="001E6405"/>
    <w:rsid w:val="001E66B6"/>
    <w:rsid w:val="001F1217"/>
    <w:rsid w:val="001F2628"/>
    <w:rsid w:val="0020026D"/>
    <w:rsid w:val="00216B48"/>
    <w:rsid w:val="00222B4F"/>
    <w:rsid w:val="0023583D"/>
    <w:rsid w:val="00244F0D"/>
    <w:rsid w:val="00246803"/>
    <w:rsid w:val="00252D20"/>
    <w:rsid w:val="00262B47"/>
    <w:rsid w:val="00266F87"/>
    <w:rsid w:val="00270765"/>
    <w:rsid w:val="0027114C"/>
    <w:rsid w:val="00276E6E"/>
    <w:rsid w:val="00281C98"/>
    <w:rsid w:val="00284AB7"/>
    <w:rsid w:val="0028726D"/>
    <w:rsid w:val="00291705"/>
    <w:rsid w:val="002A7437"/>
    <w:rsid w:val="002A775C"/>
    <w:rsid w:val="002A77F4"/>
    <w:rsid w:val="002B0883"/>
    <w:rsid w:val="002C0047"/>
    <w:rsid w:val="002C0251"/>
    <w:rsid w:val="002D112B"/>
    <w:rsid w:val="002F04C3"/>
    <w:rsid w:val="002F3FC5"/>
    <w:rsid w:val="0030076A"/>
    <w:rsid w:val="003036F7"/>
    <w:rsid w:val="00303FA2"/>
    <w:rsid w:val="003053C0"/>
    <w:rsid w:val="003101DF"/>
    <w:rsid w:val="00310BA5"/>
    <w:rsid w:val="00315CE1"/>
    <w:rsid w:val="00320CC9"/>
    <w:rsid w:val="003248D0"/>
    <w:rsid w:val="00326857"/>
    <w:rsid w:val="0033681C"/>
    <w:rsid w:val="00354E3D"/>
    <w:rsid w:val="003627C8"/>
    <w:rsid w:val="00364E61"/>
    <w:rsid w:val="00365943"/>
    <w:rsid w:val="003663AD"/>
    <w:rsid w:val="00367800"/>
    <w:rsid w:val="003918B4"/>
    <w:rsid w:val="003973D5"/>
    <w:rsid w:val="003B2A8C"/>
    <w:rsid w:val="003B2FED"/>
    <w:rsid w:val="003C0CC2"/>
    <w:rsid w:val="003C623B"/>
    <w:rsid w:val="003E1E56"/>
    <w:rsid w:val="003E46E0"/>
    <w:rsid w:val="003F4D04"/>
    <w:rsid w:val="004113EB"/>
    <w:rsid w:val="00416B11"/>
    <w:rsid w:val="0042450F"/>
    <w:rsid w:val="00430155"/>
    <w:rsid w:val="00432C17"/>
    <w:rsid w:val="004517DF"/>
    <w:rsid w:val="00452615"/>
    <w:rsid w:val="00453E2F"/>
    <w:rsid w:val="0045415F"/>
    <w:rsid w:val="004564F3"/>
    <w:rsid w:val="00465886"/>
    <w:rsid w:val="00465B89"/>
    <w:rsid w:val="00466E1A"/>
    <w:rsid w:val="00467E98"/>
    <w:rsid w:val="004724D2"/>
    <w:rsid w:val="00474257"/>
    <w:rsid w:val="00474425"/>
    <w:rsid w:val="00475EF8"/>
    <w:rsid w:val="00481229"/>
    <w:rsid w:val="00483058"/>
    <w:rsid w:val="004A1DB1"/>
    <w:rsid w:val="004A1E24"/>
    <w:rsid w:val="004B01A7"/>
    <w:rsid w:val="004B13E8"/>
    <w:rsid w:val="004C199B"/>
    <w:rsid w:val="004C28C8"/>
    <w:rsid w:val="004C714C"/>
    <w:rsid w:val="004D04ED"/>
    <w:rsid w:val="004D324E"/>
    <w:rsid w:val="004F2005"/>
    <w:rsid w:val="004F79A8"/>
    <w:rsid w:val="00501974"/>
    <w:rsid w:val="00505B97"/>
    <w:rsid w:val="005218B9"/>
    <w:rsid w:val="0052333E"/>
    <w:rsid w:val="0053049A"/>
    <w:rsid w:val="00530BC6"/>
    <w:rsid w:val="00537187"/>
    <w:rsid w:val="00544983"/>
    <w:rsid w:val="005642EC"/>
    <w:rsid w:val="00570731"/>
    <w:rsid w:val="00583150"/>
    <w:rsid w:val="005B3A6F"/>
    <w:rsid w:val="005D001F"/>
    <w:rsid w:val="005D234E"/>
    <w:rsid w:val="005D7E42"/>
    <w:rsid w:val="005E3B79"/>
    <w:rsid w:val="005E42B2"/>
    <w:rsid w:val="005E52BE"/>
    <w:rsid w:val="005E6510"/>
    <w:rsid w:val="006009BC"/>
    <w:rsid w:val="00601E47"/>
    <w:rsid w:val="006026DA"/>
    <w:rsid w:val="0061555E"/>
    <w:rsid w:val="006162D1"/>
    <w:rsid w:val="00617CC1"/>
    <w:rsid w:val="00623E3D"/>
    <w:rsid w:val="00632C91"/>
    <w:rsid w:val="00635525"/>
    <w:rsid w:val="0064380A"/>
    <w:rsid w:val="006615A3"/>
    <w:rsid w:val="0067622B"/>
    <w:rsid w:val="00685368"/>
    <w:rsid w:val="006C0B96"/>
    <w:rsid w:val="006C4626"/>
    <w:rsid w:val="00704895"/>
    <w:rsid w:val="00704DCD"/>
    <w:rsid w:val="00704DD5"/>
    <w:rsid w:val="00706E5F"/>
    <w:rsid w:val="00707666"/>
    <w:rsid w:val="00713E2E"/>
    <w:rsid w:val="00715D8B"/>
    <w:rsid w:val="0071650B"/>
    <w:rsid w:val="00721B65"/>
    <w:rsid w:val="00723A9E"/>
    <w:rsid w:val="00725056"/>
    <w:rsid w:val="00731262"/>
    <w:rsid w:val="007442A9"/>
    <w:rsid w:val="007643CC"/>
    <w:rsid w:val="007657B4"/>
    <w:rsid w:val="0077546A"/>
    <w:rsid w:val="007860DC"/>
    <w:rsid w:val="00793B69"/>
    <w:rsid w:val="007A1B08"/>
    <w:rsid w:val="007A514B"/>
    <w:rsid w:val="007A76BE"/>
    <w:rsid w:val="007B1F57"/>
    <w:rsid w:val="007B4A74"/>
    <w:rsid w:val="007B54CC"/>
    <w:rsid w:val="007C17EC"/>
    <w:rsid w:val="007D33B7"/>
    <w:rsid w:val="007D6E75"/>
    <w:rsid w:val="007E052A"/>
    <w:rsid w:val="007E18BB"/>
    <w:rsid w:val="007F171B"/>
    <w:rsid w:val="007F676A"/>
    <w:rsid w:val="008005B5"/>
    <w:rsid w:val="00802598"/>
    <w:rsid w:val="008111D2"/>
    <w:rsid w:val="00833781"/>
    <w:rsid w:val="00836E8F"/>
    <w:rsid w:val="00854AE1"/>
    <w:rsid w:val="00867E2B"/>
    <w:rsid w:val="00873459"/>
    <w:rsid w:val="00885F0B"/>
    <w:rsid w:val="0088756F"/>
    <w:rsid w:val="00887BE7"/>
    <w:rsid w:val="00890C6F"/>
    <w:rsid w:val="00891109"/>
    <w:rsid w:val="0089237A"/>
    <w:rsid w:val="00893A0F"/>
    <w:rsid w:val="00896DA2"/>
    <w:rsid w:val="008A3D0C"/>
    <w:rsid w:val="008C0C67"/>
    <w:rsid w:val="008C11BC"/>
    <w:rsid w:val="008D3480"/>
    <w:rsid w:val="008D52D1"/>
    <w:rsid w:val="008D6471"/>
    <w:rsid w:val="008D68AC"/>
    <w:rsid w:val="008D70A3"/>
    <w:rsid w:val="008E2F5F"/>
    <w:rsid w:val="008E7858"/>
    <w:rsid w:val="008F2AED"/>
    <w:rsid w:val="008F6761"/>
    <w:rsid w:val="008F67BB"/>
    <w:rsid w:val="009031E3"/>
    <w:rsid w:val="00906000"/>
    <w:rsid w:val="009156E2"/>
    <w:rsid w:val="00916006"/>
    <w:rsid w:val="00933545"/>
    <w:rsid w:val="00954795"/>
    <w:rsid w:val="00965F99"/>
    <w:rsid w:val="0097778A"/>
    <w:rsid w:val="00983EE7"/>
    <w:rsid w:val="00985F50"/>
    <w:rsid w:val="009877A0"/>
    <w:rsid w:val="009903AB"/>
    <w:rsid w:val="00992A79"/>
    <w:rsid w:val="009961EB"/>
    <w:rsid w:val="0099782A"/>
    <w:rsid w:val="009A1AFC"/>
    <w:rsid w:val="009A5E7C"/>
    <w:rsid w:val="009B19E8"/>
    <w:rsid w:val="009B1A40"/>
    <w:rsid w:val="009B31EB"/>
    <w:rsid w:val="009B6166"/>
    <w:rsid w:val="009C2F36"/>
    <w:rsid w:val="009C5995"/>
    <w:rsid w:val="009D2E75"/>
    <w:rsid w:val="009E3FAC"/>
    <w:rsid w:val="009E590D"/>
    <w:rsid w:val="009E63A4"/>
    <w:rsid w:val="009F0A9A"/>
    <w:rsid w:val="009F13F2"/>
    <w:rsid w:val="00A02D8C"/>
    <w:rsid w:val="00A11D3A"/>
    <w:rsid w:val="00A138F7"/>
    <w:rsid w:val="00A155A4"/>
    <w:rsid w:val="00A163C2"/>
    <w:rsid w:val="00A22A00"/>
    <w:rsid w:val="00A2532E"/>
    <w:rsid w:val="00A267DD"/>
    <w:rsid w:val="00A60DF0"/>
    <w:rsid w:val="00A718B4"/>
    <w:rsid w:val="00A755B4"/>
    <w:rsid w:val="00A7659E"/>
    <w:rsid w:val="00A774B2"/>
    <w:rsid w:val="00A80931"/>
    <w:rsid w:val="00A830ED"/>
    <w:rsid w:val="00A83A09"/>
    <w:rsid w:val="00A92011"/>
    <w:rsid w:val="00AA37EC"/>
    <w:rsid w:val="00AB01BC"/>
    <w:rsid w:val="00AB3FC4"/>
    <w:rsid w:val="00AC2214"/>
    <w:rsid w:val="00AD194E"/>
    <w:rsid w:val="00AD3492"/>
    <w:rsid w:val="00AE0754"/>
    <w:rsid w:val="00AE1BD8"/>
    <w:rsid w:val="00AE3452"/>
    <w:rsid w:val="00AF0863"/>
    <w:rsid w:val="00B3692D"/>
    <w:rsid w:val="00B36FB2"/>
    <w:rsid w:val="00B42845"/>
    <w:rsid w:val="00B43BBD"/>
    <w:rsid w:val="00B504C6"/>
    <w:rsid w:val="00B5251D"/>
    <w:rsid w:val="00B532F3"/>
    <w:rsid w:val="00B56846"/>
    <w:rsid w:val="00B72497"/>
    <w:rsid w:val="00B742EA"/>
    <w:rsid w:val="00B7750E"/>
    <w:rsid w:val="00B77D87"/>
    <w:rsid w:val="00B82CE2"/>
    <w:rsid w:val="00B845D9"/>
    <w:rsid w:val="00B87957"/>
    <w:rsid w:val="00BA1B63"/>
    <w:rsid w:val="00BA260E"/>
    <w:rsid w:val="00BA3BB0"/>
    <w:rsid w:val="00BA54C8"/>
    <w:rsid w:val="00BC5179"/>
    <w:rsid w:val="00BC729D"/>
    <w:rsid w:val="00BD6DCC"/>
    <w:rsid w:val="00BE488A"/>
    <w:rsid w:val="00BF5E0D"/>
    <w:rsid w:val="00C01A08"/>
    <w:rsid w:val="00C06475"/>
    <w:rsid w:val="00C071EB"/>
    <w:rsid w:val="00C07333"/>
    <w:rsid w:val="00C149FF"/>
    <w:rsid w:val="00C2142E"/>
    <w:rsid w:val="00C34093"/>
    <w:rsid w:val="00C408B8"/>
    <w:rsid w:val="00C409E5"/>
    <w:rsid w:val="00C40CB6"/>
    <w:rsid w:val="00C41E65"/>
    <w:rsid w:val="00C42C3D"/>
    <w:rsid w:val="00C44D90"/>
    <w:rsid w:val="00C47335"/>
    <w:rsid w:val="00C505E8"/>
    <w:rsid w:val="00C51EA5"/>
    <w:rsid w:val="00C626BF"/>
    <w:rsid w:val="00C66F87"/>
    <w:rsid w:val="00C728A8"/>
    <w:rsid w:val="00C74209"/>
    <w:rsid w:val="00C866B3"/>
    <w:rsid w:val="00C94C5E"/>
    <w:rsid w:val="00CA492D"/>
    <w:rsid w:val="00CA678F"/>
    <w:rsid w:val="00CB1768"/>
    <w:rsid w:val="00CB646D"/>
    <w:rsid w:val="00CE342B"/>
    <w:rsid w:val="00CF37FD"/>
    <w:rsid w:val="00CF3F2B"/>
    <w:rsid w:val="00CF5A06"/>
    <w:rsid w:val="00CF6C1D"/>
    <w:rsid w:val="00D0168F"/>
    <w:rsid w:val="00D02FE3"/>
    <w:rsid w:val="00D04ECD"/>
    <w:rsid w:val="00D075F8"/>
    <w:rsid w:val="00D07D7B"/>
    <w:rsid w:val="00D11723"/>
    <w:rsid w:val="00D149A1"/>
    <w:rsid w:val="00D215B4"/>
    <w:rsid w:val="00D21E0D"/>
    <w:rsid w:val="00D24E7B"/>
    <w:rsid w:val="00D31F21"/>
    <w:rsid w:val="00D41C34"/>
    <w:rsid w:val="00D44719"/>
    <w:rsid w:val="00D46C38"/>
    <w:rsid w:val="00D56403"/>
    <w:rsid w:val="00D566BC"/>
    <w:rsid w:val="00D646C7"/>
    <w:rsid w:val="00D73F8B"/>
    <w:rsid w:val="00D81259"/>
    <w:rsid w:val="00D8242B"/>
    <w:rsid w:val="00D85C09"/>
    <w:rsid w:val="00D94D4D"/>
    <w:rsid w:val="00D97FED"/>
    <w:rsid w:val="00DA129F"/>
    <w:rsid w:val="00DB2149"/>
    <w:rsid w:val="00DB4246"/>
    <w:rsid w:val="00DB4E8E"/>
    <w:rsid w:val="00DC03CC"/>
    <w:rsid w:val="00DC5308"/>
    <w:rsid w:val="00DD11EA"/>
    <w:rsid w:val="00DD794C"/>
    <w:rsid w:val="00DD7DC4"/>
    <w:rsid w:val="00DE0042"/>
    <w:rsid w:val="00DE4E58"/>
    <w:rsid w:val="00DF098E"/>
    <w:rsid w:val="00DF5A77"/>
    <w:rsid w:val="00E04BEF"/>
    <w:rsid w:val="00E12568"/>
    <w:rsid w:val="00E242A3"/>
    <w:rsid w:val="00E3177E"/>
    <w:rsid w:val="00E56B6A"/>
    <w:rsid w:val="00E57B74"/>
    <w:rsid w:val="00E64182"/>
    <w:rsid w:val="00E8402D"/>
    <w:rsid w:val="00E8462F"/>
    <w:rsid w:val="00EA4AB1"/>
    <w:rsid w:val="00EB43D7"/>
    <w:rsid w:val="00EB4BE8"/>
    <w:rsid w:val="00EB5595"/>
    <w:rsid w:val="00EC2CF4"/>
    <w:rsid w:val="00ED1E43"/>
    <w:rsid w:val="00ED2FB9"/>
    <w:rsid w:val="00ED3749"/>
    <w:rsid w:val="00EE01CB"/>
    <w:rsid w:val="00EE1AD1"/>
    <w:rsid w:val="00EE40BD"/>
    <w:rsid w:val="00EF5155"/>
    <w:rsid w:val="00F00774"/>
    <w:rsid w:val="00F0464D"/>
    <w:rsid w:val="00F04F6D"/>
    <w:rsid w:val="00F07323"/>
    <w:rsid w:val="00F303E4"/>
    <w:rsid w:val="00F31EC3"/>
    <w:rsid w:val="00F4135C"/>
    <w:rsid w:val="00F41E88"/>
    <w:rsid w:val="00F450D9"/>
    <w:rsid w:val="00F520C8"/>
    <w:rsid w:val="00F57741"/>
    <w:rsid w:val="00F666E4"/>
    <w:rsid w:val="00F77FE9"/>
    <w:rsid w:val="00F83134"/>
    <w:rsid w:val="00F947C0"/>
    <w:rsid w:val="00FC14FD"/>
    <w:rsid w:val="00FC1D11"/>
    <w:rsid w:val="00FC4F9F"/>
    <w:rsid w:val="00FE26A8"/>
    <w:rsid w:val="00FE4FF0"/>
    <w:rsid w:val="00FE644A"/>
    <w:rsid w:val="00FF5ACE"/>
    <w:rsid w:val="0341CC53"/>
    <w:rsid w:val="0348617F"/>
    <w:rsid w:val="04BC56B0"/>
    <w:rsid w:val="04F19C04"/>
    <w:rsid w:val="05D20204"/>
    <w:rsid w:val="071BD9DD"/>
    <w:rsid w:val="07B66DA7"/>
    <w:rsid w:val="0C2375A2"/>
    <w:rsid w:val="0CCC893B"/>
    <w:rsid w:val="13DF74E2"/>
    <w:rsid w:val="13FF6500"/>
    <w:rsid w:val="1695673B"/>
    <w:rsid w:val="17B00EF6"/>
    <w:rsid w:val="17DB0D2A"/>
    <w:rsid w:val="17E9C899"/>
    <w:rsid w:val="1928F62D"/>
    <w:rsid w:val="1C5C5927"/>
    <w:rsid w:val="1CE6206B"/>
    <w:rsid w:val="1DA145DC"/>
    <w:rsid w:val="23426851"/>
    <w:rsid w:val="27CBD760"/>
    <w:rsid w:val="33504EF5"/>
    <w:rsid w:val="3441C839"/>
    <w:rsid w:val="35201958"/>
    <w:rsid w:val="35B9BA18"/>
    <w:rsid w:val="3AA6CCB9"/>
    <w:rsid w:val="3EBDAD78"/>
    <w:rsid w:val="4026CA19"/>
    <w:rsid w:val="4295A700"/>
    <w:rsid w:val="4300B197"/>
    <w:rsid w:val="432C520B"/>
    <w:rsid w:val="4352997A"/>
    <w:rsid w:val="438AB94F"/>
    <w:rsid w:val="43DEC719"/>
    <w:rsid w:val="444C8A01"/>
    <w:rsid w:val="4A08275F"/>
    <w:rsid w:val="4AC6BD7E"/>
    <w:rsid w:val="4C729D30"/>
    <w:rsid w:val="4E4C94A6"/>
    <w:rsid w:val="4F052B72"/>
    <w:rsid w:val="52D6191A"/>
    <w:rsid w:val="52E5FB6C"/>
    <w:rsid w:val="540202E0"/>
    <w:rsid w:val="555458BF"/>
    <w:rsid w:val="558F8BE0"/>
    <w:rsid w:val="5803B322"/>
    <w:rsid w:val="5BFB7B72"/>
    <w:rsid w:val="5EF60D17"/>
    <w:rsid w:val="5F53EB52"/>
    <w:rsid w:val="6101B6D1"/>
    <w:rsid w:val="61291B74"/>
    <w:rsid w:val="61CA03DF"/>
    <w:rsid w:val="6222CA48"/>
    <w:rsid w:val="63E8D240"/>
    <w:rsid w:val="6B092B36"/>
    <w:rsid w:val="6FDA8E25"/>
    <w:rsid w:val="75AD9025"/>
    <w:rsid w:val="7A84C83A"/>
    <w:rsid w:val="7B33F263"/>
    <w:rsid w:val="7CDB1F7F"/>
    <w:rsid w:val="7E3C0211"/>
    <w:rsid w:val="7F6798F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9F3900D"/>
  <w15:docId w15:val="{1D68A09B-8F44-49FC-9E7D-2A461B10D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D6E75"/>
    <w:rPr>
      <w:rFonts w:ascii="Times New Roman" w:hAnsi="Times New Roman"/>
      <w:sz w:val="24"/>
    </w:rPr>
  </w:style>
  <w:style w:type="paragraph" w:styleId="Heading1">
    <w:name w:val="heading 1"/>
    <w:basedOn w:val="Normal"/>
    <w:next w:val="Normal"/>
    <w:link w:val="Heading1Char"/>
    <w:autoRedefine/>
    <w:uiPriority w:val="9"/>
    <w:qFormat/>
    <w:rsid w:val="00965F99"/>
    <w:pPr>
      <w:widowControl w:val="0"/>
      <w:numPr>
        <w:numId w:val="18"/>
      </w:numPr>
      <w:spacing w:after="0" w:line="240" w:lineRule="auto"/>
      <w:outlineLvl w:val="0"/>
    </w:pPr>
    <w:rPr>
      <w:rFonts w:eastAsia="Times New Roman" w:cs="Times New Roman"/>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5F99"/>
    <w:rPr>
      <w:rFonts w:ascii="Times New Roman" w:eastAsia="Times New Roman" w:hAnsi="Times New Roman" w:cs="Times New Roman"/>
      <w:b/>
      <w:bCs/>
      <w:sz w:val="24"/>
      <w:szCs w:val="24"/>
    </w:rPr>
  </w:style>
  <w:style w:type="paragraph" w:styleId="ListParagraph">
    <w:name w:val="List Paragraph"/>
    <w:basedOn w:val="Normal"/>
    <w:uiPriority w:val="34"/>
    <w:qFormat/>
    <w:rsid w:val="006026DA"/>
    <w:pPr>
      <w:ind w:left="720"/>
      <w:contextualSpacing/>
    </w:pPr>
    <w:rPr>
      <w:rFonts w:ascii="Calibri" w:eastAsia="Calibri" w:hAnsi="Calibri" w:cs="Times New Roman"/>
      <w:sz w:val="22"/>
    </w:rPr>
  </w:style>
  <w:style w:type="table" w:styleId="TableGrid">
    <w:name w:val="Table Grid"/>
    <w:basedOn w:val="TableNormal"/>
    <w:uiPriority w:val="59"/>
    <w:rsid w:val="006026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111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11D2"/>
    <w:rPr>
      <w:rFonts w:ascii="Times New Roman" w:hAnsi="Times New Roman"/>
      <w:sz w:val="24"/>
    </w:rPr>
  </w:style>
  <w:style w:type="paragraph" w:styleId="Footer">
    <w:name w:val="footer"/>
    <w:basedOn w:val="Normal"/>
    <w:link w:val="FooterChar"/>
    <w:uiPriority w:val="99"/>
    <w:unhideWhenUsed/>
    <w:rsid w:val="008111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11D2"/>
    <w:rPr>
      <w:rFonts w:ascii="Times New Roman" w:hAnsi="Times New Roman"/>
      <w:sz w:val="24"/>
    </w:rPr>
  </w:style>
  <w:style w:type="paragraph" w:styleId="TOCHeading">
    <w:name w:val="TOC Heading"/>
    <w:basedOn w:val="Heading1"/>
    <w:next w:val="Normal"/>
    <w:uiPriority w:val="39"/>
    <w:semiHidden/>
    <w:unhideWhenUsed/>
    <w:qFormat/>
    <w:rsid w:val="00270765"/>
    <w:pPr>
      <w:spacing w:before="480" w:line="276" w:lineRule="auto"/>
      <w:outlineLvl w:val="9"/>
    </w:pPr>
    <w:rPr>
      <w:rFonts w:asciiTheme="majorHAnsi" w:hAnsiTheme="majorHAnsi"/>
      <w:color w:val="365F91" w:themeColor="accent1" w:themeShade="BF"/>
      <w:sz w:val="28"/>
    </w:rPr>
  </w:style>
  <w:style w:type="character" w:styleId="Hyperlink">
    <w:name w:val="Hyperlink"/>
    <w:basedOn w:val="DefaultParagraphFont"/>
    <w:uiPriority w:val="99"/>
    <w:semiHidden/>
    <w:unhideWhenUsed/>
    <w:rsid w:val="00132C95"/>
    <w:rPr>
      <w:color w:val="0563C1"/>
      <w:u w:val="single"/>
    </w:rPr>
  </w:style>
  <w:style w:type="paragraph" w:styleId="Revision">
    <w:name w:val="Revision"/>
    <w:hidden/>
    <w:uiPriority w:val="99"/>
    <w:semiHidden/>
    <w:rsid w:val="003101DF"/>
    <w:pPr>
      <w:spacing w:after="0" w:line="240" w:lineRule="auto"/>
    </w:pPr>
    <w:rPr>
      <w:rFonts w:ascii="Times New Roman" w:hAnsi="Times New Roman"/>
      <w:sz w:val="24"/>
    </w:rPr>
  </w:style>
  <w:style w:type="character" w:styleId="FollowedHyperlink">
    <w:name w:val="FollowedHyperlink"/>
    <w:basedOn w:val="DefaultParagraphFont"/>
    <w:uiPriority w:val="99"/>
    <w:semiHidden/>
    <w:unhideWhenUsed/>
    <w:rsid w:val="007442A9"/>
    <w:rPr>
      <w:color w:val="800080" w:themeColor="followedHyperlink"/>
      <w:u w:val="single"/>
    </w:rPr>
  </w:style>
  <w:style w:type="character" w:styleId="CommentReference">
    <w:name w:val="annotation reference"/>
    <w:basedOn w:val="DefaultParagraphFont"/>
    <w:uiPriority w:val="99"/>
    <w:semiHidden/>
    <w:unhideWhenUsed/>
    <w:rsid w:val="004D04ED"/>
    <w:rPr>
      <w:sz w:val="16"/>
      <w:szCs w:val="16"/>
    </w:rPr>
  </w:style>
  <w:style w:type="paragraph" w:styleId="CommentText">
    <w:name w:val="annotation text"/>
    <w:basedOn w:val="Normal"/>
    <w:link w:val="CommentTextChar"/>
    <w:uiPriority w:val="99"/>
    <w:unhideWhenUsed/>
    <w:rsid w:val="004D04ED"/>
    <w:pPr>
      <w:spacing w:line="240" w:lineRule="auto"/>
    </w:pPr>
    <w:rPr>
      <w:sz w:val="20"/>
      <w:szCs w:val="20"/>
    </w:rPr>
  </w:style>
  <w:style w:type="character" w:customStyle="1" w:styleId="CommentTextChar">
    <w:name w:val="Comment Text Char"/>
    <w:basedOn w:val="DefaultParagraphFont"/>
    <w:link w:val="CommentText"/>
    <w:uiPriority w:val="99"/>
    <w:rsid w:val="004D04ED"/>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4D04ED"/>
    <w:rPr>
      <w:b/>
      <w:bCs/>
    </w:rPr>
  </w:style>
  <w:style w:type="character" w:customStyle="1" w:styleId="CommentSubjectChar">
    <w:name w:val="Comment Subject Char"/>
    <w:basedOn w:val="CommentTextChar"/>
    <w:link w:val="CommentSubject"/>
    <w:uiPriority w:val="99"/>
    <w:semiHidden/>
    <w:rsid w:val="004D04ED"/>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customXml/item7.xml" /><Relationship Id="rId11" Type="http://schemas.openxmlformats.org/officeDocument/2006/relationships/hyperlink" Target="http://www.bls.gov/oes/current/oes_nat.htm" TargetMode="Externa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customXml" Target="../customXml/item6.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xml version="1.0" encoding="utf-8" standalone="yes"?><Relationships xmlns="http://schemas.openxmlformats.org/package/2006/relationships"><Relationship Id="rId1" Type="http://schemas.openxmlformats.org/officeDocument/2006/relationships/customXmlProps" Target="itemProps6.xml" /></Relationships>
</file>

<file path=customXml/_rels/item7.xml.rels><?xml version="1.0" encoding="utf-8" standalone="yes"?><Relationships xmlns="http://schemas.openxmlformats.org/package/2006/relationships"><Relationship Id="rId1" Type="http://schemas.openxmlformats.org/officeDocument/2006/relationships/customXmlProps" Target="itemProps7.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6BA4B054486454F9B4BCA82FDCDEF3C" ma:contentTypeVersion="12" ma:contentTypeDescription="Create a new document." ma:contentTypeScope="" ma:versionID="5ef012dda329faab656a46d8e5fa2814">
  <xsd:schema xmlns:xsd="http://www.w3.org/2001/XMLSchema" xmlns:xs="http://www.w3.org/2001/XMLSchema" xmlns:p="http://schemas.microsoft.com/office/2006/metadata/properties" xmlns:ns2="86462943-aab0-4b5c-b4d4-52178c4ef92d" xmlns:ns3="c194ae45-f258-4482-be66-d37b1e7e63df" targetNamespace="http://schemas.microsoft.com/office/2006/metadata/properties" ma:root="true" ma:fieldsID="5157664f6f5375fca7ae474809f46e69" ns2:_="" ns3:_="">
    <xsd:import namespace="86462943-aab0-4b5c-b4d4-52178c4ef92d"/>
    <xsd:import namespace="c194ae45-f258-4482-be66-d37b1e7e63d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462943-aab0-4b5c-b4d4-52178c4ef92d"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bed98ede-6774-481f-ab53-10ef90e3661e}" ma:internalName="TaxCatchAll" ma:showField="CatchAllData" ma:web="86462943-aab0-4b5c-b4d4-52178c4ef92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194ae45-f258-4482-be66-d37b1e7e63d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b3e285b-e0ca-4a5b-a5c0-efc06264a33b"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file>

<file path=customXml/item5.xml><?xml version="1.0" encoding="utf-8"?>
<p:properties xmlns:p="http://schemas.microsoft.com/office/2006/metadata/properties" xmlns:xsi="http://www.w3.org/2001/XMLSchema-instance" xmlns:pc="http://schemas.microsoft.com/office/infopath/2007/PartnerControls">
  <documentManagement>
    <TaxCatchAll xmlns="86462943-aab0-4b5c-b4d4-52178c4ef92d" xsi:nil="true"/>
    <lcf76f155ced4ddcb4097134ff3c332f xmlns="c194ae45-f258-4482-be66-d37b1e7e63df">
      <Terms xmlns="http://schemas.microsoft.com/office/infopath/2007/PartnerControls"/>
    </lcf76f155ced4ddcb4097134ff3c332f>
    <_dlc_DocId xmlns="86462943-aab0-4b5c-b4d4-52178c4ef92d">Y7UX5VDTXFPE-1751212923-11738</_dlc_DocId>
    <_dlc_DocIdUrl xmlns="86462943-aab0-4b5c-b4d4-52178c4ef92d">
      <Url>https://cmsgovonline.sharepoint.com/sites/CMS-SharePoint-CMCS-CAHPG-Collaborations/_layouts/15/DocIdRedir.aspx?ID=Y7UX5VDTXFPE-1751212923-11738</Url>
      <Description>Y7UX5VDTXFPE-1751212923-11738</Description>
    </_dlc_DocIdUrl>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ct:contentTypeSchema xmlns:ct="http://schemas.microsoft.com/office/2006/metadata/contentType" xmlns:ma="http://schemas.microsoft.com/office/2006/metadata/properties/metaAttributes" ct:_="" ma:_="" ma:contentTypeName="Document" ma:contentTypeID="0x010100E654661EC58C1D44B6733FCA53D6F7CA" ma:contentTypeVersion="15" ma:contentTypeDescription="Create a new document." ma:contentTypeScope="" ma:versionID="05d39c257dab5720c93746b04ec655c2">
  <xsd:schema xmlns:xsd="http://www.w3.org/2001/XMLSchema" xmlns:xs="http://www.w3.org/2001/XMLSchema" xmlns:p="http://schemas.microsoft.com/office/2006/metadata/properties" xmlns:ns2="f9a67731-bf91-4b22-8845-da02009e5238" xmlns:ns3="4952e0ab-3107-446c-ab42-809a130af1dc" targetNamespace="http://schemas.microsoft.com/office/2006/metadata/properties" ma:root="true" ma:fieldsID="d1e1d0d935b54fb9a2d76e4e97079c4a" ns2:_="" ns3:_="">
    <xsd:import namespace="f9a67731-bf91-4b22-8845-da02009e5238"/>
    <xsd:import namespace="4952e0ab-3107-446c-ab42-809a130af1d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a67731-bf91-4b22-8845-da02009e52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fieldId="{5cf76f15-5ced-4ddc-b409-7134ff3c332f}" ma:taxonomyMulti="true" ma:sspId="00000000-0000-0000-0000-000000000000" ma:termSetId="00000000-0000-0000-0000-000000000000" ma:anchorId="00000000-0000-0000-0000-000000000000" ma:open="fals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BillingMetadata" ma:index="1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952e0ab-3107-446c-ab42-809a130af1d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c96c9bc-6878-44bf-9774-45b2226a3e75}" ma:internalName="TaxCatchAll" ma:showField="CatchAllData" ma:web="4952e0ab-3107-446c-ab42-809a130af1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A39372-A365-4F4F-867F-35652E69F360}">
  <ds:schemaRefs>
    <ds:schemaRef ds:uri="http://schemas.microsoft.com/sharepoint/events"/>
  </ds:schemaRefs>
</ds:datastoreItem>
</file>

<file path=customXml/itemProps2.xml><?xml version="1.0" encoding="utf-8"?>
<ds:datastoreItem xmlns:ds="http://schemas.openxmlformats.org/officeDocument/2006/customXml" ds:itemID="{7900FAC0-8CE7-4D19-954E-5E86192F14A1}">
  <ds:schemaRefs>
    <ds:schemaRef ds:uri="http://schemas.microsoft.com/sharepoint/v3/contenttype/forms"/>
  </ds:schemaRefs>
</ds:datastoreItem>
</file>

<file path=customXml/itemProps3.xml><?xml version="1.0" encoding="utf-8"?>
<ds:datastoreItem xmlns:ds="http://schemas.openxmlformats.org/officeDocument/2006/customXml" ds:itemID="{D4CBD9BB-4AD5-4635-8C62-6ACE8A55D9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462943-aab0-4b5c-b4d4-52178c4ef92d"/>
    <ds:schemaRef ds:uri="c194ae45-f258-4482-be66-d37b1e7e63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EC582F2-3C9B-4C4C-B044-4B77FECF22E1}">
  <ds:schemaRefs>
    <ds:schemaRef ds:uri="http://schemas.microsoft.com/sharepoint/v3/contenttype/forms"/>
  </ds:schemaRefs>
</ds:datastoreItem>
</file>

<file path=customXml/itemProps5.xml><?xml version="1.0" encoding="utf-8"?>
<ds:datastoreItem xmlns:ds="http://schemas.openxmlformats.org/officeDocument/2006/customXml" ds:itemID="{1D029CE1-ABFE-4411-92E2-CD92777D93A0}">
  <ds:schemaRefs>
    <ds:schemaRef ds:uri="http://schemas.microsoft.com/office/2006/metadata/properties"/>
    <ds:schemaRef ds:uri="http://schemas.microsoft.com/office/infopath/2007/PartnerControls"/>
    <ds:schemaRef ds:uri="86462943-aab0-4b5c-b4d4-52178c4ef92d"/>
    <ds:schemaRef ds:uri="c194ae45-f258-4482-be66-d37b1e7e63df"/>
  </ds:schemaRefs>
</ds:datastoreItem>
</file>

<file path=customXml/itemProps6.xml><?xml version="1.0" encoding="utf-8"?>
<ds:datastoreItem xmlns:ds="http://schemas.openxmlformats.org/officeDocument/2006/customXml" ds:itemID="{A813C0DF-1768-4D93-B1A4-2055D94AC851}">
  <ds:schemaRefs>
    <ds:schemaRef ds:uri="http://schemas.openxmlformats.org/officeDocument/2006/bibliography"/>
  </ds:schemaRefs>
</ds:datastoreItem>
</file>

<file path=customXml/itemProps7.xml><?xml version="1.0" encoding="utf-8"?>
<ds:datastoreItem xmlns:ds="http://schemas.openxmlformats.org/officeDocument/2006/customXml" ds:itemID="{53F4094B-FAD2-477A-8552-CF4E5A4B35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a67731-bf91-4b22-8845-da02009e5238"/>
    <ds:schemaRef ds:uri="4952e0ab-3107-446c-ab42-809a130af1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5</Pages>
  <Words>1895</Words>
  <Characters>10654</Characters>
  <Application>Microsoft Office Word</Application>
  <DocSecurity>0</DocSecurity>
  <Lines>332</Lines>
  <Paragraphs>160</Paragraphs>
  <ScaleCrop>false</ScaleCrop>
  <Company/>
  <LinksUpToDate>false</LinksUpToDate>
  <CharactersWithSpaces>12389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Mitch Bryman</dc:creator>
  <cp:lastModifiedBy>Bryman, Mitch (CMS/OSORA)</cp:lastModifiedBy>
  <cp:revision>11</cp:revision>
  <dcterms:created xsi:type="dcterms:W3CDTF">2026-07-28T12:25:00Z</dcterms:created>
  <dcterms:modified xsi:type="dcterms:W3CDTF">2026-07-28T13:02:00Z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0x01010056BA4B054486454F9B4BCA82FDCDEF3C</vt:lpwstr>
  </property>
  <property fmtid="{D5CDD505-2E9C-101B-9397-08002B2CF9AE}" pid="4" name="MediaServiceImageTags">
    <vt:lpwstr/>
  </property>
  <property fmtid="{D5CDD505-2E9C-101B-9397-08002B2CF9AE}" pid="5" name="Order">
    <vt:r8>1150700</vt:r8>
  </property>
  <property fmtid="{D5CDD505-2E9C-101B-9397-08002B2CF9AE}" pid="6" name="TemplateUrl">
    <vt:lpwstr/>
  </property>
  <property fmtid="{D5CDD505-2E9C-101B-9397-08002B2CF9AE}" pid="7" name="TriggerFlowInfo">
    <vt:lpwstr/>
  </property>
  <property fmtid="{D5CDD505-2E9C-101B-9397-08002B2CF9AE}" pid="8" name="xd_ProgID">
    <vt:lpwstr/>
  </property>
  <property fmtid="{D5CDD505-2E9C-101B-9397-08002B2CF9AE}" pid="9" name="xd_Signature">
    <vt:bool>false</vt:bool>
  </property>
  <property fmtid="{D5CDD505-2E9C-101B-9397-08002B2CF9AE}" pid="10" name="_dlc_DocIdItemGuid">
    <vt:lpwstr>3451d6c7-aaa9-492f-a173-effc3537e790</vt:lpwstr>
  </property>
  <property fmtid="{D5CDD505-2E9C-101B-9397-08002B2CF9AE}" pid="11" name="_ExtendedDescription">
    <vt:lpwstr/>
  </property>
</Properties>
</file>