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1EF9" w:rsidRPr="001C250B" w:rsidP="001C250B" w14:paraId="22D4161B" w14:textId="7D519D54">
      <w:pPr>
        <w:pStyle w:val="Heading1"/>
      </w:pPr>
      <w:bookmarkStart w:id="0" w:name="_Toc137652159"/>
      <w:r w:rsidRPr="001C250B">
        <w:t xml:space="preserve">Health Insurance </w:t>
      </w:r>
      <w:r w:rsidRPr="001C250B" w:rsidR="00E215E1">
        <w:t>Exchange</w:t>
      </w:r>
      <w:r w:rsidRPr="001C250B">
        <w:t xml:space="preserve"> </w:t>
      </w:r>
      <w:r w:rsidRPr="001C250B" w:rsidR="00853CD6">
        <w:t>Consumer Experience</w:t>
      </w:r>
      <w:r w:rsidRPr="001C250B">
        <w:t xml:space="preserve"> Survey</w:t>
      </w:r>
      <w:r w:rsidRPr="001C250B" w:rsidR="002E6E23">
        <w:t>s</w:t>
      </w:r>
      <w:r w:rsidRPr="001C250B" w:rsidR="00853CD6">
        <w:t xml:space="preserve">: </w:t>
      </w:r>
      <w:r w:rsidRPr="001C250B" w:rsidR="0033439D">
        <w:t>Qualified Health Plan Enrollee Experience Survey</w:t>
      </w:r>
      <w:bookmarkEnd w:id="0"/>
    </w:p>
    <w:p w:rsidR="00AC6135" w:rsidP="00514076" w14:paraId="3D60CAEC" w14:textId="09A0DCFD">
      <w:pPr>
        <w:pStyle w:val="CoverText"/>
      </w:pPr>
      <w:r>
        <w:t>Supporting Statement—Part A</w:t>
      </w:r>
      <w:r>
        <w:br/>
        <w:t xml:space="preserve">Supporting Statement for the </w:t>
      </w:r>
      <w:r w:rsidR="005A1BE8">
        <w:t>Enrollee Satisfaction Survey</w:t>
      </w:r>
      <w:r w:rsidR="006D0CFE">
        <w:t xml:space="preserve"> and </w:t>
      </w:r>
      <w:r w:rsidR="00E215E1">
        <w:t>Exchange</w:t>
      </w:r>
      <w:r w:rsidR="006D0CFE">
        <w:t xml:space="preserve"> Survey</w:t>
      </w:r>
      <w:r w:rsidR="005A1BE8">
        <w:t xml:space="preserve"> </w:t>
      </w:r>
      <w:r>
        <w:t>Data Collection</w:t>
      </w:r>
    </w:p>
    <w:p w:rsidR="002C4158" w:rsidRPr="00725819" w:rsidP="00514076" w14:paraId="254C9F00" w14:textId="7A75595A">
      <w:pPr>
        <w:pStyle w:val="CoverText"/>
      </w:pPr>
      <w:r w:rsidRPr="00725819">
        <w:t xml:space="preserve">OMB Control Number: </w:t>
      </w:r>
      <w:r w:rsidRPr="00725819" w:rsidR="0006030E">
        <w:t>09</w:t>
      </w:r>
      <w:r w:rsidRPr="00725819" w:rsidR="002B6AB7">
        <w:t>38</w:t>
      </w:r>
      <w:r w:rsidRPr="00725819" w:rsidR="00EC1B25">
        <w:t>-1221</w:t>
      </w:r>
    </w:p>
    <w:p w:rsidR="00514076" w:rsidRPr="00781960" w:rsidP="5C6A7AC5" w14:paraId="63E075EA" w14:textId="4686765D">
      <w:pPr>
        <w:pStyle w:val="CoverText"/>
        <w:rPr>
          <w:bCs/>
          <w:noProof/>
          <w:highlight w:val="yellow"/>
        </w:rPr>
      </w:pPr>
      <w:r w:rsidRPr="00781960">
        <w:rPr>
          <w:bCs/>
        </w:rPr>
        <w:t>June 14, 2023</w:t>
      </w:r>
    </w:p>
    <w:p w:rsidR="00514076" w:rsidRPr="002E6E23" w:rsidP="5C6A7AC5" w14:paraId="7F0E584A" w14:textId="49940092">
      <w:pPr>
        <w:pStyle w:val="CoverText"/>
        <w:rPr>
          <w:noProof/>
        </w:rPr>
      </w:pPr>
      <w:r>
        <w:t xml:space="preserve">Centers for Medicare </w:t>
      </w:r>
      <w:r w:rsidR="009307E8">
        <w:t xml:space="preserve">&amp; </w:t>
      </w:r>
      <w:r>
        <w:t>Medicaid Services</w:t>
      </w:r>
    </w:p>
    <w:p w:rsidR="00514076" w:rsidP="002E6E23" w14:paraId="645DFAED" w14:textId="77777777">
      <w:pPr>
        <w:jc w:val="center"/>
        <w:sectPr w:rsidSect="00311EF9">
          <w:headerReference w:type="default" r:id="rId10"/>
          <w:footerReference w:type="default" r:id="rId11"/>
          <w:endnotePr>
            <w:numFmt w:val="decimal"/>
          </w:endnotePr>
          <w:type w:val="continuous"/>
          <w:pgSz w:w="12240" w:h="15840"/>
          <w:pgMar w:top="1440" w:right="1530" w:bottom="1440" w:left="1440" w:header="1440" w:footer="1440" w:gutter="0"/>
          <w:pgNumType w:fmt="lowerRoman" w:start="1"/>
          <w:cols w:space="720"/>
          <w:noEndnote/>
          <w:titlePg/>
          <w:docGrid w:linePitch="272"/>
        </w:sectPr>
      </w:pPr>
    </w:p>
    <w:p w:rsidR="00311EF9" w:rsidRPr="00616E9D" w:rsidP="00616E9D" w14:paraId="0470539B" w14:textId="77777777">
      <w:pPr>
        <w:pStyle w:val="Heading2"/>
        <w:spacing w:before="0" w:after="360"/>
        <w:jc w:val="center"/>
        <w:rPr>
          <w:iCs w:val="0"/>
        </w:rPr>
      </w:pPr>
      <w:bookmarkStart w:id="1" w:name="_Toc137652160"/>
      <w:r w:rsidRPr="00616E9D">
        <w:rPr>
          <w:iCs w:val="0"/>
        </w:rPr>
        <w:t>TABLE OF CONTENTS</w:t>
      </w:r>
      <w:bookmarkEnd w:id="1"/>
    </w:p>
    <w:p w:rsidR="000A2488" w14:paraId="5A0AF057" w14:textId="576A429F">
      <w:pPr>
        <w:pStyle w:val="TOC1"/>
        <w:rPr>
          <w:rFonts w:asciiTheme="minorHAnsi" w:eastAsiaTheme="minorEastAsia" w:hAnsiTheme="minorHAnsi" w:cstheme="minorBidi"/>
          <w:b w:val="0"/>
          <w:bCs w:val="0"/>
          <w:sz w:val="22"/>
          <w:szCs w:val="22"/>
        </w:rPr>
      </w:pPr>
      <w:r>
        <w:fldChar w:fldCharType="begin"/>
      </w:r>
      <w:r>
        <w:instrText xml:space="preserve"> TOC \o "3-3" \h \z \t "Heading 1,1,Heading 2,2" </w:instrText>
      </w:r>
      <w:r>
        <w:fldChar w:fldCharType="separate"/>
      </w:r>
      <w:hyperlink w:anchor="_Toc137652159" w:history="1">
        <w:r w:rsidRPr="0098479B">
          <w:rPr>
            <w:rStyle w:val="Hyperlink"/>
          </w:rPr>
          <w:t>Health Insurance Exchange Consumer Experience Surveys: Qualified Health Plan Enrollee Experience Survey</w:t>
        </w:r>
        <w:r>
          <w:rPr>
            <w:webHidden/>
          </w:rPr>
          <w:tab/>
        </w:r>
        <w:r>
          <w:rPr>
            <w:webHidden/>
          </w:rPr>
          <w:fldChar w:fldCharType="begin"/>
        </w:r>
        <w:r>
          <w:rPr>
            <w:webHidden/>
          </w:rPr>
          <w:instrText xml:space="preserve"> PAGEREF _Toc137652159 \h </w:instrText>
        </w:r>
        <w:r>
          <w:rPr>
            <w:webHidden/>
          </w:rPr>
          <w:fldChar w:fldCharType="separate"/>
        </w:r>
        <w:r w:rsidR="00FF2E6A">
          <w:rPr>
            <w:webHidden/>
          </w:rPr>
          <w:t>i</w:t>
        </w:r>
        <w:r>
          <w:rPr>
            <w:webHidden/>
          </w:rPr>
          <w:fldChar w:fldCharType="end"/>
        </w:r>
      </w:hyperlink>
    </w:p>
    <w:p w:rsidR="000A2488" w14:paraId="24F48070" w14:textId="738BDCFF">
      <w:pPr>
        <w:pStyle w:val="TOC2"/>
        <w:rPr>
          <w:rFonts w:asciiTheme="minorHAnsi" w:eastAsiaTheme="minorEastAsia" w:hAnsiTheme="minorHAnsi" w:cstheme="minorBidi"/>
          <w:b w:val="0"/>
          <w:bCs w:val="0"/>
          <w:sz w:val="22"/>
          <w:szCs w:val="22"/>
        </w:rPr>
      </w:pPr>
      <w:hyperlink w:anchor="_Toc137652161" w:history="1">
        <w:r w:rsidRPr="0098479B">
          <w:rPr>
            <w:rStyle w:val="Hyperlink"/>
          </w:rPr>
          <w:t>A.</w:t>
        </w:r>
        <w:r>
          <w:rPr>
            <w:rFonts w:asciiTheme="minorHAnsi" w:eastAsiaTheme="minorEastAsia" w:hAnsiTheme="minorHAnsi" w:cstheme="minorBidi"/>
            <w:b w:val="0"/>
            <w:bCs w:val="0"/>
            <w:sz w:val="22"/>
            <w:szCs w:val="22"/>
          </w:rPr>
          <w:tab/>
        </w:r>
        <w:r w:rsidRPr="0098479B">
          <w:rPr>
            <w:rStyle w:val="Hyperlink"/>
          </w:rPr>
          <w:t>Background</w:t>
        </w:r>
        <w:r>
          <w:rPr>
            <w:webHidden/>
          </w:rPr>
          <w:tab/>
        </w:r>
        <w:r>
          <w:rPr>
            <w:webHidden/>
          </w:rPr>
          <w:fldChar w:fldCharType="begin"/>
        </w:r>
        <w:r>
          <w:rPr>
            <w:webHidden/>
          </w:rPr>
          <w:instrText xml:space="preserve"> PAGEREF _Toc137652161 \h </w:instrText>
        </w:r>
        <w:r>
          <w:rPr>
            <w:webHidden/>
          </w:rPr>
          <w:fldChar w:fldCharType="separate"/>
        </w:r>
        <w:r w:rsidR="00FF2E6A">
          <w:rPr>
            <w:webHidden/>
          </w:rPr>
          <w:t>1</w:t>
        </w:r>
        <w:r>
          <w:rPr>
            <w:webHidden/>
          </w:rPr>
          <w:fldChar w:fldCharType="end"/>
        </w:r>
      </w:hyperlink>
    </w:p>
    <w:p w:rsidR="000A2488" w14:paraId="52EFFEDC" w14:textId="34F624A1">
      <w:pPr>
        <w:pStyle w:val="TOC2"/>
        <w:rPr>
          <w:rFonts w:asciiTheme="minorHAnsi" w:eastAsiaTheme="minorEastAsia" w:hAnsiTheme="minorHAnsi" w:cstheme="minorBidi"/>
          <w:b w:val="0"/>
          <w:bCs w:val="0"/>
          <w:sz w:val="22"/>
          <w:szCs w:val="22"/>
        </w:rPr>
      </w:pPr>
      <w:hyperlink w:anchor="_Toc137652162" w:history="1">
        <w:r w:rsidRPr="0098479B">
          <w:rPr>
            <w:rStyle w:val="Hyperlink"/>
          </w:rPr>
          <w:t>B.</w:t>
        </w:r>
        <w:r>
          <w:rPr>
            <w:rFonts w:asciiTheme="minorHAnsi" w:eastAsiaTheme="minorEastAsia" w:hAnsiTheme="minorHAnsi" w:cstheme="minorBidi"/>
            <w:b w:val="0"/>
            <w:bCs w:val="0"/>
            <w:sz w:val="22"/>
            <w:szCs w:val="22"/>
          </w:rPr>
          <w:tab/>
        </w:r>
        <w:r w:rsidRPr="0098479B">
          <w:rPr>
            <w:rStyle w:val="Hyperlink"/>
          </w:rPr>
          <w:t>Justification</w:t>
        </w:r>
        <w:r>
          <w:rPr>
            <w:webHidden/>
          </w:rPr>
          <w:tab/>
        </w:r>
        <w:r>
          <w:rPr>
            <w:webHidden/>
          </w:rPr>
          <w:fldChar w:fldCharType="begin"/>
        </w:r>
        <w:r>
          <w:rPr>
            <w:webHidden/>
          </w:rPr>
          <w:instrText xml:space="preserve"> PAGEREF _Toc137652162 \h </w:instrText>
        </w:r>
        <w:r>
          <w:rPr>
            <w:webHidden/>
          </w:rPr>
          <w:fldChar w:fldCharType="separate"/>
        </w:r>
        <w:r w:rsidR="00FF2E6A">
          <w:rPr>
            <w:webHidden/>
          </w:rPr>
          <w:t>3</w:t>
        </w:r>
        <w:r>
          <w:rPr>
            <w:webHidden/>
          </w:rPr>
          <w:fldChar w:fldCharType="end"/>
        </w:r>
      </w:hyperlink>
    </w:p>
    <w:p w:rsidR="000A2488" w14:paraId="5C112446" w14:textId="1D696A7A">
      <w:pPr>
        <w:pStyle w:val="TOC3"/>
        <w:tabs>
          <w:tab w:val="left" w:pos="1008"/>
        </w:tabs>
        <w:rPr>
          <w:rFonts w:asciiTheme="minorHAnsi" w:eastAsiaTheme="minorEastAsia" w:hAnsiTheme="minorHAnsi" w:cstheme="minorBidi"/>
          <w:sz w:val="22"/>
          <w:szCs w:val="22"/>
        </w:rPr>
      </w:pPr>
      <w:hyperlink w:anchor="_Toc137652163" w:history="1">
        <w:r w:rsidRPr="0098479B">
          <w:rPr>
            <w:rStyle w:val="Hyperlink"/>
          </w:rPr>
          <w:t>1.</w:t>
        </w:r>
        <w:r>
          <w:rPr>
            <w:rFonts w:asciiTheme="minorHAnsi" w:eastAsiaTheme="minorEastAsia" w:hAnsiTheme="minorHAnsi" w:cstheme="minorBidi"/>
            <w:sz w:val="22"/>
            <w:szCs w:val="22"/>
          </w:rPr>
          <w:tab/>
        </w:r>
        <w:r w:rsidRPr="0098479B">
          <w:rPr>
            <w:rStyle w:val="Hyperlink"/>
          </w:rPr>
          <w:t>Need and Legal Basis</w:t>
        </w:r>
        <w:r>
          <w:rPr>
            <w:webHidden/>
          </w:rPr>
          <w:tab/>
        </w:r>
        <w:r>
          <w:rPr>
            <w:webHidden/>
          </w:rPr>
          <w:fldChar w:fldCharType="begin"/>
        </w:r>
        <w:r>
          <w:rPr>
            <w:webHidden/>
          </w:rPr>
          <w:instrText xml:space="preserve"> PAGEREF _Toc137652163 \h </w:instrText>
        </w:r>
        <w:r>
          <w:rPr>
            <w:webHidden/>
          </w:rPr>
          <w:fldChar w:fldCharType="separate"/>
        </w:r>
        <w:r w:rsidR="00FF2E6A">
          <w:rPr>
            <w:webHidden/>
          </w:rPr>
          <w:t>3</w:t>
        </w:r>
        <w:r>
          <w:rPr>
            <w:webHidden/>
          </w:rPr>
          <w:fldChar w:fldCharType="end"/>
        </w:r>
      </w:hyperlink>
    </w:p>
    <w:p w:rsidR="000A2488" w14:paraId="18A96FEB" w14:textId="10D15FFB">
      <w:pPr>
        <w:pStyle w:val="TOC3"/>
        <w:tabs>
          <w:tab w:val="left" w:pos="1008"/>
        </w:tabs>
        <w:rPr>
          <w:rFonts w:asciiTheme="minorHAnsi" w:eastAsiaTheme="minorEastAsia" w:hAnsiTheme="minorHAnsi" w:cstheme="minorBidi"/>
          <w:sz w:val="22"/>
          <w:szCs w:val="22"/>
        </w:rPr>
      </w:pPr>
      <w:hyperlink w:anchor="_Toc137652164" w:history="1">
        <w:r w:rsidRPr="0098479B">
          <w:rPr>
            <w:rStyle w:val="Hyperlink"/>
          </w:rPr>
          <w:t>2.</w:t>
        </w:r>
        <w:r>
          <w:rPr>
            <w:rFonts w:asciiTheme="minorHAnsi" w:eastAsiaTheme="minorEastAsia" w:hAnsiTheme="minorHAnsi" w:cstheme="minorBidi"/>
            <w:sz w:val="22"/>
            <w:szCs w:val="22"/>
          </w:rPr>
          <w:tab/>
        </w:r>
        <w:r w:rsidRPr="0098479B">
          <w:rPr>
            <w:rStyle w:val="Hyperlink"/>
          </w:rPr>
          <w:t>Information Users</w:t>
        </w:r>
        <w:r>
          <w:rPr>
            <w:webHidden/>
          </w:rPr>
          <w:tab/>
        </w:r>
        <w:r>
          <w:rPr>
            <w:webHidden/>
          </w:rPr>
          <w:fldChar w:fldCharType="begin"/>
        </w:r>
        <w:r>
          <w:rPr>
            <w:webHidden/>
          </w:rPr>
          <w:instrText xml:space="preserve"> PAGEREF _Toc137652164 \h </w:instrText>
        </w:r>
        <w:r>
          <w:rPr>
            <w:webHidden/>
          </w:rPr>
          <w:fldChar w:fldCharType="separate"/>
        </w:r>
        <w:r w:rsidR="00FF2E6A">
          <w:rPr>
            <w:webHidden/>
          </w:rPr>
          <w:t>3</w:t>
        </w:r>
        <w:r>
          <w:rPr>
            <w:webHidden/>
          </w:rPr>
          <w:fldChar w:fldCharType="end"/>
        </w:r>
      </w:hyperlink>
    </w:p>
    <w:p w:rsidR="000A2488" w14:paraId="37373FB9" w14:textId="1EDEF488">
      <w:pPr>
        <w:pStyle w:val="TOC3"/>
        <w:tabs>
          <w:tab w:val="left" w:pos="1008"/>
        </w:tabs>
        <w:rPr>
          <w:rFonts w:asciiTheme="minorHAnsi" w:eastAsiaTheme="minorEastAsia" w:hAnsiTheme="minorHAnsi" w:cstheme="minorBidi"/>
          <w:sz w:val="22"/>
          <w:szCs w:val="22"/>
        </w:rPr>
      </w:pPr>
      <w:hyperlink w:anchor="_Toc137652165" w:history="1">
        <w:r w:rsidRPr="0098479B">
          <w:rPr>
            <w:rStyle w:val="Hyperlink"/>
          </w:rPr>
          <w:t>3.</w:t>
        </w:r>
        <w:r>
          <w:rPr>
            <w:rFonts w:asciiTheme="minorHAnsi" w:eastAsiaTheme="minorEastAsia" w:hAnsiTheme="minorHAnsi" w:cstheme="minorBidi"/>
            <w:sz w:val="22"/>
            <w:szCs w:val="22"/>
          </w:rPr>
          <w:tab/>
        </w:r>
        <w:r w:rsidRPr="0098479B">
          <w:rPr>
            <w:rStyle w:val="Hyperlink"/>
          </w:rPr>
          <w:t>Use of Improved Information Technology and Burden Reduction</w:t>
        </w:r>
        <w:r>
          <w:rPr>
            <w:webHidden/>
          </w:rPr>
          <w:tab/>
        </w:r>
        <w:r>
          <w:rPr>
            <w:webHidden/>
          </w:rPr>
          <w:fldChar w:fldCharType="begin"/>
        </w:r>
        <w:r>
          <w:rPr>
            <w:webHidden/>
          </w:rPr>
          <w:instrText xml:space="preserve"> PAGEREF _Toc137652165 \h </w:instrText>
        </w:r>
        <w:r>
          <w:rPr>
            <w:webHidden/>
          </w:rPr>
          <w:fldChar w:fldCharType="separate"/>
        </w:r>
        <w:r w:rsidR="00FF2E6A">
          <w:rPr>
            <w:webHidden/>
          </w:rPr>
          <w:t>3</w:t>
        </w:r>
        <w:r>
          <w:rPr>
            <w:webHidden/>
          </w:rPr>
          <w:fldChar w:fldCharType="end"/>
        </w:r>
      </w:hyperlink>
    </w:p>
    <w:p w:rsidR="000A2488" w14:paraId="5D945C45" w14:textId="44E06ACE">
      <w:pPr>
        <w:pStyle w:val="TOC3"/>
        <w:tabs>
          <w:tab w:val="left" w:pos="1008"/>
        </w:tabs>
        <w:rPr>
          <w:rFonts w:asciiTheme="minorHAnsi" w:eastAsiaTheme="minorEastAsia" w:hAnsiTheme="minorHAnsi" w:cstheme="minorBidi"/>
          <w:sz w:val="22"/>
          <w:szCs w:val="22"/>
        </w:rPr>
      </w:pPr>
      <w:hyperlink w:anchor="_Toc137652166" w:history="1">
        <w:r w:rsidRPr="0098479B">
          <w:rPr>
            <w:rStyle w:val="Hyperlink"/>
          </w:rPr>
          <w:t>4.</w:t>
        </w:r>
        <w:r>
          <w:rPr>
            <w:rFonts w:asciiTheme="minorHAnsi" w:eastAsiaTheme="minorEastAsia" w:hAnsiTheme="minorHAnsi" w:cstheme="minorBidi"/>
            <w:sz w:val="22"/>
            <w:szCs w:val="22"/>
          </w:rPr>
          <w:tab/>
        </w:r>
        <w:r w:rsidRPr="0098479B">
          <w:rPr>
            <w:rStyle w:val="Hyperlink"/>
          </w:rPr>
          <w:t>Efforts to Identify Duplication and Use of Similar Information</w:t>
        </w:r>
        <w:r>
          <w:rPr>
            <w:webHidden/>
          </w:rPr>
          <w:tab/>
        </w:r>
        <w:r>
          <w:rPr>
            <w:webHidden/>
          </w:rPr>
          <w:fldChar w:fldCharType="begin"/>
        </w:r>
        <w:r>
          <w:rPr>
            <w:webHidden/>
          </w:rPr>
          <w:instrText xml:space="preserve"> PAGEREF _Toc137652166 \h </w:instrText>
        </w:r>
        <w:r>
          <w:rPr>
            <w:webHidden/>
          </w:rPr>
          <w:fldChar w:fldCharType="separate"/>
        </w:r>
        <w:r w:rsidR="00FF2E6A">
          <w:rPr>
            <w:webHidden/>
          </w:rPr>
          <w:t>4</w:t>
        </w:r>
        <w:r>
          <w:rPr>
            <w:webHidden/>
          </w:rPr>
          <w:fldChar w:fldCharType="end"/>
        </w:r>
      </w:hyperlink>
    </w:p>
    <w:p w:rsidR="000A2488" w14:paraId="1FA4A886" w14:textId="4F60956F">
      <w:pPr>
        <w:pStyle w:val="TOC3"/>
        <w:tabs>
          <w:tab w:val="left" w:pos="1008"/>
        </w:tabs>
        <w:rPr>
          <w:rFonts w:asciiTheme="minorHAnsi" w:eastAsiaTheme="minorEastAsia" w:hAnsiTheme="minorHAnsi" w:cstheme="minorBidi"/>
          <w:sz w:val="22"/>
          <w:szCs w:val="22"/>
        </w:rPr>
      </w:pPr>
      <w:hyperlink w:anchor="_Toc137652167" w:history="1">
        <w:r w:rsidRPr="0098479B">
          <w:rPr>
            <w:rStyle w:val="Hyperlink"/>
          </w:rPr>
          <w:t>5.</w:t>
        </w:r>
        <w:r>
          <w:rPr>
            <w:rFonts w:asciiTheme="minorHAnsi" w:eastAsiaTheme="minorEastAsia" w:hAnsiTheme="minorHAnsi" w:cstheme="minorBidi"/>
            <w:sz w:val="22"/>
            <w:szCs w:val="22"/>
          </w:rPr>
          <w:tab/>
        </w:r>
        <w:r w:rsidRPr="0098479B">
          <w:rPr>
            <w:rStyle w:val="Hyperlink"/>
          </w:rPr>
          <w:t>Impact on Small Businesses or Other Small Entities</w:t>
        </w:r>
        <w:r>
          <w:rPr>
            <w:webHidden/>
          </w:rPr>
          <w:tab/>
        </w:r>
        <w:r>
          <w:rPr>
            <w:webHidden/>
          </w:rPr>
          <w:fldChar w:fldCharType="begin"/>
        </w:r>
        <w:r>
          <w:rPr>
            <w:webHidden/>
          </w:rPr>
          <w:instrText xml:space="preserve"> PAGEREF _Toc137652167 \h </w:instrText>
        </w:r>
        <w:r>
          <w:rPr>
            <w:webHidden/>
          </w:rPr>
          <w:fldChar w:fldCharType="separate"/>
        </w:r>
        <w:r w:rsidR="00FF2E6A">
          <w:rPr>
            <w:webHidden/>
          </w:rPr>
          <w:t>4</w:t>
        </w:r>
        <w:r>
          <w:rPr>
            <w:webHidden/>
          </w:rPr>
          <w:fldChar w:fldCharType="end"/>
        </w:r>
      </w:hyperlink>
    </w:p>
    <w:p w:rsidR="000A2488" w14:paraId="0AE1CDE9" w14:textId="216EA147">
      <w:pPr>
        <w:pStyle w:val="TOC3"/>
        <w:tabs>
          <w:tab w:val="left" w:pos="1008"/>
        </w:tabs>
        <w:rPr>
          <w:rFonts w:asciiTheme="minorHAnsi" w:eastAsiaTheme="minorEastAsia" w:hAnsiTheme="minorHAnsi" w:cstheme="minorBidi"/>
          <w:sz w:val="22"/>
          <w:szCs w:val="22"/>
        </w:rPr>
      </w:pPr>
      <w:hyperlink w:anchor="_Toc137652168" w:history="1">
        <w:r w:rsidRPr="0098479B">
          <w:rPr>
            <w:rStyle w:val="Hyperlink"/>
          </w:rPr>
          <w:t>6.</w:t>
        </w:r>
        <w:r>
          <w:rPr>
            <w:rFonts w:asciiTheme="minorHAnsi" w:eastAsiaTheme="minorEastAsia" w:hAnsiTheme="minorHAnsi" w:cstheme="minorBidi"/>
            <w:sz w:val="22"/>
            <w:szCs w:val="22"/>
          </w:rPr>
          <w:tab/>
        </w:r>
        <w:r w:rsidRPr="0098479B">
          <w:rPr>
            <w:rStyle w:val="Hyperlink"/>
          </w:rPr>
          <w:t>Consequences of Collecting the Information Less Frequently</w:t>
        </w:r>
        <w:r>
          <w:rPr>
            <w:webHidden/>
          </w:rPr>
          <w:tab/>
        </w:r>
        <w:r>
          <w:rPr>
            <w:webHidden/>
          </w:rPr>
          <w:fldChar w:fldCharType="begin"/>
        </w:r>
        <w:r>
          <w:rPr>
            <w:webHidden/>
          </w:rPr>
          <w:instrText xml:space="preserve"> PAGEREF _Toc137652168 \h </w:instrText>
        </w:r>
        <w:r>
          <w:rPr>
            <w:webHidden/>
          </w:rPr>
          <w:fldChar w:fldCharType="separate"/>
        </w:r>
        <w:r w:rsidR="00FF2E6A">
          <w:rPr>
            <w:webHidden/>
          </w:rPr>
          <w:t>4</w:t>
        </w:r>
        <w:r>
          <w:rPr>
            <w:webHidden/>
          </w:rPr>
          <w:fldChar w:fldCharType="end"/>
        </w:r>
      </w:hyperlink>
    </w:p>
    <w:p w:rsidR="000A2488" w14:paraId="13A52416" w14:textId="75E764B8">
      <w:pPr>
        <w:pStyle w:val="TOC3"/>
        <w:tabs>
          <w:tab w:val="left" w:pos="1008"/>
        </w:tabs>
        <w:rPr>
          <w:rFonts w:asciiTheme="minorHAnsi" w:eastAsiaTheme="minorEastAsia" w:hAnsiTheme="minorHAnsi" w:cstheme="minorBidi"/>
          <w:sz w:val="22"/>
          <w:szCs w:val="22"/>
        </w:rPr>
      </w:pPr>
      <w:hyperlink w:anchor="_Toc137652169" w:history="1">
        <w:r w:rsidRPr="0098479B">
          <w:rPr>
            <w:rStyle w:val="Hyperlink"/>
          </w:rPr>
          <w:t>7.</w:t>
        </w:r>
        <w:r>
          <w:rPr>
            <w:rFonts w:asciiTheme="minorHAnsi" w:eastAsiaTheme="minorEastAsia" w:hAnsiTheme="minorHAnsi" w:cstheme="minorBidi"/>
            <w:sz w:val="22"/>
            <w:szCs w:val="22"/>
          </w:rPr>
          <w:tab/>
        </w:r>
        <w:r w:rsidRPr="0098479B">
          <w:rPr>
            <w:rStyle w:val="Hyperlink"/>
          </w:rPr>
          <w:t>Special Circumstances</w:t>
        </w:r>
        <w:r>
          <w:rPr>
            <w:webHidden/>
          </w:rPr>
          <w:tab/>
        </w:r>
        <w:r>
          <w:rPr>
            <w:webHidden/>
          </w:rPr>
          <w:fldChar w:fldCharType="begin"/>
        </w:r>
        <w:r>
          <w:rPr>
            <w:webHidden/>
          </w:rPr>
          <w:instrText xml:space="preserve"> PAGEREF _Toc137652169 \h </w:instrText>
        </w:r>
        <w:r>
          <w:rPr>
            <w:webHidden/>
          </w:rPr>
          <w:fldChar w:fldCharType="separate"/>
        </w:r>
        <w:r w:rsidR="00FF2E6A">
          <w:rPr>
            <w:webHidden/>
          </w:rPr>
          <w:t>4</w:t>
        </w:r>
        <w:r>
          <w:rPr>
            <w:webHidden/>
          </w:rPr>
          <w:fldChar w:fldCharType="end"/>
        </w:r>
      </w:hyperlink>
    </w:p>
    <w:p w:rsidR="000A2488" w14:paraId="41661B8F" w14:textId="7E42B597">
      <w:pPr>
        <w:pStyle w:val="TOC3"/>
        <w:tabs>
          <w:tab w:val="left" w:pos="1008"/>
        </w:tabs>
        <w:rPr>
          <w:rFonts w:asciiTheme="minorHAnsi" w:eastAsiaTheme="minorEastAsia" w:hAnsiTheme="minorHAnsi" w:cstheme="minorBidi"/>
          <w:sz w:val="22"/>
          <w:szCs w:val="22"/>
        </w:rPr>
      </w:pPr>
      <w:hyperlink w:anchor="_Toc137652170" w:history="1">
        <w:r w:rsidRPr="0098479B">
          <w:rPr>
            <w:rStyle w:val="Hyperlink"/>
          </w:rPr>
          <w:t>8a.</w:t>
        </w:r>
        <w:r>
          <w:rPr>
            <w:rFonts w:asciiTheme="minorHAnsi" w:eastAsiaTheme="minorEastAsia" w:hAnsiTheme="minorHAnsi" w:cstheme="minorBidi"/>
            <w:sz w:val="22"/>
            <w:szCs w:val="22"/>
          </w:rPr>
          <w:tab/>
        </w:r>
        <w:r w:rsidRPr="0098479B">
          <w:rPr>
            <w:rStyle w:val="Hyperlink"/>
          </w:rPr>
          <w:t>Federal Register</w:t>
        </w:r>
        <w:r>
          <w:rPr>
            <w:webHidden/>
          </w:rPr>
          <w:tab/>
        </w:r>
        <w:r>
          <w:rPr>
            <w:webHidden/>
          </w:rPr>
          <w:fldChar w:fldCharType="begin"/>
        </w:r>
        <w:r>
          <w:rPr>
            <w:webHidden/>
          </w:rPr>
          <w:instrText xml:space="preserve"> PAGEREF _Toc137652170 \h </w:instrText>
        </w:r>
        <w:r>
          <w:rPr>
            <w:webHidden/>
          </w:rPr>
          <w:fldChar w:fldCharType="separate"/>
        </w:r>
        <w:r w:rsidR="00FF2E6A">
          <w:rPr>
            <w:webHidden/>
          </w:rPr>
          <w:t>4</w:t>
        </w:r>
        <w:r>
          <w:rPr>
            <w:webHidden/>
          </w:rPr>
          <w:fldChar w:fldCharType="end"/>
        </w:r>
      </w:hyperlink>
    </w:p>
    <w:p w:rsidR="000A2488" w14:paraId="053C264D" w14:textId="2E9CC320">
      <w:pPr>
        <w:pStyle w:val="TOC3"/>
        <w:tabs>
          <w:tab w:val="left" w:pos="1008"/>
        </w:tabs>
        <w:rPr>
          <w:rFonts w:asciiTheme="minorHAnsi" w:eastAsiaTheme="minorEastAsia" w:hAnsiTheme="minorHAnsi" w:cstheme="minorBidi"/>
          <w:sz w:val="22"/>
          <w:szCs w:val="22"/>
        </w:rPr>
      </w:pPr>
      <w:hyperlink w:anchor="_Toc137652171" w:history="1">
        <w:r w:rsidRPr="0098479B">
          <w:rPr>
            <w:rStyle w:val="Hyperlink"/>
          </w:rPr>
          <w:t>8b.</w:t>
        </w:r>
        <w:r>
          <w:rPr>
            <w:rFonts w:asciiTheme="minorHAnsi" w:eastAsiaTheme="minorEastAsia" w:hAnsiTheme="minorHAnsi" w:cstheme="minorBidi"/>
            <w:sz w:val="22"/>
            <w:szCs w:val="22"/>
          </w:rPr>
          <w:tab/>
        </w:r>
        <w:r w:rsidRPr="0098479B">
          <w:rPr>
            <w:rStyle w:val="Hyperlink"/>
          </w:rPr>
          <w:t>Outside Consultation</w:t>
        </w:r>
        <w:r>
          <w:rPr>
            <w:webHidden/>
          </w:rPr>
          <w:tab/>
        </w:r>
        <w:r>
          <w:rPr>
            <w:webHidden/>
          </w:rPr>
          <w:fldChar w:fldCharType="begin"/>
        </w:r>
        <w:r>
          <w:rPr>
            <w:webHidden/>
          </w:rPr>
          <w:instrText xml:space="preserve"> PAGEREF _Toc137652171 \h </w:instrText>
        </w:r>
        <w:r>
          <w:rPr>
            <w:webHidden/>
          </w:rPr>
          <w:fldChar w:fldCharType="separate"/>
        </w:r>
        <w:r w:rsidR="00FF2E6A">
          <w:rPr>
            <w:webHidden/>
          </w:rPr>
          <w:t>5</w:t>
        </w:r>
        <w:r>
          <w:rPr>
            <w:webHidden/>
          </w:rPr>
          <w:fldChar w:fldCharType="end"/>
        </w:r>
      </w:hyperlink>
    </w:p>
    <w:p w:rsidR="000A2488" w14:paraId="6F961A48" w14:textId="5EAD6E72">
      <w:pPr>
        <w:pStyle w:val="TOC3"/>
        <w:tabs>
          <w:tab w:val="left" w:pos="1008"/>
        </w:tabs>
        <w:rPr>
          <w:rFonts w:asciiTheme="minorHAnsi" w:eastAsiaTheme="minorEastAsia" w:hAnsiTheme="minorHAnsi" w:cstheme="minorBidi"/>
          <w:sz w:val="22"/>
          <w:szCs w:val="22"/>
        </w:rPr>
      </w:pPr>
      <w:hyperlink w:anchor="_Toc137652172" w:history="1">
        <w:r w:rsidRPr="0098479B">
          <w:rPr>
            <w:rStyle w:val="Hyperlink"/>
          </w:rPr>
          <w:t>9.</w:t>
        </w:r>
        <w:r>
          <w:rPr>
            <w:rFonts w:asciiTheme="minorHAnsi" w:eastAsiaTheme="minorEastAsia" w:hAnsiTheme="minorHAnsi" w:cstheme="minorBidi"/>
            <w:sz w:val="22"/>
            <w:szCs w:val="22"/>
          </w:rPr>
          <w:tab/>
        </w:r>
        <w:r w:rsidRPr="0098479B">
          <w:rPr>
            <w:rStyle w:val="Hyperlink"/>
          </w:rPr>
          <w:t>Payments/Gifts to Respondents</w:t>
        </w:r>
        <w:r>
          <w:rPr>
            <w:webHidden/>
          </w:rPr>
          <w:tab/>
        </w:r>
        <w:r>
          <w:rPr>
            <w:webHidden/>
          </w:rPr>
          <w:fldChar w:fldCharType="begin"/>
        </w:r>
        <w:r>
          <w:rPr>
            <w:webHidden/>
          </w:rPr>
          <w:instrText xml:space="preserve"> PAGEREF _Toc137652172 \h </w:instrText>
        </w:r>
        <w:r>
          <w:rPr>
            <w:webHidden/>
          </w:rPr>
          <w:fldChar w:fldCharType="separate"/>
        </w:r>
        <w:r w:rsidR="00FF2E6A">
          <w:rPr>
            <w:webHidden/>
          </w:rPr>
          <w:t>5</w:t>
        </w:r>
        <w:r>
          <w:rPr>
            <w:webHidden/>
          </w:rPr>
          <w:fldChar w:fldCharType="end"/>
        </w:r>
      </w:hyperlink>
    </w:p>
    <w:p w:rsidR="000A2488" w14:paraId="6C7B32D7" w14:textId="5DD0E6BC">
      <w:pPr>
        <w:pStyle w:val="TOC3"/>
        <w:tabs>
          <w:tab w:val="left" w:pos="1008"/>
        </w:tabs>
        <w:rPr>
          <w:rFonts w:asciiTheme="minorHAnsi" w:eastAsiaTheme="minorEastAsia" w:hAnsiTheme="minorHAnsi" w:cstheme="minorBidi"/>
          <w:sz w:val="22"/>
          <w:szCs w:val="22"/>
        </w:rPr>
      </w:pPr>
      <w:hyperlink w:anchor="_Toc137652173" w:history="1">
        <w:r w:rsidRPr="0098479B">
          <w:rPr>
            <w:rStyle w:val="Hyperlink"/>
          </w:rPr>
          <w:t>10.</w:t>
        </w:r>
        <w:r>
          <w:rPr>
            <w:rFonts w:asciiTheme="minorHAnsi" w:eastAsiaTheme="minorEastAsia" w:hAnsiTheme="minorHAnsi" w:cstheme="minorBidi"/>
            <w:sz w:val="22"/>
            <w:szCs w:val="22"/>
          </w:rPr>
          <w:tab/>
        </w:r>
        <w:r w:rsidRPr="0098479B">
          <w:rPr>
            <w:rStyle w:val="Hyperlink"/>
          </w:rPr>
          <w:t>Confidentiality</w:t>
        </w:r>
        <w:r>
          <w:rPr>
            <w:webHidden/>
          </w:rPr>
          <w:tab/>
        </w:r>
        <w:r>
          <w:rPr>
            <w:webHidden/>
          </w:rPr>
          <w:fldChar w:fldCharType="begin"/>
        </w:r>
        <w:r>
          <w:rPr>
            <w:webHidden/>
          </w:rPr>
          <w:instrText xml:space="preserve"> PAGEREF _Toc137652173 \h </w:instrText>
        </w:r>
        <w:r>
          <w:rPr>
            <w:webHidden/>
          </w:rPr>
          <w:fldChar w:fldCharType="separate"/>
        </w:r>
        <w:r w:rsidR="00FF2E6A">
          <w:rPr>
            <w:webHidden/>
          </w:rPr>
          <w:t>5</w:t>
        </w:r>
        <w:r>
          <w:rPr>
            <w:webHidden/>
          </w:rPr>
          <w:fldChar w:fldCharType="end"/>
        </w:r>
      </w:hyperlink>
    </w:p>
    <w:p w:rsidR="000A2488" w14:paraId="4D5A5785" w14:textId="0DC0E81B">
      <w:pPr>
        <w:pStyle w:val="TOC3"/>
        <w:tabs>
          <w:tab w:val="left" w:pos="1008"/>
        </w:tabs>
        <w:rPr>
          <w:rFonts w:asciiTheme="minorHAnsi" w:eastAsiaTheme="minorEastAsia" w:hAnsiTheme="minorHAnsi" w:cstheme="minorBidi"/>
          <w:sz w:val="22"/>
          <w:szCs w:val="22"/>
        </w:rPr>
      </w:pPr>
      <w:hyperlink w:anchor="_Toc137652174" w:history="1">
        <w:r w:rsidRPr="0098479B">
          <w:rPr>
            <w:rStyle w:val="Hyperlink"/>
          </w:rPr>
          <w:t>11.</w:t>
        </w:r>
        <w:r>
          <w:rPr>
            <w:rFonts w:asciiTheme="minorHAnsi" w:eastAsiaTheme="minorEastAsia" w:hAnsiTheme="minorHAnsi" w:cstheme="minorBidi"/>
            <w:sz w:val="22"/>
            <w:szCs w:val="22"/>
          </w:rPr>
          <w:tab/>
        </w:r>
        <w:r w:rsidRPr="0098479B">
          <w:rPr>
            <w:rStyle w:val="Hyperlink"/>
          </w:rPr>
          <w:t>Sensitive Questions</w:t>
        </w:r>
        <w:r>
          <w:rPr>
            <w:webHidden/>
          </w:rPr>
          <w:tab/>
        </w:r>
        <w:r>
          <w:rPr>
            <w:webHidden/>
          </w:rPr>
          <w:fldChar w:fldCharType="begin"/>
        </w:r>
        <w:r>
          <w:rPr>
            <w:webHidden/>
          </w:rPr>
          <w:instrText xml:space="preserve"> PAGEREF _Toc137652174 \h </w:instrText>
        </w:r>
        <w:r>
          <w:rPr>
            <w:webHidden/>
          </w:rPr>
          <w:fldChar w:fldCharType="separate"/>
        </w:r>
        <w:r w:rsidR="00FF2E6A">
          <w:rPr>
            <w:webHidden/>
          </w:rPr>
          <w:t>6</w:t>
        </w:r>
        <w:r>
          <w:rPr>
            <w:webHidden/>
          </w:rPr>
          <w:fldChar w:fldCharType="end"/>
        </w:r>
      </w:hyperlink>
    </w:p>
    <w:p w:rsidR="000A2488" w14:paraId="1DDC5512" w14:textId="3B063B8C">
      <w:pPr>
        <w:pStyle w:val="TOC3"/>
        <w:tabs>
          <w:tab w:val="left" w:pos="1008"/>
        </w:tabs>
        <w:rPr>
          <w:rFonts w:asciiTheme="minorHAnsi" w:eastAsiaTheme="minorEastAsia" w:hAnsiTheme="minorHAnsi" w:cstheme="minorBidi"/>
          <w:sz w:val="22"/>
          <w:szCs w:val="22"/>
        </w:rPr>
      </w:pPr>
      <w:hyperlink w:anchor="_Toc137652175" w:history="1">
        <w:r w:rsidRPr="0098479B">
          <w:rPr>
            <w:rStyle w:val="Hyperlink"/>
          </w:rPr>
          <w:t>12.</w:t>
        </w:r>
        <w:r>
          <w:rPr>
            <w:rFonts w:asciiTheme="minorHAnsi" w:eastAsiaTheme="minorEastAsia" w:hAnsiTheme="minorHAnsi" w:cstheme="minorBidi"/>
            <w:sz w:val="22"/>
            <w:szCs w:val="22"/>
          </w:rPr>
          <w:tab/>
        </w:r>
        <w:r w:rsidRPr="0098479B">
          <w:rPr>
            <w:rStyle w:val="Hyperlink"/>
          </w:rPr>
          <w:t>Burden Estimates (Hours &amp; Wages)</w:t>
        </w:r>
        <w:r>
          <w:rPr>
            <w:webHidden/>
          </w:rPr>
          <w:tab/>
        </w:r>
        <w:r>
          <w:rPr>
            <w:webHidden/>
          </w:rPr>
          <w:fldChar w:fldCharType="begin"/>
        </w:r>
        <w:r>
          <w:rPr>
            <w:webHidden/>
          </w:rPr>
          <w:instrText xml:space="preserve"> PAGEREF _Toc137652175 \h </w:instrText>
        </w:r>
        <w:r>
          <w:rPr>
            <w:webHidden/>
          </w:rPr>
          <w:fldChar w:fldCharType="separate"/>
        </w:r>
        <w:r w:rsidR="00FF2E6A">
          <w:rPr>
            <w:webHidden/>
          </w:rPr>
          <w:t>6</w:t>
        </w:r>
        <w:r>
          <w:rPr>
            <w:webHidden/>
          </w:rPr>
          <w:fldChar w:fldCharType="end"/>
        </w:r>
      </w:hyperlink>
    </w:p>
    <w:p w:rsidR="000A2488" w14:paraId="28B85F85" w14:textId="71DBA184">
      <w:pPr>
        <w:pStyle w:val="TOC3"/>
        <w:tabs>
          <w:tab w:val="left" w:pos="1008"/>
        </w:tabs>
        <w:rPr>
          <w:rFonts w:asciiTheme="minorHAnsi" w:eastAsiaTheme="minorEastAsia" w:hAnsiTheme="minorHAnsi" w:cstheme="minorBidi"/>
          <w:sz w:val="22"/>
          <w:szCs w:val="22"/>
        </w:rPr>
      </w:pPr>
      <w:hyperlink w:anchor="_Toc137652176" w:history="1">
        <w:r w:rsidRPr="0098479B">
          <w:rPr>
            <w:rStyle w:val="Hyperlink"/>
          </w:rPr>
          <w:t>13.</w:t>
        </w:r>
        <w:r>
          <w:rPr>
            <w:rFonts w:asciiTheme="minorHAnsi" w:eastAsiaTheme="minorEastAsia" w:hAnsiTheme="minorHAnsi" w:cstheme="minorBidi"/>
            <w:sz w:val="22"/>
            <w:szCs w:val="22"/>
          </w:rPr>
          <w:tab/>
        </w:r>
        <w:r w:rsidRPr="0098479B">
          <w:rPr>
            <w:rStyle w:val="Hyperlink"/>
          </w:rPr>
          <w:t>Capital Costs</w:t>
        </w:r>
        <w:r>
          <w:rPr>
            <w:webHidden/>
          </w:rPr>
          <w:tab/>
        </w:r>
        <w:r>
          <w:rPr>
            <w:webHidden/>
          </w:rPr>
          <w:fldChar w:fldCharType="begin"/>
        </w:r>
        <w:r>
          <w:rPr>
            <w:webHidden/>
          </w:rPr>
          <w:instrText xml:space="preserve"> PAGEREF _Toc137652176 \h </w:instrText>
        </w:r>
        <w:r>
          <w:rPr>
            <w:webHidden/>
          </w:rPr>
          <w:fldChar w:fldCharType="separate"/>
        </w:r>
        <w:r w:rsidR="00FF2E6A">
          <w:rPr>
            <w:webHidden/>
          </w:rPr>
          <w:t>8</w:t>
        </w:r>
        <w:r>
          <w:rPr>
            <w:webHidden/>
          </w:rPr>
          <w:fldChar w:fldCharType="end"/>
        </w:r>
      </w:hyperlink>
    </w:p>
    <w:p w:rsidR="000A2488" w14:paraId="44352BD6" w14:textId="7CF72CEA">
      <w:pPr>
        <w:pStyle w:val="TOC3"/>
        <w:tabs>
          <w:tab w:val="left" w:pos="1008"/>
        </w:tabs>
        <w:rPr>
          <w:rFonts w:asciiTheme="minorHAnsi" w:eastAsiaTheme="minorEastAsia" w:hAnsiTheme="minorHAnsi" w:cstheme="minorBidi"/>
          <w:sz w:val="22"/>
          <w:szCs w:val="22"/>
        </w:rPr>
      </w:pPr>
      <w:hyperlink w:anchor="_Toc137652177" w:history="1">
        <w:r w:rsidRPr="0098479B">
          <w:rPr>
            <w:rStyle w:val="Hyperlink"/>
          </w:rPr>
          <w:t>14.</w:t>
        </w:r>
        <w:r>
          <w:rPr>
            <w:rFonts w:asciiTheme="minorHAnsi" w:eastAsiaTheme="minorEastAsia" w:hAnsiTheme="minorHAnsi" w:cstheme="minorBidi"/>
            <w:sz w:val="22"/>
            <w:szCs w:val="22"/>
          </w:rPr>
          <w:tab/>
        </w:r>
        <w:r w:rsidRPr="0098479B">
          <w:rPr>
            <w:rStyle w:val="Hyperlink"/>
          </w:rPr>
          <w:t>Cost to Federal Government</w:t>
        </w:r>
        <w:r>
          <w:rPr>
            <w:webHidden/>
          </w:rPr>
          <w:tab/>
        </w:r>
        <w:r>
          <w:rPr>
            <w:webHidden/>
          </w:rPr>
          <w:fldChar w:fldCharType="begin"/>
        </w:r>
        <w:r>
          <w:rPr>
            <w:webHidden/>
          </w:rPr>
          <w:instrText xml:space="preserve"> PAGEREF _Toc137652177 \h </w:instrText>
        </w:r>
        <w:r>
          <w:rPr>
            <w:webHidden/>
          </w:rPr>
          <w:fldChar w:fldCharType="separate"/>
        </w:r>
        <w:r w:rsidR="00FF2E6A">
          <w:rPr>
            <w:webHidden/>
          </w:rPr>
          <w:t>8</w:t>
        </w:r>
        <w:r>
          <w:rPr>
            <w:webHidden/>
          </w:rPr>
          <w:fldChar w:fldCharType="end"/>
        </w:r>
      </w:hyperlink>
    </w:p>
    <w:p w:rsidR="000A2488" w14:paraId="46DF8543" w14:textId="0AB00D07">
      <w:pPr>
        <w:pStyle w:val="TOC3"/>
        <w:tabs>
          <w:tab w:val="left" w:pos="1008"/>
        </w:tabs>
        <w:rPr>
          <w:rFonts w:asciiTheme="minorHAnsi" w:eastAsiaTheme="minorEastAsia" w:hAnsiTheme="minorHAnsi" w:cstheme="minorBidi"/>
          <w:sz w:val="22"/>
          <w:szCs w:val="22"/>
        </w:rPr>
      </w:pPr>
      <w:hyperlink w:anchor="_Toc137652178" w:history="1">
        <w:r w:rsidRPr="0098479B">
          <w:rPr>
            <w:rStyle w:val="Hyperlink"/>
          </w:rPr>
          <w:t>15.</w:t>
        </w:r>
        <w:r>
          <w:rPr>
            <w:rFonts w:asciiTheme="minorHAnsi" w:eastAsiaTheme="minorEastAsia" w:hAnsiTheme="minorHAnsi" w:cstheme="minorBidi"/>
            <w:sz w:val="22"/>
            <w:szCs w:val="22"/>
          </w:rPr>
          <w:tab/>
        </w:r>
        <w:r w:rsidRPr="0098479B">
          <w:rPr>
            <w:rStyle w:val="Hyperlink"/>
          </w:rPr>
          <w:t>Changes to Burden</w:t>
        </w:r>
        <w:r>
          <w:rPr>
            <w:webHidden/>
          </w:rPr>
          <w:tab/>
        </w:r>
        <w:r>
          <w:rPr>
            <w:webHidden/>
          </w:rPr>
          <w:fldChar w:fldCharType="begin"/>
        </w:r>
        <w:r>
          <w:rPr>
            <w:webHidden/>
          </w:rPr>
          <w:instrText xml:space="preserve"> PAGEREF _Toc137652178 \h </w:instrText>
        </w:r>
        <w:r>
          <w:rPr>
            <w:webHidden/>
          </w:rPr>
          <w:fldChar w:fldCharType="separate"/>
        </w:r>
        <w:r w:rsidR="00FF2E6A">
          <w:rPr>
            <w:webHidden/>
          </w:rPr>
          <w:t>8</w:t>
        </w:r>
        <w:r>
          <w:rPr>
            <w:webHidden/>
          </w:rPr>
          <w:fldChar w:fldCharType="end"/>
        </w:r>
      </w:hyperlink>
    </w:p>
    <w:p w:rsidR="000A2488" w14:paraId="080830FD" w14:textId="09D2ACD4">
      <w:pPr>
        <w:pStyle w:val="TOC3"/>
        <w:tabs>
          <w:tab w:val="left" w:pos="1008"/>
        </w:tabs>
        <w:rPr>
          <w:rFonts w:asciiTheme="minorHAnsi" w:eastAsiaTheme="minorEastAsia" w:hAnsiTheme="minorHAnsi" w:cstheme="minorBidi"/>
          <w:sz w:val="22"/>
          <w:szCs w:val="22"/>
        </w:rPr>
      </w:pPr>
      <w:hyperlink w:anchor="_Toc137652179" w:history="1">
        <w:r w:rsidRPr="0098479B">
          <w:rPr>
            <w:rStyle w:val="Hyperlink"/>
          </w:rPr>
          <w:t>16.</w:t>
        </w:r>
        <w:r>
          <w:rPr>
            <w:rFonts w:asciiTheme="minorHAnsi" w:eastAsiaTheme="minorEastAsia" w:hAnsiTheme="minorHAnsi" w:cstheme="minorBidi"/>
            <w:sz w:val="22"/>
            <w:szCs w:val="22"/>
          </w:rPr>
          <w:tab/>
        </w:r>
        <w:r w:rsidRPr="0098479B">
          <w:rPr>
            <w:rStyle w:val="Hyperlink"/>
          </w:rPr>
          <w:t>Publication/Tabulation Dates</w:t>
        </w:r>
        <w:r>
          <w:rPr>
            <w:webHidden/>
          </w:rPr>
          <w:tab/>
        </w:r>
        <w:r>
          <w:rPr>
            <w:webHidden/>
          </w:rPr>
          <w:fldChar w:fldCharType="begin"/>
        </w:r>
        <w:r>
          <w:rPr>
            <w:webHidden/>
          </w:rPr>
          <w:instrText xml:space="preserve"> PAGEREF _Toc137652179 \h </w:instrText>
        </w:r>
        <w:r>
          <w:rPr>
            <w:webHidden/>
          </w:rPr>
          <w:fldChar w:fldCharType="separate"/>
        </w:r>
        <w:r w:rsidR="00FF2E6A">
          <w:rPr>
            <w:webHidden/>
          </w:rPr>
          <w:t>9</w:t>
        </w:r>
        <w:r>
          <w:rPr>
            <w:webHidden/>
          </w:rPr>
          <w:fldChar w:fldCharType="end"/>
        </w:r>
      </w:hyperlink>
    </w:p>
    <w:p w:rsidR="000A2488" w14:paraId="3D4BFEA0" w14:textId="28EF26C4">
      <w:pPr>
        <w:pStyle w:val="TOC3"/>
        <w:tabs>
          <w:tab w:val="left" w:pos="1008"/>
        </w:tabs>
        <w:rPr>
          <w:rFonts w:asciiTheme="minorHAnsi" w:eastAsiaTheme="minorEastAsia" w:hAnsiTheme="minorHAnsi" w:cstheme="minorBidi"/>
          <w:sz w:val="22"/>
          <w:szCs w:val="22"/>
        </w:rPr>
      </w:pPr>
      <w:hyperlink w:anchor="_Toc137652180" w:history="1">
        <w:r w:rsidRPr="0098479B">
          <w:rPr>
            <w:rStyle w:val="Hyperlink"/>
          </w:rPr>
          <w:t>17.</w:t>
        </w:r>
        <w:r>
          <w:rPr>
            <w:rFonts w:asciiTheme="minorHAnsi" w:eastAsiaTheme="minorEastAsia" w:hAnsiTheme="minorHAnsi" w:cstheme="minorBidi"/>
            <w:sz w:val="22"/>
            <w:szCs w:val="22"/>
          </w:rPr>
          <w:tab/>
        </w:r>
        <w:r w:rsidRPr="0098479B">
          <w:rPr>
            <w:rStyle w:val="Hyperlink"/>
          </w:rPr>
          <w:t>Expiration Date</w:t>
        </w:r>
        <w:r>
          <w:rPr>
            <w:webHidden/>
          </w:rPr>
          <w:tab/>
        </w:r>
        <w:r>
          <w:rPr>
            <w:webHidden/>
          </w:rPr>
          <w:fldChar w:fldCharType="begin"/>
        </w:r>
        <w:r>
          <w:rPr>
            <w:webHidden/>
          </w:rPr>
          <w:instrText xml:space="preserve"> PAGEREF _Toc137652180 \h </w:instrText>
        </w:r>
        <w:r>
          <w:rPr>
            <w:webHidden/>
          </w:rPr>
          <w:fldChar w:fldCharType="separate"/>
        </w:r>
        <w:r w:rsidR="00FF2E6A">
          <w:rPr>
            <w:webHidden/>
          </w:rPr>
          <w:t>9</w:t>
        </w:r>
        <w:r>
          <w:rPr>
            <w:webHidden/>
          </w:rPr>
          <w:fldChar w:fldCharType="end"/>
        </w:r>
      </w:hyperlink>
    </w:p>
    <w:p w:rsidR="000A2488" w14:paraId="27741A1E" w14:textId="45B1BC17">
      <w:pPr>
        <w:pStyle w:val="TOC3"/>
        <w:tabs>
          <w:tab w:val="left" w:pos="1008"/>
        </w:tabs>
        <w:rPr>
          <w:rFonts w:asciiTheme="minorHAnsi" w:eastAsiaTheme="minorEastAsia" w:hAnsiTheme="minorHAnsi" w:cstheme="minorBidi"/>
          <w:sz w:val="22"/>
          <w:szCs w:val="22"/>
        </w:rPr>
      </w:pPr>
      <w:hyperlink w:anchor="_Toc137652181" w:history="1">
        <w:r w:rsidRPr="0098479B">
          <w:rPr>
            <w:rStyle w:val="Hyperlink"/>
          </w:rPr>
          <w:t>18.</w:t>
        </w:r>
        <w:r>
          <w:rPr>
            <w:rFonts w:asciiTheme="minorHAnsi" w:eastAsiaTheme="minorEastAsia" w:hAnsiTheme="minorHAnsi" w:cstheme="minorBidi"/>
            <w:sz w:val="22"/>
            <w:szCs w:val="22"/>
          </w:rPr>
          <w:tab/>
        </w:r>
        <w:r w:rsidRPr="0098479B">
          <w:rPr>
            <w:rStyle w:val="Hyperlink"/>
          </w:rPr>
          <w:t>Certification Statement</w:t>
        </w:r>
        <w:r>
          <w:rPr>
            <w:webHidden/>
          </w:rPr>
          <w:tab/>
        </w:r>
        <w:r>
          <w:rPr>
            <w:webHidden/>
          </w:rPr>
          <w:fldChar w:fldCharType="begin"/>
        </w:r>
        <w:r>
          <w:rPr>
            <w:webHidden/>
          </w:rPr>
          <w:instrText xml:space="preserve"> PAGEREF _Toc137652181 \h </w:instrText>
        </w:r>
        <w:r>
          <w:rPr>
            <w:webHidden/>
          </w:rPr>
          <w:fldChar w:fldCharType="separate"/>
        </w:r>
        <w:r w:rsidR="00FF2E6A">
          <w:rPr>
            <w:webHidden/>
          </w:rPr>
          <w:t>9</w:t>
        </w:r>
        <w:r>
          <w:rPr>
            <w:webHidden/>
          </w:rPr>
          <w:fldChar w:fldCharType="end"/>
        </w:r>
      </w:hyperlink>
    </w:p>
    <w:p w:rsidR="00311EF9" w:rsidP="00123D6D" w14:paraId="3C31FB07" w14:textId="2C1AAA25">
      <w:pPr>
        <w:pStyle w:val="TOC2"/>
      </w:pPr>
      <w:r>
        <w:fldChar w:fldCharType="end"/>
      </w:r>
    </w:p>
    <w:p w:rsidR="009E61D1" w:rsidP="00123D6D" w14:paraId="548F689E" w14:textId="20496EF2">
      <w:pPr>
        <w:pStyle w:val="TOC2"/>
        <w:sectPr w:rsidSect="00D42809">
          <w:headerReference w:type="first" r:id="rId12"/>
          <w:footerReference w:type="first" r:id="rId13"/>
          <w:endnotePr>
            <w:numFmt w:val="decimal"/>
          </w:endnotePr>
          <w:pgSz w:w="12240" w:h="15840" w:code="1"/>
          <w:pgMar w:top="1440" w:right="1440" w:bottom="1440" w:left="1440" w:header="720" w:footer="720" w:gutter="0"/>
          <w:pgNumType w:fmt="lowerRoman" w:start="1"/>
          <w:cols w:space="720"/>
          <w:noEndnote/>
          <w:titlePg/>
          <w:docGrid w:linePitch="272"/>
        </w:sectPr>
      </w:pPr>
    </w:p>
    <w:p w:rsidR="008C2806" w:rsidRPr="008C2806" w:rsidP="00401D6D" w14:paraId="1CAD5456" w14:textId="5BB2DFD2">
      <w:pPr>
        <w:pStyle w:val="Heading2"/>
        <w:spacing w:before="0"/>
      </w:pPr>
      <w:bookmarkStart w:id="2" w:name="_Toc378867693"/>
      <w:bookmarkStart w:id="3" w:name="_Toc137652161"/>
      <w:r w:rsidRPr="008C2806">
        <w:t>A.</w:t>
      </w:r>
      <w:r w:rsidRPr="008C2806">
        <w:tab/>
        <w:t>Background</w:t>
      </w:r>
      <w:bookmarkEnd w:id="2"/>
      <w:bookmarkEnd w:id="3"/>
    </w:p>
    <w:p w:rsidR="006C2DFC" w:rsidRPr="00A52BD7" w:rsidP="00A52BD7" w14:paraId="5E79EA5F" w14:textId="3D71ABE8">
      <w:pPr>
        <w:pStyle w:val="BodyText"/>
      </w:pPr>
      <w:r w:rsidRPr="00A52BD7">
        <w:t>Section 1311(c)(4) of the Patient Protection and Affordable Care Act (PPACA)</w:t>
      </w:r>
      <w:r w:rsidRPr="00A52BD7">
        <w:t xml:space="preserve"> directs the Secretary of the Department of Health &amp; Human Services (HHS) to establish an enrollee satisfaction survey to </w:t>
      </w:r>
      <w:r w:rsidRPr="00A52BD7" w:rsidR="008B3C0A">
        <w:t>be administered to consumers of Qualified Health Plans (QHPs) through the Health Insurance Exchanges (Exchanges) (also known to consumers as Health Insurance Marketplaces)</w:t>
      </w:r>
      <w:r>
        <w:rPr>
          <w:rStyle w:val="FootnoteReference"/>
        </w:rPr>
        <w:footnoteReference w:id="3"/>
      </w:r>
      <w:r w:rsidRPr="00A52BD7" w:rsidR="008B3C0A">
        <w:t xml:space="preserve">. </w:t>
      </w:r>
      <w:r w:rsidRPr="00A52BD7" w:rsidR="0001562B">
        <w:t>The survey must assess enrollee satisfaction with each QHP offered through the Exchanges as well as any</w:t>
      </w:r>
      <w:r w:rsidRPr="00A52BD7">
        <w:t xml:space="preserve"> Small Business Health Options</w:t>
      </w:r>
      <w:r w:rsidRPr="00A52BD7" w:rsidR="006B6547">
        <w:t xml:space="preserve"> Program</w:t>
      </w:r>
      <w:r w:rsidRPr="00A52BD7">
        <w:t xml:space="preserve"> (SHOP) with more than 500 enrollees in the prior year. Additionally, Section 1311(c)(3) of the PPACA directs the Secretary to develop a quality rating for each QHP offered through an Exchange.</w:t>
      </w:r>
    </w:p>
    <w:p w:rsidR="006C2DFC" w:rsidRPr="00742D1C" w:rsidP="00A52BD7" w14:paraId="5F0745C0" w14:textId="3876F277">
      <w:pPr>
        <w:pStyle w:val="BodyText"/>
      </w:pPr>
      <w:r w:rsidRPr="00742D1C">
        <w:t xml:space="preserve">Based on this authority, CMS issued a regulation in May 2014 to establish standards and </w:t>
      </w:r>
      <w:r w:rsidRPr="00742D1C" w:rsidR="003E148E">
        <w:t>requirements</w:t>
      </w:r>
      <w:r w:rsidRPr="00742D1C">
        <w:t xml:space="preserve"> related to QHP issuer data collection and public reporting of quality rating information in every Exchange</w:t>
      </w:r>
      <w:r w:rsidRPr="00742D1C" w:rsidR="006A4B4D">
        <w:t>.</w:t>
      </w:r>
      <w:r>
        <w:rPr>
          <w:rStyle w:val="FootnoteReference"/>
        </w:rPr>
        <w:footnoteReference w:id="4"/>
      </w:r>
      <w:r w:rsidRPr="00742D1C">
        <w:t xml:space="preserve"> As a condition of certification and participation in the Exchanges, CMS requires that QHP issuers submit QHP Enrollee </w:t>
      </w:r>
      <w:r w:rsidRPr="00742D1C" w:rsidR="00F809B3">
        <w:t xml:space="preserve">Experience </w:t>
      </w:r>
      <w:r w:rsidRPr="00742D1C" w:rsidR="001161CA">
        <w:t>S</w:t>
      </w:r>
      <w:r w:rsidRPr="00742D1C" w:rsidR="007762F7">
        <w:t xml:space="preserve">urvey </w:t>
      </w:r>
      <w:r w:rsidRPr="00742D1C" w:rsidR="00F809B3">
        <w:t>(QHP Enrollee Survey</w:t>
      </w:r>
      <w:r w:rsidRPr="00742D1C" w:rsidR="00002734">
        <w:t xml:space="preserve"> or survey</w:t>
      </w:r>
      <w:r w:rsidRPr="00742D1C" w:rsidR="00F809B3">
        <w:t xml:space="preserve">) </w:t>
      </w:r>
      <w:r w:rsidRPr="00742D1C">
        <w:t xml:space="preserve">response data and </w:t>
      </w:r>
      <w:r w:rsidRPr="00742D1C" w:rsidR="005E28E8">
        <w:t>Quality Rating System (</w:t>
      </w:r>
      <w:r w:rsidRPr="00742D1C">
        <w:t>QRS</w:t>
      </w:r>
      <w:r w:rsidRPr="00742D1C" w:rsidR="005E28E8">
        <w:t>)</w:t>
      </w:r>
      <w:r w:rsidRPr="00742D1C">
        <w:t xml:space="preserve"> clinical data for their respective QHPs offered through an Exchange in accordance with CMS guidelines</w:t>
      </w:r>
      <w:r w:rsidRPr="00742D1C" w:rsidR="00151058">
        <w:t>.</w:t>
      </w:r>
      <w:r>
        <w:rPr>
          <w:rStyle w:val="FootnoteReference"/>
        </w:rPr>
        <w:footnoteReference w:id="5"/>
      </w:r>
      <w:r w:rsidRPr="00742D1C">
        <w:t xml:space="preserve"> Exchanges are also required to display QHP quality rating information on their respective websites</w:t>
      </w:r>
      <w:r w:rsidRPr="00742D1C" w:rsidR="00151058">
        <w:t>.</w:t>
      </w:r>
      <w:r>
        <w:rPr>
          <w:rStyle w:val="FootnoteReference"/>
        </w:rPr>
        <w:footnoteReference w:id="6"/>
      </w:r>
      <w:r w:rsidRPr="00742D1C">
        <w:t xml:space="preserve"> </w:t>
      </w:r>
      <w:hyperlink r:id="rId14" w:tooltip="Quality Rating System and Qualified Health Plean Enrollee Survey Technical Guidance for 2023 PDF" w:history="1">
        <w:r w:rsidRPr="00685F63" w:rsidR="0088290D">
          <w:rPr>
            <w:rStyle w:val="Hyperlink"/>
          </w:rPr>
          <w:t xml:space="preserve">The </w:t>
        </w:r>
        <w:r w:rsidRPr="00685F63">
          <w:rPr>
            <w:rStyle w:val="Hyperlink"/>
          </w:rPr>
          <w:t xml:space="preserve">QRS and QHP Enrollee Survey Technical Guidance </w:t>
        </w:r>
        <w:r w:rsidRPr="00685F63" w:rsidR="00685F63">
          <w:rPr>
            <w:rStyle w:val="Hyperlink"/>
          </w:rPr>
          <w:t>for 2023</w:t>
        </w:r>
      </w:hyperlink>
      <w:r w:rsidRPr="00742D1C" w:rsidR="00685F63">
        <w:t xml:space="preserve"> </w:t>
      </w:r>
      <w:r w:rsidRPr="00742D1C" w:rsidR="00E665EC">
        <w:t>includes</w:t>
      </w:r>
      <w:r w:rsidRPr="00742D1C" w:rsidR="0088290D">
        <w:t xml:space="preserve"> </w:t>
      </w:r>
      <w:r w:rsidRPr="00742D1C">
        <w:t xml:space="preserve">all relevant statutory and regulatory citations for the QRS and </w:t>
      </w:r>
      <w:r w:rsidRPr="00742D1C" w:rsidR="002A5ADD">
        <w:t xml:space="preserve">the </w:t>
      </w:r>
      <w:r w:rsidRPr="00742D1C">
        <w:t>QHP Enrollee Survey.</w:t>
      </w:r>
    </w:p>
    <w:p w:rsidR="005B1270" w:rsidRPr="00742D1C" w:rsidP="00A52BD7" w14:paraId="333BC84C" w14:textId="192A1AF3">
      <w:pPr>
        <w:pStyle w:val="BodyText"/>
      </w:pPr>
      <w:r w:rsidRPr="00742D1C">
        <w:t>The QHP Enrollee Survey assess</w:t>
      </w:r>
      <w:r w:rsidRPr="00742D1C" w:rsidR="003B33DE">
        <w:t>es</w:t>
      </w:r>
      <w:r w:rsidRPr="00742D1C">
        <w:t xml:space="preserve"> enrollee</w:t>
      </w:r>
      <w:r w:rsidRPr="00742D1C" w:rsidR="00937A77">
        <w:t>s’</w:t>
      </w:r>
      <w:r w:rsidRPr="00742D1C">
        <w:t xml:space="preserve"> experience with their QHP</w:t>
      </w:r>
      <w:r w:rsidRPr="00742D1C" w:rsidR="00937A77">
        <w:t>s</w:t>
      </w:r>
      <w:r w:rsidRPr="00742D1C">
        <w:t xml:space="preserve"> around </w:t>
      </w:r>
      <w:r w:rsidRPr="00742D1C" w:rsidR="00937A77">
        <w:t xml:space="preserve">such </w:t>
      </w:r>
      <w:r w:rsidRPr="00742D1C">
        <w:t>areas as access to care, access to information, care coordination, cultural competence, doctor communication</w:t>
      </w:r>
      <w:r w:rsidRPr="00742D1C" w:rsidR="00937A77">
        <w:t>,</w:t>
      </w:r>
      <w:r w:rsidRPr="00742D1C">
        <w:t xml:space="preserve"> </w:t>
      </w:r>
      <w:r w:rsidR="00E1282D">
        <w:t xml:space="preserve">enrollee experience with cost, </w:t>
      </w:r>
      <w:r w:rsidR="00E1282D">
        <w:t>prevention</w:t>
      </w:r>
      <w:r w:rsidR="00EB7062">
        <w:t xml:space="preserve"> </w:t>
      </w:r>
      <w:r w:rsidRPr="00742D1C">
        <w:t xml:space="preserve">and plan administration. </w:t>
      </w:r>
      <w:r w:rsidRPr="00742D1C">
        <w:rPr>
          <w:rFonts w:cs="Times New Roman"/>
        </w:rPr>
        <w:t>The goals of the QHP Enrollee Survey are to:</w:t>
      </w:r>
    </w:p>
    <w:p w:rsidR="005B1270" w:rsidRPr="00742D1C" w:rsidP="005B1270" w14:paraId="177FE082" w14:textId="77777777">
      <w:pPr>
        <w:pStyle w:val="ListBullet"/>
        <w:rPr>
          <w:rFonts w:ascii="Times New Roman" w:hAnsi="Times New Roman" w:eastAsiaTheme="minorEastAsia" w:cs="Times New Roman"/>
          <w:sz w:val="24"/>
          <w:szCs w:val="24"/>
        </w:rPr>
      </w:pPr>
      <w:r w:rsidRPr="00742D1C">
        <w:rPr>
          <w:rFonts w:ascii="Times New Roman" w:hAnsi="Times New Roman" w:cs="Times New Roman"/>
          <w:sz w:val="24"/>
          <w:szCs w:val="24"/>
        </w:rPr>
        <w:t>Provide comparable and useful information to consumers about the quality of health care services and enrollee experience with QHPs offered through the Exchanges,</w:t>
      </w:r>
    </w:p>
    <w:p w:rsidR="005B1270" w:rsidRPr="00742D1C" w:rsidP="005B1270" w14:paraId="1FD486FD" w14:textId="4F92630B">
      <w:pPr>
        <w:pStyle w:val="ListBullet"/>
        <w:rPr>
          <w:rFonts w:ascii="Times New Roman" w:hAnsi="Times New Roman" w:eastAsiaTheme="minorEastAsia" w:cs="Times New Roman"/>
          <w:sz w:val="24"/>
          <w:szCs w:val="24"/>
        </w:rPr>
      </w:pPr>
      <w:r w:rsidRPr="00742D1C">
        <w:rPr>
          <w:rFonts w:ascii="Times New Roman" w:hAnsi="Times New Roman" w:cs="Times New Roman"/>
          <w:sz w:val="24"/>
          <w:szCs w:val="24"/>
        </w:rPr>
        <w:t>Facilitate oversight of QHP issuer compliance with quality reporting standards set forth in the P</w:t>
      </w:r>
      <w:r w:rsidRPr="00742D1C" w:rsidR="00937A77">
        <w:rPr>
          <w:rFonts w:ascii="Times New Roman" w:hAnsi="Times New Roman" w:cs="Times New Roman"/>
          <w:sz w:val="24"/>
          <w:szCs w:val="24"/>
        </w:rPr>
        <w:t xml:space="preserve">PACA </w:t>
      </w:r>
      <w:r w:rsidRPr="00742D1C">
        <w:rPr>
          <w:rFonts w:ascii="Times New Roman" w:hAnsi="Times New Roman" w:cs="Times New Roman"/>
          <w:sz w:val="24"/>
          <w:szCs w:val="24"/>
        </w:rPr>
        <w:t>and implementing regulations, and</w:t>
      </w:r>
    </w:p>
    <w:p w:rsidR="005B1270" w:rsidRPr="00742D1C" w:rsidP="005B1270" w14:paraId="374B4E62" w14:textId="4CDCC1EA">
      <w:pPr>
        <w:pStyle w:val="ListBullet"/>
        <w:rPr>
          <w:rFonts w:ascii="Times New Roman" w:hAnsi="Times New Roman" w:eastAsiaTheme="minorEastAsia" w:cs="Times New Roman"/>
          <w:sz w:val="24"/>
          <w:szCs w:val="24"/>
        </w:rPr>
      </w:pPr>
      <w:r w:rsidRPr="00742D1C">
        <w:rPr>
          <w:rFonts w:ascii="Times New Roman" w:hAnsi="Times New Roman" w:cs="Times New Roman"/>
          <w:sz w:val="24"/>
          <w:szCs w:val="24"/>
        </w:rPr>
        <w:t>Provide actionable information that QHP issuers can use to improve quality and performance.</w:t>
      </w:r>
    </w:p>
    <w:p w:rsidR="00BD6814" w:rsidRPr="00C21576" w:rsidP="00A52BD7" w14:paraId="28FE674A" w14:textId="1A89D371">
      <w:pPr>
        <w:pStyle w:val="BodyText"/>
      </w:pPr>
      <w:r w:rsidRPr="00742D1C">
        <w:t xml:space="preserve">Based on the requirements for the QHP Enrollee Survey, CMS developed a survey to capture information about enrollees’ experience with </w:t>
      </w:r>
      <w:r w:rsidRPr="00742D1C" w:rsidR="00937A77">
        <w:t>QHP</w:t>
      </w:r>
      <w:r w:rsidRPr="00742D1C">
        <w:t xml:space="preserve">s offered </w:t>
      </w:r>
      <w:r w:rsidRPr="00742D1C" w:rsidR="00E73DD9">
        <w:t xml:space="preserve">through an </w:t>
      </w:r>
      <w:r w:rsidRPr="00742D1C">
        <w:t>Exchange</w:t>
      </w:r>
      <w:r w:rsidRPr="00742D1C">
        <w:t>. CMS conducted i</w:t>
      </w:r>
      <w:r w:rsidRPr="00742D1C">
        <w:t>n</w:t>
      </w:r>
      <w:r w:rsidRPr="00742D1C" w:rsidR="00A909E4">
        <w:t>-</w:t>
      </w:r>
      <w:r w:rsidRPr="00742D1C">
        <w:t>depth</w:t>
      </w:r>
      <w:r w:rsidRPr="00742D1C">
        <w:t xml:space="preserve"> </w:t>
      </w:r>
      <w:r w:rsidRPr="00742D1C">
        <w:t>formative research including</w:t>
      </w:r>
      <w:r w:rsidRPr="00742D1C">
        <w:t>:</w:t>
      </w:r>
      <w:r w:rsidRPr="00742D1C">
        <w:t xml:space="preserve"> a comprehensive</w:t>
      </w:r>
      <w:r w:rsidRPr="00742D1C">
        <w:t xml:space="preserve"> literature</w:t>
      </w:r>
      <w:r w:rsidRPr="00742D1C">
        <w:t xml:space="preserve"> review</w:t>
      </w:r>
      <w:r w:rsidRPr="00742D1C">
        <w:t>, review</w:t>
      </w:r>
      <w:r w:rsidRPr="00742D1C">
        <w:t xml:space="preserve"> of</w:t>
      </w:r>
      <w:r w:rsidRPr="00742D1C">
        <w:t xml:space="preserve"> </w:t>
      </w:r>
      <w:r w:rsidRPr="00742D1C" w:rsidR="00A54057">
        <w:t>existing CMS</w:t>
      </w:r>
      <w:r w:rsidRPr="00742D1C">
        <w:t xml:space="preserve"> survey instruments,</w:t>
      </w:r>
      <w:r w:rsidRPr="00742D1C">
        <w:t xml:space="preserve"> consumer focus groups</w:t>
      </w:r>
      <w:r w:rsidRPr="00742D1C">
        <w:t>,</w:t>
      </w:r>
      <w:r w:rsidRPr="00742D1C">
        <w:t xml:space="preserve"> stakeholder discussions</w:t>
      </w:r>
      <w:r w:rsidRPr="00742D1C">
        <w:t>,</w:t>
      </w:r>
      <w:r w:rsidRPr="00742D1C">
        <w:t xml:space="preserve"> and input from a </w:t>
      </w:r>
      <w:r w:rsidRPr="00742D1C" w:rsidR="003D2537">
        <w:t>T</w:t>
      </w:r>
      <w:r w:rsidRPr="00742D1C">
        <w:t xml:space="preserve">echnical </w:t>
      </w:r>
      <w:r w:rsidRPr="00742D1C" w:rsidR="003D2537">
        <w:t>E</w:t>
      </w:r>
      <w:r w:rsidRPr="00742D1C">
        <w:t xml:space="preserve">xpert </w:t>
      </w:r>
      <w:r w:rsidRPr="00742D1C" w:rsidR="003D2537">
        <w:t>P</w:t>
      </w:r>
      <w:r w:rsidRPr="00742D1C">
        <w:t>anel (TEP).</w:t>
      </w:r>
      <w:r w:rsidRPr="00742D1C">
        <w:t xml:space="preserve"> </w:t>
      </w:r>
      <w:r w:rsidRPr="00742D1C" w:rsidR="002A0EC5">
        <w:t xml:space="preserve">Under </w:t>
      </w:r>
      <w:r w:rsidRPr="00742D1C" w:rsidR="00E1510B">
        <w:t>Office of Management and Budget (</w:t>
      </w:r>
      <w:r w:rsidRPr="00742D1C" w:rsidR="002A0EC5">
        <w:t>OMB</w:t>
      </w:r>
      <w:r w:rsidRPr="00742D1C" w:rsidR="00E1510B">
        <w:t>)</w:t>
      </w:r>
      <w:r w:rsidRPr="00742D1C" w:rsidR="002A0EC5">
        <w:t xml:space="preserve"> Control Number </w:t>
      </w:r>
      <w:r w:rsidRPr="00742D1C" w:rsidR="002A0EC5">
        <w:rPr>
          <w:bCs/>
        </w:rPr>
        <w:t>0938-1221, CMS performed</w:t>
      </w:r>
      <w:r w:rsidRPr="00742D1C" w:rsidR="002A0EC5">
        <w:t xml:space="preserve"> a psychometric test and beta test in 2014 and 2015,</w:t>
      </w:r>
      <w:r w:rsidRPr="00046F2F" w:rsidR="002A0EC5">
        <w:t xml:space="preserve"> respectively. </w:t>
      </w:r>
      <w:r w:rsidR="00B40CE2">
        <w:t xml:space="preserve">As a result of the psychometric and beta tests, CMS identified changes in the questionnaire items, data collection procedures, and sampling specifications that obtained approval for the 2016 implementation of the survey. </w:t>
      </w:r>
      <w:r w:rsidRPr="00046F2F" w:rsidR="002A0EC5">
        <w:t xml:space="preserve">CMS began fielding the QHP Enrollee </w:t>
      </w:r>
      <w:r w:rsidRPr="00046F2F" w:rsidR="002A0EC5">
        <w:t>Survey nationwide in 2016</w:t>
      </w:r>
      <w:r w:rsidR="00872AAC">
        <w:t>,</w:t>
      </w:r>
      <w:r w:rsidRPr="00046F2F" w:rsidR="002A0EC5">
        <w:t xml:space="preserve"> </w:t>
      </w:r>
      <w:r w:rsidR="0043523F">
        <w:t>adding six disability status items</w:t>
      </w:r>
      <w:r w:rsidR="00753D16">
        <w:t xml:space="preserve"> in 2017</w:t>
      </w:r>
      <w:r w:rsidR="00C77BED">
        <w:t xml:space="preserve"> </w:t>
      </w:r>
      <w:r w:rsidR="00753D16">
        <w:t xml:space="preserve">and </w:t>
      </w:r>
      <w:r w:rsidR="00C77BED">
        <w:t>removing several questions with low screen-in rates or that had been removed from the QRS</w:t>
      </w:r>
      <w:r w:rsidR="00753D16">
        <w:t xml:space="preserve"> in 2017 and 2018</w:t>
      </w:r>
      <w:r w:rsidR="00C77BED">
        <w:t>. T</w:t>
      </w:r>
      <w:r w:rsidRPr="00046F2F" w:rsidR="002A0EC5">
        <w:t xml:space="preserve">his request is to continue nationwide collection and administration of the </w:t>
      </w:r>
      <w:r w:rsidR="001F0F18">
        <w:t>statutorily</w:t>
      </w:r>
      <w:r w:rsidR="008F53B4">
        <w:t xml:space="preserve"> </w:t>
      </w:r>
      <w:r w:rsidR="001F0F18">
        <w:t xml:space="preserve">required </w:t>
      </w:r>
      <w:r w:rsidRPr="00046F2F" w:rsidR="002A0EC5">
        <w:t>survey in 202</w:t>
      </w:r>
      <w:r w:rsidR="00601E01">
        <w:t>4</w:t>
      </w:r>
      <w:r w:rsidR="00C72F8B">
        <w:t xml:space="preserve"> through</w:t>
      </w:r>
      <w:r w:rsidRPr="00046F2F" w:rsidR="002A0EC5">
        <w:t xml:space="preserve"> 202</w:t>
      </w:r>
      <w:r w:rsidR="003D2369">
        <w:t>6.</w:t>
      </w:r>
    </w:p>
    <w:p w:rsidR="005B1270" w:rsidRPr="00C21576" w:rsidP="00A52BD7" w14:paraId="3F78603B" w14:textId="4C0817A8">
      <w:pPr>
        <w:pStyle w:val="BodyText"/>
      </w:pPr>
      <w:r w:rsidRPr="00C21576">
        <w:t xml:space="preserve">Due to the unique nature of the QHP enrollee population and its application to the QRS, CMS determined that the QHP Enrollee Survey required a customized survey instrument. The QHP Enrollee Survey includes questions from </w:t>
      </w:r>
      <w:r w:rsidRPr="00C21576">
        <w:rPr>
          <w:rFonts w:eastAsiaTheme="minorEastAsia"/>
        </w:rPr>
        <w:t xml:space="preserve">the </w:t>
      </w:r>
      <w:r w:rsidRPr="009F1B0D" w:rsidR="009F1B0D">
        <w:rPr>
          <w:rFonts w:eastAsiaTheme="minorEastAsia"/>
        </w:rPr>
        <w:t>Consumer Assessment of Healthcare Providers and Systems (</w:t>
      </w:r>
      <w:r w:rsidRPr="00C21576">
        <w:t>CAHPS</w:t>
      </w:r>
      <w:r w:rsidRPr="00C21576">
        <w:rPr>
          <w:rFonts w:eastAsiaTheme="minorEastAsia"/>
          <w:vertAlign w:val="superscript"/>
        </w:rPr>
        <w:t>®</w:t>
      </w:r>
      <w:r w:rsidR="009F1B0D">
        <w:rPr>
          <w:rFonts w:eastAsiaTheme="minorEastAsia"/>
        </w:rPr>
        <w:t>)</w:t>
      </w:r>
      <w:r w:rsidRPr="00C21576">
        <w:t xml:space="preserve"> Health Plan 5.0 Adult Medicaid Survey</w:t>
      </w:r>
      <w:r w:rsidRPr="00C21576">
        <w:t xml:space="preserve">, </w:t>
      </w:r>
      <w:r w:rsidR="009F1B0D">
        <w:t xml:space="preserve">the </w:t>
      </w:r>
      <w:r w:rsidRPr="00C21576">
        <w:t xml:space="preserve">CAHPS 5.0 </w:t>
      </w:r>
      <w:r w:rsidRPr="00FD28CF" w:rsidR="00FD28CF">
        <w:t xml:space="preserve">Healthcare Effectiveness Data and Information Set </w:t>
      </w:r>
      <w:r w:rsidR="00FD28CF">
        <w:t>(</w:t>
      </w:r>
      <w:r w:rsidRPr="00C21576">
        <w:t>HEDIS</w:t>
      </w:r>
      <w:r w:rsidRPr="00C21576" w:rsidR="00FD28CF">
        <w:rPr>
          <w:rFonts w:eastAsiaTheme="minorEastAsia"/>
          <w:vertAlign w:val="superscript"/>
        </w:rPr>
        <w:t>®</w:t>
      </w:r>
      <w:r w:rsidR="00FD28CF">
        <w:t>)</w:t>
      </w:r>
      <w:r w:rsidRPr="00C21576">
        <w:t xml:space="preserve"> Survey, </w:t>
      </w:r>
      <w:r w:rsidRPr="00C21576">
        <w:t xml:space="preserve">the CAHPS Health Plan </w:t>
      </w:r>
      <w:r w:rsidRPr="00C21576">
        <w:t>4.0 and</w:t>
      </w:r>
      <w:r w:rsidR="00EA4950">
        <w:t>, and the CAHPS</w:t>
      </w:r>
      <w:r w:rsidRPr="00C21576">
        <w:t xml:space="preserve"> </w:t>
      </w:r>
      <w:r w:rsidRPr="00C21576">
        <w:t xml:space="preserve">5.0 Adult Supplemental Item </w:t>
      </w:r>
      <w:r w:rsidRPr="00C21576">
        <w:t xml:space="preserve">Sets. </w:t>
      </w:r>
      <w:r w:rsidRPr="00C21576" w:rsidR="002A0EC5">
        <w:t xml:space="preserve">The survey also includes </w:t>
      </w:r>
      <w:r w:rsidRPr="00C21576">
        <w:t>additional items developed specifically for the QHP Enrollee Survey</w:t>
      </w:r>
      <w:r w:rsidR="00FD28CF">
        <w:t>.</w:t>
      </w:r>
      <w:r w:rsidRPr="00C21576">
        <w:t xml:space="preserve"> </w:t>
      </w:r>
      <w:r w:rsidR="00FD28CF">
        <w:t>T</w:t>
      </w:r>
      <w:r w:rsidR="002B1347">
        <w:t xml:space="preserve">hese </w:t>
      </w:r>
      <w:r w:rsidR="00FD28CF">
        <w:t xml:space="preserve">additional items </w:t>
      </w:r>
      <w:r w:rsidR="002B1347">
        <w:t xml:space="preserve">include questions around enrollee experience with costs and customer service </w:t>
      </w:r>
      <w:r w:rsidRPr="00C21576">
        <w:t xml:space="preserve">to </w:t>
      </w:r>
      <w:r w:rsidR="00451821">
        <w:t>capture</w:t>
      </w:r>
      <w:r w:rsidRPr="00C21576">
        <w:t xml:space="preserve"> topics not covered by existing CAHPS items</w:t>
      </w:r>
      <w:r w:rsidR="0029661B">
        <w:t xml:space="preserve"> </w:t>
      </w:r>
      <w:r w:rsidR="002B1347">
        <w:t>and</w:t>
      </w:r>
      <w:r w:rsidR="00DD4B9F">
        <w:t xml:space="preserve"> </w:t>
      </w:r>
      <w:r w:rsidRPr="00C21576">
        <w:t>disability status items</w:t>
      </w:r>
      <w:r w:rsidRPr="00C21576" w:rsidR="002A0EC5">
        <w:t xml:space="preserve"> </w:t>
      </w:r>
      <w:r w:rsidRPr="00C21576" w:rsidR="002A0EC5">
        <w:rPr>
          <w:rFonts w:eastAsiaTheme="minorEastAsia"/>
        </w:rPr>
        <w:t>t</w:t>
      </w:r>
      <w:r w:rsidRPr="00C21576" w:rsidR="002A0EC5">
        <w:t>o comply with the requirements of Section 4302</w:t>
      </w:r>
      <w:r w:rsidR="00793E49">
        <w:t>,</w:t>
      </w:r>
      <w:r w:rsidRPr="00C21576" w:rsidR="002A0EC5">
        <w:t xml:space="preserve"> Data Collection Standards</w:t>
      </w:r>
      <w:r w:rsidR="00793E49">
        <w:t>,</w:t>
      </w:r>
      <w:r w:rsidRPr="00C21576" w:rsidR="002A0EC5">
        <w:t xml:space="preserve"> of the </w:t>
      </w:r>
      <w:r w:rsidR="00AC5200">
        <w:t>PPACA</w:t>
      </w:r>
      <w:r w:rsidRPr="00C21576">
        <w:t>.</w:t>
      </w:r>
    </w:p>
    <w:p w:rsidR="005B1270" w:rsidRPr="00742D1C" w:rsidP="00A52BD7" w14:paraId="081094A6" w14:textId="151FBCD5">
      <w:pPr>
        <w:pStyle w:val="BodyText"/>
      </w:pPr>
      <w:r w:rsidRPr="5C6A7AC5">
        <w:rPr>
          <w:rStyle w:val="normaltextrun"/>
          <w:rFonts w:cs="Times New Roman"/>
          <w:color w:val="000000" w:themeColor="text1"/>
        </w:rPr>
        <w:t xml:space="preserve">Currently, </w:t>
      </w:r>
      <w:r w:rsidRPr="5C6A7AC5" w:rsidR="00E738F3">
        <w:rPr>
          <w:rStyle w:val="normaltextrun"/>
          <w:rFonts w:cs="Times New Roman"/>
          <w:color w:val="000000" w:themeColor="text1"/>
        </w:rPr>
        <w:t xml:space="preserve">CMS </w:t>
      </w:r>
      <w:r w:rsidRPr="5C6A7AC5" w:rsidR="4FF1DEF7">
        <w:rPr>
          <w:rStyle w:val="normaltextrun"/>
          <w:rFonts w:cs="Times New Roman"/>
          <w:color w:val="000000" w:themeColor="text1"/>
        </w:rPr>
        <w:t xml:space="preserve">proposes removing </w:t>
      </w:r>
      <w:r w:rsidR="000D5390">
        <w:rPr>
          <w:rStyle w:val="normaltextrun"/>
          <w:rFonts w:cs="Times New Roman"/>
          <w:color w:val="000000" w:themeColor="text1"/>
        </w:rPr>
        <w:t xml:space="preserve">the public health emergency question, removing </w:t>
      </w:r>
      <w:r w:rsidRPr="5C6A7AC5" w:rsidR="4FF1DEF7">
        <w:rPr>
          <w:rStyle w:val="normaltextrun"/>
          <w:rFonts w:cs="Times New Roman"/>
          <w:color w:val="000000" w:themeColor="text1"/>
        </w:rPr>
        <w:t xml:space="preserve">the flu vaccine </w:t>
      </w:r>
      <w:r w:rsidRPr="5C6A7AC5" w:rsidR="4FF1DEF7">
        <w:rPr>
          <w:rStyle w:val="normaltextrun"/>
          <w:rFonts w:cs="Times New Roman"/>
          <w:color w:val="000000" w:themeColor="text1"/>
        </w:rPr>
        <w:t>question</w:t>
      </w:r>
      <w:r w:rsidRPr="5C6A7AC5" w:rsidR="4FF1DEF7">
        <w:rPr>
          <w:rStyle w:val="normaltextrun"/>
          <w:rFonts w:cs="Times New Roman"/>
          <w:color w:val="000000" w:themeColor="text1"/>
        </w:rPr>
        <w:t xml:space="preserve"> and revising the race and ethnicity questions to align with the 2011 HHS Data Collection Standard</w:t>
      </w:r>
      <w:r w:rsidRPr="5C6A7AC5" w:rsidR="56D96DE0">
        <w:rPr>
          <w:rStyle w:val="normaltextrun"/>
          <w:rFonts w:cs="Times New Roman"/>
          <w:color w:val="000000" w:themeColor="text1"/>
        </w:rPr>
        <w:t xml:space="preserve"> for the QHP Enrollee Survey 2024 administration</w:t>
      </w:r>
      <w:r w:rsidR="003C3981">
        <w:rPr>
          <w:rStyle w:val="normaltextrun"/>
          <w:rFonts w:cs="Times New Roman"/>
          <w:color w:val="000000" w:themeColor="text1"/>
        </w:rPr>
        <w:t xml:space="preserve"> (see the Crosswalk of Changes to the QHP Enrollee Survey)</w:t>
      </w:r>
      <w:r w:rsidRPr="5C6A7AC5" w:rsidR="4FF1DEF7">
        <w:rPr>
          <w:rStyle w:val="normaltextrun"/>
          <w:rFonts w:cs="Times New Roman"/>
          <w:color w:val="000000" w:themeColor="text1"/>
        </w:rPr>
        <w:t xml:space="preserve">. </w:t>
      </w:r>
      <w:r w:rsidRPr="629316D7" w:rsidR="00421CDC">
        <w:t>These updates were</w:t>
      </w:r>
      <w:r w:rsidRPr="629316D7" w:rsidR="00734604">
        <w:t xml:space="preserve"> informed</w:t>
      </w:r>
      <w:r w:rsidRPr="629316D7" w:rsidR="0055427D">
        <w:t xml:space="preserve"> by </w:t>
      </w:r>
      <w:r w:rsidRPr="5C6A7AC5" w:rsidR="0055427D">
        <w:rPr>
          <w:rFonts w:eastAsiaTheme="minorEastAsia"/>
        </w:rPr>
        <w:t>stakeholder input</w:t>
      </w:r>
      <w:r w:rsidRPr="5C6A7AC5" w:rsidR="00421CDC">
        <w:rPr>
          <w:rFonts w:eastAsiaTheme="minorEastAsia"/>
        </w:rPr>
        <w:t xml:space="preserve"> CMS</w:t>
      </w:r>
      <w:r w:rsidRPr="5C6A7AC5" w:rsidR="0055427D">
        <w:rPr>
          <w:rFonts w:eastAsiaTheme="minorEastAsia"/>
        </w:rPr>
        <w:t xml:space="preserve"> received through the TEP, </w:t>
      </w:r>
      <w:r w:rsidRPr="5C6A7AC5" w:rsidR="000B2BA4">
        <w:rPr>
          <w:rFonts w:eastAsiaTheme="minorEastAsia"/>
        </w:rPr>
        <w:t xml:space="preserve">public comment via the </w:t>
      </w:r>
      <w:r w:rsidR="007D26E7">
        <w:rPr>
          <w:rFonts w:eastAsiaTheme="minorEastAsia"/>
        </w:rPr>
        <w:t xml:space="preserve">2022 and </w:t>
      </w:r>
      <w:r w:rsidRPr="5C6A7AC5" w:rsidR="007A362B">
        <w:rPr>
          <w:rFonts w:eastAsiaTheme="minorEastAsia"/>
        </w:rPr>
        <w:t>2023 Call Letter for the Quality Rating System (QRS) and Qualified Health Plan (QHP) Enrollee Experience Survey (2023 Call Letter),</w:t>
      </w:r>
      <w:r w:rsidRPr="5C6A7AC5" w:rsidR="0055427D">
        <w:rPr>
          <w:rFonts w:eastAsiaTheme="minorEastAsia"/>
        </w:rPr>
        <w:t xml:space="preserve"> and discussions with survey vendor</w:t>
      </w:r>
      <w:r w:rsidRPr="5C6A7AC5" w:rsidR="00734604">
        <w:rPr>
          <w:rFonts w:eastAsiaTheme="minorEastAsia"/>
        </w:rPr>
        <w:t>s</w:t>
      </w:r>
      <w:r w:rsidRPr="5C6A7AC5" w:rsidR="0055427D">
        <w:rPr>
          <w:rFonts w:eastAsiaTheme="minorEastAsia"/>
        </w:rPr>
        <w:t xml:space="preserve">. </w:t>
      </w:r>
      <w:r w:rsidRPr="629316D7" w:rsidR="00634A46">
        <w:t>CMS continually seeks stakeholder input and conducts analyses of results to inform future refinements to the survey (</w:t>
      </w:r>
      <w:r w:rsidRPr="629316D7" w:rsidR="00376B75">
        <w:t>e</w:t>
      </w:r>
      <w:r w:rsidRPr="629316D7" w:rsidR="00634A46">
        <w:t>.</w:t>
      </w:r>
      <w:r w:rsidRPr="629316D7" w:rsidR="00376B75">
        <w:t>g</w:t>
      </w:r>
      <w:r w:rsidRPr="629316D7" w:rsidR="00634A46">
        <w:t xml:space="preserve">., changes that </w:t>
      </w:r>
      <w:r w:rsidRPr="629316D7" w:rsidR="000E314A">
        <w:t xml:space="preserve">may improve survey usability for issuers in supporting quality improvement efforts, changes to reduce burden to issuers by removing questions with high levels of missingness). </w:t>
      </w:r>
      <w:r w:rsidRPr="629316D7" w:rsidR="00925643">
        <w:t xml:space="preserve">CMS </w:t>
      </w:r>
      <w:r w:rsidRPr="5C6A7AC5" w:rsidR="00872AAC">
        <w:t>will continue to conduct</w:t>
      </w:r>
      <w:r w:rsidRPr="629316D7" w:rsidR="00925643">
        <w:t xml:space="preserve"> focus groups and cognitive testing</w:t>
      </w:r>
      <w:r w:rsidRPr="629316D7" w:rsidR="00E148B8">
        <w:t xml:space="preserve"> to support identification of future refinements for the QHP Enrollee Survey.</w:t>
      </w:r>
      <w:r w:rsidRPr="629316D7" w:rsidR="00C23209">
        <w:t xml:space="preserve"> </w:t>
      </w:r>
      <w:r w:rsidRPr="629316D7" w:rsidR="00926617">
        <w:t xml:space="preserve">If any refinements are proposed that may impact </w:t>
      </w:r>
      <w:r w:rsidR="00CD09DD">
        <w:t>future</w:t>
      </w:r>
      <w:r w:rsidRPr="629316D7" w:rsidR="00926617">
        <w:t xml:space="preserve"> administrations of the survey, CMS will submit a revision of this information collection request.</w:t>
      </w:r>
    </w:p>
    <w:p w:rsidR="00793E49" w:rsidP="00A52BD7" w14:paraId="116E75EF" w14:textId="50A175E9">
      <w:pPr>
        <w:pStyle w:val="BodyText"/>
      </w:pPr>
      <w:r w:rsidRPr="00C21576">
        <w:t xml:space="preserve">The QHP Enrollee Survey </w:t>
      </w:r>
      <w:r w:rsidRPr="00C21576" w:rsidR="00A54057">
        <w:t>is</w:t>
      </w:r>
      <w:r w:rsidRPr="00C21576">
        <w:t xml:space="preserve"> conducted by HHS-approved survey vendors</w:t>
      </w:r>
      <w:r w:rsidR="00F252F0">
        <w:t xml:space="preserve"> that</w:t>
      </w:r>
      <w:r w:rsidRPr="00C21576">
        <w:t xml:space="preserve"> meet minimum business requirements. A similar system is currently used for other CMS surveys, including Medicare CAHPS, Hospital CAHPS (HCAHPS), Home Health CAHPS (HHCAHPS), the CAHPS Survey for Accountable Care Organizations, and the Health Outcomes Survey (HOS).</w:t>
      </w:r>
    </w:p>
    <w:p w:rsidR="005B1270" w:rsidP="00A52BD7" w14:paraId="09B1E7EB" w14:textId="3F2A30DD">
      <w:pPr>
        <w:pStyle w:val="BodyText"/>
      </w:pPr>
      <w:r w:rsidRPr="00C21576">
        <w:t>Under this model, all QHP</w:t>
      </w:r>
      <w:r w:rsidR="00793E49">
        <w:t xml:space="preserve"> issuer</w:t>
      </w:r>
      <w:r w:rsidRPr="00C21576">
        <w:t xml:space="preserve">s that are required to conduct the QHP Enrollee Survey must contract with an HHS-approved survey vendor to collect the data and submit it to CMS on the issuer’s behalf (45 CFR § 156.1125(a)). CMS is responsible for approving and training </w:t>
      </w:r>
      <w:r w:rsidR="00793E49">
        <w:t xml:space="preserve">survey </w:t>
      </w:r>
      <w:r w:rsidRPr="00C21576">
        <w:t>vendors, providing technical assistance to vendors, overseeing vendors to ensure that they are following the data collection protocols, collecting and analyzing the data from vendors, and producing reports that QHP issuers can use for quality improvement.</w:t>
      </w:r>
    </w:p>
    <w:p w:rsidR="00D4706F" w:rsidRPr="00C21576" w:rsidP="00A52BD7" w14:paraId="439EE21E" w14:textId="745E93B4">
      <w:pPr>
        <w:pStyle w:val="BodyText"/>
        <w:rPr>
          <w:rFonts w:cstheme="minorBidi"/>
          <w:highlight w:val="yellow"/>
        </w:rPr>
      </w:pPr>
      <w:r w:rsidRPr="00A52BD7">
        <w:rPr>
          <w:b/>
          <w:bCs/>
        </w:rPr>
        <w:t xml:space="preserve">At this time, CMS is seeking </w:t>
      </w:r>
      <w:r w:rsidRPr="00A52BD7" w:rsidR="00A175D3">
        <w:rPr>
          <w:b/>
          <w:bCs/>
        </w:rPr>
        <w:t xml:space="preserve">a routine, three-year </w:t>
      </w:r>
      <w:r w:rsidRPr="00A52BD7" w:rsidR="00DE17A5">
        <w:rPr>
          <w:b/>
          <w:bCs/>
        </w:rPr>
        <w:t>renew</w:t>
      </w:r>
      <w:r w:rsidRPr="00A52BD7" w:rsidR="00A175D3">
        <w:rPr>
          <w:b/>
          <w:bCs/>
        </w:rPr>
        <w:t>al of the</w:t>
      </w:r>
      <w:r w:rsidRPr="00A52BD7" w:rsidR="00DE17A5">
        <w:rPr>
          <w:b/>
          <w:bCs/>
        </w:rPr>
        <w:t xml:space="preserve"> </w:t>
      </w:r>
      <w:r w:rsidRPr="00A52BD7">
        <w:rPr>
          <w:b/>
          <w:bCs/>
        </w:rPr>
        <w:t xml:space="preserve">approval </w:t>
      </w:r>
      <w:r w:rsidRPr="00A52BD7" w:rsidR="00DE17A5">
        <w:rPr>
          <w:b/>
          <w:bCs/>
        </w:rPr>
        <w:t xml:space="preserve">for the information collection related to </w:t>
      </w:r>
      <w:r w:rsidRPr="00A52BD7">
        <w:rPr>
          <w:b/>
          <w:bCs/>
        </w:rPr>
        <w:t>the QHP Enrollee Experience Survey</w:t>
      </w:r>
      <w:r w:rsidRPr="00A52BD7" w:rsidR="0070423B">
        <w:rPr>
          <w:b/>
          <w:bCs/>
        </w:rPr>
        <w:t xml:space="preserve">. </w:t>
      </w:r>
      <w:r w:rsidRPr="3A00EB6B" w:rsidR="000E506E">
        <w:t xml:space="preserve">These activities are necessary to ensure that CMS fulfills legislative mandates established by </w:t>
      </w:r>
      <w:r w:rsidR="00793E49">
        <w:t>S</w:t>
      </w:r>
      <w:r w:rsidRPr="3A00EB6B" w:rsidR="000E506E">
        <w:t>ection 1311(c)</w:t>
      </w:r>
      <w:r w:rsidRPr="3A00EB6B" w:rsidR="00DE17A5">
        <w:t>(</w:t>
      </w:r>
      <w:r w:rsidRPr="3A00EB6B" w:rsidR="000E506E">
        <w:t>4</w:t>
      </w:r>
      <w:r w:rsidRPr="3A00EB6B" w:rsidR="00DE17A5">
        <w:t>)</w:t>
      </w:r>
      <w:r w:rsidRPr="3A00EB6B" w:rsidR="000E506E">
        <w:t xml:space="preserve"> of the Affordable Care Act to </w:t>
      </w:r>
      <w:r w:rsidRPr="3A00EB6B" w:rsidR="0070423B">
        <w:t>develop</w:t>
      </w:r>
      <w:r w:rsidRPr="3A00EB6B" w:rsidR="000E506E">
        <w:t xml:space="preserve"> an “enrollee satisfaction survey system” and </w:t>
      </w:r>
      <w:r w:rsidRPr="3A00EB6B" w:rsidR="0070423B">
        <w:t>provide</w:t>
      </w:r>
      <w:r w:rsidRPr="3A00EB6B" w:rsidR="000E506E">
        <w:t xml:space="preserve"> </w:t>
      </w:r>
      <w:r w:rsidRPr="3A00EB6B" w:rsidR="00DE17A5">
        <w:t>such information</w:t>
      </w:r>
      <w:r w:rsidRPr="3A00EB6B" w:rsidR="000E506E">
        <w:t xml:space="preserve"> </w:t>
      </w:r>
      <w:r w:rsidRPr="3A00EB6B" w:rsidR="00DE17A5">
        <w:t>on</w:t>
      </w:r>
      <w:r w:rsidRPr="3A00EB6B" w:rsidR="000E506E">
        <w:t xml:space="preserve"> </w:t>
      </w:r>
      <w:r w:rsidRPr="3A00EB6B" w:rsidR="00E215E1">
        <w:t>Exchange</w:t>
      </w:r>
      <w:r w:rsidRPr="3A00EB6B" w:rsidR="000E506E">
        <w:t xml:space="preserve"> website</w:t>
      </w:r>
      <w:r w:rsidRPr="3A00EB6B" w:rsidR="0070423B">
        <w:t>s</w:t>
      </w:r>
      <w:r w:rsidRPr="3A00EB6B" w:rsidR="000E506E">
        <w:t>.</w:t>
      </w:r>
      <w:r w:rsidR="007F3E3B">
        <w:t xml:space="preserve"> </w:t>
      </w:r>
      <w:r w:rsidRPr="00722326" w:rsidR="009D768D">
        <w:rPr>
          <w:i/>
        </w:rPr>
        <w:t>At this time</w:t>
      </w:r>
      <w:r w:rsidRPr="00722326" w:rsidR="009D768D">
        <w:rPr>
          <w:i/>
        </w:rPr>
        <w:t xml:space="preserve">, </w:t>
      </w:r>
      <w:r w:rsidRPr="00722326" w:rsidR="00501E98">
        <w:rPr>
          <w:i/>
        </w:rPr>
        <w:t>CMS is</w:t>
      </w:r>
      <w:r w:rsidR="00BC29D7">
        <w:rPr>
          <w:i/>
        </w:rPr>
        <w:t xml:space="preserve"> </w:t>
      </w:r>
      <w:r w:rsidRPr="00722326" w:rsidR="00501E98">
        <w:rPr>
          <w:i/>
        </w:rPr>
        <w:t xml:space="preserve">proposing </w:t>
      </w:r>
      <w:r w:rsidRPr="36165928" w:rsidR="5F203482">
        <w:rPr>
          <w:i/>
          <w:iCs/>
        </w:rPr>
        <w:t>the</w:t>
      </w:r>
      <w:r w:rsidR="008F604E">
        <w:rPr>
          <w:i/>
          <w:iCs/>
        </w:rPr>
        <w:t xml:space="preserve"> removal of one question about delays in care due to the public health emergency,</w:t>
      </w:r>
      <w:r w:rsidRPr="36165928" w:rsidR="5F203482">
        <w:rPr>
          <w:i/>
          <w:iCs/>
        </w:rPr>
        <w:t xml:space="preserve"> </w:t>
      </w:r>
      <w:r w:rsidRPr="40CEE6A8" w:rsidR="57D64F58">
        <w:rPr>
          <w:i/>
          <w:iCs/>
        </w:rPr>
        <w:t>removal</w:t>
      </w:r>
      <w:r w:rsidRPr="36165928" w:rsidR="5F203482">
        <w:rPr>
          <w:i/>
          <w:iCs/>
        </w:rPr>
        <w:t xml:space="preserve"> of </w:t>
      </w:r>
      <w:r w:rsidRPr="40CEE6A8" w:rsidR="1F40DAAD">
        <w:rPr>
          <w:i/>
          <w:iCs/>
        </w:rPr>
        <w:t>one</w:t>
      </w:r>
      <w:r w:rsidR="006B522E">
        <w:rPr>
          <w:i/>
          <w:iCs/>
        </w:rPr>
        <w:t xml:space="preserve"> </w:t>
      </w:r>
      <w:r w:rsidR="00A753EE">
        <w:rPr>
          <w:i/>
        </w:rPr>
        <w:t>question</w:t>
      </w:r>
      <w:r w:rsidR="00D46F18">
        <w:rPr>
          <w:i/>
        </w:rPr>
        <w:t xml:space="preserve"> </w:t>
      </w:r>
      <w:r w:rsidRPr="40CEE6A8" w:rsidR="0CE97EEE">
        <w:rPr>
          <w:i/>
          <w:iCs/>
        </w:rPr>
        <w:t>about</w:t>
      </w:r>
      <w:r w:rsidRPr="40CEE6A8" w:rsidR="00171CE2">
        <w:rPr>
          <w:i/>
          <w:iCs/>
        </w:rPr>
        <w:t xml:space="preserve"> </w:t>
      </w:r>
      <w:r w:rsidRPr="40CEE6A8" w:rsidR="1ED10296">
        <w:rPr>
          <w:i/>
          <w:iCs/>
        </w:rPr>
        <w:t xml:space="preserve">the flu </w:t>
      </w:r>
      <w:r w:rsidRPr="40CEE6A8" w:rsidR="1ED10296">
        <w:rPr>
          <w:i/>
          <w:iCs/>
        </w:rPr>
        <w:t>vaccine</w:t>
      </w:r>
      <w:r w:rsidR="00171CE2">
        <w:rPr>
          <w:i/>
        </w:rPr>
        <w:t xml:space="preserve"> and </w:t>
      </w:r>
      <w:r w:rsidRPr="40CEE6A8" w:rsidR="6C29B655">
        <w:rPr>
          <w:i/>
          <w:iCs/>
        </w:rPr>
        <w:t xml:space="preserve">the </w:t>
      </w:r>
      <w:r w:rsidRPr="40CEE6A8" w:rsidR="1ED10296">
        <w:rPr>
          <w:i/>
          <w:iCs/>
        </w:rPr>
        <w:t>revision of the race and ethnicity question</w:t>
      </w:r>
      <w:r w:rsidRPr="40CEE6A8" w:rsidR="415C45CA">
        <w:rPr>
          <w:i/>
          <w:iCs/>
        </w:rPr>
        <w:t>s to align with the 2011 HHS Data Collection Standard</w:t>
      </w:r>
      <w:r w:rsidR="00171CE2">
        <w:rPr>
          <w:i/>
        </w:rPr>
        <w:t xml:space="preserve"> </w:t>
      </w:r>
      <w:r w:rsidRPr="40CEE6A8" w:rsidR="6036D220">
        <w:rPr>
          <w:i/>
          <w:iCs/>
        </w:rPr>
        <w:t>for</w:t>
      </w:r>
      <w:r w:rsidR="00D46F18">
        <w:rPr>
          <w:i/>
        </w:rPr>
        <w:t xml:space="preserve"> </w:t>
      </w:r>
      <w:r w:rsidRPr="00722326" w:rsidR="00501E98">
        <w:rPr>
          <w:i/>
        </w:rPr>
        <w:t>the QHP Enrollee Survey</w:t>
      </w:r>
      <w:r w:rsidRPr="40CEE6A8" w:rsidR="6B5A227E">
        <w:rPr>
          <w:i/>
          <w:iCs/>
        </w:rPr>
        <w:t xml:space="preserve"> 2024 administration</w:t>
      </w:r>
      <w:r w:rsidRPr="00D06504" w:rsidR="00501E98">
        <w:rPr>
          <w:i/>
        </w:rPr>
        <w:t xml:space="preserve">. </w:t>
      </w:r>
      <w:r w:rsidRPr="3A00EB6B" w:rsidR="002A0EC5">
        <w:rPr>
          <w:rFonts w:cstheme="minorBidi"/>
        </w:rPr>
        <w:t>The questionnaire submitted for clearance is available in English, Spanish, and Chinese for use in a mixed-mode methodology that includes mail, telephone, and Internet survey modes.</w:t>
      </w:r>
      <w:bookmarkStart w:id="4" w:name="_Toc378867696"/>
      <w:r w:rsidR="00C05FA3">
        <w:rPr>
          <w:rFonts w:cstheme="minorBidi"/>
        </w:rPr>
        <w:t xml:space="preserve"> The English and Spanish questionnaire is available in all three modes of completion, while the Chinese questionnaire is available to be completed via mail and telephone.</w:t>
      </w:r>
    </w:p>
    <w:p w:rsidR="008C2806" w:rsidRPr="00401D6D" w:rsidP="00401D6D" w14:paraId="02036EEB" w14:textId="5D970A3C">
      <w:pPr>
        <w:pStyle w:val="Heading2"/>
      </w:pPr>
      <w:bookmarkStart w:id="5" w:name="_Toc378867705"/>
      <w:bookmarkStart w:id="6" w:name="_Toc137652162"/>
      <w:bookmarkEnd w:id="4"/>
      <w:r w:rsidRPr="00401D6D">
        <w:t>B.</w:t>
      </w:r>
      <w:r w:rsidRPr="00401D6D">
        <w:tab/>
        <w:t>Justification</w:t>
      </w:r>
      <w:bookmarkEnd w:id="5"/>
      <w:bookmarkEnd w:id="6"/>
    </w:p>
    <w:p w:rsidR="008C2806" w:rsidRPr="008C2806" w:rsidP="003220DF" w14:paraId="58C2DEF9" w14:textId="755650A7">
      <w:pPr>
        <w:pStyle w:val="Heading3"/>
      </w:pPr>
      <w:bookmarkStart w:id="7" w:name="_Toc378867706"/>
      <w:bookmarkStart w:id="8" w:name="_Toc137652163"/>
      <w:r w:rsidRPr="008C2806">
        <w:t>1.</w:t>
      </w:r>
      <w:r w:rsidRPr="008C2806">
        <w:tab/>
        <w:t>Need and Legal Basis</w:t>
      </w:r>
      <w:bookmarkEnd w:id="7"/>
      <w:bookmarkEnd w:id="8"/>
    </w:p>
    <w:p w:rsidR="00CF08BF" w:rsidP="00A52BD7" w14:paraId="46F0D9BD" w14:textId="33E6E989">
      <w:pPr>
        <w:pStyle w:val="BodyText"/>
      </w:pPr>
      <w:r w:rsidRPr="008C2806">
        <w:t>Section 1311(c</w:t>
      </w:r>
      <w:r w:rsidRPr="008C2806" w:rsidR="00BB7556">
        <w:t>)(</w:t>
      </w:r>
      <w:r w:rsidRPr="008C2806">
        <w:t>4) of the Affordable Care Act</w:t>
      </w:r>
      <w:r w:rsidR="002A27D2">
        <w:t xml:space="preserve"> </w:t>
      </w:r>
      <w:r w:rsidRPr="008C2806">
        <w:t xml:space="preserve">requires HHS to establish an enrollee satisfaction survey to be administered to members of each QHP offered through </w:t>
      </w:r>
      <w:r w:rsidRPr="008C2806" w:rsidR="008D27C4">
        <w:t>an</w:t>
      </w:r>
      <w:r w:rsidRPr="008C2806">
        <w:t xml:space="preserve"> </w:t>
      </w:r>
      <w:r w:rsidR="00E215E1">
        <w:t>Exchange</w:t>
      </w:r>
      <w:r w:rsidRPr="008C2806">
        <w:t xml:space="preserve">. </w:t>
      </w:r>
      <w:r w:rsidR="00BE4E24">
        <w:t>The QHP Enrollee Survey meets the goal of measuring enrollee</w:t>
      </w:r>
      <w:r w:rsidR="00ED7C54">
        <w:t>s’</w:t>
      </w:r>
      <w:r w:rsidR="00BE4E24">
        <w:t xml:space="preserve"> satisfaction with their health plan. Additionally, i</w:t>
      </w:r>
      <w:r w:rsidR="00423463">
        <w:t xml:space="preserve">n accordance </w:t>
      </w:r>
      <w:r w:rsidR="00B60FE8">
        <w:t>with</w:t>
      </w:r>
      <w:r w:rsidR="00423463">
        <w:t xml:space="preserve"> </w:t>
      </w:r>
      <w:r w:rsidR="00ED7C54">
        <w:t>S</w:t>
      </w:r>
      <w:r w:rsidR="00423463">
        <w:t>ection 1311(c)(4)</w:t>
      </w:r>
      <w:r w:rsidR="00657A76">
        <w:t xml:space="preserve"> and outlined i</w:t>
      </w:r>
      <w:r w:rsidRPr="00657A76" w:rsidR="00657A76">
        <w:t>n 45 CFR 155.205(b)(1)(iv) and 45 CFR 155.1405</w:t>
      </w:r>
      <w:r w:rsidRPr="00657A76" w:rsidR="00423463">
        <w:t>, t</w:t>
      </w:r>
      <w:r w:rsidRPr="00657A76">
        <w:t>he results of this survey will be available</w:t>
      </w:r>
      <w:r w:rsidR="00657A76">
        <w:t xml:space="preserve"> b</w:t>
      </w:r>
      <w:r w:rsidRPr="00657A76" w:rsidR="00657A76">
        <w:t>y display</w:t>
      </w:r>
      <w:r w:rsidR="00C53F05">
        <w:t xml:space="preserve"> of</w:t>
      </w:r>
      <w:r w:rsidRPr="00657A76" w:rsidR="00657A76">
        <w:t xml:space="preserve"> the QRS information (which incorporates member experience data from the Q</w:t>
      </w:r>
      <w:r w:rsidR="00657A76">
        <w:t>HP Enrollee Survey)</w:t>
      </w:r>
      <w:r w:rsidRPr="00657A76">
        <w:t xml:space="preserve"> on each </w:t>
      </w:r>
      <w:r w:rsidRPr="00657A76" w:rsidR="00ED7C54">
        <w:t>s</w:t>
      </w:r>
      <w:r w:rsidRPr="00657A76" w:rsidR="00D01DE3">
        <w:t xml:space="preserve">tate </w:t>
      </w:r>
      <w:r w:rsidRPr="00657A76" w:rsidR="00E215E1">
        <w:t>Ex</w:t>
      </w:r>
      <w:r w:rsidR="00E215E1">
        <w:t>change</w:t>
      </w:r>
      <w:r w:rsidRPr="008C2806">
        <w:t>’s web portal, as well as</w:t>
      </w:r>
      <w:r w:rsidR="00ED7C54">
        <w:t xml:space="preserve"> on</w:t>
      </w:r>
      <w:r w:rsidRPr="008C2806">
        <w:t xml:space="preserve"> the Federal</w:t>
      </w:r>
      <w:r w:rsidR="00D01DE3">
        <w:t>ly</w:t>
      </w:r>
      <w:r w:rsidR="004B1B76">
        <w:t>-</w:t>
      </w:r>
      <w:r w:rsidR="00D01DE3">
        <w:t xml:space="preserve">facilitated </w:t>
      </w:r>
      <w:r w:rsidR="00E215E1">
        <w:t>Exchange</w:t>
      </w:r>
      <w:r w:rsidR="00263822">
        <w:t xml:space="preserve"> (FFE)</w:t>
      </w:r>
      <w:r w:rsidR="00D01DE3">
        <w:t xml:space="preserve"> </w:t>
      </w:r>
      <w:r w:rsidRPr="008C2806">
        <w:t>web portal</w:t>
      </w:r>
      <w:r w:rsidR="00263822">
        <w:t xml:space="preserve"> (HealthCare.gov)</w:t>
      </w:r>
      <w:r w:rsidRPr="008C2806">
        <w:t xml:space="preserve">, in a manner that allows applicants for coverage to compare </w:t>
      </w:r>
      <w:r w:rsidR="00C02181">
        <w:t>plans.</w:t>
      </w:r>
    </w:p>
    <w:p w:rsidR="008C2806" w:rsidRPr="008C2806" w:rsidP="003220DF" w14:paraId="20DE0BFE" w14:textId="374A15D0">
      <w:pPr>
        <w:pStyle w:val="Heading3"/>
        <w:rPr>
          <w:rFonts w:eastAsiaTheme="minorEastAsia"/>
        </w:rPr>
      </w:pPr>
      <w:bookmarkStart w:id="9" w:name="_Toc378867707"/>
      <w:bookmarkStart w:id="10" w:name="_Toc137652164"/>
      <w:r w:rsidRPr="008C2806">
        <w:t>2.</w:t>
      </w:r>
      <w:r w:rsidRPr="008C2806">
        <w:tab/>
      </w:r>
      <w:r w:rsidRPr="003220DF">
        <w:t>Information</w:t>
      </w:r>
      <w:r w:rsidRPr="008C2806">
        <w:t xml:space="preserve"> Users</w:t>
      </w:r>
      <w:bookmarkEnd w:id="9"/>
      <w:bookmarkEnd w:id="10"/>
    </w:p>
    <w:p w:rsidR="00811019" w:rsidP="00A52BD7" w14:paraId="307F8176" w14:textId="7A80F169">
      <w:pPr>
        <w:pStyle w:val="BodyText"/>
      </w:pPr>
      <w:r>
        <w:t xml:space="preserve">After each </w:t>
      </w:r>
      <w:r w:rsidR="00263822">
        <w:t>QHP Enrollee S</w:t>
      </w:r>
      <w:r>
        <w:t>urvey administration year</w:t>
      </w:r>
      <w:r w:rsidR="00263822">
        <w:t>,</w:t>
      </w:r>
      <w:r>
        <w:t xml:space="preserve"> CMS produces </w:t>
      </w:r>
      <w:r w:rsidR="007A03EA">
        <w:t>Quality Improvement (QI) Report</w:t>
      </w:r>
      <w:r>
        <w:t>s summarizing the item-level results for each reporting unit and state participating in the QHP Enrollee Survey. The</w:t>
      </w:r>
      <w:r w:rsidR="00263822">
        <w:t>se</w:t>
      </w:r>
      <w:r>
        <w:t xml:space="preserve"> reports also include comparative benchmark data so that QHP issuers can see their results relative to the national level results.</w:t>
      </w:r>
    </w:p>
    <w:p w:rsidR="00AA4528" w:rsidRPr="00AA4528" w:rsidP="00A52BD7" w14:paraId="03277AF5" w14:textId="4EA74A0F">
      <w:pPr>
        <w:pStyle w:val="BodyText"/>
        <w:rPr>
          <w:rFonts w:cs="Calibri"/>
          <w:sz w:val="22"/>
        </w:rPr>
      </w:pPr>
      <w:bookmarkStart w:id="11" w:name="_Toc378867708"/>
      <w:r w:rsidRPr="00AA4528">
        <w:t xml:space="preserve">A subset of survey questions </w:t>
      </w:r>
      <w:r w:rsidR="0057749B">
        <w:t>is</w:t>
      </w:r>
      <w:r w:rsidRPr="00AA4528">
        <w:t xml:space="preserve"> included in the QRS measure set and accompanying QHP quality rating information for public display. Beginning with the 2020 open enrollment period, CMS displayed the QHP quality rating information for all Exchanges that use the HealthCare.gov platform, including the FFEs </w:t>
      </w:r>
      <w:r w:rsidR="00057C61">
        <w:t>(</w:t>
      </w:r>
      <w:r w:rsidRPr="00AA4528">
        <w:t>inclusive of FFE states where the state performs plan management functions and State-based Exchanges on the Federal Platform (SBE-FPs)</w:t>
      </w:r>
      <w:r w:rsidR="00057C61">
        <w:t>)</w:t>
      </w:r>
      <w:r w:rsidRPr="00AA4528">
        <w:t>. SBEs were required to display QHP quality ratings for the 2020 open enrollment period but had some flexibility to customize the display of the QHP quality rating information.</w:t>
      </w:r>
    </w:p>
    <w:p w:rsidR="00123BBA" w:rsidP="003220DF" w14:paraId="78412310" w14:textId="04F9405A">
      <w:pPr>
        <w:pStyle w:val="Heading3"/>
      </w:pPr>
      <w:bookmarkStart w:id="12" w:name="_Toc137652165"/>
      <w:r w:rsidRPr="008C2806">
        <w:t>3.</w:t>
      </w:r>
      <w:r w:rsidRPr="008C2806">
        <w:tab/>
        <w:t>Use of</w:t>
      </w:r>
      <w:r w:rsidR="008A3F01">
        <w:t xml:space="preserve"> Improved</w:t>
      </w:r>
      <w:r w:rsidRPr="008C2806">
        <w:t xml:space="preserve"> Information Technology</w:t>
      </w:r>
      <w:bookmarkEnd w:id="11"/>
      <w:r w:rsidRPr="008C2806">
        <w:t xml:space="preserve"> </w:t>
      </w:r>
      <w:r w:rsidR="009B1F9D">
        <w:t>and Burden Reduction</w:t>
      </w:r>
      <w:bookmarkEnd w:id="12"/>
    </w:p>
    <w:p w:rsidR="0039341B" w:rsidRPr="00742D1C" w:rsidP="00A52BD7" w14:paraId="6FFD4A4E" w14:textId="6993E1F4">
      <w:pPr>
        <w:pStyle w:val="BodyText"/>
      </w:pPr>
      <w:r w:rsidRPr="00742D1C">
        <w:t xml:space="preserve">The data collection protocol for the QHP Enrollee Survey </w:t>
      </w:r>
      <w:r w:rsidR="00AD05B5">
        <w:t>employs</w:t>
      </w:r>
      <w:r w:rsidRPr="00742D1C" w:rsidR="00660E7C">
        <w:t xml:space="preserve"> a mixed-mode </w:t>
      </w:r>
      <w:r w:rsidRPr="00742D1C" w:rsidR="00BF1132">
        <w:t>methodology</w:t>
      </w:r>
      <w:r w:rsidRPr="00742D1C" w:rsidR="00660E7C">
        <w:t xml:space="preserve"> that combines internet, mail, and telephone </w:t>
      </w:r>
      <w:r w:rsidRPr="00742D1C" w:rsidR="005E0941">
        <w:t xml:space="preserve">(which utilizes computer-assisted telephone interviewing (CATI) technology) </w:t>
      </w:r>
      <w:r w:rsidRPr="00742D1C" w:rsidR="00660E7C">
        <w:t>surveys</w:t>
      </w:r>
      <w:r w:rsidRPr="00742D1C" w:rsidR="00E07222">
        <w:t xml:space="preserve">. All sampled enrollees receive </w:t>
      </w:r>
      <w:r w:rsidRPr="00742D1C">
        <w:t>a pre</w:t>
      </w:r>
      <w:r w:rsidR="00DA4878">
        <w:t>-</w:t>
      </w:r>
      <w:r w:rsidRPr="00742D1C">
        <w:t>notification letter</w:t>
      </w:r>
      <w:r w:rsidRPr="00742D1C" w:rsidR="00E07222">
        <w:t xml:space="preserve"> that informs them that they have been sampled for the survey</w:t>
      </w:r>
      <w:r w:rsidRPr="00742D1C" w:rsidR="00BF1132">
        <w:t xml:space="preserve"> and provides them with information about the survey and how the data collected will be used. </w:t>
      </w:r>
      <w:r w:rsidRPr="00742D1C">
        <w:t>The pre</w:t>
      </w:r>
      <w:r w:rsidR="00757A03">
        <w:t>-</w:t>
      </w:r>
      <w:r w:rsidRPr="00742D1C">
        <w:t>notification letter contains</w:t>
      </w:r>
      <w:r w:rsidRPr="00742D1C" w:rsidR="00BF1132">
        <w:t xml:space="preserve"> information on completing the survey online, including the website URL and the sample member’s login credentials</w:t>
      </w:r>
      <w:r w:rsidRPr="00742D1C" w:rsidR="00865D2A">
        <w:t xml:space="preserve"> (</w:t>
      </w:r>
      <w:r w:rsidRPr="00742D1C" w:rsidR="00BF1132">
        <w:t>which are unique to each sample member</w:t>
      </w:r>
      <w:r w:rsidRPr="00742D1C" w:rsidR="00865D2A">
        <w:t>).</w:t>
      </w:r>
      <w:r w:rsidRPr="00742D1C">
        <w:t xml:space="preserve"> Sampled enrollees may receive up to two reminder letters</w:t>
      </w:r>
      <w:r w:rsidRPr="00742D1C" w:rsidR="00B57585">
        <w:t xml:space="preserve">, </w:t>
      </w:r>
      <w:r w:rsidRPr="00742D1C">
        <w:t>or six telephone attempts, depending on the mode of completion</w:t>
      </w:r>
      <w:r w:rsidRPr="00742D1C" w:rsidR="00B57585">
        <w:t>.</w:t>
      </w:r>
      <w:r w:rsidRPr="00742D1C" w:rsidR="00BF1132">
        <w:t xml:space="preserve"> </w:t>
      </w:r>
      <w:r w:rsidRPr="00742D1C" w:rsidR="005E0941">
        <w:t>Vendors have the option of using a quick-response (QR) code to link enrollees to the online survey.</w:t>
      </w:r>
    </w:p>
    <w:p w:rsidR="008C2806" w:rsidRPr="00742D1C" w:rsidP="00A52BD7" w14:paraId="75EB1F7C" w14:textId="3970A24B">
      <w:pPr>
        <w:pStyle w:val="BodyText"/>
      </w:pPr>
      <w:r w:rsidRPr="00742D1C">
        <w:t>Beginning with the 201</w:t>
      </w:r>
      <w:r w:rsidRPr="00742D1C" w:rsidR="00656871">
        <w:t>9</w:t>
      </w:r>
      <w:r w:rsidRPr="00742D1C">
        <w:t xml:space="preserve"> QHP Enrollee Survey, survey vendors </w:t>
      </w:r>
      <w:r w:rsidRPr="00742D1C" w:rsidR="00656871">
        <w:t>were required to field the</w:t>
      </w:r>
      <w:r w:rsidRPr="00742D1C">
        <w:t xml:space="preserve"> web survey in Spanish</w:t>
      </w:r>
      <w:r w:rsidRPr="00742D1C" w:rsidR="00177808">
        <w:t xml:space="preserve"> (it </w:t>
      </w:r>
      <w:r w:rsidRPr="00742D1C" w:rsidR="00656871">
        <w:t>was previously only</w:t>
      </w:r>
      <w:r w:rsidRPr="00742D1C" w:rsidR="00177808">
        <w:t xml:space="preserve"> required in English)</w:t>
      </w:r>
      <w:r w:rsidRPr="00742D1C" w:rsidR="00656871">
        <w:t xml:space="preserve"> and optimize the </w:t>
      </w:r>
      <w:r w:rsidRPr="00742D1C" w:rsidR="00FB327D">
        <w:t xml:space="preserve">web survey for </w:t>
      </w:r>
      <w:r w:rsidRPr="00742D1C" w:rsidR="00FB327D">
        <w:t>mobile devices</w:t>
      </w:r>
      <w:r w:rsidRPr="00742D1C" w:rsidR="00BF1132">
        <w:t xml:space="preserve">. </w:t>
      </w:r>
      <w:r w:rsidRPr="00742D1C" w:rsidR="00656871">
        <w:t>Also beginning with the 2019 QHP Enrollee Survey</w:t>
      </w:r>
      <w:r w:rsidRPr="00742D1C" w:rsidR="004F3A5A">
        <w:t>,</w:t>
      </w:r>
      <w:r w:rsidRPr="00742D1C" w:rsidR="00656871">
        <w:t xml:space="preserve"> CMS implemented an email protocol</w:t>
      </w:r>
      <w:r w:rsidRPr="00742D1C" w:rsidR="00FB327D">
        <w:t xml:space="preserve">. Survey vendors were required to send a notification email and two reminder emails during the fielding period. </w:t>
      </w:r>
      <w:r w:rsidRPr="00742D1C" w:rsidR="00245214">
        <w:t>CMS will continue to evaluate methods to increase the u</w:t>
      </w:r>
      <w:r w:rsidRPr="00742D1C" w:rsidR="00245A90">
        <w:t>tility</w:t>
      </w:r>
      <w:r w:rsidRPr="00742D1C" w:rsidR="00245214">
        <w:t xml:space="preserve"> of </w:t>
      </w:r>
      <w:r w:rsidRPr="00742D1C" w:rsidR="00245A90">
        <w:t xml:space="preserve">email outreach and </w:t>
      </w:r>
      <w:r w:rsidRPr="00742D1C" w:rsidR="00245214">
        <w:t>online surveys.</w:t>
      </w:r>
    </w:p>
    <w:p w:rsidR="00245214" w:rsidRPr="00742D1C" w:rsidP="00A52BD7" w14:paraId="5823DB65" w14:textId="2261B435">
      <w:pPr>
        <w:pStyle w:val="BodyText"/>
      </w:pPr>
      <w:r>
        <w:t>Beginning in 2023, s</w:t>
      </w:r>
      <w:r w:rsidRPr="00742D1C">
        <w:t>urvey vendors are required to submit the final data</w:t>
      </w:r>
      <w:r w:rsidRPr="00742D1C" w:rsidR="00584131">
        <w:t xml:space="preserve"> </w:t>
      </w:r>
      <w:r w:rsidRPr="00742D1C">
        <w:t xml:space="preserve">files to </w:t>
      </w:r>
      <w:r w:rsidRPr="00742D1C" w:rsidR="00E958DF">
        <w:t xml:space="preserve">CMS for analysis and scoring through </w:t>
      </w:r>
      <w:r w:rsidRPr="00742D1C">
        <w:t xml:space="preserve">a secure </w:t>
      </w:r>
      <w:r>
        <w:t xml:space="preserve">website which </w:t>
      </w:r>
      <w:r w:rsidRPr="009F0368">
        <w:t>adhere</w:t>
      </w:r>
      <w:r>
        <w:t>s</w:t>
      </w:r>
      <w:r w:rsidRPr="009F0368">
        <w:t xml:space="preserve"> to all CMS IT system requirements and include</w:t>
      </w:r>
      <w:r>
        <w:t>s</w:t>
      </w:r>
      <w:r w:rsidRPr="009F0368">
        <w:t xml:space="preserve"> automated data validation checks</w:t>
      </w:r>
      <w:r w:rsidR="00D20AFE">
        <w:t>.</w:t>
      </w:r>
      <w:r w:rsidRPr="009F0368">
        <w:t xml:space="preserve"> </w:t>
      </w:r>
      <w:r w:rsidRPr="00742D1C" w:rsidR="00E958DF">
        <w:t>This process</w:t>
      </w:r>
      <w:r w:rsidRPr="00742D1C">
        <w:t xml:space="preserve"> ensure</w:t>
      </w:r>
      <w:r w:rsidRPr="00742D1C" w:rsidR="00E958DF">
        <w:t>s</w:t>
      </w:r>
      <w:r w:rsidRPr="00742D1C">
        <w:t xml:space="preserve"> the data file</w:t>
      </w:r>
      <w:r w:rsidRPr="00742D1C" w:rsidR="00584131">
        <w:t>s</w:t>
      </w:r>
      <w:r w:rsidRPr="00742D1C">
        <w:t xml:space="preserve"> meet established specifications. Additionally, after analysis</w:t>
      </w:r>
      <w:r w:rsidRPr="00742D1C" w:rsidR="0054526A">
        <w:t>,</w:t>
      </w:r>
      <w:r w:rsidRPr="00742D1C">
        <w:t xml:space="preserve"> the survey data </w:t>
      </w:r>
      <w:r w:rsidRPr="00742D1C" w:rsidR="000321CE">
        <w:t>is</w:t>
      </w:r>
      <w:r w:rsidRPr="00742D1C">
        <w:t xml:space="preserve"> submitted into </w:t>
      </w:r>
      <w:r w:rsidRPr="00742D1C" w:rsidR="00E85EDE">
        <w:t>the SAS Viya analytic environment</w:t>
      </w:r>
      <w:r w:rsidRPr="00742D1C" w:rsidR="00B34AB9">
        <w:t xml:space="preserve"> which connects to</w:t>
      </w:r>
      <w:r w:rsidRPr="00742D1C" w:rsidR="00E85EDE">
        <w:t xml:space="preserve"> </w:t>
      </w:r>
      <w:r w:rsidRPr="00742D1C">
        <w:t>CMS’ Health Insurance Overs</w:t>
      </w:r>
      <w:r w:rsidRPr="00742D1C" w:rsidR="00AC6135">
        <w:t>ight</w:t>
      </w:r>
      <w:r w:rsidRPr="00742D1C">
        <w:t xml:space="preserve"> System (HIOS) for </w:t>
      </w:r>
      <w:r w:rsidRPr="00742D1C" w:rsidR="000E506E">
        <w:t>calculation of</w:t>
      </w:r>
      <w:r w:rsidRPr="00742D1C">
        <w:t xml:space="preserve"> </w:t>
      </w:r>
      <w:r w:rsidRPr="00742D1C" w:rsidR="00D56CA1">
        <w:t xml:space="preserve">quality </w:t>
      </w:r>
      <w:r w:rsidRPr="00742D1C" w:rsidR="000E506E">
        <w:t xml:space="preserve">ratings </w:t>
      </w:r>
      <w:r w:rsidRPr="00742D1C" w:rsidR="00D56CA1">
        <w:t xml:space="preserve">based on </w:t>
      </w:r>
      <w:r w:rsidRPr="00742D1C" w:rsidR="00013346">
        <w:t xml:space="preserve">QRS </w:t>
      </w:r>
      <w:r w:rsidRPr="00742D1C" w:rsidR="00D56CA1">
        <w:t xml:space="preserve">methodology </w:t>
      </w:r>
      <w:r w:rsidRPr="00742D1C">
        <w:t>for public reporting.</w:t>
      </w:r>
    </w:p>
    <w:p w:rsidR="008C2806" w:rsidRPr="008C2806" w:rsidP="003220DF" w14:paraId="72A49B90" w14:textId="6FDBEB11">
      <w:pPr>
        <w:pStyle w:val="Heading3"/>
      </w:pPr>
      <w:bookmarkStart w:id="13" w:name="_Toc378867709"/>
      <w:bookmarkStart w:id="14" w:name="_Toc137652166"/>
      <w:r w:rsidRPr="008C2806">
        <w:t>4.</w:t>
      </w:r>
      <w:r w:rsidRPr="008C2806">
        <w:tab/>
      </w:r>
      <w:r w:rsidR="00344461">
        <w:t xml:space="preserve">Efforts to Identify </w:t>
      </w:r>
      <w:r w:rsidRPr="008C2806">
        <w:t xml:space="preserve">Duplication </w:t>
      </w:r>
      <w:bookmarkEnd w:id="13"/>
      <w:r w:rsidR="00AB1C9E">
        <w:t>and Use of Similar Information</w:t>
      </w:r>
      <w:bookmarkEnd w:id="14"/>
    </w:p>
    <w:p w:rsidR="008C2806" w:rsidRPr="008C2806" w:rsidP="00A52BD7" w14:paraId="2FF0D667" w14:textId="00D02502">
      <w:pPr>
        <w:pStyle w:val="BodyText"/>
      </w:pPr>
      <w:r w:rsidRPr="008C2806">
        <w:t>There is no duplication of efforts.</w:t>
      </w:r>
      <w:r w:rsidR="00883F00">
        <w:t xml:space="preserve"> </w:t>
      </w:r>
      <w:r w:rsidR="00245214">
        <w:t xml:space="preserve">The QHP Enrollee Survey is the only survey being conducted by HHS to measure </w:t>
      </w:r>
      <w:r w:rsidR="00D56CA1">
        <w:t xml:space="preserve">enrollee </w:t>
      </w:r>
      <w:r w:rsidR="00245214">
        <w:t xml:space="preserve">experiences with </w:t>
      </w:r>
      <w:r w:rsidR="00A309F8">
        <w:t>QHPs</w:t>
      </w:r>
      <w:r w:rsidR="007B77C5">
        <w:t xml:space="preserve"> offered through the </w:t>
      </w:r>
      <w:r w:rsidR="00E215E1">
        <w:t>Exchange</w:t>
      </w:r>
      <w:r w:rsidR="007B77C5">
        <w:t>s</w:t>
      </w:r>
      <w:r w:rsidR="00245214">
        <w:t>.</w:t>
      </w:r>
    </w:p>
    <w:p w:rsidR="008C2806" w:rsidRPr="008C2806" w:rsidP="003220DF" w14:paraId="455E0742" w14:textId="52071B2C">
      <w:pPr>
        <w:pStyle w:val="Heading3"/>
      </w:pPr>
      <w:bookmarkStart w:id="15" w:name="_Toc378867710"/>
      <w:bookmarkStart w:id="16" w:name="_Toc137652167"/>
      <w:r w:rsidRPr="008C2806">
        <w:t>5.</w:t>
      </w:r>
      <w:r w:rsidRPr="008C2806">
        <w:tab/>
      </w:r>
      <w:r w:rsidR="009E7819">
        <w:t xml:space="preserve">Impact on </w:t>
      </w:r>
      <w:r w:rsidRPr="008C2806">
        <w:t>Small Businesses</w:t>
      </w:r>
      <w:bookmarkEnd w:id="15"/>
      <w:r w:rsidR="00B61F23">
        <w:t xml:space="preserve"> or Other Small Entities</w:t>
      </w:r>
      <w:bookmarkEnd w:id="16"/>
    </w:p>
    <w:p w:rsidR="008C2806" w:rsidRPr="008C2806" w:rsidP="00A52BD7" w14:paraId="434940A6" w14:textId="48628DAB">
      <w:pPr>
        <w:pStyle w:val="BodyText"/>
      </w:pPr>
      <w:r>
        <w:t xml:space="preserve">CMS </w:t>
      </w:r>
      <w:r w:rsidR="00704031">
        <w:t>does not anticipate the QHP Enrollee Survey will</w:t>
      </w:r>
      <w:r>
        <w:t xml:space="preserve"> have an impact on small businesses</w:t>
      </w:r>
      <w:r w:rsidR="002B439F">
        <w:t xml:space="preserve">. </w:t>
      </w:r>
      <w:r w:rsidR="00AB003C">
        <w:t>The sample frame is developed by issuers, few, if any, of wh</w:t>
      </w:r>
      <w:r w:rsidR="003653E7">
        <w:t>ich</w:t>
      </w:r>
      <w:r w:rsidR="00AB003C">
        <w:t xml:space="preserve"> are small businesses. </w:t>
      </w:r>
      <w:r w:rsidR="00E958DF">
        <w:t xml:space="preserve">Some survey vendors </w:t>
      </w:r>
      <w:r w:rsidR="003653E7">
        <w:t>that</w:t>
      </w:r>
      <w:r w:rsidR="00E958DF">
        <w:t xml:space="preserve"> will apply to field the QHP Enrollee Survey </w:t>
      </w:r>
      <w:r w:rsidR="00AF2E39">
        <w:t xml:space="preserve">may </w:t>
      </w:r>
      <w:r w:rsidR="00E958DF">
        <w:t xml:space="preserve">be small businesses, but conducting </w:t>
      </w:r>
      <w:r w:rsidR="00FE1364">
        <w:t>CMS</w:t>
      </w:r>
      <w:r w:rsidR="007A656C">
        <w:t xml:space="preserve"> surveys, such as</w:t>
      </w:r>
      <w:r w:rsidR="003653E7">
        <w:t xml:space="preserve"> the</w:t>
      </w:r>
      <w:r w:rsidR="007A656C">
        <w:t xml:space="preserve"> </w:t>
      </w:r>
      <w:r w:rsidR="00E958DF">
        <w:t>CAHPS surveys</w:t>
      </w:r>
      <w:r w:rsidR="007A656C">
        <w:t>,</w:t>
      </w:r>
      <w:r w:rsidR="00E958DF">
        <w:t xml:space="preserve"> is </w:t>
      </w:r>
      <w:r w:rsidR="00E30976">
        <w:t xml:space="preserve">part of </w:t>
      </w:r>
      <w:r w:rsidR="00E958DF">
        <w:t>the</w:t>
      </w:r>
      <w:r w:rsidR="003653E7">
        <w:t>se vendors’</w:t>
      </w:r>
      <w:r w:rsidR="00E958DF">
        <w:t xml:space="preserve"> business </w:t>
      </w:r>
      <w:r w:rsidR="00E30976">
        <w:t xml:space="preserve">model </w:t>
      </w:r>
      <w:r w:rsidR="00E958DF">
        <w:t xml:space="preserve">and the decision to apply for approval as a vendor for the QHP Enrollee Survey is </w:t>
      </w:r>
      <w:r w:rsidR="00013346">
        <w:t>voluntar</w:t>
      </w:r>
      <w:r w:rsidR="00E958DF">
        <w:t>y. Furthermore,</w:t>
      </w:r>
      <w:r w:rsidR="002B439F">
        <w:t xml:space="preserve"> </w:t>
      </w:r>
      <w:r w:rsidR="009F3D5A">
        <w:t>the survey vendor application process</w:t>
      </w:r>
      <w:r w:rsidR="0082261C">
        <w:t xml:space="preserve"> imposes a mini</w:t>
      </w:r>
      <w:r w:rsidR="00E958DF">
        <w:t>mal</w:t>
      </w:r>
      <w:r w:rsidR="0082261C">
        <w:t xml:space="preserve"> burden on any applicant, including small businesses.</w:t>
      </w:r>
    </w:p>
    <w:p w:rsidR="00123BBA" w:rsidP="003220DF" w14:paraId="6C41F9B1" w14:textId="2DD950BF">
      <w:pPr>
        <w:pStyle w:val="Heading3"/>
      </w:pPr>
      <w:bookmarkStart w:id="17" w:name="_Toc378867711"/>
      <w:bookmarkStart w:id="18" w:name="_Toc137652168"/>
      <w:r w:rsidRPr="008C2806">
        <w:t>6.</w:t>
      </w:r>
      <w:r w:rsidRPr="008C2806">
        <w:tab/>
      </w:r>
      <w:r w:rsidR="009A43E5">
        <w:t>Consequence</w:t>
      </w:r>
      <w:r w:rsidR="00315658">
        <w:t xml:space="preserve">s of Collecting </w:t>
      </w:r>
      <w:r w:rsidR="00213603">
        <w:t>the Information</w:t>
      </w:r>
      <w:r w:rsidR="00646428">
        <w:t xml:space="preserve"> </w:t>
      </w:r>
      <w:bookmarkEnd w:id="17"/>
      <w:r w:rsidR="00646428">
        <w:t>Less Frequently</w:t>
      </w:r>
      <w:bookmarkEnd w:id="18"/>
    </w:p>
    <w:p w:rsidR="00123BBA" w:rsidP="00A52BD7" w14:paraId="3A14EFE4" w14:textId="07E1A94C">
      <w:pPr>
        <w:pStyle w:val="BodyText"/>
      </w:pPr>
      <w:r>
        <w:t>A</w:t>
      </w:r>
      <w:r w:rsidR="004E09A7">
        <w:t>nnual data collection</w:t>
      </w:r>
      <w:r>
        <w:t xml:space="preserve"> of the QHP Enrollee Survey</w:t>
      </w:r>
      <w:r w:rsidR="004E09A7">
        <w:t xml:space="preserve"> is </w:t>
      </w:r>
      <w:r w:rsidR="00AD66B3">
        <w:t xml:space="preserve">required </w:t>
      </w:r>
      <w:r w:rsidR="004E09A7">
        <w:t xml:space="preserve">to meet the objectives of providing feedback to </w:t>
      </w:r>
      <w:r w:rsidR="00E215E1">
        <w:t>Exchange</w:t>
      </w:r>
      <w:r w:rsidR="004E09A7">
        <w:t xml:space="preserve">s, issuers, and regulators </w:t>
      </w:r>
      <w:r w:rsidR="00534E3B">
        <w:t>for quality improvement</w:t>
      </w:r>
      <w:r w:rsidR="00CF5026">
        <w:t xml:space="preserve">; </w:t>
      </w:r>
      <w:r w:rsidR="004E09A7">
        <w:t xml:space="preserve">providing information </w:t>
      </w:r>
      <w:r w:rsidR="00CF5026">
        <w:t xml:space="preserve">for </w:t>
      </w:r>
      <w:r w:rsidR="006F13E5">
        <w:t>consumers’</w:t>
      </w:r>
      <w:r w:rsidR="004E09A7">
        <w:t xml:space="preserve"> choice</w:t>
      </w:r>
      <w:r w:rsidR="00CF5026">
        <w:t>; track</w:t>
      </w:r>
      <w:r w:rsidR="003F0F88">
        <w:t>ing QHP</w:t>
      </w:r>
      <w:r w:rsidR="00CF5026">
        <w:t xml:space="preserve"> performance</w:t>
      </w:r>
      <w:r w:rsidR="003603D3">
        <w:t>; and comply</w:t>
      </w:r>
      <w:r w:rsidR="003F0F88">
        <w:t>ing</w:t>
      </w:r>
      <w:r w:rsidR="003603D3">
        <w:t xml:space="preserve"> with </w:t>
      </w:r>
      <w:r w:rsidR="0021740B">
        <w:t>applicable legislation.</w:t>
      </w:r>
    </w:p>
    <w:p w:rsidR="008C2806" w:rsidRPr="008C2806" w:rsidP="003220DF" w14:paraId="5043C994" w14:textId="5D984A1E">
      <w:pPr>
        <w:pStyle w:val="Heading3"/>
      </w:pPr>
      <w:bookmarkStart w:id="19" w:name="_Toc378867712"/>
      <w:bookmarkStart w:id="20" w:name="_Toc137652169"/>
      <w:r w:rsidRPr="008C2806">
        <w:t>7.</w:t>
      </w:r>
      <w:r w:rsidRPr="008C2806">
        <w:tab/>
        <w:t>Special Circumstances</w:t>
      </w:r>
      <w:bookmarkEnd w:id="19"/>
      <w:bookmarkEnd w:id="20"/>
    </w:p>
    <w:p w:rsidR="00123BBA" w:rsidP="00A52BD7" w14:paraId="5399251B" w14:textId="772889B8">
      <w:pPr>
        <w:pStyle w:val="BodyText"/>
      </w:pPr>
      <w:r w:rsidRPr="008C2806">
        <w:t>There are no special circumstances associated with this data collection.</w:t>
      </w:r>
    </w:p>
    <w:p w:rsidR="00123BBA" w:rsidP="003220DF" w14:paraId="35315DB1" w14:textId="15F735B8">
      <w:pPr>
        <w:pStyle w:val="Heading3"/>
      </w:pPr>
      <w:bookmarkStart w:id="21" w:name="_Toc378867713"/>
      <w:bookmarkStart w:id="22" w:name="_Ref45274402"/>
      <w:bookmarkStart w:id="23" w:name="_Ref45274413"/>
      <w:bookmarkStart w:id="24" w:name="_Ref45274417"/>
      <w:bookmarkStart w:id="25" w:name="_Toc137652170"/>
      <w:r w:rsidRPr="008C2806">
        <w:t>8a.</w:t>
      </w:r>
      <w:r w:rsidRPr="008C2806">
        <w:tab/>
        <w:t>Federal Register</w:t>
      </w:r>
      <w:bookmarkEnd w:id="21"/>
      <w:bookmarkEnd w:id="22"/>
      <w:bookmarkEnd w:id="23"/>
      <w:bookmarkEnd w:id="24"/>
      <w:bookmarkEnd w:id="25"/>
    </w:p>
    <w:p w:rsidR="006747FC" w:rsidP="00A52BD7" w14:paraId="7A9D62A6" w14:textId="77777777">
      <w:pPr>
        <w:pStyle w:val="BodyText"/>
      </w:pPr>
      <w:r>
        <w:t xml:space="preserve">A 60-day notice published in the Federal Register on March 20, 2023 (88 FR 16634).  CMS </w:t>
      </w:r>
      <w:r w:rsidR="00C43E4D">
        <w:t xml:space="preserve">received </w:t>
      </w:r>
      <w:r w:rsidR="00553271">
        <w:t>four</w:t>
      </w:r>
      <w:r w:rsidR="001B6D55">
        <w:t xml:space="preserve"> </w:t>
      </w:r>
      <w:r w:rsidR="00774DBC">
        <w:t xml:space="preserve">total </w:t>
      </w:r>
      <w:r w:rsidR="001B6D55">
        <w:t>comments</w:t>
      </w:r>
      <w:r w:rsidR="00553271">
        <w:t xml:space="preserve"> (one comment</w:t>
      </w:r>
      <w:r w:rsidR="00774DBC">
        <w:t xml:space="preserve"> was duplicative)</w:t>
      </w:r>
      <w:r w:rsidRPr="5C6A7AC5" w:rsidR="057D0C88">
        <w:t>.</w:t>
      </w:r>
      <w:r>
        <w:t xml:space="preserve"> Comments have been </w:t>
      </w:r>
      <w:r>
        <w:t>address</w:t>
      </w:r>
      <w:r>
        <w:t xml:space="preserve"> in the attached response to comment document.</w:t>
      </w:r>
    </w:p>
    <w:p w:rsidR="005A6CE4" w:rsidP="00A52BD7" w14:paraId="38278425" w14:textId="71D81DDE">
      <w:pPr>
        <w:pStyle w:val="BodyText"/>
      </w:pPr>
      <w:r>
        <w:t xml:space="preserve">A 30-day notice published in the Federal Register on July 7, 2023 (88 FR 43355). </w:t>
      </w:r>
    </w:p>
    <w:p w:rsidR="008C2806" w:rsidRPr="005A1560" w:rsidP="003220DF" w14:paraId="683F04EE" w14:textId="5F4DC410">
      <w:pPr>
        <w:pStyle w:val="Heading3"/>
      </w:pPr>
      <w:bookmarkStart w:id="26" w:name="_Toc378867715"/>
      <w:bookmarkStart w:id="27" w:name="_Toc137652171"/>
      <w:r>
        <w:t>8b.</w:t>
      </w:r>
      <w:r w:rsidRPr="005A1560">
        <w:tab/>
        <w:t>Outside Consultation</w:t>
      </w:r>
      <w:bookmarkEnd w:id="26"/>
      <w:bookmarkEnd w:id="27"/>
    </w:p>
    <w:p w:rsidR="003F0F88" w:rsidP="00A52BD7" w14:paraId="53567624" w14:textId="1CBD2203">
      <w:pPr>
        <w:pStyle w:val="BodyText"/>
      </w:pPr>
      <w:r w:rsidRPr="008C2806">
        <w:t>CMS is working with a variety of outside organizations and</w:t>
      </w:r>
      <w:r w:rsidR="002E39A5">
        <w:t xml:space="preserve"> individuals to aid in the development and implementation of the QHP Enrollee Survey</w:t>
      </w:r>
      <w:r w:rsidRPr="008C2806">
        <w:t xml:space="preserve">. Chief among these organizations </w:t>
      </w:r>
      <w:r w:rsidR="00796EA0">
        <w:t>are</w:t>
      </w:r>
      <w:r w:rsidR="00F64ED8">
        <w:t xml:space="preserve"> </w:t>
      </w:r>
      <w:r w:rsidR="0098794B">
        <w:t>American Institutes for Research</w:t>
      </w:r>
      <w:r w:rsidR="00301725">
        <w:t xml:space="preserve"> (AIR)</w:t>
      </w:r>
      <w:r w:rsidR="00DC6957">
        <w:t xml:space="preserve"> and</w:t>
      </w:r>
      <w:r w:rsidR="0098794B">
        <w:t xml:space="preserve"> </w:t>
      </w:r>
      <w:r w:rsidR="00FA64DB">
        <w:t xml:space="preserve">General Dynamics Information Technology, Inc. </w:t>
      </w:r>
      <w:r w:rsidR="00FA64DB">
        <w:t>(GDIT)</w:t>
      </w:r>
      <w:r w:rsidR="009E5B8D">
        <w:t xml:space="preserve">. </w:t>
      </w:r>
      <w:r w:rsidR="00777A6C">
        <w:t xml:space="preserve"> </w:t>
      </w:r>
      <w:r w:rsidR="00301725">
        <w:t>AIR is the contractor,</w:t>
      </w:r>
      <w:r w:rsidR="00777A6C">
        <w:t xml:space="preserve"> and </w:t>
      </w:r>
      <w:r w:rsidR="00301725">
        <w:t xml:space="preserve">GDIT </w:t>
      </w:r>
      <w:r w:rsidR="00DC6957">
        <w:t>is</w:t>
      </w:r>
      <w:r w:rsidR="00C274FB">
        <w:t xml:space="preserve"> the subcontractor</w:t>
      </w:r>
      <w:r w:rsidR="00301725">
        <w:t>;</w:t>
      </w:r>
      <w:r w:rsidR="00B0704B">
        <w:t xml:space="preserve"> they</w:t>
      </w:r>
      <w:r w:rsidR="00C274FB">
        <w:t xml:space="preserve"> develop, implement</w:t>
      </w:r>
      <w:r w:rsidR="00B0704B">
        <w:t>,</w:t>
      </w:r>
      <w:r w:rsidR="00C274FB">
        <w:t xml:space="preserve"> and oversee the administration of the QHP Enrollee Survey.</w:t>
      </w:r>
    </w:p>
    <w:p w:rsidR="008C2806" w:rsidRPr="008C2806" w:rsidP="00A52BD7" w14:paraId="54AD0FE7" w14:textId="066793D2">
      <w:pPr>
        <w:pStyle w:val="BodyText"/>
      </w:pPr>
      <w:r w:rsidRPr="008C2806">
        <w:t>In</w:t>
      </w:r>
      <w:r w:rsidR="00F64ED8">
        <w:t xml:space="preserve"> a</w:t>
      </w:r>
      <w:r w:rsidRPr="008C2806">
        <w:t>ddition, a T</w:t>
      </w:r>
      <w:r w:rsidR="003F0F88">
        <w:t>EP</w:t>
      </w:r>
      <w:r w:rsidRPr="008C2806">
        <w:t xml:space="preserve"> composed of </w:t>
      </w:r>
      <w:r w:rsidR="00745427">
        <w:t xml:space="preserve">consumers, </w:t>
      </w:r>
      <w:r w:rsidRPr="008C2806">
        <w:t xml:space="preserve">consumer advocates, health plan representatives, </w:t>
      </w:r>
      <w:r w:rsidR="00E215E1">
        <w:t>Exchange</w:t>
      </w:r>
      <w:r w:rsidRPr="008C2806">
        <w:t xml:space="preserve"> administrators, survey design experts, </w:t>
      </w:r>
      <w:r w:rsidR="009C34FE">
        <w:t xml:space="preserve">and </w:t>
      </w:r>
      <w:r w:rsidRPr="008C2806">
        <w:t>s</w:t>
      </w:r>
      <w:r w:rsidR="003C7F79">
        <w:t xml:space="preserve">ubject matter experts </w:t>
      </w:r>
      <w:r w:rsidRPr="008C2806">
        <w:t>provide</w:t>
      </w:r>
      <w:r w:rsidR="008C795A">
        <w:t xml:space="preserve"> ongoing</w:t>
      </w:r>
      <w:r w:rsidRPr="008C2806">
        <w:t xml:space="preserve"> feedback </w:t>
      </w:r>
      <w:r w:rsidR="00FD09E4">
        <w:t>to CMS’ contracto</w:t>
      </w:r>
      <w:r w:rsidR="00FC6867">
        <w:t>r (</w:t>
      </w:r>
      <w:r w:rsidR="00BB6EC3">
        <w:t>AIR</w:t>
      </w:r>
      <w:r w:rsidR="00FC6867">
        <w:t>)</w:t>
      </w:r>
      <w:r w:rsidR="00FD09E4">
        <w:t xml:space="preserve"> to inform future refinements to the QHP Enrollee Survey</w:t>
      </w:r>
      <w:r w:rsidRPr="008C2806">
        <w:t>. The panel</w:t>
      </w:r>
      <w:r w:rsidR="008C795A">
        <w:t xml:space="preserve"> meets approximately </w:t>
      </w:r>
      <w:r w:rsidR="009C34FE">
        <w:t>twice</w:t>
      </w:r>
      <w:r w:rsidR="008C795A">
        <w:t xml:space="preserve"> a year to provide </w:t>
      </w:r>
      <w:r w:rsidR="00FC6867">
        <w:t>input</w:t>
      </w:r>
      <w:r w:rsidR="008B74D4">
        <w:t xml:space="preserve"> on topics such as survey development and refinement; technical and methodological issues related to development</w:t>
      </w:r>
      <w:r w:rsidR="00D3445F">
        <w:t>;</w:t>
      </w:r>
      <w:r w:rsidR="008B74D4">
        <w:t xml:space="preserve"> testing and fielding of the survey instrument; and survey findings</w:t>
      </w:r>
      <w:r w:rsidR="00204350">
        <w:t>.</w:t>
      </w:r>
    </w:p>
    <w:p w:rsidR="008C2806" w:rsidRPr="008C2806" w:rsidP="003220DF" w14:paraId="0E47EAE9" w14:textId="378A824F">
      <w:pPr>
        <w:pStyle w:val="Heading3"/>
      </w:pPr>
      <w:bookmarkStart w:id="28" w:name="_Toc378867716"/>
      <w:bookmarkStart w:id="29" w:name="_Toc137652172"/>
      <w:r w:rsidRPr="008C2806">
        <w:t>9.</w:t>
      </w:r>
      <w:r w:rsidRPr="008C2806">
        <w:tab/>
        <w:t>Payments/Gifts to Respondents</w:t>
      </w:r>
      <w:bookmarkEnd w:id="28"/>
      <w:bookmarkEnd w:id="29"/>
    </w:p>
    <w:p w:rsidR="008C2806" w:rsidRPr="008C2806" w:rsidP="00A52BD7" w14:paraId="780BA5E3" w14:textId="313F473A">
      <w:pPr>
        <w:pStyle w:val="BodyText"/>
      </w:pPr>
      <w:r w:rsidRPr="008C2806">
        <w:t xml:space="preserve">No payments or gifts will be made to any </w:t>
      </w:r>
      <w:r w:rsidR="001B1021">
        <w:t xml:space="preserve">survey </w:t>
      </w:r>
      <w:r w:rsidRPr="008C2806">
        <w:t>respondents.</w:t>
      </w:r>
      <w:r w:rsidR="00B71DA9">
        <w:t xml:space="preserve"> Consumer members of the TEP will receive a </w:t>
      </w:r>
      <w:r w:rsidR="006D69C0">
        <w:t>$75 gift card as a thank you for their participation.</w:t>
      </w:r>
    </w:p>
    <w:p w:rsidR="008C2806" w:rsidRPr="008C2806" w:rsidP="003220DF" w14:paraId="71E7ECF9" w14:textId="576E072E">
      <w:pPr>
        <w:pStyle w:val="Heading3"/>
      </w:pPr>
      <w:bookmarkStart w:id="30" w:name="_Toc378867717"/>
      <w:bookmarkStart w:id="31" w:name="_Toc137652173"/>
      <w:r w:rsidRPr="008C2806">
        <w:t>10.</w:t>
      </w:r>
      <w:r w:rsidRPr="008C2806">
        <w:tab/>
        <w:t>Confidentiality</w:t>
      </w:r>
      <w:bookmarkEnd w:id="30"/>
      <w:bookmarkEnd w:id="31"/>
    </w:p>
    <w:p w:rsidR="00E45A3A" w:rsidRPr="008C2806" w:rsidP="00A52BD7" w14:paraId="697B01DE" w14:textId="4E9E8E6B">
      <w:pPr>
        <w:pStyle w:val="BodyText"/>
      </w:pPr>
      <w:r w:rsidRPr="00C21576">
        <w:t xml:space="preserve">Individual survey respondents </w:t>
      </w:r>
      <w:r w:rsidRPr="00C21576" w:rsidR="008C2806">
        <w:t xml:space="preserve">will be told the purposes for which the information is collected and that, in accordance with </w:t>
      </w:r>
      <w:r w:rsidR="00C144C2">
        <w:t>S</w:t>
      </w:r>
      <w:r w:rsidRPr="00C21576" w:rsidR="00F27DAA">
        <w:t>ection 934(c) of the Public Health Service Act, 42 USC 299c-3(c),</w:t>
      </w:r>
      <w:r w:rsidRPr="00C21576" w:rsidR="008C2806">
        <w:t xml:space="preserve"> any identifiable information about them will not be used or disclosed for any purpose</w:t>
      </w:r>
      <w:r w:rsidRPr="00C21576">
        <w:t xml:space="preserve"> beyond conducting the survey</w:t>
      </w:r>
      <w:r w:rsidRPr="00C21576" w:rsidR="008C2806">
        <w:t xml:space="preserve">. </w:t>
      </w:r>
      <w:r w:rsidRPr="00C21576" w:rsidR="002E39A5">
        <w:t>The confidentiality of individuals</w:t>
      </w:r>
      <w:r w:rsidR="00C144C2">
        <w:t>’</w:t>
      </w:r>
      <w:r w:rsidRPr="00C21576" w:rsidR="002E39A5">
        <w:t xml:space="preserve"> replies </w:t>
      </w:r>
      <w:r w:rsidRPr="00C21576" w:rsidR="007B77C5">
        <w:t xml:space="preserve">is </w:t>
      </w:r>
      <w:r w:rsidRPr="00C21576" w:rsidR="002E39A5">
        <w:t>further assured under 5</w:t>
      </w:r>
      <w:r w:rsidR="00C144C2">
        <w:t> </w:t>
      </w:r>
      <w:r w:rsidRPr="00C21576" w:rsidR="002E39A5">
        <w:t>U.S.C.552 (Freedom of Information Act), 5 U.S.C.552a (Privacy Act of 1974), and OMB</w:t>
      </w:r>
      <w:r w:rsidR="00C144C2">
        <w:t> </w:t>
      </w:r>
      <w:r w:rsidRPr="00C21576" w:rsidR="002E39A5">
        <w:t>Circular No.</w:t>
      </w:r>
      <w:r w:rsidR="00C144C2">
        <w:t xml:space="preserve"> </w:t>
      </w:r>
      <w:r w:rsidRPr="00C21576" w:rsidR="002E39A5">
        <w:t>A-130.</w:t>
      </w:r>
      <w:r w:rsidRPr="00C21576" w:rsidR="00AC5132">
        <w:t xml:space="preserve"> </w:t>
      </w:r>
      <w:r w:rsidRPr="00472A48" w:rsidR="00472A48">
        <w:t xml:space="preserve">System of Records Notice </w:t>
      </w:r>
      <w:r w:rsidR="00472A48">
        <w:t>(</w:t>
      </w:r>
      <w:r w:rsidRPr="00C21576" w:rsidR="00943E8A">
        <w:t>SORN</w:t>
      </w:r>
      <w:r w:rsidR="00472A48">
        <w:t>)</w:t>
      </w:r>
      <w:r w:rsidRPr="00C21576" w:rsidR="00943E8A">
        <w:t xml:space="preserve">: Health Insurance Exchange Program - </w:t>
      </w:r>
      <w:r w:rsidRPr="00C21576" w:rsidR="00B012E7">
        <w:t>78 FR</w:t>
      </w:r>
      <w:r w:rsidRPr="00C21576" w:rsidR="00943E8A">
        <w:t xml:space="preserve"> 8538 Publication Date: 02/06/2013.</w:t>
      </w:r>
    </w:p>
    <w:p w:rsidR="008C2806" w:rsidRPr="008C2806" w:rsidP="003220DF" w14:paraId="2F0393C4" w14:textId="6AF2DF77">
      <w:pPr>
        <w:pStyle w:val="Heading3"/>
      </w:pPr>
      <w:bookmarkStart w:id="32" w:name="_Toc378867718"/>
      <w:bookmarkStart w:id="33" w:name="_Toc137652174"/>
      <w:r w:rsidRPr="008C2806">
        <w:t>11.</w:t>
      </w:r>
      <w:r w:rsidRPr="008C2806">
        <w:tab/>
        <w:t>Sensitive Questions</w:t>
      </w:r>
      <w:bookmarkEnd w:id="32"/>
      <w:bookmarkEnd w:id="33"/>
    </w:p>
    <w:p w:rsidR="008C2806" w:rsidP="00A52BD7" w14:paraId="3748922E" w14:textId="507A7453">
      <w:pPr>
        <w:pStyle w:val="BodyText"/>
      </w:pPr>
      <w:r>
        <w:t>The</w:t>
      </w:r>
      <w:r w:rsidR="00285A6E">
        <w:t xml:space="preserve"> QHP Enrollee Survey </w:t>
      </w:r>
      <w:r w:rsidR="00D51312">
        <w:t>collects</w:t>
      </w:r>
      <w:r w:rsidR="00786C05">
        <w:t xml:space="preserve"> race and ethnicity</w:t>
      </w:r>
      <w:r w:rsidR="00D51312">
        <w:t xml:space="preserve"> data to </w:t>
      </w:r>
      <w:r w:rsidR="00074A46">
        <w:t>identify health disparities.</w:t>
      </w:r>
      <w:r w:rsidR="00786C05">
        <w:t xml:space="preserve"> Per OMB standards, race and ethnicity </w:t>
      </w:r>
      <w:r w:rsidR="00EB59D5">
        <w:t xml:space="preserve">information </w:t>
      </w:r>
      <w:r w:rsidR="00472A48">
        <w:t>is</w:t>
      </w:r>
      <w:r w:rsidR="00EB59D5">
        <w:t xml:space="preserve"> collected separately</w:t>
      </w:r>
      <w:r w:rsidR="008D0262">
        <w:t xml:space="preserve"> and </w:t>
      </w:r>
      <w:r w:rsidRPr="40CEE6A8" w:rsidR="00CD1B05">
        <w:t>meet</w:t>
      </w:r>
      <w:r w:rsidRPr="40CEE6A8" w:rsidR="4CA00A73">
        <w:t>s</w:t>
      </w:r>
      <w:r w:rsidR="00CD1B05">
        <w:t xml:space="preserve"> </w:t>
      </w:r>
      <w:r w:rsidR="0025550C">
        <w:t>the minimum</w:t>
      </w:r>
      <w:r w:rsidR="00CA6330">
        <w:t xml:space="preserve"> set of response categories.</w:t>
      </w:r>
      <w:r w:rsidR="00BB4886">
        <w:t xml:space="preserve"> </w:t>
      </w:r>
      <w:r w:rsidR="00B90E0A">
        <w:t>B</w:t>
      </w:r>
      <w:r w:rsidR="00227D6B">
        <w:t>eginning with the 202</w:t>
      </w:r>
      <w:r w:rsidR="002C42AD">
        <w:t>4</w:t>
      </w:r>
      <w:r w:rsidR="00227D6B">
        <w:t xml:space="preserve"> </w:t>
      </w:r>
      <w:r w:rsidR="005E11DF">
        <w:t>survey administration</w:t>
      </w:r>
      <w:r w:rsidR="00E059D6">
        <w:t>, the</w:t>
      </w:r>
      <w:r w:rsidR="006A6080">
        <w:t xml:space="preserve"> race and ethnicity questions align with the 2011 HHS Data C</w:t>
      </w:r>
      <w:r w:rsidR="00A547F9">
        <w:t xml:space="preserve">ollection Standard. </w:t>
      </w:r>
      <w:r w:rsidRPr="40CEE6A8" w:rsidR="766D5685">
        <w:t xml:space="preserve">For example, the race question will include </w:t>
      </w:r>
      <w:r w:rsidRPr="40CEE6A8" w:rsidR="4987266C">
        <w:t xml:space="preserve">more specific subcategories of </w:t>
      </w:r>
      <w:r w:rsidRPr="40CEE6A8" w:rsidR="766D5685">
        <w:t>Asian</w:t>
      </w:r>
      <w:r w:rsidRPr="40CEE6A8" w:rsidR="24A2912B">
        <w:t xml:space="preserve"> (Asian Indian, Chinese, Filipino, Japanese, Korean, Vietnamese, Other Asian)</w:t>
      </w:r>
      <w:r w:rsidRPr="40CEE6A8" w:rsidR="766D5685">
        <w:t xml:space="preserve"> and Native Hawaiian or Pacific Islander</w:t>
      </w:r>
      <w:r w:rsidRPr="40CEE6A8" w:rsidR="7A88D3F6">
        <w:t xml:space="preserve"> (Native Hawaiian, Guamanian or Chamorro, Samoan, Other Pacific Islander). </w:t>
      </w:r>
      <w:r w:rsidRPr="40CEE6A8" w:rsidR="4A5D8762">
        <w:t>Additionally, the previous ethnicity questions were combined into one question which allows the respondent to select more than one answer choice.</w:t>
      </w:r>
    </w:p>
    <w:p w:rsidR="003F4144" w:rsidRPr="00182021" w:rsidP="003220DF" w14:paraId="761CCF97" w14:textId="33C0CFBC">
      <w:pPr>
        <w:pStyle w:val="Heading3"/>
      </w:pPr>
      <w:bookmarkStart w:id="34" w:name="_Ref43996732"/>
      <w:bookmarkStart w:id="35" w:name="_Toc378867719"/>
      <w:bookmarkStart w:id="36" w:name="_Toc137652175"/>
      <w:r w:rsidRPr="002A5CAE">
        <w:t>12.</w:t>
      </w:r>
      <w:r w:rsidRPr="002A5CAE">
        <w:tab/>
        <w:t>Burden Estimates (Hours &amp; Wages</w:t>
      </w:r>
      <w:r w:rsidRPr="00182021">
        <w:t>)</w:t>
      </w:r>
      <w:bookmarkEnd w:id="34"/>
      <w:bookmarkEnd w:id="35"/>
      <w:bookmarkEnd w:id="36"/>
    </w:p>
    <w:p w:rsidR="00E153B2" w:rsidRPr="00742D1C" w:rsidP="00A52BD7" w14:paraId="4A54CEBD" w14:textId="0F4E1EC6">
      <w:pPr>
        <w:pStyle w:val="BodyText"/>
      </w:pPr>
      <w:r w:rsidRPr="56692682">
        <w:t xml:space="preserve">Estimated burden hours for the </w:t>
      </w:r>
      <w:r w:rsidRPr="56692682" w:rsidR="009F316A">
        <w:t xml:space="preserve">implementation and administration of the </w:t>
      </w:r>
      <w:r w:rsidRPr="56692682">
        <w:t>QHP Enrollee Survey in 20</w:t>
      </w:r>
      <w:r w:rsidRPr="56692682" w:rsidR="009C34FE">
        <w:t>2</w:t>
      </w:r>
      <w:r w:rsidRPr="56692682" w:rsidR="004E076D">
        <w:t>4</w:t>
      </w:r>
      <w:r w:rsidRPr="56692682" w:rsidR="00BD12CE">
        <w:t xml:space="preserve"> </w:t>
      </w:r>
      <w:r w:rsidRPr="56692682">
        <w:t xml:space="preserve">are presented in </w:t>
      </w:r>
      <w:r w:rsidRPr="00BF3DC5" w:rsidR="00BF3DC5">
        <w:rPr>
          <w:rStyle w:val="Hyperlink"/>
        </w:rPr>
        <w:fldChar w:fldCharType="begin"/>
      </w:r>
      <w:r w:rsidRPr="00BF3DC5" w:rsidR="00BF3DC5">
        <w:rPr>
          <w:rStyle w:val="Hyperlink"/>
        </w:rPr>
        <w:instrText xml:space="preserve"> REF  _Ref31628173 \h </w:instrText>
      </w:r>
      <w:r w:rsidRPr="00BF3DC5" w:rsidR="00BF3DC5">
        <w:rPr>
          <w:rStyle w:val="Hyperlink"/>
        </w:rPr>
        <w:fldChar w:fldCharType="separate"/>
      </w:r>
      <w:r w:rsidRPr="003D2537" w:rsidR="00FF2E6A">
        <w:t>Exhibit A</w:t>
      </w:r>
      <w:r w:rsidR="00FF2E6A">
        <w:rPr>
          <w:noProof/>
        </w:rPr>
        <w:t>1</w:t>
      </w:r>
      <w:r w:rsidRPr="00BF3DC5" w:rsidR="00BF3DC5">
        <w:rPr>
          <w:rStyle w:val="Hyperlink"/>
        </w:rPr>
        <w:fldChar w:fldCharType="end"/>
      </w:r>
      <w:r w:rsidRPr="56692682" w:rsidR="00547BDE">
        <w:t>.</w:t>
      </w:r>
      <w:r w:rsidRPr="56692682" w:rsidR="00A96339">
        <w:t xml:space="preserve"> </w:t>
      </w:r>
      <w:r w:rsidRPr="56692682" w:rsidR="00547BDE">
        <w:t>CMS has reduced the</w:t>
      </w:r>
      <w:r w:rsidRPr="56692682" w:rsidR="00A96339">
        <w:t xml:space="preserve"> estimated</w:t>
      </w:r>
      <w:r w:rsidRPr="56692682" w:rsidR="00547BDE">
        <w:t xml:space="preserve"> total burden hours from </w:t>
      </w:r>
      <w:r w:rsidRPr="00ED6C78" w:rsidR="6CCE0E60">
        <w:t>49,550.10</w:t>
      </w:r>
      <w:r w:rsidRPr="00ED6C78" w:rsidR="00547BDE">
        <w:t xml:space="preserve"> to </w:t>
      </w:r>
      <w:r w:rsidRPr="000448DB" w:rsidR="00ED6C78">
        <w:t>48,872.55</w:t>
      </w:r>
      <w:r w:rsidRPr="56692682" w:rsidR="00A96339">
        <w:t xml:space="preserve"> and </w:t>
      </w:r>
      <w:r w:rsidR="00ED6C78">
        <w:t xml:space="preserve">increased </w:t>
      </w:r>
      <w:r w:rsidRPr="56692682" w:rsidR="00A96339">
        <w:t>the estimated</w:t>
      </w:r>
      <w:r w:rsidRPr="56692682" w:rsidR="00EE2CDF">
        <w:t xml:space="preserve"> </w:t>
      </w:r>
      <w:r w:rsidRPr="56692682" w:rsidR="00A96339">
        <w:t xml:space="preserve">total cost burden from </w:t>
      </w:r>
      <w:r w:rsidRPr="00564F13" w:rsidR="00A96339">
        <w:t>$</w:t>
      </w:r>
      <w:r w:rsidRPr="00564F13" w:rsidR="7330E8E1">
        <w:t>1,403,554.41</w:t>
      </w:r>
      <w:r w:rsidRPr="00564F13" w:rsidR="00A96339">
        <w:t xml:space="preserve"> to </w:t>
      </w:r>
      <w:r w:rsidRPr="00564F13" w:rsidR="00A96339">
        <w:rPr>
          <w:rFonts w:cs="Times New Roman"/>
          <w:color w:val="000000"/>
        </w:rPr>
        <w:t>$</w:t>
      </w:r>
      <w:r w:rsidRPr="000448DB" w:rsidR="00564F13">
        <w:rPr>
          <w:rFonts w:cs="Times New Roman"/>
          <w:color w:val="000000"/>
        </w:rPr>
        <w:t>1,604,164.43</w:t>
      </w:r>
      <w:r w:rsidRPr="56692682" w:rsidR="00C07045">
        <w:rPr>
          <w:rFonts w:cs="Times New Roman"/>
          <w:color w:val="000000" w:themeColor="text1"/>
        </w:rPr>
        <w:t xml:space="preserve"> </w:t>
      </w:r>
      <w:r w:rsidRPr="56692682" w:rsidR="00A96339">
        <w:t xml:space="preserve">since the previous </w:t>
      </w:r>
      <w:r w:rsidRPr="56692682" w:rsidR="007E3C6A">
        <w:t xml:space="preserve">information collection request submitted in </w:t>
      </w:r>
      <w:r w:rsidR="000A4A0A">
        <w:t>202</w:t>
      </w:r>
      <w:r w:rsidR="0000565E">
        <w:t>1</w:t>
      </w:r>
      <w:r w:rsidRPr="56692682" w:rsidR="007E3C6A">
        <w:t xml:space="preserve">. See Section </w:t>
      </w:r>
      <w:r w:rsidRPr="00BF3DC5" w:rsidR="00BF3DC5">
        <w:rPr>
          <w:color w:val="0000FF"/>
          <w:u w:val="single"/>
        </w:rPr>
        <w:fldChar w:fldCharType="begin"/>
      </w:r>
      <w:r w:rsidRPr="00BF3DC5" w:rsidR="00BF3DC5">
        <w:rPr>
          <w:color w:val="0000FF"/>
          <w:u w:val="single"/>
        </w:rPr>
        <w:instrText xml:space="preserve"> REF  _Ref32435802 \h </w:instrText>
      </w:r>
      <w:r w:rsidRPr="00BF3DC5" w:rsidR="00BF3DC5">
        <w:rPr>
          <w:color w:val="0000FF"/>
          <w:u w:val="single"/>
        </w:rPr>
        <w:fldChar w:fldCharType="separate"/>
      </w:r>
      <w:r w:rsidRPr="008C2806" w:rsidR="00FF2E6A">
        <w:t>15.</w:t>
      </w:r>
      <w:r w:rsidRPr="008C2806" w:rsidR="00FF2E6A">
        <w:tab/>
      </w:r>
      <w:r w:rsidRPr="000157D8" w:rsidR="00FF2E6A">
        <w:t>Changes to Burden</w:t>
      </w:r>
      <w:r w:rsidRPr="00BF3DC5" w:rsidR="00BF3DC5">
        <w:rPr>
          <w:color w:val="0000FF"/>
          <w:u w:val="single"/>
        </w:rPr>
        <w:fldChar w:fldCharType="end"/>
      </w:r>
      <w:r w:rsidRPr="56692682" w:rsidR="007E3C6A">
        <w:t xml:space="preserve"> for a detailed description of these changes. The estimated burden hours and cost burden </w:t>
      </w:r>
      <w:r w:rsidRPr="56692682">
        <w:t>are based on the following assumptions and definitions</w:t>
      </w:r>
      <w:r w:rsidRPr="56692682" w:rsidR="006D4A74">
        <w:t>:</w:t>
      </w:r>
    </w:p>
    <w:p w:rsidR="00EE2CDF" w:rsidRPr="00742D1C" w:rsidP="00A52BD7" w14:paraId="250AD02A" w14:textId="1A3BE836">
      <w:pPr>
        <w:pStyle w:val="BodyText"/>
      </w:pPr>
      <w:r w:rsidRPr="00742D1C">
        <w:rPr>
          <w:rFonts w:eastAsiaTheme="minorEastAsia"/>
          <w:b/>
        </w:rPr>
        <w:t>Units</w:t>
      </w:r>
      <w:r w:rsidRPr="00742D1C" w:rsidR="002B439F">
        <w:rPr>
          <w:rFonts w:eastAsiaTheme="minorEastAsia"/>
          <w:b/>
        </w:rPr>
        <w:t xml:space="preserve">. </w:t>
      </w:r>
      <w:r w:rsidRPr="00742D1C" w:rsidR="00921122">
        <w:t xml:space="preserve">CMS has established the reporting unit as the product type (i.e., Exclusive Provider Organization [EPO], Health Maintenance Organization [HMO], Preferred Provider Organization [PPO], Point of Service [POS]) offered by a QHP issuer through </w:t>
      </w:r>
      <w:r w:rsidRPr="00742D1C">
        <w:t>an</w:t>
      </w:r>
      <w:r w:rsidRPr="00742D1C" w:rsidR="00921122">
        <w:t xml:space="preserve"> Exchange in a particular </w:t>
      </w:r>
      <w:r w:rsidRPr="00742D1C" w:rsidR="00921122">
        <w:t>state. For example, XYZ issuer’s HMOs offered through the Exchange in Florida would be considered a single reporting unit.</w:t>
      </w:r>
    </w:p>
    <w:p w:rsidR="00921122" w:rsidRPr="00742D1C" w:rsidP="00C26913" w14:paraId="14762AE1" w14:textId="265F907C">
      <w:pPr>
        <w:pStyle w:val="BodyText"/>
      </w:pPr>
      <w:r w:rsidRPr="00742D1C">
        <w:t xml:space="preserve">Depending on the way a QHP issuer packages its plan offerings, the reporting unit might include anywhere from a single QHP to many QHPs spanning all categories of coverage (i.e., bronze, silver, gold, platinum, catastrophic). QHP issuers will create a sample frame for </w:t>
      </w:r>
      <w:r w:rsidRPr="00742D1C">
        <w:rPr>
          <w:i/>
        </w:rPr>
        <w:t>each</w:t>
      </w:r>
      <w:r w:rsidRPr="00742D1C">
        <w:t xml:space="preserve"> </w:t>
      </w:r>
      <w:r w:rsidRPr="00742D1C">
        <w:rPr>
          <w:i/>
        </w:rPr>
        <w:t>product</w:t>
      </w:r>
      <w:r w:rsidRPr="00742D1C">
        <w:t xml:space="preserve"> </w:t>
      </w:r>
      <w:r w:rsidRPr="00742D1C">
        <w:rPr>
          <w:i/>
        </w:rPr>
        <w:t>type</w:t>
      </w:r>
      <w:r w:rsidRPr="00742D1C">
        <w:t xml:space="preserve"> they offer through the Exchange within a particular state or reporting unit. Child-only QHPs </w:t>
      </w:r>
      <w:r w:rsidRPr="00742D1C" w:rsidR="00BE5D0B">
        <w:t>and</w:t>
      </w:r>
      <w:r w:rsidRPr="00742D1C">
        <w:t xml:space="preserve"> </w:t>
      </w:r>
      <w:r w:rsidRPr="00742D1C" w:rsidR="00C14C2A">
        <w:t xml:space="preserve">standalone dental plans </w:t>
      </w:r>
      <w:r w:rsidRPr="00742D1C">
        <w:t>(SADPs) are excluded from the QHP Enrollee Survey</w:t>
      </w:r>
      <w:r w:rsidRPr="00742D1C" w:rsidR="009F316A">
        <w:t xml:space="preserve"> requirements</w:t>
      </w:r>
      <w:r w:rsidRPr="00742D1C">
        <w:t>.</w:t>
      </w:r>
    </w:p>
    <w:p w:rsidR="00943E8A" w:rsidRPr="00742D1C" w:rsidP="00C26913" w14:paraId="3FA7C16A" w14:textId="1ECE80A5">
      <w:pPr>
        <w:pStyle w:val="BodyText"/>
      </w:pPr>
      <w:r w:rsidRPr="33799B9E">
        <w:t>For the 20</w:t>
      </w:r>
      <w:r w:rsidRPr="33799B9E" w:rsidR="009C34FE">
        <w:t>2</w:t>
      </w:r>
      <w:r w:rsidR="00164B3C">
        <w:t>4</w:t>
      </w:r>
      <w:r w:rsidRPr="33799B9E">
        <w:t xml:space="preserve"> survey, CMS estimates that no more than </w:t>
      </w:r>
      <w:r w:rsidR="00E90C50">
        <w:t>325</w:t>
      </w:r>
      <w:r w:rsidRPr="00742D1C" w:rsidR="00B012E7">
        <w:t xml:space="preserve"> </w:t>
      </w:r>
      <w:r w:rsidRPr="33799B9E">
        <w:t xml:space="preserve">reporting units will be required to </w:t>
      </w:r>
      <w:r w:rsidRPr="33799B9E" w:rsidR="002A7CB7">
        <w:t>administer</w:t>
      </w:r>
      <w:r w:rsidRPr="33799B9E">
        <w:t xml:space="preserve"> the QHP Enrollee Survey. </w:t>
      </w:r>
      <w:r w:rsidR="002C1CE4">
        <w:t xml:space="preserve">This estimate is primarily based on trends in the number of reporting units required to collect and report survey data along with review of several data sources used to update the </w:t>
      </w:r>
      <w:r w:rsidR="00FC7FFD">
        <w:t>list of</w:t>
      </w:r>
      <w:r w:rsidR="00476DC0">
        <w:t xml:space="preserve"> eligible reporting units maintained by CMS</w:t>
      </w:r>
      <w:r w:rsidR="002C1CE4">
        <w:t xml:space="preserve">. In 2021, 265 reporting units submitted survey data, in 2022 it was 297, and CMS anticipates that approximately </w:t>
      </w:r>
      <w:r w:rsidR="006A6A21">
        <w:t xml:space="preserve">325 </w:t>
      </w:r>
      <w:r w:rsidR="002C1CE4">
        <w:t>reporting units will participate in the 2023 survey data collection.</w:t>
      </w:r>
      <w:r w:rsidR="003B723B">
        <w:t xml:space="preserve"> </w:t>
      </w:r>
      <w:r w:rsidR="002C1CE4">
        <w:t xml:space="preserve">Updates to the </w:t>
      </w:r>
      <w:r w:rsidR="00476DC0">
        <w:t>reporting unit</w:t>
      </w:r>
      <w:r w:rsidR="002C1CE4">
        <w:t xml:space="preserve"> list are based on a combination of reports provided to CMS by issuers, CMS review of enrollment data maintained by CCIIO, and other sources.</w:t>
      </w:r>
    </w:p>
    <w:p w:rsidR="003F4144" w:rsidRPr="00742D1C" w:rsidP="00C26913" w14:paraId="21B3D980" w14:textId="0748265A">
      <w:pPr>
        <w:pStyle w:val="BodyText"/>
      </w:pPr>
      <w:r w:rsidRPr="00742D1C">
        <w:rPr>
          <w:b/>
        </w:rPr>
        <w:t>Respondents per unit.</w:t>
      </w:r>
      <w:r w:rsidRPr="00742D1C">
        <w:t xml:space="preserve"> </w:t>
      </w:r>
      <w:r w:rsidRPr="00742D1C" w:rsidR="00E02BE9">
        <w:t xml:space="preserve">For the 2024 </w:t>
      </w:r>
      <w:r w:rsidRPr="00742D1C" w:rsidR="00913925">
        <w:t>administration</w:t>
      </w:r>
      <w:r w:rsidRPr="00742D1C" w:rsidR="00E02BE9">
        <w:t>, CMS continues to propose a sample size of 1,300 enrollees per reporting un</w:t>
      </w:r>
      <w:r w:rsidRPr="00742D1C" w:rsidR="00913925">
        <w:t>it</w:t>
      </w:r>
      <w:r w:rsidRPr="00742D1C" w:rsidR="00E02BE9">
        <w:t xml:space="preserve">. </w:t>
      </w:r>
      <w:r w:rsidRPr="00742D1C" w:rsidR="009369A2">
        <w:t xml:space="preserve">CMS expects </w:t>
      </w:r>
      <w:r w:rsidRPr="00742D1C" w:rsidR="00AC4A34">
        <w:t xml:space="preserve">to collect </w:t>
      </w:r>
      <w:r w:rsidR="00FF7B10">
        <w:t xml:space="preserve">300 </w:t>
      </w:r>
      <w:r w:rsidRPr="00742D1C" w:rsidR="00AC4A34">
        <w:t xml:space="preserve">responses per reporting </w:t>
      </w:r>
      <w:r w:rsidRPr="00742D1C" w:rsidR="00913925">
        <w:t>unit, based</w:t>
      </w:r>
      <w:r w:rsidRPr="00742D1C" w:rsidR="00545DAF">
        <w:t xml:space="preserve"> on the </w:t>
      </w:r>
      <w:r w:rsidRPr="00742D1C" w:rsidR="00DA3FFC">
        <w:t xml:space="preserve">average number of responses received by reporting units </w:t>
      </w:r>
      <w:r w:rsidRPr="00742D1C" w:rsidR="007C31B9">
        <w:t>that had sufficient enrollment to produce the full sample of 1,300</w:t>
      </w:r>
      <w:r w:rsidR="007C31B9">
        <w:t xml:space="preserve"> </w:t>
      </w:r>
      <w:r w:rsidRPr="00742D1C" w:rsidR="007C31B9">
        <w:t>enrollees</w:t>
      </w:r>
      <w:r w:rsidRPr="00742D1C" w:rsidR="00913925">
        <w:t xml:space="preserve"> in 2022</w:t>
      </w:r>
      <w:r w:rsidRPr="00742D1C" w:rsidR="00B52DD2">
        <w:t>.</w:t>
      </w:r>
    </w:p>
    <w:p w:rsidR="003F4144" w:rsidRPr="00742D1C" w:rsidP="00C26913" w14:paraId="0BABBCC0" w14:textId="75F41027">
      <w:pPr>
        <w:pStyle w:val="BodyText"/>
      </w:pPr>
      <w:r w:rsidRPr="00742D1C">
        <w:rPr>
          <w:b/>
        </w:rPr>
        <w:t>Total respondents.</w:t>
      </w:r>
      <w:r w:rsidRPr="00742D1C">
        <w:t xml:space="preserve"> </w:t>
      </w:r>
      <w:r w:rsidRPr="00742D1C" w:rsidR="009369A2">
        <w:t xml:space="preserve">CMS calculated the total number of respondents by multiplying the </w:t>
      </w:r>
      <w:r w:rsidRPr="00742D1C" w:rsidR="00E13622">
        <w:t xml:space="preserve">planned </w:t>
      </w:r>
      <w:r w:rsidRPr="00742D1C" w:rsidR="009369A2">
        <w:t xml:space="preserve">number of completed surveys </w:t>
      </w:r>
      <w:r w:rsidRPr="00742D1C" w:rsidR="00B93B34">
        <w:t>(</w:t>
      </w:r>
      <w:r w:rsidR="00FF7B10">
        <w:t>300</w:t>
      </w:r>
      <w:r w:rsidRPr="00742D1C" w:rsidR="00B93B34">
        <w:t xml:space="preserve">) </w:t>
      </w:r>
      <w:r w:rsidRPr="00742D1C" w:rsidR="00E13622">
        <w:t>for each reporting unit by the planned number of reporting units.</w:t>
      </w:r>
    </w:p>
    <w:p w:rsidR="009E2234" w:rsidRPr="00742D1C" w:rsidP="00C26913" w14:paraId="5674BC88" w14:textId="2F1C909F">
      <w:pPr>
        <w:pStyle w:val="BodyText"/>
      </w:pPr>
      <w:r w:rsidRPr="00742D1C">
        <w:rPr>
          <w:b/>
        </w:rPr>
        <w:t>Hours per response.</w:t>
      </w:r>
      <w:r w:rsidRPr="00742D1C">
        <w:t xml:space="preserve"> </w:t>
      </w:r>
      <w:r w:rsidRPr="00742D1C">
        <w:t>Based on testing of the QHP Enrollee Survey</w:t>
      </w:r>
      <w:r w:rsidRPr="00742D1C" w:rsidR="006F077F">
        <w:t>,</w:t>
      </w:r>
      <w:r w:rsidRPr="00742D1C">
        <w:t xml:space="preserve"> </w:t>
      </w:r>
      <w:r w:rsidRPr="00742D1C" w:rsidR="006F077F">
        <w:t>the survey</w:t>
      </w:r>
      <w:r w:rsidRPr="00742D1C">
        <w:t xml:space="preserve"> takes </w:t>
      </w:r>
      <w:r w:rsidRPr="00742D1C" w:rsidR="00B94FD4">
        <w:t>on average 1</w:t>
      </w:r>
      <w:r w:rsidRPr="00742D1C" w:rsidR="001F78CA">
        <w:t>0</w:t>
      </w:r>
      <w:r w:rsidRPr="00742D1C" w:rsidR="00283333">
        <w:t xml:space="preserve"> </w:t>
      </w:r>
      <w:r w:rsidRPr="00742D1C">
        <w:t xml:space="preserve">minutes </w:t>
      </w:r>
      <w:r w:rsidRPr="00742D1C" w:rsidR="006F077F">
        <w:t xml:space="preserve">for respondents </w:t>
      </w:r>
      <w:r w:rsidRPr="00742D1C">
        <w:t>to complete.</w:t>
      </w:r>
    </w:p>
    <w:p w:rsidR="00EE2CDF" w:rsidRPr="00742D1C" w:rsidP="00C26913" w14:paraId="5771A2BE" w14:textId="3CB405E6">
      <w:pPr>
        <w:pStyle w:val="BodyText"/>
      </w:pPr>
      <w:r w:rsidRPr="2F0AE81E">
        <w:rPr>
          <w:b/>
          <w:bCs/>
        </w:rPr>
        <w:t>Survey vendors.</w:t>
      </w:r>
      <w:r w:rsidRPr="2F0AE81E">
        <w:t xml:space="preserve"> Survey vendors </w:t>
      </w:r>
      <w:r w:rsidRPr="2F0AE81E" w:rsidR="006F077F">
        <w:t>that</w:t>
      </w:r>
      <w:r w:rsidRPr="2F0AE81E">
        <w:t xml:space="preserve"> want to participate in collecting QHP Enrollee Survey data must complete a </w:t>
      </w:r>
      <w:r w:rsidRPr="2F0AE81E" w:rsidR="00DB385D">
        <w:t xml:space="preserve">Survey Vendor </w:t>
      </w:r>
      <w:r w:rsidRPr="2F0AE81E">
        <w:t>Participation Form</w:t>
      </w:r>
      <w:r w:rsidRPr="2F0AE81E" w:rsidR="001B5865">
        <w:t xml:space="preserve">. </w:t>
      </w:r>
      <w:r w:rsidRPr="2F0AE81E" w:rsidR="00A0743A">
        <w:t xml:space="preserve">CMS anticipates that approximately </w:t>
      </w:r>
      <w:r w:rsidRPr="2F0AE81E" w:rsidR="004111F0">
        <w:t>5</w:t>
      </w:r>
      <w:r w:rsidRPr="2F0AE81E" w:rsidR="00A0743A">
        <w:t xml:space="preserve"> survey vendors will apply to field the QHP Enrollee Survey</w:t>
      </w:r>
      <w:r w:rsidRPr="2F0AE81E" w:rsidR="00AC4A34">
        <w:t xml:space="preserve"> annually</w:t>
      </w:r>
      <w:r w:rsidRPr="2F0AE81E" w:rsidR="00A27CF2">
        <w:t xml:space="preserve"> and that it </w:t>
      </w:r>
      <w:r w:rsidRPr="2F0AE81E" w:rsidR="4D349C6E">
        <w:t xml:space="preserve">will </w:t>
      </w:r>
      <w:r w:rsidRPr="2F0AE81E" w:rsidR="00A27CF2">
        <w:t xml:space="preserve">take 100 minutes to complete the </w:t>
      </w:r>
      <w:r w:rsidRPr="2F0AE81E" w:rsidR="00AC4A34">
        <w:t>Survey Vendor Participation Form</w:t>
      </w:r>
      <w:r w:rsidRPr="2F0AE81E" w:rsidR="002B439F">
        <w:t>.</w:t>
      </w:r>
      <w:r w:rsidRPr="2F0AE81E" w:rsidR="00D1013F">
        <w:t xml:space="preserve"> CMS </w:t>
      </w:r>
      <w:r w:rsidRPr="2F0AE81E" w:rsidR="008F3713">
        <w:t>estimate</w:t>
      </w:r>
      <w:r w:rsidRPr="2F0AE81E" w:rsidR="00410CBB">
        <w:t>s</w:t>
      </w:r>
      <w:r w:rsidRPr="2F0AE81E" w:rsidR="008F3713">
        <w:t xml:space="preserve"> </w:t>
      </w:r>
      <w:r w:rsidRPr="2F0AE81E" w:rsidR="00410CBB">
        <w:t xml:space="preserve">the </w:t>
      </w:r>
      <w:r w:rsidRPr="2F0AE81E" w:rsidR="008F3713">
        <w:t xml:space="preserve">number of </w:t>
      </w:r>
      <w:r w:rsidRPr="2F0AE81E" w:rsidR="0022581C">
        <w:t xml:space="preserve">eligible CAHPS </w:t>
      </w:r>
      <w:r w:rsidRPr="2F0AE81E" w:rsidR="008F3713">
        <w:t xml:space="preserve">survey vendors </w:t>
      </w:r>
      <w:r w:rsidRPr="2F0AE81E" w:rsidR="00410CBB">
        <w:t>at 11</w:t>
      </w:r>
      <w:r w:rsidRPr="2F0AE81E" w:rsidR="008F3713">
        <w:t xml:space="preserve"> b</w:t>
      </w:r>
      <w:r w:rsidRPr="2F0AE81E" w:rsidR="00CC6558">
        <w:t xml:space="preserve">ased on </w:t>
      </w:r>
      <w:r w:rsidRPr="2F0AE81E" w:rsidR="003B718C">
        <w:t xml:space="preserve">the consolidation of several vendors </w:t>
      </w:r>
      <w:r w:rsidRPr="2F0AE81E" w:rsidR="006D4A74">
        <w:t xml:space="preserve">in this market area </w:t>
      </w:r>
      <w:r w:rsidRPr="2F0AE81E" w:rsidR="003B718C">
        <w:t xml:space="preserve">and </w:t>
      </w:r>
      <w:r w:rsidRPr="2F0AE81E" w:rsidR="000B6AE4">
        <w:t>the actual number of survey vendors that applied</w:t>
      </w:r>
      <w:r w:rsidRPr="2F0AE81E" w:rsidR="0045145B">
        <w:t xml:space="preserve"> for HHS-approval</w:t>
      </w:r>
      <w:r w:rsidRPr="2F0AE81E" w:rsidR="006D4A74">
        <w:t>.</w:t>
      </w:r>
      <w:r w:rsidRPr="2F0AE81E" w:rsidR="000B6AE4">
        <w:t xml:space="preserve"> </w:t>
      </w:r>
      <w:r w:rsidRPr="2F0AE81E" w:rsidR="00EC7D2D">
        <w:t>For the</w:t>
      </w:r>
      <w:r w:rsidRPr="2F0AE81E" w:rsidR="000B6AE4">
        <w:t xml:space="preserve"> 202</w:t>
      </w:r>
      <w:r w:rsidR="00C93183">
        <w:t>3</w:t>
      </w:r>
      <w:r w:rsidRPr="2F0AE81E" w:rsidR="00EC7D2D">
        <w:t xml:space="preserve"> survey administration</w:t>
      </w:r>
      <w:r w:rsidRPr="2F0AE81E" w:rsidR="006D4A74">
        <w:t>,</w:t>
      </w:r>
      <w:r w:rsidRPr="2F0AE81E" w:rsidR="000B6AE4">
        <w:t xml:space="preserve"> there </w:t>
      </w:r>
      <w:r w:rsidRPr="2F0AE81E" w:rsidR="0045145B">
        <w:t xml:space="preserve">were </w:t>
      </w:r>
      <w:r w:rsidRPr="2F0AE81E" w:rsidR="0022581C">
        <w:t>three</w:t>
      </w:r>
      <w:r w:rsidRPr="2F0AE81E" w:rsidR="000B6AE4">
        <w:t xml:space="preserve"> survey vendor applicants.</w:t>
      </w:r>
    </w:p>
    <w:p w:rsidR="003F4144" w:rsidP="0021489C" w14:paraId="3D7D3E19" w14:textId="17482423">
      <w:pPr>
        <w:pStyle w:val="Caption"/>
        <w:rPr>
          <w:rFonts w:eastAsiaTheme="minorEastAsia"/>
        </w:rPr>
      </w:pPr>
      <w:bookmarkStart w:id="37" w:name="_Ref31628173"/>
      <w:r w:rsidRPr="003D2537">
        <w:t>Exhibit A</w:t>
      </w:r>
      <w:r w:rsidRPr="003D2537">
        <w:fldChar w:fldCharType="begin"/>
      </w:r>
      <w:r w:rsidRPr="0054509A">
        <w:instrText xml:space="preserve"> SEQ Exhibit_A \* ARABIC </w:instrText>
      </w:r>
      <w:r w:rsidRPr="003D2537">
        <w:fldChar w:fldCharType="separate"/>
      </w:r>
      <w:r w:rsidR="00FF2E6A">
        <w:rPr>
          <w:noProof/>
        </w:rPr>
        <w:t>1</w:t>
      </w:r>
      <w:r w:rsidRPr="003D2537">
        <w:fldChar w:fldCharType="end"/>
      </w:r>
      <w:bookmarkEnd w:id="37"/>
      <w:r w:rsidRPr="003D2537">
        <w:t>. Estimated Burden Hours for 202</w:t>
      </w:r>
      <w:r w:rsidR="000B5ECA">
        <w:t>4</w:t>
      </w:r>
      <w:r w:rsidRPr="003D2537">
        <w:t>-202</w:t>
      </w:r>
      <w:r w:rsidR="000B5ECA">
        <w:t>6</w:t>
      </w:r>
      <w:r w:rsidRPr="003D2537">
        <w:t xml:space="preserve"> Implementation of QHP Enrollee Survey</w:t>
      </w:r>
    </w:p>
    <w:tbl>
      <w:tblPr>
        <w:tblStyle w:val="AIRTable"/>
        <w:tblDescription w:val="Totals in 2024, 2025, and 2026 of survey vendors, completes, reporting units, and burden hours of QHP Enrollee Survey"/>
        <w:tblW w:w="5000" w:type="pct"/>
        <w:tblInd w:w="0" w:type="dxa"/>
        <w:tblLayout w:type="fixed"/>
        <w:tblLook w:val="06A0"/>
      </w:tblPr>
      <w:tblGrid>
        <w:gridCol w:w="1558"/>
        <w:gridCol w:w="1559"/>
        <w:gridCol w:w="1321"/>
        <w:gridCol w:w="1622"/>
        <w:gridCol w:w="1246"/>
        <w:gridCol w:w="2044"/>
      </w:tblGrid>
      <w:tr w14:paraId="49A26AD9" w14:textId="77777777" w:rsidTr="005D6995">
        <w:tblPrEx>
          <w:tblW w:w="5000" w:type="pct"/>
          <w:tblInd w:w="0" w:type="dxa"/>
          <w:tblLayout w:type="fixed"/>
          <w:tblLook w:val="06A0"/>
        </w:tblPrEx>
        <w:trPr>
          <w:cantSplit/>
          <w:trHeight w:val="20"/>
          <w:tblHeader/>
        </w:trPr>
        <w:tc>
          <w:tcPr>
            <w:tcW w:w="1556" w:type="dxa"/>
            <w:shd w:val="clear" w:color="auto" w:fill="1F497D" w:themeFill="text2"/>
            <w:tcMar>
              <w:top w:w="0" w:type="dxa"/>
              <w:bottom w:w="0" w:type="dxa"/>
            </w:tcMar>
            <w:vAlign w:val="center"/>
          </w:tcPr>
          <w:p w:rsidR="00F147C7" w:rsidRPr="000B5ECA" w:rsidP="001648B3" w14:paraId="08C40E37" w14:textId="77777777">
            <w:pPr>
              <w:spacing w:before="40" w:after="40"/>
              <w:rPr>
                <w:rFonts w:ascii="Arial Narrow" w:hAnsi="Arial Narrow" w:cs="Arial"/>
                <w:b/>
                <w:bCs/>
                <w:color w:val="FFFFFF"/>
                <w:sz w:val="22"/>
              </w:rPr>
            </w:pPr>
            <w:bookmarkStart w:id="38" w:name="OLE_LINK1"/>
            <w:r w:rsidRPr="000B5ECA">
              <w:rPr>
                <w:rFonts w:ascii="Arial Narrow" w:hAnsi="Arial Narrow" w:cs="Arial"/>
                <w:b/>
                <w:bCs/>
                <w:color w:val="FFFFFF"/>
                <w:sz w:val="22"/>
              </w:rPr>
              <w:t>Source</w:t>
            </w:r>
          </w:p>
        </w:tc>
        <w:tc>
          <w:tcPr>
            <w:tcW w:w="1557" w:type="dxa"/>
            <w:shd w:val="clear" w:color="auto" w:fill="1F497D" w:themeFill="text2"/>
            <w:tcMar>
              <w:top w:w="0" w:type="dxa"/>
              <w:bottom w:w="0" w:type="dxa"/>
            </w:tcMar>
            <w:vAlign w:val="center"/>
          </w:tcPr>
          <w:p w:rsidR="00F147C7" w:rsidRPr="000B5ECA" w:rsidP="001648B3" w14:paraId="6462123E" w14:textId="7F4E7AF6">
            <w:pPr>
              <w:spacing w:before="40" w:after="40"/>
              <w:rPr>
                <w:rFonts w:ascii="Arial Narrow" w:hAnsi="Arial Narrow" w:cs="Arial"/>
                <w:b/>
                <w:bCs/>
                <w:color w:val="FFFFFF"/>
                <w:sz w:val="22"/>
              </w:rPr>
            </w:pPr>
            <w:r w:rsidRPr="000B5ECA">
              <w:rPr>
                <w:rFonts w:ascii="Arial Narrow" w:hAnsi="Arial Narrow" w:cs="Arial"/>
                <w:b/>
                <w:bCs/>
                <w:color w:val="FFFFFF"/>
                <w:sz w:val="22"/>
              </w:rPr>
              <w:t>Num</w:t>
            </w:r>
            <w:r w:rsidRPr="000B5ECA" w:rsidR="006D4A74">
              <w:rPr>
                <w:rFonts w:ascii="Arial Narrow" w:hAnsi="Arial Narrow" w:cs="Arial"/>
                <w:b/>
                <w:bCs/>
                <w:color w:val="FFFFFF"/>
                <w:sz w:val="22"/>
              </w:rPr>
              <w:t>ber</w:t>
            </w:r>
            <w:r w:rsidRPr="000B5ECA">
              <w:rPr>
                <w:rFonts w:ascii="Arial Narrow" w:hAnsi="Arial Narrow" w:cs="Arial"/>
                <w:b/>
                <w:bCs/>
                <w:color w:val="FFFFFF"/>
                <w:sz w:val="22"/>
              </w:rPr>
              <w:t xml:space="preserve"> of </w:t>
            </w:r>
            <w:r w:rsidRPr="000B5ECA" w:rsidR="00943E8A">
              <w:rPr>
                <w:rFonts w:ascii="Arial Narrow" w:hAnsi="Arial Narrow" w:cs="Arial"/>
                <w:b/>
                <w:bCs/>
                <w:color w:val="FFFFFF"/>
                <w:sz w:val="22"/>
              </w:rPr>
              <w:t xml:space="preserve">Reporting </w:t>
            </w:r>
            <w:r w:rsidRPr="000B5ECA">
              <w:rPr>
                <w:rFonts w:ascii="Arial Narrow" w:hAnsi="Arial Narrow" w:cs="Arial"/>
                <w:b/>
                <w:bCs/>
                <w:color w:val="FFFFFF"/>
                <w:sz w:val="22"/>
              </w:rPr>
              <w:t>Units</w:t>
            </w:r>
            <w:r w:rsidRPr="000B5ECA" w:rsidR="00883F9D">
              <w:rPr>
                <w:rFonts w:ascii="Arial Narrow" w:hAnsi="Arial Narrow" w:cs="Arial"/>
                <w:b/>
                <w:bCs/>
                <w:color w:val="FFFFFF"/>
                <w:sz w:val="22"/>
              </w:rPr>
              <w:t>/ Survey Vendors</w:t>
            </w:r>
          </w:p>
        </w:tc>
        <w:tc>
          <w:tcPr>
            <w:tcW w:w="1320" w:type="dxa"/>
            <w:shd w:val="clear" w:color="auto" w:fill="1F497D" w:themeFill="text2"/>
            <w:tcMar>
              <w:top w:w="0" w:type="dxa"/>
              <w:bottom w:w="0" w:type="dxa"/>
            </w:tcMar>
            <w:vAlign w:val="center"/>
          </w:tcPr>
          <w:p w:rsidR="00F147C7" w:rsidRPr="000B5ECA" w:rsidP="001648B3" w14:paraId="2162D28E" w14:textId="00FE3E08">
            <w:pPr>
              <w:spacing w:before="40" w:after="40"/>
              <w:rPr>
                <w:rFonts w:ascii="Arial Narrow" w:hAnsi="Arial Narrow" w:cs="Arial"/>
                <w:b/>
                <w:bCs/>
                <w:color w:val="FFFFFF"/>
                <w:sz w:val="22"/>
              </w:rPr>
            </w:pPr>
            <w:r w:rsidRPr="000B5ECA">
              <w:rPr>
                <w:rFonts w:ascii="Arial Narrow" w:hAnsi="Arial Narrow" w:cs="Arial"/>
                <w:b/>
                <w:bCs/>
                <w:color w:val="FFFFFF"/>
                <w:sz w:val="22"/>
              </w:rPr>
              <w:t>Completes per</w:t>
            </w:r>
            <w:r w:rsidRPr="000B5ECA" w:rsidR="00943E8A">
              <w:rPr>
                <w:rFonts w:ascii="Arial Narrow" w:hAnsi="Arial Narrow" w:cs="Arial"/>
                <w:b/>
                <w:bCs/>
                <w:color w:val="FFFFFF"/>
                <w:sz w:val="22"/>
              </w:rPr>
              <w:t xml:space="preserve"> Reporting </w:t>
            </w:r>
            <w:r w:rsidRPr="000B5ECA">
              <w:rPr>
                <w:rFonts w:ascii="Arial Narrow" w:hAnsi="Arial Narrow" w:cs="Arial"/>
                <w:b/>
                <w:bCs/>
                <w:color w:val="FFFFFF"/>
                <w:sz w:val="22"/>
              </w:rPr>
              <w:t>Unit</w:t>
            </w:r>
          </w:p>
        </w:tc>
        <w:tc>
          <w:tcPr>
            <w:tcW w:w="1620" w:type="dxa"/>
            <w:shd w:val="clear" w:color="auto" w:fill="1F497D" w:themeFill="text2"/>
            <w:tcMar>
              <w:top w:w="0" w:type="dxa"/>
              <w:bottom w:w="0" w:type="dxa"/>
            </w:tcMar>
            <w:vAlign w:val="center"/>
          </w:tcPr>
          <w:p w:rsidR="00F147C7" w:rsidRPr="000B5ECA" w:rsidP="001648B3" w14:paraId="673458FE" w14:textId="200999C1">
            <w:pPr>
              <w:spacing w:before="40" w:after="40"/>
              <w:rPr>
                <w:rFonts w:ascii="Arial Narrow" w:hAnsi="Arial Narrow" w:cs="Arial"/>
                <w:b/>
                <w:bCs/>
                <w:color w:val="FFFFFF"/>
                <w:sz w:val="22"/>
                <w:vertAlign w:val="superscript"/>
              </w:rPr>
            </w:pPr>
            <w:r w:rsidRPr="000B5ECA">
              <w:rPr>
                <w:rFonts w:ascii="Arial Narrow" w:hAnsi="Arial Narrow" w:cs="Arial"/>
                <w:b/>
                <w:bCs/>
                <w:color w:val="FFFFFF"/>
                <w:sz w:val="22"/>
              </w:rPr>
              <w:t xml:space="preserve">Total </w:t>
            </w:r>
            <w:r w:rsidRPr="000B5ECA" w:rsidR="009E2234">
              <w:rPr>
                <w:rFonts w:ascii="Arial Narrow" w:hAnsi="Arial Narrow" w:cs="Arial"/>
                <w:b/>
                <w:bCs/>
                <w:color w:val="FFFFFF"/>
                <w:sz w:val="22"/>
              </w:rPr>
              <w:t>Sample</w:t>
            </w:r>
            <w:r w:rsidRPr="000B5ECA" w:rsidR="00943E8A">
              <w:rPr>
                <w:rFonts w:ascii="Arial Narrow" w:hAnsi="Arial Narrow" w:cs="Arial"/>
                <w:b/>
                <w:bCs/>
                <w:color w:val="FFFFFF"/>
                <w:sz w:val="22"/>
                <w:vertAlign w:val="superscript"/>
              </w:rPr>
              <w:t>1</w:t>
            </w:r>
          </w:p>
        </w:tc>
        <w:tc>
          <w:tcPr>
            <w:tcW w:w="1245" w:type="dxa"/>
            <w:shd w:val="clear" w:color="auto" w:fill="1F497D" w:themeFill="text2"/>
            <w:tcMar>
              <w:top w:w="0" w:type="dxa"/>
              <w:bottom w:w="0" w:type="dxa"/>
            </w:tcMar>
            <w:vAlign w:val="center"/>
          </w:tcPr>
          <w:p w:rsidR="00F147C7" w:rsidRPr="000B5ECA" w:rsidP="001648B3" w14:paraId="5E46E615" w14:textId="1B84D68E">
            <w:pPr>
              <w:spacing w:before="40" w:after="40"/>
              <w:rPr>
                <w:rFonts w:ascii="Arial Narrow" w:hAnsi="Arial Narrow" w:cs="Arial"/>
                <w:b/>
                <w:bCs/>
                <w:color w:val="FFFFFF"/>
                <w:sz w:val="22"/>
              </w:rPr>
            </w:pPr>
            <w:r w:rsidRPr="000B5ECA">
              <w:rPr>
                <w:rFonts w:ascii="Arial Narrow" w:hAnsi="Arial Narrow" w:cs="Arial"/>
                <w:b/>
                <w:sz w:val="22"/>
              </w:rPr>
              <w:t xml:space="preserve">Burden </w:t>
            </w:r>
            <w:r w:rsidRPr="000B5ECA" w:rsidR="008623DB">
              <w:rPr>
                <w:rFonts w:ascii="Arial Narrow" w:hAnsi="Arial Narrow" w:cs="Arial"/>
                <w:b/>
                <w:sz w:val="22"/>
              </w:rPr>
              <w:t>Hours</w:t>
            </w:r>
          </w:p>
        </w:tc>
        <w:tc>
          <w:tcPr>
            <w:tcW w:w="2042" w:type="dxa"/>
            <w:shd w:val="clear" w:color="auto" w:fill="1F497D" w:themeFill="text2"/>
            <w:tcMar>
              <w:top w:w="0" w:type="dxa"/>
              <w:bottom w:w="0" w:type="dxa"/>
            </w:tcMar>
            <w:vAlign w:val="center"/>
            <w:hideMark/>
          </w:tcPr>
          <w:p w:rsidR="00F147C7" w:rsidRPr="000B5ECA" w:rsidP="001648B3" w14:paraId="60F59D5A" w14:textId="69FB4C7B">
            <w:pPr>
              <w:spacing w:before="40" w:after="40"/>
              <w:rPr>
                <w:rFonts w:ascii="Arial Narrow" w:hAnsi="Arial Narrow" w:cs="Arial"/>
                <w:b/>
                <w:bCs/>
                <w:color w:val="FFFFFF"/>
                <w:sz w:val="22"/>
              </w:rPr>
            </w:pPr>
            <w:r w:rsidRPr="000B5ECA">
              <w:rPr>
                <w:rFonts w:ascii="Arial Narrow" w:hAnsi="Arial Narrow" w:cs="Arial"/>
                <w:b/>
                <w:bCs/>
                <w:color w:val="FFFFFF"/>
                <w:sz w:val="22"/>
              </w:rPr>
              <w:t xml:space="preserve">Total </w:t>
            </w:r>
            <w:r w:rsidRPr="000B5ECA" w:rsidR="001B6DEB">
              <w:rPr>
                <w:rFonts w:ascii="Arial Narrow" w:hAnsi="Arial Narrow" w:cs="Arial"/>
                <w:b/>
                <w:bCs/>
                <w:color w:val="FFFFFF"/>
                <w:sz w:val="22"/>
              </w:rPr>
              <w:t>B</w:t>
            </w:r>
            <w:r w:rsidRPr="000B5ECA">
              <w:rPr>
                <w:rFonts w:ascii="Arial Narrow" w:hAnsi="Arial Narrow" w:cs="Arial"/>
                <w:b/>
                <w:bCs/>
                <w:color w:val="FFFFFF"/>
                <w:sz w:val="22"/>
              </w:rPr>
              <w:t xml:space="preserve">urden </w:t>
            </w:r>
            <w:r w:rsidRPr="000B5ECA" w:rsidR="001B6DEB">
              <w:rPr>
                <w:rFonts w:ascii="Arial Narrow" w:hAnsi="Arial Narrow" w:cs="Arial"/>
                <w:b/>
                <w:bCs/>
                <w:color w:val="FFFFFF"/>
                <w:sz w:val="22"/>
              </w:rPr>
              <w:t>H</w:t>
            </w:r>
            <w:r w:rsidRPr="000B5ECA">
              <w:rPr>
                <w:rFonts w:ascii="Arial Narrow" w:hAnsi="Arial Narrow" w:cs="Arial"/>
                <w:b/>
                <w:bCs/>
                <w:color w:val="FFFFFF"/>
                <w:sz w:val="22"/>
              </w:rPr>
              <w:t>ours</w:t>
            </w:r>
          </w:p>
        </w:tc>
      </w:tr>
      <w:tr w14:paraId="7B7C4A08" w14:textId="77777777" w:rsidTr="0016663C">
        <w:tblPrEx>
          <w:tblW w:w="5000" w:type="pct"/>
          <w:tblInd w:w="0" w:type="dxa"/>
          <w:tblLayout w:type="fixed"/>
          <w:tblLook w:val="06A0"/>
        </w:tblPrEx>
        <w:trPr>
          <w:cantSplit/>
          <w:trHeight w:val="20"/>
        </w:trPr>
        <w:tc>
          <w:tcPr>
            <w:tcW w:w="1556" w:type="dxa"/>
            <w:vAlign w:val="bottom"/>
          </w:tcPr>
          <w:p w:rsidR="008B3F14" w:rsidRPr="000B5ECA" w:rsidP="002817B4" w14:paraId="76E9E8E9" w14:textId="123898E1">
            <w:pPr>
              <w:snapToGrid w:val="0"/>
              <w:spacing w:before="20" w:after="20"/>
              <w:rPr>
                <w:rFonts w:ascii="Arial Narrow" w:hAnsi="Arial Narrow" w:cs="Arial"/>
                <w:color w:val="000000"/>
                <w:sz w:val="22"/>
              </w:rPr>
            </w:pPr>
            <w:r w:rsidRPr="000B5ECA">
              <w:rPr>
                <w:rFonts w:ascii="Arial Narrow" w:hAnsi="Arial Narrow" w:cs="Arial"/>
                <w:color w:val="000000" w:themeColor="text1"/>
                <w:sz w:val="22"/>
              </w:rPr>
              <w:t>2024 Survey Respondents</w:t>
            </w:r>
          </w:p>
        </w:tc>
        <w:tc>
          <w:tcPr>
            <w:tcW w:w="1557" w:type="dxa"/>
            <w:vAlign w:val="bottom"/>
          </w:tcPr>
          <w:p w:rsidR="008B3F14" w:rsidRPr="000B5ECA" w:rsidP="001648B3" w14:paraId="069929EF" w14:textId="204DBDE5">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325</w:t>
            </w:r>
          </w:p>
        </w:tc>
        <w:tc>
          <w:tcPr>
            <w:tcW w:w="1320" w:type="dxa"/>
            <w:vAlign w:val="bottom"/>
          </w:tcPr>
          <w:p w:rsidR="008B3F14" w:rsidRPr="00A4645B" w:rsidP="001648B3" w14:paraId="3CEA6FE5" w14:textId="617AAF9D">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300</w:t>
            </w:r>
          </w:p>
        </w:tc>
        <w:tc>
          <w:tcPr>
            <w:tcW w:w="1620" w:type="dxa"/>
            <w:vAlign w:val="bottom"/>
            <w:hideMark/>
          </w:tcPr>
          <w:p w:rsidR="008B3F14" w:rsidRPr="000C0F33" w:rsidP="001648B3" w14:paraId="08D37544" w14:textId="3AB0076E">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97,500</w:t>
            </w:r>
          </w:p>
        </w:tc>
        <w:tc>
          <w:tcPr>
            <w:tcW w:w="1245" w:type="dxa"/>
            <w:vAlign w:val="bottom"/>
          </w:tcPr>
          <w:p w:rsidR="008B3F14" w:rsidRPr="000B5ECA" w:rsidP="001648B3" w14:paraId="334679B6" w14:textId="0E19E84C">
            <w:pPr>
              <w:snapToGrid w:val="0"/>
              <w:spacing w:before="20" w:after="20"/>
              <w:jc w:val="center"/>
              <w:rPr>
                <w:rFonts w:ascii="Arial Narrow" w:hAnsi="Arial Narrow" w:cs="Arial"/>
                <w:color w:val="000000"/>
                <w:sz w:val="22"/>
              </w:rPr>
            </w:pPr>
            <w:r w:rsidRPr="2F0AE81E">
              <w:rPr>
                <w:rFonts w:ascii="Arial Narrow" w:hAnsi="Arial Narrow" w:cs="Calibri"/>
                <w:color w:val="000000" w:themeColor="text1"/>
                <w:sz w:val="22"/>
              </w:rPr>
              <w:t>0.167</w:t>
            </w:r>
          </w:p>
        </w:tc>
        <w:tc>
          <w:tcPr>
            <w:tcW w:w="2042" w:type="dxa"/>
            <w:vAlign w:val="bottom"/>
          </w:tcPr>
          <w:p w:rsidR="008B3F14" w:rsidRPr="008B3F14" w:rsidP="001648B3" w14:paraId="31B803F3" w14:textId="12F15D37">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16,282.50</w:t>
            </w:r>
          </w:p>
        </w:tc>
      </w:tr>
      <w:tr w14:paraId="63F77682" w14:textId="77777777" w:rsidTr="0016663C">
        <w:tblPrEx>
          <w:tblW w:w="5000" w:type="pct"/>
          <w:tblInd w:w="0" w:type="dxa"/>
          <w:tblLayout w:type="fixed"/>
          <w:tblLook w:val="06A0"/>
        </w:tblPrEx>
        <w:trPr>
          <w:cantSplit/>
          <w:trHeight w:val="20"/>
        </w:trPr>
        <w:tc>
          <w:tcPr>
            <w:tcW w:w="1556" w:type="dxa"/>
            <w:tcBorders>
              <w:bottom w:val="single" w:sz="4" w:space="0" w:color="002C5F"/>
            </w:tcBorders>
            <w:vAlign w:val="bottom"/>
          </w:tcPr>
          <w:p w:rsidR="008B3F14" w:rsidRPr="000B5ECA" w:rsidP="002817B4" w14:paraId="6A30FD0E" w14:textId="5091C3E6">
            <w:pPr>
              <w:snapToGrid w:val="0"/>
              <w:spacing w:before="20" w:after="20"/>
              <w:rPr>
                <w:rFonts w:ascii="Arial Narrow" w:hAnsi="Arial Narrow" w:cs="Arial"/>
                <w:color w:val="000000"/>
                <w:sz w:val="22"/>
              </w:rPr>
            </w:pPr>
            <w:r w:rsidRPr="000B5ECA">
              <w:rPr>
                <w:rFonts w:ascii="Arial Narrow" w:hAnsi="Arial Narrow" w:cs="Arial"/>
                <w:color w:val="000000" w:themeColor="text1"/>
                <w:sz w:val="22"/>
              </w:rPr>
              <w:t>2024 Survey Vendors</w:t>
            </w:r>
          </w:p>
        </w:tc>
        <w:tc>
          <w:tcPr>
            <w:tcW w:w="1557" w:type="dxa"/>
            <w:tcBorders>
              <w:bottom w:val="single" w:sz="4" w:space="0" w:color="002C5F"/>
            </w:tcBorders>
            <w:vAlign w:val="bottom"/>
          </w:tcPr>
          <w:p w:rsidR="008B3F14" w:rsidRPr="000B5ECA" w:rsidP="001648B3" w14:paraId="7468EE81" w14:textId="03151BE2">
            <w:pPr>
              <w:snapToGrid w:val="0"/>
              <w:spacing w:before="20" w:after="20"/>
              <w:jc w:val="center"/>
              <w:rPr>
                <w:rFonts w:ascii="Arial Narrow" w:hAnsi="Arial Narrow" w:cs="Arial"/>
                <w:color w:val="000000"/>
                <w:sz w:val="22"/>
              </w:rPr>
            </w:pPr>
            <w:r w:rsidRPr="2F0AE81E">
              <w:rPr>
                <w:rFonts w:ascii="Arial Narrow" w:hAnsi="Arial Narrow" w:cs="Calibri"/>
                <w:color w:val="000000" w:themeColor="text1"/>
                <w:sz w:val="22"/>
              </w:rPr>
              <w:t>5</w:t>
            </w:r>
          </w:p>
        </w:tc>
        <w:tc>
          <w:tcPr>
            <w:tcW w:w="1320" w:type="dxa"/>
            <w:tcBorders>
              <w:bottom w:val="single" w:sz="4" w:space="0" w:color="002C5F"/>
            </w:tcBorders>
            <w:vAlign w:val="bottom"/>
          </w:tcPr>
          <w:p w:rsidR="008B3F14" w:rsidRPr="00A4645B" w:rsidP="001648B3" w14:paraId="7892C4B2" w14:textId="5BDB71F6">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1</w:t>
            </w:r>
          </w:p>
        </w:tc>
        <w:tc>
          <w:tcPr>
            <w:tcW w:w="1620" w:type="dxa"/>
            <w:tcBorders>
              <w:bottom w:val="single" w:sz="4" w:space="0" w:color="002C5F"/>
            </w:tcBorders>
            <w:vAlign w:val="bottom"/>
          </w:tcPr>
          <w:p w:rsidR="008B3F14" w:rsidRPr="000C0F33" w:rsidP="001648B3" w14:paraId="3190C7FE" w14:textId="0CAFC171">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5</w:t>
            </w:r>
          </w:p>
        </w:tc>
        <w:tc>
          <w:tcPr>
            <w:tcW w:w="1245" w:type="dxa"/>
            <w:tcBorders>
              <w:bottom w:val="single" w:sz="4" w:space="0" w:color="002C5F"/>
            </w:tcBorders>
            <w:vAlign w:val="bottom"/>
          </w:tcPr>
          <w:p w:rsidR="008B3F14" w:rsidRPr="000B5ECA" w:rsidP="001648B3" w14:paraId="1A552156" w14:textId="4D9CB2B7">
            <w:pPr>
              <w:snapToGrid w:val="0"/>
              <w:spacing w:before="20" w:after="20"/>
              <w:jc w:val="center"/>
              <w:rPr>
                <w:rFonts w:ascii="Arial Narrow" w:hAnsi="Arial Narrow" w:cs="Arial"/>
                <w:color w:val="000000"/>
                <w:sz w:val="22"/>
              </w:rPr>
            </w:pPr>
            <w:r w:rsidRPr="2F0AE81E">
              <w:rPr>
                <w:rFonts w:ascii="Arial Narrow" w:hAnsi="Arial Narrow" w:cs="Calibri"/>
                <w:color w:val="000000" w:themeColor="text1"/>
                <w:sz w:val="22"/>
              </w:rPr>
              <w:t>1.67</w:t>
            </w:r>
          </w:p>
        </w:tc>
        <w:tc>
          <w:tcPr>
            <w:tcW w:w="2042" w:type="dxa"/>
            <w:tcBorders>
              <w:bottom w:val="single" w:sz="4" w:space="0" w:color="002C5F"/>
            </w:tcBorders>
            <w:vAlign w:val="bottom"/>
          </w:tcPr>
          <w:p w:rsidR="008B3F14" w:rsidRPr="008B3F14" w:rsidP="001648B3" w14:paraId="4EEC8D59" w14:textId="0F80E5D5">
            <w:pPr>
              <w:snapToGrid w:val="0"/>
              <w:spacing w:before="20" w:after="20"/>
              <w:jc w:val="center"/>
              <w:rPr>
                <w:rFonts w:ascii="Arial Narrow" w:hAnsi="Arial Narrow" w:cs="Arial"/>
                <w:color w:val="000000"/>
                <w:sz w:val="22"/>
                <w:highlight w:val="yellow"/>
              </w:rPr>
            </w:pPr>
            <w:r w:rsidRPr="00531430">
              <w:rPr>
                <w:rFonts w:ascii="Arial Narrow" w:hAnsi="Arial Narrow" w:cs="Calibri"/>
                <w:color w:val="000000"/>
                <w:sz w:val="22"/>
              </w:rPr>
              <w:t>8.35</w:t>
            </w:r>
          </w:p>
        </w:tc>
      </w:tr>
      <w:tr w14:paraId="402F3EBC" w14:textId="77777777" w:rsidTr="0016663C">
        <w:tblPrEx>
          <w:tblW w:w="5000" w:type="pct"/>
          <w:tblInd w:w="0" w:type="dxa"/>
          <w:tblLayout w:type="fixed"/>
          <w:tblLook w:val="06A0"/>
        </w:tblPrEx>
        <w:trPr>
          <w:cantSplit/>
          <w:trHeight w:val="20"/>
        </w:trPr>
        <w:tc>
          <w:tcPr>
            <w:tcW w:w="1556" w:type="dxa"/>
            <w:shd w:val="clear" w:color="auto" w:fill="DBE5F1" w:themeFill="accent1" w:themeFillTint="33"/>
            <w:vAlign w:val="bottom"/>
          </w:tcPr>
          <w:p w:rsidR="008B3F14" w:rsidRPr="000B5ECA" w:rsidP="002817B4" w14:paraId="278A37A3" w14:textId="5EFDDD91">
            <w:pPr>
              <w:snapToGrid w:val="0"/>
              <w:spacing w:before="20" w:after="20"/>
              <w:rPr>
                <w:rFonts w:ascii="Arial Narrow" w:hAnsi="Arial Narrow" w:cs="Arial"/>
                <w:b/>
                <w:bCs/>
                <w:color w:val="000000"/>
                <w:sz w:val="22"/>
              </w:rPr>
            </w:pPr>
            <w:r w:rsidRPr="000B5ECA">
              <w:rPr>
                <w:rFonts w:ascii="Arial Narrow" w:hAnsi="Arial Narrow" w:cs="Arial"/>
                <w:b/>
                <w:bCs/>
                <w:color w:val="000000" w:themeColor="text1"/>
                <w:sz w:val="22"/>
              </w:rPr>
              <w:t>2024</w:t>
            </w:r>
            <w:r w:rsidRPr="000B5ECA">
              <w:rPr>
                <w:rFonts w:ascii="Arial Narrow" w:hAnsi="Arial Narrow" w:cs="Arial"/>
                <w:b/>
                <w:color w:val="000000" w:themeColor="text1"/>
                <w:sz w:val="22"/>
              </w:rPr>
              <w:t xml:space="preserve"> TOTAL</w:t>
            </w:r>
          </w:p>
        </w:tc>
        <w:tc>
          <w:tcPr>
            <w:tcW w:w="1557" w:type="dxa"/>
            <w:shd w:val="clear" w:color="auto" w:fill="DBE5F1" w:themeFill="accent1" w:themeFillTint="33"/>
            <w:vAlign w:val="bottom"/>
          </w:tcPr>
          <w:p w:rsidR="008B3F14" w:rsidRPr="000B5ECA" w:rsidP="001648B3" w14:paraId="7C853CF5" w14:textId="4C29DE90">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330</w:t>
            </w:r>
          </w:p>
        </w:tc>
        <w:tc>
          <w:tcPr>
            <w:tcW w:w="1320" w:type="dxa"/>
            <w:shd w:val="clear" w:color="auto" w:fill="DBE5F1" w:themeFill="accent1" w:themeFillTint="33"/>
            <w:vAlign w:val="bottom"/>
          </w:tcPr>
          <w:p w:rsidR="008B3F14" w:rsidRPr="00A4645B" w:rsidP="001648B3" w14:paraId="1E806D8E" w14:textId="77777777">
            <w:pPr>
              <w:snapToGrid w:val="0"/>
              <w:spacing w:before="20" w:after="20"/>
              <w:jc w:val="center"/>
              <w:rPr>
                <w:rFonts w:ascii="Arial Narrow" w:hAnsi="Arial Narrow" w:cs="Arial"/>
                <w:bCs/>
                <w:color w:val="000000"/>
                <w:sz w:val="22"/>
              </w:rPr>
            </w:pPr>
          </w:p>
        </w:tc>
        <w:tc>
          <w:tcPr>
            <w:tcW w:w="1620" w:type="dxa"/>
            <w:shd w:val="clear" w:color="auto" w:fill="DBE5F1" w:themeFill="accent1" w:themeFillTint="33"/>
            <w:vAlign w:val="bottom"/>
            <w:hideMark/>
          </w:tcPr>
          <w:p w:rsidR="008B3F14" w:rsidRPr="000C0F33" w:rsidP="001648B3" w14:paraId="3FF79F73" w14:textId="7D4C20D0">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97,505</w:t>
            </w:r>
          </w:p>
        </w:tc>
        <w:tc>
          <w:tcPr>
            <w:tcW w:w="1245" w:type="dxa"/>
            <w:shd w:val="clear" w:color="auto" w:fill="DBE5F1" w:themeFill="accent1" w:themeFillTint="33"/>
            <w:vAlign w:val="bottom"/>
            <w:hideMark/>
          </w:tcPr>
          <w:p w:rsidR="008B3F14" w:rsidRPr="000B5ECA" w:rsidP="001648B3" w14:paraId="19ACE7D4" w14:textId="77777777">
            <w:pPr>
              <w:snapToGrid w:val="0"/>
              <w:spacing w:before="20" w:after="20"/>
              <w:jc w:val="center"/>
              <w:rPr>
                <w:rFonts w:ascii="Arial Narrow" w:hAnsi="Arial Narrow" w:cs="Arial"/>
                <w:bCs/>
                <w:color w:val="000000"/>
                <w:sz w:val="22"/>
              </w:rPr>
            </w:pPr>
          </w:p>
        </w:tc>
        <w:tc>
          <w:tcPr>
            <w:tcW w:w="2042" w:type="dxa"/>
            <w:shd w:val="clear" w:color="auto" w:fill="DBE5F1" w:themeFill="accent1" w:themeFillTint="33"/>
            <w:vAlign w:val="bottom"/>
            <w:hideMark/>
          </w:tcPr>
          <w:p w:rsidR="008B3F14" w:rsidRPr="008B3F14" w:rsidP="001648B3" w14:paraId="19467CD2" w14:textId="6C93B7FB">
            <w:pPr>
              <w:snapToGrid w:val="0"/>
              <w:spacing w:before="20" w:after="20"/>
              <w:jc w:val="center"/>
              <w:rPr>
                <w:rFonts w:ascii="Arial Narrow" w:hAnsi="Arial Narrow" w:cs="Arial"/>
                <w:color w:val="000000"/>
                <w:sz w:val="22"/>
                <w:highlight w:val="yellow"/>
              </w:rPr>
            </w:pPr>
            <w:r w:rsidRPr="00531430">
              <w:rPr>
                <w:rFonts w:ascii="Arial Narrow" w:hAnsi="Arial Narrow" w:cs="Calibri"/>
                <w:color w:val="000000"/>
                <w:sz w:val="22"/>
              </w:rPr>
              <w:t>16,290.85</w:t>
            </w:r>
          </w:p>
        </w:tc>
      </w:tr>
      <w:tr w14:paraId="31EDC489" w14:textId="77777777" w:rsidTr="0016663C">
        <w:tblPrEx>
          <w:tblW w:w="5000" w:type="pct"/>
          <w:tblInd w:w="0" w:type="dxa"/>
          <w:tblLayout w:type="fixed"/>
          <w:tblLook w:val="06A0"/>
        </w:tblPrEx>
        <w:trPr>
          <w:cantSplit/>
          <w:trHeight w:val="20"/>
        </w:trPr>
        <w:tc>
          <w:tcPr>
            <w:tcW w:w="1556" w:type="dxa"/>
            <w:vAlign w:val="bottom"/>
          </w:tcPr>
          <w:p w:rsidR="008B3F14" w:rsidRPr="000B5ECA" w:rsidP="002817B4" w14:paraId="659A6AB7" w14:textId="7A061217">
            <w:pPr>
              <w:snapToGrid w:val="0"/>
              <w:spacing w:before="20" w:after="20"/>
              <w:rPr>
                <w:rFonts w:ascii="Arial Narrow" w:hAnsi="Arial Narrow" w:cs="Arial"/>
                <w:b/>
                <w:bCs/>
                <w:color w:val="000000"/>
                <w:sz w:val="22"/>
              </w:rPr>
            </w:pPr>
            <w:r w:rsidRPr="000B5ECA">
              <w:rPr>
                <w:rFonts w:ascii="Arial Narrow" w:hAnsi="Arial Narrow" w:cs="Arial"/>
                <w:color w:val="000000" w:themeColor="text1"/>
                <w:sz w:val="22"/>
              </w:rPr>
              <w:t>2025 Survey Respondents</w:t>
            </w:r>
          </w:p>
        </w:tc>
        <w:tc>
          <w:tcPr>
            <w:tcW w:w="1557" w:type="dxa"/>
            <w:vAlign w:val="bottom"/>
          </w:tcPr>
          <w:p w:rsidR="008B3F14" w:rsidRPr="000B5ECA" w:rsidP="001648B3" w14:paraId="6FFCE337" w14:textId="55F0EA93">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325</w:t>
            </w:r>
          </w:p>
        </w:tc>
        <w:tc>
          <w:tcPr>
            <w:tcW w:w="1320" w:type="dxa"/>
            <w:vAlign w:val="bottom"/>
          </w:tcPr>
          <w:p w:rsidR="008B3F14" w:rsidRPr="00A4645B" w:rsidP="001648B3" w14:paraId="53A5B508" w14:textId="1663EABD">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300</w:t>
            </w:r>
          </w:p>
        </w:tc>
        <w:tc>
          <w:tcPr>
            <w:tcW w:w="1620" w:type="dxa"/>
            <w:vAlign w:val="bottom"/>
          </w:tcPr>
          <w:p w:rsidR="008B3F14" w:rsidRPr="000C0F33" w:rsidP="001648B3" w14:paraId="171EDE15" w14:textId="12310644">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97,500</w:t>
            </w:r>
          </w:p>
        </w:tc>
        <w:tc>
          <w:tcPr>
            <w:tcW w:w="1245" w:type="dxa"/>
            <w:vAlign w:val="bottom"/>
          </w:tcPr>
          <w:p w:rsidR="008B3F14" w:rsidRPr="000B5ECA" w:rsidP="001648B3" w14:paraId="163A8DDE" w14:textId="7DCA1B9E">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0.167</w:t>
            </w:r>
          </w:p>
        </w:tc>
        <w:tc>
          <w:tcPr>
            <w:tcW w:w="2042" w:type="dxa"/>
            <w:vAlign w:val="bottom"/>
          </w:tcPr>
          <w:p w:rsidR="008B3F14" w:rsidRPr="008B3F14" w:rsidP="001648B3" w14:paraId="5F614700" w14:textId="4D927016">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16,282.50</w:t>
            </w:r>
          </w:p>
        </w:tc>
      </w:tr>
      <w:tr w14:paraId="689D0140" w14:textId="77777777" w:rsidTr="0016663C">
        <w:tblPrEx>
          <w:tblW w:w="5000" w:type="pct"/>
          <w:tblInd w:w="0" w:type="dxa"/>
          <w:tblLayout w:type="fixed"/>
          <w:tblLook w:val="06A0"/>
        </w:tblPrEx>
        <w:trPr>
          <w:cantSplit/>
          <w:trHeight w:val="20"/>
        </w:trPr>
        <w:tc>
          <w:tcPr>
            <w:tcW w:w="1556" w:type="dxa"/>
            <w:tcBorders>
              <w:bottom w:val="single" w:sz="4" w:space="0" w:color="002C5F"/>
            </w:tcBorders>
            <w:vAlign w:val="bottom"/>
          </w:tcPr>
          <w:p w:rsidR="008B3F14" w:rsidRPr="000B5ECA" w:rsidP="002817B4" w14:paraId="38DF0795" w14:textId="05E2E738">
            <w:pPr>
              <w:snapToGrid w:val="0"/>
              <w:spacing w:before="20" w:after="20"/>
              <w:rPr>
                <w:rFonts w:ascii="Arial Narrow" w:hAnsi="Arial Narrow" w:cs="Arial"/>
                <w:b/>
                <w:bCs/>
                <w:color w:val="000000"/>
                <w:sz w:val="22"/>
              </w:rPr>
            </w:pPr>
            <w:r w:rsidRPr="000B5ECA">
              <w:rPr>
                <w:rFonts w:ascii="Arial Narrow" w:hAnsi="Arial Narrow" w:cs="Arial"/>
                <w:color w:val="000000" w:themeColor="text1"/>
                <w:sz w:val="22"/>
              </w:rPr>
              <w:t>2025 Survey Vendors</w:t>
            </w:r>
          </w:p>
        </w:tc>
        <w:tc>
          <w:tcPr>
            <w:tcW w:w="1557" w:type="dxa"/>
            <w:tcBorders>
              <w:bottom w:val="single" w:sz="4" w:space="0" w:color="002C5F"/>
            </w:tcBorders>
            <w:vAlign w:val="bottom"/>
          </w:tcPr>
          <w:p w:rsidR="008B3F14" w:rsidRPr="000B5ECA" w:rsidP="001648B3" w14:paraId="5F32AEA0" w14:textId="6CCD000B">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5</w:t>
            </w:r>
          </w:p>
        </w:tc>
        <w:tc>
          <w:tcPr>
            <w:tcW w:w="1320" w:type="dxa"/>
            <w:tcBorders>
              <w:bottom w:val="single" w:sz="4" w:space="0" w:color="002C5F"/>
            </w:tcBorders>
            <w:vAlign w:val="bottom"/>
          </w:tcPr>
          <w:p w:rsidR="008B3F14" w:rsidRPr="00A4645B" w:rsidP="001648B3" w14:paraId="3662259D" w14:textId="0F87A8C0">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1</w:t>
            </w:r>
          </w:p>
        </w:tc>
        <w:tc>
          <w:tcPr>
            <w:tcW w:w="1620" w:type="dxa"/>
            <w:tcBorders>
              <w:bottom w:val="single" w:sz="4" w:space="0" w:color="002C5F"/>
            </w:tcBorders>
            <w:vAlign w:val="bottom"/>
          </w:tcPr>
          <w:p w:rsidR="008B3F14" w:rsidRPr="000C0F33" w:rsidP="001648B3" w14:paraId="6E49CAAE" w14:textId="62617FE0">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5</w:t>
            </w:r>
          </w:p>
        </w:tc>
        <w:tc>
          <w:tcPr>
            <w:tcW w:w="1245" w:type="dxa"/>
            <w:tcBorders>
              <w:bottom w:val="single" w:sz="4" w:space="0" w:color="002C5F"/>
            </w:tcBorders>
            <w:vAlign w:val="bottom"/>
          </w:tcPr>
          <w:p w:rsidR="008B3F14" w:rsidRPr="000B5ECA" w:rsidP="001648B3" w14:paraId="1FF15C77" w14:textId="5173A212">
            <w:pPr>
              <w:snapToGrid w:val="0"/>
              <w:spacing w:before="20" w:after="20"/>
              <w:jc w:val="center"/>
              <w:rPr>
                <w:rFonts w:ascii="Arial Narrow" w:hAnsi="Arial Narrow" w:cs="Arial"/>
                <w:color w:val="000000"/>
                <w:sz w:val="22"/>
              </w:rPr>
            </w:pPr>
            <w:r w:rsidRPr="2F0AE81E">
              <w:rPr>
                <w:rFonts w:ascii="Arial Narrow" w:hAnsi="Arial Narrow" w:cs="Calibri"/>
                <w:color w:val="000000" w:themeColor="text1"/>
                <w:sz w:val="22"/>
              </w:rPr>
              <w:t>1.67</w:t>
            </w:r>
          </w:p>
        </w:tc>
        <w:tc>
          <w:tcPr>
            <w:tcW w:w="2042" w:type="dxa"/>
            <w:tcBorders>
              <w:bottom w:val="single" w:sz="4" w:space="0" w:color="002C5F"/>
            </w:tcBorders>
            <w:vAlign w:val="bottom"/>
          </w:tcPr>
          <w:p w:rsidR="008B3F14" w:rsidRPr="008B3F14" w:rsidP="001648B3" w14:paraId="09750066" w14:textId="5C1D6361">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8.35</w:t>
            </w:r>
          </w:p>
        </w:tc>
      </w:tr>
      <w:tr w14:paraId="47F8BD12" w14:textId="77777777" w:rsidTr="0016663C">
        <w:tblPrEx>
          <w:tblW w:w="5000" w:type="pct"/>
          <w:tblInd w:w="0" w:type="dxa"/>
          <w:tblLayout w:type="fixed"/>
          <w:tblLook w:val="06A0"/>
        </w:tblPrEx>
        <w:trPr>
          <w:cantSplit/>
          <w:trHeight w:val="20"/>
        </w:trPr>
        <w:tc>
          <w:tcPr>
            <w:tcW w:w="1556" w:type="dxa"/>
            <w:shd w:val="clear" w:color="auto" w:fill="DBE5F1" w:themeFill="accent1" w:themeFillTint="33"/>
            <w:vAlign w:val="bottom"/>
          </w:tcPr>
          <w:p w:rsidR="008B3F14" w:rsidRPr="000B5ECA" w:rsidP="002817B4" w14:paraId="6F867FD8" w14:textId="6E7A6E15">
            <w:pPr>
              <w:snapToGrid w:val="0"/>
              <w:spacing w:before="20" w:after="20"/>
              <w:rPr>
                <w:rFonts w:ascii="Arial Narrow" w:hAnsi="Arial Narrow" w:cs="Arial"/>
                <w:b/>
                <w:bCs/>
                <w:color w:val="000000"/>
                <w:sz w:val="22"/>
              </w:rPr>
            </w:pPr>
            <w:r w:rsidRPr="000B5ECA">
              <w:rPr>
                <w:rFonts w:ascii="Arial Narrow" w:hAnsi="Arial Narrow" w:cs="Arial"/>
                <w:b/>
                <w:bCs/>
                <w:color w:val="000000" w:themeColor="text1"/>
                <w:sz w:val="22"/>
              </w:rPr>
              <w:t>2025</w:t>
            </w:r>
            <w:r w:rsidRPr="000B5ECA">
              <w:rPr>
                <w:rFonts w:ascii="Arial Narrow" w:hAnsi="Arial Narrow" w:cs="Arial"/>
                <w:b/>
                <w:color w:val="000000" w:themeColor="text1"/>
                <w:sz w:val="22"/>
              </w:rPr>
              <w:t xml:space="preserve"> TOTAL</w:t>
            </w:r>
          </w:p>
        </w:tc>
        <w:tc>
          <w:tcPr>
            <w:tcW w:w="1557" w:type="dxa"/>
            <w:shd w:val="clear" w:color="auto" w:fill="DBE5F1" w:themeFill="accent1" w:themeFillTint="33"/>
            <w:vAlign w:val="bottom"/>
          </w:tcPr>
          <w:p w:rsidR="008B3F14" w:rsidRPr="000B5ECA" w:rsidP="001648B3" w14:paraId="15E38199" w14:textId="69DE0068">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330</w:t>
            </w:r>
          </w:p>
        </w:tc>
        <w:tc>
          <w:tcPr>
            <w:tcW w:w="1320" w:type="dxa"/>
            <w:shd w:val="clear" w:color="auto" w:fill="DBE5F1" w:themeFill="accent1" w:themeFillTint="33"/>
            <w:vAlign w:val="bottom"/>
          </w:tcPr>
          <w:p w:rsidR="008B3F14" w:rsidRPr="00A4645B" w:rsidP="001648B3" w14:paraId="53EF956F" w14:textId="77777777">
            <w:pPr>
              <w:snapToGrid w:val="0"/>
              <w:spacing w:before="20" w:after="20"/>
              <w:jc w:val="center"/>
              <w:rPr>
                <w:rFonts w:ascii="Arial Narrow" w:hAnsi="Arial Narrow" w:cs="Arial"/>
                <w:bCs/>
                <w:color w:val="000000"/>
                <w:sz w:val="22"/>
              </w:rPr>
            </w:pPr>
          </w:p>
        </w:tc>
        <w:tc>
          <w:tcPr>
            <w:tcW w:w="1620" w:type="dxa"/>
            <w:shd w:val="clear" w:color="auto" w:fill="DBE5F1" w:themeFill="accent1" w:themeFillTint="33"/>
            <w:vAlign w:val="bottom"/>
          </w:tcPr>
          <w:p w:rsidR="008B3F14" w:rsidRPr="000C0F33" w:rsidP="001648B3" w14:paraId="2944AEC6" w14:textId="04C27B76">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97,505</w:t>
            </w:r>
          </w:p>
        </w:tc>
        <w:tc>
          <w:tcPr>
            <w:tcW w:w="1245" w:type="dxa"/>
            <w:shd w:val="clear" w:color="auto" w:fill="DBE5F1" w:themeFill="accent1" w:themeFillTint="33"/>
            <w:vAlign w:val="bottom"/>
          </w:tcPr>
          <w:p w:rsidR="008B3F14" w:rsidRPr="000B5ECA" w:rsidP="001648B3" w14:paraId="4AF1A78A" w14:textId="77777777">
            <w:pPr>
              <w:snapToGrid w:val="0"/>
              <w:spacing w:before="20" w:after="20"/>
              <w:jc w:val="center"/>
              <w:rPr>
                <w:rFonts w:ascii="Arial Narrow" w:hAnsi="Arial Narrow" w:cs="Arial"/>
                <w:bCs/>
                <w:color w:val="000000"/>
                <w:sz w:val="22"/>
              </w:rPr>
            </w:pPr>
          </w:p>
        </w:tc>
        <w:tc>
          <w:tcPr>
            <w:tcW w:w="2042" w:type="dxa"/>
            <w:shd w:val="clear" w:color="auto" w:fill="DBE5F1" w:themeFill="accent1" w:themeFillTint="33"/>
            <w:vAlign w:val="bottom"/>
          </w:tcPr>
          <w:p w:rsidR="008B3F14" w:rsidRPr="008B3F14" w:rsidP="001648B3" w14:paraId="33B52928" w14:textId="34072400">
            <w:pPr>
              <w:snapToGrid w:val="0"/>
              <w:spacing w:before="20" w:after="20"/>
              <w:jc w:val="center"/>
              <w:rPr>
                <w:rFonts w:ascii="Arial Narrow" w:hAnsi="Arial Narrow" w:cs="Arial"/>
                <w:color w:val="000000"/>
                <w:sz w:val="22"/>
                <w:highlight w:val="yellow"/>
              </w:rPr>
            </w:pPr>
            <w:r w:rsidRPr="00531430">
              <w:rPr>
                <w:rFonts w:ascii="Arial Narrow" w:hAnsi="Arial Narrow" w:cs="Calibri"/>
                <w:color w:val="000000"/>
                <w:sz w:val="22"/>
              </w:rPr>
              <w:t>16,290.85</w:t>
            </w:r>
          </w:p>
        </w:tc>
      </w:tr>
      <w:tr w14:paraId="69C4E330" w14:textId="77777777" w:rsidTr="0016663C">
        <w:tblPrEx>
          <w:tblW w:w="5000" w:type="pct"/>
          <w:tblInd w:w="0" w:type="dxa"/>
          <w:tblLayout w:type="fixed"/>
          <w:tblLook w:val="06A0"/>
        </w:tblPrEx>
        <w:trPr>
          <w:cantSplit/>
          <w:trHeight w:val="20"/>
        </w:trPr>
        <w:tc>
          <w:tcPr>
            <w:tcW w:w="1556" w:type="dxa"/>
            <w:vAlign w:val="bottom"/>
          </w:tcPr>
          <w:p w:rsidR="008B3F14" w:rsidRPr="000B5ECA" w:rsidP="002817B4" w14:paraId="76BE8F7B" w14:textId="10FCEE71">
            <w:pPr>
              <w:snapToGrid w:val="0"/>
              <w:spacing w:before="20" w:after="20"/>
              <w:rPr>
                <w:rFonts w:ascii="Arial Narrow" w:hAnsi="Arial Narrow" w:cs="Arial"/>
                <w:b/>
                <w:bCs/>
                <w:color w:val="000000"/>
                <w:sz w:val="22"/>
              </w:rPr>
            </w:pPr>
            <w:r w:rsidRPr="000B5ECA">
              <w:rPr>
                <w:rFonts w:ascii="Arial Narrow" w:hAnsi="Arial Narrow" w:cs="Arial"/>
                <w:color w:val="000000" w:themeColor="text1"/>
                <w:sz w:val="22"/>
              </w:rPr>
              <w:t>2026 Survey Respondents</w:t>
            </w:r>
          </w:p>
        </w:tc>
        <w:tc>
          <w:tcPr>
            <w:tcW w:w="1557" w:type="dxa"/>
            <w:vAlign w:val="bottom"/>
          </w:tcPr>
          <w:p w:rsidR="008B3F14" w:rsidRPr="000B5ECA" w:rsidP="001648B3" w14:paraId="07934F3C" w14:textId="525421BE">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325</w:t>
            </w:r>
          </w:p>
        </w:tc>
        <w:tc>
          <w:tcPr>
            <w:tcW w:w="1320" w:type="dxa"/>
            <w:vAlign w:val="bottom"/>
          </w:tcPr>
          <w:p w:rsidR="008B3F14" w:rsidRPr="00A4645B" w:rsidP="001648B3" w14:paraId="3953537D" w14:textId="009F54D0">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300</w:t>
            </w:r>
          </w:p>
        </w:tc>
        <w:tc>
          <w:tcPr>
            <w:tcW w:w="1620" w:type="dxa"/>
            <w:vAlign w:val="bottom"/>
          </w:tcPr>
          <w:p w:rsidR="008B3F14" w:rsidRPr="000C0F33" w:rsidP="001648B3" w14:paraId="4CB6C012" w14:textId="7B855A6B">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97,500</w:t>
            </w:r>
          </w:p>
        </w:tc>
        <w:tc>
          <w:tcPr>
            <w:tcW w:w="1245" w:type="dxa"/>
            <w:vAlign w:val="bottom"/>
          </w:tcPr>
          <w:p w:rsidR="008B3F14" w:rsidRPr="000B5ECA" w:rsidP="001648B3" w14:paraId="19F34E54" w14:textId="45EAB72E">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0.167</w:t>
            </w:r>
          </w:p>
        </w:tc>
        <w:tc>
          <w:tcPr>
            <w:tcW w:w="2042" w:type="dxa"/>
            <w:vAlign w:val="bottom"/>
          </w:tcPr>
          <w:p w:rsidR="008B3F14" w:rsidRPr="008B3F14" w:rsidP="001648B3" w14:paraId="2610B38D" w14:textId="58822BE9">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16,282.50</w:t>
            </w:r>
          </w:p>
        </w:tc>
      </w:tr>
      <w:tr w14:paraId="5A3EC7DD" w14:textId="77777777" w:rsidTr="0016663C">
        <w:tblPrEx>
          <w:tblW w:w="5000" w:type="pct"/>
          <w:tblInd w:w="0" w:type="dxa"/>
          <w:tblLayout w:type="fixed"/>
          <w:tblLook w:val="06A0"/>
        </w:tblPrEx>
        <w:trPr>
          <w:cantSplit/>
          <w:trHeight w:val="20"/>
        </w:trPr>
        <w:tc>
          <w:tcPr>
            <w:tcW w:w="1556" w:type="dxa"/>
            <w:tcBorders>
              <w:bottom w:val="single" w:sz="4" w:space="0" w:color="002C5F"/>
            </w:tcBorders>
            <w:vAlign w:val="bottom"/>
          </w:tcPr>
          <w:p w:rsidR="008B3F14" w:rsidRPr="000B5ECA" w:rsidP="002817B4" w14:paraId="436344E2" w14:textId="14DB7F6F">
            <w:pPr>
              <w:snapToGrid w:val="0"/>
              <w:spacing w:before="20" w:after="20"/>
              <w:rPr>
                <w:rFonts w:ascii="Arial Narrow" w:hAnsi="Arial Narrow" w:cs="Arial"/>
                <w:b/>
                <w:bCs/>
                <w:color w:val="000000"/>
                <w:sz w:val="22"/>
              </w:rPr>
            </w:pPr>
            <w:r w:rsidRPr="000B5ECA">
              <w:rPr>
                <w:rFonts w:ascii="Arial Narrow" w:hAnsi="Arial Narrow" w:cs="Arial"/>
                <w:color w:val="000000" w:themeColor="text1"/>
                <w:sz w:val="22"/>
              </w:rPr>
              <w:t>2026 Survey Vendors</w:t>
            </w:r>
          </w:p>
        </w:tc>
        <w:tc>
          <w:tcPr>
            <w:tcW w:w="1557" w:type="dxa"/>
            <w:tcBorders>
              <w:bottom w:val="single" w:sz="4" w:space="0" w:color="002C5F"/>
            </w:tcBorders>
            <w:vAlign w:val="bottom"/>
          </w:tcPr>
          <w:p w:rsidR="008B3F14" w:rsidRPr="000B5ECA" w:rsidP="001648B3" w14:paraId="52566B57" w14:textId="43B48D7B">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5</w:t>
            </w:r>
          </w:p>
        </w:tc>
        <w:tc>
          <w:tcPr>
            <w:tcW w:w="1320" w:type="dxa"/>
            <w:tcBorders>
              <w:bottom w:val="single" w:sz="4" w:space="0" w:color="002C5F"/>
            </w:tcBorders>
            <w:vAlign w:val="bottom"/>
          </w:tcPr>
          <w:p w:rsidR="008B3F14" w:rsidRPr="00A4645B" w:rsidP="001648B3" w14:paraId="5860CF42" w14:textId="00A47E74">
            <w:pPr>
              <w:snapToGrid w:val="0"/>
              <w:spacing w:before="20" w:after="20"/>
              <w:jc w:val="center"/>
              <w:rPr>
                <w:rFonts w:ascii="Arial Narrow" w:hAnsi="Arial Narrow" w:cs="Arial"/>
                <w:color w:val="000000"/>
                <w:sz w:val="22"/>
              </w:rPr>
            </w:pPr>
            <w:r w:rsidRPr="00531430">
              <w:rPr>
                <w:rFonts w:ascii="Arial Narrow" w:hAnsi="Arial Narrow" w:cs="Calibri"/>
                <w:color w:val="000000"/>
                <w:sz w:val="22"/>
              </w:rPr>
              <w:t>1</w:t>
            </w:r>
          </w:p>
        </w:tc>
        <w:tc>
          <w:tcPr>
            <w:tcW w:w="1620" w:type="dxa"/>
            <w:tcBorders>
              <w:bottom w:val="single" w:sz="4" w:space="0" w:color="002C5F"/>
            </w:tcBorders>
            <w:vAlign w:val="bottom"/>
          </w:tcPr>
          <w:p w:rsidR="008B3F14" w:rsidRPr="000C0F33" w:rsidP="001648B3" w14:paraId="14FBEAF9" w14:textId="4193E8A7">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5</w:t>
            </w:r>
          </w:p>
        </w:tc>
        <w:tc>
          <w:tcPr>
            <w:tcW w:w="1245" w:type="dxa"/>
            <w:tcBorders>
              <w:bottom w:val="single" w:sz="4" w:space="0" w:color="002C5F"/>
            </w:tcBorders>
            <w:vAlign w:val="bottom"/>
          </w:tcPr>
          <w:p w:rsidR="008B3F14" w:rsidRPr="000B5ECA" w:rsidP="001648B3" w14:paraId="1F721DB0" w14:textId="62513791">
            <w:pPr>
              <w:snapToGrid w:val="0"/>
              <w:spacing w:before="20" w:after="20"/>
              <w:jc w:val="center"/>
              <w:rPr>
                <w:rFonts w:ascii="Arial Narrow" w:hAnsi="Arial Narrow" w:cs="Arial"/>
                <w:color w:val="000000"/>
                <w:sz w:val="22"/>
              </w:rPr>
            </w:pPr>
            <w:r w:rsidRPr="2F0AE81E">
              <w:rPr>
                <w:rFonts w:ascii="Arial Narrow" w:hAnsi="Arial Narrow" w:cs="Calibri"/>
                <w:color w:val="000000" w:themeColor="text1"/>
                <w:sz w:val="22"/>
              </w:rPr>
              <w:t>1.67</w:t>
            </w:r>
          </w:p>
        </w:tc>
        <w:tc>
          <w:tcPr>
            <w:tcW w:w="2042" w:type="dxa"/>
            <w:tcBorders>
              <w:bottom w:val="single" w:sz="4" w:space="0" w:color="002C5F"/>
            </w:tcBorders>
            <w:vAlign w:val="bottom"/>
          </w:tcPr>
          <w:p w:rsidR="008B3F14" w:rsidRPr="008B3F14" w:rsidP="001648B3" w14:paraId="77E9AA7F" w14:textId="60CDA65E">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8.35</w:t>
            </w:r>
          </w:p>
        </w:tc>
      </w:tr>
      <w:tr w14:paraId="3E095382" w14:textId="77777777" w:rsidTr="0016663C">
        <w:tblPrEx>
          <w:tblW w:w="5000" w:type="pct"/>
          <w:tblInd w:w="0" w:type="dxa"/>
          <w:tblLayout w:type="fixed"/>
          <w:tblLook w:val="06A0"/>
        </w:tblPrEx>
        <w:trPr>
          <w:cantSplit/>
          <w:trHeight w:val="20"/>
        </w:trPr>
        <w:tc>
          <w:tcPr>
            <w:tcW w:w="1556" w:type="dxa"/>
            <w:tcBorders>
              <w:bottom w:val="single" w:sz="4" w:space="0" w:color="002C5F"/>
            </w:tcBorders>
            <w:shd w:val="clear" w:color="auto" w:fill="DBE5F1" w:themeFill="accent1" w:themeFillTint="33"/>
            <w:vAlign w:val="bottom"/>
          </w:tcPr>
          <w:p w:rsidR="008B3F14" w:rsidRPr="000B5ECA" w:rsidP="002817B4" w14:paraId="2C7A37B4" w14:textId="4C74452E">
            <w:pPr>
              <w:snapToGrid w:val="0"/>
              <w:spacing w:before="20" w:after="20"/>
              <w:rPr>
                <w:rFonts w:ascii="Arial Narrow" w:hAnsi="Arial Narrow" w:cs="Arial"/>
                <w:b/>
                <w:bCs/>
                <w:color w:val="000000"/>
                <w:sz w:val="22"/>
              </w:rPr>
            </w:pPr>
            <w:r w:rsidRPr="000B5ECA">
              <w:rPr>
                <w:rFonts w:ascii="Arial Narrow" w:hAnsi="Arial Narrow" w:cs="Arial"/>
                <w:b/>
                <w:bCs/>
                <w:color w:val="000000" w:themeColor="text1"/>
                <w:sz w:val="22"/>
              </w:rPr>
              <w:t>2026</w:t>
            </w:r>
            <w:r w:rsidRPr="000B5ECA">
              <w:rPr>
                <w:rFonts w:ascii="Arial Narrow" w:hAnsi="Arial Narrow" w:cs="Arial"/>
                <w:b/>
                <w:color w:val="000000" w:themeColor="text1"/>
                <w:sz w:val="22"/>
              </w:rPr>
              <w:t xml:space="preserve"> TOTAL</w:t>
            </w:r>
          </w:p>
        </w:tc>
        <w:tc>
          <w:tcPr>
            <w:tcW w:w="1557" w:type="dxa"/>
            <w:tcBorders>
              <w:bottom w:val="single" w:sz="4" w:space="0" w:color="002C5F"/>
            </w:tcBorders>
            <w:shd w:val="clear" w:color="auto" w:fill="DBE5F1" w:themeFill="accent1" w:themeFillTint="33"/>
            <w:vAlign w:val="bottom"/>
          </w:tcPr>
          <w:p w:rsidR="008B3F14" w:rsidRPr="000B5ECA" w:rsidP="001648B3" w14:paraId="67B7B7E6" w14:textId="238ED82B">
            <w:pPr>
              <w:snapToGrid w:val="0"/>
              <w:spacing w:before="20" w:after="20"/>
              <w:jc w:val="center"/>
              <w:rPr>
                <w:rFonts w:ascii="Arial Narrow" w:hAnsi="Arial Narrow" w:cs="Calibri"/>
                <w:color w:val="000000"/>
                <w:sz w:val="22"/>
              </w:rPr>
            </w:pPr>
            <w:r w:rsidRPr="2F0AE81E">
              <w:rPr>
                <w:rFonts w:ascii="Arial Narrow" w:hAnsi="Arial Narrow" w:cs="Calibri"/>
                <w:color w:val="000000" w:themeColor="text1"/>
                <w:sz w:val="22"/>
              </w:rPr>
              <w:t>330</w:t>
            </w:r>
          </w:p>
        </w:tc>
        <w:tc>
          <w:tcPr>
            <w:tcW w:w="1320" w:type="dxa"/>
            <w:tcBorders>
              <w:bottom w:val="single" w:sz="4" w:space="0" w:color="002C5F"/>
            </w:tcBorders>
            <w:shd w:val="clear" w:color="auto" w:fill="DBE5F1" w:themeFill="accent1" w:themeFillTint="33"/>
            <w:vAlign w:val="bottom"/>
          </w:tcPr>
          <w:p w:rsidR="008B3F14" w:rsidRPr="00A4645B" w:rsidP="001648B3" w14:paraId="0E16E5A6" w14:textId="77777777">
            <w:pPr>
              <w:snapToGrid w:val="0"/>
              <w:spacing w:before="20" w:after="20"/>
              <w:jc w:val="center"/>
              <w:rPr>
                <w:rFonts w:ascii="Arial Narrow" w:hAnsi="Arial Narrow" w:cs="Arial"/>
                <w:bCs/>
                <w:color w:val="000000"/>
                <w:sz w:val="22"/>
              </w:rPr>
            </w:pPr>
          </w:p>
        </w:tc>
        <w:tc>
          <w:tcPr>
            <w:tcW w:w="1620" w:type="dxa"/>
            <w:tcBorders>
              <w:bottom w:val="single" w:sz="4" w:space="0" w:color="002C5F"/>
            </w:tcBorders>
            <w:shd w:val="clear" w:color="auto" w:fill="DBE5F1" w:themeFill="accent1" w:themeFillTint="33"/>
            <w:vAlign w:val="bottom"/>
          </w:tcPr>
          <w:p w:rsidR="008B3F14" w:rsidRPr="000C0F33" w:rsidP="001648B3" w14:paraId="1F74C4C8" w14:textId="3A07B706">
            <w:pPr>
              <w:snapToGrid w:val="0"/>
              <w:spacing w:before="20" w:after="20"/>
              <w:jc w:val="center"/>
              <w:rPr>
                <w:rFonts w:ascii="Arial Narrow" w:hAnsi="Arial Narrow" w:cs="Calibri"/>
                <w:color w:val="000000"/>
                <w:sz w:val="22"/>
              </w:rPr>
            </w:pPr>
            <w:r w:rsidRPr="00531430">
              <w:rPr>
                <w:rFonts w:ascii="Arial Narrow" w:hAnsi="Arial Narrow" w:cs="Calibri"/>
                <w:color w:val="000000"/>
                <w:sz w:val="22"/>
              </w:rPr>
              <w:t>97,505</w:t>
            </w:r>
          </w:p>
        </w:tc>
        <w:tc>
          <w:tcPr>
            <w:tcW w:w="1245" w:type="dxa"/>
            <w:tcBorders>
              <w:bottom w:val="single" w:sz="4" w:space="0" w:color="002C5F"/>
            </w:tcBorders>
            <w:shd w:val="clear" w:color="auto" w:fill="DBE5F1" w:themeFill="accent1" w:themeFillTint="33"/>
            <w:vAlign w:val="bottom"/>
          </w:tcPr>
          <w:p w:rsidR="008B3F14" w:rsidRPr="000B5ECA" w:rsidP="001648B3" w14:paraId="5DADFE54" w14:textId="77777777">
            <w:pPr>
              <w:snapToGrid w:val="0"/>
              <w:spacing w:before="20" w:after="20"/>
              <w:jc w:val="center"/>
              <w:rPr>
                <w:rFonts w:ascii="Arial Narrow" w:hAnsi="Arial Narrow" w:cs="Arial"/>
                <w:bCs/>
                <w:color w:val="000000"/>
                <w:sz w:val="22"/>
              </w:rPr>
            </w:pPr>
          </w:p>
        </w:tc>
        <w:tc>
          <w:tcPr>
            <w:tcW w:w="2042" w:type="dxa"/>
            <w:tcBorders>
              <w:bottom w:val="single" w:sz="4" w:space="0" w:color="002C5F"/>
            </w:tcBorders>
            <w:shd w:val="clear" w:color="auto" w:fill="DBE5F1" w:themeFill="accent1" w:themeFillTint="33"/>
            <w:vAlign w:val="bottom"/>
          </w:tcPr>
          <w:p w:rsidR="008B3F14" w:rsidRPr="008B3F14" w:rsidP="001648B3" w14:paraId="7702B5E7" w14:textId="55052D02">
            <w:pPr>
              <w:snapToGrid w:val="0"/>
              <w:spacing w:before="20" w:after="20"/>
              <w:jc w:val="center"/>
              <w:rPr>
                <w:rFonts w:ascii="Arial Narrow" w:hAnsi="Arial Narrow" w:cs="Arial"/>
                <w:color w:val="000000"/>
                <w:sz w:val="22"/>
                <w:highlight w:val="yellow"/>
              </w:rPr>
            </w:pPr>
            <w:r w:rsidRPr="00531430">
              <w:rPr>
                <w:rFonts w:ascii="Arial Narrow" w:hAnsi="Arial Narrow" w:cs="Calibri"/>
                <w:color w:val="000000"/>
                <w:sz w:val="22"/>
              </w:rPr>
              <w:t>16,290.85</w:t>
            </w:r>
          </w:p>
        </w:tc>
      </w:tr>
      <w:tr w14:paraId="6911D8DE" w14:textId="77777777" w:rsidTr="0016663C">
        <w:tblPrEx>
          <w:tblW w:w="5000" w:type="pct"/>
          <w:tblInd w:w="0" w:type="dxa"/>
          <w:tblLayout w:type="fixed"/>
          <w:tblLook w:val="06A0"/>
        </w:tblPrEx>
        <w:trPr>
          <w:cantSplit/>
          <w:trHeight w:val="20"/>
        </w:trPr>
        <w:tc>
          <w:tcPr>
            <w:tcW w:w="1556" w:type="dxa"/>
            <w:shd w:val="clear" w:color="auto" w:fill="95B3D7" w:themeFill="accent1" w:themeFillTint="99"/>
            <w:vAlign w:val="bottom"/>
          </w:tcPr>
          <w:p w:rsidR="008B3F14" w:rsidRPr="000B5ECA" w:rsidP="002817B4" w14:paraId="06D56DFC" w14:textId="77777777">
            <w:pPr>
              <w:snapToGrid w:val="0"/>
              <w:spacing w:before="20" w:after="20"/>
              <w:rPr>
                <w:rFonts w:ascii="Arial Narrow" w:hAnsi="Arial Narrow" w:cs="Arial"/>
                <w:b/>
                <w:bCs/>
                <w:color w:val="000000"/>
                <w:sz w:val="22"/>
              </w:rPr>
            </w:pPr>
            <w:r w:rsidRPr="000B5ECA">
              <w:rPr>
                <w:rFonts w:ascii="Arial Narrow" w:hAnsi="Arial Narrow" w:cs="Arial"/>
                <w:b/>
                <w:bCs/>
                <w:color w:val="000000"/>
                <w:sz w:val="22"/>
              </w:rPr>
              <w:t>3-year TOTAL</w:t>
            </w:r>
          </w:p>
        </w:tc>
        <w:tc>
          <w:tcPr>
            <w:tcW w:w="1557" w:type="dxa"/>
            <w:shd w:val="clear" w:color="auto" w:fill="95B3D7" w:themeFill="accent1" w:themeFillTint="99"/>
            <w:vAlign w:val="bottom"/>
          </w:tcPr>
          <w:p w:rsidR="008B3F14" w:rsidRPr="000B5ECA" w:rsidP="001648B3" w14:paraId="44E90229" w14:textId="429C78AC">
            <w:pPr>
              <w:snapToGrid w:val="0"/>
              <w:spacing w:before="20" w:after="20"/>
              <w:jc w:val="center"/>
              <w:rPr>
                <w:rFonts w:ascii="Arial Narrow" w:hAnsi="Arial Narrow" w:cs="Arial"/>
                <w:b/>
                <w:bCs/>
                <w:color w:val="000000"/>
                <w:sz w:val="22"/>
              </w:rPr>
            </w:pPr>
            <w:r w:rsidRPr="2F0AE81E">
              <w:rPr>
                <w:rFonts w:ascii="Arial Narrow" w:hAnsi="Arial Narrow" w:cs="Calibri"/>
                <w:b/>
                <w:bCs/>
                <w:color w:val="000000" w:themeColor="text1"/>
                <w:sz w:val="22"/>
              </w:rPr>
              <w:t>990</w:t>
            </w:r>
          </w:p>
        </w:tc>
        <w:tc>
          <w:tcPr>
            <w:tcW w:w="1320" w:type="dxa"/>
            <w:shd w:val="clear" w:color="auto" w:fill="95B3D7" w:themeFill="accent1" w:themeFillTint="99"/>
            <w:vAlign w:val="bottom"/>
          </w:tcPr>
          <w:p w:rsidR="008B3F14" w:rsidRPr="00A4645B" w:rsidP="001648B3" w14:paraId="3A04BFC7" w14:textId="77777777">
            <w:pPr>
              <w:snapToGrid w:val="0"/>
              <w:spacing w:before="20" w:after="20"/>
              <w:jc w:val="center"/>
              <w:rPr>
                <w:rFonts w:ascii="Arial Narrow" w:hAnsi="Arial Narrow" w:cs="Arial"/>
                <w:b/>
                <w:bCs/>
                <w:color w:val="000000"/>
                <w:sz w:val="22"/>
              </w:rPr>
            </w:pPr>
          </w:p>
        </w:tc>
        <w:tc>
          <w:tcPr>
            <w:tcW w:w="1620" w:type="dxa"/>
            <w:shd w:val="clear" w:color="auto" w:fill="95B3D7" w:themeFill="accent1" w:themeFillTint="99"/>
            <w:vAlign w:val="bottom"/>
          </w:tcPr>
          <w:p w:rsidR="008B3F14" w:rsidRPr="008B3F14" w:rsidP="001648B3" w14:paraId="633E09CF" w14:textId="07CE3B40">
            <w:pPr>
              <w:snapToGrid w:val="0"/>
              <w:spacing w:before="20" w:after="20"/>
              <w:jc w:val="center"/>
              <w:rPr>
                <w:rFonts w:ascii="Arial Narrow" w:hAnsi="Arial Narrow" w:cs="Arial"/>
                <w:b/>
                <w:bCs/>
                <w:color w:val="000000"/>
                <w:sz w:val="22"/>
              </w:rPr>
            </w:pPr>
            <w:r w:rsidRPr="00531430">
              <w:rPr>
                <w:rFonts w:ascii="Arial Narrow" w:hAnsi="Arial Narrow" w:cs="Calibri"/>
                <w:b/>
                <w:bCs/>
                <w:color w:val="000000"/>
                <w:sz w:val="22"/>
              </w:rPr>
              <w:t>292,515</w:t>
            </w:r>
          </w:p>
        </w:tc>
        <w:tc>
          <w:tcPr>
            <w:tcW w:w="1245" w:type="dxa"/>
            <w:shd w:val="clear" w:color="auto" w:fill="95B3D7" w:themeFill="accent1" w:themeFillTint="99"/>
            <w:vAlign w:val="bottom"/>
          </w:tcPr>
          <w:p w:rsidR="008B3F14" w:rsidRPr="000B5ECA" w:rsidP="001648B3" w14:paraId="5E0B4634" w14:textId="77777777">
            <w:pPr>
              <w:snapToGrid w:val="0"/>
              <w:spacing w:before="20" w:after="20"/>
              <w:jc w:val="center"/>
              <w:rPr>
                <w:rFonts w:ascii="Arial Narrow" w:hAnsi="Arial Narrow" w:cs="Arial"/>
                <w:b/>
                <w:bCs/>
                <w:color w:val="000000"/>
                <w:sz w:val="22"/>
              </w:rPr>
            </w:pPr>
          </w:p>
        </w:tc>
        <w:tc>
          <w:tcPr>
            <w:tcW w:w="2042" w:type="dxa"/>
            <w:shd w:val="clear" w:color="auto" w:fill="95B3D7" w:themeFill="accent1" w:themeFillTint="99"/>
            <w:vAlign w:val="bottom"/>
          </w:tcPr>
          <w:p w:rsidR="008B3F14" w:rsidRPr="008B3F14" w:rsidP="001648B3" w14:paraId="71912A54" w14:textId="0DC3B4C9">
            <w:pPr>
              <w:snapToGrid w:val="0"/>
              <w:spacing w:before="20" w:after="20"/>
              <w:jc w:val="center"/>
              <w:rPr>
                <w:rFonts w:ascii="Arial Narrow" w:hAnsi="Arial Narrow" w:cs="Arial"/>
                <w:b/>
                <w:bCs/>
                <w:color w:val="000000"/>
                <w:sz w:val="22"/>
                <w:highlight w:val="yellow"/>
              </w:rPr>
            </w:pPr>
            <w:r w:rsidRPr="00531430">
              <w:rPr>
                <w:rFonts w:ascii="Arial Narrow" w:hAnsi="Arial Narrow" w:cs="Calibri"/>
                <w:b/>
                <w:bCs/>
                <w:color w:val="000000"/>
                <w:sz w:val="22"/>
              </w:rPr>
              <w:t>48,872.55</w:t>
            </w:r>
          </w:p>
        </w:tc>
      </w:tr>
    </w:tbl>
    <w:bookmarkEnd w:id="38"/>
    <w:p w:rsidR="00342733" w:rsidRPr="00EB0BD6" w:rsidP="00CA0B47" w14:paraId="6CB99C54" w14:textId="259CD382">
      <w:pPr>
        <w:pStyle w:val="StylePTableTitleAsianBodyAsianMSMinchoNotBold"/>
        <w:rPr>
          <w:b/>
        </w:rPr>
      </w:pPr>
      <w:r>
        <w:rPr>
          <w:vertAlign w:val="superscript"/>
        </w:rPr>
        <w:t>1</w:t>
      </w:r>
      <w:r w:rsidRPr="00943E8A">
        <w:t xml:space="preserve"> </w:t>
      </w:r>
      <w:r>
        <w:t>Total Sample = Num</w:t>
      </w:r>
      <w:r w:rsidR="00AE29C4">
        <w:t>ber</w:t>
      </w:r>
      <w:r>
        <w:t xml:space="preserve"> of Reporting Units x Completes per Reporting Unit</w:t>
      </w:r>
    </w:p>
    <w:p w:rsidR="006A5299" w:rsidRPr="00742D1C" w:rsidP="00C26913" w14:paraId="27AF40FF" w14:textId="75E4DF54">
      <w:pPr>
        <w:pStyle w:val="BodyText"/>
      </w:pPr>
      <w:r w:rsidRPr="2F0AE81E">
        <w:t xml:space="preserve">In </w:t>
      </w:r>
      <w:r w:rsidRPr="2F0AE81E" w:rsidR="001A2860">
        <w:t>20</w:t>
      </w:r>
      <w:r w:rsidRPr="2F0AE81E" w:rsidR="00F21C5C">
        <w:t>2</w:t>
      </w:r>
      <w:r w:rsidRPr="2F0AE81E" w:rsidR="00C07045">
        <w:t>4</w:t>
      </w:r>
      <w:r w:rsidRPr="2F0AE81E">
        <w:t xml:space="preserve">, the total annual burden </w:t>
      </w:r>
      <w:r w:rsidRPr="2F0AE81E" w:rsidR="00AF3166">
        <w:t xml:space="preserve">hours for the </w:t>
      </w:r>
      <w:r w:rsidRPr="2F0AE81E" w:rsidR="001A2860">
        <w:t>20</w:t>
      </w:r>
      <w:r w:rsidRPr="2F0AE81E" w:rsidR="00F21C5C">
        <w:t>2</w:t>
      </w:r>
      <w:r w:rsidRPr="2F0AE81E" w:rsidR="00C07045">
        <w:t>4</w:t>
      </w:r>
      <w:r w:rsidRPr="2F0AE81E" w:rsidR="001A2860">
        <w:t xml:space="preserve"> </w:t>
      </w:r>
      <w:r w:rsidRPr="2F0AE81E" w:rsidR="00AF3166">
        <w:t>QHP Enrollee Survey are</w:t>
      </w:r>
      <w:r w:rsidRPr="2F0AE81E">
        <w:t xml:space="preserve"> </w:t>
      </w:r>
      <w:r w:rsidRPr="2F0AE81E" w:rsidR="002B7A6D">
        <w:t xml:space="preserve">estimated to be </w:t>
      </w:r>
      <w:r w:rsidRPr="00531430" w:rsidR="00131D0A">
        <w:t>16,290.85</w:t>
      </w:r>
      <w:r w:rsidRPr="00131D0A" w:rsidR="00FF7B10">
        <w:t xml:space="preserve"> </w:t>
      </w:r>
      <w:r w:rsidRPr="00131D0A">
        <w:t>hours</w:t>
      </w:r>
      <w:r w:rsidRPr="2F0AE81E" w:rsidR="00AF3166">
        <w:t xml:space="preserve">. </w:t>
      </w:r>
      <w:r w:rsidRPr="2F0AE81E" w:rsidR="0093109D">
        <w:t>CMS</w:t>
      </w:r>
      <w:r w:rsidRPr="2F0AE81E" w:rsidR="001B7605">
        <w:t xml:space="preserve"> estimate</w:t>
      </w:r>
      <w:r w:rsidRPr="2F0AE81E" w:rsidR="0093109D">
        <w:t>s</w:t>
      </w:r>
      <w:r w:rsidRPr="2F0AE81E" w:rsidR="001B7605">
        <w:t xml:space="preserve"> a total burden </w:t>
      </w:r>
      <w:r w:rsidRPr="00131D0A" w:rsidR="001B7605">
        <w:t xml:space="preserve">of </w:t>
      </w:r>
      <w:r w:rsidRPr="00531430" w:rsidR="00131D0A">
        <w:t>48,872.55</w:t>
      </w:r>
      <w:r w:rsidRPr="00131D0A" w:rsidR="007C7CA0">
        <w:rPr>
          <w:color w:val="000000" w:themeColor="text1"/>
        </w:rPr>
        <w:t xml:space="preserve"> </w:t>
      </w:r>
      <w:r w:rsidRPr="00131D0A" w:rsidR="001B7605">
        <w:t>hours over</w:t>
      </w:r>
      <w:r w:rsidRPr="2F0AE81E" w:rsidR="001B7605">
        <w:t xml:space="preserve"> three years.</w:t>
      </w:r>
    </w:p>
    <w:p w:rsidR="003F4144" w:rsidRPr="00742D1C" w:rsidP="00C26913" w14:paraId="095D417E" w14:textId="685F690E">
      <w:pPr>
        <w:pStyle w:val="BodyText"/>
      </w:pPr>
      <w:r w:rsidRPr="2F0AE81E">
        <w:t xml:space="preserve">The Bureau of Labor Statistics reported the average hourly wage for civilian workers in the United States was </w:t>
      </w:r>
      <w:r w:rsidRPr="2F0AE81E" w:rsidR="000531AE">
        <w:t>$</w:t>
      </w:r>
      <w:r w:rsidRPr="2F0AE81E" w:rsidR="00C65A8F">
        <w:t>32.</w:t>
      </w:r>
      <w:r w:rsidRPr="2F0AE81E" w:rsidR="0094158D">
        <w:t>82</w:t>
      </w:r>
      <w:r w:rsidRPr="2F0AE81E" w:rsidR="000531AE">
        <w:t xml:space="preserve"> as of </w:t>
      </w:r>
      <w:r w:rsidR="006B526A">
        <w:t>December</w:t>
      </w:r>
      <w:r w:rsidRPr="2F0AE81E" w:rsidR="00C65A8F">
        <w:t xml:space="preserve"> 2022</w:t>
      </w:r>
      <w:r w:rsidR="00117DCD">
        <w:t>.</w:t>
      </w:r>
      <w:r w:rsidRPr="2F0AE81E">
        <w:t xml:space="preserve"> </w:t>
      </w:r>
      <w:r w:rsidRPr="2F0AE81E" w:rsidR="000531AE">
        <w:t xml:space="preserve">To estimate the burden costs for survey vendors, CMS used the average hourly wage for employees in the business and professional services sector </w:t>
      </w:r>
      <w:r w:rsidRPr="2F0AE81E" w:rsidR="003119F3">
        <w:t>which was $3</w:t>
      </w:r>
      <w:r w:rsidRPr="2F0AE81E" w:rsidR="001941B7">
        <w:t>9.50</w:t>
      </w:r>
      <w:r w:rsidRPr="2F0AE81E" w:rsidR="003119F3">
        <w:t xml:space="preserve"> </w:t>
      </w:r>
      <w:r w:rsidRPr="2F0AE81E" w:rsidR="000531AE">
        <w:t xml:space="preserve">as of </w:t>
      </w:r>
      <w:r w:rsidRPr="2F0AE81E" w:rsidR="001941B7">
        <w:t>November 2022</w:t>
      </w:r>
      <w:r w:rsidRPr="2F0AE81E" w:rsidR="0093109D">
        <w:t>.</w:t>
      </w:r>
      <w:r>
        <w:rPr>
          <w:rStyle w:val="FootnoteReference"/>
          <w:rFonts w:eastAsiaTheme="minorEastAsia"/>
        </w:rPr>
        <w:footnoteReference w:id="7"/>
      </w:r>
      <w:r w:rsidRPr="2F0AE81E" w:rsidR="000531AE">
        <w:t xml:space="preserve"> </w:t>
      </w:r>
      <w:r w:rsidRPr="2F0AE81E">
        <w:t xml:space="preserve">See </w:t>
      </w:r>
      <w:r w:rsidRPr="00BF3DC5" w:rsidR="00BF3DC5">
        <w:rPr>
          <w:color w:val="0000FF"/>
          <w:u w:val="single"/>
        </w:rPr>
        <w:fldChar w:fldCharType="begin"/>
      </w:r>
      <w:r w:rsidRPr="00BF3DC5" w:rsidR="00BF3DC5">
        <w:rPr>
          <w:color w:val="0000FF"/>
          <w:u w:val="single"/>
        </w:rPr>
        <w:instrText xml:space="preserve"> REF  _Ref31628704 \h </w:instrText>
      </w:r>
      <w:r w:rsidRPr="00BF3DC5" w:rsidR="00BF3DC5">
        <w:rPr>
          <w:color w:val="0000FF"/>
          <w:u w:val="single"/>
        </w:rPr>
        <w:fldChar w:fldCharType="separate"/>
      </w:r>
      <w:r w:rsidR="00FF2E6A">
        <w:t>Exhibit A</w:t>
      </w:r>
      <w:r w:rsidR="00FF2E6A">
        <w:rPr>
          <w:noProof/>
        </w:rPr>
        <w:t>2</w:t>
      </w:r>
      <w:r w:rsidRPr="00BF3DC5" w:rsidR="00BF3DC5">
        <w:rPr>
          <w:color w:val="0000FF"/>
          <w:u w:val="single"/>
        </w:rPr>
        <w:fldChar w:fldCharType="end"/>
      </w:r>
      <w:r w:rsidRPr="2F0AE81E" w:rsidR="0093109D">
        <w:t xml:space="preserve"> </w:t>
      </w:r>
      <w:r w:rsidRPr="2F0AE81E">
        <w:t>for estimated burden costs.</w:t>
      </w:r>
    </w:p>
    <w:p w:rsidR="000A21B5" w14:paraId="6352C903" w14:textId="77777777">
      <w:pPr>
        <w:rPr>
          <w:rFonts w:ascii="Arial" w:hAnsi="Arial" w:cs="Arial"/>
          <w:b/>
          <w:bCs/>
          <w:sz w:val="20"/>
          <w:szCs w:val="20"/>
        </w:rPr>
      </w:pPr>
      <w:bookmarkStart w:id="39" w:name="_Ref31628704"/>
      <w:r>
        <w:br w:type="page"/>
      </w:r>
    </w:p>
    <w:p w:rsidR="003F4144" w:rsidP="0021489C" w14:paraId="59A643DB" w14:textId="41CFFE12">
      <w:pPr>
        <w:pStyle w:val="Caption"/>
        <w:rPr>
          <w:rFonts w:eastAsiaTheme="minorEastAsia"/>
        </w:rPr>
      </w:pPr>
      <w:r>
        <w:t>Exhibit A</w:t>
      </w:r>
      <w:r w:rsidR="00D859E3">
        <w:rPr>
          <w:noProof/>
        </w:rPr>
        <w:fldChar w:fldCharType="begin"/>
      </w:r>
      <w:r w:rsidR="00D859E3">
        <w:rPr>
          <w:noProof/>
        </w:rPr>
        <w:instrText xml:space="preserve"> SEQ Exhibit_A \* ARABIC </w:instrText>
      </w:r>
      <w:r w:rsidR="00D859E3">
        <w:rPr>
          <w:noProof/>
        </w:rPr>
        <w:fldChar w:fldCharType="separate"/>
      </w:r>
      <w:r w:rsidR="00FF2E6A">
        <w:rPr>
          <w:noProof/>
        </w:rPr>
        <w:t>2</w:t>
      </w:r>
      <w:r w:rsidR="00D859E3">
        <w:rPr>
          <w:noProof/>
        </w:rPr>
        <w:fldChar w:fldCharType="end"/>
      </w:r>
      <w:bookmarkEnd w:id="39"/>
      <w:r w:rsidRPr="0093109D">
        <w:t xml:space="preserve">. </w:t>
      </w:r>
      <w:r>
        <w:rPr>
          <w:rFonts w:eastAsiaTheme="minorEastAsia"/>
        </w:rPr>
        <w:t>Estimated Burden Costs</w:t>
      </w:r>
    </w:p>
    <w:tbl>
      <w:tblPr>
        <w:tblStyle w:val="AIRTable"/>
        <w:tblDescription w:val="Total cost burden calculations for 2024, 2025, and 2026 QHP Enrollee Surveys, including number of respondents, burden hours, and average hourly wage rate"/>
        <w:tblW w:w="5000" w:type="pct"/>
        <w:tblInd w:w="0" w:type="dxa"/>
        <w:tblLayout w:type="fixed"/>
        <w:tblLook w:val="06A0"/>
      </w:tblPr>
      <w:tblGrid>
        <w:gridCol w:w="2143"/>
        <w:gridCol w:w="1598"/>
        <w:gridCol w:w="1775"/>
        <w:gridCol w:w="1864"/>
        <w:gridCol w:w="1970"/>
      </w:tblGrid>
      <w:tr w14:paraId="0D2E54CC" w14:textId="77777777" w:rsidTr="0016663C">
        <w:tblPrEx>
          <w:tblW w:w="5000" w:type="pct"/>
          <w:tblInd w:w="0" w:type="dxa"/>
          <w:tblLayout w:type="fixed"/>
          <w:tblLook w:val="06A0"/>
        </w:tblPrEx>
        <w:trPr>
          <w:cantSplit/>
          <w:trHeight w:val="20"/>
          <w:tblHeader/>
        </w:trPr>
        <w:tc>
          <w:tcPr>
            <w:tcW w:w="2175" w:type="dxa"/>
            <w:shd w:val="clear" w:color="auto" w:fill="1F497D" w:themeFill="text2"/>
            <w:tcMar>
              <w:top w:w="0" w:type="dxa"/>
              <w:bottom w:w="0" w:type="dxa"/>
            </w:tcMar>
            <w:vAlign w:val="center"/>
            <w:hideMark/>
          </w:tcPr>
          <w:p w:rsidR="00AB780B" w:rsidRPr="00612AFC" w:rsidP="002817B4" w14:paraId="5A861487" w14:textId="77777777">
            <w:pPr>
              <w:spacing w:before="40" w:after="40"/>
              <w:rPr>
                <w:rFonts w:ascii="Arial Narrow" w:hAnsi="Arial Narrow" w:cs="Arial"/>
                <w:b/>
                <w:bCs/>
                <w:color w:val="FFFFFF"/>
                <w:sz w:val="22"/>
              </w:rPr>
            </w:pPr>
            <w:r w:rsidRPr="00612AFC">
              <w:rPr>
                <w:rFonts w:ascii="Arial Narrow" w:hAnsi="Arial Narrow" w:cs="Arial"/>
                <w:b/>
                <w:bCs/>
                <w:color w:val="FFFFFF"/>
                <w:sz w:val="22"/>
              </w:rPr>
              <w:t>Source</w:t>
            </w:r>
          </w:p>
        </w:tc>
        <w:tc>
          <w:tcPr>
            <w:tcW w:w="1620" w:type="dxa"/>
            <w:shd w:val="clear" w:color="auto" w:fill="1F497D" w:themeFill="text2"/>
            <w:tcMar>
              <w:top w:w="0" w:type="dxa"/>
              <w:bottom w:w="0" w:type="dxa"/>
            </w:tcMar>
            <w:vAlign w:val="center"/>
            <w:hideMark/>
          </w:tcPr>
          <w:p w:rsidR="00AB780B" w:rsidRPr="00131D0A" w:rsidP="002817B4" w14:paraId="64CE756E" w14:textId="77777777">
            <w:pPr>
              <w:spacing w:before="40" w:after="40"/>
              <w:rPr>
                <w:rFonts w:ascii="Arial Narrow" w:hAnsi="Arial Narrow" w:cs="Arial"/>
                <w:b/>
                <w:bCs/>
                <w:color w:val="FFFFFF"/>
                <w:sz w:val="22"/>
              </w:rPr>
            </w:pPr>
            <w:r w:rsidRPr="00131D0A">
              <w:rPr>
                <w:rFonts w:ascii="Arial Narrow" w:hAnsi="Arial Narrow" w:cs="Arial"/>
                <w:b/>
                <w:bCs/>
                <w:color w:val="FFFFFF"/>
                <w:sz w:val="22"/>
              </w:rPr>
              <w:t>Number of Respondents</w:t>
            </w:r>
          </w:p>
        </w:tc>
        <w:tc>
          <w:tcPr>
            <w:tcW w:w="1800" w:type="dxa"/>
            <w:shd w:val="clear" w:color="auto" w:fill="1F497D" w:themeFill="text2"/>
            <w:tcMar>
              <w:top w:w="0" w:type="dxa"/>
              <w:bottom w:w="0" w:type="dxa"/>
            </w:tcMar>
            <w:vAlign w:val="center"/>
            <w:hideMark/>
          </w:tcPr>
          <w:p w:rsidR="00AB780B" w:rsidRPr="00131D0A" w:rsidP="002817B4" w14:paraId="5F7BD680" w14:textId="77777777">
            <w:pPr>
              <w:spacing w:before="40" w:after="40"/>
              <w:rPr>
                <w:rFonts w:ascii="Arial Narrow" w:hAnsi="Arial Narrow" w:cs="Arial"/>
                <w:b/>
                <w:bCs/>
                <w:color w:val="FFFFFF"/>
                <w:sz w:val="22"/>
              </w:rPr>
            </w:pPr>
            <w:r w:rsidRPr="00131D0A">
              <w:rPr>
                <w:rFonts w:ascii="Arial Narrow" w:hAnsi="Arial Narrow" w:cs="Arial"/>
                <w:b/>
                <w:bCs/>
                <w:color w:val="FFFFFF"/>
                <w:sz w:val="22"/>
              </w:rPr>
              <w:t>Total Burden Hours</w:t>
            </w:r>
          </w:p>
        </w:tc>
        <w:tc>
          <w:tcPr>
            <w:tcW w:w="1890" w:type="dxa"/>
            <w:shd w:val="clear" w:color="auto" w:fill="1F497D" w:themeFill="text2"/>
            <w:tcMar>
              <w:top w:w="0" w:type="dxa"/>
              <w:bottom w:w="0" w:type="dxa"/>
            </w:tcMar>
            <w:vAlign w:val="center"/>
            <w:hideMark/>
          </w:tcPr>
          <w:p w:rsidR="00AB780B" w:rsidRPr="00131D0A" w:rsidP="002817B4" w14:paraId="2CE0C8AA" w14:textId="77777777">
            <w:pPr>
              <w:spacing w:before="40" w:after="40"/>
              <w:rPr>
                <w:rFonts w:ascii="Arial Narrow" w:hAnsi="Arial Narrow" w:cs="Arial"/>
                <w:b/>
                <w:bCs/>
                <w:color w:val="FFFFFF"/>
                <w:sz w:val="22"/>
              </w:rPr>
            </w:pPr>
            <w:r w:rsidRPr="00131D0A">
              <w:rPr>
                <w:rFonts w:ascii="Arial Narrow" w:hAnsi="Arial Narrow" w:cs="Arial"/>
                <w:b/>
                <w:bCs/>
                <w:color w:val="FFFFFF"/>
                <w:sz w:val="22"/>
              </w:rPr>
              <w:t>Average Hourly Wage Rate</w:t>
            </w:r>
          </w:p>
        </w:tc>
        <w:tc>
          <w:tcPr>
            <w:tcW w:w="1998" w:type="dxa"/>
            <w:shd w:val="clear" w:color="auto" w:fill="1F497D" w:themeFill="text2"/>
            <w:tcMar>
              <w:top w:w="0" w:type="dxa"/>
              <w:bottom w:w="0" w:type="dxa"/>
            </w:tcMar>
            <w:vAlign w:val="center"/>
            <w:hideMark/>
          </w:tcPr>
          <w:p w:rsidR="00AB780B" w:rsidRPr="00131D0A" w:rsidP="002817B4" w14:paraId="467EE545" w14:textId="77777777">
            <w:pPr>
              <w:spacing w:before="40" w:after="40"/>
              <w:rPr>
                <w:rFonts w:ascii="Arial Narrow" w:hAnsi="Arial Narrow" w:cs="Arial"/>
                <w:b/>
                <w:bCs/>
                <w:color w:val="FFFFFF"/>
                <w:sz w:val="22"/>
              </w:rPr>
            </w:pPr>
            <w:r w:rsidRPr="00131D0A">
              <w:rPr>
                <w:rFonts w:ascii="Arial Narrow" w:hAnsi="Arial Narrow" w:cs="Arial"/>
                <w:b/>
                <w:bCs/>
                <w:color w:val="FFFFFF"/>
                <w:sz w:val="22"/>
              </w:rPr>
              <w:t>Total Cost Burden</w:t>
            </w:r>
          </w:p>
        </w:tc>
      </w:tr>
      <w:tr w14:paraId="3F3FBCF2" w14:textId="77777777" w:rsidTr="0016663C">
        <w:tblPrEx>
          <w:tblW w:w="5000" w:type="pct"/>
          <w:tblInd w:w="0" w:type="dxa"/>
          <w:tblLayout w:type="fixed"/>
          <w:tblLook w:val="06A0"/>
        </w:tblPrEx>
        <w:trPr>
          <w:cantSplit/>
          <w:trHeight w:val="20"/>
        </w:trPr>
        <w:tc>
          <w:tcPr>
            <w:tcW w:w="2175" w:type="dxa"/>
            <w:tcMar>
              <w:top w:w="0" w:type="dxa"/>
              <w:bottom w:w="0" w:type="dxa"/>
            </w:tcMar>
            <w:vAlign w:val="bottom"/>
            <w:hideMark/>
          </w:tcPr>
          <w:p w:rsidR="006D05B0" w:rsidRPr="009142EC" w:rsidP="002817B4" w14:paraId="4577C996" w14:textId="7A5DDD89">
            <w:pPr>
              <w:spacing w:before="20" w:after="20"/>
              <w:rPr>
                <w:rFonts w:ascii="Arial Narrow" w:hAnsi="Arial Narrow" w:cs="Arial"/>
                <w:color w:val="000000"/>
                <w:sz w:val="22"/>
              </w:rPr>
            </w:pPr>
            <w:r w:rsidRPr="009142EC">
              <w:rPr>
                <w:rFonts w:ascii="Arial Narrow" w:hAnsi="Arial Narrow" w:cs="Arial"/>
                <w:color w:val="000000"/>
                <w:sz w:val="22"/>
              </w:rPr>
              <w:t>2024 Survey Respondents</w:t>
            </w:r>
          </w:p>
        </w:tc>
        <w:tc>
          <w:tcPr>
            <w:tcW w:w="1620" w:type="dxa"/>
            <w:tcMar>
              <w:top w:w="0" w:type="dxa"/>
              <w:bottom w:w="0" w:type="dxa"/>
            </w:tcMar>
            <w:vAlign w:val="bottom"/>
            <w:hideMark/>
          </w:tcPr>
          <w:p w:rsidR="006D05B0" w:rsidRPr="00131D0A" w:rsidP="002817B4" w14:paraId="1F7D512B" w14:textId="7E08D0E5">
            <w:pPr>
              <w:spacing w:before="20" w:after="20"/>
              <w:jc w:val="center"/>
              <w:rPr>
                <w:rFonts w:ascii="Arial Narrow" w:hAnsi="Arial Narrow" w:cs="Arial"/>
                <w:color w:val="000000"/>
                <w:sz w:val="22"/>
              </w:rPr>
            </w:pPr>
            <w:r w:rsidRPr="00531430">
              <w:rPr>
                <w:rFonts w:ascii="Arial Narrow" w:hAnsi="Arial Narrow" w:cs="Calibri"/>
                <w:color w:val="000000"/>
                <w:sz w:val="22"/>
              </w:rPr>
              <w:t>97,500</w:t>
            </w:r>
          </w:p>
        </w:tc>
        <w:tc>
          <w:tcPr>
            <w:tcW w:w="1800" w:type="dxa"/>
            <w:tcMar>
              <w:top w:w="0" w:type="dxa"/>
              <w:bottom w:w="0" w:type="dxa"/>
            </w:tcMar>
            <w:vAlign w:val="bottom"/>
            <w:hideMark/>
          </w:tcPr>
          <w:p w:rsidR="006D05B0" w:rsidRPr="00131D0A" w:rsidP="002817B4" w14:paraId="259F91A6" w14:textId="3342D269">
            <w:pPr>
              <w:spacing w:before="20" w:after="20"/>
              <w:jc w:val="center"/>
              <w:rPr>
                <w:rFonts w:ascii="Arial Narrow" w:hAnsi="Arial Narrow" w:cs="Arial"/>
                <w:color w:val="000000"/>
                <w:sz w:val="22"/>
              </w:rPr>
            </w:pPr>
            <w:r w:rsidRPr="00531430">
              <w:rPr>
                <w:rFonts w:ascii="Arial Narrow" w:hAnsi="Arial Narrow" w:cs="Calibri"/>
                <w:color w:val="000000"/>
                <w:sz w:val="22"/>
              </w:rPr>
              <w:t>16,282.50</w:t>
            </w:r>
          </w:p>
        </w:tc>
        <w:tc>
          <w:tcPr>
            <w:tcW w:w="1890" w:type="dxa"/>
            <w:tcMar>
              <w:top w:w="0" w:type="dxa"/>
              <w:bottom w:w="0" w:type="dxa"/>
            </w:tcMar>
            <w:vAlign w:val="bottom"/>
            <w:hideMark/>
          </w:tcPr>
          <w:p w:rsidR="006D05B0" w:rsidRPr="00131D0A" w:rsidP="002817B4" w14:paraId="75A35B87" w14:textId="258ECB4E">
            <w:pPr>
              <w:spacing w:before="20" w:after="20"/>
              <w:jc w:val="center"/>
              <w:rPr>
                <w:rFonts w:ascii="Arial Narrow" w:hAnsi="Arial Narrow" w:cs="Arial"/>
                <w:color w:val="000000"/>
                <w:sz w:val="22"/>
              </w:rPr>
            </w:pPr>
            <w:r w:rsidRPr="00131D0A">
              <w:rPr>
                <w:rFonts w:ascii="Arial Narrow" w:hAnsi="Arial Narrow" w:cs="Calibri"/>
                <w:color w:val="000000" w:themeColor="text1"/>
                <w:sz w:val="22"/>
              </w:rPr>
              <w:t>$32.82</w:t>
            </w:r>
          </w:p>
        </w:tc>
        <w:tc>
          <w:tcPr>
            <w:tcW w:w="1998" w:type="dxa"/>
            <w:tcMar>
              <w:top w:w="0" w:type="dxa"/>
              <w:bottom w:w="0" w:type="dxa"/>
            </w:tcMar>
            <w:vAlign w:val="bottom"/>
            <w:hideMark/>
          </w:tcPr>
          <w:p w:rsidR="006D05B0" w:rsidRPr="00131D0A" w:rsidP="002817B4" w14:paraId="16FB3C29" w14:textId="1FAC7546">
            <w:pPr>
              <w:spacing w:before="20" w:after="20"/>
              <w:jc w:val="center"/>
              <w:rPr>
                <w:rFonts w:ascii="Arial Narrow" w:hAnsi="Arial Narrow" w:cs="Arial"/>
                <w:color w:val="000000"/>
                <w:sz w:val="22"/>
              </w:rPr>
            </w:pPr>
            <w:r w:rsidRPr="00531430">
              <w:rPr>
                <w:rFonts w:ascii="Arial Narrow" w:hAnsi="Arial Narrow" w:cs="Calibri"/>
                <w:color w:val="000000"/>
                <w:sz w:val="22"/>
              </w:rPr>
              <w:t>$534,391.65</w:t>
            </w:r>
          </w:p>
        </w:tc>
      </w:tr>
      <w:tr w14:paraId="5A8B5821" w14:textId="77777777" w:rsidTr="0016663C">
        <w:tblPrEx>
          <w:tblW w:w="5000" w:type="pct"/>
          <w:tblInd w:w="0" w:type="dxa"/>
          <w:tblLayout w:type="fixed"/>
          <w:tblLook w:val="06A0"/>
        </w:tblPrEx>
        <w:trPr>
          <w:cantSplit/>
          <w:trHeight w:val="20"/>
        </w:trPr>
        <w:tc>
          <w:tcPr>
            <w:tcW w:w="2175" w:type="dxa"/>
            <w:tcBorders>
              <w:bottom w:val="single" w:sz="4" w:space="0" w:color="002C5F"/>
            </w:tcBorders>
            <w:tcMar>
              <w:top w:w="0" w:type="dxa"/>
              <w:bottom w:w="0" w:type="dxa"/>
            </w:tcMar>
            <w:vAlign w:val="bottom"/>
            <w:hideMark/>
          </w:tcPr>
          <w:p w:rsidR="006D05B0" w:rsidRPr="009142EC" w:rsidP="002817B4" w14:paraId="0B4077C5" w14:textId="73794BE8">
            <w:pPr>
              <w:spacing w:before="20" w:after="20"/>
              <w:rPr>
                <w:rFonts w:ascii="Arial Narrow" w:hAnsi="Arial Narrow" w:cs="Arial"/>
                <w:color w:val="000000"/>
                <w:sz w:val="22"/>
              </w:rPr>
            </w:pPr>
            <w:r w:rsidRPr="009142EC">
              <w:rPr>
                <w:rFonts w:ascii="Arial Narrow" w:hAnsi="Arial Narrow" w:cs="Arial"/>
                <w:color w:val="000000"/>
                <w:sz w:val="22"/>
              </w:rPr>
              <w:t>2024 Survey Vendors</w:t>
            </w:r>
          </w:p>
        </w:tc>
        <w:tc>
          <w:tcPr>
            <w:tcW w:w="1620" w:type="dxa"/>
            <w:tcBorders>
              <w:bottom w:val="single" w:sz="4" w:space="0" w:color="002C5F"/>
            </w:tcBorders>
            <w:tcMar>
              <w:top w:w="0" w:type="dxa"/>
              <w:bottom w:w="0" w:type="dxa"/>
            </w:tcMar>
            <w:vAlign w:val="bottom"/>
            <w:hideMark/>
          </w:tcPr>
          <w:p w:rsidR="006D05B0" w:rsidRPr="00131D0A" w:rsidP="002817B4" w14:paraId="433F6A9A" w14:textId="0F6203A3">
            <w:pPr>
              <w:spacing w:before="20" w:after="20"/>
              <w:jc w:val="center"/>
              <w:rPr>
                <w:rFonts w:ascii="Arial Narrow" w:hAnsi="Arial Narrow" w:cs="Arial"/>
                <w:color w:val="000000"/>
                <w:sz w:val="22"/>
              </w:rPr>
            </w:pPr>
            <w:r w:rsidRPr="00531430">
              <w:rPr>
                <w:rFonts w:ascii="Arial Narrow" w:hAnsi="Arial Narrow" w:cs="Calibri"/>
                <w:color w:val="000000"/>
                <w:sz w:val="22"/>
              </w:rPr>
              <w:t>5</w:t>
            </w:r>
          </w:p>
        </w:tc>
        <w:tc>
          <w:tcPr>
            <w:tcW w:w="1800" w:type="dxa"/>
            <w:tcBorders>
              <w:bottom w:val="single" w:sz="4" w:space="0" w:color="002C5F"/>
            </w:tcBorders>
            <w:tcMar>
              <w:top w:w="0" w:type="dxa"/>
              <w:bottom w:w="0" w:type="dxa"/>
            </w:tcMar>
            <w:vAlign w:val="bottom"/>
            <w:hideMark/>
          </w:tcPr>
          <w:p w:rsidR="006D05B0" w:rsidRPr="00131D0A" w:rsidP="002817B4" w14:paraId="72E96BF6" w14:textId="3E323D89">
            <w:pPr>
              <w:spacing w:before="20" w:after="20"/>
              <w:jc w:val="center"/>
              <w:rPr>
                <w:rFonts w:ascii="Arial Narrow" w:hAnsi="Arial Narrow" w:cs="Arial"/>
                <w:color w:val="000000"/>
                <w:sz w:val="22"/>
              </w:rPr>
            </w:pPr>
            <w:r w:rsidRPr="00531430">
              <w:rPr>
                <w:rFonts w:ascii="Arial Narrow" w:hAnsi="Arial Narrow" w:cs="Calibri"/>
                <w:color w:val="000000"/>
                <w:sz w:val="22"/>
              </w:rPr>
              <w:t>8.35</w:t>
            </w:r>
          </w:p>
        </w:tc>
        <w:tc>
          <w:tcPr>
            <w:tcW w:w="1890" w:type="dxa"/>
            <w:tcBorders>
              <w:bottom w:val="single" w:sz="4" w:space="0" w:color="002C5F"/>
            </w:tcBorders>
            <w:tcMar>
              <w:top w:w="0" w:type="dxa"/>
              <w:bottom w:w="0" w:type="dxa"/>
            </w:tcMar>
            <w:vAlign w:val="bottom"/>
            <w:hideMark/>
          </w:tcPr>
          <w:p w:rsidR="006D05B0" w:rsidRPr="00131D0A" w:rsidP="002817B4" w14:paraId="7FDFAA49" w14:textId="286F88E3">
            <w:pPr>
              <w:spacing w:before="20" w:after="20"/>
              <w:jc w:val="center"/>
              <w:rPr>
                <w:rFonts w:ascii="Arial Narrow" w:hAnsi="Arial Narrow" w:cs="Arial"/>
                <w:color w:val="000000"/>
                <w:sz w:val="22"/>
              </w:rPr>
            </w:pPr>
            <w:r w:rsidRPr="00131D0A">
              <w:rPr>
                <w:rFonts w:ascii="Arial Narrow" w:hAnsi="Arial Narrow" w:cs="Calibri"/>
                <w:color w:val="000000" w:themeColor="text1"/>
                <w:sz w:val="22"/>
              </w:rPr>
              <w:t>$39.50</w:t>
            </w:r>
          </w:p>
        </w:tc>
        <w:tc>
          <w:tcPr>
            <w:tcW w:w="1998" w:type="dxa"/>
            <w:tcBorders>
              <w:bottom w:val="single" w:sz="4" w:space="0" w:color="002C5F"/>
            </w:tcBorders>
            <w:tcMar>
              <w:top w:w="0" w:type="dxa"/>
              <w:bottom w:w="0" w:type="dxa"/>
            </w:tcMar>
            <w:vAlign w:val="bottom"/>
            <w:hideMark/>
          </w:tcPr>
          <w:p w:rsidR="006D05B0" w:rsidRPr="00131D0A" w:rsidP="002817B4" w14:paraId="42949E57" w14:textId="361BB2CE">
            <w:pPr>
              <w:spacing w:before="20" w:after="20"/>
              <w:jc w:val="center"/>
              <w:rPr>
                <w:rFonts w:ascii="Arial Narrow" w:hAnsi="Arial Narrow" w:cs="Arial"/>
                <w:color w:val="000000"/>
                <w:sz w:val="22"/>
              </w:rPr>
            </w:pPr>
            <w:r w:rsidRPr="00531430">
              <w:rPr>
                <w:rFonts w:ascii="Arial Narrow" w:hAnsi="Arial Narrow" w:cs="Calibri"/>
                <w:color w:val="000000"/>
                <w:sz w:val="22"/>
              </w:rPr>
              <w:t>$329.83</w:t>
            </w:r>
          </w:p>
        </w:tc>
      </w:tr>
      <w:tr w14:paraId="6B36F2A6" w14:textId="77777777" w:rsidTr="0016663C">
        <w:tblPrEx>
          <w:tblW w:w="5000" w:type="pct"/>
          <w:tblInd w:w="0" w:type="dxa"/>
          <w:tblLayout w:type="fixed"/>
          <w:tblLook w:val="06A0"/>
        </w:tblPrEx>
        <w:trPr>
          <w:cantSplit/>
          <w:trHeight w:val="20"/>
        </w:trPr>
        <w:tc>
          <w:tcPr>
            <w:tcW w:w="2175" w:type="dxa"/>
            <w:shd w:val="clear" w:color="auto" w:fill="DBE5F1" w:themeFill="accent1" w:themeFillTint="33"/>
            <w:tcMar>
              <w:top w:w="0" w:type="dxa"/>
              <w:bottom w:w="0" w:type="dxa"/>
            </w:tcMar>
            <w:vAlign w:val="bottom"/>
            <w:hideMark/>
          </w:tcPr>
          <w:p w:rsidR="006D05B0" w:rsidRPr="009142EC" w:rsidP="002817B4" w14:paraId="2EC0D2BD" w14:textId="108A7BBC">
            <w:pPr>
              <w:spacing w:before="20" w:after="20"/>
              <w:rPr>
                <w:rFonts w:ascii="Arial Narrow" w:hAnsi="Arial Narrow" w:cs="Arial"/>
                <w:b/>
                <w:bCs/>
                <w:color w:val="000000"/>
                <w:sz w:val="22"/>
              </w:rPr>
            </w:pPr>
            <w:r w:rsidRPr="009142EC">
              <w:rPr>
                <w:rFonts w:ascii="Arial Narrow" w:hAnsi="Arial Narrow" w:cs="Arial"/>
                <w:b/>
                <w:bCs/>
                <w:color w:val="000000"/>
                <w:sz w:val="22"/>
              </w:rPr>
              <w:t>2024 TOTAL</w:t>
            </w:r>
          </w:p>
        </w:tc>
        <w:tc>
          <w:tcPr>
            <w:tcW w:w="1620" w:type="dxa"/>
            <w:shd w:val="clear" w:color="auto" w:fill="DBE5F1" w:themeFill="accent1" w:themeFillTint="33"/>
            <w:tcMar>
              <w:top w:w="0" w:type="dxa"/>
              <w:bottom w:w="0" w:type="dxa"/>
            </w:tcMar>
            <w:vAlign w:val="bottom"/>
          </w:tcPr>
          <w:p w:rsidR="006D05B0" w:rsidRPr="00131D0A" w:rsidP="002817B4" w14:paraId="366173F4" w14:textId="075D9BFD">
            <w:pPr>
              <w:spacing w:before="20" w:after="20"/>
              <w:jc w:val="center"/>
              <w:rPr>
                <w:rFonts w:ascii="Arial Narrow" w:hAnsi="Arial Narrow" w:cs="Times New Roman"/>
                <w:b/>
                <w:bCs/>
                <w:color w:val="000000"/>
                <w:sz w:val="22"/>
              </w:rPr>
            </w:pPr>
            <w:r w:rsidRPr="00531430">
              <w:rPr>
                <w:rFonts w:ascii="Arial Narrow" w:hAnsi="Arial Narrow" w:cs="Calibri"/>
                <w:color w:val="000000"/>
                <w:sz w:val="22"/>
              </w:rPr>
              <w:t>97,505</w:t>
            </w:r>
          </w:p>
        </w:tc>
        <w:tc>
          <w:tcPr>
            <w:tcW w:w="1800" w:type="dxa"/>
            <w:shd w:val="clear" w:color="auto" w:fill="DBE5F1" w:themeFill="accent1" w:themeFillTint="33"/>
            <w:tcMar>
              <w:top w:w="0" w:type="dxa"/>
              <w:bottom w:w="0" w:type="dxa"/>
            </w:tcMar>
            <w:vAlign w:val="bottom"/>
          </w:tcPr>
          <w:p w:rsidR="006D05B0" w:rsidRPr="00131D0A" w:rsidP="002817B4" w14:paraId="53AA2291" w14:textId="2D35E2A6">
            <w:pPr>
              <w:spacing w:before="20" w:after="20"/>
              <w:jc w:val="center"/>
              <w:rPr>
                <w:rFonts w:ascii="Arial Narrow" w:hAnsi="Arial Narrow" w:cs="Calibri"/>
                <w:color w:val="000000"/>
                <w:sz w:val="22"/>
              </w:rPr>
            </w:pPr>
            <w:r w:rsidRPr="00531430">
              <w:rPr>
                <w:rFonts w:ascii="Arial Narrow" w:hAnsi="Arial Narrow" w:cs="Calibri"/>
                <w:color w:val="000000"/>
                <w:sz w:val="22"/>
              </w:rPr>
              <w:t>16,290.85</w:t>
            </w:r>
          </w:p>
        </w:tc>
        <w:tc>
          <w:tcPr>
            <w:tcW w:w="1890" w:type="dxa"/>
            <w:shd w:val="clear" w:color="auto" w:fill="DBE5F1" w:themeFill="accent1" w:themeFillTint="33"/>
            <w:tcMar>
              <w:top w:w="0" w:type="dxa"/>
              <w:bottom w:w="0" w:type="dxa"/>
            </w:tcMar>
            <w:vAlign w:val="bottom"/>
          </w:tcPr>
          <w:p w:rsidR="006D05B0" w:rsidRPr="00131D0A" w:rsidP="002817B4" w14:paraId="40FD0717" w14:textId="4C8A55A3">
            <w:pPr>
              <w:spacing w:before="20" w:after="20"/>
              <w:jc w:val="center"/>
              <w:rPr>
                <w:rFonts w:ascii="Arial Narrow" w:hAnsi="Arial Narrow" w:cs="Times New Roman"/>
                <w:b/>
                <w:bCs/>
                <w:color w:val="000000"/>
                <w:sz w:val="22"/>
              </w:rPr>
            </w:pPr>
          </w:p>
        </w:tc>
        <w:tc>
          <w:tcPr>
            <w:tcW w:w="1998" w:type="dxa"/>
            <w:shd w:val="clear" w:color="auto" w:fill="DBE5F1" w:themeFill="accent1" w:themeFillTint="33"/>
            <w:tcMar>
              <w:top w:w="0" w:type="dxa"/>
              <w:bottom w:w="0" w:type="dxa"/>
            </w:tcMar>
            <w:vAlign w:val="bottom"/>
          </w:tcPr>
          <w:p w:rsidR="006D05B0" w:rsidRPr="00131D0A" w:rsidP="002817B4" w14:paraId="4605E535" w14:textId="5FA76166">
            <w:pPr>
              <w:spacing w:before="20" w:after="20"/>
              <w:jc w:val="center"/>
              <w:rPr>
                <w:rFonts w:ascii="Arial Narrow" w:hAnsi="Arial Narrow" w:cs="Calibri"/>
                <w:color w:val="000000"/>
                <w:sz w:val="22"/>
              </w:rPr>
            </w:pPr>
            <w:r w:rsidRPr="00531430">
              <w:rPr>
                <w:rFonts w:ascii="Arial Narrow" w:hAnsi="Arial Narrow" w:cs="Calibri"/>
                <w:color w:val="000000"/>
                <w:sz w:val="22"/>
              </w:rPr>
              <w:t>$534,721.48</w:t>
            </w:r>
          </w:p>
        </w:tc>
      </w:tr>
      <w:tr w14:paraId="06AA8AE6" w14:textId="77777777" w:rsidTr="0016663C">
        <w:tblPrEx>
          <w:tblW w:w="5000" w:type="pct"/>
          <w:tblInd w:w="0" w:type="dxa"/>
          <w:tblLayout w:type="fixed"/>
          <w:tblLook w:val="06A0"/>
        </w:tblPrEx>
        <w:trPr>
          <w:cantSplit/>
          <w:trHeight w:val="20"/>
        </w:trPr>
        <w:tc>
          <w:tcPr>
            <w:tcW w:w="2175" w:type="dxa"/>
            <w:tcMar>
              <w:top w:w="0" w:type="dxa"/>
              <w:bottom w:w="0" w:type="dxa"/>
            </w:tcMar>
            <w:vAlign w:val="bottom"/>
          </w:tcPr>
          <w:p w:rsidR="006D05B0" w:rsidRPr="009142EC" w:rsidP="002817B4" w14:paraId="4C69DD76" w14:textId="71CB77D1">
            <w:pPr>
              <w:spacing w:before="20" w:after="20"/>
              <w:rPr>
                <w:rFonts w:ascii="Arial Narrow" w:hAnsi="Arial Narrow" w:cs="Arial"/>
                <w:b/>
                <w:bCs/>
                <w:color w:val="000000"/>
                <w:sz w:val="22"/>
              </w:rPr>
            </w:pPr>
            <w:r w:rsidRPr="009142EC">
              <w:rPr>
                <w:rFonts w:ascii="Arial Narrow" w:hAnsi="Arial Narrow" w:cs="Arial"/>
                <w:color w:val="000000"/>
                <w:sz w:val="22"/>
              </w:rPr>
              <w:t>2025 Survey Respondents</w:t>
            </w:r>
          </w:p>
        </w:tc>
        <w:tc>
          <w:tcPr>
            <w:tcW w:w="1620" w:type="dxa"/>
            <w:tcMar>
              <w:top w:w="0" w:type="dxa"/>
              <w:bottom w:w="0" w:type="dxa"/>
            </w:tcMar>
            <w:vAlign w:val="bottom"/>
          </w:tcPr>
          <w:p w:rsidR="006D05B0" w:rsidRPr="00131D0A" w:rsidP="002817B4" w14:paraId="1461C8A5" w14:textId="25C0772D">
            <w:pPr>
              <w:spacing w:before="20" w:after="20"/>
              <w:jc w:val="center"/>
              <w:rPr>
                <w:rFonts w:ascii="Arial Narrow" w:hAnsi="Arial Narrow" w:cs="Calibri"/>
                <w:color w:val="000000"/>
                <w:sz w:val="22"/>
              </w:rPr>
            </w:pPr>
            <w:r w:rsidRPr="00531430">
              <w:rPr>
                <w:rFonts w:ascii="Arial Narrow" w:hAnsi="Arial Narrow" w:cs="Calibri"/>
                <w:color w:val="000000"/>
                <w:sz w:val="22"/>
              </w:rPr>
              <w:t>97,500</w:t>
            </w:r>
          </w:p>
        </w:tc>
        <w:tc>
          <w:tcPr>
            <w:tcW w:w="1800" w:type="dxa"/>
            <w:tcMar>
              <w:top w:w="0" w:type="dxa"/>
              <w:bottom w:w="0" w:type="dxa"/>
            </w:tcMar>
            <w:vAlign w:val="bottom"/>
          </w:tcPr>
          <w:p w:rsidR="006D05B0" w:rsidRPr="00131D0A" w:rsidP="002817B4" w14:paraId="065B0E14" w14:textId="63A8C2B3">
            <w:pPr>
              <w:spacing w:before="20" w:after="20"/>
              <w:jc w:val="center"/>
              <w:rPr>
                <w:rFonts w:ascii="Arial Narrow" w:hAnsi="Arial Narrow" w:cs="Calibri"/>
                <w:color w:val="000000"/>
                <w:sz w:val="22"/>
              </w:rPr>
            </w:pPr>
            <w:r w:rsidRPr="00531430">
              <w:rPr>
                <w:rFonts w:ascii="Arial Narrow" w:hAnsi="Arial Narrow" w:cs="Calibri"/>
                <w:color w:val="000000"/>
                <w:sz w:val="22"/>
              </w:rPr>
              <w:t>16,282.50</w:t>
            </w:r>
          </w:p>
        </w:tc>
        <w:tc>
          <w:tcPr>
            <w:tcW w:w="1890" w:type="dxa"/>
            <w:tcMar>
              <w:top w:w="0" w:type="dxa"/>
              <w:bottom w:w="0" w:type="dxa"/>
            </w:tcMar>
            <w:vAlign w:val="bottom"/>
          </w:tcPr>
          <w:p w:rsidR="006D05B0" w:rsidRPr="00131D0A" w:rsidP="002817B4" w14:paraId="6E37C837" w14:textId="5C42468F">
            <w:pPr>
              <w:spacing w:before="20" w:after="20"/>
              <w:jc w:val="center"/>
              <w:rPr>
                <w:rFonts w:ascii="Arial Narrow" w:hAnsi="Arial Narrow" w:cs="Calibri"/>
                <w:color w:val="000000"/>
                <w:sz w:val="22"/>
              </w:rPr>
            </w:pPr>
            <w:r w:rsidRPr="00131D0A">
              <w:rPr>
                <w:rFonts w:ascii="Arial Narrow" w:hAnsi="Arial Narrow" w:cs="Calibri"/>
                <w:color w:val="000000" w:themeColor="text1"/>
                <w:sz w:val="22"/>
              </w:rPr>
              <w:t>$32.82</w:t>
            </w:r>
          </w:p>
        </w:tc>
        <w:tc>
          <w:tcPr>
            <w:tcW w:w="1998" w:type="dxa"/>
            <w:tcMar>
              <w:top w:w="0" w:type="dxa"/>
              <w:bottom w:w="0" w:type="dxa"/>
            </w:tcMar>
            <w:vAlign w:val="bottom"/>
          </w:tcPr>
          <w:p w:rsidR="006D05B0" w:rsidRPr="00131D0A" w:rsidP="002817B4" w14:paraId="6D08D399" w14:textId="33507AB8">
            <w:pPr>
              <w:spacing w:before="20" w:after="20"/>
              <w:jc w:val="center"/>
              <w:rPr>
                <w:rFonts w:ascii="Arial Narrow" w:hAnsi="Arial Narrow" w:cs="Calibri"/>
                <w:color w:val="000000"/>
                <w:sz w:val="22"/>
              </w:rPr>
            </w:pPr>
            <w:r w:rsidRPr="00531430">
              <w:rPr>
                <w:rFonts w:ascii="Arial Narrow" w:hAnsi="Arial Narrow" w:cs="Calibri"/>
                <w:color w:val="000000"/>
                <w:sz w:val="22"/>
              </w:rPr>
              <w:t>$534,391.65</w:t>
            </w:r>
          </w:p>
        </w:tc>
      </w:tr>
      <w:tr w14:paraId="666D681E" w14:textId="77777777" w:rsidTr="0016663C">
        <w:tblPrEx>
          <w:tblW w:w="5000" w:type="pct"/>
          <w:tblInd w:w="0" w:type="dxa"/>
          <w:tblLayout w:type="fixed"/>
          <w:tblLook w:val="06A0"/>
        </w:tblPrEx>
        <w:trPr>
          <w:cantSplit/>
          <w:trHeight w:val="20"/>
        </w:trPr>
        <w:tc>
          <w:tcPr>
            <w:tcW w:w="2175" w:type="dxa"/>
            <w:tcBorders>
              <w:bottom w:val="single" w:sz="4" w:space="0" w:color="002C5F"/>
            </w:tcBorders>
            <w:tcMar>
              <w:top w:w="0" w:type="dxa"/>
              <w:bottom w:w="0" w:type="dxa"/>
            </w:tcMar>
            <w:vAlign w:val="bottom"/>
          </w:tcPr>
          <w:p w:rsidR="006D05B0" w:rsidRPr="009142EC" w:rsidP="002817B4" w14:paraId="06EDF0FB" w14:textId="2871EEEE">
            <w:pPr>
              <w:spacing w:before="20" w:after="20"/>
              <w:rPr>
                <w:rFonts w:ascii="Arial Narrow" w:hAnsi="Arial Narrow" w:cs="Arial"/>
                <w:b/>
                <w:bCs/>
                <w:color w:val="000000"/>
                <w:sz w:val="22"/>
              </w:rPr>
            </w:pPr>
            <w:r w:rsidRPr="009142EC">
              <w:rPr>
                <w:rFonts w:ascii="Arial Narrow" w:hAnsi="Arial Narrow" w:cs="Arial"/>
                <w:color w:val="000000"/>
                <w:sz w:val="22"/>
              </w:rPr>
              <w:t>2025 Survey Vendors</w:t>
            </w:r>
          </w:p>
        </w:tc>
        <w:tc>
          <w:tcPr>
            <w:tcW w:w="1620" w:type="dxa"/>
            <w:tcBorders>
              <w:bottom w:val="single" w:sz="4" w:space="0" w:color="002C5F"/>
            </w:tcBorders>
            <w:tcMar>
              <w:top w:w="0" w:type="dxa"/>
              <w:bottom w:w="0" w:type="dxa"/>
            </w:tcMar>
            <w:vAlign w:val="bottom"/>
          </w:tcPr>
          <w:p w:rsidR="006D05B0" w:rsidRPr="00131D0A" w:rsidP="002817B4" w14:paraId="71428467" w14:textId="35E7F3B5">
            <w:pPr>
              <w:spacing w:before="20" w:after="20"/>
              <w:jc w:val="center"/>
              <w:rPr>
                <w:rFonts w:ascii="Arial Narrow" w:hAnsi="Arial Narrow" w:cs="Calibri"/>
                <w:color w:val="000000"/>
                <w:sz w:val="22"/>
              </w:rPr>
            </w:pPr>
            <w:r w:rsidRPr="00531430">
              <w:rPr>
                <w:rFonts w:ascii="Arial Narrow" w:hAnsi="Arial Narrow" w:cs="Calibri"/>
                <w:color w:val="000000"/>
                <w:sz w:val="22"/>
              </w:rPr>
              <w:t>5</w:t>
            </w:r>
          </w:p>
        </w:tc>
        <w:tc>
          <w:tcPr>
            <w:tcW w:w="1800" w:type="dxa"/>
            <w:tcBorders>
              <w:bottom w:val="single" w:sz="4" w:space="0" w:color="002C5F"/>
            </w:tcBorders>
            <w:tcMar>
              <w:top w:w="0" w:type="dxa"/>
              <w:bottom w:w="0" w:type="dxa"/>
            </w:tcMar>
            <w:vAlign w:val="bottom"/>
          </w:tcPr>
          <w:p w:rsidR="006D05B0" w:rsidRPr="00131D0A" w:rsidP="002817B4" w14:paraId="1FDE5E9A" w14:textId="1E7D3907">
            <w:pPr>
              <w:spacing w:before="20" w:after="20"/>
              <w:jc w:val="center"/>
              <w:rPr>
                <w:rFonts w:ascii="Arial Narrow" w:hAnsi="Arial Narrow" w:cs="Calibri"/>
                <w:color w:val="000000"/>
                <w:sz w:val="22"/>
              </w:rPr>
            </w:pPr>
            <w:r w:rsidRPr="00531430">
              <w:rPr>
                <w:rFonts w:ascii="Arial Narrow" w:hAnsi="Arial Narrow" w:cs="Calibri"/>
                <w:color w:val="000000"/>
                <w:sz w:val="22"/>
              </w:rPr>
              <w:t>8.35</w:t>
            </w:r>
          </w:p>
        </w:tc>
        <w:tc>
          <w:tcPr>
            <w:tcW w:w="1890" w:type="dxa"/>
            <w:tcBorders>
              <w:bottom w:val="single" w:sz="4" w:space="0" w:color="002C5F"/>
            </w:tcBorders>
            <w:tcMar>
              <w:top w:w="0" w:type="dxa"/>
              <w:bottom w:w="0" w:type="dxa"/>
            </w:tcMar>
            <w:vAlign w:val="bottom"/>
          </w:tcPr>
          <w:p w:rsidR="006D05B0" w:rsidRPr="00131D0A" w:rsidP="002817B4" w14:paraId="30E0051A" w14:textId="450185F4">
            <w:pPr>
              <w:spacing w:before="20" w:after="20"/>
              <w:jc w:val="center"/>
              <w:rPr>
                <w:rFonts w:ascii="Arial Narrow" w:hAnsi="Arial Narrow" w:cs="Calibri"/>
                <w:color w:val="000000"/>
                <w:sz w:val="22"/>
              </w:rPr>
            </w:pPr>
            <w:r w:rsidRPr="00131D0A">
              <w:rPr>
                <w:rFonts w:ascii="Arial Narrow" w:hAnsi="Arial Narrow" w:cs="Calibri"/>
                <w:color w:val="000000" w:themeColor="text1"/>
                <w:sz w:val="22"/>
              </w:rPr>
              <w:t>$39.50</w:t>
            </w:r>
          </w:p>
        </w:tc>
        <w:tc>
          <w:tcPr>
            <w:tcW w:w="1998" w:type="dxa"/>
            <w:tcBorders>
              <w:bottom w:val="single" w:sz="4" w:space="0" w:color="002C5F"/>
            </w:tcBorders>
            <w:tcMar>
              <w:top w:w="0" w:type="dxa"/>
              <w:bottom w:w="0" w:type="dxa"/>
            </w:tcMar>
            <w:vAlign w:val="bottom"/>
          </w:tcPr>
          <w:p w:rsidR="006D05B0" w:rsidRPr="00131D0A" w:rsidP="002817B4" w14:paraId="1D30710B" w14:textId="3180B791">
            <w:pPr>
              <w:spacing w:before="20" w:after="20"/>
              <w:jc w:val="center"/>
              <w:rPr>
                <w:rFonts w:ascii="Arial Narrow" w:hAnsi="Arial Narrow" w:cs="Calibri"/>
                <w:color w:val="000000"/>
                <w:sz w:val="22"/>
              </w:rPr>
            </w:pPr>
            <w:r w:rsidRPr="00531430">
              <w:rPr>
                <w:rFonts w:ascii="Arial Narrow" w:hAnsi="Arial Narrow" w:cs="Calibri"/>
                <w:color w:val="000000"/>
                <w:sz w:val="22"/>
              </w:rPr>
              <w:t>$329.83</w:t>
            </w:r>
          </w:p>
        </w:tc>
      </w:tr>
      <w:tr w14:paraId="55469320" w14:textId="77777777" w:rsidTr="0016663C">
        <w:tblPrEx>
          <w:tblW w:w="5000" w:type="pct"/>
          <w:tblInd w:w="0" w:type="dxa"/>
          <w:tblLayout w:type="fixed"/>
          <w:tblLook w:val="06A0"/>
        </w:tblPrEx>
        <w:trPr>
          <w:cantSplit/>
          <w:trHeight w:val="20"/>
        </w:trPr>
        <w:tc>
          <w:tcPr>
            <w:tcW w:w="2175" w:type="dxa"/>
            <w:shd w:val="clear" w:color="auto" w:fill="DBE5F1" w:themeFill="accent1" w:themeFillTint="33"/>
            <w:tcMar>
              <w:top w:w="0" w:type="dxa"/>
              <w:bottom w:w="0" w:type="dxa"/>
            </w:tcMar>
            <w:vAlign w:val="bottom"/>
          </w:tcPr>
          <w:p w:rsidR="006D05B0" w:rsidRPr="009142EC" w:rsidP="002817B4" w14:paraId="3607C6B0" w14:textId="280986F0">
            <w:pPr>
              <w:spacing w:before="20" w:after="20"/>
              <w:rPr>
                <w:rFonts w:ascii="Arial Narrow" w:hAnsi="Arial Narrow" w:cs="Arial"/>
                <w:b/>
                <w:bCs/>
                <w:color w:val="000000"/>
                <w:sz w:val="22"/>
              </w:rPr>
            </w:pPr>
            <w:r w:rsidRPr="009142EC">
              <w:rPr>
                <w:rFonts w:ascii="Arial Narrow" w:hAnsi="Arial Narrow" w:cs="Arial"/>
                <w:b/>
                <w:bCs/>
                <w:color w:val="000000"/>
                <w:sz w:val="22"/>
              </w:rPr>
              <w:t>2025 TOTAL</w:t>
            </w:r>
          </w:p>
        </w:tc>
        <w:tc>
          <w:tcPr>
            <w:tcW w:w="1620" w:type="dxa"/>
            <w:shd w:val="clear" w:color="auto" w:fill="DBE5F1" w:themeFill="accent1" w:themeFillTint="33"/>
            <w:tcMar>
              <w:top w:w="0" w:type="dxa"/>
              <w:bottom w:w="0" w:type="dxa"/>
            </w:tcMar>
            <w:vAlign w:val="bottom"/>
          </w:tcPr>
          <w:p w:rsidR="006D05B0" w:rsidRPr="00131D0A" w:rsidP="002817B4" w14:paraId="635E157E" w14:textId="6B1E3A85">
            <w:pPr>
              <w:spacing w:before="20" w:after="20"/>
              <w:jc w:val="center"/>
              <w:rPr>
                <w:rFonts w:ascii="Arial Narrow" w:hAnsi="Arial Narrow" w:cs="Calibri"/>
                <w:color w:val="000000"/>
                <w:sz w:val="22"/>
              </w:rPr>
            </w:pPr>
            <w:r w:rsidRPr="00531430">
              <w:rPr>
                <w:rFonts w:ascii="Arial Narrow" w:hAnsi="Arial Narrow" w:cs="Calibri"/>
                <w:color w:val="000000"/>
                <w:sz w:val="22"/>
              </w:rPr>
              <w:t>97,505</w:t>
            </w:r>
          </w:p>
        </w:tc>
        <w:tc>
          <w:tcPr>
            <w:tcW w:w="1800" w:type="dxa"/>
            <w:shd w:val="clear" w:color="auto" w:fill="DBE5F1" w:themeFill="accent1" w:themeFillTint="33"/>
            <w:tcMar>
              <w:top w:w="0" w:type="dxa"/>
              <w:bottom w:w="0" w:type="dxa"/>
            </w:tcMar>
            <w:vAlign w:val="bottom"/>
          </w:tcPr>
          <w:p w:rsidR="006D05B0" w:rsidRPr="00131D0A" w:rsidP="002817B4" w14:paraId="2B6B6E86" w14:textId="01B7FC2D">
            <w:pPr>
              <w:spacing w:before="20" w:after="20"/>
              <w:jc w:val="center"/>
              <w:rPr>
                <w:rFonts w:ascii="Arial Narrow" w:hAnsi="Arial Narrow" w:cs="Calibri"/>
                <w:color w:val="000000"/>
                <w:sz w:val="22"/>
              </w:rPr>
            </w:pPr>
            <w:r w:rsidRPr="00531430">
              <w:rPr>
                <w:rFonts w:ascii="Arial Narrow" w:hAnsi="Arial Narrow" w:cs="Calibri"/>
                <w:color w:val="000000"/>
                <w:sz w:val="22"/>
              </w:rPr>
              <w:t>16,290.85</w:t>
            </w:r>
          </w:p>
        </w:tc>
        <w:tc>
          <w:tcPr>
            <w:tcW w:w="1890" w:type="dxa"/>
            <w:shd w:val="clear" w:color="auto" w:fill="DBE5F1" w:themeFill="accent1" w:themeFillTint="33"/>
            <w:tcMar>
              <w:top w:w="0" w:type="dxa"/>
              <w:bottom w:w="0" w:type="dxa"/>
            </w:tcMar>
            <w:vAlign w:val="bottom"/>
          </w:tcPr>
          <w:p w:rsidR="006D05B0" w:rsidRPr="00131D0A" w:rsidP="002817B4" w14:paraId="537BC5CC" w14:textId="77777777">
            <w:pPr>
              <w:spacing w:before="20" w:after="20"/>
              <w:jc w:val="center"/>
              <w:rPr>
                <w:rFonts w:ascii="Arial Narrow" w:hAnsi="Arial Narrow" w:cs="Calibri"/>
                <w:color w:val="000000"/>
                <w:sz w:val="22"/>
              </w:rPr>
            </w:pPr>
          </w:p>
        </w:tc>
        <w:tc>
          <w:tcPr>
            <w:tcW w:w="1998" w:type="dxa"/>
            <w:shd w:val="clear" w:color="auto" w:fill="DBE5F1" w:themeFill="accent1" w:themeFillTint="33"/>
            <w:tcMar>
              <w:top w:w="0" w:type="dxa"/>
              <w:bottom w:w="0" w:type="dxa"/>
            </w:tcMar>
            <w:vAlign w:val="bottom"/>
          </w:tcPr>
          <w:p w:rsidR="006D05B0" w:rsidRPr="00131D0A" w:rsidP="002817B4" w14:paraId="4E600903" w14:textId="320EFD88">
            <w:pPr>
              <w:spacing w:before="20" w:after="20"/>
              <w:jc w:val="center"/>
              <w:rPr>
                <w:rFonts w:ascii="Arial Narrow" w:hAnsi="Arial Narrow" w:cs="Calibri"/>
                <w:color w:val="000000"/>
                <w:sz w:val="22"/>
              </w:rPr>
            </w:pPr>
            <w:r w:rsidRPr="00531430">
              <w:rPr>
                <w:rFonts w:ascii="Arial Narrow" w:hAnsi="Arial Narrow" w:cs="Calibri"/>
                <w:color w:val="000000"/>
                <w:sz w:val="22"/>
              </w:rPr>
              <w:t>$534,721.48</w:t>
            </w:r>
          </w:p>
        </w:tc>
      </w:tr>
      <w:tr w14:paraId="3BD2A51D" w14:textId="77777777" w:rsidTr="0016663C">
        <w:tblPrEx>
          <w:tblW w:w="5000" w:type="pct"/>
          <w:tblInd w:w="0" w:type="dxa"/>
          <w:tblLayout w:type="fixed"/>
          <w:tblLook w:val="06A0"/>
        </w:tblPrEx>
        <w:trPr>
          <w:cantSplit/>
          <w:trHeight w:val="20"/>
        </w:trPr>
        <w:tc>
          <w:tcPr>
            <w:tcW w:w="2175" w:type="dxa"/>
            <w:tcMar>
              <w:top w:w="0" w:type="dxa"/>
              <w:bottom w:w="0" w:type="dxa"/>
            </w:tcMar>
            <w:vAlign w:val="bottom"/>
          </w:tcPr>
          <w:p w:rsidR="006D05B0" w:rsidRPr="009142EC" w:rsidP="002817B4" w14:paraId="6FC08C03" w14:textId="77C87B52">
            <w:pPr>
              <w:spacing w:before="20" w:after="20"/>
              <w:rPr>
                <w:rFonts w:ascii="Arial Narrow" w:hAnsi="Arial Narrow" w:cs="Arial"/>
                <w:b/>
                <w:bCs/>
                <w:color w:val="000000"/>
                <w:sz w:val="22"/>
              </w:rPr>
            </w:pPr>
            <w:r w:rsidRPr="009142EC">
              <w:rPr>
                <w:rFonts w:ascii="Arial Narrow" w:hAnsi="Arial Narrow" w:cs="Arial"/>
                <w:color w:val="000000"/>
                <w:sz w:val="22"/>
              </w:rPr>
              <w:t>2026 Survey Respondents</w:t>
            </w:r>
          </w:p>
        </w:tc>
        <w:tc>
          <w:tcPr>
            <w:tcW w:w="1620" w:type="dxa"/>
            <w:tcMar>
              <w:top w:w="0" w:type="dxa"/>
              <w:bottom w:w="0" w:type="dxa"/>
            </w:tcMar>
            <w:vAlign w:val="bottom"/>
          </w:tcPr>
          <w:p w:rsidR="006D05B0" w:rsidRPr="00131D0A" w:rsidP="002817B4" w14:paraId="48C8452D" w14:textId="612FDF64">
            <w:pPr>
              <w:spacing w:before="20" w:after="20"/>
              <w:jc w:val="center"/>
              <w:rPr>
                <w:rFonts w:ascii="Arial Narrow" w:hAnsi="Arial Narrow" w:cs="Calibri"/>
                <w:color w:val="000000"/>
                <w:sz w:val="22"/>
              </w:rPr>
            </w:pPr>
            <w:r w:rsidRPr="00531430">
              <w:rPr>
                <w:rFonts w:ascii="Arial Narrow" w:hAnsi="Arial Narrow" w:cs="Calibri"/>
                <w:color w:val="000000"/>
                <w:sz w:val="22"/>
              </w:rPr>
              <w:t>97,500</w:t>
            </w:r>
          </w:p>
        </w:tc>
        <w:tc>
          <w:tcPr>
            <w:tcW w:w="1800" w:type="dxa"/>
            <w:tcMar>
              <w:top w:w="0" w:type="dxa"/>
              <w:bottom w:w="0" w:type="dxa"/>
            </w:tcMar>
            <w:vAlign w:val="bottom"/>
          </w:tcPr>
          <w:p w:rsidR="006D05B0" w:rsidRPr="00131D0A" w:rsidP="002817B4" w14:paraId="4612B360" w14:textId="0499FA24">
            <w:pPr>
              <w:spacing w:before="20" w:after="20"/>
              <w:jc w:val="center"/>
              <w:rPr>
                <w:rFonts w:ascii="Arial Narrow" w:hAnsi="Arial Narrow" w:cs="Calibri"/>
                <w:color w:val="000000"/>
                <w:sz w:val="22"/>
              </w:rPr>
            </w:pPr>
            <w:r w:rsidRPr="00531430">
              <w:rPr>
                <w:rFonts w:ascii="Arial Narrow" w:hAnsi="Arial Narrow" w:cs="Calibri"/>
                <w:color w:val="000000"/>
                <w:sz w:val="22"/>
              </w:rPr>
              <w:t>16,282.50</w:t>
            </w:r>
          </w:p>
        </w:tc>
        <w:tc>
          <w:tcPr>
            <w:tcW w:w="1890" w:type="dxa"/>
            <w:tcMar>
              <w:top w:w="0" w:type="dxa"/>
              <w:bottom w:w="0" w:type="dxa"/>
            </w:tcMar>
            <w:vAlign w:val="bottom"/>
          </w:tcPr>
          <w:p w:rsidR="006D05B0" w:rsidRPr="00131D0A" w:rsidP="002817B4" w14:paraId="56785685" w14:textId="221DDF64">
            <w:pPr>
              <w:spacing w:before="20" w:after="20"/>
              <w:jc w:val="center"/>
              <w:rPr>
                <w:rFonts w:ascii="Arial Narrow" w:hAnsi="Arial Narrow" w:cs="Calibri"/>
                <w:color w:val="000000"/>
                <w:sz w:val="22"/>
              </w:rPr>
            </w:pPr>
            <w:r w:rsidRPr="00131D0A">
              <w:rPr>
                <w:rFonts w:ascii="Arial Narrow" w:hAnsi="Arial Narrow" w:cs="Calibri"/>
                <w:color w:val="000000" w:themeColor="text1"/>
                <w:sz w:val="22"/>
              </w:rPr>
              <w:t>$32.82</w:t>
            </w:r>
          </w:p>
        </w:tc>
        <w:tc>
          <w:tcPr>
            <w:tcW w:w="1998" w:type="dxa"/>
            <w:tcMar>
              <w:top w:w="0" w:type="dxa"/>
              <w:bottom w:w="0" w:type="dxa"/>
            </w:tcMar>
            <w:vAlign w:val="bottom"/>
          </w:tcPr>
          <w:p w:rsidR="006D05B0" w:rsidRPr="00131D0A" w:rsidP="002817B4" w14:paraId="619C14B1" w14:textId="04212BAB">
            <w:pPr>
              <w:spacing w:before="20" w:after="20"/>
              <w:jc w:val="center"/>
              <w:rPr>
                <w:rFonts w:ascii="Arial Narrow" w:hAnsi="Arial Narrow" w:cs="Calibri"/>
                <w:color w:val="000000"/>
                <w:sz w:val="22"/>
              </w:rPr>
            </w:pPr>
            <w:r w:rsidRPr="00531430">
              <w:rPr>
                <w:rFonts w:ascii="Arial Narrow" w:hAnsi="Arial Narrow" w:cs="Calibri"/>
                <w:color w:val="000000"/>
                <w:sz w:val="22"/>
              </w:rPr>
              <w:t>$534,391.65</w:t>
            </w:r>
          </w:p>
        </w:tc>
      </w:tr>
      <w:tr w14:paraId="44971A87" w14:textId="77777777" w:rsidTr="0016663C">
        <w:tblPrEx>
          <w:tblW w:w="5000" w:type="pct"/>
          <w:tblInd w:w="0" w:type="dxa"/>
          <w:tblLayout w:type="fixed"/>
          <w:tblLook w:val="06A0"/>
        </w:tblPrEx>
        <w:trPr>
          <w:cantSplit/>
          <w:trHeight w:val="20"/>
        </w:trPr>
        <w:tc>
          <w:tcPr>
            <w:tcW w:w="2175" w:type="dxa"/>
            <w:tcBorders>
              <w:bottom w:val="single" w:sz="4" w:space="0" w:color="002C5F"/>
            </w:tcBorders>
            <w:tcMar>
              <w:top w:w="0" w:type="dxa"/>
              <w:bottom w:w="0" w:type="dxa"/>
            </w:tcMar>
            <w:vAlign w:val="bottom"/>
          </w:tcPr>
          <w:p w:rsidR="006D05B0" w:rsidRPr="009142EC" w:rsidP="002817B4" w14:paraId="357F0E65" w14:textId="6FA11229">
            <w:pPr>
              <w:spacing w:before="20" w:after="20"/>
              <w:rPr>
                <w:rFonts w:ascii="Arial Narrow" w:hAnsi="Arial Narrow" w:cs="Arial"/>
                <w:b/>
                <w:bCs/>
                <w:color w:val="000000"/>
                <w:sz w:val="22"/>
              </w:rPr>
            </w:pPr>
            <w:r w:rsidRPr="009142EC">
              <w:rPr>
                <w:rFonts w:ascii="Arial Narrow" w:hAnsi="Arial Narrow" w:cs="Arial"/>
                <w:color w:val="000000"/>
                <w:sz w:val="22"/>
              </w:rPr>
              <w:t>2026 Survey Vendors</w:t>
            </w:r>
          </w:p>
        </w:tc>
        <w:tc>
          <w:tcPr>
            <w:tcW w:w="1620" w:type="dxa"/>
            <w:tcBorders>
              <w:bottom w:val="single" w:sz="4" w:space="0" w:color="002C5F"/>
            </w:tcBorders>
            <w:tcMar>
              <w:top w:w="0" w:type="dxa"/>
              <w:bottom w:w="0" w:type="dxa"/>
            </w:tcMar>
            <w:vAlign w:val="bottom"/>
          </w:tcPr>
          <w:p w:rsidR="006D05B0" w:rsidRPr="00131D0A" w:rsidP="002817B4" w14:paraId="6657FF32" w14:textId="114294A6">
            <w:pPr>
              <w:spacing w:before="20" w:after="20"/>
              <w:jc w:val="center"/>
              <w:rPr>
                <w:rFonts w:ascii="Arial Narrow" w:hAnsi="Arial Narrow" w:cs="Calibri"/>
                <w:color w:val="000000"/>
                <w:sz w:val="22"/>
              </w:rPr>
            </w:pPr>
            <w:r w:rsidRPr="00531430">
              <w:rPr>
                <w:rFonts w:ascii="Arial Narrow" w:hAnsi="Arial Narrow" w:cs="Calibri"/>
                <w:color w:val="000000"/>
                <w:sz w:val="22"/>
              </w:rPr>
              <w:t>5</w:t>
            </w:r>
          </w:p>
        </w:tc>
        <w:tc>
          <w:tcPr>
            <w:tcW w:w="1800" w:type="dxa"/>
            <w:tcBorders>
              <w:bottom w:val="single" w:sz="4" w:space="0" w:color="002C5F"/>
            </w:tcBorders>
            <w:tcMar>
              <w:top w:w="0" w:type="dxa"/>
              <w:bottom w:w="0" w:type="dxa"/>
            </w:tcMar>
            <w:vAlign w:val="bottom"/>
          </w:tcPr>
          <w:p w:rsidR="006D05B0" w:rsidRPr="00131D0A" w:rsidP="002817B4" w14:paraId="58E61E71" w14:textId="424D718E">
            <w:pPr>
              <w:spacing w:before="20" w:after="20"/>
              <w:jc w:val="center"/>
              <w:rPr>
                <w:rFonts w:ascii="Arial Narrow" w:hAnsi="Arial Narrow" w:cs="Calibri"/>
                <w:color w:val="000000"/>
                <w:sz w:val="22"/>
              </w:rPr>
            </w:pPr>
            <w:r w:rsidRPr="00531430">
              <w:rPr>
                <w:rFonts w:ascii="Arial Narrow" w:hAnsi="Arial Narrow" w:cs="Calibri"/>
                <w:color w:val="000000"/>
                <w:sz w:val="22"/>
              </w:rPr>
              <w:t>8.35</w:t>
            </w:r>
          </w:p>
        </w:tc>
        <w:tc>
          <w:tcPr>
            <w:tcW w:w="1890" w:type="dxa"/>
            <w:tcBorders>
              <w:bottom w:val="single" w:sz="4" w:space="0" w:color="002C5F"/>
            </w:tcBorders>
            <w:tcMar>
              <w:top w:w="0" w:type="dxa"/>
              <w:bottom w:w="0" w:type="dxa"/>
            </w:tcMar>
            <w:vAlign w:val="bottom"/>
          </w:tcPr>
          <w:p w:rsidR="006D05B0" w:rsidRPr="00131D0A" w:rsidP="002817B4" w14:paraId="0F2AC9DE" w14:textId="300A38D7">
            <w:pPr>
              <w:spacing w:before="20" w:after="20"/>
              <w:jc w:val="center"/>
              <w:rPr>
                <w:rFonts w:ascii="Arial Narrow" w:hAnsi="Arial Narrow" w:cs="Calibri"/>
                <w:color w:val="000000"/>
                <w:sz w:val="22"/>
              </w:rPr>
            </w:pPr>
            <w:r w:rsidRPr="00131D0A">
              <w:rPr>
                <w:rFonts w:ascii="Arial Narrow" w:hAnsi="Arial Narrow" w:cs="Calibri"/>
                <w:color w:val="000000" w:themeColor="text1"/>
                <w:sz w:val="22"/>
              </w:rPr>
              <w:t>$39.50</w:t>
            </w:r>
          </w:p>
        </w:tc>
        <w:tc>
          <w:tcPr>
            <w:tcW w:w="1998" w:type="dxa"/>
            <w:tcBorders>
              <w:bottom w:val="single" w:sz="4" w:space="0" w:color="002C5F"/>
            </w:tcBorders>
            <w:tcMar>
              <w:top w:w="0" w:type="dxa"/>
              <w:bottom w:w="0" w:type="dxa"/>
            </w:tcMar>
            <w:vAlign w:val="bottom"/>
          </w:tcPr>
          <w:p w:rsidR="006D05B0" w:rsidRPr="00131D0A" w:rsidP="002817B4" w14:paraId="778F03F1" w14:textId="0794E9C2">
            <w:pPr>
              <w:spacing w:before="20" w:after="20"/>
              <w:jc w:val="center"/>
              <w:rPr>
                <w:rFonts w:ascii="Arial Narrow" w:hAnsi="Arial Narrow" w:cs="Calibri"/>
                <w:color w:val="000000"/>
                <w:sz w:val="22"/>
              </w:rPr>
            </w:pPr>
            <w:r w:rsidRPr="00531430">
              <w:rPr>
                <w:rFonts w:ascii="Arial Narrow" w:hAnsi="Arial Narrow" w:cs="Calibri"/>
                <w:color w:val="000000"/>
                <w:sz w:val="22"/>
              </w:rPr>
              <w:t>$329.83</w:t>
            </w:r>
          </w:p>
        </w:tc>
      </w:tr>
      <w:tr w14:paraId="003AAAF7" w14:textId="77777777" w:rsidTr="0016663C">
        <w:tblPrEx>
          <w:tblW w:w="5000" w:type="pct"/>
          <w:tblInd w:w="0" w:type="dxa"/>
          <w:tblLayout w:type="fixed"/>
          <w:tblLook w:val="06A0"/>
        </w:tblPrEx>
        <w:trPr>
          <w:cantSplit/>
          <w:trHeight w:val="20"/>
        </w:trPr>
        <w:tc>
          <w:tcPr>
            <w:tcW w:w="2175" w:type="dxa"/>
            <w:tcBorders>
              <w:bottom w:val="single" w:sz="4" w:space="0" w:color="002C5F"/>
            </w:tcBorders>
            <w:shd w:val="clear" w:color="auto" w:fill="DBE5F1" w:themeFill="accent1" w:themeFillTint="33"/>
            <w:tcMar>
              <w:top w:w="0" w:type="dxa"/>
              <w:bottom w:w="0" w:type="dxa"/>
            </w:tcMar>
            <w:vAlign w:val="bottom"/>
          </w:tcPr>
          <w:p w:rsidR="006D05B0" w:rsidRPr="009142EC" w:rsidP="002817B4" w14:paraId="0F872711" w14:textId="748B88BC">
            <w:pPr>
              <w:spacing w:before="20" w:after="20"/>
              <w:rPr>
                <w:rFonts w:ascii="Arial Narrow" w:hAnsi="Arial Narrow" w:cs="Arial"/>
                <w:b/>
                <w:bCs/>
                <w:color w:val="000000"/>
                <w:sz w:val="22"/>
              </w:rPr>
            </w:pPr>
            <w:r w:rsidRPr="009142EC">
              <w:rPr>
                <w:rFonts w:ascii="Arial Narrow" w:hAnsi="Arial Narrow" w:cs="Arial"/>
                <w:b/>
                <w:bCs/>
                <w:color w:val="000000"/>
                <w:sz w:val="22"/>
              </w:rPr>
              <w:t>2026 TOTAL</w:t>
            </w:r>
          </w:p>
        </w:tc>
        <w:tc>
          <w:tcPr>
            <w:tcW w:w="1620" w:type="dxa"/>
            <w:tcBorders>
              <w:bottom w:val="single" w:sz="4" w:space="0" w:color="002C5F"/>
            </w:tcBorders>
            <w:shd w:val="clear" w:color="auto" w:fill="DBE5F1" w:themeFill="accent1" w:themeFillTint="33"/>
            <w:tcMar>
              <w:top w:w="0" w:type="dxa"/>
              <w:bottom w:w="0" w:type="dxa"/>
            </w:tcMar>
            <w:vAlign w:val="bottom"/>
          </w:tcPr>
          <w:p w:rsidR="006D05B0" w:rsidRPr="00131D0A" w:rsidP="002817B4" w14:paraId="4EF274FE" w14:textId="64EBD7E9">
            <w:pPr>
              <w:spacing w:before="20" w:after="20"/>
              <w:jc w:val="center"/>
              <w:rPr>
                <w:rFonts w:ascii="Arial Narrow" w:hAnsi="Arial Narrow" w:cs="Calibri"/>
                <w:color w:val="000000"/>
                <w:sz w:val="22"/>
              </w:rPr>
            </w:pPr>
            <w:r w:rsidRPr="00531430">
              <w:rPr>
                <w:rFonts w:ascii="Arial Narrow" w:hAnsi="Arial Narrow" w:cs="Calibri"/>
                <w:color w:val="000000"/>
                <w:sz w:val="22"/>
              </w:rPr>
              <w:t>97,505</w:t>
            </w:r>
          </w:p>
        </w:tc>
        <w:tc>
          <w:tcPr>
            <w:tcW w:w="1800" w:type="dxa"/>
            <w:tcBorders>
              <w:bottom w:val="single" w:sz="4" w:space="0" w:color="002C5F"/>
            </w:tcBorders>
            <w:shd w:val="clear" w:color="auto" w:fill="DBE5F1" w:themeFill="accent1" w:themeFillTint="33"/>
            <w:tcMar>
              <w:top w:w="0" w:type="dxa"/>
              <w:bottom w:w="0" w:type="dxa"/>
            </w:tcMar>
            <w:vAlign w:val="bottom"/>
          </w:tcPr>
          <w:p w:rsidR="006D05B0" w:rsidRPr="00131D0A" w:rsidP="002817B4" w14:paraId="467F087E" w14:textId="46C700FA">
            <w:pPr>
              <w:spacing w:before="20" w:after="20"/>
              <w:jc w:val="center"/>
              <w:rPr>
                <w:rFonts w:ascii="Arial Narrow" w:hAnsi="Arial Narrow" w:cs="Calibri"/>
                <w:color w:val="000000"/>
                <w:sz w:val="22"/>
              </w:rPr>
            </w:pPr>
            <w:r w:rsidRPr="00531430">
              <w:rPr>
                <w:rFonts w:ascii="Arial Narrow" w:hAnsi="Arial Narrow" w:cs="Calibri"/>
                <w:color w:val="000000"/>
                <w:sz w:val="22"/>
              </w:rPr>
              <w:t>16,290.85</w:t>
            </w:r>
          </w:p>
        </w:tc>
        <w:tc>
          <w:tcPr>
            <w:tcW w:w="1890" w:type="dxa"/>
            <w:tcBorders>
              <w:bottom w:val="single" w:sz="4" w:space="0" w:color="002C5F"/>
            </w:tcBorders>
            <w:shd w:val="clear" w:color="auto" w:fill="DBE5F1" w:themeFill="accent1" w:themeFillTint="33"/>
            <w:tcMar>
              <w:top w:w="0" w:type="dxa"/>
              <w:bottom w:w="0" w:type="dxa"/>
            </w:tcMar>
            <w:vAlign w:val="bottom"/>
          </w:tcPr>
          <w:p w:rsidR="006D05B0" w:rsidRPr="00131D0A" w:rsidP="002817B4" w14:paraId="1275A9E9" w14:textId="77777777">
            <w:pPr>
              <w:spacing w:before="20" w:after="20"/>
              <w:jc w:val="center"/>
              <w:rPr>
                <w:rFonts w:ascii="Arial Narrow" w:hAnsi="Arial Narrow" w:cs="Calibri"/>
                <w:color w:val="000000"/>
                <w:sz w:val="22"/>
              </w:rPr>
            </w:pPr>
          </w:p>
        </w:tc>
        <w:tc>
          <w:tcPr>
            <w:tcW w:w="1998" w:type="dxa"/>
            <w:tcBorders>
              <w:bottom w:val="single" w:sz="4" w:space="0" w:color="002C5F"/>
            </w:tcBorders>
            <w:shd w:val="clear" w:color="auto" w:fill="DBE5F1" w:themeFill="accent1" w:themeFillTint="33"/>
            <w:tcMar>
              <w:top w:w="0" w:type="dxa"/>
              <w:bottom w:w="0" w:type="dxa"/>
            </w:tcMar>
            <w:vAlign w:val="bottom"/>
          </w:tcPr>
          <w:p w:rsidR="006D05B0" w:rsidRPr="00131D0A" w:rsidP="002817B4" w14:paraId="470404D8" w14:textId="76D87883">
            <w:pPr>
              <w:spacing w:before="20" w:after="20"/>
              <w:jc w:val="center"/>
              <w:rPr>
                <w:rFonts w:ascii="Arial Narrow" w:hAnsi="Arial Narrow" w:cs="Calibri"/>
                <w:color w:val="000000"/>
                <w:sz w:val="22"/>
              </w:rPr>
            </w:pPr>
            <w:r w:rsidRPr="00531430">
              <w:rPr>
                <w:rFonts w:ascii="Arial Narrow" w:hAnsi="Arial Narrow" w:cs="Calibri"/>
                <w:color w:val="000000"/>
                <w:sz w:val="22"/>
              </w:rPr>
              <w:t>$534,721.48</w:t>
            </w:r>
          </w:p>
        </w:tc>
      </w:tr>
      <w:tr w14:paraId="285FB01D" w14:textId="77777777" w:rsidTr="0016663C">
        <w:tblPrEx>
          <w:tblW w:w="5000" w:type="pct"/>
          <w:tblInd w:w="0" w:type="dxa"/>
          <w:tblLayout w:type="fixed"/>
          <w:tblLook w:val="06A0"/>
        </w:tblPrEx>
        <w:trPr>
          <w:cantSplit/>
          <w:trHeight w:val="20"/>
        </w:trPr>
        <w:tc>
          <w:tcPr>
            <w:tcW w:w="2175" w:type="dxa"/>
            <w:shd w:val="clear" w:color="auto" w:fill="95B3D7" w:themeFill="accent1" w:themeFillTint="99"/>
            <w:tcMar>
              <w:top w:w="0" w:type="dxa"/>
              <w:bottom w:w="0" w:type="dxa"/>
            </w:tcMar>
            <w:vAlign w:val="bottom"/>
          </w:tcPr>
          <w:p w:rsidR="006D05B0" w:rsidRPr="009142EC" w:rsidP="002817B4" w14:paraId="65BD66B2" w14:textId="77777777">
            <w:pPr>
              <w:spacing w:before="20" w:after="20"/>
              <w:rPr>
                <w:rFonts w:ascii="Arial Narrow" w:hAnsi="Arial Narrow" w:cs="Arial"/>
                <w:b/>
                <w:bCs/>
                <w:color w:val="000000"/>
                <w:sz w:val="22"/>
              </w:rPr>
            </w:pPr>
            <w:r w:rsidRPr="009142EC">
              <w:rPr>
                <w:rFonts w:ascii="Arial Narrow" w:hAnsi="Arial Narrow" w:cs="Arial"/>
                <w:b/>
                <w:bCs/>
                <w:color w:val="000000"/>
                <w:sz w:val="22"/>
              </w:rPr>
              <w:t>3-Year TOTAL</w:t>
            </w:r>
          </w:p>
        </w:tc>
        <w:tc>
          <w:tcPr>
            <w:tcW w:w="1620" w:type="dxa"/>
            <w:shd w:val="clear" w:color="auto" w:fill="95B3D7" w:themeFill="accent1" w:themeFillTint="99"/>
            <w:tcMar>
              <w:top w:w="0" w:type="dxa"/>
              <w:bottom w:w="0" w:type="dxa"/>
            </w:tcMar>
            <w:vAlign w:val="bottom"/>
          </w:tcPr>
          <w:p w:rsidR="006D05B0" w:rsidRPr="00131D0A" w:rsidP="002817B4" w14:paraId="2E19B7DF" w14:textId="5C1C83A8">
            <w:pPr>
              <w:spacing w:before="20" w:after="20"/>
              <w:jc w:val="center"/>
              <w:rPr>
                <w:rFonts w:ascii="Arial Narrow" w:hAnsi="Arial Narrow" w:cs="Calibri"/>
                <w:b/>
                <w:bCs/>
                <w:color w:val="000000"/>
                <w:sz w:val="22"/>
              </w:rPr>
            </w:pPr>
            <w:r w:rsidRPr="00531430">
              <w:rPr>
                <w:rFonts w:ascii="Arial Narrow" w:hAnsi="Arial Narrow" w:cs="Calibri"/>
                <w:b/>
                <w:bCs/>
                <w:color w:val="000000"/>
                <w:sz w:val="22"/>
              </w:rPr>
              <w:t>292,515</w:t>
            </w:r>
          </w:p>
        </w:tc>
        <w:tc>
          <w:tcPr>
            <w:tcW w:w="1800" w:type="dxa"/>
            <w:shd w:val="clear" w:color="auto" w:fill="95B3D7" w:themeFill="accent1" w:themeFillTint="99"/>
            <w:tcMar>
              <w:top w:w="0" w:type="dxa"/>
              <w:bottom w:w="0" w:type="dxa"/>
            </w:tcMar>
            <w:vAlign w:val="bottom"/>
          </w:tcPr>
          <w:p w:rsidR="006D05B0" w:rsidRPr="00131D0A" w:rsidP="002817B4" w14:paraId="2BAFBBE2" w14:textId="4CF3B4F3">
            <w:pPr>
              <w:spacing w:before="20" w:after="20"/>
              <w:jc w:val="center"/>
              <w:rPr>
                <w:rFonts w:ascii="Arial Narrow" w:hAnsi="Arial Narrow" w:cs="Calibri"/>
                <w:b/>
                <w:bCs/>
                <w:color w:val="000000"/>
                <w:sz w:val="22"/>
              </w:rPr>
            </w:pPr>
            <w:r w:rsidRPr="00531430">
              <w:rPr>
                <w:rFonts w:ascii="Arial Narrow" w:hAnsi="Arial Narrow" w:cs="Calibri"/>
                <w:b/>
                <w:bCs/>
                <w:color w:val="000000"/>
                <w:sz w:val="22"/>
              </w:rPr>
              <w:t>48,872.55</w:t>
            </w:r>
          </w:p>
        </w:tc>
        <w:tc>
          <w:tcPr>
            <w:tcW w:w="1890" w:type="dxa"/>
            <w:shd w:val="clear" w:color="auto" w:fill="95B3D7" w:themeFill="accent1" w:themeFillTint="99"/>
            <w:tcMar>
              <w:top w:w="0" w:type="dxa"/>
              <w:bottom w:w="0" w:type="dxa"/>
            </w:tcMar>
            <w:vAlign w:val="bottom"/>
          </w:tcPr>
          <w:p w:rsidR="006D05B0" w:rsidRPr="00131D0A" w:rsidP="002817B4" w14:paraId="0FC786BA" w14:textId="77777777">
            <w:pPr>
              <w:spacing w:before="20" w:after="20"/>
              <w:jc w:val="center"/>
              <w:rPr>
                <w:rFonts w:ascii="Arial Narrow" w:hAnsi="Arial Narrow" w:cs="Calibri"/>
                <w:b/>
                <w:color w:val="000000"/>
                <w:sz w:val="22"/>
              </w:rPr>
            </w:pPr>
          </w:p>
        </w:tc>
        <w:tc>
          <w:tcPr>
            <w:tcW w:w="1998" w:type="dxa"/>
            <w:shd w:val="clear" w:color="auto" w:fill="95B3D7" w:themeFill="accent1" w:themeFillTint="99"/>
            <w:tcMar>
              <w:top w:w="0" w:type="dxa"/>
              <w:bottom w:w="0" w:type="dxa"/>
            </w:tcMar>
            <w:vAlign w:val="bottom"/>
          </w:tcPr>
          <w:p w:rsidR="006D05B0" w:rsidRPr="00531430" w:rsidP="002817B4" w14:paraId="748834D4" w14:textId="69942CE7">
            <w:pPr>
              <w:spacing w:before="20" w:after="20"/>
              <w:jc w:val="center"/>
              <w:rPr>
                <w:rFonts w:ascii="Arial Narrow" w:hAnsi="Arial Narrow" w:cs="Calibri"/>
                <w:b/>
                <w:bCs/>
                <w:color w:val="000000"/>
                <w:sz w:val="22"/>
              </w:rPr>
            </w:pPr>
            <w:r w:rsidRPr="00531430">
              <w:rPr>
                <w:rFonts w:ascii="Arial Narrow" w:hAnsi="Arial Narrow" w:cs="Calibri"/>
                <w:b/>
                <w:bCs/>
                <w:color w:val="000000"/>
                <w:sz w:val="22"/>
              </w:rPr>
              <w:t>$1,604,164.4</w:t>
            </w:r>
            <w:r w:rsidR="00A55F8B">
              <w:rPr>
                <w:rFonts w:ascii="Arial Narrow" w:hAnsi="Arial Narrow" w:cs="Calibri"/>
                <w:b/>
                <w:bCs/>
                <w:color w:val="000000"/>
                <w:sz w:val="22"/>
              </w:rPr>
              <w:t>3</w:t>
            </w:r>
          </w:p>
        </w:tc>
      </w:tr>
    </w:tbl>
    <w:p w:rsidR="008C2806" w:rsidRPr="008C2806" w:rsidP="003220DF" w14:paraId="79F40F30" w14:textId="67F3AFAC">
      <w:pPr>
        <w:pStyle w:val="Heading3"/>
      </w:pPr>
      <w:bookmarkStart w:id="40" w:name="_Toc378867722"/>
      <w:bookmarkStart w:id="41" w:name="_Toc137652176"/>
      <w:r w:rsidRPr="2F0AE81E">
        <w:t>13.</w:t>
      </w:r>
      <w:r>
        <w:tab/>
      </w:r>
      <w:r w:rsidRPr="2F0AE81E">
        <w:t>Capital Costs</w:t>
      </w:r>
      <w:bookmarkEnd w:id="40"/>
      <w:bookmarkEnd w:id="41"/>
    </w:p>
    <w:p w:rsidR="008C2806" w:rsidRPr="008C2806" w:rsidP="00C26913" w14:paraId="22F7AFA8" w14:textId="77777777">
      <w:pPr>
        <w:pStyle w:val="BodyText"/>
      </w:pPr>
      <w:r w:rsidRPr="008C2806">
        <w:t xml:space="preserve">There are no direct </w:t>
      </w:r>
      <w:r w:rsidR="007031D8">
        <w:t xml:space="preserve">capital </w:t>
      </w:r>
      <w:r w:rsidRPr="008C2806">
        <w:t xml:space="preserve">costs to </w:t>
      </w:r>
      <w:r w:rsidR="007031D8">
        <w:t>respondents</w:t>
      </w:r>
      <w:r w:rsidRPr="008C2806" w:rsidR="007031D8">
        <w:t xml:space="preserve"> </w:t>
      </w:r>
      <w:r w:rsidRPr="008C2806">
        <w:t>other than their time to participate in the survey.</w:t>
      </w:r>
    </w:p>
    <w:p w:rsidR="008C2806" w:rsidRPr="008C2806" w:rsidP="003220DF" w14:paraId="131A8664" w14:textId="138E357E">
      <w:pPr>
        <w:pStyle w:val="Heading3"/>
      </w:pPr>
      <w:bookmarkStart w:id="42" w:name="_Toc378867723"/>
      <w:bookmarkStart w:id="43" w:name="_Toc137652177"/>
      <w:r w:rsidRPr="008C2806">
        <w:t>14.</w:t>
      </w:r>
      <w:r w:rsidRPr="008C2806">
        <w:tab/>
        <w:t>Cost to Federal Government</w:t>
      </w:r>
      <w:bookmarkEnd w:id="42"/>
      <w:bookmarkEnd w:id="43"/>
    </w:p>
    <w:p w:rsidR="008C2806" w:rsidRPr="00742D1C" w:rsidP="00C26913" w14:paraId="7BA2734E" w14:textId="6215D4FD">
      <w:pPr>
        <w:pStyle w:val="BodyText"/>
      </w:pPr>
      <w:r w:rsidRPr="00742D1C">
        <w:t>The only cost to the Government of th</w:t>
      </w:r>
      <w:r w:rsidRPr="00742D1C" w:rsidR="000745C3">
        <w:t>ese data collections</w:t>
      </w:r>
      <w:r w:rsidRPr="00742D1C">
        <w:t xml:space="preserve"> that would not otherwise have been incurred is the cost of the </w:t>
      </w:r>
      <w:r w:rsidR="00BA1CA1">
        <w:t>AIR</w:t>
      </w:r>
      <w:r w:rsidRPr="00742D1C" w:rsidR="00601A27">
        <w:t xml:space="preserve"> </w:t>
      </w:r>
      <w:r w:rsidRPr="00742D1C">
        <w:t>contract</w:t>
      </w:r>
      <w:r w:rsidRPr="00742D1C" w:rsidR="006333CE">
        <w:t>,</w:t>
      </w:r>
      <w:r w:rsidRPr="00742D1C" w:rsidR="008359B1">
        <w:t xml:space="preserve"> which</w:t>
      </w:r>
      <w:r w:rsidRPr="00742D1C" w:rsidR="006A5299">
        <w:t xml:space="preserve"> is approximately $</w:t>
      </w:r>
      <w:r w:rsidRPr="00742D1C" w:rsidR="00767B67">
        <w:t>2</w:t>
      </w:r>
      <w:r w:rsidRPr="00742D1C" w:rsidR="006A5299">
        <w:t>.</w:t>
      </w:r>
      <w:r w:rsidRPr="00742D1C" w:rsidR="007D5BDD">
        <w:t>3</w:t>
      </w:r>
      <w:r w:rsidRPr="00742D1C" w:rsidR="006A5299">
        <w:t xml:space="preserve"> million for </w:t>
      </w:r>
      <w:r w:rsidRPr="00742D1C" w:rsidR="008359B1">
        <w:t xml:space="preserve">the </w:t>
      </w:r>
      <w:r w:rsidRPr="00742D1C" w:rsidR="002411C9">
        <w:t>20</w:t>
      </w:r>
      <w:r w:rsidRPr="00742D1C" w:rsidR="004B7A5B">
        <w:t>2</w:t>
      </w:r>
      <w:r w:rsidRPr="00742D1C" w:rsidR="005E11CC">
        <w:t>4</w:t>
      </w:r>
      <w:r w:rsidRPr="00742D1C" w:rsidR="002411C9">
        <w:t xml:space="preserve"> </w:t>
      </w:r>
      <w:r w:rsidRPr="00742D1C" w:rsidR="001B7605">
        <w:t>n</w:t>
      </w:r>
      <w:r w:rsidRPr="00742D1C" w:rsidR="006A5299">
        <w:t xml:space="preserve">ational </w:t>
      </w:r>
      <w:bookmarkStart w:id="44" w:name="_Int_da9l5LrD"/>
      <w:r w:rsidRPr="00742D1C" w:rsidR="001B7605">
        <w:t>i</w:t>
      </w:r>
      <w:r w:rsidRPr="00742D1C" w:rsidR="006A5299">
        <w:t>mplementation</w:t>
      </w:r>
      <w:bookmarkEnd w:id="44"/>
      <w:r w:rsidRPr="00742D1C" w:rsidR="006A5299">
        <w:t xml:space="preserve">. </w:t>
      </w:r>
      <w:r w:rsidRPr="00742D1C" w:rsidR="006333CE">
        <w:t>CMS</w:t>
      </w:r>
      <w:r w:rsidRPr="00742D1C" w:rsidR="002B50E6">
        <w:t xml:space="preserve"> e</w:t>
      </w:r>
      <w:r w:rsidRPr="00742D1C" w:rsidR="00AE1F78">
        <w:t xml:space="preserve">stimates </w:t>
      </w:r>
      <w:r w:rsidRPr="00742D1C" w:rsidR="002B50E6">
        <w:t>a</w:t>
      </w:r>
      <w:r w:rsidRPr="00742D1C" w:rsidR="006333CE">
        <w:t xml:space="preserve"> three</w:t>
      </w:r>
      <w:r w:rsidRPr="00742D1C" w:rsidR="002B50E6">
        <w:t>-year total of $</w:t>
      </w:r>
      <w:r w:rsidRPr="00742D1C" w:rsidR="00E46783">
        <w:t>6.7</w:t>
      </w:r>
      <w:r w:rsidRPr="00742D1C" w:rsidR="002B50E6">
        <w:t xml:space="preserve"> million. </w:t>
      </w:r>
      <w:r w:rsidRPr="00742D1C" w:rsidR="00601A27">
        <w:t xml:space="preserve">This cost includes soliciting and approving survey vendors, developing quality assurance guidelines and technical specifications for survey vendors, providing technical assistance and training to survey vendors, conducting </w:t>
      </w:r>
      <w:r w:rsidRPr="00742D1C" w:rsidR="00E8794E">
        <w:t>oversight</w:t>
      </w:r>
      <w:r w:rsidRPr="00742D1C" w:rsidR="00601A27">
        <w:t xml:space="preserve"> of approved survey vendors, providing technical assistance to QHP issuers, </w:t>
      </w:r>
      <w:r w:rsidRPr="00742D1C" w:rsidR="00601A27">
        <w:t>scoring</w:t>
      </w:r>
      <w:r w:rsidRPr="00742D1C" w:rsidR="00601A27">
        <w:t xml:space="preserve"> and analyzing the survey data,</w:t>
      </w:r>
      <w:r w:rsidRPr="00742D1C" w:rsidR="00333C2C">
        <w:t xml:space="preserve"> </w:t>
      </w:r>
      <w:r w:rsidRPr="00742D1C" w:rsidR="00601A27">
        <w:t>and development of final reports for QHP issuers.</w:t>
      </w:r>
    </w:p>
    <w:p w:rsidR="008C2806" w:rsidRPr="008C2806" w:rsidP="003220DF" w14:paraId="222E7465" w14:textId="41AA22F1">
      <w:pPr>
        <w:pStyle w:val="Heading3"/>
      </w:pPr>
      <w:bookmarkStart w:id="45" w:name="_Toc378867724"/>
      <w:bookmarkStart w:id="46" w:name="_Ref32435802"/>
      <w:bookmarkStart w:id="47" w:name="_Toc137652178"/>
      <w:r w:rsidRPr="008C2806">
        <w:t>15.</w:t>
      </w:r>
      <w:r w:rsidRPr="008C2806">
        <w:tab/>
      </w:r>
      <w:r w:rsidRPr="000157D8">
        <w:t>Changes to Burden</w:t>
      </w:r>
      <w:bookmarkEnd w:id="45"/>
      <w:bookmarkEnd w:id="46"/>
      <w:bookmarkEnd w:id="47"/>
    </w:p>
    <w:p w:rsidR="00104A89" w:rsidP="00C26913" w14:paraId="6B34004F" w14:textId="685882DD">
      <w:pPr>
        <w:pStyle w:val="BodyText"/>
        <w:rPr>
          <w:b/>
        </w:rPr>
      </w:pPr>
      <w:bookmarkStart w:id="48" w:name="_Toc378867725"/>
      <w:r>
        <w:t>The forecasted burden</w:t>
      </w:r>
      <w:r w:rsidR="00131D0A">
        <w:t xml:space="preserve"> hours</w:t>
      </w:r>
      <w:r>
        <w:t xml:space="preserve"> for implementing the 20</w:t>
      </w:r>
      <w:r w:rsidR="00C34069">
        <w:t>2</w:t>
      </w:r>
      <w:r w:rsidR="00D3228B">
        <w:t>4</w:t>
      </w:r>
      <w:r>
        <w:t>-202</w:t>
      </w:r>
      <w:r w:rsidR="00D3228B">
        <w:t>6</w:t>
      </w:r>
      <w:r>
        <w:t xml:space="preserve"> QHP Enrollee Survey has been </w:t>
      </w:r>
      <w:r w:rsidR="00FE7677">
        <w:t xml:space="preserve">slightly </w:t>
      </w:r>
      <w:r>
        <w:t>reduced</w:t>
      </w:r>
      <w:r w:rsidR="00131D0A">
        <w:t>, while the foreca</w:t>
      </w:r>
      <w:r w:rsidR="00C32E1D">
        <w:t xml:space="preserve">sted cost burden has been increased, </w:t>
      </w:r>
      <w:r>
        <w:t xml:space="preserve">for </w:t>
      </w:r>
      <w:r w:rsidR="000D6D6C">
        <w:t>several</w:t>
      </w:r>
      <w:r>
        <w:t xml:space="preserve"> reasons</w:t>
      </w:r>
      <w:r>
        <w:t>.</w:t>
      </w:r>
    </w:p>
    <w:p w:rsidR="00E44820" w:rsidRPr="0008743C" w:rsidP="00C26913" w14:paraId="44FCCAB0" w14:textId="26A1411D">
      <w:pPr>
        <w:pStyle w:val="BodyText"/>
        <w:rPr>
          <w:b/>
          <w:bCs/>
        </w:rPr>
      </w:pPr>
      <w:r w:rsidRPr="2F0AE81E">
        <w:t xml:space="preserve">First, CMS has </w:t>
      </w:r>
      <w:r w:rsidRPr="2F0AE81E" w:rsidR="00A7024D">
        <w:t>increased</w:t>
      </w:r>
      <w:r w:rsidRPr="2F0AE81E" w:rsidR="00104A89">
        <w:t xml:space="preserve"> its estimate for the number of reporting units that will be required to administer the survey. In previous I</w:t>
      </w:r>
      <w:r w:rsidRPr="2F0AE81E" w:rsidR="002A7CB7">
        <w:t xml:space="preserve">nformation </w:t>
      </w:r>
      <w:r w:rsidRPr="2F0AE81E" w:rsidR="00104A89">
        <w:t>C</w:t>
      </w:r>
      <w:r w:rsidRPr="2F0AE81E" w:rsidR="002A7CB7">
        <w:t xml:space="preserve">ollection </w:t>
      </w:r>
      <w:r w:rsidRPr="2F0AE81E" w:rsidR="00FD3656">
        <w:t>Reviews</w:t>
      </w:r>
      <w:r w:rsidRPr="2F0AE81E" w:rsidR="00104A89">
        <w:t xml:space="preserve">, CMS </w:t>
      </w:r>
      <w:r w:rsidRPr="2F0AE81E" w:rsidR="005E702B">
        <w:t>estimated</w:t>
      </w:r>
      <w:r w:rsidRPr="2F0AE81E" w:rsidR="00104A89">
        <w:t xml:space="preserve"> that </w:t>
      </w:r>
      <w:r w:rsidRPr="2F0AE81E" w:rsidR="00A7024D">
        <w:t>275</w:t>
      </w:r>
      <w:r w:rsidRPr="2F0AE81E" w:rsidR="00104A89">
        <w:t xml:space="preserve"> reporting units </w:t>
      </w:r>
      <w:r w:rsidRPr="2F0AE81E" w:rsidR="008736F6">
        <w:t xml:space="preserve">would be required </w:t>
      </w:r>
      <w:r w:rsidRPr="2F0AE81E" w:rsidR="00AF5549">
        <w:t xml:space="preserve">to contract with a survey vendor </w:t>
      </w:r>
      <w:r w:rsidRPr="2F0AE81E" w:rsidR="008736F6">
        <w:t>to field</w:t>
      </w:r>
      <w:r w:rsidRPr="2F0AE81E" w:rsidR="005E702B">
        <w:t xml:space="preserve"> the QHP Enrollee Survey</w:t>
      </w:r>
      <w:r w:rsidRPr="2F0AE81E" w:rsidR="006333CE">
        <w:t>.</w:t>
      </w:r>
      <w:r w:rsidRPr="2F0AE81E" w:rsidR="00104A89">
        <w:t xml:space="preserve"> CMS is now estimating that </w:t>
      </w:r>
      <w:r w:rsidRPr="2F0AE81E" w:rsidR="00A7024D">
        <w:t>325</w:t>
      </w:r>
      <w:r w:rsidRPr="2F0AE81E" w:rsidR="00104A89">
        <w:t xml:space="preserve"> reporting units will be required to administer the QHP Enrollee Survey. This change </w:t>
      </w:r>
      <w:r w:rsidRPr="2F0AE81E" w:rsidR="0008520B">
        <w:t xml:space="preserve">is based on the </w:t>
      </w:r>
      <w:r w:rsidRPr="2F0AE81E" w:rsidR="00EC1310">
        <w:t xml:space="preserve">trend in the number of reporting units described above in </w:t>
      </w:r>
      <w:r w:rsidRPr="2F0AE81E" w:rsidR="003A7603">
        <w:t xml:space="preserve">Section </w:t>
      </w:r>
      <w:r w:rsidRPr="2F0AE81E" w:rsidR="00B817B7">
        <w:t>A</w:t>
      </w:r>
      <w:r w:rsidRPr="2F0AE81E" w:rsidR="0051650E">
        <w:t>.12</w:t>
      </w:r>
      <w:r w:rsidR="000510CC">
        <w:t xml:space="preserve">. </w:t>
      </w:r>
      <w:r w:rsidR="000D6D6C">
        <w:t xml:space="preserve">CMS anticipates </w:t>
      </w:r>
      <w:r w:rsidR="0040419B">
        <w:t xml:space="preserve">this trend of </w:t>
      </w:r>
      <w:r w:rsidR="005D7241">
        <w:t>increasing number of reporting units required to administer the survey will continue in future administrations (2024 th</w:t>
      </w:r>
      <w:r w:rsidR="00D972E0">
        <w:t>r</w:t>
      </w:r>
      <w:r w:rsidR="005D7241">
        <w:t xml:space="preserve">ough 2026). </w:t>
      </w:r>
      <w:r w:rsidRPr="2F0AE81E" w:rsidR="00906944">
        <w:t xml:space="preserve"> However, this </w:t>
      </w:r>
      <w:r w:rsidRPr="2F0AE81E" w:rsidR="00492C5A">
        <w:t>increase is offset by other factors listed below, including reduced burden hours to complete the survey</w:t>
      </w:r>
      <w:r w:rsidR="00C32E1D">
        <w:t xml:space="preserve"> and</w:t>
      </w:r>
      <w:r w:rsidRPr="2F0AE81E" w:rsidR="00492C5A">
        <w:t xml:space="preserve"> reduced </w:t>
      </w:r>
      <w:r w:rsidRPr="2F0AE81E" w:rsidR="00430225">
        <w:t xml:space="preserve">number of survey vendors applying to </w:t>
      </w:r>
      <w:r w:rsidRPr="2F0AE81E" w:rsidR="00470F14">
        <w:t>become HHS-approved QHP Enrollee Survey Vendors</w:t>
      </w:r>
      <w:r w:rsidRPr="2F0AE81E" w:rsidR="00D0400F">
        <w:t>.</w:t>
      </w:r>
    </w:p>
    <w:p w:rsidR="006C2862" w:rsidRPr="0008743C" w:rsidP="00C26913" w14:paraId="5A6DDBBD" w14:textId="134BAD6F">
      <w:pPr>
        <w:pStyle w:val="BodyText"/>
      </w:pPr>
      <w:r w:rsidRPr="0008743C">
        <w:t xml:space="preserve">Second, </w:t>
      </w:r>
      <w:r w:rsidRPr="0008743C" w:rsidR="211E98FB">
        <w:t>CMS has reduced the estimate</w:t>
      </w:r>
      <w:r w:rsidR="004865B7">
        <w:t>d</w:t>
      </w:r>
      <w:r w:rsidRPr="0008743C" w:rsidR="211E98FB">
        <w:t xml:space="preserve"> </w:t>
      </w:r>
      <w:r w:rsidR="00096DA1">
        <w:t>time</w:t>
      </w:r>
      <w:r w:rsidRPr="0008743C" w:rsidR="211E98FB">
        <w:t xml:space="preserve"> to complete the survey</w:t>
      </w:r>
      <w:r w:rsidRPr="0008743C" w:rsidR="5A73847C">
        <w:t xml:space="preserve"> from 12 to 1</w:t>
      </w:r>
      <w:r w:rsidRPr="0008743C" w:rsidR="00C4102F">
        <w:t>0</w:t>
      </w:r>
      <w:r w:rsidRPr="0008743C" w:rsidR="5A73847C">
        <w:t xml:space="preserve"> minutes. CMS collected data on the </w:t>
      </w:r>
      <w:r w:rsidRPr="0008743C" w:rsidR="0A6BEDF2">
        <w:t xml:space="preserve">time </w:t>
      </w:r>
      <w:r w:rsidRPr="0008743C" w:rsidR="3B47645E">
        <w:t xml:space="preserve">respondents </w:t>
      </w:r>
      <w:r w:rsidRPr="0008743C" w:rsidR="0A6BEDF2">
        <w:t>spent completing the 20</w:t>
      </w:r>
      <w:r w:rsidRPr="0008743C" w:rsidR="003C7099">
        <w:t>22</w:t>
      </w:r>
      <w:r w:rsidRPr="0008743C" w:rsidR="0A6BEDF2">
        <w:t xml:space="preserve"> QHP Enrollee Survey and found that </w:t>
      </w:r>
      <w:r w:rsidRPr="0008743C" w:rsidR="14D6F47D">
        <w:t>it took an average of 1</w:t>
      </w:r>
      <w:r w:rsidRPr="0008743C" w:rsidR="002B4752">
        <w:t>0</w:t>
      </w:r>
      <w:r w:rsidRPr="0008743C" w:rsidR="14D6F47D">
        <w:t xml:space="preserve"> minutes to complete the survey.</w:t>
      </w:r>
    </w:p>
    <w:p w:rsidR="00104A89" w:rsidP="00C26913" w14:paraId="30F8A2AC" w14:textId="59494221">
      <w:pPr>
        <w:pStyle w:val="BodyText"/>
        <w:rPr>
          <w:b/>
          <w:bCs/>
        </w:rPr>
      </w:pPr>
      <w:r w:rsidRPr="2F0AE81E">
        <w:t>Third</w:t>
      </w:r>
      <w:r w:rsidRPr="2F0AE81E">
        <w:t xml:space="preserve">, </w:t>
      </w:r>
      <w:r w:rsidRPr="2F0AE81E" w:rsidR="005E702B">
        <w:t xml:space="preserve">CMS has reduced the number of survey vendors applying to become HHS-approved QHP Enrollee Survey vendors. In previous Information Collection Reviews, CMS estimated that </w:t>
      </w:r>
      <w:r w:rsidR="006C1D17">
        <w:t>10</w:t>
      </w:r>
      <w:r w:rsidRPr="2F0AE81E" w:rsidR="005E702B">
        <w:t xml:space="preserve"> survey vendors would apply</w:t>
      </w:r>
      <w:r w:rsidRPr="2F0AE81E" w:rsidR="00FC450C">
        <w:t>. CMS</w:t>
      </w:r>
      <w:r w:rsidRPr="2F0AE81E" w:rsidR="005E702B">
        <w:t xml:space="preserve"> now estimat</w:t>
      </w:r>
      <w:r w:rsidRPr="2F0AE81E" w:rsidR="00FC450C">
        <w:t>es</w:t>
      </w:r>
      <w:r w:rsidRPr="2F0AE81E" w:rsidR="005E702B">
        <w:t xml:space="preserve"> that </w:t>
      </w:r>
      <w:r w:rsidRPr="2F0AE81E" w:rsidR="4F1C4DA1">
        <w:t>5</w:t>
      </w:r>
      <w:r w:rsidRPr="2F0AE81E" w:rsidR="002F0266">
        <w:t xml:space="preserve"> </w:t>
      </w:r>
      <w:r w:rsidRPr="2F0AE81E" w:rsidR="00FC450C">
        <w:t xml:space="preserve">vendors </w:t>
      </w:r>
      <w:r w:rsidRPr="2F0AE81E" w:rsidR="005E702B">
        <w:t xml:space="preserve">will apply due to the consolidation of several survey vendors in recent years. </w:t>
      </w:r>
      <w:r w:rsidRPr="2F0AE81E" w:rsidR="00F02093">
        <w:t>Three</w:t>
      </w:r>
      <w:r w:rsidRPr="2F0AE81E" w:rsidR="00046F2F">
        <w:t xml:space="preserve"> survey vendors applied to become vendors for the 202</w:t>
      </w:r>
      <w:r w:rsidRPr="2F0AE81E" w:rsidR="00F02093">
        <w:t>2</w:t>
      </w:r>
      <w:r w:rsidR="000230ED">
        <w:t xml:space="preserve"> and 2023</w:t>
      </w:r>
      <w:r w:rsidRPr="2F0AE81E" w:rsidR="00046F2F">
        <w:t xml:space="preserve"> QHP Enrollee Survey</w:t>
      </w:r>
      <w:r w:rsidRPr="2F0AE81E" w:rsidR="00F02093">
        <w:t xml:space="preserve"> administration</w:t>
      </w:r>
      <w:r w:rsidRPr="2F0AE81E" w:rsidR="00046F2F">
        <w:t>.</w:t>
      </w:r>
    </w:p>
    <w:p w:rsidR="00FC450C" w:rsidP="00C26913" w14:paraId="0180E3A6" w14:textId="6A7ADEC7">
      <w:pPr>
        <w:pStyle w:val="BodyText"/>
      </w:pPr>
      <w:r>
        <w:t>Fourth</w:t>
      </w:r>
      <w:r w:rsidR="00952C81">
        <w:t xml:space="preserve">, CMS has </w:t>
      </w:r>
      <w:r w:rsidR="00D0400F">
        <w:t>not changed</w:t>
      </w:r>
      <w:r w:rsidR="00952C81">
        <w:t xml:space="preserve"> the estimated burden hours to complete the Survey Vendor Participation Form.</w:t>
      </w:r>
    </w:p>
    <w:p w:rsidR="00952C81" w:rsidP="00C26913" w14:paraId="11A172A5" w14:textId="06C15CA0">
      <w:pPr>
        <w:pStyle w:val="BodyText"/>
        <w:rPr>
          <w:b/>
        </w:rPr>
      </w:pPr>
      <w:r>
        <w:t xml:space="preserve">CMS </w:t>
      </w:r>
      <w:r w:rsidR="00015A89">
        <w:t xml:space="preserve">estimates </w:t>
      </w:r>
      <w:r w:rsidR="00140967">
        <w:t>the same</w:t>
      </w:r>
      <w:r w:rsidR="00015A89">
        <w:t xml:space="preserve"> </w:t>
      </w:r>
      <w:r w:rsidR="000C3B2E">
        <w:t>number</w:t>
      </w:r>
      <w:r w:rsidR="00015A89">
        <w:t xml:space="preserve"> of completes per reporting unit</w:t>
      </w:r>
      <w:r w:rsidR="00140967">
        <w:t xml:space="preserve"> </w:t>
      </w:r>
      <w:r w:rsidR="0065477F">
        <w:t>for the 2024-2026 QHP Enrollee Survey administrator as for the 2021-2023 administration (300)</w:t>
      </w:r>
      <w:r w:rsidR="00015A89">
        <w:t>.</w:t>
      </w:r>
    </w:p>
    <w:p w:rsidR="006747FC" w:rsidP="006747FC" w14:paraId="0220C8E9" w14:textId="77777777">
      <w:pPr>
        <w:pStyle w:val="BodyText"/>
      </w:pPr>
      <w:r w:rsidRPr="2F0AE81E">
        <w:t xml:space="preserve">As a result of these changes CMS has reduced the </w:t>
      </w:r>
      <w:r w:rsidRPr="2F0AE81E" w:rsidR="00FC450C">
        <w:t>three</w:t>
      </w:r>
      <w:r w:rsidRPr="2F0AE81E" w:rsidR="003F394C">
        <w:t>-</w:t>
      </w:r>
      <w:r w:rsidRPr="2F0AE81E">
        <w:t xml:space="preserve">year burden </w:t>
      </w:r>
      <w:r w:rsidRPr="2F0AE81E" w:rsidR="00031E05">
        <w:t xml:space="preserve">from </w:t>
      </w:r>
      <w:r>
        <w:t xml:space="preserve">54,050 </w:t>
      </w:r>
      <w:r w:rsidRPr="2F0AE81E" w:rsidR="00031E05">
        <w:t xml:space="preserve">to </w:t>
      </w:r>
      <w:r w:rsidR="00C62548">
        <w:rPr>
          <w:color w:val="000000" w:themeColor="text1"/>
        </w:rPr>
        <w:t>48,872</w:t>
      </w:r>
      <w:r w:rsidRPr="2F0AE81E" w:rsidR="00AD2B39">
        <w:rPr>
          <w:color w:val="000000" w:themeColor="text1"/>
        </w:rPr>
        <w:t xml:space="preserve"> </w:t>
      </w:r>
      <w:r w:rsidRPr="2F0AE81E" w:rsidR="00031E05">
        <w:t xml:space="preserve">hours, a reduction of </w:t>
      </w:r>
      <w:r>
        <w:t>5,178</w:t>
      </w:r>
      <w:r w:rsidRPr="2F0AE81E" w:rsidR="002A4957">
        <w:t xml:space="preserve"> </w:t>
      </w:r>
      <w:r w:rsidRPr="2F0AE81E">
        <w:t>burden hours.</w:t>
      </w:r>
      <w:r w:rsidR="00FE7677">
        <w:t xml:space="preserve"> Conversely, </w:t>
      </w:r>
      <w:r w:rsidR="000157D8">
        <w:t xml:space="preserve">CMS has increased the three-year cost burden from </w:t>
      </w:r>
      <w:r w:rsidRPr="000002A9" w:rsidR="000157D8">
        <w:t xml:space="preserve">$1,403,554.41 to </w:t>
      </w:r>
      <w:r w:rsidRPr="000002A9" w:rsidR="000157D8">
        <w:rPr>
          <w:color w:val="000000"/>
        </w:rPr>
        <w:t>$1,604,164.43</w:t>
      </w:r>
      <w:r>
        <w:rPr>
          <w:color w:val="000000"/>
        </w:rPr>
        <w:t xml:space="preserve">, </w:t>
      </w:r>
      <w:r>
        <w:t xml:space="preserve">due to the increase in </w:t>
      </w:r>
      <w:r w:rsidRPr="00B04160">
        <w:t>The Bureau of Labor Statistics reported average hourly wag</w:t>
      </w:r>
      <w:r>
        <w:t>es.</w:t>
      </w:r>
    </w:p>
    <w:p w:rsidR="00B012E7" w:rsidP="00C26913" w14:paraId="4D856711" w14:textId="3EC83244">
      <w:pPr>
        <w:pStyle w:val="BodyText"/>
        <w:rPr>
          <w:b/>
          <w:bCs/>
        </w:rPr>
      </w:pPr>
      <w:r>
        <w:rPr>
          <w:color w:val="000000"/>
        </w:rPr>
        <w:t>.</w:t>
      </w:r>
    </w:p>
    <w:p w:rsidR="008C2806" w:rsidP="003220DF" w14:paraId="11CFD510" w14:textId="09319067">
      <w:pPr>
        <w:pStyle w:val="Heading3"/>
      </w:pPr>
      <w:bookmarkStart w:id="49" w:name="_Toc137652179"/>
      <w:r w:rsidRPr="008C2806">
        <w:t>16.</w:t>
      </w:r>
      <w:r w:rsidRPr="008C2806">
        <w:tab/>
        <w:t>Publication/Tabulation Dates</w:t>
      </w:r>
      <w:bookmarkEnd w:id="48"/>
      <w:bookmarkEnd w:id="49"/>
    </w:p>
    <w:p w:rsidR="00800731" w:rsidP="00C26913" w14:paraId="6D2D9124" w14:textId="50EE6DB0">
      <w:pPr>
        <w:pStyle w:val="BodyText"/>
      </w:pPr>
      <w:r>
        <w:t xml:space="preserve">Reporting </w:t>
      </w:r>
      <w:r w:rsidR="00DA5AEF">
        <w:t xml:space="preserve">of the QHP Enrollee Survey results will occur in the fall </w:t>
      </w:r>
      <w:r w:rsidR="00174876">
        <w:t>of 20</w:t>
      </w:r>
      <w:r w:rsidR="000D57AD">
        <w:t>2</w:t>
      </w:r>
      <w:r w:rsidR="00FB7C39">
        <w:t>4</w:t>
      </w:r>
      <w:r w:rsidR="00E153B2">
        <w:t>,</w:t>
      </w:r>
      <w:r w:rsidR="00174876">
        <w:t xml:space="preserve"> </w:t>
      </w:r>
      <w:r w:rsidR="00DA5AEF">
        <w:t>following the data collection</w:t>
      </w:r>
      <w:r w:rsidR="00F40B65">
        <w:t xml:space="preserve"> period</w:t>
      </w:r>
      <w:r w:rsidR="00DA5AEF">
        <w:t xml:space="preserve">. Reporting of the survey results will include distribution of </w:t>
      </w:r>
      <w:r w:rsidR="00FF1760">
        <w:t xml:space="preserve">QI </w:t>
      </w:r>
      <w:r w:rsidR="007A03EA">
        <w:t>R</w:t>
      </w:r>
      <w:r w:rsidR="00DA5AEF">
        <w:t xml:space="preserve">eports for each </w:t>
      </w:r>
      <w:r w:rsidR="00FF1760">
        <w:t>reporting</w:t>
      </w:r>
      <w:r w:rsidR="00DA5AEF">
        <w:t xml:space="preserve"> unit to QHP issuers</w:t>
      </w:r>
      <w:r w:rsidR="000D57AD">
        <w:t xml:space="preserve"> and</w:t>
      </w:r>
      <w:r w:rsidR="00DA5AEF">
        <w:t xml:space="preserve"> summary reports to </w:t>
      </w:r>
      <w:r w:rsidR="00E215E1">
        <w:t>Exchange</w:t>
      </w:r>
      <w:r w:rsidR="00DA5AEF">
        <w:t>s</w:t>
      </w:r>
      <w:r w:rsidR="002F092C">
        <w:t>.</w:t>
      </w:r>
      <w:r w:rsidR="00DA5AEF">
        <w:t xml:space="preserve"> </w:t>
      </w:r>
      <w:r w:rsidRPr="002F092C" w:rsidR="002F092C">
        <w:t xml:space="preserve">CMS </w:t>
      </w:r>
      <w:r w:rsidR="002F092C">
        <w:t xml:space="preserve">also </w:t>
      </w:r>
      <w:r w:rsidRPr="002F092C" w:rsidR="002F092C">
        <w:t>anticipates displaying the 20</w:t>
      </w:r>
      <w:r w:rsidR="000D57AD">
        <w:t>2</w:t>
      </w:r>
      <w:r w:rsidR="00FB7C39">
        <w:t>4</w:t>
      </w:r>
      <w:r w:rsidRPr="002F092C" w:rsidR="002F092C">
        <w:t xml:space="preserve"> QRS global rating and three summary indicator ratings on the HealthCare.gov website for eligible QHPs</w:t>
      </w:r>
      <w:r w:rsidR="00705297">
        <w:t xml:space="preserve"> and a</w:t>
      </w:r>
      <w:r w:rsidR="00915F82">
        <w:t xml:space="preserve"> subset of </w:t>
      </w:r>
      <w:r w:rsidR="00C96BCF">
        <w:t>QHP Enrollee Survey questions are included in the QRS</w:t>
      </w:r>
      <w:r w:rsidR="00B60EBF">
        <w:t xml:space="preserve"> measure set</w:t>
      </w:r>
      <w:r w:rsidR="00C96BCF">
        <w:t xml:space="preserve">. </w:t>
      </w:r>
      <w:r w:rsidR="005C26DE">
        <w:t xml:space="preserve">CMS also publishes updates about the survey through its </w:t>
      </w:r>
      <w:hyperlink r:id="rId15" w:tooltip="CMS Health Insurance Marketplace Quality Initiatives landing page" w:history="1">
        <w:r w:rsidR="000D57AD">
          <w:rPr>
            <w:rStyle w:val="Hyperlink"/>
          </w:rPr>
          <w:t>Marketplace</w:t>
        </w:r>
        <w:r w:rsidRPr="005C26DE" w:rsidR="005C26DE">
          <w:rPr>
            <w:rStyle w:val="Hyperlink"/>
          </w:rPr>
          <w:t xml:space="preserve"> Quality Initiatives webpage</w:t>
        </w:r>
      </w:hyperlink>
      <w:r w:rsidRPr="00732BD0" w:rsidR="00E86F63">
        <w:rPr>
          <w:rStyle w:val="Hyperlink"/>
          <w:color w:val="auto"/>
          <w:u w:val="none"/>
        </w:rPr>
        <w:t>.</w:t>
      </w:r>
      <w:r>
        <w:rPr>
          <w:rStyle w:val="FootnoteReference"/>
        </w:rPr>
        <w:footnoteReference w:id="8"/>
      </w:r>
    </w:p>
    <w:p w:rsidR="008C2806" w:rsidRPr="008C2806" w:rsidP="003220DF" w14:paraId="32EC5BB4" w14:textId="6CD353E1">
      <w:pPr>
        <w:pStyle w:val="Heading3"/>
      </w:pPr>
      <w:bookmarkStart w:id="50" w:name="_Toc378867726"/>
      <w:bookmarkStart w:id="51" w:name="_Toc137652180"/>
      <w:r w:rsidRPr="008C2806">
        <w:t>17.</w:t>
      </w:r>
      <w:r w:rsidRPr="008C2806">
        <w:tab/>
        <w:t>Expiration Date</w:t>
      </w:r>
      <w:bookmarkEnd w:id="50"/>
      <w:bookmarkEnd w:id="51"/>
    </w:p>
    <w:p w:rsidR="008C2806" w:rsidRPr="008C2806" w:rsidP="00C26913" w14:paraId="3086DCC3" w14:textId="24D1E434">
      <w:pPr>
        <w:pStyle w:val="BodyText"/>
      </w:pPr>
      <w:r w:rsidRPr="00C21576">
        <w:t xml:space="preserve">The expiration date </w:t>
      </w:r>
      <w:r w:rsidRPr="00C21576" w:rsidR="000505CA">
        <w:t xml:space="preserve">and OMB control </w:t>
      </w:r>
      <w:r w:rsidR="00E86F63">
        <w:t xml:space="preserve">number </w:t>
      </w:r>
      <w:r w:rsidRPr="00C21576">
        <w:t>will be displayed</w:t>
      </w:r>
      <w:r w:rsidRPr="00C21576" w:rsidR="000505CA">
        <w:t xml:space="preserve"> on the first page of the </w:t>
      </w:r>
      <w:r w:rsidR="009339E4">
        <w:t xml:space="preserve">survey </w:t>
      </w:r>
      <w:r w:rsidRPr="00C21576" w:rsidR="000505CA">
        <w:t>instrument</w:t>
      </w:r>
      <w:r w:rsidRPr="00C21576">
        <w:t>.</w:t>
      </w:r>
    </w:p>
    <w:p w:rsidR="00883F00" w:rsidRPr="003220DF" w:rsidP="003220DF" w14:paraId="40CFEC8C" w14:textId="77777777">
      <w:pPr>
        <w:pStyle w:val="Heading3"/>
      </w:pPr>
      <w:bookmarkStart w:id="52" w:name="_Toc378867727"/>
      <w:bookmarkStart w:id="53" w:name="_Toc137652181"/>
      <w:r w:rsidRPr="003220DF">
        <w:t>18.</w:t>
      </w:r>
      <w:r w:rsidRPr="003220DF">
        <w:tab/>
        <w:t>Certification Statement</w:t>
      </w:r>
      <w:bookmarkEnd w:id="52"/>
      <w:bookmarkEnd w:id="53"/>
    </w:p>
    <w:p w:rsidR="00202871" w:rsidP="00C26913" w14:paraId="736BDFF3" w14:textId="0A214089">
      <w:pPr>
        <w:pStyle w:val="BodyText"/>
      </w:pPr>
      <w:r w:rsidRPr="00C21576">
        <w:t xml:space="preserve">There are no exceptions to the certification statement identified in Item 19, </w:t>
      </w:r>
      <w:r w:rsidR="00E86F63">
        <w:t>“</w:t>
      </w:r>
      <w:r w:rsidRPr="00C21576">
        <w:t>Certification for Paperwork Reduction Act Submissions,</w:t>
      </w:r>
      <w:r w:rsidR="00E86F63">
        <w:t>”</w:t>
      </w:r>
      <w:r w:rsidRPr="00C21576">
        <w:t xml:space="preserve"> of OMB Form 83-I.</w:t>
      </w:r>
    </w:p>
    <w:sectPr w:rsidSect="00732BD0">
      <w:footerReference w:type="default" r:id="rId16"/>
      <w:endnotePr>
        <w:numFmt w:val="decimal"/>
      </w:endnotePr>
      <w:pgSz w:w="12240" w:h="15840" w:code="1"/>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libri-Bold">
    <w:altName w:val="Calibri"/>
    <w:panose1 w:val="00000000000000000000"/>
    <w:charset w:val="4D"/>
    <w:family w:val="auto"/>
    <w:notTrueType/>
    <w:pitch w:val="default"/>
    <w:sig w:usb0="00000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45F" w:rsidRPr="00123BBA" w:rsidP="00D42809" w14:paraId="6147DBC9" w14:textId="77777777">
    <w:pPr>
      <w:pBdr>
        <w:top w:val="single" w:sz="4" w:space="3" w:color="auto"/>
      </w:pBdr>
      <w:spacing w:line="240" w:lineRule="exact"/>
      <w:jc w:val="center"/>
      <w:rPr>
        <w:sz w:val="20"/>
        <w:szCs w:val="20"/>
      </w:rPr>
    </w:pPr>
    <w:r>
      <w:fldChar w:fldCharType="begin"/>
    </w:r>
    <w:r>
      <w:instrText xml:space="preserve"> PAGE   \* MERGEFORMAT </w:instrText>
    </w:r>
    <w:r>
      <w:fldChar w:fldCharType="separate"/>
    </w:r>
    <w:r>
      <w:rPr>
        <w:noProof/>
      </w:rPr>
      <w:t>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45F" w:rsidRPr="00123BBA" w:rsidP="00D42809" w14:paraId="35DB8BE5" w14:textId="6362F4AB">
    <w:pPr>
      <w:pBdr>
        <w:top w:val="single" w:sz="4" w:space="3" w:color="auto"/>
      </w:pBdr>
      <w:spacing w:line="240" w:lineRule="exact"/>
      <w:jc w:val="center"/>
      <w:rPr>
        <w:sz w:val="20"/>
        <w:szCs w:val="20"/>
      </w:rPr>
    </w:pPr>
    <w:r>
      <w:fldChar w:fldCharType="begin"/>
    </w:r>
    <w:r>
      <w:instrText xml:space="preserve"> PAGE   \* MERGEFORMAT </w:instrText>
    </w:r>
    <w:r>
      <w:fldChar w:fldCharType="separate"/>
    </w:r>
    <w:r>
      <w:rPr>
        <w:noProof/>
      </w:rPr>
      <w:t>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45F" w:rsidRPr="00123BBA" w:rsidP="00123BBA" w14:paraId="0D306200" w14:textId="2A4F39EB">
    <w:pPr>
      <w:pBdr>
        <w:top w:val="single" w:sz="4" w:space="3" w:color="auto"/>
      </w:pBdr>
      <w:spacing w:line="240" w:lineRule="exact"/>
      <w:jc w:val="center"/>
      <w:rPr>
        <w:sz w:val="20"/>
        <w:szCs w:val="20"/>
      </w:rP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5C68" w14:paraId="46FF2D4C" w14:textId="77777777">
      <w:r>
        <w:separator/>
      </w:r>
    </w:p>
  </w:footnote>
  <w:footnote w:type="continuationSeparator" w:id="1">
    <w:p w:rsidR="00C65C68" w14:paraId="447BC9B2" w14:textId="77777777">
      <w:r>
        <w:continuationSeparator/>
      </w:r>
    </w:p>
  </w:footnote>
  <w:footnote w:type="continuationNotice" w:id="2">
    <w:p w:rsidR="00C65C68" w14:paraId="75ADC8C4" w14:textId="77777777"/>
  </w:footnote>
  <w:footnote w:id="3">
    <w:p w:rsidR="001F545F" w:rsidP="008B3C0A" w14:paraId="7733D44E" w14:textId="77777777">
      <w:pPr>
        <w:pStyle w:val="FootnoteText"/>
      </w:pPr>
      <w:r>
        <w:rPr>
          <w:rStyle w:val="FootnoteReference"/>
        </w:rPr>
        <w:footnoteRef/>
      </w:r>
      <w:r>
        <w:t xml:space="preserve"> </w:t>
      </w:r>
      <w:r w:rsidRPr="00FE1364">
        <w:t xml:space="preserve">Unless the context indicates otherwise, the term “Exchanges” refers to the Federally-facilitated Exchanges (FFEs) (inclusive of FFEs where the </w:t>
      </w:r>
      <w:r w:rsidRPr="00C86339">
        <w:t>s</w:t>
      </w:r>
      <w:r w:rsidRPr="00711A45">
        <w:t>tate</w:t>
      </w:r>
      <w:r w:rsidRPr="00FE1364">
        <w:t xml:space="preserve"> performs plan management functions [FFE-SPM]) and the State-based Exchanges (SBEs) (inclusive of State-based Exchanges on the Federal Platform [SBE-FPs]).</w:t>
      </w:r>
    </w:p>
  </w:footnote>
  <w:footnote w:id="4">
    <w:p w:rsidR="001F545F" w14:paraId="74B7AD08" w14:textId="762E3D46">
      <w:pPr>
        <w:pStyle w:val="FootnoteText"/>
      </w:pPr>
      <w:r>
        <w:rPr>
          <w:rStyle w:val="FootnoteReference"/>
        </w:rPr>
        <w:footnoteRef/>
      </w:r>
      <w:r>
        <w:t xml:space="preserve"> </w:t>
      </w:r>
      <w:r w:rsidRPr="00FE1364">
        <w:t>Patient Protection and Affordable Care Act; Exchange and Insurance Market Standards for 2015 and Beyond, Final Rule, 79 Fed. Reg. 30240 at 30352 (May 27, 2014), 45 C.F.R. §§ 156.1120 and 156.1125.</w:t>
      </w:r>
    </w:p>
  </w:footnote>
  <w:footnote w:id="5">
    <w:p w:rsidR="001F545F" w14:paraId="5DA3FCD7" w14:textId="3FB5804C">
      <w:pPr>
        <w:pStyle w:val="FootnoteText"/>
      </w:pPr>
      <w:r>
        <w:rPr>
          <w:rStyle w:val="FootnoteReference"/>
        </w:rPr>
        <w:footnoteRef/>
      </w:r>
      <w:r>
        <w:t xml:space="preserve"> </w:t>
      </w:r>
      <w:r w:rsidRPr="00FE1364">
        <w:t>45 C.F.R. §§ 156.200(b)(5),(h); 156.1120; and 156.1125.</w:t>
      </w:r>
    </w:p>
  </w:footnote>
  <w:footnote w:id="6">
    <w:p w:rsidR="001F545F" w14:paraId="10355F60" w14:textId="23AEED90">
      <w:pPr>
        <w:pStyle w:val="FootnoteText"/>
      </w:pPr>
      <w:r>
        <w:rPr>
          <w:rStyle w:val="FootnoteReference"/>
        </w:rPr>
        <w:footnoteRef/>
      </w:r>
      <w:r>
        <w:t xml:space="preserve"> </w:t>
      </w:r>
      <w:r w:rsidRPr="00FE1364">
        <w:t>45 C.F.R. §§ 155.1400 and 155.1405</w:t>
      </w:r>
    </w:p>
  </w:footnote>
  <w:footnote w:id="7">
    <w:p w:rsidR="001F545F" w14:paraId="69ED4742" w14:textId="473A5966">
      <w:pPr>
        <w:pStyle w:val="FootnoteText"/>
      </w:pPr>
      <w:r>
        <w:rPr>
          <w:rStyle w:val="FootnoteReference"/>
        </w:rPr>
        <w:footnoteRef/>
      </w:r>
      <w:r>
        <w:t xml:space="preserve"> </w:t>
      </w:r>
      <w:hyperlink r:id="rId1" w:tooltip="U.S. Bureau of Labor Statistics data table: Average hourly and weekly earnings of all employees on private nonfarm payrolls by industry sector, seasonally adjusted" w:history="1">
        <w:r>
          <w:rPr>
            <w:rStyle w:val="Hyperlink"/>
          </w:rPr>
          <w:t>https://www.bls.gov/news.release/empsit.t19.htm</w:t>
        </w:r>
      </w:hyperlink>
    </w:p>
  </w:footnote>
  <w:footnote w:id="8">
    <w:p w:rsidR="001F545F" w14:paraId="58C1D63F" w14:textId="4316BC05">
      <w:pPr>
        <w:pStyle w:val="FootnoteText"/>
      </w:pPr>
      <w:r>
        <w:rPr>
          <w:rStyle w:val="FootnoteReference"/>
        </w:rPr>
        <w:footnoteRef/>
      </w:r>
      <w:r>
        <w:t xml:space="preserve"> </w:t>
      </w:r>
      <w:hyperlink r:id="rId2" w:tooltip="CMS Health Insurance Marketplace Quality Initiatives landing page" w:history="1">
        <w:r w:rsidR="009E0C1D">
          <w:rPr>
            <w:rStyle w:val="Hyperlink"/>
          </w:rPr>
          <w:t>https://www.cms.gov/Medicare/Quality-Initiatives-Patient-Assessment-Instruments/QualityInitiativesGenInfo/ACA-MQI/ACA-MQI-Landing-Page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45F" w:rsidRPr="00547357" w:rsidP="0021489C" w14:paraId="692EACFC" w14:textId="54DD5C7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45F" w14:paraId="31BEA6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D"/>
    <w:multiLevelType w:val="singleLevel"/>
    <w:tmpl w:val="54FA7FE8"/>
    <w:lvl w:ilvl="0">
      <w:start w:val="1"/>
      <w:numFmt w:val="decimal"/>
      <w:pStyle w:val="ListNumber4"/>
      <w:lvlText w:val="%1."/>
      <w:lvlJc w:val="left"/>
      <w:pPr>
        <w:tabs>
          <w:tab w:val="num" w:pos="1440"/>
        </w:tabs>
        <w:ind w:left="1440" w:hanging="360"/>
      </w:pPr>
    </w:lvl>
  </w:abstractNum>
  <w:abstractNum w:abstractNumId="1">
    <w:nsid w:val="01136DB9"/>
    <w:multiLevelType w:val="hybridMultilevel"/>
    <w:tmpl w:val="30FA5CE6"/>
    <w:lvl w:ilvl="0">
      <w:start w:val="1"/>
      <w:numFmt w:val="bullet"/>
      <w:pStyle w:val="PBullet3"/>
      <w:lvlText w:val=""/>
      <w:lvlJc w:val="left"/>
      <w:pPr>
        <w:ind w:left="1080" w:hanging="360"/>
      </w:pPr>
      <w:rPr>
        <w:rFonts w:ascii="Wingdings" w:hAnsi="Wingdings" w:hint="default"/>
        <w:color w:val="002C5F"/>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9303379"/>
    <w:multiLevelType w:val="hybridMultilevel"/>
    <w:tmpl w:val="9866FC18"/>
    <w:lvl w:ilvl="0">
      <w:start w:val="1"/>
      <w:numFmt w:val="bullet"/>
      <w:pStyle w:val="ListBullet"/>
      <w:lvlText w:val=""/>
      <w:lvlJc w:val="left"/>
      <w:pPr>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A0C276F"/>
    <w:multiLevelType w:val="hybridMultilevel"/>
    <w:tmpl w:val="1AD60C0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
    <w:nsid w:val="13EC0BDE"/>
    <w:multiLevelType w:val="hybridMultilevel"/>
    <w:tmpl w:val="3AA89F78"/>
    <w:lvl w:ilvl="0">
      <w:start w:val="1"/>
      <w:numFmt w:val="decimal"/>
      <w:lvlText w:val="%1."/>
      <w:lvlJc w:val="left"/>
      <w:pPr>
        <w:ind w:left="360" w:hanging="360"/>
      </w:pPr>
      <w:rPr>
        <w:rFonts w:hint="default"/>
        <w:b/>
        <w:bCs/>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EF850D7"/>
    <w:multiLevelType w:val="hybridMultilevel"/>
    <w:tmpl w:val="DC344414"/>
    <w:lvl w:ilvl="0">
      <w:start w:val="1"/>
      <w:numFmt w:val="decimal"/>
      <w:pStyle w:val="PNumbering"/>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0BB6B73"/>
    <w:multiLevelType w:val="hybridMultilevel"/>
    <w:tmpl w:val="5C3CD572"/>
    <w:lvl w:ilvl="0">
      <w:start w:val="65"/>
      <w:numFmt w:val="decimal"/>
      <w:pStyle w:val="Q1-Survey-Question"/>
      <w:lvlText w:val="%1."/>
      <w:lvlJc w:val="left"/>
      <w:pPr>
        <w:ind w:left="360" w:hanging="360"/>
      </w:pPr>
      <w:rPr>
        <w:rFonts w:hint="default"/>
        <w:b w:val="0"/>
        <w: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80468A"/>
    <w:multiLevelType w:val="hybridMultilevel"/>
    <w:tmpl w:val="5666110E"/>
    <w:lvl w:ilvl="0">
      <w:start w:val="1"/>
      <w:numFmt w:val="bullet"/>
      <w:pStyle w:val="PBullet2"/>
      <w:lvlText w:val="–"/>
      <w:lvlJc w:val="left"/>
      <w:pPr>
        <w:ind w:left="720" w:hanging="360"/>
      </w:pPr>
      <w:rPr>
        <w:rFonts w:ascii="Times New Roman" w:hAnsi="Times New Roman" w:cs="Times New Roman" w:hint="default"/>
        <w:color w:val="002C5F"/>
        <w:sz w:val="2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E4768D1"/>
    <w:multiLevelType w:val="hybridMultilevel"/>
    <w:tmpl w:val="F030258A"/>
    <w:lvl w:ilvl="0">
      <w:start w:val="1"/>
      <w:numFmt w:val="bullet"/>
      <w:pStyle w:val="PTableBullet1"/>
      <w:lvlText w:val=""/>
      <w:lvlJc w:val="left"/>
      <w:pPr>
        <w:tabs>
          <w:tab w:val="num" w:pos="720"/>
        </w:tabs>
        <w:ind w:left="720" w:hanging="360"/>
      </w:pPr>
      <w:rPr>
        <w:rFonts w:ascii="Symbol" w:hAnsi="Symbol" w:cs="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970083827">
    <w:abstractNumId w:val="7"/>
  </w:num>
  <w:num w:numId="2" w16cid:durableId="800028644">
    <w:abstractNumId w:val="1"/>
  </w:num>
  <w:num w:numId="3" w16cid:durableId="281965256">
    <w:abstractNumId w:val="5"/>
    <w:lvlOverride w:ilvl="0">
      <w:startOverride w:val="1"/>
    </w:lvlOverride>
  </w:num>
  <w:num w:numId="4" w16cid:durableId="1773011172">
    <w:abstractNumId w:val="8"/>
  </w:num>
  <w:num w:numId="5" w16cid:durableId="1114254313">
    <w:abstractNumId w:val="2"/>
  </w:num>
  <w:num w:numId="6" w16cid:durableId="77942015">
    <w:abstractNumId w:val="0"/>
  </w:num>
  <w:num w:numId="7" w16cid:durableId="1765876446">
    <w:abstractNumId w:val="6"/>
  </w:num>
  <w:num w:numId="8" w16cid:durableId="660429890">
    <w:abstractNumId w:val="5"/>
  </w:num>
  <w:num w:numId="9" w16cid:durableId="1180122167">
    <w:abstractNumId w:val="3"/>
  </w:num>
  <w:num w:numId="10" w16cid:durableId="20951267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F4"/>
    <w:rsid w:val="000002A9"/>
    <w:rsid w:val="00000687"/>
    <w:rsid w:val="0000077B"/>
    <w:rsid w:val="00001595"/>
    <w:rsid w:val="000025C7"/>
    <w:rsid w:val="00002734"/>
    <w:rsid w:val="00004366"/>
    <w:rsid w:val="0000565E"/>
    <w:rsid w:val="00006657"/>
    <w:rsid w:val="00013346"/>
    <w:rsid w:val="00013902"/>
    <w:rsid w:val="00013920"/>
    <w:rsid w:val="00013D0C"/>
    <w:rsid w:val="0001562B"/>
    <w:rsid w:val="000157D8"/>
    <w:rsid w:val="00015A89"/>
    <w:rsid w:val="000162E3"/>
    <w:rsid w:val="00016CD0"/>
    <w:rsid w:val="0002036A"/>
    <w:rsid w:val="000204AD"/>
    <w:rsid w:val="000209D1"/>
    <w:rsid w:val="00020FBF"/>
    <w:rsid w:val="000230ED"/>
    <w:rsid w:val="00023D1F"/>
    <w:rsid w:val="00024350"/>
    <w:rsid w:val="00024457"/>
    <w:rsid w:val="00025491"/>
    <w:rsid w:val="00025BB8"/>
    <w:rsid w:val="00025C87"/>
    <w:rsid w:val="0002645D"/>
    <w:rsid w:val="00026667"/>
    <w:rsid w:val="0002920F"/>
    <w:rsid w:val="000317A5"/>
    <w:rsid w:val="00031A21"/>
    <w:rsid w:val="00031BFA"/>
    <w:rsid w:val="00031E05"/>
    <w:rsid w:val="000321CE"/>
    <w:rsid w:val="00032D26"/>
    <w:rsid w:val="00034222"/>
    <w:rsid w:val="00036954"/>
    <w:rsid w:val="00036FDD"/>
    <w:rsid w:val="00037090"/>
    <w:rsid w:val="00037D58"/>
    <w:rsid w:val="00040AE4"/>
    <w:rsid w:val="0004270E"/>
    <w:rsid w:val="00042AA3"/>
    <w:rsid w:val="000448DB"/>
    <w:rsid w:val="00045BCF"/>
    <w:rsid w:val="00046F2F"/>
    <w:rsid w:val="00046FEC"/>
    <w:rsid w:val="000470C5"/>
    <w:rsid w:val="000505CA"/>
    <w:rsid w:val="0005061D"/>
    <w:rsid w:val="00050F30"/>
    <w:rsid w:val="000510CC"/>
    <w:rsid w:val="000515D7"/>
    <w:rsid w:val="000517F0"/>
    <w:rsid w:val="00051E78"/>
    <w:rsid w:val="00052113"/>
    <w:rsid w:val="000522F3"/>
    <w:rsid w:val="00052601"/>
    <w:rsid w:val="00052A28"/>
    <w:rsid w:val="00052FBE"/>
    <w:rsid w:val="000531AE"/>
    <w:rsid w:val="00053366"/>
    <w:rsid w:val="00053A4C"/>
    <w:rsid w:val="000550DF"/>
    <w:rsid w:val="000552EB"/>
    <w:rsid w:val="0005575C"/>
    <w:rsid w:val="00056918"/>
    <w:rsid w:val="00057C61"/>
    <w:rsid w:val="0006030E"/>
    <w:rsid w:val="000603EA"/>
    <w:rsid w:val="000623EF"/>
    <w:rsid w:val="00062966"/>
    <w:rsid w:val="00064B43"/>
    <w:rsid w:val="00066578"/>
    <w:rsid w:val="000666F6"/>
    <w:rsid w:val="00066AE7"/>
    <w:rsid w:val="000670CD"/>
    <w:rsid w:val="00071178"/>
    <w:rsid w:val="00071383"/>
    <w:rsid w:val="0007198A"/>
    <w:rsid w:val="000721BA"/>
    <w:rsid w:val="0007397C"/>
    <w:rsid w:val="00073BA4"/>
    <w:rsid w:val="000745C3"/>
    <w:rsid w:val="00074A46"/>
    <w:rsid w:val="00075AE3"/>
    <w:rsid w:val="0007681A"/>
    <w:rsid w:val="00076F10"/>
    <w:rsid w:val="0007719F"/>
    <w:rsid w:val="000778D8"/>
    <w:rsid w:val="0008020F"/>
    <w:rsid w:val="0008317F"/>
    <w:rsid w:val="0008354C"/>
    <w:rsid w:val="0008426C"/>
    <w:rsid w:val="00084283"/>
    <w:rsid w:val="00084CEE"/>
    <w:rsid w:val="000851FB"/>
    <w:rsid w:val="0008520B"/>
    <w:rsid w:val="00085533"/>
    <w:rsid w:val="000856AE"/>
    <w:rsid w:val="0008714E"/>
    <w:rsid w:val="000872B7"/>
    <w:rsid w:val="0008743C"/>
    <w:rsid w:val="00087E60"/>
    <w:rsid w:val="000903F7"/>
    <w:rsid w:val="00090BD3"/>
    <w:rsid w:val="00091802"/>
    <w:rsid w:val="0009181B"/>
    <w:rsid w:val="00091CDC"/>
    <w:rsid w:val="0009239E"/>
    <w:rsid w:val="00092A84"/>
    <w:rsid w:val="0009369D"/>
    <w:rsid w:val="000949CC"/>
    <w:rsid w:val="00095F3F"/>
    <w:rsid w:val="0009659F"/>
    <w:rsid w:val="000967BA"/>
    <w:rsid w:val="000968D5"/>
    <w:rsid w:val="00096DA1"/>
    <w:rsid w:val="000977EC"/>
    <w:rsid w:val="000A10BC"/>
    <w:rsid w:val="000A21B5"/>
    <w:rsid w:val="000A2488"/>
    <w:rsid w:val="000A3076"/>
    <w:rsid w:val="000A4A0A"/>
    <w:rsid w:val="000A4F1B"/>
    <w:rsid w:val="000A5A46"/>
    <w:rsid w:val="000A5B60"/>
    <w:rsid w:val="000A67B0"/>
    <w:rsid w:val="000B0359"/>
    <w:rsid w:val="000B1D71"/>
    <w:rsid w:val="000B2BA4"/>
    <w:rsid w:val="000B309D"/>
    <w:rsid w:val="000B396A"/>
    <w:rsid w:val="000B42D1"/>
    <w:rsid w:val="000B4C6A"/>
    <w:rsid w:val="000B5590"/>
    <w:rsid w:val="000B5ECA"/>
    <w:rsid w:val="000B6AE4"/>
    <w:rsid w:val="000C0F33"/>
    <w:rsid w:val="000C182B"/>
    <w:rsid w:val="000C3B2E"/>
    <w:rsid w:val="000C45E5"/>
    <w:rsid w:val="000C47F6"/>
    <w:rsid w:val="000C4815"/>
    <w:rsid w:val="000C4919"/>
    <w:rsid w:val="000C5EB7"/>
    <w:rsid w:val="000C6A9E"/>
    <w:rsid w:val="000C7CCA"/>
    <w:rsid w:val="000D05CD"/>
    <w:rsid w:val="000D155C"/>
    <w:rsid w:val="000D2268"/>
    <w:rsid w:val="000D3272"/>
    <w:rsid w:val="000D4325"/>
    <w:rsid w:val="000D5390"/>
    <w:rsid w:val="000D57AD"/>
    <w:rsid w:val="000D6D6C"/>
    <w:rsid w:val="000D7096"/>
    <w:rsid w:val="000D78F3"/>
    <w:rsid w:val="000D7AE3"/>
    <w:rsid w:val="000E0E09"/>
    <w:rsid w:val="000E1215"/>
    <w:rsid w:val="000E180F"/>
    <w:rsid w:val="000E1882"/>
    <w:rsid w:val="000E1A19"/>
    <w:rsid w:val="000E1BB2"/>
    <w:rsid w:val="000E2108"/>
    <w:rsid w:val="000E24F1"/>
    <w:rsid w:val="000E314A"/>
    <w:rsid w:val="000E495A"/>
    <w:rsid w:val="000E506E"/>
    <w:rsid w:val="000E59ED"/>
    <w:rsid w:val="000E6221"/>
    <w:rsid w:val="000E6D3F"/>
    <w:rsid w:val="000E7BC1"/>
    <w:rsid w:val="000E7C52"/>
    <w:rsid w:val="000F1471"/>
    <w:rsid w:val="000F1AA7"/>
    <w:rsid w:val="000F3AF4"/>
    <w:rsid w:val="000F3E7F"/>
    <w:rsid w:val="000F3F6B"/>
    <w:rsid w:val="000F4589"/>
    <w:rsid w:val="000F4CA9"/>
    <w:rsid w:val="000F7B19"/>
    <w:rsid w:val="001000CC"/>
    <w:rsid w:val="00100CEE"/>
    <w:rsid w:val="00101379"/>
    <w:rsid w:val="001020D8"/>
    <w:rsid w:val="0010264D"/>
    <w:rsid w:val="00103746"/>
    <w:rsid w:val="001047C9"/>
    <w:rsid w:val="00104A89"/>
    <w:rsid w:val="001050DA"/>
    <w:rsid w:val="00105836"/>
    <w:rsid w:val="00107246"/>
    <w:rsid w:val="0010729C"/>
    <w:rsid w:val="00107ED0"/>
    <w:rsid w:val="001106A4"/>
    <w:rsid w:val="00111B99"/>
    <w:rsid w:val="00112F38"/>
    <w:rsid w:val="001130BB"/>
    <w:rsid w:val="0011328B"/>
    <w:rsid w:val="00113B6D"/>
    <w:rsid w:val="00114010"/>
    <w:rsid w:val="001150D3"/>
    <w:rsid w:val="001155D6"/>
    <w:rsid w:val="00115DFA"/>
    <w:rsid w:val="00115E05"/>
    <w:rsid w:val="00115F4A"/>
    <w:rsid w:val="001160B6"/>
    <w:rsid w:val="001161CA"/>
    <w:rsid w:val="00116333"/>
    <w:rsid w:val="00117DCD"/>
    <w:rsid w:val="001208F3"/>
    <w:rsid w:val="0012155F"/>
    <w:rsid w:val="00123BBA"/>
    <w:rsid w:val="00123D6D"/>
    <w:rsid w:val="00124322"/>
    <w:rsid w:val="00124E14"/>
    <w:rsid w:val="00125B59"/>
    <w:rsid w:val="00126C33"/>
    <w:rsid w:val="0012764E"/>
    <w:rsid w:val="0013151B"/>
    <w:rsid w:val="00131D0A"/>
    <w:rsid w:val="00132414"/>
    <w:rsid w:val="00133023"/>
    <w:rsid w:val="00133276"/>
    <w:rsid w:val="0013340D"/>
    <w:rsid w:val="00133D13"/>
    <w:rsid w:val="00134937"/>
    <w:rsid w:val="00134B12"/>
    <w:rsid w:val="00135256"/>
    <w:rsid w:val="00136DF5"/>
    <w:rsid w:val="00137349"/>
    <w:rsid w:val="00137E1B"/>
    <w:rsid w:val="00140528"/>
    <w:rsid w:val="00140967"/>
    <w:rsid w:val="001413DD"/>
    <w:rsid w:val="001420F1"/>
    <w:rsid w:val="00142109"/>
    <w:rsid w:val="00142EA9"/>
    <w:rsid w:val="00143E9A"/>
    <w:rsid w:val="00146343"/>
    <w:rsid w:val="0014657B"/>
    <w:rsid w:val="0014729D"/>
    <w:rsid w:val="00150639"/>
    <w:rsid w:val="00151058"/>
    <w:rsid w:val="00151934"/>
    <w:rsid w:val="00151DE5"/>
    <w:rsid w:val="00151E1E"/>
    <w:rsid w:val="001522CE"/>
    <w:rsid w:val="00153627"/>
    <w:rsid w:val="001536D1"/>
    <w:rsid w:val="0015372F"/>
    <w:rsid w:val="00155824"/>
    <w:rsid w:val="001561B7"/>
    <w:rsid w:val="00156517"/>
    <w:rsid w:val="00156A84"/>
    <w:rsid w:val="001570FC"/>
    <w:rsid w:val="00157165"/>
    <w:rsid w:val="0016099A"/>
    <w:rsid w:val="0016140F"/>
    <w:rsid w:val="00163BF6"/>
    <w:rsid w:val="001648B3"/>
    <w:rsid w:val="00164A22"/>
    <w:rsid w:val="00164B3C"/>
    <w:rsid w:val="00165C01"/>
    <w:rsid w:val="001661FB"/>
    <w:rsid w:val="0016663C"/>
    <w:rsid w:val="00166886"/>
    <w:rsid w:val="00166B52"/>
    <w:rsid w:val="0016787F"/>
    <w:rsid w:val="0017003C"/>
    <w:rsid w:val="001714EC"/>
    <w:rsid w:val="00171CE2"/>
    <w:rsid w:val="00173F87"/>
    <w:rsid w:val="00174876"/>
    <w:rsid w:val="00174F67"/>
    <w:rsid w:val="0017503D"/>
    <w:rsid w:val="00175C41"/>
    <w:rsid w:val="0017602E"/>
    <w:rsid w:val="001760A5"/>
    <w:rsid w:val="00177658"/>
    <w:rsid w:val="00177808"/>
    <w:rsid w:val="001778D8"/>
    <w:rsid w:val="00180C37"/>
    <w:rsid w:val="00182021"/>
    <w:rsid w:val="00182073"/>
    <w:rsid w:val="001825C7"/>
    <w:rsid w:val="001829F8"/>
    <w:rsid w:val="00183B15"/>
    <w:rsid w:val="00187743"/>
    <w:rsid w:val="00187E2B"/>
    <w:rsid w:val="0019000F"/>
    <w:rsid w:val="0019030E"/>
    <w:rsid w:val="00190982"/>
    <w:rsid w:val="00192FED"/>
    <w:rsid w:val="00193594"/>
    <w:rsid w:val="0019365B"/>
    <w:rsid w:val="00193925"/>
    <w:rsid w:val="001941B7"/>
    <w:rsid w:val="001968FB"/>
    <w:rsid w:val="001976BF"/>
    <w:rsid w:val="00197D3E"/>
    <w:rsid w:val="001A07B5"/>
    <w:rsid w:val="001A094A"/>
    <w:rsid w:val="001A2860"/>
    <w:rsid w:val="001A3D6B"/>
    <w:rsid w:val="001A4450"/>
    <w:rsid w:val="001A4DC8"/>
    <w:rsid w:val="001A57FB"/>
    <w:rsid w:val="001A6277"/>
    <w:rsid w:val="001B067E"/>
    <w:rsid w:val="001B0A65"/>
    <w:rsid w:val="001B1021"/>
    <w:rsid w:val="001B2255"/>
    <w:rsid w:val="001B2527"/>
    <w:rsid w:val="001B3D05"/>
    <w:rsid w:val="001B5865"/>
    <w:rsid w:val="001B6D55"/>
    <w:rsid w:val="001B6DEB"/>
    <w:rsid w:val="001B7605"/>
    <w:rsid w:val="001C018B"/>
    <w:rsid w:val="001C0A5C"/>
    <w:rsid w:val="001C0B9B"/>
    <w:rsid w:val="001C0FD1"/>
    <w:rsid w:val="001C1A4E"/>
    <w:rsid w:val="001C1C95"/>
    <w:rsid w:val="001C1EB5"/>
    <w:rsid w:val="001C250B"/>
    <w:rsid w:val="001C25DB"/>
    <w:rsid w:val="001C43F7"/>
    <w:rsid w:val="001C4D7C"/>
    <w:rsid w:val="001C502C"/>
    <w:rsid w:val="001C63A4"/>
    <w:rsid w:val="001C68E0"/>
    <w:rsid w:val="001D016C"/>
    <w:rsid w:val="001D078C"/>
    <w:rsid w:val="001D1506"/>
    <w:rsid w:val="001D2D0A"/>
    <w:rsid w:val="001D35A3"/>
    <w:rsid w:val="001D4727"/>
    <w:rsid w:val="001D5347"/>
    <w:rsid w:val="001D56F6"/>
    <w:rsid w:val="001D583F"/>
    <w:rsid w:val="001D5C1B"/>
    <w:rsid w:val="001E0A51"/>
    <w:rsid w:val="001E0DF4"/>
    <w:rsid w:val="001E140B"/>
    <w:rsid w:val="001E20B4"/>
    <w:rsid w:val="001E4088"/>
    <w:rsid w:val="001E42AF"/>
    <w:rsid w:val="001E458B"/>
    <w:rsid w:val="001E5CAA"/>
    <w:rsid w:val="001E5D2D"/>
    <w:rsid w:val="001E5E7C"/>
    <w:rsid w:val="001E6E33"/>
    <w:rsid w:val="001F0301"/>
    <w:rsid w:val="001F0F18"/>
    <w:rsid w:val="001F1A0F"/>
    <w:rsid w:val="001F1EC9"/>
    <w:rsid w:val="001F386A"/>
    <w:rsid w:val="001F545F"/>
    <w:rsid w:val="001F573E"/>
    <w:rsid w:val="001F5B23"/>
    <w:rsid w:val="001F65CB"/>
    <w:rsid w:val="001F6959"/>
    <w:rsid w:val="001F6DE3"/>
    <w:rsid w:val="001F78CA"/>
    <w:rsid w:val="00200377"/>
    <w:rsid w:val="002004C1"/>
    <w:rsid w:val="00200D19"/>
    <w:rsid w:val="00200DCC"/>
    <w:rsid w:val="00200E40"/>
    <w:rsid w:val="00200FA6"/>
    <w:rsid w:val="002015C7"/>
    <w:rsid w:val="00201CEE"/>
    <w:rsid w:val="002024E2"/>
    <w:rsid w:val="00202871"/>
    <w:rsid w:val="00203E83"/>
    <w:rsid w:val="00203F7C"/>
    <w:rsid w:val="00204350"/>
    <w:rsid w:val="00204BAE"/>
    <w:rsid w:val="0020586D"/>
    <w:rsid w:val="00205F38"/>
    <w:rsid w:val="00206045"/>
    <w:rsid w:val="002070C3"/>
    <w:rsid w:val="00207451"/>
    <w:rsid w:val="00210532"/>
    <w:rsid w:val="0021151C"/>
    <w:rsid w:val="002118C0"/>
    <w:rsid w:val="00211B41"/>
    <w:rsid w:val="00212940"/>
    <w:rsid w:val="00213603"/>
    <w:rsid w:val="00214005"/>
    <w:rsid w:val="002141DB"/>
    <w:rsid w:val="0021489C"/>
    <w:rsid w:val="00216B71"/>
    <w:rsid w:val="0021740B"/>
    <w:rsid w:val="00217C25"/>
    <w:rsid w:val="00220A72"/>
    <w:rsid w:val="00221BA9"/>
    <w:rsid w:val="00221D5A"/>
    <w:rsid w:val="00222668"/>
    <w:rsid w:val="00224A6C"/>
    <w:rsid w:val="002251FF"/>
    <w:rsid w:val="0022581C"/>
    <w:rsid w:val="002259C0"/>
    <w:rsid w:val="00225A44"/>
    <w:rsid w:val="00225B9A"/>
    <w:rsid w:val="00225F49"/>
    <w:rsid w:val="00225FB2"/>
    <w:rsid w:val="00226859"/>
    <w:rsid w:val="002269D9"/>
    <w:rsid w:val="00226DA5"/>
    <w:rsid w:val="00226E6A"/>
    <w:rsid w:val="00227237"/>
    <w:rsid w:val="00227D6B"/>
    <w:rsid w:val="00230D38"/>
    <w:rsid w:val="00231A0C"/>
    <w:rsid w:val="00232565"/>
    <w:rsid w:val="0023364B"/>
    <w:rsid w:val="002340F9"/>
    <w:rsid w:val="00235261"/>
    <w:rsid w:val="0023679E"/>
    <w:rsid w:val="00236FA5"/>
    <w:rsid w:val="00237881"/>
    <w:rsid w:val="00237B20"/>
    <w:rsid w:val="00240D24"/>
    <w:rsid w:val="002410DD"/>
    <w:rsid w:val="002411C9"/>
    <w:rsid w:val="002417E9"/>
    <w:rsid w:val="002423A1"/>
    <w:rsid w:val="00244685"/>
    <w:rsid w:val="0024511A"/>
    <w:rsid w:val="00245214"/>
    <w:rsid w:val="00245A90"/>
    <w:rsid w:val="0024615F"/>
    <w:rsid w:val="00247E22"/>
    <w:rsid w:val="00247F50"/>
    <w:rsid w:val="00250B2D"/>
    <w:rsid w:val="00250F39"/>
    <w:rsid w:val="00251D46"/>
    <w:rsid w:val="00253503"/>
    <w:rsid w:val="0025550C"/>
    <w:rsid w:val="00256FFB"/>
    <w:rsid w:val="002576E5"/>
    <w:rsid w:val="0026053B"/>
    <w:rsid w:val="00260DEC"/>
    <w:rsid w:val="0026153E"/>
    <w:rsid w:val="002619C6"/>
    <w:rsid w:val="00262580"/>
    <w:rsid w:val="00263801"/>
    <w:rsid w:val="00263822"/>
    <w:rsid w:val="00263AA8"/>
    <w:rsid w:val="00263DC4"/>
    <w:rsid w:val="002654BF"/>
    <w:rsid w:val="00265D34"/>
    <w:rsid w:val="00266258"/>
    <w:rsid w:val="002664EE"/>
    <w:rsid w:val="00266D98"/>
    <w:rsid w:val="00270967"/>
    <w:rsid w:val="002731E5"/>
    <w:rsid w:val="002736EC"/>
    <w:rsid w:val="00273C20"/>
    <w:rsid w:val="00274682"/>
    <w:rsid w:val="00276E53"/>
    <w:rsid w:val="0028006E"/>
    <w:rsid w:val="002800E5"/>
    <w:rsid w:val="0028090C"/>
    <w:rsid w:val="00280EC8"/>
    <w:rsid w:val="00281485"/>
    <w:rsid w:val="002817B4"/>
    <w:rsid w:val="002821FB"/>
    <w:rsid w:val="002827C9"/>
    <w:rsid w:val="00282C12"/>
    <w:rsid w:val="00282E44"/>
    <w:rsid w:val="00283333"/>
    <w:rsid w:val="002833AF"/>
    <w:rsid w:val="002836AA"/>
    <w:rsid w:val="00283DB1"/>
    <w:rsid w:val="00285207"/>
    <w:rsid w:val="00285A6E"/>
    <w:rsid w:val="00292227"/>
    <w:rsid w:val="002925FC"/>
    <w:rsid w:val="00294569"/>
    <w:rsid w:val="00294C8E"/>
    <w:rsid w:val="00295A75"/>
    <w:rsid w:val="00295B3C"/>
    <w:rsid w:val="0029661B"/>
    <w:rsid w:val="002975D5"/>
    <w:rsid w:val="002A0EC5"/>
    <w:rsid w:val="002A1F39"/>
    <w:rsid w:val="002A2081"/>
    <w:rsid w:val="002A27D2"/>
    <w:rsid w:val="002A301B"/>
    <w:rsid w:val="002A33F4"/>
    <w:rsid w:val="002A4957"/>
    <w:rsid w:val="002A4A2A"/>
    <w:rsid w:val="002A5ADD"/>
    <w:rsid w:val="002A5CAE"/>
    <w:rsid w:val="002A5FEA"/>
    <w:rsid w:val="002A640D"/>
    <w:rsid w:val="002A6CF9"/>
    <w:rsid w:val="002A7A8F"/>
    <w:rsid w:val="002A7CB7"/>
    <w:rsid w:val="002B0A56"/>
    <w:rsid w:val="002B1347"/>
    <w:rsid w:val="002B2302"/>
    <w:rsid w:val="002B25BE"/>
    <w:rsid w:val="002B2964"/>
    <w:rsid w:val="002B2A5E"/>
    <w:rsid w:val="002B2C72"/>
    <w:rsid w:val="002B4130"/>
    <w:rsid w:val="002B439F"/>
    <w:rsid w:val="002B4752"/>
    <w:rsid w:val="002B4E46"/>
    <w:rsid w:val="002B50E6"/>
    <w:rsid w:val="002B58E1"/>
    <w:rsid w:val="002B699E"/>
    <w:rsid w:val="002B6AB7"/>
    <w:rsid w:val="002B6C7E"/>
    <w:rsid w:val="002B6C83"/>
    <w:rsid w:val="002B6FF8"/>
    <w:rsid w:val="002B7A6D"/>
    <w:rsid w:val="002C0476"/>
    <w:rsid w:val="002C150F"/>
    <w:rsid w:val="002C1CE4"/>
    <w:rsid w:val="002C3420"/>
    <w:rsid w:val="002C3548"/>
    <w:rsid w:val="002C385B"/>
    <w:rsid w:val="002C4158"/>
    <w:rsid w:val="002C42AD"/>
    <w:rsid w:val="002C43BA"/>
    <w:rsid w:val="002C5E91"/>
    <w:rsid w:val="002C5FFD"/>
    <w:rsid w:val="002D027E"/>
    <w:rsid w:val="002D050F"/>
    <w:rsid w:val="002D0F91"/>
    <w:rsid w:val="002D1402"/>
    <w:rsid w:val="002D21A2"/>
    <w:rsid w:val="002D312E"/>
    <w:rsid w:val="002D4909"/>
    <w:rsid w:val="002D4CD4"/>
    <w:rsid w:val="002D5844"/>
    <w:rsid w:val="002D6A04"/>
    <w:rsid w:val="002E077A"/>
    <w:rsid w:val="002E084F"/>
    <w:rsid w:val="002E22CB"/>
    <w:rsid w:val="002E3782"/>
    <w:rsid w:val="002E39A5"/>
    <w:rsid w:val="002E442F"/>
    <w:rsid w:val="002E4923"/>
    <w:rsid w:val="002E6107"/>
    <w:rsid w:val="002E687C"/>
    <w:rsid w:val="002E6E23"/>
    <w:rsid w:val="002F0266"/>
    <w:rsid w:val="002F092C"/>
    <w:rsid w:val="002F2ADF"/>
    <w:rsid w:val="002F2D13"/>
    <w:rsid w:val="002F2D1D"/>
    <w:rsid w:val="002F328D"/>
    <w:rsid w:val="002F35EE"/>
    <w:rsid w:val="002F3C58"/>
    <w:rsid w:val="002F3D55"/>
    <w:rsid w:val="002F4D2C"/>
    <w:rsid w:val="002F68B4"/>
    <w:rsid w:val="00301725"/>
    <w:rsid w:val="00301C79"/>
    <w:rsid w:val="00302D5A"/>
    <w:rsid w:val="00305AFA"/>
    <w:rsid w:val="00306E40"/>
    <w:rsid w:val="0030751D"/>
    <w:rsid w:val="003107FF"/>
    <w:rsid w:val="0031107A"/>
    <w:rsid w:val="0031114A"/>
    <w:rsid w:val="00311639"/>
    <w:rsid w:val="003119F3"/>
    <w:rsid w:val="00311D83"/>
    <w:rsid w:val="00311EF9"/>
    <w:rsid w:val="00312824"/>
    <w:rsid w:val="00315658"/>
    <w:rsid w:val="00317320"/>
    <w:rsid w:val="003173B1"/>
    <w:rsid w:val="003203FC"/>
    <w:rsid w:val="00320BCB"/>
    <w:rsid w:val="0032140A"/>
    <w:rsid w:val="003220DF"/>
    <w:rsid w:val="00322271"/>
    <w:rsid w:val="00322413"/>
    <w:rsid w:val="00322786"/>
    <w:rsid w:val="003239EA"/>
    <w:rsid w:val="00323D9F"/>
    <w:rsid w:val="00324882"/>
    <w:rsid w:val="00325A18"/>
    <w:rsid w:val="0032697B"/>
    <w:rsid w:val="00327386"/>
    <w:rsid w:val="00330156"/>
    <w:rsid w:val="00330C38"/>
    <w:rsid w:val="00331428"/>
    <w:rsid w:val="00331469"/>
    <w:rsid w:val="003318C6"/>
    <w:rsid w:val="00331F87"/>
    <w:rsid w:val="00332872"/>
    <w:rsid w:val="00332E91"/>
    <w:rsid w:val="00333C2C"/>
    <w:rsid w:val="00333F57"/>
    <w:rsid w:val="0033439D"/>
    <w:rsid w:val="00335D96"/>
    <w:rsid w:val="00337598"/>
    <w:rsid w:val="00340C11"/>
    <w:rsid w:val="00340CB8"/>
    <w:rsid w:val="00340E43"/>
    <w:rsid w:val="00341FE8"/>
    <w:rsid w:val="00342733"/>
    <w:rsid w:val="0034367C"/>
    <w:rsid w:val="00344461"/>
    <w:rsid w:val="003445AA"/>
    <w:rsid w:val="0034616D"/>
    <w:rsid w:val="00346D5C"/>
    <w:rsid w:val="00346F1F"/>
    <w:rsid w:val="00346FC5"/>
    <w:rsid w:val="0034700D"/>
    <w:rsid w:val="00350A25"/>
    <w:rsid w:val="00350E6B"/>
    <w:rsid w:val="00351788"/>
    <w:rsid w:val="00351C79"/>
    <w:rsid w:val="003520F9"/>
    <w:rsid w:val="003532D3"/>
    <w:rsid w:val="003536FD"/>
    <w:rsid w:val="00354534"/>
    <w:rsid w:val="00355731"/>
    <w:rsid w:val="00355C6E"/>
    <w:rsid w:val="00355E9D"/>
    <w:rsid w:val="00356C1C"/>
    <w:rsid w:val="003603D3"/>
    <w:rsid w:val="00360732"/>
    <w:rsid w:val="003615F3"/>
    <w:rsid w:val="003616E6"/>
    <w:rsid w:val="00361910"/>
    <w:rsid w:val="00362549"/>
    <w:rsid w:val="00363C1E"/>
    <w:rsid w:val="0036404E"/>
    <w:rsid w:val="0036491B"/>
    <w:rsid w:val="003653E7"/>
    <w:rsid w:val="00365C2E"/>
    <w:rsid w:val="00366C89"/>
    <w:rsid w:val="003670DA"/>
    <w:rsid w:val="00367366"/>
    <w:rsid w:val="0037027B"/>
    <w:rsid w:val="00371E55"/>
    <w:rsid w:val="00372936"/>
    <w:rsid w:val="00372B7C"/>
    <w:rsid w:val="003742E7"/>
    <w:rsid w:val="00374D67"/>
    <w:rsid w:val="00374EB3"/>
    <w:rsid w:val="00376B75"/>
    <w:rsid w:val="0037708B"/>
    <w:rsid w:val="00377096"/>
    <w:rsid w:val="00377803"/>
    <w:rsid w:val="00380AE5"/>
    <w:rsid w:val="00380E7D"/>
    <w:rsid w:val="00381717"/>
    <w:rsid w:val="0038197C"/>
    <w:rsid w:val="00381CA0"/>
    <w:rsid w:val="003822C2"/>
    <w:rsid w:val="003857CC"/>
    <w:rsid w:val="00385A20"/>
    <w:rsid w:val="00385A79"/>
    <w:rsid w:val="00385C79"/>
    <w:rsid w:val="0038734B"/>
    <w:rsid w:val="00387656"/>
    <w:rsid w:val="0038790B"/>
    <w:rsid w:val="00390894"/>
    <w:rsid w:val="0039089A"/>
    <w:rsid w:val="00390B6D"/>
    <w:rsid w:val="00390F17"/>
    <w:rsid w:val="0039150C"/>
    <w:rsid w:val="0039222E"/>
    <w:rsid w:val="0039341B"/>
    <w:rsid w:val="003937D2"/>
    <w:rsid w:val="00395123"/>
    <w:rsid w:val="00395EF1"/>
    <w:rsid w:val="003965F8"/>
    <w:rsid w:val="003978B7"/>
    <w:rsid w:val="00397A32"/>
    <w:rsid w:val="003A1F48"/>
    <w:rsid w:val="003A235B"/>
    <w:rsid w:val="003A275E"/>
    <w:rsid w:val="003A28FC"/>
    <w:rsid w:val="003A30AB"/>
    <w:rsid w:val="003A38C2"/>
    <w:rsid w:val="003A3F54"/>
    <w:rsid w:val="003A51B1"/>
    <w:rsid w:val="003A5992"/>
    <w:rsid w:val="003A640F"/>
    <w:rsid w:val="003A6BEA"/>
    <w:rsid w:val="003A7603"/>
    <w:rsid w:val="003B007F"/>
    <w:rsid w:val="003B03AD"/>
    <w:rsid w:val="003B0D1E"/>
    <w:rsid w:val="003B1118"/>
    <w:rsid w:val="003B1E03"/>
    <w:rsid w:val="003B22D0"/>
    <w:rsid w:val="003B291E"/>
    <w:rsid w:val="003B33CA"/>
    <w:rsid w:val="003B33DE"/>
    <w:rsid w:val="003B3754"/>
    <w:rsid w:val="003B39A1"/>
    <w:rsid w:val="003B45B5"/>
    <w:rsid w:val="003B4EA6"/>
    <w:rsid w:val="003B541A"/>
    <w:rsid w:val="003B635B"/>
    <w:rsid w:val="003B718C"/>
    <w:rsid w:val="003B723B"/>
    <w:rsid w:val="003B7F8A"/>
    <w:rsid w:val="003C1016"/>
    <w:rsid w:val="003C2BCF"/>
    <w:rsid w:val="003C3981"/>
    <w:rsid w:val="003C3E31"/>
    <w:rsid w:val="003C5D7D"/>
    <w:rsid w:val="003C6A7D"/>
    <w:rsid w:val="003C6CE8"/>
    <w:rsid w:val="003C7099"/>
    <w:rsid w:val="003C7F79"/>
    <w:rsid w:val="003D0B5D"/>
    <w:rsid w:val="003D2369"/>
    <w:rsid w:val="003D242E"/>
    <w:rsid w:val="003D2486"/>
    <w:rsid w:val="003D2537"/>
    <w:rsid w:val="003D3CB8"/>
    <w:rsid w:val="003D4084"/>
    <w:rsid w:val="003D4486"/>
    <w:rsid w:val="003D541F"/>
    <w:rsid w:val="003D7334"/>
    <w:rsid w:val="003D76B4"/>
    <w:rsid w:val="003E0215"/>
    <w:rsid w:val="003E0980"/>
    <w:rsid w:val="003E148E"/>
    <w:rsid w:val="003E1E22"/>
    <w:rsid w:val="003E2CE9"/>
    <w:rsid w:val="003E305A"/>
    <w:rsid w:val="003E44F3"/>
    <w:rsid w:val="003E4848"/>
    <w:rsid w:val="003E554F"/>
    <w:rsid w:val="003E5C9E"/>
    <w:rsid w:val="003E6CA0"/>
    <w:rsid w:val="003F06B5"/>
    <w:rsid w:val="003F0F88"/>
    <w:rsid w:val="003F11BF"/>
    <w:rsid w:val="003F1F34"/>
    <w:rsid w:val="003F2395"/>
    <w:rsid w:val="003F2A13"/>
    <w:rsid w:val="003F2D31"/>
    <w:rsid w:val="003F348A"/>
    <w:rsid w:val="003F37F0"/>
    <w:rsid w:val="003F394C"/>
    <w:rsid w:val="003F39CB"/>
    <w:rsid w:val="003F4144"/>
    <w:rsid w:val="003F46B9"/>
    <w:rsid w:val="003F5AA4"/>
    <w:rsid w:val="003F5EE2"/>
    <w:rsid w:val="003F5F98"/>
    <w:rsid w:val="003F6E28"/>
    <w:rsid w:val="003F7015"/>
    <w:rsid w:val="003F724E"/>
    <w:rsid w:val="003F7658"/>
    <w:rsid w:val="003F7B6C"/>
    <w:rsid w:val="00400F3A"/>
    <w:rsid w:val="0040156A"/>
    <w:rsid w:val="00401D6D"/>
    <w:rsid w:val="0040272F"/>
    <w:rsid w:val="004027B4"/>
    <w:rsid w:val="004027BB"/>
    <w:rsid w:val="0040333D"/>
    <w:rsid w:val="0040419B"/>
    <w:rsid w:val="00404A74"/>
    <w:rsid w:val="00404F4E"/>
    <w:rsid w:val="004071C2"/>
    <w:rsid w:val="00407398"/>
    <w:rsid w:val="0040761C"/>
    <w:rsid w:val="00410B15"/>
    <w:rsid w:val="00410CBB"/>
    <w:rsid w:val="004111F0"/>
    <w:rsid w:val="00415772"/>
    <w:rsid w:val="00416B2D"/>
    <w:rsid w:val="0041700F"/>
    <w:rsid w:val="0041711F"/>
    <w:rsid w:val="004204EA"/>
    <w:rsid w:val="00420E6F"/>
    <w:rsid w:val="00421CDC"/>
    <w:rsid w:val="00421E4A"/>
    <w:rsid w:val="00422CB2"/>
    <w:rsid w:val="00423463"/>
    <w:rsid w:val="00423D6D"/>
    <w:rsid w:val="004242F0"/>
    <w:rsid w:val="0042496A"/>
    <w:rsid w:val="00424FC8"/>
    <w:rsid w:val="00426623"/>
    <w:rsid w:val="00427A52"/>
    <w:rsid w:val="00430225"/>
    <w:rsid w:val="004310BA"/>
    <w:rsid w:val="00434090"/>
    <w:rsid w:val="004347F3"/>
    <w:rsid w:val="0043523F"/>
    <w:rsid w:val="00437499"/>
    <w:rsid w:val="00437574"/>
    <w:rsid w:val="0043777D"/>
    <w:rsid w:val="00440099"/>
    <w:rsid w:val="00440363"/>
    <w:rsid w:val="0044084A"/>
    <w:rsid w:val="00441721"/>
    <w:rsid w:val="00441BEC"/>
    <w:rsid w:val="00443B52"/>
    <w:rsid w:val="004468E9"/>
    <w:rsid w:val="00446985"/>
    <w:rsid w:val="00446BB8"/>
    <w:rsid w:val="004503C8"/>
    <w:rsid w:val="00451058"/>
    <w:rsid w:val="0045145B"/>
    <w:rsid w:val="00451821"/>
    <w:rsid w:val="00452987"/>
    <w:rsid w:val="00453E50"/>
    <w:rsid w:val="004543CF"/>
    <w:rsid w:val="00454848"/>
    <w:rsid w:val="0045516D"/>
    <w:rsid w:val="00455E41"/>
    <w:rsid w:val="00460B44"/>
    <w:rsid w:val="00461767"/>
    <w:rsid w:val="004625BC"/>
    <w:rsid w:val="00462B54"/>
    <w:rsid w:val="00463805"/>
    <w:rsid w:val="004647A9"/>
    <w:rsid w:val="00464A1E"/>
    <w:rsid w:val="00465714"/>
    <w:rsid w:val="00465BF6"/>
    <w:rsid w:val="00465FC4"/>
    <w:rsid w:val="0046604B"/>
    <w:rsid w:val="00466143"/>
    <w:rsid w:val="00470F14"/>
    <w:rsid w:val="0047100D"/>
    <w:rsid w:val="00471171"/>
    <w:rsid w:val="0047188A"/>
    <w:rsid w:val="00471CB1"/>
    <w:rsid w:val="004722F8"/>
    <w:rsid w:val="00472916"/>
    <w:rsid w:val="00472A48"/>
    <w:rsid w:val="00473303"/>
    <w:rsid w:val="004746F8"/>
    <w:rsid w:val="0047572D"/>
    <w:rsid w:val="00475B95"/>
    <w:rsid w:val="00475D83"/>
    <w:rsid w:val="00476DC0"/>
    <w:rsid w:val="00480149"/>
    <w:rsid w:val="004812B7"/>
    <w:rsid w:val="0048383E"/>
    <w:rsid w:val="004843B6"/>
    <w:rsid w:val="004845E2"/>
    <w:rsid w:val="004850CD"/>
    <w:rsid w:val="004865B7"/>
    <w:rsid w:val="004867A7"/>
    <w:rsid w:val="004900B8"/>
    <w:rsid w:val="00490805"/>
    <w:rsid w:val="004908FA"/>
    <w:rsid w:val="00490AC4"/>
    <w:rsid w:val="004926D2"/>
    <w:rsid w:val="004928BA"/>
    <w:rsid w:val="00492C5A"/>
    <w:rsid w:val="004931F7"/>
    <w:rsid w:val="00493B3D"/>
    <w:rsid w:val="00494B80"/>
    <w:rsid w:val="00496508"/>
    <w:rsid w:val="0049705F"/>
    <w:rsid w:val="00497279"/>
    <w:rsid w:val="00497A83"/>
    <w:rsid w:val="004A2FA9"/>
    <w:rsid w:val="004A3A94"/>
    <w:rsid w:val="004A42F0"/>
    <w:rsid w:val="004A4DEE"/>
    <w:rsid w:val="004A5A79"/>
    <w:rsid w:val="004A7ECD"/>
    <w:rsid w:val="004B0298"/>
    <w:rsid w:val="004B05D5"/>
    <w:rsid w:val="004B0B1D"/>
    <w:rsid w:val="004B0DA8"/>
    <w:rsid w:val="004B17C7"/>
    <w:rsid w:val="004B1B76"/>
    <w:rsid w:val="004B2F1B"/>
    <w:rsid w:val="004B33E0"/>
    <w:rsid w:val="004B3DC7"/>
    <w:rsid w:val="004B3E0E"/>
    <w:rsid w:val="004B412C"/>
    <w:rsid w:val="004B43C1"/>
    <w:rsid w:val="004B5376"/>
    <w:rsid w:val="004B7A5B"/>
    <w:rsid w:val="004C0590"/>
    <w:rsid w:val="004C2694"/>
    <w:rsid w:val="004C2B2D"/>
    <w:rsid w:val="004C33B1"/>
    <w:rsid w:val="004C33C4"/>
    <w:rsid w:val="004C36D9"/>
    <w:rsid w:val="004C433C"/>
    <w:rsid w:val="004C6762"/>
    <w:rsid w:val="004C7044"/>
    <w:rsid w:val="004D0D68"/>
    <w:rsid w:val="004D10B7"/>
    <w:rsid w:val="004D125A"/>
    <w:rsid w:val="004D1E76"/>
    <w:rsid w:val="004D24EC"/>
    <w:rsid w:val="004D2631"/>
    <w:rsid w:val="004D3C89"/>
    <w:rsid w:val="004D497A"/>
    <w:rsid w:val="004D6CEA"/>
    <w:rsid w:val="004E076D"/>
    <w:rsid w:val="004E09A7"/>
    <w:rsid w:val="004E0C01"/>
    <w:rsid w:val="004E1C8F"/>
    <w:rsid w:val="004E2484"/>
    <w:rsid w:val="004E3FB8"/>
    <w:rsid w:val="004E7801"/>
    <w:rsid w:val="004E7AEE"/>
    <w:rsid w:val="004E7FA9"/>
    <w:rsid w:val="004F06AC"/>
    <w:rsid w:val="004F0DA8"/>
    <w:rsid w:val="004F0FC1"/>
    <w:rsid w:val="004F104F"/>
    <w:rsid w:val="004F1809"/>
    <w:rsid w:val="004F2FE2"/>
    <w:rsid w:val="004F3426"/>
    <w:rsid w:val="004F362F"/>
    <w:rsid w:val="004F3638"/>
    <w:rsid w:val="004F3A5A"/>
    <w:rsid w:val="004F3A9D"/>
    <w:rsid w:val="004F3EB4"/>
    <w:rsid w:val="004F5B5E"/>
    <w:rsid w:val="004F5B6D"/>
    <w:rsid w:val="004F60CB"/>
    <w:rsid w:val="004F70A6"/>
    <w:rsid w:val="00500C2B"/>
    <w:rsid w:val="00501E98"/>
    <w:rsid w:val="00503474"/>
    <w:rsid w:val="00504298"/>
    <w:rsid w:val="00504A81"/>
    <w:rsid w:val="00504AEA"/>
    <w:rsid w:val="0050621B"/>
    <w:rsid w:val="0050698A"/>
    <w:rsid w:val="00506B87"/>
    <w:rsid w:val="00507192"/>
    <w:rsid w:val="005071F7"/>
    <w:rsid w:val="005109C9"/>
    <w:rsid w:val="00511429"/>
    <w:rsid w:val="00511B53"/>
    <w:rsid w:val="00511EBF"/>
    <w:rsid w:val="00513CCA"/>
    <w:rsid w:val="00514076"/>
    <w:rsid w:val="00515869"/>
    <w:rsid w:val="0051650E"/>
    <w:rsid w:val="00516982"/>
    <w:rsid w:val="0052092D"/>
    <w:rsid w:val="00520F14"/>
    <w:rsid w:val="0052137D"/>
    <w:rsid w:val="0052224B"/>
    <w:rsid w:val="0052267C"/>
    <w:rsid w:val="0052314B"/>
    <w:rsid w:val="00523287"/>
    <w:rsid w:val="005241A6"/>
    <w:rsid w:val="0052458D"/>
    <w:rsid w:val="00525D9A"/>
    <w:rsid w:val="00526BB8"/>
    <w:rsid w:val="00530737"/>
    <w:rsid w:val="00531430"/>
    <w:rsid w:val="005315CC"/>
    <w:rsid w:val="00532260"/>
    <w:rsid w:val="00532E72"/>
    <w:rsid w:val="0053332D"/>
    <w:rsid w:val="00533F7E"/>
    <w:rsid w:val="00534E3B"/>
    <w:rsid w:val="0053577B"/>
    <w:rsid w:val="00535AC8"/>
    <w:rsid w:val="00536A7F"/>
    <w:rsid w:val="00537290"/>
    <w:rsid w:val="005374F2"/>
    <w:rsid w:val="00540766"/>
    <w:rsid w:val="00540BF9"/>
    <w:rsid w:val="005419EE"/>
    <w:rsid w:val="00541EB1"/>
    <w:rsid w:val="0054509A"/>
    <w:rsid w:val="0054526A"/>
    <w:rsid w:val="00545BA7"/>
    <w:rsid w:val="00545DAF"/>
    <w:rsid w:val="00545FB1"/>
    <w:rsid w:val="00546E9E"/>
    <w:rsid w:val="00547357"/>
    <w:rsid w:val="00547BDE"/>
    <w:rsid w:val="0055058E"/>
    <w:rsid w:val="005508CB"/>
    <w:rsid w:val="00552903"/>
    <w:rsid w:val="00553271"/>
    <w:rsid w:val="0055427D"/>
    <w:rsid w:val="00554D4D"/>
    <w:rsid w:val="0055527E"/>
    <w:rsid w:val="005568F9"/>
    <w:rsid w:val="00556FA0"/>
    <w:rsid w:val="00557B51"/>
    <w:rsid w:val="00561107"/>
    <w:rsid w:val="005619BE"/>
    <w:rsid w:val="0056291B"/>
    <w:rsid w:val="00562B8B"/>
    <w:rsid w:val="00562CA7"/>
    <w:rsid w:val="00563A84"/>
    <w:rsid w:val="00564F13"/>
    <w:rsid w:val="00564F50"/>
    <w:rsid w:val="00564F76"/>
    <w:rsid w:val="005665FC"/>
    <w:rsid w:val="00566DE5"/>
    <w:rsid w:val="005675F5"/>
    <w:rsid w:val="0056760D"/>
    <w:rsid w:val="005703B1"/>
    <w:rsid w:val="00570AA0"/>
    <w:rsid w:val="00571268"/>
    <w:rsid w:val="00571EE5"/>
    <w:rsid w:val="00572C0D"/>
    <w:rsid w:val="00575E85"/>
    <w:rsid w:val="005760AB"/>
    <w:rsid w:val="0057616A"/>
    <w:rsid w:val="0057640D"/>
    <w:rsid w:val="0057659D"/>
    <w:rsid w:val="005768E4"/>
    <w:rsid w:val="00576CB7"/>
    <w:rsid w:val="0057749B"/>
    <w:rsid w:val="00577992"/>
    <w:rsid w:val="00581196"/>
    <w:rsid w:val="005829F4"/>
    <w:rsid w:val="00582BDE"/>
    <w:rsid w:val="005837CA"/>
    <w:rsid w:val="00584131"/>
    <w:rsid w:val="005843EA"/>
    <w:rsid w:val="00584795"/>
    <w:rsid w:val="005853D0"/>
    <w:rsid w:val="00585CD8"/>
    <w:rsid w:val="00585F23"/>
    <w:rsid w:val="00587223"/>
    <w:rsid w:val="00587236"/>
    <w:rsid w:val="005878FA"/>
    <w:rsid w:val="00587D45"/>
    <w:rsid w:val="0059254E"/>
    <w:rsid w:val="0059485C"/>
    <w:rsid w:val="0059567D"/>
    <w:rsid w:val="00595C39"/>
    <w:rsid w:val="00595F85"/>
    <w:rsid w:val="00596146"/>
    <w:rsid w:val="005961C9"/>
    <w:rsid w:val="00596AEE"/>
    <w:rsid w:val="00597D03"/>
    <w:rsid w:val="005A1560"/>
    <w:rsid w:val="005A19E4"/>
    <w:rsid w:val="005A1BE8"/>
    <w:rsid w:val="005A1DCB"/>
    <w:rsid w:val="005A2677"/>
    <w:rsid w:val="005A2725"/>
    <w:rsid w:val="005A2E07"/>
    <w:rsid w:val="005A3AC2"/>
    <w:rsid w:val="005A41DF"/>
    <w:rsid w:val="005A48CE"/>
    <w:rsid w:val="005A51C2"/>
    <w:rsid w:val="005A5D08"/>
    <w:rsid w:val="005A5EF8"/>
    <w:rsid w:val="005A64DE"/>
    <w:rsid w:val="005A661B"/>
    <w:rsid w:val="005A6CE4"/>
    <w:rsid w:val="005A76F6"/>
    <w:rsid w:val="005A7D46"/>
    <w:rsid w:val="005B088B"/>
    <w:rsid w:val="005B1270"/>
    <w:rsid w:val="005B12F5"/>
    <w:rsid w:val="005B196C"/>
    <w:rsid w:val="005B2BC3"/>
    <w:rsid w:val="005B318E"/>
    <w:rsid w:val="005B385C"/>
    <w:rsid w:val="005B3C11"/>
    <w:rsid w:val="005B4BBC"/>
    <w:rsid w:val="005B585C"/>
    <w:rsid w:val="005B6004"/>
    <w:rsid w:val="005B7761"/>
    <w:rsid w:val="005B78CF"/>
    <w:rsid w:val="005C0947"/>
    <w:rsid w:val="005C0E4F"/>
    <w:rsid w:val="005C0E87"/>
    <w:rsid w:val="005C1511"/>
    <w:rsid w:val="005C1A5A"/>
    <w:rsid w:val="005C1CA4"/>
    <w:rsid w:val="005C26DE"/>
    <w:rsid w:val="005C311F"/>
    <w:rsid w:val="005C73D9"/>
    <w:rsid w:val="005D1A51"/>
    <w:rsid w:val="005D25D6"/>
    <w:rsid w:val="005D266A"/>
    <w:rsid w:val="005D593E"/>
    <w:rsid w:val="005D6995"/>
    <w:rsid w:val="005D6D5F"/>
    <w:rsid w:val="005D7178"/>
    <w:rsid w:val="005D7241"/>
    <w:rsid w:val="005D7A0B"/>
    <w:rsid w:val="005D7B64"/>
    <w:rsid w:val="005E0561"/>
    <w:rsid w:val="005E0941"/>
    <w:rsid w:val="005E11CC"/>
    <w:rsid w:val="005E11DF"/>
    <w:rsid w:val="005E1E3B"/>
    <w:rsid w:val="005E28E8"/>
    <w:rsid w:val="005E308C"/>
    <w:rsid w:val="005E30B3"/>
    <w:rsid w:val="005E357E"/>
    <w:rsid w:val="005E38A4"/>
    <w:rsid w:val="005E3966"/>
    <w:rsid w:val="005E40B6"/>
    <w:rsid w:val="005E5D05"/>
    <w:rsid w:val="005E6265"/>
    <w:rsid w:val="005E6888"/>
    <w:rsid w:val="005E702B"/>
    <w:rsid w:val="005E7C8B"/>
    <w:rsid w:val="005F12E0"/>
    <w:rsid w:val="005F1625"/>
    <w:rsid w:val="005F2B27"/>
    <w:rsid w:val="005F3558"/>
    <w:rsid w:val="005F371D"/>
    <w:rsid w:val="005F3960"/>
    <w:rsid w:val="005F4E9F"/>
    <w:rsid w:val="005F5071"/>
    <w:rsid w:val="005F55F2"/>
    <w:rsid w:val="005F6A7E"/>
    <w:rsid w:val="005F6D07"/>
    <w:rsid w:val="005F760A"/>
    <w:rsid w:val="00600860"/>
    <w:rsid w:val="00601A27"/>
    <w:rsid w:val="00601DA9"/>
    <w:rsid w:val="00601E01"/>
    <w:rsid w:val="00602705"/>
    <w:rsid w:val="00603174"/>
    <w:rsid w:val="00604CAD"/>
    <w:rsid w:val="00605660"/>
    <w:rsid w:val="00610909"/>
    <w:rsid w:val="006125BE"/>
    <w:rsid w:val="00612AFC"/>
    <w:rsid w:val="00612B14"/>
    <w:rsid w:val="00613452"/>
    <w:rsid w:val="00613C5E"/>
    <w:rsid w:val="00613FC5"/>
    <w:rsid w:val="00614A7F"/>
    <w:rsid w:val="006153DE"/>
    <w:rsid w:val="00615E1B"/>
    <w:rsid w:val="00616388"/>
    <w:rsid w:val="00616E9D"/>
    <w:rsid w:val="00617A8E"/>
    <w:rsid w:val="006226CD"/>
    <w:rsid w:val="00623CAD"/>
    <w:rsid w:val="00624D97"/>
    <w:rsid w:val="00626A82"/>
    <w:rsid w:val="00626D75"/>
    <w:rsid w:val="00627679"/>
    <w:rsid w:val="0062794D"/>
    <w:rsid w:val="00627C83"/>
    <w:rsid w:val="00630409"/>
    <w:rsid w:val="00630991"/>
    <w:rsid w:val="006318EE"/>
    <w:rsid w:val="0063288E"/>
    <w:rsid w:val="006333CE"/>
    <w:rsid w:val="00633DB2"/>
    <w:rsid w:val="00634261"/>
    <w:rsid w:val="0063453C"/>
    <w:rsid w:val="006348AF"/>
    <w:rsid w:val="00634A46"/>
    <w:rsid w:val="00635754"/>
    <w:rsid w:val="00636507"/>
    <w:rsid w:val="00636EFF"/>
    <w:rsid w:val="00637FE0"/>
    <w:rsid w:val="00640D89"/>
    <w:rsid w:val="00641B16"/>
    <w:rsid w:val="00642328"/>
    <w:rsid w:val="00642AC5"/>
    <w:rsid w:val="006436E8"/>
    <w:rsid w:val="00644473"/>
    <w:rsid w:val="00646428"/>
    <w:rsid w:val="006469D8"/>
    <w:rsid w:val="00650898"/>
    <w:rsid w:val="006519C9"/>
    <w:rsid w:val="00654146"/>
    <w:rsid w:val="0065427C"/>
    <w:rsid w:val="006545CD"/>
    <w:rsid w:val="0065477F"/>
    <w:rsid w:val="00655814"/>
    <w:rsid w:val="00656860"/>
    <w:rsid w:val="00656871"/>
    <w:rsid w:val="00656F64"/>
    <w:rsid w:val="00657000"/>
    <w:rsid w:val="006576AB"/>
    <w:rsid w:val="00657A76"/>
    <w:rsid w:val="006600BA"/>
    <w:rsid w:val="006602A0"/>
    <w:rsid w:val="00660E58"/>
    <w:rsid w:val="00660E7C"/>
    <w:rsid w:val="0066291A"/>
    <w:rsid w:val="00663221"/>
    <w:rsid w:val="006639CA"/>
    <w:rsid w:val="00665B60"/>
    <w:rsid w:val="006660BA"/>
    <w:rsid w:val="006665A1"/>
    <w:rsid w:val="00666F67"/>
    <w:rsid w:val="006672E4"/>
    <w:rsid w:val="0067183A"/>
    <w:rsid w:val="006733E8"/>
    <w:rsid w:val="006747FC"/>
    <w:rsid w:val="00675ADE"/>
    <w:rsid w:val="00676098"/>
    <w:rsid w:val="0068007D"/>
    <w:rsid w:val="006802AC"/>
    <w:rsid w:val="006806F3"/>
    <w:rsid w:val="00681B40"/>
    <w:rsid w:val="00681DA8"/>
    <w:rsid w:val="00682CCF"/>
    <w:rsid w:val="00683040"/>
    <w:rsid w:val="006836CB"/>
    <w:rsid w:val="00684C66"/>
    <w:rsid w:val="00685781"/>
    <w:rsid w:val="00685A1B"/>
    <w:rsid w:val="00685F63"/>
    <w:rsid w:val="00687816"/>
    <w:rsid w:val="0069042D"/>
    <w:rsid w:val="00690F58"/>
    <w:rsid w:val="006924F7"/>
    <w:rsid w:val="00692C3F"/>
    <w:rsid w:val="00692C42"/>
    <w:rsid w:val="00694220"/>
    <w:rsid w:val="006950A4"/>
    <w:rsid w:val="006950E9"/>
    <w:rsid w:val="00696287"/>
    <w:rsid w:val="00697A14"/>
    <w:rsid w:val="006A01B3"/>
    <w:rsid w:val="006A29CA"/>
    <w:rsid w:val="006A4B4D"/>
    <w:rsid w:val="006A4DB8"/>
    <w:rsid w:val="006A5156"/>
    <w:rsid w:val="006A5299"/>
    <w:rsid w:val="006A5EF3"/>
    <w:rsid w:val="006A5F4A"/>
    <w:rsid w:val="006A6080"/>
    <w:rsid w:val="006A6097"/>
    <w:rsid w:val="006A6643"/>
    <w:rsid w:val="006A69FB"/>
    <w:rsid w:val="006A6A21"/>
    <w:rsid w:val="006A6E10"/>
    <w:rsid w:val="006B1BCA"/>
    <w:rsid w:val="006B2F9F"/>
    <w:rsid w:val="006B403A"/>
    <w:rsid w:val="006B522E"/>
    <w:rsid w:val="006B526A"/>
    <w:rsid w:val="006B59A9"/>
    <w:rsid w:val="006B6547"/>
    <w:rsid w:val="006B79E6"/>
    <w:rsid w:val="006B7C93"/>
    <w:rsid w:val="006C1D17"/>
    <w:rsid w:val="006C2862"/>
    <w:rsid w:val="006C2DFC"/>
    <w:rsid w:val="006C3495"/>
    <w:rsid w:val="006C36CE"/>
    <w:rsid w:val="006C46C8"/>
    <w:rsid w:val="006C55EC"/>
    <w:rsid w:val="006C6013"/>
    <w:rsid w:val="006C6998"/>
    <w:rsid w:val="006C7F24"/>
    <w:rsid w:val="006D05B0"/>
    <w:rsid w:val="006D09DC"/>
    <w:rsid w:val="006D0A8E"/>
    <w:rsid w:val="006D0BF6"/>
    <w:rsid w:val="006D0CFE"/>
    <w:rsid w:val="006D0D45"/>
    <w:rsid w:val="006D107E"/>
    <w:rsid w:val="006D11E5"/>
    <w:rsid w:val="006D1839"/>
    <w:rsid w:val="006D1BB7"/>
    <w:rsid w:val="006D23AA"/>
    <w:rsid w:val="006D2FD4"/>
    <w:rsid w:val="006D437A"/>
    <w:rsid w:val="006D47F3"/>
    <w:rsid w:val="006D4A74"/>
    <w:rsid w:val="006D59A9"/>
    <w:rsid w:val="006D61B7"/>
    <w:rsid w:val="006D6898"/>
    <w:rsid w:val="006D69C0"/>
    <w:rsid w:val="006D6EBC"/>
    <w:rsid w:val="006D73A8"/>
    <w:rsid w:val="006D773F"/>
    <w:rsid w:val="006D77D2"/>
    <w:rsid w:val="006D7A0D"/>
    <w:rsid w:val="006D7CB4"/>
    <w:rsid w:val="006E0914"/>
    <w:rsid w:val="006E1718"/>
    <w:rsid w:val="006E1976"/>
    <w:rsid w:val="006E218E"/>
    <w:rsid w:val="006E2226"/>
    <w:rsid w:val="006E33BB"/>
    <w:rsid w:val="006E4BBE"/>
    <w:rsid w:val="006E4FA5"/>
    <w:rsid w:val="006E5BC9"/>
    <w:rsid w:val="006E61DE"/>
    <w:rsid w:val="006E692A"/>
    <w:rsid w:val="006E6AEF"/>
    <w:rsid w:val="006E735C"/>
    <w:rsid w:val="006E74F0"/>
    <w:rsid w:val="006F077F"/>
    <w:rsid w:val="006F0794"/>
    <w:rsid w:val="006F0EF0"/>
    <w:rsid w:val="006F13E5"/>
    <w:rsid w:val="006F2FB5"/>
    <w:rsid w:val="006F3E3E"/>
    <w:rsid w:val="006F7CA2"/>
    <w:rsid w:val="00700834"/>
    <w:rsid w:val="00700B04"/>
    <w:rsid w:val="00702071"/>
    <w:rsid w:val="007031D8"/>
    <w:rsid w:val="00703833"/>
    <w:rsid w:val="00703B20"/>
    <w:rsid w:val="00703F5F"/>
    <w:rsid w:val="00704031"/>
    <w:rsid w:val="0070423B"/>
    <w:rsid w:val="00705219"/>
    <w:rsid w:val="00705297"/>
    <w:rsid w:val="0070532A"/>
    <w:rsid w:val="00706EFE"/>
    <w:rsid w:val="007071FC"/>
    <w:rsid w:val="00711A45"/>
    <w:rsid w:val="00712EF9"/>
    <w:rsid w:val="00712FA2"/>
    <w:rsid w:val="00713A4E"/>
    <w:rsid w:val="00713E6A"/>
    <w:rsid w:val="00715062"/>
    <w:rsid w:val="0071571B"/>
    <w:rsid w:val="007168E8"/>
    <w:rsid w:val="00717444"/>
    <w:rsid w:val="00717693"/>
    <w:rsid w:val="00717BFA"/>
    <w:rsid w:val="00717C8D"/>
    <w:rsid w:val="00720463"/>
    <w:rsid w:val="00720C75"/>
    <w:rsid w:val="00721586"/>
    <w:rsid w:val="00721BD7"/>
    <w:rsid w:val="00722326"/>
    <w:rsid w:val="00724745"/>
    <w:rsid w:val="00724FF1"/>
    <w:rsid w:val="00725819"/>
    <w:rsid w:val="00725AFC"/>
    <w:rsid w:val="00727832"/>
    <w:rsid w:val="007329E3"/>
    <w:rsid w:val="00732BD0"/>
    <w:rsid w:val="00734604"/>
    <w:rsid w:val="0073733B"/>
    <w:rsid w:val="00737781"/>
    <w:rsid w:val="0074090C"/>
    <w:rsid w:val="00740E29"/>
    <w:rsid w:val="007412E7"/>
    <w:rsid w:val="0074267C"/>
    <w:rsid w:val="00742864"/>
    <w:rsid w:val="00742BA3"/>
    <w:rsid w:val="00742D1C"/>
    <w:rsid w:val="00745427"/>
    <w:rsid w:val="007457A6"/>
    <w:rsid w:val="00747245"/>
    <w:rsid w:val="0074735A"/>
    <w:rsid w:val="007479DE"/>
    <w:rsid w:val="00747CD6"/>
    <w:rsid w:val="00750699"/>
    <w:rsid w:val="0075108E"/>
    <w:rsid w:val="0075214C"/>
    <w:rsid w:val="007526E4"/>
    <w:rsid w:val="00753C13"/>
    <w:rsid w:val="00753D16"/>
    <w:rsid w:val="00754C60"/>
    <w:rsid w:val="007560EB"/>
    <w:rsid w:val="00757A03"/>
    <w:rsid w:val="007604F5"/>
    <w:rsid w:val="007606E9"/>
    <w:rsid w:val="00760B82"/>
    <w:rsid w:val="0076199D"/>
    <w:rsid w:val="00761E66"/>
    <w:rsid w:val="00762599"/>
    <w:rsid w:val="00762E60"/>
    <w:rsid w:val="00766761"/>
    <w:rsid w:val="00767318"/>
    <w:rsid w:val="00767B67"/>
    <w:rsid w:val="00770631"/>
    <w:rsid w:val="007709EB"/>
    <w:rsid w:val="00771B30"/>
    <w:rsid w:val="00771DA6"/>
    <w:rsid w:val="00772E6D"/>
    <w:rsid w:val="0077422E"/>
    <w:rsid w:val="0077465F"/>
    <w:rsid w:val="00774D73"/>
    <w:rsid w:val="00774DBC"/>
    <w:rsid w:val="007762F7"/>
    <w:rsid w:val="007767AF"/>
    <w:rsid w:val="00777444"/>
    <w:rsid w:val="00777512"/>
    <w:rsid w:val="00777A6C"/>
    <w:rsid w:val="007801E6"/>
    <w:rsid w:val="0078020A"/>
    <w:rsid w:val="00780439"/>
    <w:rsid w:val="007815A7"/>
    <w:rsid w:val="007815BA"/>
    <w:rsid w:val="00781960"/>
    <w:rsid w:val="00781B5E"/>
    <w:rsid w:val="007826ED"/>
    <w:rsid w:val="00782F45"/>
    <w:rsid w:val="0078378D"/>
    <w:rsid w:val="007837A1"/>
    <w:rsid w:val="00785D61"/>
    <w:rsid w:val="00785FAC"/>
    <w:rsid w:val="007867C3"/>
    <w:rsid w:val="0078680F"/>
    <w:rsid w:val="00786C05"/>
    <w:rsid w:val="00786D61"/>
    <w:rsid w:val="007910D2"/>
    <w:rsid w:val="007917D1"/>
    <w:rsid w:val="0079219C"/>
    <w:rsid w:val="007926FB"/>
    <w:rsid w:val="007928E7"/>
    <w:rsid w:val="00792AF5"/>
    <w:rsid w:val="007933E1"/>
    <w:rsid w:val="00793813"/>
    <w:rsid w:val="00793854"/>
    <w:rsid w:val="00793A3D"/>
    <w:rsid w:val="00793E49"/>
    <w:rsid w:val="007951FE"/>
    <w:rsid w:val="00796EA0"/>
    <w:rsid w:val="00797ABA"/>
    <w:rsid w:val="00797F60"/>
    <w:rsid w:val="007A03EA"/>
    <w:rsid w:val="007A06F3"/>
    <w:rsid w:val="007A0CC8"/>
    <w:rsid w:val="007A174C"/>
    <w:rsid w:val="007A2C1C"/>
    <w:rsid w:val="007A33E7"/>
    <w:rsid w:val="007A362B"/>
    <w:rsid w:val="007A3772"/>
    <w:rsid w:val="007A3C37"/>
    <w:rsid w:val="007A423F"/>
    <w:rsid w:val="007A4637"/>
    <w:rsid w:val="007A5088"/>
    <w:rsid w:val="007A656C"/>
    <w:rsid w:val="007A6985"/>
    <w:rsid w:val="007A6E61"/>
    <w:rsid w:val="007B04F1"/>
    <w:rsid w:val="007B1824"/>
    <w:rsid w:val="007B3B30"/>
    <w:rsid w:val="007B4E27"/>
    <w:rsid w:val="007B506C"/>
    <w:rsid w:val="007B5406"/>
    <w:rsid w:val="007B5C05"/>
    <w:rsid w:val="007B774D"/>
    <w:rsid w:val="007B77C5"/>
    <w:rsid w:val="007C17B0"/>
    <w:rsid w:val="007C2217"/>
    <w:rsid w:val="007C2362"/>
    <w:rsid w:val="007C31B9"/>
    <w:rsid w:val="007C3872"/>
    <w:rsid w:val="007C46AA"/>
    <w:rsid w:val="007C4E99"/>
    <w:rsid w:val="007C5582"/>
    <w:rsid w:val="007C6E11"/>
    <w:rsid w:val="007C71D7"/>
    <w:rsid w:val="007C7CA0"/>
    <w:rsid w:val="007D0353"/>
    <w:rsid w:val="007D247D"/>
    <w:rsid w:val="007D254B"/>
    <w:rsid w:val="007D26E7"/>
    <w:rsid w:val="007D2FA6"/>
    <w:rsid w:val="007D331B"/>
    <w:rsid w:val="007D350D"/>
    <w:rsid w:val="007D4C1B"/>
    <w:rsid w:val="007D52F3"/>
    <w:rsid w:val="007D5B0F"/>
    <w:rsid w:val="007D5B73"/>
    <w:rsid w:val="007D5BDD"/>
    <w:rsid w:val="007D5C93"/>
    <w:rsid w:val="007D72C1"/>
    <w:rsid w:val="007D7FC3"/>
    <w:rsid w:val="007E11F4"/>
    <w:rsid w:val="007E1C44"/>
    <w:rsid w:val="007E2840"/>
    <w:rsid w:val="007E2B8C"/>
    <w:rsid w:val="007E2E2A"/>
    <w:rsid w:val="007E33E7"/>
    <w:rsid w:val="007E3756"/>
    <w:rsid w:val="007E3C6A"/>
    <w:rsid w:val="007E51E2"/>
    <w:rsid w:val="007E52F0"/>
    <w:rsid w:val="007E5654"/>
    <w:rsid w:val="007E584F"/>
    <w:rsid w:val="007E5E95"/>
    <w:rsid w:val="007E67F0"/>
    <w:rsid w:val="007E7663"/>
    <w:rsid w:val="007F0B3A"/>
    <w:rsid w:val="007F1143"/>
    <w:rsid w:val="007F13E4"/>
    <w:rsid w:val="007F13EB"/>
    <w:rsid w:val="007F15A2"/>
    <w:rsid w:val="007F1699"/>
    <w:rsid w:val="007F190D"/>
    <w:rsid w:val="007F3E3B"/>
    <w:rsid w:val="007F65FB"/>
    <w:rsid w:val="00800731"/>
    <w:rsid w:val="00800B25"/>
    <w:rsid w:val="008012CF"/>
    <w:rsid w:val="0080203E"/>
    <w:rsid w:val="00802A19"/>
    <w:rsid w:val="00802B12"/>
    <w:rsid w:val="00803555"/>
    <w:rsid w:val="00803F7A"/>
    <w:rsid w:val="0080431F"/>
    <w:rsid w:val="00804348"/>
    <w:rsid w:val="00804899"/>
    <w:rsid w:val="00804C74"/>
    <w:rsid w:val="00805188"/>
    <w:rsid w:val="00805625"/>
    <w:rsid w:val="00810DD5"/>
    <w:rsid w:val="00811019"/>
    <w:rsid w:val="0081170B"/>
    <w:rsid w:val="00812943"/>
    <w:rsid w:val="00812DE1"/>
    <w:rsid w:val="008140AD"/>
    <w:rsid w:val="00814A89"/>
    <w:rsid w:val="00814C27"/>
    <w:rsid w:val="008151B4"/>
    <w:rsid w:val="008164D9"/>
    <w:rsid w:val="008169DC"/>
    <w:rsid w:val="00816BE0"/>
    <w:rsid w:val="00817019"/>
    <w:rsid w:val="00817351"/>
    <w:rsid w:val="008201A2"/>
    <w:rsid w:val="0082091A"/>
    <w:rsid w:val="00820B9D"/>
    <w:rsid w:val="0082261C"/>
    <w:rsid w:val="00822895"/>
    <w:rsid w:val="00823484"/>
    <w:rsid w:val="008262AA"/>
    <w:rsid w:val="008262BF"/>
    <w:rsid w:val="008303D0"/>
    <w:rsid w:val="008320CC"/>
    <w:rsid w:val="00832316"/>
    <w:rsid w:val="0083247B"/>
    <w:rsid w:val="008343A2"/>
    <w:rsid w:val="008359B1"/>
    <w:rsid w:val="00835BAB"/>
    <w:rsid w:val="008364D3"/>
    <w:rsid w:val="00836BDF"/>
    <w:rsid w:val="00841AAB"/>
    <w:rsid w:val="00841F30"/>
    <w:rsid w:val="00842037"/>
    <w:rsid w:val="00842C69"/>
    <w:rsid w:val="00843589"/>
    <w:rsid w:val="00845595"/>
    <w:rsid w:val="008468EF"/>
    <w:rsid w:val="00846E84"/>
    <w:rsid w:val="00847703"/>
    <w:rsid w:val="00847A04"/>
    <w:rsid w:val="00850CD2"/>
    <w:rsid w:val="008510E9"/>
    <w:rsid w:val="008526F7"/>
    <w:rsid w:val="00853CD6"/>
    <w:rsid w:val="00853EAD"/>
    <w:rsid w:val="0085426A"/>
    <w:rsid w:val="00854920"/>
    <w:rsid w:val="008553DF"/>
    <w:rsid w:val="008567C1"/>
    <w:rsid w:val="00856FA0"/>
    <w:rsid w:val="008623DB"/>
    <w:rsid w:val="008627AA"/>
    <w:rsid w:val="00863226"/>
    <w:rsid w:val="0086512D"/>
    <w:rsid w:val="008651F0"/>
    <w:rsid w:val="00865D2A"/>
    <w:rsid w:val="00866B81"/>
    <w:rsid w:val="008674E4"/>
    <w:rsid w:val="008678DC"/>
    <w:rsid w:val="00867C39"/>
    <w:rsid w:val="0086E3EE"/>
    <w:rsid w:val="00870D59"/>
    <w:rsid w:val="00870F16"/>
    <w:rsid w:val="00872AAC"/>
    <w:rsid w:val="008736F6"/>
    <w:rsid w:val="008753F6"/>
    <w:rsid w:val="00875663"/>
    <w:rsid w:val="00875EF0"/>
    <w:rsid w:val="00876D63"/>
    <w:rsid w:val="00877A0B"/>
    <w:rsid w:val="00880633"/>
    <w:rsid w:val="008808EC"/>
    <w:rsid w:val="00881D58"/>
    <w:rsid w:val="0088290D"/>
    <w:rsid w:val="00883457"/>
    <w:rsid w:val="00883686"/>
    <w:rsid w:val="00883C33"/>
    <w:rsid w:val="00883F00"/>
    <w:rsid w:val="00883F9D"/>
    <w:rsid w:val="0088481A"/>
    <w:rsid w:val="00885A03"/>
    <w:rsid w:val="00885FBC"/>
    <w:rsid w:val="00887075"/>
    <w:rsid w:val="008902B0"/>
    <w:rsid w:val="00891DCF"/>
    <w:rsid w:val="00892F7F"/>
    <w:rsid w:val="00894F5A"/>
    <w:rsid w:val="00895B8D"/>
    <w:rsid w:val="008A130F"/>
    <w:rsid w:val="008A1C7B"/>
    <w:rsid w:val="008A1EF9"/>
    <w:rsid w:val="008A1FC0"/>
    <w:rsid w:val="008A37D1"/>
    <w:rsid w:val="008A3F01"/>
    <w:rsid w:val="008A5CE1"/>
    <w:rsid w:val="008A7802"/>
    <w:rsid w:val="008B0955"/>
    <w:rsid w:val="008B0BA3"/>
    <w:rsid w:val="008B18B2"/>
    <w:rsid w:val="008B18B4"/>
    <w:rsid w:val="008B3299"/>
    <w:rsid w:val="008B3C0A"/>
    <w:rsid w:val="008B3F14"/>
    <w:rsid w:val="008B41D1"/>
    <w:rsid w:val="008B511A"/>
    <w:rsid w:val="008B74D4"/>
    <w:rsid w:val="008C0024"/>
    <w:rsid w:val="008C0F98"/>
    <w:rsid w:val="008C1CDA"/>
    <w:rsid w:val="008C1F26"/>
    <w:rsid w:val="008C2806"/>
    <w:rsid w:val="008C294F"/>
    <w:rsid w:val="008C2AC0"/>
    <w:rsid w:val="008C2BA8"/>
    <w:rsid w:val="008C3211"/>
    <w:rsid w:val="008C3C11"/>
    <w:rsid w:val="008C50CD"/>
    <w:rsid w:val="008C5C4E"/>
    <w:rsid w:val="008C6DC0"/>
    <w:rsid w:val="008C720F"/>
    <w:rsid w:val="008C7518"/>
    <w:rsid w:val="008C75EC"/>
    <w:rsid w:val="008C784B"/>
    <w:rsid w:val="008C795A"/>
    <w:rsid w:val="008C7D79"/>
    <w:rsid w:val="008D0262"/>
    <w:rsid w:val="008D1C5D"/>
    <w:rsid w:val="008D1EB5"/>
    <w:rsid w:val="008D21A4"/>
    <w:rsid w:val="008D27C4"/>
    <w:rsid w:val="008D2D16"/>
    <w:rsid w:val="008D35F7"/>
    <w:rsid w:val="008D36F7"/>
    <w:rsid w:val="008D3FB7"/>
    <w:rsid w:val="008D4BAD"/>
    <w:rsid w:val="008D6E67"/>
    <w:rsid w:val="008D72A1"/>
    <w:rsid w:val="008E2742"/>
    <w:rsid w:val="008E2775"/>
    <w:rsid w:val="008E30F3"/>
    <w:rsid w:val="008E31B7"/>
    <w:rsid w:val="008E33E3"/>
    <w:rsid w:val="008E34C8"/>
    <w:rsid w:val="008E369E"/>
    <w:rsid w:val="008E3A94"/>
    <w:rsid w:val="008E5AF2"/>
    <w:rsid w:val="008E632A"/>
    <w:rsid w:val="008E73D6"/>
    <w:rsid w:val="008F1EB4"/>
    <w:rsid w:val="008F2470"/>
    <w:rsid w:val="008F3713"/>
    <w:rsid w:val="008F534C"/>
    <w:rsid w:val="008F53B4"/>
    <w:rsid w:val="008F604E"/>
    <w:rsid w:val="008F64CE"/>
    <w:rsid w:val="008F73BA"/>
    <w:rsid w:val="008F77C8"/>
    <w:rsid w:val="008F7DE1"/>
    <w:rsid w:val="008F7FC0"/>
    <w:rsid w:val="0090027E"/>
    <w:rsid w:val="00900A5B"/>
    <w:rsid w:val="00901050"/>
    <w:rsid w:val="009020D6"/>
    <w:rsid w:val="009045EE"/>
    <w:rsid w:val="00904EA7"/>
    <w:rsid w:val="00906944"/>
    <w:rsid w:val="00906A1C"/>
    <w:rsid w:val="00906C8D"/>
    <w:rsid w:val="0090704E"/>
    <w:rsid w:val="00907A4F"/>
    <w:rsid w:val="00907B74"/>
    <w:rsid w:val="00907C84"/>
    <w:rsid w:val="00907E88"/>
    <w:rsid w:val="009101AD"/>
    <w:rsid w:val="00910217"/>
    <w:rsid w:val="0091030A"/>
    <w:rsid w:val="00913925"/>
    <w:rsid w:val="009142EC"/>
    <w:rsid w:val="00914491"/>
    <w:rsid w:val="009145B5"/>
    <w:rsid w:val="009155DD"/>
    <w:rsid w:val="00915D41"/>
    <w:rsid w:val="00915F82"/>
    <w:rsid w:val="00916B17"/>
    <w:rsid w:val="00916E1A"/>
    <w:rsid w:val="00916EE5"/>
    <w:rsid w:val="00921122"/>
    <w:rsid w:val="00921185"/>
    <w:rsid w:val="00922067"/>
    <w:rsid w:val="00924175"/>
    <w:rsid w:val="009244B2"/>
    <w:rsid w:val="00925643"/>
    <w:rsid w:val="00926617"/>
    <w:rsid w:val="009268DB"/>
    <w:rsid w:val="00926DC4"/>
    <w:rsid w:val="00930248"/>
    <w:rsid w:val="009307E8"/>
    <w:rsid w:val="0093109D"/>
    <w:rsid w:val="00931AA3"/>
    <w:rsid w:val="009331D9"/>
    <w:rsid w:val="009339E4"/>
    <w:rsid w:val="00933E75"/>
    <w:rsid w:val="00934406"/>
    <w:rsid w:val="009346CB"/>
    <w:rsid w:val="00934A84"/>
    <w:rsid w:val="00934E7B"/>
    <w:rsid w:val="00935E36"/>
    <w:rsid w:val="00936760"/>
    <w:rsid w:val="009369A2"/>
    <w:rsid w:val="00937A77"/>
    <w:rsid w:val="00937E6A"/>
    <w:rsid w:val="0094158D"/>
    <w:rsid w:val="00941C5A"/>
    <w:rsid w:val="00942737"/>
    <w:rsid w:val="00942FC4"/>
    <w:rsid w:val="00943165"/>
    <w:rsid w:val="009431B7"/>
    <w:rsid w:val="00943247"/>
    <w:rsid w:val="009434D5"/>
    <w:rsid w:val="00943E8A"/>
    <w:rsid w:val="0094442F"/>
    <w:rsid w:val="00944683"/>
    <w:rsid w:val="00944BB3"/>
    <w:rsid w:val="00944D5D"/>
    <w:rsid w:val="00945240"/>
    <w:rsid w:val="00945812"/>
    <w:rsid w:val="00946681"/>
    <w:rsid w:val="00946956"/>
    <w:rsid w:val="00946A08"/>
    <w:rsid w:val="00947D7E"/>
    <w:rsid w:val="0095157C"/>
    <w:rsid w:val="009515D1"/>
    <w:rsid w:val="00952C81"/>
    <w:rsid w:val="00953CB2"/>
    <w:rsid w:val="00954194"/>
    <w:rsid w:val="00954481"/>
    <w:rsid w:val="00954F7F"/>
    <w:rsid w:val="00955094"/>
    <w:rsid w:val="00955777"/>
    <w:rsid w:val="0095646D"/>
    <w:rsid w:val="00956A28"/>
    <w:rsid w:val="00956DE8"/>
    <w:rsid w:val="00956E44"/>
    <w:rsid w:val="009571D8"/>
    <w:rsid w:val="00960A5F"/>
    <w:rsid w:val="009623E1"/>
    <w:rsid w:val="0096265E"/>
    <w:rsid w:val="00962FA3"/>
    <w:rsid w:val="00964027"/>
    <w:rsid w:val="0096608A"/>
    <w:rsid w:val="0096711D"/>
    <w:rsid w:val="00970CC3"/>
    <w:rsid w:val="00971351"/>
    <w:rsid w:val="0097211C"/>
    <w:rsid w:val="00973156"/>
    <w:rsid w:val="009742D0"/>
    <w:rsid w:val="00974D4C"/>
    <w:rsid w:val="00976341"/>
    <w:rsid w:val="00976CF7"/>
    <w:rsid w:val="00977712"/>
    <w:rsid w:val="00977EA4"/>
    <w:rsid w:val="009803CA"/>
    <w:rsid w:val="00980421"/>
    <w:rsid w:val="009809C8"/>
    <w:rsid w:val="00980C49"/>
    <w:rsid w:val="00981A07"/>
    <w:rsid w:val="00981A69"/>
    <w:rsid w:val="00982545"/>
    <w:rsid w:val="00982A94"/>
    <w:rsid w:val="00983314"/>
    <w:rsid w:val="00983495"/>
    <w:rsid w:val="00983991"/>
    <w:rsid w:val="00983A22"/>
    <w:rsid w:val="0098427F"/>
    <w:rsid w:val="009844D9"/>
    <w:rsid w:val="00984573"/>
    <w:rsid w:val="0098479B"/>
    <w:rsid w:val="00984A0B"/>
    <w:rsid w:val="00984F4A"/>
    <w:rsid w:val="00985857"/>
    <w:rsid w:val="00986AC5"/>
    <w:rsid w:val="00987855"/>
    <w:rsid w:val="009878E8"/>
    <w:rsid w:val="0098794B"/>
    <w:rsid w:val="00987EAC"/>
    <w:rsid w:val="00990056"/>
    <w:rsid w:val="009905FB"/>
    <w:rsid w:val="009943BA"/>
    <w:rsid w:val="0099474A"/>
    <w:rsid w:val="00994954"/>
    <w:rsid w:val="00994BD7"/>
    <w:rsid w:val="00994EAB"/>
    <w:rsid w:val="00996421"/>
    <w:rsid w:val="00996FBC"/>
    <w:rsid w:val="00997EB6"/>
    <w:rsid w:val="009A0238"/>
    <w:rsid w:val="009A1311"/>
    <w:rsid w:val="009A2640"/>
    <w:rsid w:val="009A2F91"/>
    <w:rsid w:val="009A3067"/>
    <w:rsid w:val="009A43E5"/>
    <w:rsid w:val="009A44CF"/>
    <w:rsid w:val="009A4D5B"/>
    <w:rsid w:val="009A60C1"/>
    <w:rsid w:val="009A662F"/>
    <w:rsid w:val="009A7260"/>
    <w:rsid w:val="009A7DE6"/>
    <w:rsid w:val="009B170A"/>
    <w:rsid w:val="009B1DB3"/>
    <w:rsid w:val="009B1F9D"/>
    <w:rsid w:val="009B30A1"/>
    <w:rsid w:val="009B4549"/>
    <w:rsid w:val="009B4B40"/>
    <w:rsid w:val="009B5E00"/>
    <w:rsid w:val="009B657D"/>
    <w:rsid w:val="009B67DA"/>
    <w:rsid w:val="009B71D2"/>
    <w:rsid w:val="009C0175"/>
    <w:rsid w:val="009C054E"/>
    <w:rsid w:val="009C09C5"/>
    <w:rsid w:val="009C10D3"/>
    <w:rsid w:val="009C151D"/>
    <w:rsid w:val="009C34FE"/>
    <w:rsid w:val="009C5B63"/>
    <w:rsid w:val="009C6164"/>
    <w:rsid w:val="009C6715"/>
    <w:rsid w:val="009C6C5D"/>
    <w:rsid w:val="009C6DBC"/>
    <w:rsid w:val="009C74EB"/>
    <w:rsid w:val="009D0611"/>
    <w:rsid w:val="009D071C"/>
    <w:rsid w:val="009D0C1C"/>
    <w:rsid w:val="009D1D7A"/>
    <w:rsid w:val="009D27E0"/>
    <w:rsid w:val="009D2C66"/>
    <w:rsid w:val="009D3685"/>
    <w:rsid w:val="009D4622"/>
    <w:rsid w:val="009D5435"/>
    <w:rsid w:val="009D64DA"/>
    <w:rsid w:val="009D67A8"/>
    <w:rsid w:val="009D7084"/>
    <w:rsid w:val="009D768D"/>
    <w:rsid w:val="009E01AA"/>
    <w:rsid w:val="009E08E3"/>
    <w:rsid w:val="009E0BEA"/>
    <w:rsid w:val="009E0C1D"/>
    <w:rsid w:val="009E1160"/>
    <w:rsid w:val="009E12EE"/>
    <w:rsid w:val="009E2234"/>
    <w:rsid w:val="009E2262"/>
    <w:rsid w:val="009E30BA"/>
    <w:rsid w:val="009E3132"/>
    <w:rsid w:val="009E3BB7"/>
    <w:rsid w:val="009E4B06"/>
    <w:rsid w:val="009E4D58"/>
    <w:rsid w:val="009E4DD9"/>
    <w:rsid w:val="009E5360"/>
    <w:rsid w:val="009E5B8D"/>
    <w:rsid w:val="009E6151"/>
    <w:rsid w:val="009E61D1"/>
    <w:rsid w:val="009E7114"/>
    <w:rsid w:val="009E71C4"/>
    <w:rsid w:val="009E7819"/>
    <w:rsid w:val="009F0368"/>
    <w:rsid w:val="009F0C2B"/>
    <w:rsid w:val="009F1B0D"/>
    <w:rsid w:val="009F316A"/>
    <w:rsid w:val="009F33C1"/>
    <w:rsid w:val="009F3D5A"/>
    <w:rsid w:val="009F4150"/>
    <w:rsid w:val="009F567E"/>
    <w:rsid w:val="009F60C3"/>
    <w:rsid w:val="009F6730"/>
    <w:rsid w:val="009F692C"/>
    <w:rsid w:val="009F7ED0"/>
    <w:rsid w:val="00A007B5"/>
    <w:rsid w:val="00A00C39"/>
    <w:rsid w:val="00A023C5"/>
    <w:rsid w:val="00A02CAF"/>
    <w:rsid w:val="00A0420C"/>
    <w:rsid w:val="00A05AEF"/>
    <w:rsid w:val="00A06466"/>
    <w:rsid w:val="00A068BA"/>
    <w:rsid w:val="00A0743A"/>
    <w:rsid w:val="00A07CCE"/>
    <w:rsid w:val="00A07EE2"/>
    <w:rsid w:val="00A07EE4"/>
    <w:rsid w:val="00A10B76"/>
    <w:rsid w:val="00A114CE"/>
    <w:rsid w:val="00A12E21"/>
    <w:rsid w:val="00A1305D"/>
    <w:rsid w:val="00A1338E"/>
    <w:rsid w:val="00A133B3"/>
    <w:rsid w:val="00A13ADC"/>
    <w:rsid w:val="00A13B51"/>
    <w:rsid w:val="00A13EC9"/>
    <w:rsid w:val="00A14B2A"/>
    <w:rsid w:val="00A15050"/>
    <w:rsid w:val="00A15E4C"/>
    <w:rsid w:val="00A15ECA"/>
    <w:rsid w:val="00A16BB1"/>
    <w:rsid w:val="00A175D3"/>
    <w:rsid w:val="00A17B10"/>
    <w:rsid w:val="00A17BF7"/>
    <w:rsid w:val="00A2047C"/>
    <w:rsid w:val="00A215F7"/>
    <w:rsid w:val="00A217CE"/>
    <w:rsid w:val="00A21EE6"/>
    <w:rsid w:val="00A225FE"/>
    <w:rsid w:val="00A22AA6"/>
    <w:rsid w:val="00A22B49"/>
    <w:rsid w:val="00A23146"/>
    <w:rsid w:val="00A25260"/>
    <w:rsid w:val="00A252E8"/>
    <w:rsid w:val="00A2554E"/>
    <w:rsid w:val="00A261C7"/>
    <w:rsid w:val="00A2632C"/>
    <w:rsid w:val="00A26334"/>
    <w:rsid w:val="00A267F5"/>
    <w:rsid w:val="00A26C4B"/>
    <w:rsid w:val="00A27CF2"/>
    <w:rsid w:val="00A3029A"/>
    <w:rsid w:val="00A309F8"/>
    <w:rsid w:val="00A31A01"/>
    <w:rsid w:val="00A33E5F"/>
    <w:rsid w:val="00A36E52"/>
    <w:rsid w:val="00A37E30"/>
    <w:rsid w:val="00A4016D"/>
    <w:rsid w:val="00A4039A"/>
    <w:rsid w:val="00A40A12"/>
    <w:rsid w:val="00A40BF9"/>
    <w:rsid w:val="00A41BC6"/>
    <w:rsid w:val="00A41D11"/>
    <w:rsid w:val="00A421CC"/>
    <w:rsid w:val="00A426BD"/>
    <w:rsid w:val="00A43109"/>
    <w:rsid w:val="00A431AB"/>
    <w:rsid w:val="00A43A76"/>
    <w:rsid w:val="00A43B0F"/>
    <w:rsid w:val="00A44D64"/>
    <w:rsid w:val="00A45131"/>
    <w:rsid w:val="00A45405"/>
    <w:rsid w:val="00A4547C"/>
    <w:rsid w:val="00A456EC"/>
    <w:rsid w:val="00A461A2"/>
    <w:rsid w:val="00A4645B"/>
    <w:rsid w:val="00A46A43"/>
    <w:rsid w:val="00A46E05"/>
    <w:rsid w:val="00A46F5E"/>
    <w:rsid w:val="00A475C1"/>
    <w:rsid w:val="00A5034C"/>
    <w:rsid w:val="00A50972"/>
    <w:rsid w:val="00A514B6"/>
    <w:rsid w:val="00A51B20"/>
    <w:rsid w:val="00A52BD7"/>
    <w:rsid w:val="00A52EC8"/>
    <w:rsid w:val="00A53B13"/>
    <w:rsid w:val="00A54057"/>
    <w:rsid w:val="00A54638"/>
    <w:rsid w:val="00A5478D"/>
    <w:rsid w:val="00A547F9"/>
    <w:rsid w:val="00A5576E"/>
    <w:rsid w:val="00A55B9D"/>
    <w:rsid w:val="00A55F8B"/>
    <w:rsid w:val="00A56A2A"/>
    <w:rsid w:val="00A56D48"/>
    <w:rsid w:val="00A60087"/>
    <w:rsid w:val="00A60592"/>
    <w:rsid w:val="00A6074E"/>
    <w:rsid w:val="00A61378"/>
    <w:rsid w:val="00A62003"/>
    <w:rsid w:val="00A631C6"/>
    <w:rsid w:val="00A633EA"/>
    <w:rsid w:val="00A637D4"/>
    <w:rsid w:val="00A63F23"/>
    <w:rsid w:val="00A64BE9"/>
    <w:rsid w:val="00A650B2"/>
    <w:rsid w:val="00A6653F"/>
    <w:rsid w:val="00A700F3"/>
    <w:rsid w:val="00A7024D"/>
    <w:rsid w:val="00A703EF"/>
    <w:rsid w:val="00A70AB9"/>
    <w:rsid w:val="00A71459"/>
    <w:rsid w:val="00A7213F"/>
    <w:rsid w:val="00A72694"/>
    <w:rsid w:val="00A72949"/>
    <w:rsid w:val="00A72C07"/>
    <w:rsid w:val="00A72D1A"/>
    <w:rsid w:val="00A7344E"/>
    <w:rsid w:val="00A7376C"/>
    <w:rsid w:val="00A7407E"/>
    <w:rsid w:val="00A7522F"/>
    <w:rsid w:val="00A753EE"/>
    <w:rsid w:val="00A75D80"/>
    <w:rsid w:val="00A762BA"/>
    <w:rsid w:val="00A766EA"/>
    <w:rsid w:val="00A7699D"/>
    <w:rsid w:val="00A769C2"/>
    <w:rsid w:val="00A8065D"/>
    <w:rsid w:val="00A80749"/>
    <w:rsid w:val="00A82CF6"/>
    <w:rsid w:val="00A839D8"/>
    <w:rsid w:val="00A8527A"/>
    <w:rsid w:val="00A85FE1"/>
    <w:rsid w:val="00A90881"/>
    <w:rsid w:val="00A909E4"/>
    <w:rsid w:val="00A916C8"/>
    <w:rsid w:val="00A92869"/>
    <w:rsid w:val="00A92BAE"/>
    <w:rsid w:val="00A9336B"/>
    <w:rsid w:val="00A93806"/>
    <w:rsid w:val="00A95564"/>
    <w:rsid w:val="00A9587B"/>
    <w:rsid w:val="00A96339"/>
    <w:rsid w:val="00A97B23"/>
    <w:rsid w:val="00AA0BA5"/>
    <w:rsid w:val="00AA248B"/>
    <w:rsid w:val="00AA2B94"/>
    <w:rsid w:val="00AA2BF5"/>
    <w:rsid w:val="00AA38D8"/>
    <w:rsid w:val="00AA4287"/>
    <w:rsid w:val="00AA4528"/>
    <w:rsid w:val="00AA4A6A"/>
    <w:rsid w:val="00AB003C"/>
    <w:rsid w:val="00AB0192"/>
    <w:rsid w:val="00AB1047"/>
    <w:rsid w:val="00AB1661"/>
    <w:rsid w:val="00AB1C9E"/>
    <w:rsid w:val="00AB256D"/>
    <w:rsid w:val="00AB27F9"/>
    <w:rsid w:val="00AB2F1F"/>
    <w:rsid w:val="00AB35B3"/>
    <w:rsid w:val="00AB4E44"/>
    <w:rsid w:val="00AB50FD"/>
    <w:rsid w:val="00AB512B"/>
    <w:rsid w:val="00AB5193"/>
    <w:rsid w:val="00AB71BD"/>
    <w:rsid w:val="00AB780B"/>
    <w:rsid w:val="00AB79CB"/>
    <w:rsid w:val="00AC0376"/>
    <w:rsid w:val="00AC0E90"/>
    <w:rsid w:val="00AC3356"/>
    <w:rsid w:val="00AC48F1"/>
    <w:rsid w:val="00AC4A34"/>
    <w:rsid w:val="00AC5132"/>
    <w:rsid w:val="00AC5200"/>
    <w:rsid w:val="00AC5693"/>
    <w:rsid w:val="00AC58EF"/>
    <w:rsid w:val="00AC5E15"/>
    <w:rsid w:val="00AC6135"/>
    <w:rsid w:val="00AC6E74"/>
    <w:rsid w:val="00AD029F"/>
    <w:rsid w:val="00AD05B5"/>
    <w:rsid w:val="00AD0BCD"/>
    <w:rsid w:val="00AD18BB"/>
    <w:rsid w:val="00AD219A"/>
    <w:rsid w:val="00AD25BB"/>
    <w:rsid w:val="00AD2B39"/>
    <w:rsid w:val="00AD3103"/>
    <w:rsid w:val="00AD34FF"/>
    <w:rsid w:val="00AD368F"/>
    <w:rsid w:val="00AD3988"/>
    <w:rsid w:val="00AD4542"/>
    <w:rsid w:val="00AD49AE"/>
    <w:rsid w:val="00AD5575"/>
    <w:rsid w:val="00AD5B12"/>
    <w:rsid w:val="00AD6040"/>
    <w:rsid w:val="00AD66B3"/>
    <w:rsid w:val="00AD6787"/>
    <w:rsid w:val="00AD70F4"/>
    <w:rsid w:val="00AE015A"/>
    <w:rsid w:val="00AE02B4"/>
    <w:rsid w:val="00AE0CA4"/>
    <w:rsid w:val="00AE18E2"/>
    <w:rsid w:val="00AE1F78"/>
    <w:rsid w:val="00AE221D"/>
    <w:rsid w:val="00AE29C4"/>
    <w:rsid w:val="00AE4CBB"/>
    <w:rsid w:val="00AE568C"/>
    <w:rsid w:val="00AE58CD"/>
    <w:rsid w:val="00AE5BFD"/>
    <w:rsid w:val="00AE6703"/>
    <w:rsid w:val="00AE761C"/>
    <w:rsid w:val="00AE779C"/>
    <w:rsid w:val="00AF0805"/>
    <w:rsid w:val="00AF128E"/>
    <w:rsid w:val="00AF23E5"/>
    <w:rsid w:val="00AF2C65"/>
    <w:rsid w:val="00AF2E39"/>
    <w:rsid w:val="00AF3166"/>
    <w:rsid w:val="00AF32A4"/>
    <w:rsid w:val="00AF3A44"/>
    <w:rsid w:val="00AF4434"/>
    <w:rsid w:val="00AF50A4"/>
    <w:rsid w:val="00AF5549"/>
    <w:rsid w:val="00AF57C5"/>
    <w:rsid w:val="00AF5B68"/>
    <w:rsid w:val="00AF6615"/>
    <w:rsid w:val="00AF7052"/>
    <w:rsid w:val="00AF7081"/>
    <w:rsid w:val="00B0014D"/>
    <w:rsid w:val="00B0040C"/>
    <w:rsid w:val="00B00CCC"/>
    <w:rsid w:val="00B012E7"/>
    <w:rsid w:val="00B01933"/>
    <w:rsid w:val="00B02010"/>
    <w:rsid w:val="00B029A8"/>
    <w:rsid w:val="00B04160"/>
    <w:rsid w:val="00B045BD"/>
    <w:rsid w:val="00B04E7F"/>
    <w:rsid w:val="00B05576"/>
    <w:rsid w:val="00B05583"/>
    <w:rsid w:val="00B061DD"/>
    <w:rsid w:val="00B063D1"/>
    <w:rsid w:val="00B06467"/>
    <w:rsid w:val="00B0704B"/>
    <w:rsid w:val="00B07FE7"/>
    <w:rsid w:val="00B11FF7"/>
    <w:rsid w:val="00B134E4"/>
    <w:rsid w:val="00B1395E"/>
    <w:rsid w:val="00B13F11"/>
    <w:rsid w:val="00B13FF3"/>
    <w:rsid w:val="00B14415"/>
    <w:rsid w:val="00B14543"/>
    <w:rsid w:val="00B15127"/>
    <w:rsid w:val="00B1576C"/>
    <w:rsid w:val="00B17EEF"/>
    <w:rsid w:val="00B20F9E"/>
    <w:rsid w:val="00B210FA"/>
    <w:rsid w:val="00B2183A"/>
    <w:rsid w:val="00B21C21"/>
    <w:rsid w:val="00B22624"/>
    <w:rsid w:val="00B22C8A"/>
    <w:rsid w:val="00B230DC"/>
    <w:rsid w:val="00B25435"/>
    <w:rsid w:val="00B25586"/>
    <w:rsid w:val="00B264ED"/>
    <w:rsid w:val="00B26673"/>
    <w:rsid w:val="00B27B56"/>
    <w:rsid w:val="00B301CF"/>
    <w:rsid w:val="00B30B23"/>
    <w:rsid w:val="00B30E20"/>
    <w:rsid w:val="00B31098"/>
    <w:rsid w:val="00B33F44"/>
    <w:rsid w:val="00B3437A"/>
    <w:rsid w:val="00B34573"/>
    <w:rsid w:val="00B347BC"/>
    <w:rsid w:val="00B34AB9"/>
    <w:rsid w:val="00B34C90"/>
    <w:rsid w:val="00B36B38"/>
    <w:rsid w:val="00B36D0E"/>
    <w:rsid w:val="00B36F4C"/>
    <w:rsid w:val="00B36F85"/>
    <w:rsid w:val="00B37A2A"/>
    <w:rsid w:val="00B37E18"/>
    <w:rsid w:val="00B4078A"/>
    <w:rsid w:val="00B40CE2"/>
    <w:rsid w:val="00B4136D"/>
    <w:rsid w:val="00B423BC"/>
    <w:rsid w:val="00B42AA8"/>
    <w:rsid w:val="00B42F1D"/>
    <w:rsid w:val="00B44970"/>
    <w:rsid w:val="00B44A51"/>
    <w:rsid w:val="00B45254"/>
    <w:rsid w:val="00B45A7D"/>
    <w:rsid w:val="00B45B03"/>
    <w:rsid w:val="00B51636"/>
    <w:rsid w:val="00B51744"/>
    <w:rsid w:val="00B51AC7"/>
    <w:rsid w:val="00B51B18"/>
    <w:rsid w:val="00B52DD2"/>
    <w:rsid w:val="00B559AE"/>
    <w:rsid w:val="00B56288"/>
    <w:rsid w:val="00B56FAB"/>
    <w:rsid w:val="00B5716C"/>
    <w:rsid w:val="00B57585"/>
    <w:rsid w:val="00B60A8E"/>
    <w:rsid w:val="00B60EBF"/>
    <w:rsid w:val="00B60FE8"/>
    <w:rsid w:val="00B61E46"/>
    <w:rsid w:val="00B61F23"/>
    <w:rsid w:val="00B6388E"/>
    <w:rsid w:val="00B6453C"/>
    <w:rsid w:val="00B6669D"/>
    <w:rsid w:val="00B66912"/>
    <w:rsid w:val="00B66A5B"/>
    <w:rsid w:val="00B6773D"/>
    <w:rsid w:val="00B717EE"/>
    <w:rsid w:val="00B71A88"/>
    <w:rsid w:val="00B71DA9"/>
    <w:rsid w:val="00B75A34"/>
    <w:rsid w:val="00B75AF8"/>
    <w:rsid w:val="00B76622"/>
    <w:rsid w:val="00B76E75"/>
    <w:rsid w:val="00B7731E"/>
    <w:rsid w:val="00B77F9D"/>
    <w:rsid w:val="00B80503"/>
    <w:rsid w:val="00B808C3"/>
    <w:rsid w:val="00B81731"/>
    <w:rsid w:val="00B817B7"/>
    <w:rsid w:val="00B81D9E"/>
    <w:rsid w:val="00B820DC"/>
    <w:rsid w:val="00B82629"/>
    <w:rsid w:val="00B82E65"/>
    <w:rsid w:val="00B840E3"/>
    <w:rsid w:val="00B85425"/>
    <w:rsid w:val="00B85660"/>
    <w:rsid w:val="00B85AC0"/>
    <w:rsid w:val="00B86E25"/>
    <w:rsid w:val="00B90D49"/>
    <w:rsid w:val="00B90E0A"/>
    <w:rsid w:val="00B910E4"/>
    <w:rsid w:val="00B9177F"/>
    <w:rsid w:val="00B91970"/>
    <w:rsid w:val="00B91FA4"/>
    <w:rsid w:val="00B92225"/>
    <w:rsid w:val="00B93AB7"/>
    <w:rsid w:val="00B93B34"/>
    <w:rsid w:val="00B93CB4"/>
    <w:rsid w:val="00B93FF0"/>
    <w:rsid w:val="00B94FD4"/>
    <w:rsid w:val="00B960F3"/>
    <w:rsid w:val="00B96E76"/>
    <w:rsid w:val="00B97C08"/>
    <w:rsid w:val="00BA074C"/>
    <w:rsid w:val="00BA0834"/>
    <w:rsid w:val="00BA1CA1"/>
    <w:rsid w:val="00BA1D80"/>
    <w:rsid w:val="00BA287E"/>
    <w:rsid w:val="00BA296C"/>
    <w:rsid w:val="00BA2B23"/>
    <w:rsid w:val="00BA33BA"/>
    <w:rsid w:val="00BA59E3"/>
    <w:rsid w:val="00BA5EE6"/>
    <w:rsid w:val="00BA675C"/>
    <w:rsid w:val="00BA6F20"/>
    <w:rsid w:val="00BA7C7E"/>
    <w:rsid w:val="00BB0603"/>
    <w:rsid w:val="00BB0C45"/>
    <w:rsid w:val="00BB155A"/>
    <w:rsid w:val="00BB22A6"/>
    <w:rsid w:val="00BB2B19"/>
    <w:rsid w:val="00BB2E9D"/>
    <w:rsid w:val="00BB3203"/>
    <w:rsid w:val="00BB3E5B"/>
    <w:rsid w:val="00BB3F2C"/>
    <w:rsid w:val="00BB4337"/>
    <w:rsid w:val="00BB4886"/>
    <w:rsid w:val="00BB5AA0"/>
    <w:rsid w:val="00BB6EC3"/>
    <w:rsid w:val="00BB7556"/>
    <w:rsid w:val="00BC1036"/>
    <w:rsid w:val="00BC107F"/>
    <w:rsid w:val="00BC1AA2"/>
    <w:rsid w:val="00BC29D7"/>
    <w:rsid w:val="00BC2C54"/>
    <w:rsid w:val="00BC350E"/>
    <w:rsid w:val="00BC3757"/>
    <w:rsid w:val="00BC444E"/>
    <w:rsid w:val="00BC4D24"/>
    <w:rsid w:val="00BC6344"/>
    <w:rsid w:val="00BC6372"/>
    <w:rsid w:val="00BC6B00"/>
    <w:rsid w:val="00BC6CE5"/>
    <w:rsid w:val="00BC6ECA"/>
    <w:rsid w:val="00BC6FD0"/>
    <w:rsid w:val="00BD01E8"/>
    <w:rsid w:val="00BD12CE"/>
    <w:rsid w:val="00BD2313"/>
    <w:rsid w:val="00BD2FE7"/>
    <w:rsid w:val="00BD3019"/>
    <w:rsid w:val="00BD370B"/>
    <w:rsid w:val="00BD420D"/>
    <w:rsid w:val="00BD565C"/>
    <w:rsid w:val="00BD5C91"/>
    <w:rsid w:val="00BD6814"/>
    <w:rsid w:val="00BD75FB"/>
    <w:rsid w:val="00BD7623"/>
    <w:rsid w:val="00BE021D"/>
    <w:rsid w:val="00BE0E06"/>
    <w:rsid w:val="00BE1640"/>
    <w:rsid w:val="00BE448B"/>
    <w:rsid w:val="00BE4725"/>
    <w:rsid w:val="00BE4E24"/>
    <w:rsid w:val="00BE5D0B"/>
    <w:rsid w:val="00BE678F"/>
    <w:rsid w:val="00BF003C"/>
    <w:rsid w:val="00BF0092"/>
    <w:rsid w:val="00BF1132"/>
    <w:rsid w:val="00BF1D7D"/>
    <w:rsid w:val="00BF1EF0"/>
    <w:rsid w:val="00BF203E"/>
    <w:rsid w:val="00BF2ECE"/>
    <w:rsid w:val="00BF306B"/>
    <w:rsid w:val="00BF3280"/>
    <w:rsid w:val="00BF3DC5"/>
    <w:rsid w:val="00BF4919"/>
    <w:rsid w:val="00BF6461"/>
    <w:rsid w:val="00BF7361"/>
    <w:rsid w:val="00C00AC1"/>
    <w:rsid w:val="00C00AEF"/>
    <w:rsid w:val="00C01B4C"/>
    <w:rsid w:val="00C020A4"/>
    <w:rsid w:val="00C02181"/>
    <w:rsid w:val="00C02D0C"/>
    <w:rsid w:val="00C032EA"/>
    <w:rsid w:val="00C035E8"/>
    <w:rsid w:val="00C055C0"/>
    <w:rsid w:val="00C05FA3"/>
    <w:rsid w:val="00C06A2E"/>
    <w:rsid w:val="00C07045"/>
    <w:rsid w:val="00C0738F"/>
    <w:rsid w:val="00C11788"/>
    <w:rsid w:val="00C11C5A"/>
    <w:rsid w:val="00C1217C"/>
    <w:rsid w:val="00C144C2"/>
    <w:rsid w:val="00C14C2A"/>
    <w:rsid w:val="00C16D54"/>
    <w:rsid w:val="00C17136"/>
    <w:rsid w:val="00C17C96"/>
    <w:rsid w:val="00C20494"/>
    <w:rsid w:val="00C214A5"/>
    <w:rsid w:val="00C2150A"/>
    <w:rsid w:val="00C21576"/>
    <w:rsid w:val="00C219A9"/>
    <w:rsid w:val="00C21A8C"/>
    <w:rsid w:val="00C21BCB"/>
    <w:rsid w:val="00C22366"/>
    <w:rsid w:val="00C224A9"/>
    <w:rsid w:val="00C2263D"/>
    <w:rsid w:val="00C2317E"/>
    <w:rsid w:val="00C23209"/>
    <w:rsid w:val="00C23AE6"/>
    <w:rsid w:val="00C23ED3"/>
    <w:rsid w:val="00C246B9"/>
    <w:rsid w:val="00C24721"/>
    <w:rsid w:val="00C24F43"/>
    <w:rsid w:val="00C25AB0"/>
    <w:rsid w:val="00C267AD"/>
    <w:rsid w:val="00C26913"/>
    <w:rsid w:val="00C274FB"/>
    <w:rsid w:val="00C3126D"/>
    <w:rsid w:val="00C324C8"/>
    <w:rsid w:val="00C32E1D"/>
    <w:rsid w:val="00C34069"/>
    <w:rsid w:val="00C35523"/>
    <w:rsid w:val="00C35957"/>
    <w:rsid w:val="00C35E41"/>
    <w:rsid w:val="00C36DE5"/>
    <w:rsid w:val="00C36E99"/>
    <w:rsid w:val="00C373DF"/>
    <w:rsid w:val="00C3793C"/>
    <w:rsid w:val="00C4017B"/>
    <w:rsid w:val="00C405E0"/>
    <w:rsid w:val="00C40C0A"/>
    <w:rsid w:val="00C4102F"/>
    <w:rsid w:val="00C41249"/>
    <w:rsid w:val="00C436A3"/>
    <w:rsid w:val="00C43E4D"/>
    <w:rsid w:val="00C44654"/>
    <w:rsid w:val="00C4493A"/>
    <w:rsid w:val="00C45036"/>
    <w:rsid w:val="00C45D9C"/>
    <w:rsid w:val="00C46653"/>
    <w:rsid w:val="00C46E75"/>
    <w:rsid w:val="00C472C3"/>
    <w:rsid w:val="00C47A2D"/>
    <w:rsid w:val="00C47FE6"/>
    <w:rsid w:val="00C50721"/>
    <w:rsid w:val="00C51703"/>
    <w:rsid w:val="00C522BA"/>
    <w:rsid w:val="00C530ED"/>
    <w:rsid w:val="00C53F05"/>
    <w:rsid w:val="00C5434D"/>
    <w:rsid w:val="00C5523D"/>
    <w:rsid w:val="00C607A9"/>
    <w:rsid w:val="00C60A0C"/>
    <w:rsid w:val="00C62548"/>
    <w:rsid w:val="00C62D87"/>
    <w:rsid w:val="00C62F56"/>
    <w:rsid w:val="00C63547"/>
    <w:rsid w:val="00C638FD"/>
    <w:rsid w:val="00C63A43"/>
    <w:rsid w:val="00C6484A"/>
    <w:rsid w:val="00C649E2"/>
    <w:rsid w:val="00C64AE9"/>
    <w:rsid w:val="00C64C48"/>
    <w:rsid w:val="00C6514B"/>
    <w:rsid w:val="00C65A8F"/>
    <w:rsid w:val="00C65C68"/>
    <w:rsid w:val="00C65E4E"/>
    <w:rsid w:val="00C66178"/>
    <w:rsid w:val="00C66588"/>
    <w:rsid w:val="00C70AFD"/>
    <w:rsid w:val="00C70E7B"/>
    <w:rsid w:val="00C71532"/>
    <w:rsid w:val="00C717E4"/>
    <w:rsid w:val="00C7181A"/>
    <w:rsid w:val="00C72F8B"/>
    <w:rsid w:val="00C732C9"/>
    <w:rsid w:val="00C73555"/>
    <w:rsid w:val="00C73DB7"/>
    <w:rsid w:val="00C73E57"/>
    <w:rsid w:val="00C7628D"/>
    <w:rsid w:val="00C76553"/>
    <w:rsid w:val="00C77108"/>
    <w:rsid w:val="00C7712A"/>
    <w:rsid w:val="00C77AD4"/>
    <w:rsid w:val="00C77BED"/>
    <w:rsid w:val="00C811C3"/>
    <w:rsid w:val="00C820F9"/>
    <w:rsid w:val="00C82903"/>
    <w:rsid w:val="00C83BD9"/>
    <w:rsid w:val="00C84164"/>
    <w:rsid w:val="00C850D9"/>
    <w:rsid w:val="00C85ECD"/>
    <w:rsid w:val="00C85F58"/>
    <w:rsid w:val="00C86339"/>
    <w:rsid w:val="00C86C36"/>
    <w:rsid w:val="00C86D9E"/>
    <w:rsid w:val="00C87002"/>
    <w:rsid w:val="00C904A0"/>
    <w:rsid w:val="00C90593"/>
    <w:rsid w:val="00C917D8"/>
    <w:rsid w:val="00C92923"/>
    <w:rsid w:val="00C9316E"/>
    <w:rsid w:val="00C93183"/>
    <w:rsid w:val="00C93D6D"/>
    <w:rsid w:val="00C95E9F"/>
    <w:rsid w:val="00C96BCF"/>
    <w:rsid w:val="00C96FB4"/>
    <w:rsid w:val="00C9783F"/>
    <w:rsid w:val="00CA090E"/>
    <w:rsid w:val="00CA0B47"/>
    <w:rsid w:val="00CA21F6"/>
    <w:rsid w:val="00CA296D"/>
    <w:rsid w:val="00CA2AA4"/>
    <w:rsid w:val="00CA38E9"/>
    <w:rsid w:val="00CA3AE7"/>
    <w:rsid w:val="00CA4386"/>
    <w:rsid w:val="00CA4BE7"/>
    <w:rsid w:val="00CA4CAB"/>
    <w:rsid w:val="00CA4FAC"/>
    <w:rsid w:val="00CA57DA"/>
    <w:rsid w:val="00CA5F66"/>
    <w:rsid w:val="00CA6330"/>
    <w:rsid w:val="00CA703A"/>
    <w:rsid w:val="00CB285F"/>
    <w:rsid w:val="00CB2877"/>
    <w:rsid w:val="00CB29E3"/>
    <w:rsid w:val="00CB3A63"/>
    <w:rsid w:val="00CB4986"/>
    <w:rsid w:val="00CB4D30"/>
    <w:rsid w:val="00CB5461"/>
    <w:rsid w:val="00CB6665"/>
    <w:rsid w:val="00CB6A35"/>
    <w:rsid w:val="00CB6E23"/>
    <w:rsid w:val="00CB74E3"/>
    <w:rsid w:val="00CC117C"/>
    <w:rsid w:val="00CC17D1"/>
    <w:rsid w:val="00CC2D21"/>
    <w:rsid w:val="00CC3E3C"/>
    <w:rsid w:val="00CC506E"/>
    <w:rsid w:val="00CC6558"/>
    <w:rsid w:val="00CC6604"/>
    <w:rsid w:val="00CD09DD"/>
    <w:rsid w:val="00CD1665"/>
    <w:rsid w:val="00CD1B05"/>
    <w:rsid w:val="00CD1CFD"/>
    <w:rsid w:val="00CD2030"/>
    <w:rsid w:val="00CD291F"/>
    <w:rsid w:val="00CD2BF8"/>
    <w:rsid w:val="00CD3DD5"/>
    <w:rsid w:val="00CD4126"/>
    <w:rsid w:val="00CD4A44"/>
    <w:rsid w:val="00CD4E03"/>
    <w:rsid w:val="00CD4EDB"/>
    <w:rsid w:val="00CD65A4"/>
    <w:rsid w:val="00CD6759"/>
    <w:rsid w:val="00CD680F"/>
    <w:rsid w:val="00CD7E58"/>
    <w:rsid w:val="00CE0078"/>
    <w:rsid w:val="00CE1EF8"/>
    <w:rsid w:val="00CE22CA"/>
    <w:rsid w:val="00CE243A"/>
    <w:rsid w:val="00CE449A"/>
    <w:rsid w:val="00CE466E"/>
    <w:rsid w:val="00CE527B"/>
    <w:rsid w:val="00CE7287"/>
    <w:rsid w:val="00CF08BF"/>
    <w:rsid w:val="00CF216A"/>
    <w:rsid w:val="00CF2A3C"/>
    <w:rsid w:val="00CF36A4"/>
    <w:rsid w:val="00CF4CAE"/>
    <w:rsid w:val="00CF4CEB"/>
    <w:rsid w:val="00CF5026"/>
    <w:rsid w:val="00CF7FF8"/>
    <w:rsid w:val="00D00AA0"/>
    <w:rsid w:val="00D00CBB"/>
    <w:rsid w:val="00D0111E"/>
    <w:rsid w:val="00D01433"/>
    <w:rsid w:val="00D01C2B"/>
    <w:rsid w:val="00D01DE3"/>
    <w:rsid w:val="00D02C96"/>
    <w:rsid w:val="00D02D57"/>
    <w:rsid w:val="00D0333B"/>
    <w:rsid w:val="00D0400F"/>
    <w:rsid w:val="00D0533C"/>
    <w:rsid w:val="00D059FB"/>
    <w:rsid w:val="00D05E05"/>
    <w:rsid w:val="00D06504"/>
    <w:rsid w:val="00D06611"/>
    <w:rsid w:val="00D06F48"/>
    <w:rsid w:val="00D070B5"/>
    <w:rsid w:val="00D078A4"/>
    <w:rsid w:val="00D07D10"/>
    <w:rsid w:val="00D1013F"/>
    <w:rsid w:val="00D119FE"/>
    <w:rsid w:val="00D11E6F"/>
    <w:rsid w:val="00D11F1C"/>
    <w:rsid w:val="00D12A2C"/>
    <w:rsid w:val="00D13AD0"/>
    <w:rsid w:val="00D13BA7"/>
    <w:rsid w:val="00D13CCF"/>
    <w:rsid w:val="00D151E1"/>
    <w:rsid w:val="00D1587F"/>
    <w:rsid w:val="00D1610D"/>
    <w:rsid w:val="00D167D2"/>
    <w:rsid w:val="00D16D5C"/>
    <w:rsid w:val="00D17444"/>
    <w:rsid w:val="00D17A8F"/>
    <w:rsid w:val="00D207E1"/>
    <w:rsid w:val="00D20A37"/>
    <w:rsid w:val="00D20AFE"/>
    <w:rsid w:val="00D21F48"/>
    <w:rsid w:val="00D2201F"/>
    <w:rsid w:val="00D248DF"/>
    <w:rsid w:val="00D25227"/>
    <w:rsid w:val="00D25903"/>
    <w:rsid w:val="00D2653C"/>
    <w:rsid w:val="00D265F2"/>
    <w:rsid w:val="00D26AD9"/>
    <w:rsid w:val="00D271E9"/>
    <w:rsid w:val="00D272EC"/>
    <w:rsid w:val="00D3191D"/>
    <w:rsid w:val="00D3228B"/>
    <w:rsid w:val="00D32953"/>
    <w:rsid w:val="00D3310A"/>
    <w:rsid w:val="00D3313C"/>
    <w:rsid w:val="00D3324D"/>
    <w:rsid w:val="00D3445F"/>
    <w:rsid w:val="00D358E5"/>
    <w:rsid w:val="00D35C33"/>
    <w:rsid w:val="00D364AD"/>
    <w:rsid w:val="00D366EB"/>
    <w:rsid w:val="00D37459"/>
    <w:rsid w:val="00D42809"/>
    <w:rsid w:val="00D43A75"/>
    <w:rsid w:val="00D44F7D"/>
    <w:rsid w:val="00D46507"/>
    <w:rsid w:val="00D466C4"/>
    <w:rsid w:val="00D46F18"/>
    <w:rsid w:val="00D4706F"/>
    <w:rsid w:val="00D47FC3"/>
    <w:rsid w:val="00D51312"/>
    <w:rsid w:val="00D52781"/>
    <w:rsid w:val="00D5280A"/>
    <w:rsid w:val="00D5337D"/>
    <w:rsid w:val="00D536DE"/>
    <w:rsid w:val="00D53B31"/>
    <w:rsid w:val="00D548F8"/>
    <w:rsid w:val="00D54F69"/>
    <w:rsid w:val="00D56CA1"/>
    <w:rsid w:val="00D56FFF"/>
    <w:rsid w:val="00D572FB"/>
    <w:rsid w:val="00D57F9D"/>
    <w:rsid w:val="00D62FEF"/>
    <w:rsid w:val="00D634F6"/>
    <w:rsid w:val="00D64E50"/>
    <w:rsid w:val="00D65241"/>
    <w:rsid w:val="00D65B6A"/>
    <w:rsid w:val="00D65DC8"/>
    <w:rsid w:val="00D65EFC"/>
    <w:rsid w:val="00D66587"/>
    <w:rsid w:val="00D67AE9"/>
    <w:rsid w:val="00D67E32"/>
    <w:rsid w:val="00D70AC8"/>
    <w:rsid w:val="00D70E00"/>
    <w:rsid w:val="00D71580"/>
    <w:rsid w:val="00D716BB"/>
    <w:rsid w:val="00D7238F"/>
    <w:rsid w:val="00D7240A"/>
    <w:rsid w:val="00D72C9C"/>
    <w:rsid w:val="00D73DF1"/>
    <w:rsid w:val="00D743E2"/>
    <w:rsid w:val="00D75ABB"/>
    <w:rsid w:val="00D75DD0"/>
    <w:rsid w:val="00D76F5F"/>
    <w:rsid w:val="00D821E0"/>
    <w:rsid w:val="00D823DF"/>
    <w:rsid w:val="00D82535"/>
    <w:rsid w:val="00D84775"/>
    <w:rsid w:val="00D859E3"/>
    <w:rsid w:val="00D92BD6"/>
    <w:rsid w:val="00D92E9A"/>
    <w:rsid w:val="00D933EB"/>
    <w:rsid w:val="00D94FA9"/>
    <w:rsid w:val="00D951DB"/>
    <w:rsid w:val="00D96DC3"/>
    <w:rsid w:val="00D97116"/>
    <w:rsid w:val="00D9729E"/>
    <w:rsid w:val="00D972E0"/>
    <w:rsid w:val="00D9758F"/>
    <w:rsid w:val="00D976E0"/>
    <w:rsid w:val="00D979DA"/>
    <w:rsid w:val="00DA0685"/>
    <w:rsid w:val="00DA126B"/>
    <w:rsid w:val="00DA1745"/>
    <w:rsid w:val="00DA1F77"/>
    <w:rsid w:val="00DA2C9B"/>
    <w:rsid w:val="00DA2E12"/>
    <w:rsid w:val="00DA3313"/>
    <w:rsid w:val="00DA3FFC"/>
    <w:rsid w:val="00DA47B5"/>
    <w:rsid w:val="00DA4878"/>
    <w:rsid w:val="00DA53D1"/>
    <w:rsid w:val="00DA5AEF"/>
    <w:rsid w:val="00DA5F21"/>
    <w:rsid w:val="00DA6210"/>
    <w:rsid w:val="00DA7608"/>
    <w:rsid w:val="00DB0FA4"/>
    <w:rsid w:val="00DB11C4"/>
    <w:rsid w:val="00DB385D"/>
    <w:rsid w:val="00DB38EB"/>
    <w:rsid w:val="00DB3F22"/>
    <w:rsid w:val="00DB511B"/>
    <w:rsid w:val="00DB5CE4"/>
    <w:rsid w:val="00DB5D95"/>
    <w:rsid w:val="00DB6208"/>
    <w:rsid w:val="00DC2746"/>
    <w:rsid w:val="00DC2CA0"/>
    <w:rsid w:val="00DC4140"/>
    <w:rsid w:val="00DC6957"/>
    <w:rsid w:val="00DC6C93"/>
    <w:rsid w:val="00DD0FDF"/>
    <w:rsid w:val="00DD1DCB"/>
    <w:rsid w:val="00DD2A6D"/>
    <w:rsid w:val="00DD4B9F"/>
    <w:rsid w:val="00DD5527"/>
    <w:rsid w:val="00DD57FC"/>
    <w:rsid w:val="00DD6717"/>
    <w:rsid w:val="00DD7CD6"/>
    <w:rsid w:val="00DE0918"/>
    <w:rsid w:val="00DE0DF3"/>
    <w:rsid w:val="00DE17A5"/>
    <w:rsid w:val="00DE2334"/>
    <w:rsid w:val="00DE42D7"/>
    <w:rsid w:val="00DE4354"/>
    <w:rsid w:val="00DE44B5"/>
    <w:rsid w:val="00DE46F3"/>
    <w:rsid w:val="00DE552A"/>
    <w:rsid w:val="00DE5A8A"/>
    <w:rsid w:val="00DE6BBB"/>
    <w:rsid w:val="00DE7AB3"/>
    <w:rsid w:val="00DF0286"/>
    <w:rsid w:val="00DF09B9"/>
    <w:rsid w:val="00DF1740"/>
    <w:rsid w:val="00DF1858"/>
    <w:rsid w:val="00DF3580"/>
    <w:rsid w:val="00DF37DA"/>
    <w:rsid w:val="00DF3E6E"/>
    <w:rsid w:val="00DF3E8F"/>
    <w:rsid w:val="00DF712E"/>
    <w:rsid w:val="00E02A77"/>
    <w:rsid w:val="00E02BE9"/>
    <w:rsid w:val="00E04CBC"/>
    <w:rsid w:val="00E04CFC"/>
    <w:rsid w:val="00E04FED"/>
    <w:rsid w:val="00E059D6"/>
    <w:rsid w:val="00E05BC3"/>
    <w:rsid w:val="00E06A7E"/>
    <w:rsid w:val="00E07222"/>
    <w:rsid w:val="00E1069C"/>
    <w:rsid w:val="00E11CFD"/>
    <w:rsid w:val="00E1243D"/>
    <w:rsid w:val="00E1282D"/>
    <w:rsid w:val="00E133FE"/>
    <w:rsid w:val="00E13622"/>
    <w:rsid w:val="00E136CA"/>
    <w:rsid w:val="00E13724"/>
    <w:rsid w:val="00E13B99"/>
    <w:rsid w:val="00E140F3"/>
    <w:rsid w:val="00E14673"/>
    <w:rsid w:val="00E148B8"/>
    <w:rsid w:val="00E14BA4"/>
    <w:rsid w:val="00E1510B"/>
    <w:rsid w:val="00E15149"/>
    <w:rsid w:val="00E1536E"/>
    <w:rsid w:val="00E153B2"/>
    <w:rsid w:val="00E15CF1"/>
    <w:rsid w:val="00E16288"/>
    <w:rsid w:val="00E16BE2"/>
    <w:rsid w:val="00E17E27"/>
    <w:rsid w:val="00E215E1"/>
    <w:rsid w:val="00E219F2"/>
    <w:rsid w:val="00E21DAF"/>
    <w:rsid w:val="00E22E08"/>
    <w:rsid w:val="00E23927"/>
    <w:rsid w:val="00E23A41"/>
    <w:rsid w:val="00E23C7E"/>
    <w:rsid w:val="00E24067"/>
    <w:rsid w:val="00E25025"/>
    <w:rsid w:val="00E26AA3"/>
    <w:rsid w:val="00E27244"/>
    <w:rsid w:val="00E27538"/>
    <w:rsid w:val="00E27649"/>
    <w:rsid w:val="00E302DB"/>
    <w:rsid w:val="00E3086D"/>
    <w:rsid w:val="00E30976"/>
    <w:rsid w:val="00E309F2"/>
    <w:rsid w:val="00E30FA9"/>
    <w:rsid w:val="00E31F2B"/>
    <w:rsid w:val="00E332C1"/>
    <w:rsid w:val="00E33EA8"/>
    <w:rsid w:val="00E344A6"/>
    <w:rsid w:val="00E344E1"/>
    <w:rsid w:val="00E3678D"/>
    <w:rsid w:val="00E377A8"/>
    <w:rsid w:val="00E379E0"/>
    <w:rsid w:val="00E4031D"/>
    <w:rsid w:val="00E41D21"/>
    <w:rsid w:val="00E421AE"/>
    <w:rsid w:val="00E42DB8"/>
    <w:rsid w:val="00E4325A"/>
    <w:rsid w:val="00E44820"/>
    <w:rsid w:val="00E44DEC"/>
    <w:rsid w:val="00E456B8"/>
    <w:rsid w:val="00E45A3A"/>
    <w:rsid w:val="00E45AFA"/>
    <w:rsid w:val="00E46735"/>
    <w:rsid w:val="00E46783"/>
    <w:rsid w:val="00E47779"/>
    <w:rsid w:val="00E500FF"/>
    <w:rsid w:val="00E50862"/>
    <w:rsid w:val="00E5174F"/>
    <w:rsid w:val="00E51E51"/>
    <w:rsid w:val="00E530F2"/>
    <w:rsid w:val="00E53DCA"/>
    <w:rsid w:val="00E5576E"/>
    <w:rsid w:val="00E563B0"/>
    <w:rsid w:val="00E56B4D"/>
    <w:rsid w:val="00E56C09"/>
    <w:rsid w:val="00E57C3C"/>
    <w:rsid w:val="00E6175D"/>
    <w:rsid w:val="00E627B9"/>
    <w:rsid w:val="00E62C03"/>
    <w:rsid w:val="00E63667"/>
    <w:rsid w:val="00E637D6"/>
    <w:rsid w:val="00E63B2C"/>
    <w:rsid w:val="00E63B3D"/>
    <w:rsid w:val="00E64B4B"/>
    <w:rsid w:val="00E653E3"/>
    <w:rsid w:val="00E653F2"/>
    <w:rsid w:val="00E65752"/>
    <w:rsid w:val="00E6597B"/>
    <w:rsid w:val="00E659D3"/>
    <w:rsid w:val="00E665EC"/>
    <w:rsid w:val="00E67A70"/>
    <w:rsid w:val="00E70C96"/>
    <w:rsid w:val="00E7147B"/>
    <w:rsid w:val="00E71662"/>
    <w:rsid w:val="00E71DC8"/>
    <w:rsid w:val="00E738F3"/>
    <w:rsid w:val="00E739CF"/>
    <w:rsid w:val="00E73DD9"/>
    <w:rsid w:val="00E7451C"/>
    <w:rsid w:val="00E74EA0"/>
    <w:rsid w:val="00E74F9E"/>
    <w:rsid w:val="00E76550"/>
    <w:rsid w:val="00E77411"/>
    <w:rsid w:val="00E8015C"/>
    <w:rsid w:val="00E8027C"/>
    <w:rsid w:val="00E80D5B"/>
    <w:rsid w:val="00E80F1E"/>
    <w:rsid w:val="00E82E79"/>
    <w:rsid w:val="00E833DB"/>
    <w:rsid w:val="00E83CC6"/>
    <w:rsid w:val="00E84A30"/>
    <w:rsid w:val="00E85EDE"/>
    <w:rsid w:val="00E86F63"/>
    <w:rsid w:val="00E870FD"/>
    <w:rsid w:val="00E8794E"/>
    <w:rsid w:val="00E90401"/>
    <w:rsid w:val="00E907CE"/>
    <w:rsid w:val="00E90A0A"/>
    <w:rsid w:val="00E90C50"/>
    <w:rsid w:val="00E90F2E"/>
    <w:rsid w:val="00E91048"/>
    <w:rsid w:val="00E91396"/>
    <w:rsid w:val="00E913B1"/>
    <w:rsid w:val="00E9217A"/>
    <w:rsid w:val="00E9279C"/>
    <w:rsid w:val="00E929D7"/>
    <w:rsid w:val="00E93436"/>
    <w:rsid w:val="00E9349B"/>
    <w:rsid w:val="00E934FF"/>
    <w:rsid w:val="00E94C0D"/>
    <w:rsid w:val="00E94EFD"/>
    <w:rsid w:val="00E95159"/>
    <w:rsid w:val="00E958DF"/>
    <w:rsid w:val="00E966DA"/>
    <w:rsid w:val="00E9751E"/>
    <w:rsid w:val="00EA0137"/>
    <w:rsid w:val="00EA0206"/>
    <w:rsid w:val="00EA03C8"/>
    <w:rsid w:val="00EA09CC"/>
    <w:rsid w:val="00EA0B68"/>
    <w:rsid w:val="00EA102C"/>
    <w:rsid w:val="00EA1732"/>
    <w:rsid w:val="00EA274F"/>
    <w:rsid w:val="00EA2DCA"/>
    <w:rsid w:val="00EA368A"/>
    <w:rsid w:val="00EA436D"/>
    <w:rsid w:val="00EA4950"/>
    <w:rsid w:val="00EA5892"/>
    <w:rsid w:val="00EA70BE"/>
    <w:rsid w:val="00EA794E"/>
    <w:rsid w:val="00EB0BAB"/>
    <w:rsid w:val="00EB0BD6"/>
    <w:rsid w:val="00EB1079"/>
    <w:rsid w:val="00EB2304"/>
    <w:rsid w:val="00EB25A8"/>
    <w:rsid w:val="00EB2D40"/>
    <w:rsid w:val="00EB38D9"/>
    <w:rsid w:val="00EB4056"/>
    <w:rsid w:val="00EB5485"/>
    <w:rsid w:val="00EB5596"/>
    <w:rsid w:val="00EB56E0"/>
    <w:rsid w:val="00EB59D5"/>
    <w:rsid w:val="00EB7062"/>
    <w:rsid w:val="00EB7130"/>
    <w:rsid w:val="00EB79E6"/>
    <w:rsid w:val="00EC1310"/>
    <w:rsid w:val="00EC1B25"/>
    <w:rsid w:val="00EC24E8"/>
    <w:rsid w:val="00EC2DD3"/>
    <w:rsid w:val="00EC362D"/>
    <w:rsid w:val="00EC3C16"/>
    <w:rsid w:val="00EC3D55"/>
    <w:rsid w:val="00EC5181"/>
    <w:rsid w:val="00EC618F"/>
    <w:rsid w:val="00EC62AA"/>
    <w:rsid w:val="00EC681E"/>
    <w:rsid w:val="00EC6AED"/>
    <w:rsid w:val="00EC6EB5"/>
    <w:rsid w:val="00EC7572"/>
    <w:rsid w:val="00EC7C99"/>
    <w:rsid w:val="00EC7D2D"/>
    <w:rsid w:val="00EC7F9B"/>
    <w:rsid w:val="00ED0DC1"/>
    <w:rsid w:val="00ED10DA"/>
    <w:rsid w:val="00ED1833"/>
    <w:rsid w:val="00ED1DA6"/>
    <w:rsid w:val="00ED281B"/>
    <w:rsid w:val="00ED2B20"/>
    <w:rsid w:val="00ED2B2E"/>
    <w:rsid w:val="00ED5F07"/>
    <w:rsid w:val="00ED6C78"/>
    <w:rsid w:val="00ED77FE"/>
    <w:rsid w:val="00ED7C54"/>
    <w:rsid w:val="00EE15D4"/>
    <w:rsid w:val="00EE227F"/>
    <w:rsid w:val="00EE22EB"/>
    <w:rsid w:val="00EE2CDF"/>
    <w:rsid w:val="00EE585E"/>
    <w:rsid w:val="00EE6A21"/>
    <w:rsid w:val="00EF0C5E"/>
    <w:rsid w:val="00EF214F"/>
    <w:rsid w:val="00EF2AE0"/>
    <w:rsid w:val="00EF3660"/>
    <w:rsid w:val="00EF4F58"/>
    <w:rsid w:val="00EF73AA"/>
    <w:rsid w:val="00EF7B00"/>
    <w:rsid w:val="00F007D3"/>
    <w:rsid w:val="00F00C52"/>
    <w:rsid w:val="00F0162D"/>
    <w:rsid w:val="00F02093"/>
    <w:rsid w:val="00F022ED"/>
    <w:rsid w:val="00F02324"/>
    <w:rsid w:val="00F027A3"/>
    <w:rsid w:val="00F02CA7"/>
    <w:rsid w:val="00F03B03"/>
    <w:rsid w:val="00F04657"/>
    <w:rsid w:val="00F05915"/>
    <w:rsid w:val="00F059FC"/>
    <w:rsid w:val="00F06D01"/>
    <w:rsid w:val="00F073FA"/>
    <w:rsid w:val="00F077A7"/>
    <w:rsid w:val="00F1037B"/>
    <w:rsid w:val="00F10BF4"/>
    <w:rsid w:val="00F10C76"/>
    <w:rsid w:val="00F10CA4"/>
    <w:rsid w:val="00F10DA4"/>
    <w:rsid w:val="00F10ED2"/>
    <w:rsid w:val="00F1127B"/>
    <w:rsid w:val="00F12CD8"/>
    <w:rsid w:val="00F12FA5"/>
    <w:rsid w:val="00F147C7"/>
    <w:rsid w:val="00F1500C"/>
    <w:rsid w:val="00F151A7"/>
    <w:rsid w:val="00F15A4D"/>
    <w:rsid w:val="00F15B4D"/>
    <w:rsid w:val="00F164DB"/>
    <w:rsid w:val="00F16C00"/>
    <w:rsid w:val="00F20613"/>
    <w:rsid w:val="00F207A7"/>
    <w:rsid w:val="00F20867"/>
    <w:rsid w:val="00F2159F"/>
    <w:rsid w:val="00F21863"/>
    <w:rsid w:val="00F21953"/>
    <w:rsid w:val="00F21C32"/>
    <w:rsid w:val="00F21C5C"/>
    <w:rsid w:val="00F21F60"/>
    <w:rsid w:val="00F21F90"/>
    <w:rsid w:val="00F225E5"/>
    <w:rsid w:val="00F22B25"/>
    <w:rsid w:val="00F23149"/>
    <w:rsid w:val="00F23309"/>
    <w:rsid w:val="00F2339A"/>
    <w:rsid w:val="00F2479D"/>
    <w:rsid w:val="00F247AA"/>
    <w:rsid w:val="00F24ADE"/>
    <w:rsid w:val="00F24F07"/>
    <w:rsid w:val="00F25006"/>
    <w:rsid w:val="00F252F0"/>
    <w:rsid w:val="00F2626F"/>
    <w:rsid w:val="00F26676"/>
    <w:rsid w:val="00F2732B"/>
    <w:rsid w:val="00F27DAA"/>
    <w:rsid w:val="00F302A1"/>
    <w:rsid w:val="00F31932"/>
    <w:rsid w:val="00F32020"/>
    <w:rsid w:val="00F32532"/>
    <w:rsid w:val="00F33214"/>
    <w:rsid w:val="00F332A9"/>
    <w:rsid w:val="00F355C6"/>
    <w:rsid w:val="00F36FEE"/>
    <w:rsid w:val="00F37CE0"/>
    <w:rsid w:val="00F40292"/>
    <w:rsid w:val="00F40B65"/>
    <w:rsid w:val="00F42251"/>
    <w:rsid w:val="00F42378"/>
    <w:rsid w:val="00F425FD"/>
    <w:rsid w:val="00F4321B"/>
    <w:rsid w:val="00F457A8"/>
    <w:rsid w:val="00F45B9C"/>
    <w:rsid w:val="00F460CF"/>
    <w:rsid w:val="00F478EE"/>
    <w:rsid w:val="00F50030"/>
    <w:rsid w:val="00F502A4"/>
    <w:rsid w:val="00F5056D"/>
    <w:rsid w:val="00F505C5"/>
    <w:rsid w:val="00F519BA"/>
    <w:rsid w:val="00F52071"/>
    <w:rsid w:val="00F52647"/>
    <w:rsid w:val="00F52C86"/>
    <w:rsid w:val="00F52FD6"/>
    <w:rsid w:val="00F5417E"/>
    <w:rsid w:val="00F5445B"/>
    <w:rsid w:val="00F54B01"/>
    <w:rsid w:val="00F563F1"/>
    <w:rsid w:val="00F6223B"/>
    <w:rsid w:val="00F63927"/>
    <w:rsid w:val="00F64ED8"/>
    <w:rsid w:val="00F6606A"/>
    <w:rsid w:val="00F66603"/>
    <w:rsid w:val="00F6698C"/>
    <w:rsid w:val="00F67058"/>
    <w:rsid w:val="00F673AD"/>
    <w:rsid w:val="00F677C2"/>
    <w:rsid w:val="00F69AB9"/>
    <w:rsid w:val="00F7252F"/>
    <w:rsid w:val="00F72993"/>
    <w:rsid w:val="00F73A28"/>
    <w:rsid w:val="00F74DAC"/>
    <w:rsid w:val="00F7533D"/>
    <w:rsid w:val="00F75B67"/>
    <w:rsid w:val="00F76A0A"/>
    <w:rsid w:val="00F778C6"/>
    <w:rsid w:val="00F77CEA"/>
    <w:rsid w:val="00F809B3"/>
    <w:rsid w:val="00F80DA4"/>
    <w:rsid w:val="00F8168B"/>
    <w:rsid w:val="00F81969"/>
    <w:rsid w:val="00F81BB1"/>
    <w:rsid w:val="00F82C86"/>
    <w:rsid w:val="00F856E8"/>
    <w:rsid w:val="00F8577C"/>
    <w:rsid w:val="00F859E7"/>
    <w:rsid w:val="00F86B5F"/>
    <w:rsid w:val="00F913E4"/>
    <w:rsid w:val="00F91581"/>
    <w:rsid w:val="00F916CA"/>
    <w:rsid w:val="00F91FDB"/>
    <w:rsid w:val="00F921F3"/>
    <w:rsid w:val="00F92531"/>
    <w:rsid w:val="00F93BF8"/>
    <w:rsid w:val="00F9421E"/>
    <w:rsid w:val="00F9497D"/>
    <w:rsid w:val="00F94B6B"/>
    <w:rsid w:val="00F97475"/>
    <w:rsid w:val="00F97A80"/>
    <w:rsid w:val="00FA03E0"/>
    <w:rsid w:val="00FA1FF5"/>
    <w:rsid w:val="00FA371E"/>
    <w:rsid w:val="00FA3C31"/>
    <w:rsid w:val="00FA64DB"/>
    <w:rsid w:val="00FA6648"/>
    <w:rsid w:val="00FA66FA"/>
    <w:rsid w:val="00FA6C30"/>
    <w:rsid w:val="00FA7C3C"/>
    <w:rsid w:val="00FB1EDC"/>
    <w:rsid w:val="00FB2396"/>
    <w:rsid w:val="00FB2C19"/>
    <w:rsid w:val="00FB2CCE"/>
    <w:rsid w:val="00FB2E95"/>
    <w:rsid w:val="00FB327D"/>
    <w:rsid w:val="00FB37BE"/>
    <w:rsid w:val="00FB3BD4"/>
    <w:rsid w:val="00FB406A"/>
    <w:rsid w:val="00FB4D4B"/>
    <w:rsid w:val="00FB506E"/>
    <w:rsid w:val="00FB5338"/>
    <w:rsid w:val="00FB54A0"/>
    <w:rsid w:val="00FB607A"/>
    <w:rsid w:val="00FB73D7"/>
    <w:rsid w:val="00FB7C39"/>
    <w:rsid w:val="00FB7FDD"/>
    <w:rsid w:val="00FC108A"/>
    <w:rsid w:val="00FC35AD"/>
    <w:rsid w:val="00FC450C"/>
    <w:rsid w:val="00FC50DF"/>
    <w:rsid w:val="00FC50ED"/>
    <w:rsid w:val="00FC5204"/>
    <w:rsid w:val="00FC5765"/>
    <w:rsid w:val="00FC5C60"/>
    <w:rsid w:val="00FC6867"/>
    <w:rsid w:val="00FC7F2B"/>
    <w:rsid w:val="00FC7FFD"/>
    <w:rsid w:val="00FD09E4"/>
    <w:rsid w:val="00FD1135"/>
    <w:rsid w:val="00FD1967"/>
    <w:rsid w:val="00FD28CF"/>
    <w:rsid w:val="00FD2963"/>
    <w:rsid w:val="00FD3656"/>
    <w:rsid w:val="00FD3AF6"/>
    <w:rsid w:val="00FD4BE8"/>
    <w:rsid w:val="00FD542D"/>
    <w:rsid w:val="00FD688C"/>
    <w:rsid w:val="00FD6C10"/>
    <w:rsid w:val="00FD6EC6"/>
    <w:rsid w:val="00FD6FDB"/>
    <w:rsid w:val="00FD6FF1"/>
    <w:rsid w:val="00FE0A94"/>
    <w:rsid w:val="00FE1364"/>
    <w:rsid w:val="00FE2E28"/>
    <w:rsid w:val="00FE4645"/>
    <w:rsid w:val="00FE5829"/>
    <w:rsid w:val="00FE5E2D"/>
    <w:rsid w:val="00FE5F65"/>
    <w:rsid w:val="00FE63F5"/>
    <w:rsid w:val="00FE6B09"/>
    <w:rsid w:val="00FE70C6"/>
    <w:rsid w:val="00FE722C"/>
    <w:rsid w:val="00FE7677"/>
    <w:rsid w:val="00FE7E77"/>
    <w:rsid w:val="00FF0672"/>
    <w:rsid w:val="00FF076C"/>
    <w:rsid w:val="00FF1760"/>
    <w:rsid w:val="00FF2E6A"/>
    <w:rsid w:val="00FF3763"/>
    <w:rsid w:val="00FF3D99"/>
    <w:rsid w:val="00FF4522"/>
    <w:rsid w:val="00FF6E25"/>
    <w:rsid w:val="00FF71F7"/>
    <w:rsid w:val="00FF781E"/>
    <w:rsid w:val="00FF7B10"/>
    <w:rsid w:val="010A20AE"/>
    <w:rsid w:val="01D0AF0B"/>
    <w:rsid w:val="01D4AE3E"/>
    <w:rsid w:val="01FADFF1"/>
    <w:rsid w:val="031C32E2"/>
    <w:rsid w:val="03A2A625"/>
    <w:rsid w:val="03E79D14"/>
    <w:rsid w:val="0469D03D"/>
    <w:rsid w:val="057D0C88"/>
    <w:rsid w:val="0614C591"/>
    <w:rsid w:val="0614E337"/>
    <w:rsid w:val="0651AF16"/>
    <w:rsid w:val="06E640E5"/>
    <w:rsid w:val="074D8EE5"/>
    <w:rsid w:val="075A9C6F"/>
    <w:rsid w:val="07727C99"/>
    <w:rsid w:val="07A57737"/>
    <w:rsid w:val="07D79E33"/>
    <w:rsid w:val="07DF04A7"/>
    <w:rsid w:val="0800560B"/>
    <w:rsid w:val="0812D805"/>
    <w:rsid w:val="0874B53B"/>
    <w:rsid w:val="08FFA320"/>
    <w:rsid w:val="091C913E"/>
    <w:rsid w:val="096B9B41"/>
    <w:rsid w:val="0A18736E"/>
    <w:rsid w:val="0A39DFC4"/>
    <w:rsid w:val="0A40AB93"/>
    <w:rsid w:val="0A65EE60"/>
    <w:rsid w:val="0A6BEDF2"/>
    <w:rsid w:val="0A6E120E"/>
    <w:rsid w:val="0B3DCD4F"/>
    <w:rsid w:val="0B9559F6"/>
    <w:rsid w:val="0C47BAAC"/>
    <w:rsid w:val="0CE97EEE"/>
    <w:rsid w:val="0D49669F"/>
    <w:rsid w:val="0D4AEA2C"/>
    <w:rsid w:val="0D6F30DA"/>
    <w:rsid w:val="0DA342EB"/>
    <w:rsid w:val="0E02D704"/>
    <w:rsid w:val="103541D2"/>
    <w:rsid w:val="1078DB4B"/>
    <w:rsid w:val="10B81A71"/>
    <w:rsid w:val="1117FBC4"/>
    <w:rsid w:val="111E3E66"/>
    <w:rsid w:val="1124C4E1"/>
    <w:rsid w:val="113A77C6"/>
    <w:rsid w:val="11B2E46F"/>
    <w:rsid w:val="1215125C"/>
    <w:rsid w:val="1251D148"/>
    <w:rsid w:val="12C50D50"/>
    <w:rsid w:val="13455FB5"/>
    <w:rsid w:val="13B81459"/>
    <w:rsid w:val="143807EA"/>
    <w:rsid w:val="14D6F47D"/>
    <w:rsid w:val="14FDB963"/>
    <w:rsid w:val="1595D60E"/>
    <w:rsid w:val="16AA12FC"/>
    <w:rsid w:val="16BDE3DD"/>
    <w:rsid w:val="16F4B22B"/>
    <w:rsid w:val="16F7D721"/>
    <w:rsid w:val="172AB5E5"/>
    <w:rsid w:val="17818598"/>
    <w:rsid w:val="17987E73"/>
    <w:rsid w:val="17A6466D"/>
    <w:rsid w:val="17FAF821"/>
    <w:rsid w:val="18144AEA"/>
    <w:rsid w:val="18B1B0B0"/>
    <w:rsid w:val="18C1261A"/>
    <w:rsid w:val="18F5AB80"/>
    <w:rsid w:val="1918663A"/>
    <w:rsid w:val="19358F24"/>
    <w:rsid w:val="19D4CF05"/>
    <w:rsid w:val="19D64403"/>
    <w:rsid w:val="19F0F887"/>
    <w:rsid w:val="1A4F525D"/>
    <w:rsid w:val="1A653A74"/>
    <w:rsid w:val="1AB78D0C"/>
    <w:rsid w:val="1ABFC3D2"/>
    <w:rsid w:val="1AD01F35"/>
    <w:rsid w:val="1AFC7FE6"/>
    <w:rsid w:val="1AFDDF11"/>
    <w:rsid w:val="1B915500"/>
    <w:rsid w:val="1C2CB4CA"/>
    <w:rsid w:val="1C534338"/>
    <w:rsid w:val="1C60BA0F"/>
    <w:rsid w:val="1C6BEF96"/>
    <w:rsid w:val="1D2E40E0"/>
    <w:rsid w:val="1D8554A4"/>
    <w:rsid w:val="1E7C6D89"/>
    <w:rsid w:val="1E871D06"/>
    <w:rsid w:val="1EBD443D"/>
    <w:rsid w:val="1ED10296"/>
    <w:rsid w:val="1F1EC725"/>
    <w:rsid w:val="1F40DAAD"/>
    <w:rsid w:val="1F6F6855"/>
    <w:rsid w:val="1F7698B3"/>
    <w:rsid w:val="20754EE7"/>
    <w:rsid w:val="211E98FB"/>
    <w:rsid w:val="21588916"/>
    <w:rsid w:val="2169AE1C"/>
    <w:rsid w:val="21E1DA72"/>
    <w:rsid w:val="21E62F02"/>
    <w:rsid w:val="223323AC"/>
    <w:rsid w:val="23176BDC"/>
    <w:rsid w:val="23A83A5A"/>
    <w:rsid w:val="23E630CD"/>
    <w:rsid w:val="24153906"/>
    <w:rsid w:val="242FA753"/>
    <w:rsid w:val="2477017B"/>
    <w:rsid w:val="24A2912B"/>
    <w:rsid w:val="24DDFCCA"/>
    <w:rsid w:val="24F68EA4"/>
    <w:rsid w:val="2543503E"/>
    <w:rsid w:val="25851218"/>
    <w:rsid w:val="26C779A3"/>
    <w:rsid w:val="271F8989"/>
    <w:rsid w:val="27959924"/>
    <w:rsid w:val="27BBE644"/>
    <w:rsid w:val="280F3292"/>
    <w:rsid w:val="28795D69"/>
    <w:rsid w:val="28B09377"/>
    <w:rsid w:val="28BD3B78"/>
    <w:rsid w:val="28D749E4"/>
    <w:rsid w:val="28F67E4C"/>
    <w:rsid w:val="292812A1"/>
    <w:rsid w:val="293D3D8F"/>
    <w:rsid w:val="29640FAE"/>
    <w:rsid w:val="29A108B5"/>
    <w:rsid w:val="29ABDD9A"/>
    <w:rsid w:val="2A07E263"/>
    <w:rsid w:val="2A1F48E9"/>
    <w:rsid w:val="2A2FA9B4"/>
    <w:rsid w:val="2A468602"/>
    <w:rsid w:val="2A4C5485"/>
    <w:rsid w:val="2A9FA4EC"/>
    <w:rsid w:val="2AADF89F"/>
    <w:rsid w:val="2B9DDADF"/>
    <w:rsid w:val="2C0764C9"/>
    <w:rsid w:val="2C1E88BA"/>
    <w:rsid w:val="2C3A0FC7"/>
    <w:rsid w:val="2C3D1639"/>
    <w:rsid w:val="2CAC1631"/>
    <w:rsid w:val="2CB411A1"/>
    <w:rsid w:val="2CC74DDA"/>
    <w:rsid w:val="2E246A2D"/>
    <w:rsid w:val="2E7B56B9"/>
    <w:rsid w:val="2E83ABE4"/>
    <w:rsid w:val="2EDE0FD2"/>
    <w:rsid w:val="2F0AE81E"/>
    <w:rsid w:val="2F1BFE47"/>
    <w:rsid w:val="2FDE8CEF"/>
    <w:rsid w:val="302A016F"/>
    <w:rsid w:val="3038DE7B"/>
    <w:rsid w:val="30DCC304"/>
    <w:rsid w:val="31063DD0"/>
    <w:rsid w:val="31B53BAA"/>
    <w:rsid w:val="32CC8E5D"/>
    <w:rsid w:val="32D3DA3E"/>
    <w:rsid w:val="334A1B9F"/>
    <w:rsid w:val="33799B9E"/>
    <w:rsid w:val="338757D9"/>
    <w:rsid w:val="33AD898C"/>
    <w:rsid w:val="340F0335"/>
    <w:rsid w:val="343ADEA5"/>
    <w:rsid w:val="346A11CB"/>
    <w:rsid w:val="34DE871D"/>
    <w:rsid w:val="35144000"/>
    <w:rsid w:val="35236E55"/>
    <w:rsid w:val="3585756B"/>
    <w:rsid w:val="35A999BC"/>
    <w:rsid w:val="35B2F7D4"/>
    <w:rsid w:val="36165928"/>
    <w:rsid w:val="3672A454"/>
    <w:rsid w:val="373652E0"/>
    <w:rsid w:val="374FD6E5"/>
    <w:rsid w:val="375ED7DD"/>
    <w:rsid w:val="37741D93"/>
    <w:rsid w:val="37753085"/>
    <w:rsid w:val="3904D96F"/>
    <w:rsid w:val="39DB5476"/>
    <w:rsid w:val="3A00EB6B"/>
    <w:rsid w:val="3A33CFD6"/>
    <w:rsid w:val="3A3B30FE"/>
    <w:rsid w:val="3AD68460"/>
    <w:rsid w:val="3AF0FFF6"/>
    <w:rsid w:val="3B47645E"/>
    <w:rsid w:val="3BE63E9F"/>
    <w:rsid w:val="3BE7520F"/>
    <w:rsid w:val="3BEEF573"/>
    <w:rsid w:val="3C03C6B7"/>
    <w:rsid w:val="3C106EF1"/>
    <w:rsid w:val="3C2B358E"/>
    <w:rsid w:val="3CF0C717"/>
    <w:rsid w:val="3D364228"/>
    <w:rsid w:val="3D912694"/>
    <w:rsid w:val="3DC8373B"/>
    <w:rsid w:val="3DCD73CF"/>
    <w:rsid w:val="3E668F5A"/>
    <w:rsid w:val="3EB401E8"/>
    <w:rsid w:val="3EE00BAF"/>
    <w:rsid w:val="3EFD93C7"/>
    <w:rsid w:val="3F1D47E9"/>
    <w:rsid w:val="3FB35037"/>
    <w:rsid w:val="40646A20"/>
    <w:rsid w:val="40CEE6A8"/>
    <w:rsid w:val="40EA82DF"/>
    <w:rsid w:val="415C0198"/>
    <w:rsid w:val="415C45CA"/>
    <w:rsid w:val="41E0308D"/>
    <w:rsid w:val="420F5A44"/>
    <w:rsid w:val="42B8AC1C"/>
    <w:rsid w:val="42CC9E98"/>
    <w:rsid w:val="42ED113A"/>
    <w:rsid w:val="43BEEF1A"/>
    <w:rsid w:val="43C97D06"/>
    <w:rsid w:val="4428E3B3"/>
    <w:rsid w:val="4449158F"/>
    <w:rsid w:val="44803595"/>
    <w:rsid w:val="44B1B328"/>
    <w:rsid w:val="45305526"/>
    <w:rsid w:val="45F955EA"/>
    <w:rsid w:val="4604B885"/>
    <w:rsid w:val="461C42E9"/>
    <w:rsid w:val="46CB04CB"/>
    <w:rsid w:val="46D2AEF6"/>
    <w:rsid w:val="46FF529A"/>
    <w:rsid w:val="4708792F"/>
    <w:rsid w:val="477A02A5"/>
    <w:rsid w:val="477D593E"/>
    <w:rsid w:val="4791FC12"/>
    <w:rsid w:val="47BE6E1C"/>
    <w:rsid w:val="481BE9F0"/>
    <w:rsid w:val="4870CFB7"/>
    <w:rsid w:val="48E74544"/>
    <w:rsid w:val="4987266C"/>
    <w:rsid w:val="4A1A148F"/>
    <w:rsid w:val="4A538FB4"/>
    <w:rsid w:val="4A5D8762"/>
    <w:rsid w:val="4A73CFB5"/>
    <w:rsid w:val="4B2807B0"/>
    <w:rsid w:val="4B908C8C"/>
    <w:rsid w:val="4C0036BE"/>
    <w:rsid w:val="4C5FFB88"/>
    <w:rsid w:val="4C7AC722"/>
    <w:rsid w:val="4C8BE546"/>
    <w:rsid w:val="4CA00A73"/>
    <w:rsid w:val="4D0BF81D"/>
    <w:rsid w:val="4D349C6E"/>
    <w:rsid w:val="4D56672C"/>
    <w:rsid w:val="4DC04B5B"/>
    <w:rsid w:val="4DE1D1ED"/>
    <w:rsid w:val="4DE9B5CB"/>
    <w:rsid w:val="4E6E5F71"/>
    <w:rsid w:val="4F1C4DA1"/>
    <w:rsid w:val="4F24C5EB"/>
    <w:rsid w:val="4F2AE7B0"/>
    <w:rsid w:val="4F57B261"/>
    <w:rsid w:val="4FA0E886"/>
    <w:rsid w:val="4FF1DEF7"/>
    <w:rsid w:val="4FFE2C38"/>
    <w:rsid w:val="50106429"/>
    <w:rsid w:val="5082E5C4"/>
    <w:rsid w:val="50F78DB5"/>
    <w:rsid w:val="51A9B108"/>
    <w:rsid w:val="52398604"/>
    <w:rsid w:val="52835B7A"/>
    <w:rsid w:val="52935E16"/>
    <w:rsid w:val="5302B2F6"/>
    <w:rsid w:val="54271A0A"/>
    <w:rsid w:val="5480D907"/>
    <w:rsid w:val="556CBDF9"/>
    <w:rsid w:val="559BF4F5"/>
    <w:rsid w:val="560EECB4"/>
    <w:rsid w:val="5622B551"/>
    <w:rsid w:val="5644C34E"/>
    <w:rsid w:val="56491412"/>
    <w:rsid w:val="56692682"/>
    <w:rsid w:val="56A06167"/>
    <w:rsid w:val="56D96DE0"/>
    <w:rsid w:val="570A2F6C"/>
    <w:rsid w:val="57C8EA2D"/>
    <w:rsid w:val="57D64F58"/>
    <w:rsid w:val="57DA9A6C"/>
    <w:rsid w:val="57DAEA99"/>
    <w:rsid w:val="5865C9D2"/>
    <w:rsid w:val="5919DAB9"/>
    <w:rsid w:val="592EF27F"/>
    <w:rsid w:val="59799DAF"/>
    <w:rsid w:val="59E2B05A"/>
    <w:rsid w:val="59F2EF12"/>
    <w:rsid w:val="5A73847C"/>
    <w:rsid w:val="5AC6339A"/>
    <w:rsid w:val="5ADB62D5"/>
    <w:rsid w:val="5AE7BF3A"/>
    <w:rsid w:val="5AE85B96"/>
    <w:rsid w:val="5AF8444A"/>
    <w:rsid w:val="5B3A1310"/>
    <w:rsid w:val="5B746826"/>
    <w:rsid w:val="5B9EFC69"/>
    <w:rsid w:val="5BA9A061"/>
    <w:rsid w:val="5BCB88D2"/>
    <w:rsid w:val="5C6A7AC5"/>
    <w:rsid w:val="5CAC6011"/>
    <w:rsid w:val="5CD4C2B5"/>
    <w:rsid w:val="5D33F19D"/>
    <w:rsid w:val="5E4D1EA4"/>
    <w:rsid w:val="5E829836"/>
    <w:rsid w:val="5EDB970F"/>
    <w:rsid w:val="5EE01DB0"/>
    <w:rsid w:val="5EF9E212"/>
    <w:rsid w:val="5F039B8E"/>
    <w:rsid w:val="5F203482"/>
    <w:rsid w:val="5F55DCBE"/>
    <w:rsid w:val="5F6C7C10"/>
    <w:rsid w:val="5F6D76DD"/>
    <w:rsid w:val="5FD78857"/>
    <w:rsid w:val="5FFF7EBE"/>
    <w:rsid w:val="6025B39B"/>
    <w:rsid w:val="6036D220"/>
    <w:rsid w:val="60855D71"/>
    <w:rsid w:val="617A77EF"/>
    <w:rsid w:val="61C9160D"/>
    <w:rsid w:val="61D1E228"/>
    <w:rsid w:val="624FA9CE"/>
    <w:rsid w:val="626F5DF0"/>
    <w:rsid w:val="6282E465"/>
    <w:rsid w:val="629316D7"/>
    <w:rsid w:val="62B63FE4"/>
    <w:rsid w:val="635B868A"/>
    <w:rsid w:val="6370FA95"/>
    <w:rsid w:val="6374B328"/>
    <w:rsid w:val="63FAB84A"/>
    <w:rsid w:val="6441703F"/>
    <w:rsid w:val="64781D5B"/>
    <w:rsid w:val="64C9C8C7"/>
    <w:rsid w:val="64E7F3F6"/>
    <w:rsid w:val="6577A3BB"/>
    <w:rsid w:val="66E9AF08"/>
    <w:rsid w:val="671B930D"/>
    <w:rsid w:val="677BFB0C"/>
    <w:rsid w:val="67803E1E"/>
    <w:rsid w:val="678281A4"/>
    <w:rsid w:val="67ABD6D1"/>
    <w:rsid w:val="67B5D91F"/>
    <w:rsid w:val="67E85B6B"/>
    <w:rsid w:val="6828B64D"/>
    <w:rsid w:val="68631131"/>
    <w:rsid w:val="689A976B"/>
    <w:rsid w:val="68A0344A"/>
    <w:rsid w:val="68B54EA9"/>
    <w:rsid w:val="68DC38D5"/>
    <w:rsid w:val="69081467"/>
    <w:rsid w:val="6936B397"/>
    <w:rsid w:val="69411092"/>
    <w:rsid w:val="696344A4"/>
    <w:rsid w:val="69F8D424"/>
    <w:rsid w:val="6A3C6886"/>
    <w:rsid w:val="6A7A0B2E"/>
    <w:rsid w:val="6AAE8AE2"/>
    <w:rsid w:val="6ACE1D6A"/>
    <w:rsid w:val="6AE37C14"/>
    <w:rsid w:val="6B5A227E"/>
    <w:rsid w:val="6B9C50DB"/>
    <w:rsid w:val="6BFBA16C"/>
    <w:rsid w:val="6C04D619"/>
    <w:rsid w:val="6C0831E6"/>
    <w:rsid w:val="6C29B655"/>
    <w:rsid w:val="6C9F64EC"/>
    <w:rsid w:val="6CCE0E60"/>
    <w:rsid w:val="6D38FE42"/>
    <w:rsid w:val="6D39809D"/>
    <w:rsid w:val="6D729817"/>
    <w:rsid w:val="6E39C532"/>
    <w:rsid w:val="6EA0F58E"/>
    <w:rsid w:val="6EC4BD63"/>
    <w:rsid w:val="6F725FD0"/>
    <w:rsid w:val="6F7B75F2"/>
    <w:rsid w:val="701A6D3E"/>
    <w:rsid w:val="702677A7"/>
    <w:rsid w:val="70671FEC"/>
    <w:rsid w:val="70C5E075"/>
    <w:rsid w:val="70E3908F"/>
    <w:rsid w:val="71170649"/>
    <w:rsid w:val="7190BC18"/>
    <w:rsid w:val="7190D708"/>
    <w:rsid w:val="71C9638F"/>
    <w:rsid w:val="71D546BC"/>
    <w:rsid w:val="71FBDE83"/>
    <w:rsid w:val="72B1831D"/>
    <w:rsid w:val="72D8B0EF"/>
    <w:rsid w:val="7330E8E1"/>
    <w:rsid w:val="73AC4A29"/>
    <w:rsid w:val="741FD9E8"/>
    <w:rsid w:val="74437C33"/>
    <w:rsid w:val="7470B808"/>
    <w:rsid w:val="7497FEF6"/>
    <w:rsid w:val="74991C2F"/>
    <w:rsid w:val="74A05E16"/>
    <w:rsid w:val="74AF2F4A"/>
    <w:rsid w:val="74B91CDC"/>
    <w:rsid w:val="75280D28"/>
    <w:rsid w:val="755F9AA8"/>
    <w:rsid w:val="756F1012"/>
    <w:rsid w:val="7587097F"/>
    <w:rsid w:val="75E0D1B2"/>
    <w:rsid w:val="766D5685"/>
    <w:rsid w:val="7682B8FD"/>
    <w:rsid w:val="7753D7D0"/>
    <w:rsid w:val="77616814"/>
    <w:rsid w:val="77630330"/>
    <w:rsid w:val="77AA69DE"/>
    <w:rsid w:val="77C2634B"/>
    <w:rsid w:val="78257F23"/>
    <w:rsid w:val="782D6CA9"/>
    <w:rsid w:val="78A6782D"/>
    <w:rsid w:val="7987E7B8"/>
    <w:rsid w:val="7A0536C7"/>
    <w:rsid w:val="7A355C72"/>
    <w:rsid w:val="7A6191B9"/>
    <w:rsid w:val="7A88D3F6"/>
    <w:rsid w:val="7AC1FDD7"/>
    <w:rsid w:val="7AFACE34"/>
    <w:rsid w:val="7B5D1FE5"/>
    <w:rsid w:val="7B6D193A"/>
    <w:rsid w:val="7BB7DFD9"/>
    <w:rsid w:val="7CAAD883"/>
    <w:rsid w:val="7CF8F046"/>
    <w:rsid w:val="7D00DDCC"/>
    <w:rsid w:val="7D7294A7"/>
    <w:rsid w:val="7E0D82CE"/>
    <w:rsid w:val="7E22435C"/>
    <w:rsid w:val="7E64FB45"/>
    <w:rsid w:val="7EA45555"/>
    <w:rsid w:val="7EC90B4B"/>
    <w:rsid w:val="7ED3D15A"/>
    <w:rsid w:val="7F15D903"/>
    <w:rsid w:val="7F3750FD"/>
    <w:rsid w:val="7F3F0453"/>
    <w:rsid w:val="7FAF326A"/>
    <w:rsid w:val="7FD3242E"/>
  </w:rsids>
  <w:docVars>
    <w:docVar w:name="dgnword-docGUID" w:val="{E8CAE460-BBE4-4364-B4A8-4536D64F8187}"/>
    <w:docVar w:name="dgnword-eventsink" w:val="84181344"/>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3861900"/>
  <w15:docId w15:val="{BE5A3DF9-BB9F-4C72-921A-079AC584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2809"/>
    <w:rPr>
      <w:rFonts w:cs="Times"/>
      <w:sz w:val="24"/>
      <w:szCs w:val="22"/>
    </w:rPr>
  </w:style>
  <w:style w:type="paragraph" w:styleId="Heading1">
    <w:name w:val="heading 1"/>
    <w:basedOn w:val="Title"/>
    <w:next w:val="Normal"/>
    <w:link w:val="Heading1Char"/>
    <w:uiPriority w:val="99"/>
    <w:qFormat/>
    <w:rsid w:val="001C250B"/>
    <w:pPr>
      <w:outlineLvl w:val="0"/>
    </w:pPr>
    <w:rPr>
      <w:color w:val="000000" w:themeColor="text1"/>
    </w:rPr>
  </w:style>
  <w:style w:type="paragraph" w:styleId="Heading2">
    <w:name w:val="heading 2"/>
    <w:aliases w:val="p.Heading 2"/>
    <w:basedOn w:val="Normal"/>
    <w:next w:val="Normal"/>
    <w:link w:val="Heading2Char"/>
    <w:uiPriority w:val="99"/>
    <w:rsid w:val="00401D6D"/>
    <w:pPr>
      <w:keepNext/>
      <w:tabs>
        <w:tab w:val="left" w:pos="360"/>
      </w:tabs>
      <w:spacing w:before="240" w:after="120"/>
      <w:outlineLvl w:val="1"/>
    </w:pPr>
    <w:rPr>
      <w:rFonts w:ascii="Arial" w:hAnsi="Arial" w:eastAsiaTheme="majorEastAsia" w:cs="Arial"/>
      <w:b/>
      <w:bCs/>
      <w:iCs/>
      <w:sz w:val="28"/>
      <w:szCs w:val="20"/>
    </w:rPr>
  </w:style>
  <w:style w:type="paragraph" w:styleId="Heading3">
    <w:name w:val="heading 3"/>
    <w:aliases w:val="P.Heading 3"/>
    <w:next w:val="Normal"/>
    <w:link w:val="Heading3Char"/>
    <w:uiPriority w:val="99"/>
    <w:qFormat/>
    <w:rsid w:val="003220DF"/>
    <w:pPr>
      <w:keepNext/>
      <w:keepLines/>
      <w:spacing w:before="240" w:after="120"/>
      <w:outlineLvl w:val="2"/>
    </w:pPr>
    <w:rPr>
      <w:rFonts w:ascii="Arial" w:hAnsi="Arial" w:eastAsiaTheme="majorEastAsia" w:cs="Arial"/>
      <w:b/>
      <w:bCs/>
      <w:i/>
      <w:iCs/>
      <w:sz w:val="24"/>
    </w:rPr>
  </w:style>
  <w:style w:type="paragraph" w:styleId="Heading4">
    <w:name w:val="heading 4"/>
    <w:aliases w:val="P.Heading 4"/>
    <w:basedOn w:val="Normal"/>
    <w:next w:val="Normal"/>
    <w:link w:val="Heading4Char"/>
    <w:uiPriority w:val="99"/>
    <w:qFormat/>
    <w:rsid w:val="00514076"/>
    <w:pPr>
      <w:keepNext/>
      <w:outlineLvl w:val="3"/>
    </w:pPr>
    <w:rPr>
      <w:b/>
      <w:bCs/>
      <w:i/>
      <w:iCs/>
      <w:color w:val="002C5F"/>
      <w:sz w:val="22"/>
      <w:szCs w:val="24"/>
    </w:rPr>
  </w:style>
  <w:style w:type="paragraph" w:styleId="Heading5">
    <w:name w:val="heading 5"/>
    <w:basedOn w:val="Normal"/>
    <w:next w:val="Normal"/>
    <w:link w:val="Heading5Char"/>
    <w:uiPriority w:val="99"/>
    <w:semiHidden/>
    <w:unhideWhenUsed/>
    <w:qFormat/>
    <w:rsid w:val="00514076"/>
    <w:pPr>
      <w:keepNext/>
      <w:outlineLvl w:val="4"/>
    </w:pPr>
    <w:rPr>
      <w:b/>
      <w:bCs/>
      <w:szCs w:val="24"/>
    </w:rPr>
  </w:style>
  <w:style w:type="paragraph" w:styleId="Heading6">
    <w:name w:val="heading 6"/>
    <w:basedOn w:val="Normal"/>
    <w:next w:val="Normal"/>
    <w:link w:val="Heading6Char"/>
    <w:uiPriority w:val="99"/>
    <w:semiHidden/>
    <w:unhideWhenUsed/>
    <w:qFormat/>
    <w:rsid w:val="00514076"/>
    <w:pPr>
      <w:keepNext/>
      <w:outlineLvl w:val="5"/>
    </w:pPr>
    <w:rPr>
      <w:b/>
      <w:bCs/>
      <w:szCs w:val="24"/>
    </w:rPr>
  </w:style>
  <w:style w:type="paragraph" w:styleId="Heading7">
    <w:name w:val="heading 7"/>
    <w:basedOn w:val="Normal"/>
    <w:next w:val="Normal"/>
    <w:link w:val="Heading7Char"/>
    <w:uiPriority w:val="99"/>
    <w:semiHidden/>
    <w:unhideWhenUsed/>
    <w:qFormat/>
    <w:rsid w:val="00514076"/>
    <w:pPr>
      <w:keepNext/>
      <w:outlineLvl w:val="6"/>
    </w:pPr>
    <w:rPr>
      <w:b/>
      <w:bCs/>
      <w:szCs w:val="24"/>
    </w:rPr>
  </w:style>
  <w:style w:type="paragraph" w:styleId="Heading8">
    <w:name w:val="heading 8"/>
    <w:basedOn w:val="Normal"/>
    <w:next w:val="Normal"/>
    <w:link w:val="Heading8Char"/>
    <w:uiPriority w:val="99"/>
    <w:semiHidden/>
    <w:unhideWhenUsed/>
    <w:qFormat/>
    <w:rsid w:val="00514076"/>
    <w:pPr>
      <w:keepNext/>
      <w:outlineLvl w:val="7"/>
    </w:pPr>
    <w:rPr>
      <w:b/>
      <w:bCs/>
    </w:rPr>
  </w:style>
  <w:style w:type="paragraph" w:styleId="Heading9">
    <w:name w:val="heading 9"/>
    <w:basedOn w:val="Normal"/>
    <w:next w:val="Normal"/>
    <w:link w:val="Heading9Char"/>
    <w:uiPriority w:val="99"/>
    <w:semiHidden/>
    <w:unhideWhenUsed/>
    <w:qFormat/>
    <w:rsid w:val="00514076"/>
    <w:pPr>
      <w:keepNext/>
      <w:outlineLvl w:val="8"/>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514076"/>
    <w:rPr>
      <w:vertAlign w:val="superscript"/>
    </w:rPr>
  </w:style>
  <w:style w:type="paragraph" w:styleId="Footer">
    <w:name w:val="footer"/>
    <w:basedOn w:val="Normal"/>
    <w:link w:val="FooterChar"/>
    <w:uiPriority w:val="99"/>
    <w:rsid w:val="00514076"/>
    <w:pPr>
      <w:pBdr>
        <w:top w:val="single" w:sz="4" w:space="1" w:color="002C5F"/>
      </w:pBdr>
      <w:tabs>
        <w:tab w:val="center" w:pos="4680"/>
        <w:tab w:val="right" w:pos="9360"/>
      </w:tabs>
    </w:pPr>
  </w:style>
  <w:style w:type="character" w:customStyle="1" w:styleId="FooterChar">
    <w:name w:val="Footer Char"/>
    <w:basedOn w:val="DefaultParagraphFont"/>
    <w:link w:val="Footer"/>
    <w:uiPriority w:val="99"/>
    <w:rsid w:val="00514076"/>
    <w:rPr>
      <w:rFonts w:ascii="Calibri" w:hAnsi="Calibri" w:cs="Times"/>
      <w:sz w:val="24"/>
      <w:szCs w:val="22"/>
    </w:rPr>
  </w:style>
  <w:style w:type="paragraph" w:styleId="Title">
    <w:name w:val="Title"/>
    <w:aliases w:val="Text"/>
    <w:basedOn w:val="Normal"/>
    <w:link w:val="TitleChar"/>
    <w:qFormat/>
    <w:rsid w:val="00123BBA"/>
    <w:pPr>
      <w:spacing w:before="4400" w:after="480"/>
      <w:jc w:val="center"/>
      <w:outlineLvl w:val="0"/>
    </w:pPr>
    <w:rPr>
      <w:rFonts w:ascii="Arial" w:hAnsi="Arial" w:cs="Arial"/>
      <w:b/>
      <w:bCs/>
      <w:color w:val="002C5F"/>
      <w:kern w:val="28"/>
      <w:sz w:val="56"/>
      <w:szCs w:val="72"/>
    </w:rPr>
  </w:style>
  <w:style w:type="character" w:customStyle="1" w:styleId="TitleChar">
    <w:name w:val="Title Char"/>
    <w:aliases w:val="Text Char"/>
    <w:basedOn w:val="DefaultParagraphFont"/>
    <w:link w:val="Title"/>
    <w:rsid w:val="00123BBA"/>
    <w:rPr>
      <w:rFonts w:ascii="Arial" w:hAnsi="Arial" w:cs="Arial"/>
      <w:b/>
      <w:bCs/>
      <w:color w:val="002C5F"/>
      <w:kern w:val="28"/>
      <w:sz w:val="56"/>
      <w:szCs w:val="72"/>
    </w:rPr>
  </w:style>
  <w:style w:type="character" w:styleId="Hyperlink">
    <w:name w:val="Hyperlink"/>
    <w:basedOn w:val="DefaultParagraphFont"/>
    <w:uiPriority w:val="99"/>
    <w:rsid w:val="00514076"/>
    <w:rPr>
      <w:color w:val="0000FF"/>
      <w:u w:val="single"/>
      <w:lang w:val="en-US"/>
    </w:rPr>
  </w:style>
  <w:style w:type="paragraph" w:styleId="TOC1">
    <w:name w:val="toc 1"/>
    <w:basedOn w:val="Normal"/>
    <w:uiPriority w:val="39"/>
    <w:rsid w:val="009E61D1"/>
    <w:pPr>
      <w:tabs>
        <w:tab w:val="left" w:pos="360"/>
        <w:tab w:val="right" w:leader="dot" w:pos="9360"/>
      </w:tabs>
      <w:spacing w:before="120"/>
      <w:ind w:right="360"/>
    </w:pPr>
    <w:rPr>
      <w:b/>
      <w:bCs/>
      <w:noProof/>
      <w:szCs w:val="20"/>
    </w:rPr>
  </w:style>
  <w:style w:type="paragraph" w:styleId="TOC2">
    <w:name w:val="toc 2"/>
    <w:basedOn w:val="Normal"/>
    <w:uiPriority w:val="39"/>
    <w:rsid w:val="00123D6D"/>
    <w:pPr>
      <w:tabs>
        <w:tab w:val="left" w:pos="360"/>
        <w:tab w:val="right" w:leader="dot" w:pos="9360"/>
      </w:tabs>
      <w:spacing w:before="120"/>
      <w:ind w:left="360" w:hanging="360"/>
    </w:pPr>
    <w:rPr>
      <w:b/>
      <w:bCs/>
      <w:noProof/>
      <w:szCs w:val="20"/>
    </w:rPr>
  </w:style>
  <w:style w:type="paragraph" w:styleId="TOC4">
    <w:name w:val="toc 4"/>
    <w:basedOn w:val="Normal"/>
    <w:next w:val="Normal"/>
    <w:autoRedefine/>
    <w:uiPriority w:val="39"/>
    <w:rsid w:val="00514076"/>
    <w:pPr>
      <w:tabs>
        <w:tab w:val="right" w:leader="dot" w:pos="9350"/>
      </w:tabs>
      <w:ind w:left="1008"/>
    </w:pPr>
  </w:style>
  <w:style w:type="paragraph" w:styleId="TOC3">
    <w:name w:val="toc 3"/>
    <w:uiPriority w:val="39"/>
    <w:rsid w:val="00123D6D"/>
    <w:pPr>
      <w:tabs>
        <w:tab w:val="right" w:leader="dot" w:pos="9360"/>
      </w:tabs>
      <w:ind w:left="720" w:hanging="360"/>
    </w:pPr>
    <w:rPr>
      <w:rFonts w:cs="Times"/>
      <w:noProof/>
      <w:sz w:val="24"/>
    </w:rPr>
  </w:style>
  <w:style w:type="paragraph" w:styleId="TOC5">
    <w:name w:val="toc 5"/>
    <w:basedOn w:val="Normal"/>
    <w:next w:val="Normal"/>
    <w:uiPriority w:val="39"/>
    <w:rsid w:val="00311EF9"/>
    <w:pPr>
      <w:tabs>
        <w:tab w:val="right" w:leader="dot" w:pos="9360"/>
      </w:tabs>
      <w:spacing w:before="40" w:after="40"/>
      <w:ind w:left="1080" w:right="720" w:hanging="1080"/>
    </w:pPr>
    <w:rPr>
      <w:noProof/>
      <w:szCs w:val="20"/>
    </w:rPr>
  </w:style>
  <w:style w:type="paragraph" w:customStyle="1" w:styleId="TOC0">
    <w:name w:val="TOC 0"/>
    <w:basedOn w:val="Normal"/>
    <w:rsid w:val="00311EF9"/>
    <w:pPr>
      <w:spacing w:after="240"/>
      <w:jc w:val="center"/>
    </w:pPr>
    <w:rPr>
      <w:b/>
      <w:caps/>
      <w:sz w:val="28"/>
      <w:szCs w:val="20"/>
    </w:rPr>
  </w:style>
  <w:style w:type="paragraph" w:styleId="Header">
    <w:name w:val="header"/>
    <w:basedOn w:val="Normal"/>
    <w:link w:val="HeaderChar"/>
    <w:uiPriority w:val="99"/>
    <w:rsid w:val="00514076"/>
    <w:pPr>
      <w:pBdr>
        <w:bottom w:val="single" w:sz="4" w:space="1" w:color="auto"/>
      </w:pBdr>
      <w:tabs>
        <w:tab w:val="right" w:pos="9360"/>
      </w:tabs>
    </w:pPr>
    <w:rPr>
      <w:rFonts w:cs="Arial"/>
      <w:i/>
      <w:iCs/>
      <w:color w:val="005295"/>
      <w:sz w:val="20"/>
      <w:szCs w:val="18"/>
    </w:rPr>
  </w:style>
  <w:style w:type="character" w:customStyle="1" w:styleId="HeaderChar">
    <w:name w:val="Header Char"/>
    <w:basedOn w:val="DefaultParagraphFont"/>
    <w:link w:val="Header"/>
    <w:uiPriority w:val="99"/>
    <w:rsid w:val="00514076"/>
    <w:rPr>
      <w:rFonts w:ascii="Calibri" w:hAnsi="Calibri" w:cs="Arial"/>
      <w:i/>
      <w:iCs/>
      <w:color w:val="005295"/>
      <w:szCs w:val="18"/>
    </w:rPr>
  </w:style>
  <w:style w:type="paragraph" w:styleId="BodyText">
    <w:name w:val="Body Text"/>
    <w:basedOn w:val="Normal"/>
    <w:link w:val="BodyTextChar"/>
    <w:uiPriority w:val="99"/>
    <w:rsid w:val="00A52BD7"/>
    <w:pPr>
      <w:spacing w:after="120"/>
    </w:pPr>
    <w:rPr>
      <w:rFonts w:eastAsiaTheme="majorEastAsia"/>
      <w:szCs w:val="24"/>
    </w:rPr>
  </w:style>
  <w:style w:type="character" w:customStyle="1" w:styleId="BodyTextChar">
    <w:name w:val="Body Text Char"/>
    <w:basedOn w:val="DefaultParagraphFont"/>
    <w:link w:val="BodyText"/>
    <w:uiPriority w:val="99"/>
    <w:rsid w:val="00A52BD7"/>
    <w:rPr>
      <w:rFonts w:eastAsiaTheme="majorEastAsia" w:cs="Times"/>
      <w:sz w:val="24"/>
      <w:szCs w:val="24"/>
    </w:rPr>
  </w:style>
  <w:style w:type="character" w:styleId="CommentReference">
    <w:name w:val="annotation reference"/>
    <w:basedOn w:val="DefaultParagraphFont"/>
    <w:uiPriority w:val="99"/>
    <w:rsid w:val="00514076"/>
    <w:rPr>
      <w:sz w:val="16"/>
      <w:szCs w:val="16"/>
    </w:rPr>
  </w:style>
  <w:style w:type="paragraph" w:styleId="CommentText">
    <w:name w:val="annotation text"/>
    <w:basedOn w:val="Normal"/>
    <w:link w:val="CommentTextChar"/>
    <w:uiPriority w:val="99"/>
    <w:rsid w:val="00514076"/>
    <w:rPr>
      <w:sz w:val="20"/>
      <w:szCs w:val="20"/>
    </w:rPr>
  </w:style>
  <w:style w:type="character" w:customStyle="1" w:styleId="CommentTextChar">
    <w:name w:val="Comment Text Char"/>
    <w:basedOn w:val="DefaultParagraphFont"/>
    <w:link w:val="CommentText"/>
    <w:uiPriority w:val="99"/>
    <w:rsid w:val="00514076"/>
    <w:rPr>
      <w:rFonts w:ascii="Calibri" w:hAnsi="Calibri" w:cs="Times"/>
    </w:rPr>
  </w:style>
  <w:style w:type="paragraph" w:styleId="CommentSubject">
    <w:name w:val="annotation subject"/>
    <w:basedOn w:val="CommentText"/>
    <w:next w:val="CommentText"/>
    <w:link w:val="CommentSubjectChar"/>
    <w:uiPriority w:val="99"/>
    <w:rsid w:val="00514076"/>
    <w:rPr>
      <w:b/>
      <w:bCs/>
    </w:rPr>
  </w:style>
  <w:style w:type="character" w:customStyle="1" w:styleId="CommentSubjectChar">
    <w:name w:val="Comment Subject Char"/>
    <w:basedOn w:val="CommentTextChar"/>
    <w:link w:val="CommentSubject"/>
    <w:uiPriority w:val="99"/>
    <w:rsid w:val="00514076"/>
    <w:rPr>
      <w:rFonts w:ascii="Calibri" w:hAnsi="Calibri" w:cs="Times"/>
      <w:b/>
      <w:bCs/>
    </w:rPr>
  </w:style>
  <w:style w:type="paragraph" w:styleId="BalloonText">
    <w:name w:val="Balloon Text"/>
    <w:basedOn w:val="Normal"/>
    <w:link w:val="BalloonTextChar"/>
    <w:uiPriority w:val="99"/>
    <w:rsid w:val="00514076"/>
    <w:rPr>
      <w:rFonts w:ascii="Tahoma" w:hAnsi="Tahoma" w:cs="Tahoma"/>
      <w:sz w:val="16"/>
      <w:szCs w:val="16"/>
    </w:rPr>
  </w:style>
  <w:style w:type="character" w:customStyle="1" w:styleId="BalloonTextChar">
    <w:name w:val="Balloon Text Char"/>
    <w:basedOn w:val="DefaultParagraphFont"/>
    <w:link w:val="BalloonText"/>
    <w:uiPriority w:val="99"/>
    <w:rsid w:val="00514076"/>
    <w:rPr>
      <w:rFonts w:ascii="Tahoma" w:hAnsi="Tahoma" w:cs="Tahoma"/>
      <w:sz w:val="16"/>
      <w:szCs w:val="16"/>
    </w:rPr>
  </w:style>
  <w:style w:type="character" w:customStyle="1" w:styleId="Heading3Char">
    <w:name w:val="Heading 3 Char"/>
    <w:aliases w:val="P.Heading 3 Char"/>
    <w:basedOn w:val="DefaultParagraphFont"/>
    <w:link w:val="Heading3"/>
    <w:uiPriority w:val="99"/>
    <w:rsid w:val="003220DF"/>
    <w:rPr>
      <w:rFonts w:ascii="Arial" w:hAnsi="Arial" w:eastAsiaTheme="majorEastAsia" w:cs="Arial"/>
      <w:b/>
      <w:bCs/>
      <w:i/>
      <w:iCs/>
      <w:sz w:val="24"/>
    </w:rPr>
  </w:style>
  <w:style w:type="character" w:customStyle="1" w:styleId="Heading4Char">
    <w:name w:val="Heading 4 Char"/>
    <w:aliases w:val="P.Heading 4 Char"/>
    <w:basedOn w:val="DefaultParagraphFont"/>
    <w:link w:val="Heading4"/>
    <w:uiPriority w:val="99"/>
    <w:rsid w:val="00514076"/>
    <w:rPr>
      <w:rFonts w:ascii="Calibri" w:hAnsi="Calibri" w:cs="Times"/>
      <w:b/>
      <w:bCs/>
      <w:i/>
      <w:iCs/>
      <w:color w:val="002C5F"/>
      <w:sz w:val="22"/>
      <w:szCs w:val="24"/>
    </w:rPr>
  </w:style>
  <w:style w:type="character" w:styleId="FollowedHyperlink">
    <w:name w:val="FollowedHyperlink"/>
    <w:basedOn w:val="DefaultParagraphFont"/>
    <w:uiPriority w:val="99"/>
    <w:rsid w:val="00514076"/>
    <w:rPr>
      <w:color w:val="800080"/>
      <w:u w:val="single"/>
    </w:rPr>
  </w:style>
  <w:style w:type="character" w:customStyle="1" w:styleId="Heading1Char">
    <w:name w:val="Heading 1 Char"/>
    <w:basedOn w:val="DefaultParagraphFont"/>
    <w:link w:val="Heading1"/>
    <w:uiPriority w:val="99"/>
    <w:rsid w:val="001C250B"/>
    <w:rPr>
      <w:rFonts w:ascii="Arial" w:hAnsi="Arial" w:cs="Arial"/>
      <w:b/>
      <w:bCs/>
      <w:color w:val="000000" w:themeColor="text1"/>
      <w:kern w:val="28"/>
      <w:sz w:val="56"/>
      <w:szCs w:val="72"/>
    </w:rPr>
  </w:style>
  <w:style w:type="character" w:customStyle="1" w:styleId="Heading2Char">
    <w:name w:val="Heading 2 Char"/>
    <w:aliases w:val="p.Heading 2 Char"/>
    <w:basedOn w:val="DefaultParagraphFont"/>
    <w:link w:val="Heading2"/>
    <w:uiPriority w:val="99"/>
    <w:rsid w:val="00401D6D"/>
    <w:rPr>
      <w:rFonts w:ascii="Arial" w:hAnsi="Arial" w:eastAsiaTheme="majorEastAsia" w:cs="Arial"/>
      <w:b/>
      <w:bCs/>
      <w:iCs/>
      <w:sz w:val="28"/>
    </w:rPr>
  </w:style>
  <w:style w:type="paragraph" w:styleId="Caption">
    <w:name w:val="caption"/>
    <w:basedOn w:val="Normal"/>
    <w:next w:val="Normal"/>
    <w:unhideWhenUsed/>
    <w:qFormat/>
    <w:rsid w:val="0016663C"/>
    <w:pPr>
      <w:spacing w:after="120"/>
    </w:pPr>
    <w:rPr>
      <w:rFonts w:ascii="Arial" w:hAnsi="Arial" w:cs="Arial"/>
      <w:b/>
      <w:bCs/>
      <w:sz w:val="20"/>
      <w:szCs w:val="20"/>
    </w:rPr>
  </w:style>
  <w:style w:type="paragraph" w:styleId="TableofFigures">
    <w:name w:val="table of figures"/>
    <w:basedOn w:val="Normal"/>
    <w:next w:val="Normal"/>
    <w:uiPriority w:val="99"/>
    <w:rsid w:val="00CD4EDB"/>
  </w:style>
  <w:style w:type="paragraph" w:styleId="ListParagraph">
    <w:name w:val="List Paragraph"/>
    <w:basedOn w:val="Normal"/>
    <w:uiPriority w:val="34"/>
    <w:qFormat/>
    <w:rsid w:val="00514076"/>
    <w:pPr>
      <w:ind w:left="720"/>
      <w:contextualSpacing/>
    </w:pPr>
    <w:rPr>
      <w:rFonts w:asciiTheme="minorHAnsi" w:eastAsiaTheme="minorHAnsi" w:hAnsiTheme="minorHAnsi" w:cstheme="minorBidi"/>
      <w:sz w:val="22"/>
    </w:rPr>
  </w:style>
  <w:style w:type="paragraph" w:styleId="FootnoteText">
    <w:name w:val="footnote text"/>
    <w:basedOn w:val="Normal"/>
    <w:link w:val="FootnoteTextChar"/>
    <w:uiPriority w:val="99"/>
    <w:qFormat/>
    <w:rsid w:val="00514076"/>
    <w:rPr>
      <w:noProof/>
      <w:sz w:val="20"/>
      <w:szCs w:val="20"/>
    </w:rPr>
  </w:style>
  <w:style w:type="character" w:customStyle="1" w:styleId="FootnoteTextChar">
    <w:name w:val="Footnote Text Char"/>
    <w:basedOn w:val="DefaultParagraphFont"/>
    <w:link w:val="FootnoteText"/>
    <w:uiPriority w:val="99"/>
    <w:rsid w:val="00514076"/>
    <w:rPr>
      <w:rFonts w:cs="Times"/>
      <w:noProof/>
    </w:rPr>
  </w:style>
  <w:style w:type="table" w:styleId="TableGrid">
    <w:name w:val="Table Grid"/>
    <w:basedOn w:val="TableNormal"/>
    <w:uiPriority w:val="59"/>
    <w:rsid w:val="00514076"/>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74EA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
    <w:name w:val="Cover Text"/>
    <w:qFormat/>
    <w:rsid w:val="001020D8"/>
    <w:pPr>
      <w:spacing w:after="600"/>
      <w:jc w:val="center"/>
    </w:pPr>
    <w:rPr>
      <w:rFonts w:ascii="Arial" w:hAnsi="Arial" w:cs="Times"/>
      <w:b/>
      <w:sz w:val="32"/>
      <w:szCs w:val="32"/>
    </w:rPr>
  </w:style>
  <w:style w:type="paragraph" w:customStyle="1" w:styleId="ContentsTitleNOTOC">
    <w:name w:val="Contents Title_NO TOC"/>
    <w:qFormat/>
    <w:rsid w:val="00123BBA"/>
    <w:pPr>
      <w:spacing w:after="360"/>
      <w:jc w:val="center"/>
    </w:pPr>
    <w:rPr>
      <w:rFonts w:ascii="Arial" w:hAnsi="Arial"/>
      <w:b/>
      <w:bCs/>
      <w:kern w:val="32"/>
      <w:sz w:val="32"/>
      <w:szCs w:val="32"/>
    </w:rPr>
  </w:style>
  <w:style w:type="paragraph" w:customStyle="1" w:styleId="ContentsSubtitle">
    <w:name w:val="Contents_Subtitle"/>
    <w:basedOn w:val="Normal"/>
    <w:qFormat/>
    <w:rsid w:val="00123BBA"/>
    <w:pPr>
      <w:tabs>
        <w:tab w:val="right" w:pos="9360"/>
      </w:tabs>
    </w:pPr>
    <w:rPr>
      <w:rFonts w:ascii="Arial" w:hAnsi="Arial"/>
      <w:b/>
      <w:color w:val="000000"/>
    </w:rPr>
  </w:style>
  <w:style w:type="table" w:customStyle="1" w:styleId="AIRTable">
    <w:name w:val="AIR Table"/>
    <w:basedOn w:val="TableNormal"/>
    <w:uiPriority w:val="99"/>
    <w:qFormat/>
    <w:rsid w:val="00514076"/>
    <w:rPr>
      <w:rFonts w:ascii="Arial" w:hAnsi="Arial"/>
      <w:szCs w:val="22"/>
    </w:rPr>
    <w:tblPr>
      <w:tblInd w:w="86" w:type="dxa"/>
      <w:tblBorders>
        <w:top w:val="single" w:sz="4" w:space="0" w:color="002C5F"/>
        <w:left w:val="single" w:sz="4" w:space="0" w:color="002C5F"/>
        <w:bottom w:val="single" w:sz="4" w:space="0" w:color="002C5F"/>
        <w:right w:val="single" w:sz="4" w:space="0" w:color="002C5F"/>
        <w:insideH w:val="single" w:sz="4" w:space="0" w:color="002C5F"/>
        <w:insideV w:val="single" w:sz="4" w:space="0" w:color="002C5F"/>
      </w:tblBorders>
      <w:tblCellMar>
        <w:top w:w="29" w:type="dxa"/>
        <w:left w:w="72" w:type="dxa"/>
        <w:bottom w:w="29" w:type="dxa"/>
        <w:right w:w="72" w:type="dxa"/>
      </w:tblCellMar>
    </w:tblPr>
    <w:tblStylePr w:type="firstRow">
      <w:pPr>
        <w:wordWrap/>
        <w:spacing w:beforeLines="0" w:beforeAutospacing="0" w:afterLines="0" w:afterAutospacing="0" w:line="240" w:lineRule="auto"/>
        <w:ind w:left="0" w:right="0" w:firstLine="0" w:leftChars="0" w:rightChars="0" w:firstLineChars="0"/>
        <w:jc w:val="center"/>
      </w:pPr>
      <w:rPr>
        <w:rFonts w:ascii="Arial" w:hAnsi="Arial"/>
        <w:color w:val="FFFFFF" w:themeColor="background1"/>
        <w:sz w:val="20"/>
      </w:rPr>
      <w:tblPr/>
      <w:tcPr>
        <w:tcBorders>
          <w:top w:val="single" w:sz="4" w:space="0" w:color="002C5F"/>
          <w:left w:val="single" w:sz="4" w:space="0" w:color="002C5F"/>
          <w:bottom w:val="single" w:sz="4" w:space="0" w:color="002C5F"/>
          <w:right w:val="single" w:sz="4" w:space="0" w:color="002C5F"/>
          <w:insideH w:val="nil"/>
          <w:insideV w:val="single" w:sz="4" w:space="0" w:color="FFFFFF" w:themeColor="background1"/>
          <w:tl2br w:val="nil"/>
          <w:tr2bl w:val="nil"/>
        </w:tcBorders>
        <w:shd w:val="clear" w:color="auto" w:fill="002C5F"/>
      </w:tcPr>
    </w:tblStylePr>
  </w:style>
  <w:style w:type="paragraph" w:customStyle="1" w:styleId="CoverNames">
    <w:name w:val="Cover_Names"/>
    <w:qFormat/>
    <w:rsid w:val="00514076"/>
    <w:rPr>
      <w:rFonts w:asciiTheme="minorHAnsi" w:eastAsiaTheme="minorHAnsi" w:hAnsiTheme="minorHAnsi" w:cstheme="minorHAnsi"/>
      <w:b/>
      <w:sz w:val="24"/>
      <w:szCs w:val="24"/>
    </w:rPr>
  </w:style>
  <w:style w:type="paragraph" w:customStyle="1" w:styleId="Default">
    <w:name w:val="Default"/>
    <w:rsid w:val="00514076"/>
    <w:pPr>
      <w:autoSpaceDE w:val="0"/>
      <w:autoSpaceDN w:val="0"/>
      <w:adjustRightInd w:val="0"/>
    </w:pPr>
    <w:rPr>
      <w:rFonts w:ascii="Calibri" w:hAnsi="Calibri" w:cs="Times"/>
      <w:color w:val="000000"/>
      <w:sz w:val="24"/>
      <w:szCs w:val="24"/>
    </w:rPr>
  </w:style>
  <w:style w:type="paragraph" w:styleId="EndnoteText">
    <w:name w:val="endnote text"/>
    <w:basedOn w:val="Normal"/>
    <w:link w:val="EndnoteTextChar"/>
    <w:uiPriority w:val="99"/>
    <w:unhideWhenUsed/>
    <w:rsid w:val="00514076"/>
    <w:rPr>
      <w:sz w:val="20"/>
      <w:szCs w:val="20"/>
    </w:rPr>
  </w:style>
  <w:style w:type="character" w:customStyle="1" w:styleId="EndnoteTextChar">
    <w:name w:val="Endnote Text Char"/>
    <w:basedOn w:val="DefaultParagraphFont"/>
    <w:link w:val="EndnoteText"/>
    <w:uiPriority w:val="99"/>
    <w:rsid w:val="00514076"/>
    <w:rPr>
      <w:rFonts w:cs="Times"/>
    </w:rPr>
  </w:style>
  <w:style w:type="paragraph" w:customStyle="1" w:styleId="FooterLetter">
    <w:name w:val="Footer Letter"/>
    <w:basedOn w:val="Normal"/>
    <w:qFormat/>
    <w:rsid w:val="00514076"/>
    <w:pPr>
      <w:pBdr>
        <w:top w:val="single" w:sz="4" w:space="1" w:color="002C5F"/>
      </w:pBdr>
      <w:tabs>
        <w:tab w:val="left" w:pos="216"/>
      </w:tabs>
      <w:jc w:val="center"/>
    </w:pPr>
    <w:rPr>
      <w:rFonts w:ascii="Franklin Gothic Book" w:hAnsi="Franklin Gothic Book" w:cs="Calibri"/>
      <w:color w:val="1F487C"/>
      <w:sz w:val="17"/>
      <w:szCs w:val="17"/>
    </w:rPr>
  </w:style>
  <w:style w:type="paragraph" w:customStyle="1" w:styleId="Footer2">
    <w:name w:val="Footer2"/>
    <w:basedOn w:val="Footer"/>
    <w:rsid w:val="00514076"/>
    <w:pPr>
      <w:tabs>
        <w:tab w:val="clear" w:pos="4680"/>
        <w:tab w:val="clear" w:pos="9360"/>
        <w:tab w:val="right" w:pos="10224"/>
      </w:tabs>
      <w:ind w:right="1800"/>
    </w:pPr>
    <w:rPr>
      <w:rFonts w:asciiTheme="minorHAnsi" w:hAnsiTheme="minorHAnsi" w:cs="Arial"/>
      <w:color w:val="000000" w:themeColor="text1"/>
      <w:sz w:val="16"/>
      <w:szCs w:val="10"/>
    </w:rPr>
  </w:style>
  <w:style w:type="character" w:customStyle="1" w:styleId="Heading5Char">
    <w:name w:val="Heading 5 Char"/>
    <w:basedOn w:val="DefaultParagraphFont"/>
    <w:link w:val="Heading5"/>
    <w:uiPriority w:val="99"/>
    <w:semiHidden/>
    <w:rsid w:val="00514076"/>
    <w:rPr>
      <w:rFonts w:ascii="Calibri" w:hAnsi="Calibri" w:cs="Times"/>
      <w:b/>
      <w:bCs/>
      <w:sz w:val="24"/>
      <w:szCs w:val="24"/>
    </w:rPr>
  </w:style>
  <w:style w:type="character" w:customStyle="1" w:styleId="Heading6Char">
    <w:name w:val="Heading 6 Char"/>
    <w:basedOn w:val="DefaultParagraphFont"/>
    <w:link w:val="Heading6"/>
    <w:uiPriority w:val="99"/>
    <w:semiHidden/>
    <w:rsid w:val="00514076"/>
    <w:rPr>
      <w:rFonts w:ascii="Calibri" w:hAnsi="Calibri" w:cs="Times"/>
      <w:b/>
      <w:bCs/>
      <w:sz w:val="24"/>
      <w:szCs w:val="24"/>
    </w:rPr>
  </w:style>
  <w:style w:type="character" w:customStyle="1" w:styleId="Heading7Char">
    <w:name w:val="Heading 7 Char"/>
    <w:basedOn w:val="DefaultParagraphFont"/>
    <w:link w:val="Heading7"/>
    <w:uiPriority w:val="99"/>
    <w:semiHidden/>
    <w:rsid w:val="00514076"/>
    <w:rPr>
      <w:rFonts w:ascii="Calibri" w:hAnsi="Calibri" w:cs="Times"/>
      <w:b/>
      <w:bCs/>
      <w:sz w:val="24"/>
      <w:szCs w:val="24"/>
    </w:rPr>
  </w:style>
  <w:style w:type="character" w:customStyle="1" w:styleId="Heading8Char">
    <w:name w:val="Heading 8 Char"/>
    <w:basedOn w:val="DefaultParagraphFont"/>
    <w:link w:val="Heading8"/>
    <w:uiPriority w:val="99"/>
    <w:semiHidden/>
    <w:rsid w:val="00514076"/>
    <w:rPr>
      <w:rFonts w:ascii="Calibri" w:hAnsi="Calibri" w:cs="Times"/>
      <w:b/>
      <w:bCs/>
      <w:sz w:val="24"/>
      <w:szCs w:val="22"/>
    </w:rPr>
  </w:style>
  <w:style w:type="character" w:customStyle="1" w:styleId="Heading9Char">
    <w:name w:val="Heading 9 Char"/>
    <w:basedOn w:val="DefaultParagraphFont"/>
    <w:link w:val="Heading9"/>
    <w:uiPriority w:val="99"/>
    <w:semiHidden/>
    <w:rsid w:val="00514076"/>
    <w:rPr>
      <w:rFonts w:ascii="Arial" w:hAnsi="Arial" w:cs="Arial"/>
      <w:b/>
      <w:bCs/>
      <w:sz w:val="24"/>
      <w:szCs w:val="24"/>
    </w:rPr>
  </w:style>
  <w:style w:type="paragraph" w:customStyle="1" w:styleId="ListLevel1">
    <w:name w:val="List_Level 1"/>
    <w:qFormat/>
    <w:rsid w:val="00514076"/>
    <w:pPr>
      <w:widowControl w:val="0"/>
      <w:tabs>
        <w:tab w:val="left" w:pos="540"/>
      </w:tabs>
      <w:spacing w:line="274" w:lineRule="auto"/>
      <w:ind w:left="532" w:hanging="446"/>
    </w:pPr>
    <w:rPr>
      <w:rFonts w:ascii="Calibri" w:eastAsia="Calibri" w:hAnsi="Calibri" w:cs="Calibri"/>
      <w:spacing w:val="1"/>
      <w:sz w:val="22"/>
      <w:szCs w:val="22"/>
    </w:rPr>
  </w:style>
  <w:style w:type="paragraph" w:customStyle="1" w:styleId="PContentsSubhead">
    <w:name w:val="P. Contents Subhead"/>
    <w:uiPriority w:val="99"/>
    <w:rsid w:val="00514076"/>
    <w:pPr>
      <w:spacing w:before="240" w:after="240"/>
    </w:pPr>
    <w:rPr>
      <w:rFonts w:ascii="Calibri" w:hAnsi="Calibri" w:cs="Times"/>
      <w:b/>
      <w:bCs/>
      <w:color w:val="002C5F"/>
      <w:sz w:val="24"/>
      <w:szCs w:val="24"/>
    </w:rPr>
  </w:style>
  <w:style w:type="paragraph" w:customStyle="1" w:styleId="PContentsTitle">
    <w:name w:val="P. Contents Title"/>
    <w:uiPriority w:val="99"/>
    <w:rsid w:val="00514076"/>
    <w:pPr>
      <w:spacing w:after="240"/>
      <w:jc w:val="center"/>
    </w:pPr>
    <w:rPr>
      <w:rFonts w:asciiTheme="minorHAnsi" w:hAnsiTheme="minorHAnsi" w:cs="Arial Bold"/>
      <w:b/>
      <w:bCs/>
      <w:color w:val="002C5F"/>
      <w:sz w:val="32"/>
      <w:szCs w:val="28"/>
    </w:rPr>
  </w:style>
  <w:style w:type="paragraph" w:customStyle="1" w:styleId="PBodyText">
    <w:name w:val="P.Body Text"/>
    <w:link w:val="PBodyTextChar"/>
    <w:qFormat/>
    <w:rsid w:val="00514076"/>
    <w:pPr>
      <w:spacing w:after="240"/>
    </w:pPr>
    <w:rPr>
      <w:rFonts w:cs="Times"/>
      <w:sz w:val="24"/>
      <w:szCs w:val="22"/>
    </w:rPr>
  </w:style>
  <w:style w:type="paragraph" w:customStyle="1" w:styleId="PBodyTextIndent1">
    <w:name w:val="P.Body Text_Indent 1"/>
    <w:basedOn w:val="PBodyText"/>
    <w:qFormat/>
    <w:rsid w:val="00514076"/>
    <w:pPr>
      <w:ind w:left="360"/>
    </w:pPr>
  </w:style>
  <w:style w:type="paragraph" w:customStyle="1" w:styleId="PBodyTextPreBullet">
    <w:name w:val="P.Body Text_PreBullet"/>
    <w:basedOn w:val="PBodyText"/>
    <w:qFormat/>
    <w:rsid w:val="00514076"/>
    <w:pPr>
      <w:spacing w:after="120"/>
    </w:pPr>
  </w:style>
  <w:style w:type="paragraph" w:customStyle="1" w:styleId="PBullet">
    <w:name w:val="P.Bullet"/>
    <w:next w:val="Normal"/>
    <w:uiPriority w:val="99"/>
    <w:rsid w:val="00514076"/>
    <w:pPr>
      <w:spacing w:after="120"/>
    </w:pPr>
    <w:rPr>
      <w:rFonts w:cs="Times"/>
      <w:sz w:val="24"/>
      <w:szCs w:val="24"/>
    </w:rPr>
  </w:style>
  <w:style w:type="paragraph" w:customStyle="1" w:styleId="PBullet2">
    <w:name w:val="P.Bullet 2"/>
    <w:basedOn w:val="PBullet"/>
    <w:qFormat/>
    <w:rsid w:val="00514076"/>
    <w:pPr>
      <w:numPr>
        <w:numId w:val="1"/>
      </w:numPr>
      <w:tabs>
        <w:tab w:val="left" w:pos="1080"/>
      </w:tabs>
    </w:pPr>
  </w:style>
  <w:style w:type="paragraph" w:customStyle="1" w:styleId="PBullet3">
    <w:name w:val="P.Bullet 3"/>
    <w:basedOn w:val="PBullet2"/>
    <w:qFormat/>
    <w:rsid w:val="00514076"/>
    <w:pPr>
      <w:numPr>
        <w:numId w:val="2"/>
      </w:numPr>
    </w:pPr>
  </w:style>
  <w:style w:type="paragraph" w:customStyle="1" w:styleId="PBulletLast">
    <w:name w:val="P.Bullet_Last"/>
    <w:basedOn w:val="PBullet"/>
    <w:qFormat/>
    <w:rsid w:val="00514076"/>
    <w:pPr>
      <w:spacing w:after="240"/>
    </w:pPr>
  </w:style>
  <w:style w:type="paragraph" w:customStyle="1" w:styleId="PContentsTitle0">
    <w:name w:val="P.Contents Title"/>
    <w:uiPriority w:val="99"/>
    <w:rsid w:val="00514076"/>
    <w:pPr>
      <w:spacing w:after="240"/>
      <w:jc w:val="center"/>
    </w:pPr>
    <w:rPr>
      <w:rFonts w:ascii="Arial" w:hAnsi="Arial" w:cs="Arial"/>
      <w:b/>
      <w:bCs/>
      <w:sz w:val="28"/>
      <w:szCs w:val="28"/>
    </w:rPr>
  </w:style>
  <w:style w:type="paragraph" w:customStyle="1" w:styleId="PCoverHead1">
    <w:name w:val="P.Cover Head 1"/>
    <w:basedOn w:val="Normal"/>
    <w:rsid w:val="00514076"/>
    <w:pPr>
      <w:suppressAutoHyphens/>
      <w:autoSpaceDE w:val="0"/>
      <w:autoSpaceDN w:val="0"/>
      <w:adjustRightInd w:val="0"/>
      <w:spacing w:before="450"/>
      <w:textAlignment w:val="center"/>
    </w:pPr>
    <w:rPr>
      <w:rFonts w:ascii="Franklin Gothic Demi" w:eastAsia="Calibri" w:hAnsi="Franklin Gothic Demi" w:cs="Calibri"/>
      <w:b/>
      <w:color w:val="000000"/>
      <w:sz w:val="48"/>
      <w:szCs w:val="48"/>
    </w:rPr>
  </w:style>
  <w:style w:type="paragraph" w:customStyle="1" w:styleId="PCoverHead2">
    <w:name w:val="P.Cover Head 2"/>
    <w:basedOn w:val="Normal"/>
    <w:uiPriority w:val="99"/>
    <w:rsid w:val="00514076"/>
    <w:pPr>
      <w:suppressAutoHyphens/>
      <w:autoSpaceDE w:val="0"/>
      <w:autoSpaceDN w:val="0"/>
      <w:adjustRightInd w:val="0"/>
      <w:spacing w:before="1000"/>
      <w:textAlignment w:val="center"/>
    </w:pPr>
    <w:rPr>
      <w:rFonts w:ascii="Franklin Gothic Demi" w:eastAsia="Calibri" w:hAnsi="Franklin Gothic Demi" w:cs="Calibri-Bold"/>
      <w:b/>
      <w:bCs/>
      <w:caps/>
      <w:color w:val="000000"/>
      <w:sz w:val="32"/>
      <w:szCs w:val="32"/>
    </w:rPr>
  </w:style>
  <w:style w:type="paragraph" w:customStyle="1" w:styleId="PCoverHead3">
    <w:name w:val="P.Cover Head 3"/>
    <w:basedOn w:val="Normal"/>
    <w:uiPriority w:val="99"/>
    <w:rsid w:val="00514076"/>
    <w:pPr>
      <w:tabs>
        <w:tab w:val="left" w:pos="1620"/>
        <w:tab w:val="left" w:pos="5400"/>
      </w:tabs>
      <w:suppressAutoHyphens/>
      <w:autoSpaceDE w:val="0"/>
      <w:autoSpaceDN w:val="0"/>
      <w:adjustRightInd w:val="0"/>
      <w:spacing w:before="270"/>
      <w:ind w:left="1627" w:hanging="1627"/>
      <w:textAlignment w:val="center"/>
    </w:pPr>
    <w:rPr>
      <w:rFonts w:ascii="Franklin Gothic Book" w:eastAsia="Calibri" w:hAnsi="Franklin Gothic Book" w:cs="Calibri"/>
      <w:color w:val="000000"/>
      <w:sz w:val="22"/>
    </w:rPr>
  </w:style>
  <w:style w:type="paragraph" w:customStyle="1" w:styleId="PCoverConfidentialityStatement">
    <w:name w:val="P.Cover_Confidentiality Statement"/>
    <w:basedOn w:val="Normal"/>
    <w:qFormat/>
    <w:rsid w:val="00514076"/>
    <w:pPr>
      <w:suppressAutoHyphens/>
      <w:autoSpaceDE w:val="0"/>
      <w:autoSpaceDN w:val="0"/>
      <w:adjustRightInd w:val="0"/>
      <w:spacing w:before="300"/>
      <w:textAlignment w:val="center"/>
    </w:pPr>
    <w:rPr>
      <w:rFonts w:ascii="Franklin Gothic Book" w:eastAsia="Calibri" w:hAnsi="Franklin Gothic Book" w:cs="Calibri"/>
      <w:color w:val="000000"/>
      <w:sz w:val="17"/>
      <w:szCs w:val="16"/>
    </w:rPr>
  </w:style>
  <w:style w:type="paragraph" w:customStyle="1" w:styleId="PCvrLetter">
    <w:name w:val="P.CvrLetter"/>
    <w:basedOn w:val="PCoverHead3"/>
    <w:uiPriority w:val="99"/>
    <w:rsid w:val="00514076"/>
    <w:pPr>
      <w:spacing w:after="240"/>
    </w:pPr>
    <w:rPr>
      <w:rFonts w:asciiTheme="minorHAnsi" w:hAnsiTheme="minorHAnsi" w:cs="Times"/>
      <w:sz w:val="24"/>
      <w:szCs w:val="24"/>
    </w:rPr>
  </w:style>
  <w:style w:type="paragraph" w:customStyle="1" w:styleId="PFooter-Address-Letter">
    <w:name w:val="P.Footer-Address-Letter"/>
    <w:basedOn w:val="Normal"/>
    <w:qFormat/>
    <w:rsid w:val="00514076"/>
    <w:pPr>
      <w:widowControl w:val="0"/>
      <w:tabs>
        <w:tab w:val="center" w:pos="4320"/>
        <w:tab w:val="right" w:pos="8640"/>
      </w:tabs>
      <w:ind w:left="-576" w:right="-576"/>
    </w:pPr>
    <w:rPr>
      <w:rFonts w:ascii="Palatino" w:hAnsi="Palatino" w:cs="Times New Roman"/>
      <w:snapToGrid w:val="0"/>
      <w:color w:val="005295"/>
      <w:sz w:val="16"/>
      <w:szCs w:val="16"/>
    </w:rPr>
  </w:style>
  <w:style w:type="paragraph" w:customStyle="1" w:styleId="PNumbering">
    <w:name w:val="P.Numbering"/>
    <w:link w:val="PNumberingCharChar"/>
    <w:uiPriority w:val="99"/>
    <w:rsid w:val="00514076"/>
    <w:pPr>
      <w:numPr>
        <w:numId w:val="3"/>
      </w:numPr>
      <w:tabs>
        <w:tab w:val="left" w:pos="1080"/>
      </w:tabs>
      <w:spacing w:after="120"/>
    </w:pPr>
    <w:rPr>
      <w:rFonts w:cs="Times"/>
      <w:sz w:val="24"/>
      <w:szCs w:val="24"/>
    </w:rPr>
  </w:style>
  <w:style w:type="character" w:customStyle="1" w:styleId="PNumberingCharChar">
    <w:name w:val="P.Numbering Char Char"/>
    <w:basedOn w:val="DefaultParagraphFont"/>
    <w:link w:val="PNumbering"/>
    <w:uiPriority w:val="99"/>
    <w:locked/>
    <w:rsid w:val="00514076"/>
    <w:rPr>
      <w:rFonts w:cs="Times"/>
      <w:sz w:val="24"/>
      <w:szCs w:val="24"/>
    </w:rPr>
  </w:style>
  <w:style w:type="paragraph" w:customStyle="1" w:styleId="PNumberingLast">
    <w:name w:val="P.Numbering Last"/>
    <w:basedOn w:val="PNumbering"/>
    <w:uiPriority w:val="99"/>
    <w:rsid w:val="00514076"/>
    <w:pPr>
      <w:numPr>
        <w:numId w:val="0"/>
      </w:numPr>
      <w:spacing w:after="240"/>
    </w:pPr>
  </w:style>
  <w:style w:type="paragraph" w:customStyle="1" w:styleId="PNumberingLeftMargin">
    <w:name w:val="P.Numbering Left Margin"/>
    <w:basedOn w:val="PNumbering"/>
    <w:uiPriority w:val="99"/>
    <w:rsid w:val="00514076"/>
    <w:pPr>
      <w:numPr>
        <w:numId w:val="0"/>
      </w:numPr>
    </w:pPr>
  </w:style>
  <w:style w:type="paragraph" w:customStyle="1" w:styleId="PQuotes">
    <w:name w:val="P.Quotes"/>
    <w:uiPriority w:val="99"/>
    <w:rsid w:val="00514076"/>
    <w:pPr>
      <w:pBdr>
        <w:top w:val="single" w:sz="4" w:space="1" w:color="auto"/>
        <w:bottom w:val="single" w:sz="4" w:space="1" w:color="auto"/>
      </w:pBdr>
      <w:spacing w:before="120" w:after="120"/>
      <w:ind w:left="144" w:right="144"/>
    </w:pPr>
    <w:rPr>
      <w:rFonts w:ascii="Calibri" w:hAnsi="Calibri" w:cs="Times"/>
      <w:i/>
      <w:iCs/>
      <w:szCs w:val="24"/>
    </w:rPr>
  </w:style>
  <w:style w:type="paragraph" w:customStyle="1" w:styleId="PReference">
    <w:name w:val="P.Reference"/>
    <w:basedOn w:val="Normal"/>
    <w:uiPriority w:val="99"/>
    <w:rsid w:val="00514076"/>
    <w:pPr>
      <w:keepLines/>
      <w:tabs>
        <w:tab w:val="right" w:pos="9540"/>
      </w:tabs>
      <w:suppressAutoHyphens/>
      <w:spacing w:after="240"/>
      <w:ind w:left="360" w:hanging="360"/>
      <w:outlineLvl w:val="0"/>
    </w:pPr>
    <w:rPr>
      <w:rFonts w:ascii="Arial Narrow" w:hAnsi="Arial Narrow"/>
      <w:sz w:val="20"/>
      <w:szCs w:val="24"/>
    </w:rPr>
  </w:style>
  <w:style w:type="paragraph" w:customStyle="1" w:styleId="PTableBullet1">
    <w:name w:val="P.Table Bullet 1"/>
    <w:basedOn w:val="PBullet"/>
    <w:uiPriority w:val="99"/>
    <w:rsid w:val="00514076"/>
    <w:pPr>
      <w:numPr>
        <w:numId w:val="4"/>
      </w:numPr>
      <w:spacing w:before="20" w:after="20"/>
    </w:pPr>
    <w:rPr>
      <w:rFonts w:ascii="Arial" w:hAnsi="Arial" w:cs="Arial"/>
      <w:szCs w:val="20"/>
    </w:rPr>
  </w:style>
  <w:style w:type="paragraph" w:customStyle="1" w:styleId="PTablebullet2">
    <w:name w:val="P.Table bullet 2"/>
    <w:basedOn w:val="Normal"/>
    <w:uiPriority w:val="99"/>
    <w:rsid w:val="00514076"/>
    <w:pPr>
      <w:spacing w:line="220" w:lineRule="exact"/>
    </w:pPr>
    <w:rPr>
      <w:rFonts w:cs="Arial"/>
      <w:sz w:val="20"/>
      <w:szCs w:val="20"/>
    </w:rPr>
  </w:style>
  <w:style w:type="paragraph" w:customStyle="1" w:styleId="PTableHeading">
    <w:name w:val="P.Table Heading"/>
    <w:uiPriority w:val="99"/>
    <w:rsid w:val="005A1560"/>
    <w:pPr>
      <w:keepNext/>
      <w:jc w:val="center"/>
    </w:pPr>
    <w:rPr>
      <w:rFonts w:ascii="Arial" w:hAnsi="Arial" w:cs="Arial"/>
      <w:b/>
      <w:bCs/>
      <w:color w:val="FFFFFF"/>
    </w:rPr>
  </w:style>
  <w:style w:type="paragraph" w:customStyle="1" w:styleId="PTableSource">
    <w:name w:val="P.Table Source"/>
    <w:uiPriority w:val="99"/>
    <w:rsid w:val="00514076"/>
    <w:pPr>
      <w:tabs>
        <w:tab w:val="left" w:pos="180"/>
      </w:tabs>
      <w:spacing w:before="60"/>
      <w:ind w:left="180" w:hanging="180"/>
    </w:pPr>
    <w:rPr>
      <w:rFonts w:ascii="Arial" w:hAnsi="Arial" w:cs="Arial"/>
      <w:sz w:val="16"/>
      <w:szCs w:val="16"/>
    </w:rPr>
  </w:style>
  <w:style w:type="paragraph" w:customStyle="1" w:styleId="PTableText">
    <w:name w:val="P.Table Text"/>
    <w:uiPriority w:val="99"/>
    <w:rsid w:val="00883F00"/>
    <w:rPr>
      <w:rFonts w:ascii="Arial" w:hAnsi="Arial" w:cs="Arial"/>
    </w:rPr>
  </w:style>
  <w:style w:type="paragraph" w:customStyle="1" w:styleId="PTableTextIndent">
    <w:name w:val="P.Table Text Indent"/>
    <w:basedOn w:val="PTableText"/>
    <w:uiPriority w:val="99"/>
    <w:rsid w:val="005A1560"/>
    <w:pPr>
      <w:ind w:left="389" w:right="144" w:hanging="245"/>
    </w:pPr>
  </w:style>
  <w:style w:type="paragraph" w:customStyle="1" w:styleId="PTableTitle">
    <w:name w:val="P.Table Title"/>
    <w:uiPriority w:val="99"/>
    <w:rsid w:val="005A1560"/>
    <w:pPr>
      <w:keepNext/>
      <w:keepLines/>
      <w:spacing w:after="60"/>
      <w:ind w:left="1224" w:hanging="1224"/>
    </w:pPr>
    <w:rPr>
      <w:rFonts w:ascii="Arial" w:hAnsi="Arial" w:cs="Times"/>
      <w:b/>
      <w:bCs/>
      <w:szCs w:val="24"/>
    </w:rPr>
  </w:style>
  <w:style w:type="paragraph" w:customStyle="1" w:styleId="PTitleRight">
    <w:name w:val="P.Title Right"/>
    <w:uiPriority w:val="99"/>
    <w:rsid w:val="00514076"/>
    <w:pPr>
      <w:jc w:val="right"/>
    </w:pPr>
    <w:rPr>
      <w:rFonts w:ascii="Arial Narrow" w:hAnsi="Arial Narrow" w:cs="Arial Narrow"/>
      <w:sz w:val="24"/>
      <w:szCs w:val="24"/>
    </w:rPr>
  </w:style>
  <w:style w:type="character" w:styleId="PageNumber">
    <w:name w:val="page number"/>
    <w:basedOn w:val="DefaultParagraphFont"/>
    <w:uiPriority w:val="99"/>
    <w:rsid w:val="00514076"/>
    <w:rPr>
      <w:rFonts w:ascii="Calibri" w:hAnsi="Calibri" w:cs="Arial"/>
      <w:sz w:val="20"/>
      <w:szCs w:val="18"/>
      <w:lang w:val="en-US"/>
    </w:rPr>
  </w:style>
  <w:style w:type="paragraph" w:styleId="Revision">
    <w:name w:val="Revision"/>
    <w:hidden/>
    <w:uiPriority w:val="99"/>
    <w:semiHidden/>
    <w:rsid w:val="00D42809"/>
    <w:rPr>
      <w:rFonts w:cs="Times"/>
      <w:sz w:val="24"/>
      <w:szCs w:val="22"/>
    </w:rPr>
  </w:style>
  <w:style w:type="table" w:customStyle="1" w:styleId="TableGrid2">
    <w:name w:val="Table Grid2"/>
    <w:basedOn w:val="TableNormal"/>
    <w:next w:val="TableGrid"/>
    <w:uiPriority w:val="59"/>
    <w:rsid w:val="0034367C"/>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FB406A"/>
    <w:rPr>
      <w:rFonts w:eastAsiaTheme="minorHAnsi" w:cs="Times New Roman"/>
      <w:szCs w:val="24"/>
    </w:rPr>
  </w:style>
  <w:style w:type="table" w:customStyle="1" w:styleId="TableGrid21">
    <w:name w:val="Table Grid21"/>
    <w:basedOn w:val="TableNormal"/>
    <w:next w:val="TableGrid"/>
    <w:uiPriority w:val="59"/>
    <w:rsid w:val="00422CB2"/>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468E9"/>
  </w:style>
  <w:style w:type="paragraph" w:styleId="ListBullet">
    <w:name w:val="List Bullet"/>
    <w:basedOn w:val="Normal"/>
    <w:autoRedefine/>
    <w:uiPriority w:val="99"/>
    <w:rsid w:val="00202871"/>
    <w:pPr>
      <w:numPr>
        <w:numId w:val="5"/>
      </w:numPr>
      <w:tabs>
        <w:tab w:val="left" w:pos="720"/>
      </w:tabs>
      <w:spacing w:before="120" w:after="120"/>
      <w:ind w:left="252" w:hanging="252"/>
    </w:pPr>
    <w:rPr>
      <w:rFonts w:asciiTheme="minorHAnsi" w:hAnsiTheme="minorHAnsi" w:cstheme="minorHAnsi"/>
      <w:sz w:val="18"/>
      <w:szCs w:val="18"/>
    </w:rPr>
  </w:style>
  <w:style w:type="character" w:customStyle="1" w:styleId="PBodyTextChar">
    <w:name w:val="P.Body Text Char"/>
    <w:basedOn w:val="DefaultParagraphFont"/>
    <w:link w:val="PBodyText"/>
    <w:locked/>
    <w:rsid w:val="00E05BC3"/>
    <w:rPr>
      <w:rFonts w:cs="Times"/>
      <w:sz w:val="24"/>
      <w:szCs w:val="22"/>
    </w:rPr>
  </w:style>
  <w:style w:type="paragraph" w:styleId="TOCHeading">
    <w:name w:val="TOC Heading"/>
    <w:basedOn w:val="Heading1"/>
    <w:next w:val="Normal"/>
    <w:uiPriority w:val="39"/>
    <w:unhideWhenUsed/>
    <w:qFormat/>
    <w:rsid w:val="00AC6135"/>
    <w:pPr>
      <w:keepLines/>
      <w:spacing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ListNumber4">
    <w:name w:val="List Number 4"/>
    <w:basedOn w:val="Normal"/>
    <w:uiPriority w:val="99"/>
    <w:semiHidden/>
    <w:unhideWhenUsed/>
    <w:rsid w:val="001413DD"/>
    <w:pPr>
      <w:numPr>
        <w:numId w:val="6"/>
      </w:numPr>
      <w:tabs>
        <w:tab w:val="clear" w:pos="1440"/>
      </w:tabs>
      <w:spacing w:before="120"/>
      <w:ind w:left="720"/>
    </w:pPr>
    <w:rPr>
      <w:rFonts w:cs="Times New Roman"/>
    </w:rPr>
  </w:style>
  <w:style w:type="table" w:customStyle="1" w:styleId="TableGrid3">
    <w:name w:val="Table Grid3"/>
    <w:basedOn w:val="TableNormal"/>
    <w:next w:val="TableGrid"/>
    <w:rsid w:val="001413D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Survey-Question">
    <w:name w:val="Q1-Survey-Question"/>
    <w:basedOn w:val="Normal"/>
    <w:rsid w:val="007F3E3B"/>
    <w:pPr>
      <w:keepNext/>
      <w:keepLines/>
      <w:numPr>
        <w:numId w:val="7"/>
      </w:numPr>
      <w:tabs>
        <w:tab w:val="left" w:pos="432"/>
      </w:tabs>
      <w:spacing w:before="280" w:after="120"/>
    </w:pPr>
    <w:rPr>
      <w:rFonts w:eastAsiaTheme="minorHAnsi" w:cstheme="minorBidi"/>
      <w:szCs w:val="24"/>
    </w:rPr>
  </w:style>
  <w:style w:type="character" w:customStyle="1" w:styleId="UnresolvedMention1">
    <w:name w:val="Unresolved Mention1"/>
    <w:basedOn w:val="DefaultParagraphFont"/>
    <w:uiPriority w:val="99"/>
    <w:semiHidden/>
    <w:unhideWhenUsed/>
    <w:rsid w:val="00365C2E"/>
    <w:rPr>
      <w:color w:val="605E5C"/>
      <w:shd w:val="clear" w:color="auto" w:fill="E1DFDD"/>
    </w:rPr>
  </w:style>
  <w:style w:type="paragraph" w:customStyle="1" w:styleId="SurveyBodyText">
    <w:name w:val="_Survey Body Text"/>
    <w:basedOn w:val="Normal"/>
    <w:qFormat/>
    <w:rsid w:val="00800B25"/>
    <w:pPr>
      <w:spacing w:after="240"/>
    </w:pPr>
    <w:rPr>
      <w:rFonts w:eastAsiaTheme="minorHAnsi" w:cstheme="minorBidi"/>
      <w:szCs w:val="24"/>
    </w:rPr>
  </w:style>
  <w:style w:type="character" w:customStyle="1" w:styleId="normaltextrun">
    <w:name w:val="normaltextrun"/>
    <w:basedOn w:val="DefaultParagraphFont"/>
    <w:rsid w:val="00E738F3"/>
  </w:style>
  <w:style w:type="character" w:styleId="UnresolvedMention">
    <w:name w:val="Unresolved Mention"/>
    <w:basedOn w:val="DefaultParagraphFont"/>
    <w:uiPriority w:val="99"/>
    <w:unhideWhenUsed/>
    <w:rsid w:val="007926FB"/>
    <w:rPr>
      <w:color w:val="605E5C"/>
      <w:shd w:val="clear" w:color="auto" w:fill="E1DFDD"/>
    </w:rPr>
  </w:style>
  <w:style w:type="character" w:styleId="Mention">
    <w:name w:val="Mention"/>
    <w:basedOn w:val="DefaultParagraphFont"/>
    <w:uiPriority w:val="99"/>
    <w:unhideWhenUsed/>
    <w:rsid w:val="007926FB"/>
    <w:rPr>
      <w:color w:val="2B579A"/>
      <w:shd w:val="clear" w:color="auto" w:fill="E1DFDD"/>
    </w:rPr>
  </w:style>
  <w:style w:type="paragraph" w:customStyle="1" w:styleId="StyleHeading2pHeading2AsianHeadingsAsianMSGothic">
    <w:name w:val="Style Heading 2p.Heading 2 + (Asian) +Headings Asian (MS Gothic)"/>
    <w:basedOn w:val="Heading2"/>
    <w:rsid w:val="00401D6D"/>
    <w:rPr>
      <w:i/>
    </w:rPr>
  </w:style>
  <w:style w:type="paragraph" w:customStyle="1" w:styleId="StylePTableTitleAsianBodyAsianMSMinchoNotBold">
    <w:name w:val="Style P.Table Title + (Asian) +Body Asian (MS Mincho) Not Bold"/>
    <w:basedOn w:val="PTableTitle"/>
    <w:rsid w:val="00CA0B47"/>
    <w:pPr>
      <w:spacing w:before="40" w:after="240"/>
    </w:pPr>
    <w:rPr>
      <w:rFonts w:eastAsiaTheme="minorEastAsia"/>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https://www.cms.gov/files/document/2023-qrs-qhp-enrollee-survey-technical-guidance.pdf" TargetMode="External" /><Relationship Id="rId15" Type="http://schemas.openxmlformats.org/officeDocument/2006/relationships/hyperlink" Target="https://www.cms.gov/Medicare/Quality-Initiatives-Patient-Assessment-Instruments/QualityInitiativesGenInfo/Health-Insurance-Marketplace-Quality-Initiatives.html" TargetMode="Externa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mpsit.t19.htm" TargetMode="External" /><Relationship Id="rId2" Type="http://schemas.openxmlformats.org/officeDocument/2006/relationships/hyperlink" Target="https://www.cms.gov/Medicare/Quality-Initiatives-Patient-Assessment-Instruments/QualityInitiativesGenInfo/ACA-MQI/ACA-MQI-Landing-Pa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053c75-d5b1-4a8f-aa34-83600307078b">
      <Terms xmlns="http://schemas.microsoft.com/office/infopath/2007/PartnerControls"/>
    </lcf76f155ced4ddcb4097134ff3c332f>
    <TaxCatchAll xmlns="b8759a14-0f36-467b-89bb-6221a083b0fc" xsi:nil="true"/>
    <SharedWithUsers xmlns="fa2d3107-6ff3-4101-8a67-eedbb21beb10">
      <UserInfo>
        <DisplayName>Lankford, Coretta</DisplayName>
        <AccountId>1667</AccountId>
        <AccountType/>
      </UserInfo>
      <UserInfo>
        <DisplayName>Patel, Parakh</DisplayName>
        <AccountId>12518</AccountId>
        <AccountType/>
      </UserInfo>
      <UserInfo>
        <DisplayName>Van, Cindy</DisplayName>
        <AccountId>8641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F4E8C7DAEE5E4E96BE8345E188BB40" ma:contentTypeVersion="9" ma:contentTypeDescription="Create a new document." ma:contentTypeScope="" ma:versionID="a40a720235bb235aeca7c74b913359ec">
  <xsd:schema xmlns:xsd="http://www.w3.org/2001/XMLSchema" xmlns:xs="http://www.w3.org/2001/XMLSchema" xmlns:p="http://schemas.microsoft.com/office/2006/metadata/properties" xmlns:ns2="d8053c75-d5b1-4a8f-aa34-83600307078b" xmlns:ns3="fa2d3107-6ff3-4101-8a67-eedbb21beb10" xmlns:ns4="b8759a14-0f36-467b-89bb-6221a083b0fc" targetNamespace="http://schemas.microsoft.com/office/2006/metadata/properties" ma:root="true" ma:fieldsID="c9008842baac1f5c7af57584ab353f91" ns2:_="" ns3:_="" ns4:_="">
    <xsd:import namespace="d8053c75-d5b1-4a8f-aa34-83600307078b"/>
    <xsd:import namespace="fa2d3107-6ff3-4101-8a67-eedbb21beb10"/>
    <xsd:import namespace="b8759a14-0f36-467b-89bb-6221a083b0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53c75-d5b1-4a8f-aa34-836003070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d3107-6ff3-4101-8a67-eedbb21beb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759a14-0f36-467b-89bb-6221a083b0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a7f5ae-f627-4195-acdb-56615c0bbd96}" ma:internalName="TaxCatchAll" ma:showField="CatchAllData" ma:web="b8759a14-0f36-467b-89bb-6221a083b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9A984-EA91-4512-8951-781257901E9A}">
  <ds:schemaRefs>
    <ds:schemaRef ds:uri="http://schemas.microsoft.com/office/2006/metadata/properties"/>
    <ds:schemaRef ds:uri="http://schemas.microsoft.com/office/infopath/2007/PartnerControls"/>
    <ds:schemaRef ds:uri="d8053c75-d5b1-4a8f-aa34-83600307078b"/>
    <ds:schemaRef ds:uri="b8759a14-0f36-467b-89bb-6221a083b0fc"/>
    <ds:schemaRef ds:uri="fa2d3107-6ff3-4101-8a67-eedbb21beb10"/>
  </ds:schemaRefs>
</ds:datastoreItem>
</file>

<file path=customXml/itemProps2.xml><?xml version="1.0" encoding="utf-8"?>
<ds:datastoreItem xmlns:ds="http://schemas.openxmlformats.org/officeDocument/2006/customXml" ds:itemID="{DB6D8E0C-0E3A-4A1C-8176-6EE295541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53c75-d5b1-4a8f-aa34-83600307078b"/>
    <ds:schemaRef ds:uri="fa2d3107-6ff3-4101-8a67-eedbb21beb10"/>
    <ds:schemaRef ds:uri="b8759a14-0f36-467b-89bb-6221a083b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C0400C-78EB-427A-89B0-F5A4442FE960}">
  <ds:schemaRefs>
    <ds:schemaRef ds:uri="http://schemas.openxmlformats.org/officeDocument/2006/bibliography"/>
  </ds:schemaRefs>
</ds:datastoreItem>
</file>

<file path=customXml/itemProps4.xml><?xml version="1.0" encoding="utf-8"?>
<ds:datastoreItem xmlns:ds="http://schemas.openxmlformats.org/officeDocument/2006/customXml" ds:itemID="{8E271948-FD63-43A0-B25E-60F7EE356FFD}">
  <ds:schemaRefs>
    <ds:schemaRef ds:uri="http://schemas.openxmlformats.org/officeDocument/2006/bibliography"/>
  </ds:schemaRefs>
</ds:datastoreItem>
</file>

<file path=customXml/itemProps5.xml><?xml version="1.0" encoding="utf-8"?>
<ds:datastoreItem xmlns:ds="http://schemas.openxmlformats.org/officeDocument/2006/customXml" ds:itemID="{D965892C-6209-47E2-8366-7E87C40BB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4129</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Health Insurance Exchange Consumer Experience Surveys: Qualified Health Plan Enrollee Experience Survey - Supporting Statement Part A</vt:lpstr>
    </vt:vector>
  </TitlesOfParts>
  <Company/>
  <LinksUpToDate>false</LinksUpToDate>
  <CharactersWithSpaces>27615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Insurance Exchange Consumer Experience Surveys: Qualified Health Plan Enrollee Experience Survey - Supporting Statement Part A</dc:title>
  <dc:subject>Supporting Statement—Part A: Supporting Statement for the Enrollee Satisfaction Survey and Exchange Survey Data Collection</dc:subject>
  <dc:creator>Centers for Medicare &amp; Medicaid Services</dc:creator>
  <cp:keywords>CMS; QHP Enrollee Experience Survey; supporting statement; Part A; data collection; justification; background</cp:keywords>
  <dc:description>Public Domain</dc:description>
  <cp:lastModifiedBy>Hill, Jamaa (CMS/OSORA)</cp:lastModifiedBy>
  <cp:revision>2</cp:revision>
  <dcterms:created xsi:type="dcterms:W3CDTF">2023-07-31T15:42:00Z</dcterms:created>
  <dcterms:modified xsi:type="dcterms:W3CDTF">2023-07-31T15:42:00Z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0x0101009AF4E8C7DAEE5E4E96BE8345E188BB40</vt:lpwstr>
  </property>
  <property fmtid="{D5CDD505-2E9C-101B-9397-08002B2CF9AE}" pid="3" name="GrammarlyDocumentId">
    <vt:lpwstr>ec60a69978c5bf16bce2578ea52557f906dd6d7c2180d5ebd2615202c34d48a5</vt:lpwstr>
  </property>
  <property fmtid="{D5CDD505-2E9C-101B-9397-08002B2CF9AE}" pid="4" name="MediaServiceImageTags">
    <vt:lpwstr/>
  </property>
  <property fmtid="{D5CDD505-2E9C-101B-9397-08002B2CF9AE}" pid="5" name="_NewReviewCycle">
    <vt:lpwstr/>
  </property>
</Properties>
</file>