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pPr>
        <w:pStyle w:val="BodyText"/>
        <w:spacing w:before="0"/>
        <w:ind w:left="0"/>
        <w:rPr>
          <w:sz w:val="56"/>
        </w:rPr>
      </w:pPr>
    </w:p>
    <w:p>
      <w:pPr>
        <w:pStyle w:val="BodyText"/>
        <w:spacing w:before="0"/>
        <w:ind w:left="0"/>
        <w:rPr>
          <w:sz w:val="56"/>
        </w:rPr>
      </w:pPr>
    </w:p>
    <w:p>
      <w:pPr>
        <w:pStyle w:val="BodyText"/>
        <w:spacing w:before="0"/>
        <w:ind w:left="0"/>
        <w:rPr>
          <w:sz w:val="56"/>
        </w:rPr>
      </w:pPr>
    </w:p>
    <w:p>
      <w:pPr>
        <w:pStyle w:val="BodyText"/>
        <w:spacing w:before="0"/>
        <w:ind w:left="0"/>
        <w:rPr>
          <w:sz w:val="56"/>
        </w:rPr>
      </w:pPr>
    </w:p>
    <w:p>
      <w:pPr>
        <w:pStyle w:val="BodyText"/>
        <w:spacing w:before="0"/>
        <w:ind w:left="0"/>
        <w:rPr>
          <w:sz w:val="56"/>
        </w:rPr>
      </w:pPr>
    </w:p>
    <w:p>
      <w:pPr>
        <w:pStyle w:val="BodyText"/>
        <w:spacing w:before="159"/>
        <w:ind w:left="0"/>
        <w:rPr>
          <w:sz w:val="56"/>
        </w:rPr>
      </w:pPr>
    </w:p>
    <w:p>
      <w:pPr>
        <w:pStyle w:val="Heading1"/>
      </w:pPr>
      <w:bookmarkStart w:id="0" w:name="Health Insurance Exchange Consumer Exper"/>
      <w:bookmarkEnd w:id="0"/>
      <w:bookmarkStart w:id="1" w:name="_bookmark0"/>
      <w:bookmarkEnd w:id="1"/>
      <w:r>
        <w:t>Health Insurance Exchange Consumer</w:t>
      </w:r>
      <w:r>
        <w:rPr>
          <w:spacing w:val="-18"/>
        </w:rPr>
        <w:t xml:space="preserve"> </w:t>
      </w:r>
      <w:r>
        <w:t>Experience</w:t>
      </w:r>
      <w:r>
        <w:rPr>
          <w:spacing w:val="-15"/>
        </w:rPr>
        <w:t xml:space="preserve"> </w:t>
      </w:r>
      <w:r>
        <w:t>Surveys: Qualified Health Plan Enrollee Experience Survey</w:t>
      </w:r>
    </w:p>
    <w:p>
      <w:pPr>
        <w:spacing w:before="479" w:line="368" w:lineRule="exact"/>
        <w:ind w:left="2" w:right="90" w:firstLine="0"/>
        <w:jc w:val="center"/>
        <w:rPr>
          <w:rFonts w:ascii="Arial" w:hAnsi="Arial"/>
          <w:b/>
          <w:sz w:val="32"/>
        </w:rPr>
      </w:pPr>
      <w:r>
        <w:rPr>
          <w:rFonts w:ascii="Arial" w:hAnsi="Arial"/>
          <w:b/>
          <w:sz w:val="32"/>
        </w:rPr>
        <w:t>Supporting</w:t>
      </w:r>
      <w:r>
        <w:rPr>
          <w:rFonts w:ascii="Arial" w:hAnsi="Arial"/>
          <w:b/>
          <w:spacing w:val="-21"/>
          <w:sz w:val="32"/>
        </w:rPr>
        <w:t xml:space="preserve"> </w:t>
      </w:r>
      <w:r>
        <w:rPr>
          <w:rFonts w:ascii="Arial" w:hAnsi="Arial"/>
          <w:b/>
          <w:sz w:val="32"/>
        </w:rPr>
        <w:t>Statement—Part</w:t>
      </w:r>
      <w:r>
        <w:rPr>
          <w:rFonts w:ascii="Arial" w:hAnsi="Arial"/>
          <w:b/>
          <w:spacing w:val="-17"/>
          <w:sz w:val="32"/>
        </w:rPr>
        <w:t xml:space="preserve"> </w:t>
      </w:r>
      <w:r>
        <w:rPr>
          <w:rFonts w:ascii="Arial" w:hAnsi="Arial"/>
          <w:b/>
          <w:spacing w:val="-10"/>
          <w:sz w:val="32"/>
        </w:rPr>
        <w:t>B</w:t>
      </w:r>
    </w:p>
    <w:p>
      <w:pPr>
        <w:spacing w:before="0" w:line="368" w:lineRule="exact"/>
        <w:ind w:left="0" w:right="94" w:firstLine="0"/>
        <w:jc w:val="center"/>
        <w:rPr>
          <w:rFonts w:ascii="Arial"/>
          <w:b/>
          <w:sz w:val="32"/>
        </w:rPr>
      </w:pPr>
      <w:r>
        <w:rPr>
          <w:rFonts w:ascii="Arial"/>
          <w:b/>
          <w:sz w:val="32"/>
        </w:rPr>
        <w:t>Collections</w:t>
      </w:r>
      <w:r>
        <w:rPr>
          <w:rFonts w:ascii="Arial"/>
          <w:b/>
          <w:spacing w:val="-18"/>
          <w:sz w:val="32"/>
        </w:rPr>
        <w:t xml:space="preserve"> </w:t>
      </w:r>
      <w:r>
        <w:rPr>
          <w:rFonts w:ascii="Arial"/>
          <w:b/>
          <w:sz w:val="32"/>
        </w:rPr>
        <w:t>of</w:t>
      </w:r>
      <w:r>
        <w:rPr>
          <w:rFonts w:ascii="Arial"/>
          <w:b/>
          <w:spacing w:val="-17"/>
          <w:sz w:val="32"/>
        </w:rPr>
        <w:t xml:space="preserve"> </w:t>
      </w:r>
      <w:r>
        <w:rPr>
          <w:rFonts w:ascii="Arial"/>
          <w:b/>
          <w:sz w:val="32"/>
        </w:rPr>
        <w:t>Information</w:t>
      </w:r>
      <w:r>
        <w:rPr>
          <w:rFonts w:ascii="Arial"/>
          <w:b/>
          <w:spacing w:val="-18"/>
          <w:sz w:val="32"/>
        </w:rPr>
        <w:t xml:space="preserve"> </w:t>
      </w:r>
      <w:r>
        <w:rPr>
          <w:rFonts w:ascii="Arial"/>
          <w:b/>
          <w:sz w:val="32"/>
        </w:rPr>
        <w:t>Employing</w:t>
      </w:r>
      <w:r>
        <w:rPr>
          <w:rFonts w:ascii="Arial"/>
          <w:b/>
          <w:spacing w:val="-19"/>
          <w:sz w:val="32"/>
        </w:rPr>
        <w:t xml:space="preserve"> </w:t>
      </w:r>
      <w:r>
        <w:rPr>
          <w:rFonts w:ascii="Arial"/>
          <w:b/>
          <w:sz w:val="32"/>
        </w:rPr>
        <w:t>Statistical</w:t>
      </w:r>
      <w:r>
        <w:rPr>
          <w:rFonts w:ascii="Arial"/>
          <w:b/>
          <w:spacing w:val="-18"/>
          <w:sz w:val="32"/>
        </w:rPr>
        <w:t xml:space="preserve"> </w:t>
      </w:r>
      <w:r>
        <w:rPr>
          <w:rFonts w:ascii="Arial"/>
          <w:b/>
          <w:spacing w:val="-2"/>
          <w:sz w:val="32"/>
        </w:rPr>
        <w:t>Methods</w:t>
      </w:r>
    </w:p>
    <w:p>
      <w:pPr>
        <w:pStyle w:val="BodyText"/>
        <w:spacing w:before="231"/>
        <w:ind w:left="0"/>
        <w:rPr>
          <w:rFonts w:ascii="Arial"/>
          <w:b/>
          <w:sz w:val="32"/>
        </w:rPr>
      </w:pPr>
    </w:p>
    <w:p>
      <w:pPr>
        <w:spacing w:before="1"/>
        <w:ind w:left="0" w:right="94" w:firstLine="0"/>
        <w:jc w:val="center"/>
        <w:rPr>
          <w:rFonts w:ascii="Arial"/>
          <w:b/>
          <w:sz w:val="32"/>
        </w:rPr>
      </w:pPr>
      <w:r>
        <w:rPr>
          <w:rFonts w:ascii="Arial"/>
          <w:b/>
          <w:sz w:val="32"/>
        </w:rPr>
        <w:t>June</w:t>
      </w:r>
      <w:r>
        <w:rPr>
          <w:rFonts w:ascii="Arial"/>
          <w:b/>
          <w:spacing w:val="-8"/>
          <w:sz w:val="32"/>
        </w:rPr>
        <w:t xml:space="preserve"> </w:t>
      </w:r>
      <w:r>
        <w:rPr>
          <w:rFonts w:ascii="Arial"/>
          <w:b/>
          <w:sz w:val="32"/>
        </w:rPr>
        <w:t>8,</w:t>
      </w:r>
      <w:r>
        <w:rPr>
          <w:rFonts w:ascii="Arial"/>
          <w:b/>
          <w:spacing w:val="-8"/>
          <w:sz w:val="32"/>
        </w:rPr>
        <w:t xml:space="preserve"> </w:t>
      </w:r>
      <w:r>
        <w:rPr>
          <w:rFonts w:ascii="Arial"/>
          <w:b/>
          <w:spacing w:val="-4"/>
          <w:sz w:val="32"/>
        </w:rPr>
        <w:t>2026</w:t>
      </w:r>
    </w:p>
    <w:p>
      <w:pPr>
        <w:pStyle w:val="BodyText"/>
        <w:spacing w:before="233"/>
        <w:ind w:left="0"/>
        <w:rPr>
          <w:rFonts w:ascii="Arial"/>
          <w:b/>
          <w:sz w:val="32"/>
        </w:rPr>
      </w:pPr>
    </w:p>
    <w:p>
      <w:pPr>
        <w:spacing w:before="0" w:line="631" w:lineRule="auto"/>
        <w:ind w:left="1812" w:right="1413" w:firstLine="686"/>
        <w:jc w:val="left"/>
        <w:rPr>
          <w:rFonts w:ascii="Arial"/>
          <w:b/>
          <w:sz w:val="32"/>
        </w:rPr>
      </w:pPr>
      <w:r>
        <w:rPr>
          <w:rFonts w:ascii="Arial"/>
          <w:b/>
          <w:sz w:val="32"/>
        </w:rPr>
        <w:t>OMB Control Number: 0938-1221 Centers</w:t>
      </w:r>
      <w:r>
        <w:rPr>
          <w:rFonts w:ascii="Arial"/>
          <w:b/>
          <w:spacing w:val="-9"/>
          <w:sz w:val="32"/>
        </w:rPr>
        <w:t xml:space="preserve"> </w:t>
      </w:r>
      <w:r>
        <w:rPr>
          <w:rFonts w:ascii="Arial"/>
          <w:b/>
          <w:sz w:val="32"/>
        </w:rPr>
        <w:t>for</w:t>
      </w:r>
      <w:r>
        <w:rPr>
          <w:rFonts w:ascii="Arial"/>
          <w:b/>
          <w:spacing w:val="-9"/>
          <w:sz w:val="32"/>
        </w:rPr>
        <w:t xml:space="preserve"> </w:t>
      </w:r>
      <w:r>
        <w:rPr>
          <w:rFonts w:ascii="Arial"/>
          <w:b/>
          <w:sz w:val="32"/>
        </w:rPr>
        <w:t>Medicare</w:t>
      </w:r>
      <w:r>
        <w:rPr>
          <w:rFonts w:ascii="Arial"/>
          <w:b/>
          <w:spacing w:val="-6"/>
          <w:sz w:val="32"/>
        </w:rPr>
        <w:t xml:space="preserve"> </w:t>
      </w:r>
      <w:r>
        <w:rPr>
          <w:rFonts w:ascii="Arial"/>
          <w:b/>
          <w:sz w:val="32"/>
        </w:rPr>
        <w:t>&amp;</w:t>
      </w:r>
      <w:r>
        <w:rPr>
          <w:rFonts w:ascii="Arial"/>
          <w:b/>
          <w:spacing w:val="-8"/>
          <w:sz w:val="32"/>
        </w:rPr>
        <w:t xml:space="preserve"> </w:t>
      </w:r>
      <w:r>
        <w:rPr>
          <w:rFonts w:ascii="Arial"/>
          <w:b/>
          <w:sz w:val="32"/>
        </w:rPr>
        <w:t>Medicaid</w:t>
      </w:r>
      <w:r>
        <w:rPr>
          <w:rFonts w:ascii="Arial"/>
          <w:b/>
          <w:spacing w:val="-9"/>
          <w:sz w:val="32"/>
        </w:rPr>
        <w:t xml:space="preserve"> </w:t>
      </w:r>
      <w:r>
        <w:rPr>
          <w:rFonts w:ascii="Arial"/>
          <w:b/>
          <w:sz w:val="32"/>
        </w:rPr>
        <w:t>Services</w:t>
      </w:r>
    </w:p>
    <w:p>
      <w:pPr>
        <w:spacing w:after="0" w:line="631" w:lineRule="auto"/>
        <w:jc w:val="left"/>
        <w:rPr>
          <w:rFonts w:ascii="Arial"/>
          <w:b/>
          <w:sz w:val="32"/>
        </w:rPr>
        <w:sectPr>
          <w:type w:val="continuous"/>
          <w:pgSz w:w="12240" w:h="15840"/>
          <w:pgMar w:top="1820" w:right="1080" w:bottom="280" w:left="1080" w:header="720" w:footer="720"/>
          <w:cols w:space="720"/>
        </w:sectPr>
      </w:pPr>
    </w:p>
    <w:p>
      <w:pPr>
        <w:spacing w:line="20" w:lineRule="exact"/>
        <w:ind w:left="331" w:right="0" w:firstLine="0"/>
        <w:rPr>
          <w:rFonts w:ascii="Arial"/>
          <w:sz w:val="2"/>
        </w:rPr>
      </w:pPr>
      <w:r>
        <w:rPr>
          <w:rFonts w:ascii="Arial"/>
          <w:sz w:val="2"/>
        </w:rPr>
        <mc:AlternateContent>
          <mc:Choice Requires="wpg">
            <w:drawing>
              <wp:inline distT="0" distB="0" distL="0" distR="0">
                <wp:extent cx="5981065" cy="6350"/>
                <wp:effectExtent l="0" t="0" r="0" b="0"/>
                <wp:docPr id="3" name="Group 3"/>
                <wp:cNvGraphicFramePr/>
                <a:graphic xmlns:a="http://schemas.openxmlformats.org/drawingml/2006/main">
                  <a:graphicData uri="http://schemas.microsoft.com/office/word/2010/wordprocessingGroup">
                    <wpg:wgp xmlns:wpg="http://schemas.microsoft.com/office/word/2010/wordprocessingGroup">
                      <wpg:cNvGrpSpPr/>
                      <wpg:grpSpPr>
                        <a:xfrm>
                          <a:off x="0" y="0"/>
                          <a:ext cx="5981065" cy="6350"/>
                          <a:chOff x="0" y="0"/>
                          <a:chExt cx="5981065" cy="6350"/>
                        </a:xfrm>
                      </wpg:grpSpPr>
                      <wps:wsp xmlns:wps="http://schemas.microsoft.com/office/word/2010/wordprocessingShape">
                        <wps:cNvPr id="4" name="Graphic 4"/>
                        <wps:cNvSpPr/>
                        <wps:spPr>
                          <a:xfrm>
                            <a:off x="0" y="0"/>
                            <a:ext cx="5981065" cy="6350"/>
                          </a:xfrm>
                          <a:custGeom>
                            <a:avLst/>
                            <a:gdLst/>
                            <a:rect l="l" t="t" r="r" b="b"/>
                            <a:pathLst>
                              <a:path fill="norm" h="6350" w="5981065" stroke="1">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_x0000_i1025" style="width:470.95pt;height:0.5pt;mso-position-horizontal-relative:char;mso-position-vertical-relative:line" coordorigin="0,0" coordsize="9419,10">
                <v:rect id="_x0000_s1026" style="width:9419;height:10;position:absolute" filled="t" fillcolor="black" stroked="f">
                  <v:fill type="solid"/>
                </v:rect>
                <w10:wrap type="none"/>
              </v:group>
            </w:pict>
          </mc:Fallback>
        </mc:AlternateContent>
      </w:r>
    </w:p>
    <w:p>
      <w:pPr>
        <w:pStyle w:val="BodyText"/>
        <w:spacing w:before="137"/>
        <w:ind w:left="0"/>
        <w:rPr>
          <w:rFonts w:ascii="Arial"/>
          <w:b/>
          <w:sz w:val="28"/>
        </w:rPr>
      </w:pPr>
    </w:p>
    <w:p>
      <w:pPr>
        <w:pStyle w:val="Heading2"/>
        <w:spacing w:before="0"/>
        <w:ind w:left="89" w:right="88" w:firstLine="0"/>
        <w:jc w:val="center"/>
      </w:pPr>
      <w:bookmarkStart w:id="2" w:name="Table of Contents"/>
      <w:bookmarkEnd w:id="2"/>
      <w:bookmarkStart w:id="3" w:name="List of Exhibits"/>
      <w:bookmarkEnd w:id="3"/>
      <w:r>
        <w:t>Table</w:t>
      </w:r>
      <w:r>
        <w:rPr>
          <w:spacing w:val="-4"/>
        </w:rPr>
        <w:t xml:space="preserve"> </w:t>
      </w:r>
      <w:r>
        <w:t>of</w:t>
      </w:r>
      <w:r>
        <w:rPr>
          <w:spacing w:val="-2"/>
        </w:rPr>
        <w:t xml:space="preserve"> Contents</w:t>
      </w:r>
    </w:p>
    <w:sdt>
      <w:sdtPr>
        <w:id w:val="1714806608"/>
        <w:docPartObj>
          <w:docPartGallery w:val="Table of Contents"/>
          <w:docPartUnique/>
        </w:docPartObj>
      </w:sdtPr>
      <w:sdtContent>
        <w:p>
          <w:pPr>
            <w:pStyle w:val="TOC2"/>
            <w:tabs>
              <w:tab w:val="left" w:leader="dot" w:pos="9625"/>
            </w:tabs>
            <w:spacing w:before="480"/>
            <w:ind w:left="360" w:right="385" w:firstLine="0"/>
          </w:pPr>
          <w:hyperlink w:anchor="_bookmark0" w:history="1">
            <w:r>
              <w:t>Health Insurance Exchange Consumer Experience Surveys: Qualified Health Plan</w:t>
            </w:r>
          </w:hyperlink>
          <w:r>
            <w:rPr>
              <w:spacing w:val="40"/>
            </w:rPr>
            <w:t xml:space="preserve"> </w:t>
          </w:r>
          <w:hyperlink w:anchor="_bookmark0" w:history="1">
            <w:r>
              <w:t>Enrollee Experience Survey</w:t>
              <w:tab/>
            </w:r>
            <w:r>
              <w:rPr>
                <w:spacing w:val="-10"/>
              </w:rPr>
              <w:t>i</w:t>
            </w:r>
          </w:hyperlink>
        </w:p>
        <w:p>
          <w:pPr>
            <w:pStyle w:val="TOC2"/>
            <w:numPr>
              <w:ilvl w:val="0"/>
              <w:numId w:val="20"/>
            </w:numPr>
            <w:tabs>
              <w:tab w:val="left" w:pos="720"/>
              <w:tab w:val="left" w:leader="dot" w:pos="9601"/>
            </w:tabs>
            <w:spacing w:before="120" w:after="0" w:line="240" w:lineRule="auto"/>
            <w:ind w:left="720" w:right="0" w:hanging="360"/>
            <w:jc w:val="left"/>
          </w:pPr>
          <w:hyperlink w:anchor="_bookmark1" w:history="1">
            <w:r>
              <w:t>Potential</w:t>
            </w:r>
            <w:r>
              <w:rPr>
                <w:spacing w:val="-4"/>
              </w:rPr>
              <w:t xml:space="preserve"> </w:t>
            </w:r>
            <w:r>
              <w:t>Respondent</w:t>
            </w:r>
            <w:r>
              <w:rPr>
                <w:spacing w:val="-3"/>
              </w:rPr>
              <w:t xml:space="preserve"> </w:t>
            </w:r>
            <w:r>
              <w:t>Universe</w:t>
            </w:r>
            <w:r>
              <w:rPr>
                <w:spacing w:val="-4"/>
              </w:rPr>
              <w:t xml:space="preserve"> </w:t>
            </w:r>
            <w:r>
              <w:t>and</w:t>
            </w:r>
            <w:r>
              <w:rPr>
                <w:spacing w:val="-3"/>
              </w:rPr>
              <w:t xml:space="preserve"> </w:t>
            </w:r>
            <w:r>
              <w:t>Sampling</w:t>
            </w:r>
            <w:r>
              <w:rPr>
                <w:spacing w:val="-5"/>
              </w:rPr>
              <w:t xml:space="preserve"> </w:t>
            </w:r>
            <w:r>
              <w:rPr>
                <w:spacing w:val="-2"/>
              </w:rPr>
              <w:t>Methods</w:t>
            </w:r>
            <w:r>
              <w:tab/>
            </w:r>
            <w:r>
              <w:rPr>
                <w:spacing w:val="-10"/>
              </w:rPr>
              <w:t>1</w:t>
            </w:r>
          </w:hyperlink>
        </w:p>
        <w:p>
          <w:pPr>
            <w:pStyle w:val="TOC4"/>
            <w:numPr>
              <w:ilvl w:val="1"/>
              <w:numId w:val="20"/>
            </w:numPr>
            <w:tabs>
              <w:tab w:val="left" w:pos="1080"/>
              <w:tab w:val="left" w:leader="dot" w:pos="9601"/>
            </w:tabs>
            <w:spacing w:before="0" w:after="0" w:line="240" w:lineRule="auto"/>
            <w:ind w:left="1080" w:right="0" w:hanging="360"/>
            <w:jc w:val="left"/>
          </w:pPr>
          <w:hyperlink w:anchor="_bookmark2" w:history="1">
            <w:r>
              <w:t>Sampling</w:t>
            </w:r>
            <w:r>
              <w:rPr>
                <w:spacing w:val="-1"/>
              </w:rPr>
              <w:t xml:space="preserve"> </w:t>
            </w:r>
            <w:r>
              <w:t>of</w:t>
            </w:r>
            <w:r>
              <w:rPr>
                <w:spacing w:val="-1"/>
              </w:rPr>
              <w:t xml:space="preserve"> </w:t>
            </w:r>
            <w:r>
              <w:t>Reporting</w:t>
            </w:r>
            <w:r>
              <w:rPr>
                <w:spacing w:val="-1"/>
              </w:rPr>
              <w:t xml:space="preserve"> </w:t>
            </w:r>
            <w:r>
              <w:rPr>
                <w:spacing w:val="-2"/>
              </w:rPr>
              <w:t>Units</w:t>
            </w:r>
            <w:r>
              <w:tab/>
            </w:r>
            <w:r>
              <w:rPr>
                <w:spacing w:val="-10"/>
              </w:rPr>
              <w:t>1</w:t>
            </w:r>
          </w:hyperlink>
        </w:p>
        <w:p>
          <w:pPr>
            <w:pStyle w:val="TOC4"/>
            <w:numPr>
              <w:ilvl w:val="1"/>
              <w:numId w:val="20"/>
            </w:numPr>
            <w:tabs>
              <w:tab w:val="left" w:pos="1080"/>
              <w:tab w:val="left" w:leader="dot" w:pos="9601"/>
            </w:tabs>
            <w:spacing w:before="0" w:after="0" w:line="240" w:lineRule="auto"/>
            <w:ind w:left="1080" w:right="0" w:hanging="360"/>
            <w:jc w:val="left"/>
          </w:pPr>
          <w:hyperlink w:anchor="_bookmark5" w:history="1">
            <w:r>
              <w:t>Sample</w:t>
            </w:r>
            <w:r>
              <w:rPr>
                <w:spacing w:val="-3"/>
              </w:rPr>
              <w:t xml:space="preserve"> </w:t>
            </w:r>
            <w:r>
              <w:t>Frame</w:t>
            </w:r>
            <w:r>
              <w:rPr>
                <w:spacing w:val="-1"/>
              </w:rPr>
              <w:t xml:space="preserve"> </w:t>
            </w:r>
            <w:r>
              <w:t>&amp;</w:t>
            </w:r>
            <w:r>
              <w:rPr>
                <w:spacing w:val="-1"/>
              </w:rPr>
              <w:t xml:space="preserve"> </w:t>
            </w:r>
            <w:r>
              <w:t>Respondent</w:t>
            </w:r>
            <w:r>
              <w:rPr>
                <w:spacing w:val="-1"/>
              </w:rPr>
              <w:t xml:space="preserve"> </w:t>
            </w:r>
            <w:r>
              <w:rPr>
                <w:spacing w:val="-2"/>
              </w:rPr>
              <w:t>Universe</w:t>
            </w:r>
            <w:r>
              <w:tab/>
            </w:r>
            <w:r>
              <w:rPr>
                <w:spacing w:val="-10"/>
              </w:rPr>
              <w:t>2</w:t>
            </w:r>
          </w:hyperlink>
        </w:p>
        <w:p>
          <w:pPr>
            <w:pStyle w:val="TOC4"/>
            <w:numPr>
              <w:ilvl w:val="1"/>
              <w:numId w:val="20"/>
            </w:numPr>
            <w:tabs>
              <w:tab w:val="left" w:pos="1080"/>
              <w:tab w:val="left" w:leader="dot" w:pos="9601"/>
            </w:tabs>
            <w:spacing w:before="0" w:after="0" w:line="240" w:lineRule="auto"/>
            <w:ind w:left="1080" w:right="0" w:hanging="360"/>
            <w:jc w:val="left"/>
          </w:pPr>
          <w:hyperlink w:anchor="_bookmark7" w:history="1">
            <w:r>
              <w:t>Sample</w:t>
            </w:r>
            <w:r>
              <w:rPr>
                <w:spacing w:val="-2"/>
              </w:rPr>
              <w:t xml:space="preserve"> </w:t>
            </w:r>
            <w:r>
              <w:rPr>
                <w:spacing w:val="-4"/>
              </w:rPr>
              <w:t>Size</w:t>
            </w:r>
            <w:r>
              <w:tab/>
            </w:r>
            <w:r>
              <w:rPr>
                <w:spacing w:val="-12"/>
              </w:rPr>
              <w:t>3</w:t>
            </w:r>
          </w:hyperlink>
        </w:p>
        <w:p>
          <w:pPr>
            <w:pStyle w:val="TOC2"/>
            <w:numPr>
              <w:ilvl w:val="0"/>
              <w:numId w:val="20"/>
            </w:numPr>
            <w:tabs>
              <w:tab w:val="left" w:pos="720"/>
              <w:tab w:val="left" w:leader="dot" w:pos="9601"/>
            </w:tabs>
            <w:spacing w:before="120" w:after="0" w:line="240" w:lineRule="auto"/>
            <w:ind w:left="720" w:right="0" w:hanging="360"/>
            <w:jc w:val="left"/>
          </w:pPr>
          <w:hyperlink w:anchor="_bookmark8" w:history="1">
            <w:r>
              <w:t>Information</w:t>
            </w:r>
            <w:r>
              <w:rPr>
                <w:spacing w:val="-6"/>
              </w:rPr>
              <w:t xml:space="preserve"> </w:t>
            </w:r>
            <w:r>
              <w:t>Collection</w:t>
            </w:r>
            <w:r>
              <w:rPr>
                <w:spacing w:val="-5"/>
              </w:rPr>
              <w:t xml:space="preserve"> </w:t>
            </w:r>
            <w:r>
              <w:rPr>
                <w:spacing w:val="-2"/>
              </w:rPr>
              <w:t>Procedures</w:t>
            </w:r>
            <w:r>
              <w:tab/>
            </w:r>
            <w:r>
              <w:rPr>
                <w:spacing w:val="-10"/>
              </w:rPr>
              <w:t>3</w:t>
            </w:r>
          </w:hyperlink>
        </w:p>
        <w:p>
          <w:pPr>
            <w:pStyle w:val="TOC4"/>
            <w:tabs>
              <w:tab w:val="left" w:leader="dot" w:pos="9601"/>
            </w:tabs>
            <w:ind w:left="720" w:firstLine="0"/>
          </w:pPr>
          <w:hyperlink w:anchor="_bookmark10" w:history="1">
            <w:r>
              <w:t>QHP</w:t>
            </w:r>
            <w:r>
              <w:rPr>
                <w:spacing w:val="-3"/>
              </w:rPr>
              <w:t xml:space="preserve"> </w:t>
            </w:r>
            <w:r>
              <w:t>Enrollee</w:t>
            </w:r>
            <w:r>
              <w:rPr>
                <w:spacing w:val="-2"/>
              </w:rPr>
              <w:t xml:space="preserve"> </w:t>
            </w:r>
            <w:r>
              <w:t>Survey</w:t>
            </w:r>
            <w:r>
              <w:rPr>
                <w:spacing w:val="-2"/>
              </w:rPr>
              <w:t xml:space="preserve"> Scoring</w:t>
            </w:r>
            <w:r>
              <w:tab/>
            </w:r>
            <w:r>
              <w:rPr>
                <w:spacing w:val="-10"/>
              </w:rPr>
              <w:t>4</w:t>
            </w:r>
          </w:hyperlink>
        </w:p>
        <w:p>
          <w:pPr>
            <w:pStyle w:val="TOC2"/>
            <w:numPr>
              <w:ilvl w:val="0"/>
              <w:numId w:val="20"/>
            </w:numPr>
            <w:tabs>
              <w:tab w:val="left" w:pos="720"/>
              <w:tab w:val="left" w:leader="dot" w:pos="9601"/>
            </w:tabs>
            <w:spacing w:before="121" w:after="0" w:line="240" w:lineRule="auto"/>
            <w:ind w:left="720" w:right="0" w:hanging="360"/>
            <w:jc w:val="left"/>
          </w:pPr>
          <w:hyperlink w:anchor="_bookmark13" w:history="1">
            <w:r>
              <w:t>Methods</w:t>
            </w:r>
            <w:r>
              <w:rPr>
                <w:spacing w:val="-6"/>
              </w:rPr>
              <w:t xml:space="preserve"> </w:t>
            </w:r>
            <w:r>
              <w:t>to</w:t>
            </w:r>
            <w:r>
              <w:rPr>
                <w:spacing w:val="-3"/>
              </w:rPr>
              <w:t xml:space="preserve"> </w:t>
            </w:r>
            <w:r>
              <w:t>Maximize</w:t>
            </w:r>
            <w:r>
              <w:rPr>
                <w:spacing w:val="-3"/>
              </w:rPr>
              <w:t xml:space="preserve"> </w:t>
            </w:r>
            <w:r>
              <w:t>Response</w:t>
            </w:r>
            <w:r>
              <w:rPr>
                <w:spacing w:val="-4"/>
              </w:rPr>
              <w:t xml:space="preserve"> </w:t>
            </w:r>
            <w:r>
              <w:t>Rates</w:t>
            </w:r>
            <w:r>
              <w:rPr>
                <w:spacing w:val="-3"/>
              </w:rPr>
              <w:t xml:space="preserve"> </w:t>
            </w:r>
            <w:r>
              <w:t>and</w:t>
            </w:r>
            <w:r>
              <w:rPr>
                <w:spacing w:val="-3"/>
              </w:rPr>
              <w:t xml:space="preserve"> </w:t>
            </w:r>
            <w:r>
              <w:t>Address</w:t>
            </w:r>
            <w:r>
              <w:rPr>
                <w:spacing w:val="-4"/>
              </w:rPr>
              <w:t xml:space="preserve"> </w:t>
            </w:r>
            <w:r>
              <w:t>Non-Response</w:t>
            </w:r>
            <w:r>
              <w:rPr>
                <w:spacing w:val="-3"/>
              </w:rPr>
              <w:t xml:space="preserve"> </w:t>
            </w:r>
            <w:r>
              <w:rPr>
                <w:spacing w:val="-4"/>
              </w:rPr>
              <w:t>Bias</w:t>
            </w:r>
            <w:r>
              <w:tab/>
            </w:r>
            <w:r>
              <w:rPr>
                <w:spacing w:val="-10"/>
              </w:rPr>
              <w:t>6</w:t>
            </w:r>
          </w:hyperlink>
        </w:p>
        <w:p>
          <w:pPr>
            <w:pStyle w:val="TOC4"/>
            <w:numPr>
              <w:ilvl w:val="1"/>
              <w:numId w:val="20"/>
            </w:numPr>
            <w:tabs>
              <w:tab w:val="left" w:pos="1080"/>
              <w:tab w:val="left" w:leader="dot" w:pos="9601"/>
            </w:tabs>
            <w:spacing w:before="0" w:after="0" w:line="240" w:lineRule="auto"/>
            <w:ind w:left="1080" w:right="0" w:hanging="360"/>
            <w:jc w:val="left"/>
          </w:pPr>
          <w:hyperlink w:anchor="_bookmark14" w:history="1">
            <w:r>
              <w:t>Maximizing</w:t>
            </w:r>
            <w:r>
              <w:rPr>
                <w:spacing w:val="-1"/>
              </w:rPr>
              <w:t xml:space="preserve"> </w:t>
            </w:r>
            <w:r>
              <w:t>Response</w:t>
            </w:r>
            <w:r>
              <w:rPr>
                <w:spacing w:val="-1"/>
              </w:rPr>
              <w:t xml:space="preserve"> </w:t>
            </w:r>
            <w:r>
              <w:rPr>
                <w:spacing w:val="-2"/>
              </w:rPr>
              <w:t>Rates</w:t>
            </w:r>
            <w:r>
              <w:tab/>
            </w:r>
            <w:r>
              <w:rPr>
                <w:spacing w:val="-12"/>
              </w:rPr>
              <w:t>6</w:t>
            </w:r>
          </w:hyperlink>
        </w:p>
        <w:p>
          <w:pPr>
            <w:pStyle w:val="TOC4"/>
            <w:numPr>
              <w:ilvl w:val="1"/>
              <w:numId w:val="20"/>
            </w:numPr>
            <w:tabs>
              <w:tab w:val="left" w:pos="1080"/>
              <w:tab w:val="left" w:leader="dot" w:pos="9601"/>
            </w:tabs>
            <w:spacing w:before="0" w:after="0" w:line="240" w:lineRule="auto"/>
            <w:ind w:left="1080" w:right="0" w:hanging="360"/>
            <w:jc w:val="left"/>
          </w:pPr>
          <w:hyperlink w:anchor="_bookmark15" w:history="1">
            <w:r>
              <w:t>Evaluating</w:t>
            </w:r>
            <w:r>
              <w:rPr>
                <w:spacing w:val="-1"/>
              </w:rPr>
              <w:t xml:space="preserve"> </w:t>
            </w:r>
            <w:r>
              <w:t>Non-Response</w:t>
            </w:r>
            <w:r>
              <w:rPr>
                <w:spacing w:val="-2"/>
              </w:rPr>
              <w:t xml:space="preserve"> </w:t>
            </w:r>
            <w:r>
              <w:rPr>
                <w:spacing w:val="-4"/>
              </w:rPr>
              <w:t>Bias</w:t>
            </w:r>
            <w:r>
              <w:tab/>
            </w:r>
            <w:r>
              <w:rPr>
                <w:spacing w:val="-10"/>
              </w:rPr>
              <w:t>6</w:t>
            </w:r>
          </w:hyperlink>
        </w:p>
        <w:p>
          <w:pPr>
            <w:pStyle w:val="TOC2"/>
            <w:numPr>
              <w:ilvl w:val="0"/>
              <w:numId w:val="20"/>
            </w:numPr>
            <w:tabs>
              <w:tab w:val="left" w:pos="720"/>
              <w:tab w:val="left" w:leader="dot" w:pos="9601"/>
            </w:tabs>
            <w:spacing w:before="120" w:after="0" w:line="240" w:lineRule="auto"/>
            <w:ind w:left="720" w:right="0" w:hanging="360"/>
            <w:jc w:val="left"/>
          </w:pPr>
          <w:hyperlink w:anchor="_bookmark19" w:history="1">
            <w:r>
              <w:t>Tests</w:t>
            </w:r>
            <w:r>
              <w:rPr>
                <w:spacing w:val="-3"/>
              </w:rPr>
              <w:t xml:space="preserve"> </w:t>
            </w:r>
            <w:r>
              <w:t>of</w:t>
            </w:r>
            <w:r>
              <w:rPr>
                <w:spacing w:val="-2"/>
              </w:rPr>
              <w:t xml:space="preserve"> Procedures</w:t>
            </w:r>
            <w:r>
              <w:tab/>
            </w:r>
            <w:r>
              <w:rPr>
                <w:spacing w:val="-10"/>
              </w:rPr>
              <w:t>7</w:t>
            </w:r>
          </w:hyperlink>
        </w:p>
        <w:p>
          <w:pPr>
            <w:pStyle w:val="TOC2"/>
            <w:numPr>
              <w:ilvl w:val="0"/>
              <w:numId w:val="20"/>
            </w:numPr>
            <w:tabs>
              <w:tab w:val="left" w:pos="720"/>
              <w:tab w:val="left" w:leader="dot" w:pos="9601"/>
            </w:tabs>
            <w:spacing w:before="120" w:after="0" w:line="240" w:lineRule="auto"/>
            <w:ind w:left="720" w:right="0" w:hanging="360"/>
            <w:jc w:val="left"/>
          </w:pPr>
          <w:hyperlink w:anchor="_bookmark20" w:history="1">
            <w:r>
              <w:t>Statistical</w:t>
            </w:r>
            <w:r>
              <w:rPr>
                <w:spacing w:val="-2"/>
              </w:rPr>
              <w:t xml:space="preserve"> Consultants</w:t>
            </w:r>
            <w:r>
              <w:tab/>
            </w:r>
            <w:r>
              <w:rPr>
                <w:spacing w:val="-12"/>
              </w:rPr>
              <w:t>7</w:t>
            </w:r>
          </w:hyperlink>
        </w:p>
        <w:p>
          <w:pPr>
            <w:pStyle w:val="TOC2"/>
            <w:tabs>
              <w:tab w:val="left" w:leader="dot" w:pos="9601"/>
            </w:tabs>
            <w:ind w:left="360" w:firstLine="0"/>
          </w:pPr>
          <w:hyperlink w:anchor="_bookmark21" w:history="1">
            <w:r>
              <w:t>Appendix</w:t>
            </w:r>
            <w:r>
              <w:rPr>
                <w:spacing w:val="-4"/>
              </w:rPr>
              <w:t xml:space="preserve"> </w:t>
            </w:r>
            <w:r>
              <w:t>A:</w:t>
            </w:r>
            <w:r>
              <w:rPr>
                <w:spacing w:val="-2"/>
              </w:rPr>
              <w:t xml:space="preserve"> </w:t>
            </w:r>
            <w:r>
              <w:t>Nonresponse</w:t>
            </w:r>
            <w:r>
              <w:rPr>
                <w:spacing w:val="-2"/>
              </w:rPr>
              <w:t xml:space="preserve"> </w:t>
            </w:r>
            <w:r>
              <w:t>Bias</w:t>
            </w:r>
            <w:r>
              <w:rPr>
                <w:spacing w:val="-2"/>
              </w:rPr>
              <w:t xml:space="preserve"> </w:t>
            </w:r>
            <w:r>
              <w:t>Analysis</w:t>
            </w:r>
            <w:r>
              <w:rPr>
                <w:spacing w:val="-3"/>
              </w:rPr>
              <w:t xml:space="preserve"> </w:t>
            </w:r>
            <w:r>
              <w:t>of</w:t>
            </w:r>
            <w:r>
              <w:rPr>
                <w:spacing w:val="-1"/>
              </w:rPr>
              <w:t xml:space="preserve"> </w:t>
            </w:r>
            <w:r>
              <w:t>the</w:t>
            </w:r>
            <w:r>
              <w:rPr>
                <w:spacing w:val="-5"/>
              </w:rPr>
              <w:t xml:space="preserve"> </w:t>
            </w:r>
            <w:r>
              <w:t>2025</w:t>
            </w:r>
            <w:r>
              <w:rPr>
                <w:spacing w:val="-1"/>
              </w:rPr>
              <w:t xml:space="preserve"> </w:t>
            </w:r>
            <w:r>
              <w:t>QHP</w:t>
            </w:r>
            <w:r>
              <w:rPr>
                <w:spacing w:val="-1"/>
              </w:rPr>
              <w:t xml:space="preserve"> </w:t>
            </w:r>
            <w:r>
              <w:t>Enrollee</w:t>
            </w:r>
            <w:r>
              <w:rPr>
                <w:spacing w:val="-2"/>
              </w:rPr>
              <w:t xml:space="preserve"> Survey</w:t>
            </w:r>
            <w:r>
              <w:tab/>
            </w:r>
            <w:r>
              <w:rPr>
                <w:spacing w:val="-10"/>
              </w:rPr>
              <w:t>8</w:t>
            </w:r>
          </w:hyperlink>
        </w:p>
        <w:p>
          <w:pPr>
            <w:pStyle w:val="TOC2"/>
            <w:tabs>
              <w:tab w:val="left" w:leader="dot" w:pos="9481"/>
            </w:tabs>
            <w:ind w:left="360" w:firstLine="0"/>
          </w:pPr>
          <w:hyperlink w:anchor="_bookmark24" w:history="1">
            <w:r>
              <w:t>Appendix</w:t>
            </w:r>
            <w:r>
              <w:rPr>
                <w:spacing w:val="-4"/>
              </w:rPr>
              <w:t xml:space="preserve"> </w:t>
            </w:r>
            <w:r>
              <w:t>B:</w:t>
            </w:r>
            <w:r>
              <w:rPr>
                <w:spacing w:val="-2"/>
              </w:rPr>
              <w:t xml:space="preserve"> </w:t>
            </w:r>
            <w:r>
              <w:t>2025</w:t>
            </w:r>
            <w:r>
              <w:rPr>
                <w:spacing w:val="-1"/>
              </w:rPr>
              <w:t xml:space="preserve"> </w:t>
            </w:r>
            <w:r>
              <w:t>QHP</w:t>
            </w:r>
            <w:r>
              <w:rPr>
                <w:spacing w:val="-2"/>
              </w:rPr>
              <w:t xml:space="preserve"> </w:t>
            </w:r>
            <w:r>
              <w:t>Enrollee</w:t>
            </w:r>
            <w:r>
              <w:rPr>
                <w:spacing w:val="-2"/>
              </w:rPr>
              <w:t xml:space="preserve"> </w:t>
            </w:r>
            <w:r>
              <w:t>Survey</w:t>
            </w:r>
            <w:r>
              <w:rPr>
                <w:spacing w:val="-2"/>
              </w:rPr>
              <w:t xml:space="preserve"> </w:t>
            </w:r>
            <w:r>
              <w:t>Case-Mix</w:t>
            </w:r>
            <w:r>
              <w:rPr>
                <w:spacing w:val="-1"/>
              </w:rPr>
              <w:t xml:space="preserve"> </w:t>
            </w:r>
            <w:r>
              <w:t>Adjusters</w:t>
            </w:r>
            <w:r>
              <w:rPr>
                <w:spacing w:val="-2"/>
              </w:rPr>
              <w:t xml:space="preserve"> Variables</w:t>
            </w:r>
            <w:r>
              <w:tab/>
            </w:r>
            <w:r>
              <w:rPr>
                <w:spacing w:val="-5"/>
              </w:rPr>
              <w:t>12</w:t>
            </w:r>
          </w:hyperlink>
        </w:p>
        <w:p>
          <w:pPr>
            <w:pStyle w:val="TOC1"/>
          </w:pPr>
          <w:r>
            <w:t>List</w:t>
          </w:r>
          <w:r>
            <w:rPr>
              <w:spacing w:val="-3"/>
            </w:rPr>
            <w:t xml:space="preserve"> </w:t>
          </w:r>
          <w:r>
            <w:t>of</w:t>
          </w:r>
          <w:r>
            <w:rPr>
              <w:spacing w:val="-3"/>
            </w:rPr>
            <w:t xml:space="preserve"> </w:t>
          </w:r>
          <w:r>
            <w:rPr>
              <w:spacing w:val="-2"/>
            </w:rPr>
            <w:t>Exhibits</w:t>
          </w:r>
        </w:p>
        <w:p>
          <w:pPr>
            <w:pStyle w:val="TOC3"/>
            <w:tabs>
              <w:tab w:val="left" w:leader="dot" w:pos="9593"/>
            </w:tabs>
            <w:spacing w:before="480"/>
          </w:pPr>
          <w:hyperlink w:anchor="_bookmark9" w:history="1">
            <w:r>
              <w:t>Exhibit</w:t>
            </w:r>
            <w:r>
              <w:rPr>
                <w:spacing w:val="-1"/>
              </w:rPr>
              <w:t xml:space="preserve"> </w:t>
            </w:r>
            <w:r>
              <w:t>B1. Data Collection Protocol</w:t>
            </w:r>
            <w:r>
              <w:rPr>
                <w:spacing w:val="-1"/>
              </w:rPr>
              <w:t xml:space="preserve"> </w:t>
            </w:r>
            <w:r>
              <w:t>for</w:t>
            </w:r>
            <w:r>
              <w:rPr>
                <w:spacing w:val="-2"/>
              </w:rPr>
              <w:t xml:space="preserve"> </w:t>
            </w:r>
            <w:r>
              <w:t>2027 QHP Enrollee</w:t>
            </w:r>
            <w:r>
              <w:rPr>
                <w:spacing w:val="-2"/>
              </w:rPr>
              <w:t xml:space="preserve"> Survey</w:t>
            </w:r>
            <w:r>
              <w:tab/>
            </w:r>
            <w:r>
              <w:rPr>
                <w:spacing w:val="-10"/>
              </w:rPr>
              <w:t>4</w:t>
            </w:r>
          </w:hyperlink>
        </w:p>
        <w:p>
          <w:pPr>
            <w:pStyle w:val="TOC3"/>
            <w:tabs>
              <w:tab w:val="left" w:leader="dot" w:pos="9592"/>
            </w:tabs>
          </w:pPr>
          <w:hyperlink w:anchor="_bookmark16" w:history="1">
            <w:r>
              <w:t>Exhibit</w:t>
            </w:r>
            <w:r>
              <w:rPr>
                <w:spacing w:val="-2"/>
              </w:rPr>
              <w:t xml:space="preserve"> </w:t>
            </w:r>
            <w:r>
              <w:t>B2.</w:t>
            </w:r>
            <w:r>
              <w:rPr>
                <w:spacing w:val="-1"/>
              </w:rPr>
              <w:t xml:space="preserve"> </w:t>
            </w:r>
            <w:r>
              <w:t>QHP</w:t>
            </w:r>
            <w:r>
              <w:rPr>
                <w:spacing w:val="-1"/>
              </w:rPr>
              <w:t xml:space="preserve"> </w:t>
            </w:r>
            <w:r>
              <w:t>Enrollee</w:t>
            </w:r>
            <w:r>
              <w:rPr>
                <w:spacing w:val="-2"/>
              </w:rPr>
              <w:t xml:space="preserve"> </w:t>
            </w:r>
            <w:r>
              <w:t>Survey</w:t>
            </w:r>
            <w:r>
              <w:rPr>
                <w:spacing w:val="-1"/>
              </w:rPr>
              <w:t xml:space="preserve"> </w:t>
            </w:r>
            <w:r>
              <w:t>Response</w:t>
            </w:r>
            <w:r>
              <w:rPr>
                <w:spacing w:val="-1"/>
              </w:rPr>
              <w:t xml:space="preserve"> </w:t>
            </w:r>
            <w:r>
              <w:rPr>
                <w:spacing w:val="-4"/>
              </w:rPr>
              <w:t>Rates</w:t>
            </w:r>
            <w:r>
              <w:tab/>
            </w:r>
            <w:r>
              <w:rPr>
                <w:spacing w:val="-10"/>
              </w:rPr>
              <w:t>6</w:t>
            </w:r>
          </w:hyperlink>
        </w:p>
        <w:p>
          <w:pPr>
            <w:pStyle w:val="TOC3"/>
            <w:tabs>
              <w:tab w:val="left" w:leader="dot" w:pos="9593"/>
            </w:tabs>
          </w:pPr>
          <w:hyperlink w:anchor="_bookmark22" w:history="1">
            <w:r>
              <w:t>Exhibit</w:t>
            </w:r>
            <w:r>
              <w:rPr>
                <w:spacing w:val="-3"/>
              </w:rPr>
              <w:t xml:space="preserve"> </w:t>
            </w:r>
            <w:r>
              <w:t>B3.</w:t>
            </w:r>
            <w:r>
              <w:rPr>
                <w:spacing w:val="-1"/>
              </w:rPr>
              <w:t xml:space="preserve"> </w:t>
            </w:r>
            <w:r>
              <w:t>2025</w:t>
            </w:r>
            <w:r>
              <w:rPr>
                <w:spacing w:val="-1"/>
              </w:rPr>
              <w:t xml:space="preserve"> </w:t>
            </w:r>
            <w:r>
              <w:t>Response</w:t>
            </w:r>
            <w:r>
              <w:rPr>
                <w:spacing w:val="-1"/>
              </w:rPr>
              <w:t xml:space="preserve"> </w:t>
            </w:r>
            <w:r>
              <w:t>Rates</w:t>
            </w:r>
            <w:r>
              <w:rPr>
                <w:spacing w:val="-2"/>
              </w:rPr>
              <w:t xml:space="preserve"> </w:t>
            </w:r>
            <w:r>
              <w:t>by</w:t>
            </w:r>
            <w:r>
              <w:rPr>
                <w:spacing w:val="-2"/>
              </w:rPr>
              <w:t xml:space="preserve"> </w:t>
            </w:r>
            <w:r>
              <w:t xml:space="preserve">Enrollee </w:t>
            </w:r>
            <w:r>
              <w:rPr>
                <w:spacing w:val="-2"/>
              </w:rPr>
              <w:t>Characteristics</w:t>
            </w:r>
            <w:r>
              <w:tab/>
            </w:r>
            <w:r>
              <w:rPr>
                <w:spacing w:val="-10"/>
              </w:rPr>
              <w:t>8</w:t>
            </w:r>
          </w:hyperlink>
        </w:p>
        <w:p>
          <w:pPr>
            <w:pStyle w:val="TOC3"/>
          </w:pPr>
          <w:hyperlink w:anchor="_bookmark23" w:history="1">
            <w:r>
              <w:t>Exhibit</w:t>
            </w:r>
            <w:r>
              <w:rPr>
                <w:spacing w:val="-4"/>
              </w:rPr>
              <w:t xml:space="preserve"> </w:t>
            </w:r>
            <w:r>
              <w:t>B4.</w:t>
            </w:r>
            <w:r>
              <w:rPr>
                <w:spacing w:val="-2"/>
              </w:rPr>
              <w:t xml:space="preserve"> </w:t>
            </w:r>
            <w:r>
              <w:t>Multivariable</w:t>
            </w:r>
            <w:r>
              <w:rPr>
                <w:spacing w:val="-3"/>
              </w:rPr>
              <w:t xml:space="preserve"> </w:t>
            </w:r>
            <w:r>
              <w:t>Logistic</w:t>
            </w:r>
            <w:r>
              <w:rPr>
                <w:spacing w:val="-2"/>
              </w:rPr>
              <w:t xml:space="preserve"> </w:t>
            </w:r>
            <w:r>
              <w:t>Regression</w:t>
            </w:r>
            <w:r>
              <w:rPr>
                <w:spacing w:val="-1"/>
              </w:rPr>
              <w:t xml:space="preserve"> </w:t>
            </w:r>
            <w:r>
              <w:t>– Demographic</w:t>
            </w:r>
            <w:r>
              <w:rPr>
                <w:spacing w:val="-2"/>
              </w:rPr>
              <w:t xml:space="preserve"> </w:t>
            </w:r>
            <w:r>
              <w:t>Associations</w:t>
            </w:r>
            <w:r>
              <w:rPr>
                <w:spacing w:val="-2"/>
              </w:rPr>
              <w:t xml:space="preserve"> </w:t>
            </w:r>
            <w:r>
              <w:t>with</w:t>
            </w:r>
            <w:r>
              <w:rPr>
                <w:spacing w:val="-1"/>
              </w:rPr>
              <w:t xml:space="preserve"> </w:t>
            </w:r>
            <w:r>
              <w:rPr>
                <w:spacing w:val="-2"/>
              </w:rPr>
              <w:t>Survey</w:t>
            </w:r>
          </w:hyperlink>
        </w:p>
        <w:p>
          <w:pPr>
            <w:pStyle w:val="TOC3"/>
            <w:tabs>
              <w:tab w:val="left" w:leader="dot" w:pos="9496"/>
            </w:tabs>
            <w:spacing w:before="0"/>
          </w:pPr>
          <w:hyperlink w:anchor="_bookmark23" w:history="1">
            <w:r>
              <w:t xml:space="preserve">Response, </w:t>
            </w:r>
            <w:r>
              <w:rPr>
                <w:spacing w:val="-4"/>
              </w:rPr>
              <w:t>2025</w:t>
            </w:r>
            <w:r>
              <w:tab/>
            </w:r>
            <w:r>
              <w:rPr>
                <w:spacing w:val="-5"/>
              </w:rPr>
              <w:t>10</w:t>
            </w:r>
          </w:hyperlink>
        </w:p>
        <w:p>
          <w:pPr>
            <w:pStyle w:val="TOC3"/>
            <w:tabs>
              <w:tab w:val="left" w:leader="dot" w:pos="9491"/>
            </w:tabs>
          </w:pPr>
          <w:hyperlink w:anchor="_bookmark25" w:history="1">
            <w:r>
              <w:t>Exhibit</w:t>
            </w:r>
            <w:r>
              <w:rPr>
                <w:spacing w:val="-2"/>
              </w:rPr>
              <w:t xml:space="preserve"> </w:t>
            </w:r>
            <w:r>
              <w:t>B5.</w:t>
            </w:r>
            <w:r>
              <w:rPr>
                <w:spacing w:val="-1"/>
              </w:rPr>
              <w:t xml:space="preserve"> </w:t>
            </w:r>
            <w:r>
              <w:t>Coding</w:t>
            </w:r>
            <w:r>
              <w:rPr>
                <w:spacing w:val="-2"/>
              </w:rPr>
              <w:t xml:space="preserve"> </w:t>
            </w:r>
            <w:r>
              <w:t>of</w:t>
            </w:r>
            <w:r>
              <w:rPr>
                <w:spacing w:val="-1"/>
              </w:rPr>
              <w:t xml:space="preserve"> </w:t>
            </w:r>
            <w:r>
              <w:t>Case-mix</w:t>
            </w:r>
            <w:r>
              <w:rPr>
                <w:spacing w:val="-1"/>
              </w:rPr>
              <w:t xml:space="preserve"> </w:t>
            </w:r>
            <w:r>
              <w:t>Adjusters</w:t>
            </w:r>
            <w:r>
              <w:rPr>
                <w:spacing w:val="-2"/>
              </w:rPr>
              <w:t xml:space="preserve"> Variables</w:t>
            </w:r>
            <w:r>
              <w:tab/>
            </w:r>
            <w:r>
              <w:rPr>
                <w:spacing w:val="-5"/>
              </w:rPr>
              <w:t>12</w:t>
            </w:r>
          </w:hyperlink>
        </w:p>
      </w:sdtContent>
    </w:sdt>
    <w:p>
      <w:pPr>
        <w:pStyle w:val="TOC3"/>
        <w:spacing w:after="0"/>
        <w:sectPr>
          <w:footerReference w:type="default" r:id="rId4"/>
          <w:pgSz w:w="12240" w:h="15840"/>
          <w:pgMar w:top="960" w:right="1080" w:bottom="940" w:left="1080" w:header="0" w:footer="748"/>
          <w:cols w:space="720"/>
        </w:sectPr>
      </w:pPr>
    </w:p>
    <w:p>
      <w:pPr>
        <w:pStyle w:val="Heading2"/>
        <w:numPr>
          <w:ilvl w:val="0"/>
          <w:numId w:val="19"/>
        </w:numPr>
        <w:tabs>
          <w:tab w:val="left" w:pos="718"/>
        </w:tabs>
        <w:spacing w:before="79" w:after="0" w:line="240" w:lineRule="auto"/>
        <w:ind w:left="718" w:right="0" w:hanging="358"/>
        <w:jc w:val="left"/>
      </w:pPr>
      <w:bookmarkStart w:id="4" w:name="1. Potential Respondent Universe and Sam"/>
      <w:bookmarkEnd w:id="4"/>
      <w:bookmarkStart w:id="5" w:name="1.1 Sampling of Reporting Units"/>
      <w:bookmarkEnd w:id="5"/>
      <w:bookmarkStart w:id="6" w:name="_bookmark1"/>
      <w:bookmarkEnd w:id="6"/>
      <w:r>
        <w:t>Potential</w:t>
      </w:r>
      <w:r>
        <w:rPr>
          <w:spacing w:val="-13"/>
        </w:rPr>
        <w:t xml:space="preserve"> </w:t>
      </w:r>
      <w:r>
        <w:t>Respondent</w:t>
      </w:r>
      <w:r>
        <w:rPr>
          <w:spacing w:val="-9"/>
        </w:rPr>
        <w:t xml:space="preserve"> </w:t>
      </w:r>
      <w:r>
        <w:t>Universe</w:t>
      </w:r>
      <w:r>
        <w:rPr>
          <w:spacing w:val="-10"/>
        </w:rPr>
        <w:t xml:space="preserve"> </w:t>
      </w:r>
      <w:r>
        <w:t>and</w:t>
      </w:r>
      <w:r>
        <w:rPr>
          <w:spacing w:val="-8"/>
        </w:rPr>
        <w:t xml:space="preserve"> </w:t>
      </w:r>
      <w:r>
        <w:t>Sampling</w:t>
      </w:r>
      <w:r>
        <w:rPr>
          <w:spacing w:val="-9"/>
        </w:rPr>
        <w:t xml:space="preserve"> </w:t>
      </w:r>
      <w:r>
        <w:rPr>
          <w:spacing w:val="-2"/>
        </w:rPr>
        <w:t>Methods</w:t>
      </w:r>
    </w:p>
    <w:p>
      <w:pPr>
        <w:pStyle w:val="BodyText"/>
        <w:ind w:right="389"/>
      </w:pPr>
      <w:r>
        <w:t>This supporting statement includes information in support of the Qualified Health Plan (QHP) Enrollee Experience Survey (QHP Enrollee Survey). The Centers for Medicare &amp; Medicaid Services (CMS) developed the QHP Enrollee Survey, as directed by Section 1311(c)(4) of the Patient Protection and Affordable Care Act (ACA), and which contributes a subset of survey measures to the Quality Rating System (QRS) required under Section 1311(c)(3) of the ACA. CMS designed the QHP Enrollee Survey and the QRS to provide comparable and useful information</w:t>
      </w:r>
      <w:r>
        <w:rPr>
          <w:spacing w:val="-3"/>
        </w:rPr>
        <w:t xml:space="preserve"> </w:t>
      </w:r>
      <w:r>
        <w:t>to</w:t>
      </w:r>
      <w:r>
        <w:rPr>
          <w:spacing w:val="-3"/>
        </w:rPr>
        <w:t xml:space="preserve"> </w:t>
      </w:r>
      <w:r>
        <w:t>consumers</w:t>
      </w:r>
      <w:r>
        <w:rPr>
          <w:spacing w:val="-4"/>
        </w:rPr>
        <w:t xml:space="preserve"> </w:t>
      </w:r>
      <w:r>
        <w:t>about</w:t>
      </w:r>
      <w:r>
        <w:rPr>
          <w:spacing w:val="-2"/>
        </w:rPr>
        <w:t xml:space="preserve"> </w:t>
      </w:r>
      <w:r>
        <w:t>the</w:t>
      </w:r>
      <w:r>
        <w:rPr>
          <w:spacing w:val="-4"/>
        </w:rPr>
        <w:t xml:space="preserve"> </w:t>
      </w:r>
      <w:r>
        <w:t>quality</w:t>
      </w:r>
      <w:r>
        <w:rPr>
          <w:spacing w:val="-3"/>
        </w:rPr>
        <w:t xml:space="preserve"> </w:t>
      </w:r>
      <w:r>
        <w:t>of</w:t>
      </w:r>
      <w:r>
        <w:rPr>
          <w:spacing w:val="-3"/>
        </w:rPr>
        <w:t xml:space="preserve"> </w:t>
      </w:r>
      <w:r>
        <w:t>health</w:t>
      </w:r>
      <w:r>
        <w:rPr>
          <w:spacing w:val="-3"/>
        </w:rPr>
        <w:t xml:space="preserve"> </w:t>
      </w:r>
      <w:r>
        <w:t>care</w:t>
      </w:r>
      <w:r>
        <w:rPr>
          <w:spacing w:val="-5"/>
        </w:rPr>
        <w:t xml:space="preserve"> </w:t>
      </w:r>
      <w:r>
        <w:t>services</w:t>
      </w:r>
      <w:r>
        <w:rPr>
          <w:spacing w:val="-1"/>
        </w:rPr>
        <w:t xml:space="preserve"> </w:t>
      </w:r>
      <w:r>
        <w:t>and</w:t>
      </w:r>
      <w:r>
        <w:rPr>
          <w:spacing w:val="-3"/>
        </w:rPr>
        <w:t xml:space="preserve"> </w:t>
      </w:r>
      <w:r>
        <w:t>enrollee</w:t>
      </w:r>
      <w:r>
        <w:rPr>
          <w:spacing w:val="-4"/>
        </w:rPr>
        <w:t xml:space="preserve"> </w:t>
      </w:r>
      <w:r>
        <w:t>experience</w:t>
      </w:r>
      <w:r>
        <w:rPr>
          <w:spacing w:val="-2"/>
        </w:rPr>
        <w:t xml:space="preserve"> </w:t>
      </w:r>
      <w:r>
        <w:t>with QHPs offered through a Health Insurance Exchange (Exchange) (also known to consumers as Health Insurance Marketplaces).</w:t>
      </w:r>
      <w:hyperlink w:anchor="_bookmark3" w:history="1">
        <w:r>
          <w:rPr>
            <w:vertAlign w:val="superscript"/>
          </w:rPr>
          <w:t>1</w:t>
        </w:r>
      </w:hyperlink>
    </w:p>
    <w:p>
      <w:pPr>
        <w:pStyle w:val="Heading3"/>
        <w:numPr>
          <w:ilvl w:val="1"/>
          <w:numId w:val="19"/>
        </w:numPr>
        <w:tabs>
          <w:tab w:val="left" w:pos="760"/>
        </w:tabs>
        <w:spacing w:before="242" w:after="0" w:line="240" w:lineRule="auto"/>
        <w:ind w:left="760" w:right="0" w:hanging="400"/>
        <w:jc w:val="left"/>
        <w:rPr>
          <w:i/>
        </w:rPr>
      </w:pPr>
      <w:bookmarkStart w:id="7" w:name="_bookmark2"/>
      <w:bookmarkEnd w:id="7"/>
      <w:r>
        <w:rPr>
          <w:i/>
        </w:rPr>
        <w:t>Sampling</w:t>
      </w:r>
      <w:r>
        <w:rPr>
          <w:i/>
          <w:spacing w:val="-3"/>
        </w:rPr>
        <w:t xml:space="preserve"> </w:t>
      </w:r>
      <w:r>
        <w:rPr>
          <w:i/>
        </w:rPr>
        <w:t>of</w:t>
      </w:r>
      <w:r>
        <w:rPr>
          <w:i/>
          <w:spacing w:val="-2"/>
        </w:rPr>
        <w:t xml:space="preserve"> </w:t>
      </w:r>
      <w:r>
        <w:rPr>
          <w:i/>
        </w:rPr>
        <w:t>Reporting</w:t>
      </w:r>
      <w:r>
        <w:rPr>
          <w:i/>
          <w:spacing w:val="-2"/>
        </w:rPr>
        <w:t xml:space="preserve"> Units</w:t>
      </w:r>
    </w:p>
    <w:p>
      <w:pPr>
        <w:pStyle w:val="BodyText"/>
        <w:spacing w:before="119"/>
        <w:ind w:right="360"/>
      </w:pPr>
      <w:r>
        <w:t>As outlined in 45 CFR § 156.1125(b), QHP issuers are required to conduct the QHP Enrollee Survey following a survey sampling methodology provided by HHS for each QHP with more than</w:t>
      </w:r>
      <w:r>
        <w:rPr>
          <w:spacing w:val="-2"/>
        </w:rPr>
        <w:t xml:space="preserve"> </w:t>
      </w:r>
      <w:r>
        <w:t>500</w:t>
      </w:r>
      <w:r>
        <w:rPr>
          <w:spacing w:val="-2"/>
        </w:rPr>
        <w:t xml:space="preserve"> </w:t>
      </w:r>
      <w:r>
        <w:t>enrollees</w:t>
      </w:r>
      <w:r>
        <w:rPr>
          <w:spacing w:val="-3"/>
        </w:rPr>
        <w:t xml:space="preserve"> </w:t>
      </w:r>
      <w:r>
        <w:t>in</w:t>
      </w:r>
      <w:r>
        <w:rPr>
          <w:spacing w:val="-2"/>
        </w:rPr>
        <w:t xml:space="preserve"> </w:t>
      </w:r>
      <w:r>
        <w:t>the</w:t>
      </w:r>
      <w:r>
        <w:rPr>
          <w:spacing w:val="-1"/>
        </w:rPr>
        <w:t xml:space="preserve"> </w:t>
      </w:r>
      <w:r>
        <w:t>previous</w:t>
      </w:r>
      <w:r>
        <w:rPr>
          <w:spacing w:val="-2"/>
        </w:rPr>
        <w:t xml:space="preserve"> </w:t>
      </w:r>
      <w:r>
        <w:t>year</w:t>
      </w:r>
      <w:r>
        <w:rPr>
          <w:spacing w:val="-2"/>
        </w:rPr>
        <w:t xml:space="preserve"> </w:t>
      </w:r>
      <w:r>
        <w:t>that</w:t>
      </w:r>
      <w:r>
        <w:rPr>
          <w:spacing w:val="-2"/>
        </w:rPr>
        <w:t xml:space="preserve"> </w:t>
      </w:r>
      <w:r>
        <w:t>has</w:t>
      </w:r>
      <w:r>
        <w:rPr>
          <w:spacing w:val="-2"/>
        </w:rPr>
        <w:t xml:space="preserve"> </w:t>
      </w:r>
      <w:r>
        <w:t>been</w:t>
      </w:r>
      <w:r>
        <w:rPr>
          <w:spacing w:val="-2"/>
        </w:rPr>
        <w:t xml:space="preserve"> </w:t>
      </w:r>
      <w:r>
        <w:t>offered</w:t>
      </w:r>
      <w:r>
        <w:rPr>
          <w:spacing w:val="-2"/>
        </w:rPr>
        <w:t xml:space="preserve"> </w:t>
      </w:r>
      <w:r>
        <w:t>in</w:t>
      </w:r>
      <w:r>
        <w:rPr>
          <w:spacing w:val="-2"/>
        </w:rPr>
        <w:t xml:space="preserve"> </w:t>
      </w:r>
      <w:r>
        <w:t>an</w:t>
      </w:r>
      <w:r>
        <w:rPr>
          <w:spacing w:val="-2"/>
        </w:rPr>
        <w:t xml:space="preserve"> </w:t>
      </w:r>
      <w:r>
        <w:t>Exchange</w:t>
      </w:r>
      <w:r>
        <w:rPr>
          <w:spacing w:val="-3"/>
        </w:rPr>
        <w:t xml:space="preserve"> </w:t>
      </w:r>
      <w:r>
        <w:t>for</w:t>
      </w:r>
      <w:r>
        <w:rPr>
          <w:spacing w:val="-4"/>
        </w:rPr>
        <w:t xml:space="preserve"> </w:t>
      </w:r>
      <w:r>
        <w:t>at</w:t>
      </w:r>
      <w:r>
        <w:rPr>
          <w:spacing w:val="-2"/>
        </w:rPr>
        <w:t xml:space="preserve"> </w:t>
      </w:r>
      <w:r>
        <w:t>least</w:t>
      </w:r>
      <w:r>
        <w:rPr>
          <w:spacing w:val="-2"/>
        </w:rPr>
        <w:t xml:space="preserve"> </w:t>
      </w:r>
      <w:r>
        <w:t>one</w:t>
      </w:r>
      <w:r>
        <w:rPr>
          <w:spacing w:val="-2"/>
        </w:rPr>
        <w:t xml:space="preserve"> </w:t>
      </w:r>
      <w:r>
        <w:t>year.</w:t>
      </w:r>
    </w:p>
    <w:p>
      <w:pPr>
        <w:pStyle w:val="BodyText"/>
        <w:ind w:right="399"/>
      </w:pPr>
      <w:r>
        <w:t>In compliance with the legislation, CMS has specified several aspects of these requirements in a manner that meets the requirements while minimizing burden on the public. First, CMS established the reporting unit as the unique state-product type offered by a QHP issuer through an Exchange.</w:t>
      </w:r>
      <w:hyperlink w:anchor="_bookmark4" w:history="1">
        <w:r>
          <w:rPr>
            <w:vertAlign w:val="superscript"/>
          </w:rPr>
          <w:t>2</w:t>
        </w:r>
      </w:hyperlink>
      <w:r>
        <w:rPr>
          <w:vertAlign w:val="baseline"/>
        </w:rPr>
        <w:t xml:space="preserve"> Product types subject to the QHP Enrollee Survey requirements include health maintenance organization [HMO], preferred provider organization [PPO], exclusive provider organization</w:t>
      </w:r>
      <w:r>
        <w:rPr>
          <w:spacing w:val="-4"/>
          <w:vertAlign w:val="baseline"/>
        </w:rPr>
        <w:t xml:space="preserve"> </w:t>
      </w:r>
      <w:r>
        <w:rPr>
          <w:vertAlign w:val="baseline"/>
        </w:rPr>
        <w:t>[EPO],</w:t>
      </w:r>
      <w:r>
        <w:rPr>
          <w:spacing w:val="-2"/>
          <w:vertAlign w:val="baseline"/>
        </w:rPr>
        <w:t xml:space="preserve"> </w:t>
      </w:r>
      <w:r>
        <w:rPr>
          <w:vertAlign w:val="baseline"/>
        </w:rPr>
        <w:t>and</w:t>
      </w:r>
      <w:r>
        <w:rPr>
          <w:spacing w:val="-2"/>
          <w:vertAlign w:val="baseline"/>
        </w:rPr>
        <w:t xml:space="preserve"> </w:t>
      </w:r>
      <w:r>
        <w:rPr>
          <w:vertAlign w:val="baseline"/>
        </w:rPr>
        <w:t>point</w:t>
      </w:r>
      <w:r>
        <w:rPr>
          <w:spacing w:val="-4"/>
          <w:vertAlign w:val="baseline"/>
        </w:rPr>
        <w:t xml:space="preserve"> </w:t>
      </w:r>
      <w:r>
        <w:rPr>
          <w:vertAlign w:val="baseline"/>
        </w:rPr>
        <w:t>of</w:t>
      </w:r>
      <w:r>
        <w:rPr>
          <w:spacing w:val="-4"/>
          <w:vertAlign w:val="baseline"/>
        </w:rPr>
        <w:t xml:space="preserve"> </w:t>
      </w:r>
      <w:r>
        <w:rPr>
          <w:vertAlign w:val="baseline"/>
        </w:rPr>
        <w:t>service</w:t>
      </w:r>
      <w:r>
        <w:rPr>
          <w:spacing w:val="-5"/>
          <w:vertAlign w:val="baseline"/>
        </w:rPr>
        <w:t xml:space="preserve"> </w:t>
      </w:r>
      <w:r>
        <w:rPr>
          <w:vertAlign w:val="baseline"/>
        </w:rPr>
        <w:t>[POS].</w:t>
      </w:r>
      <w:r>
        <w:rPr>
          <w:spacing w:val="-4"/>
          <w:vertAlign w:val="baseline"/>
        </w:rPr>
        <w:t xml:space="preserve"> </w:t>
      </w:r>
      <w:r>
        <w:rPr>
          <w:vertAlign w:val="baseline"/>
        </w:rPr>
        <w:t>At</w:t>
      </w:r>
      <w:r>
        <w:rPr>
          <w:spacing w:val="-4"/>
          <w:vertAlign w:val="baseline"/>
        </w:rPr>
        <w:t xml:space="preserve"> </w:t>
      </w:r>
      <w:r>
        <w:rPr>
          <w:vertAlign w:val="baseline"/>
        </w:rPr>
        <w:t>this</w:t>
      </w:r>
      <w:r>
        <w:rPr>
          <w:spacing w:val="-5"/>
          <w:vertAlign w:val="baseline"/>
        </w:rPr>
        <w:t xml:space="preserve"> </w:t>
      </w:r>
      <w:r>
        <w:rPr>
          <w:vertAlign w:val="baseline"/>
        </w:rPr>
        <w:t>time,</w:t>
      </w:r>
      <w:r>
        <w:rPr>
          <w:spacing w:val="-4"/>
          <w:vertAlign w:val="baseline"/>
        </w:rPr>
        <w:t xml:space="preserve"> </w:t>
      </w:r>
      <w:r>
        <w:rPr>
          <w:vertAlign w:val="baseline"/>
        </w:rPr>
        <w:t>QHP</w:t>
      </w:r>
      <w:r>
        <w:rPr>
          <w:spacing w:val="-4"/>
          <w:vertAlign w:val="baseline"/>
        </w:rPr>
        <w:t xml:space="preserve"> </w:t>
      </w:r>
      <w:r>
        <w:rPr>
          <w:vertAlign w:val="baseline"/>
        </w:rPr>
        <w:t>Enrollee</w:t>
      </w:r>
      <w:r>
        <w:rPr>
          <w:spacing w:val="-5"/>
          <w:vertAlign w:val="baseline"/>
        </w:rPr>
        <w:t xml:space="preserve"> </w:t>
      </w:r>
      <w:r>
        <w:rPr>
          <w:vertAlign w:val="baseline"/>
        </w:rPr>
        <w:t>Survey</w:t>
      </w:r>
      <w:r>
        <w:rPr>
          <w:spacing w:val="-4"/>
          <w:vertAlign w:val="baseline"/>
        </w:rPr>
        <w:t xml:space="preserve"> </w:t>
      </w:r>
      <w:r>
        <w:rPr>
          <w:vertAlign w:val="baseline"/>
        </w:rPr>
        <w:t>requirements do not apply to indemnity plans (i.e., fee for service plans), stand-alone dental plans, or child-only plans. The QHP Enrollee Survey requirements also do not apply to basic health program (BHP) plans.</w:t>
      </w:r>
    </w:p>
    <w:p>
      <w:pPr>
        <w:pStyle w:val="BodyText"/>
        <w:ind w:right="360"/>
      </w:pPr>
      <w:r>
        <w:t>Second,</w:t>
      </w:r>
      <w:r>
        <w:rPr>
          <w:spacing w:val="-3"/>
        </w:rPr>
        <w:t xml:space="preserve"> </w:t>
      </w:r>
      <w:r>
        <w:t>CMS</w:t>
      </w:r>
      <w:r>
        <w:rPr>
          <w:spacing w:val="-3"/>
        </w:rPr>
        <w:t xml:space="preserve"> </w:t>
      </w:r>
      <w:r>
        <w:t>has</w:t>
      </w:r>
      <w:r>
        <w:rPr>
          <w:spacing w:val="-4"/>
        </w:rPr>
        <w:t xml:space="preserve"> </w:t>
      </w:r>
      <w:r>
        <w:t>established</w:t>
      </w:r>
      <w:r>
        <w:rPr>
          <w:spacing w:val="-3"/>
        </w:rPr>
        <w:t xml:space="preserve"> </w:t>
      </w:r>
      <w:r>
        <w:t>detailed</w:t>
      </w:r>
      <w:r>
        <w:rPr>
          <w:spacing w:val="-3"/>
        </w:rPr>
        <w:t xml:space="preserve"> </w:t>
      </w:r>
      <w:r>
        <w:t>criteria</w:t>
      </w:r>
      <w:r>
        <w:rPr>
          <w:spacing w:val="-3"/>
        </w:rPr>
        <w:t xml:space="preserve"> </w:t>
      </w:r>
      <w:r>
        <w:t>to</w:t>
      </w:r>
      <w:r>
        <w:rPr>
          <w:spacing w:val="-3"/>
        </w:rPr>
        <w:t xml:space="preserve"> </w:t>
      </w:r>
      <w:r>
        <w:t>help</w:t>
      </w:r>
      <w:r>
        <w:rPr>
          <w:spacing w:val="-3"/>
        </w:rPr>
        <w:t xml:space="preserve"> </w:t>
      </w:r>
      <w:r>
        <w:t>issuers</w:t>
      </w:r>
      <w:r>
        <w:rPr>
          <w:spacing w:val="-4"/>
        </w:rPr>
        <w:t xml:space="preserve"> </w:t>
      </w:r>
      <w:r>
        <w:t>determine</w:t>
      </w:r>
      <w:r>
        <w:rPr>
          <w:spacing w:val="-4"/>
        </w:rPr>
        <w:t xml:space="preserve"> </w:t>
      </w:r>
      <w:r>
        <w:t>which</w:t>
      </w:r>
      <w:r>
        <w:rPr>
          <w:spacing w:val="-2"/>
        </w:rPr>
        <w:t xml:space="preserve"> </w:t>
      </w:r>
      <w:r>
        <w:t>QHPs</w:t>
      </w:r>
      <w:r>
        <w:rPr>
          <w:spacing w:val="-4"/>
        </w:rPr>
        <w:t xml:space="preserve"> </w:t>
      </w:r>
      <w:r>
        <w:t>are</w:t>
      </w:r>
      <w:r>
        <w:rPr>
          <w:spacing w:val="-3"/>
        </w:rPr>
        <w:t xml:space="preserve"> </w:t>
      </w:r>
      <w:r>
        <w:t>required to collect QHP Enrollee Survey data. QHP issuers are required to collect data and submit validated 2027 QHP Enrollee Survey response data for each reporting unit that meets all of the below criteria:</w:t>
      </w:r>
    </w:p>
    <w:p>
      <w:pPr>
        <w:pStyle w:val="ListParagraph"/>
        <w:numPr>
          <w:ilvl w:val="0"/>
          <w:numId w:val="18"/>
        </w:numPr>
        <w:tabs>
          <w:tab w:val="left" w:pos="720"/>
        </w:tabs>
        <w:spacing w:before="120" w:after="0" w:line="240" w:lineRule="auto"/>
        <w:ind w:left="720" w:right="0" w:hanging="360"/>
        <w:jc w:val="left"/>
        <w:rPr>
          <w:sz w:val="24"/>
        </w:rPr>
      </w:pPr>
      <w:r>
        <w:rPr>
          <w:sz w:val="24"/>
        </w:rPr>
        <w:t>Offered</w:t>
      </w:r>
      <w:r>
        <w:rPr>
          <w:spacing w:val="-1"/>
          <w:sz w:val="24"/>
        </w:rPr>
        <w:t xml:space="preserve"> </w:t>
      </w:r>
      <w:r>
        <w:rPr>
          <w:sz w:val="24"/>
        </w:rPr>
        <w:t>through</w:t>
      </w:r>
      <w:r>
        <w:rPr>
          <w:spacing w:val="-1"/>
          <w:sz w:val="24"/>
        </w:rPr>
        <w:t xml:space="preserve"> </w:t>
      </w:r>
      <w:r>
        <w:rPr>
          <w:sz w:val="24"/>
        </w:rPr>
        <w:t>an</w:t>
      </w:r>
      <w:r>
        <w:rPr>
          <w:spacing w:val="1"/>
          <w:sz w:val="24"/>
        </w:rPr>
        <w:t xml:space="preserve"> </w:t>
      </w:r>
      <w:r>
        <w:rPr>
          <w:sz w:val="24"/>
        </w:rPr>
        <w:t>Exchange</w:t>
      </w:r>
      <w:r>
        <w:rPr>
          <w:spacing w:val="-2"/>
          <w:sz w:val="24"/>
        </w:rPr>
        <w:t xml:space="preserve"> </w:t>
      </w:r>
      <w:r>
        <w:rPr>
          <w:sz w:val="24"/>
        </w:rPr>
        <w:t>in</w:t>
      </w:r>
      <w:r>
        <w:rPr>
          <w:spacing w:val="-1"/>
          <w:sz w:val="24"/>
        </w:rPr>
        <w:t xml:space="preserve"> </w:t>
      </w:r>
      <w:r>
        <w:rPr>
          <w:sz w:val="24"/>
        </w:rPr>
        <w:t>the</w:t>
      </w:r>
      <w:r>
        <w:rPr>
          <w:spacing w:val="-1"/>
          <w:sz w:val="24"/>
        </w:rPr>
        <w:t xml:space="preserve"> </w:t>
      </w:r>
      <w:r>
        <w:rPr>
          <w:sz w:val="24"/>
        </w:rPr>
        <w:t>prior</w:t>
      </w:r>
      <w:r>
        <w:rPr>
          <w:spacing w:val="-1"/>
          <w:sz w:val="24"/>
        </w:rPr>
        <w:t xml:space="preserve"> </w:t>
      </w:r>
      <w:r>
        <w:rPr>
          <w:sz w:val="24"/>
        </w:rPr>
        <w:t>year (i.e., 2026</w:t>
      </w:r>
      <w:r>
        <w:rPr>
          <w:spacing w:val="-1"/>
          <w:sz w:val="24"/>
        </w:rPr>
        <w:t xml:space="preserve"> </w:t>
      </w:r>
      <w:r>
        <w:rPr>
          <w:sz w:val="24"/>
        </w:rPr>
        <w:t xml:space="preserve">calendar </w:t>
      </w:r>
      <w:r>
        <w:rPr>
          <w:spacing w:val="-2"/>
          <w:sz w:val="24"/>
        </w:rPr>
        <w:t>year);</w:t>
      </w:r>
    </w:p>
    <w:p>
      <w:pPr>
        <w:pStyle w:val="ListParagraph"/>
        <w:numPr>
          <w:ilvl w:val="0"/>
          <w:numId w:val="18"/>
        </w:numPr>
        <w:tabs>
          <w:tab w:val="left" w:pos="720"/>
        </w:tabs>
        <w:spacing w:before="120" w:after="0" w:line="240" w:lineRule="auto"/>
        <w:ind w:left="720" w:right="533" w:hanging="360"/>
        <w:jc w:val="left"/>
        <w:rPr>
          <w:sz w:val="24"/>
        </w:rPr>
      </w:pPr>
      <w:r>
        <w:rPr>
          <w:sz w:val="24"/>
        </w:rPr>
        <w:t>Offered</w:t>
      </w:r>
      <w:r>
        <w:rPr>
          <w:spacing w:val="-3"/>
          <w:sz w:val="24"/>
        </w:rPr>
        <w:t xml:space="preserve"> </w:t>
      </w:r>
      <w:r>
        <w:rPr>
          <w:sz w:val="24"/>
        </w:rPr>
        <w:t>through</w:t>
      </w:r>
      <w:r>
        <w:rPr>
          <w:spacing w:val="-3"/>
          <w:sz w:val="24"/>
        </w:rPr>
        <w:t xml:space="preserve"> </w:t>
      </w:r>
      <w:r>
        <w:rPr>
          <w:sz w:val="24"/>
        </w:rPr>
        <w:t>an</w:t>
      </w:r>
      <w:r>
        <w:rPr>
          <w:spacing w:val="-1"/>
          <w:sz w:val="24"/>
        </w:rPr>
        <w:t xml:space="preserve"> </w:t>
      </w:r>
      <w:r>
        <w:rPr>
          <w:sz w:val="24"/>
        </w:rPr>
        <w:t>Exchange</w:t>
      </w:r>
      <w:r>
        <w:rPr>
          <w:spacing w:val="-4"/>
          <w:sz w:val="24"/>
        </w:rPr>
        <w:t xml:space="preserve"> </w:t>
      </w:r>
      <w:r>
        <w:rPr>
          <w:sz w:val="24"/>
        </w:rPr>
        <w:t>in</w:t>
      </w:r>
      <w:r>
        <w:rPr>
          <w:spacing w:val="-3"/>
          <w:sz w:val="24"/>
        </w:rPr>
        <w:t xml:space="preserve"> </w:t>
      </w:r>
      <w:r>
        <w:rPr>
          <w:sz w:val="24"/>
        </w:rPr>
        <w:t>the</w:t>
      </w:r>
      <w:r>
        <w:rPr>
          <w:spacing w:val="-4"/>
          <w:sz w:val="24"/>
        </w:rPr>
        <w:t xml:space="preserve"> </w:t>
      </w:r>
      <w:r>
        <w:rPr>
          <w:sz w:val="24"/>
        </w:rPr>
        <w:t>ratings</w:t>
      </w:r>
      <w:r>
        <w:rPr>
          <w:spacing w:val="-4"/>
          <w:sz w:val="24"/>
        </w:rPr>
        <w:t xml:space="preserve"> </w:t>
      </w:r>
      <w:r>
        <w:rPr>
          <w:sz w:val="24"/>
        </w:rPr>
        <w:t>year</w:t>
      </w:r>
      <w:r>
        <w:rPr>
          <w:spacing w:val="-3"/>
          <w:sz w:val="24"/>
        </w:rPr>
        <w:t xml:space="preserve"> </w:t>
      </w:r>
      <w:r>
        <w:rPr>
          <w:sz w:val="24"/>
        </w:rPr>
        <w:t>(i.e.,</w:t>
      </w:r>
      <w:r>
        <w:rPr>
          <w:spacing w:val="-3"/>
          <w:sz w:val="24"/>
        </w:rPr>
        <w:t xml:space="preserve"> </w:t>
      </w:r>
      <w:r>
        <w:rPr>
          <w:sz w:val="24"/>
        </w:rPr>
        <w:t>2027</w:t>
      </w:r>
      <w:r>
        <w:rPr>
          <w:spacing w:val="-3"/>
          <w:sz w:val="24"/>
        </w:rPr>
        <w:t xml:space="preserve"> </w:t>
      </w:r>
      <w:r>
        <w:rPr>
          <w:sz w:val="24"/>
        </w:rPr>
        <w:t>calendar</w:t>
      </w:r>
      <w:r>
        <w:rPr>
          <w:spacing w:val="-3"/>
          <w:sz w:val="24"/>
        </w:rPr>
        <w:t xml:space="preserve"> </w:t>
      </w:r>
      <w:r>
        <w:rPr>
          <w:sz w:val="24"/>
        </w:rPr>
        <w:t>year) as</w:t>
      </w:r>
      <w:r>
        <w:rPr>
          <w:spacing w:val="-4"/>
          <w:sz w:val="24"/>
        </w:rPr>
        <w:t xml:space="preserve"> </w:t>
      </w:r>
      <w:r>
        <w:rPr>
          <w:sz w:val="24"/>
        </w:rPr>
        <w:t>the</w:t>
      </w:r>
      <w:r>
        <w:rPr>
          <w:spacing w:val="-3"/>
          <w:sz w:val="24"/>
        </w:rPr>
        <w:t xml:space="preserve"> </w:t>
      </w:r>
      <w:r>
        <w:rPr>
          <w:sz w:val="24"/>
        </w:rPr>
        <w:t>exact</w:t>
      </w:r>
      <w:r>
        <w:rPr>
          <w:spacing w:val="-3"/>
          <w:sz w:val="24"/>
        </w:rPr>
        <w:t xml:space="preserve"> </w:t>
      </w:r>
      <w:r>
        <w:rPr>
          <w:sz w:val="24"/>
        </w:rPr>
        <w:t>same product; and</w:t>
      </w:r>
    </w:p>
    <w:p>
      <w:pPr>
        <w:pStyle w:val="ListParagraph"/>
        <w:numPr>
          <w:ilvl w:val="0"/>
          <w:numId w:val="18"/>
        </w:numPr>
        <w:tabs>
          <w:tab w:val="left" w:pos="720"/>
        </w:tabs>
        <w:spacing w:before="121" w:after="0" w:line="240" w:lineRule="auto"/>
        <w:ind w:left="720" w:right="0" w:hanging="360"/>
        <w:jc w:val="left"/>
        <w:rPr>
          <w:sz w:val="24"/>
        </w:rPr>
      </w:pPr>
      <w:r>
        <w:rPr>
          <w:sz w:val="24"/>
        </w:rPr>
        <w:t>Meets</w:t>
      </w:r>
      <w:r>
        <w:rPr>
          <w:spacing w:val="-3"/>
          <w:sz w:val="24"/>
        </w:rPr>
        <w:t xml:space="preserve"> </w:t>
      </w:r>
      <w:r>
        <w:rPr>
          <w:sz w:val="24"/>
        </w:rPr>
        <w:t>the</w:t>
      </w:r>
      <w:r>
        <w:rPr>
          <w:spacing w:val="-1"/>
          <w:sz w:val="24"/>
        </w:rPr>
        <w:t xml:space="preserve"> </w:t>
      </w:r>
      <w:r>
        <w:rPr>
          <w:sz w:val="24"/>
        </w:rPr>
        <w:t>QHP</w:t>
      </w:r>
      <w:r>
        <w:rPr>
          <w:spacing w:val="-2"/>
          <w:sz w:val="24"/>
        </w:rPr>
        <w:t xml:space="preserve"> </w:t>
      </w:r>
      <w:r>
        <w:rPr>
          <w:sz w:val="24"/>
        </w:rPr>
        <w:t>Enrollee</w:t>
      </w:r>
      <w:r>
        <w:rPr>
          <w:spacing w:val="-2"/>
          <w:sz w:val="24"/>
        </w:rPr>
        <w:t xml:space="preserve"> </w:t>
      </w:r>
      <w:r>
        <w:rPr>
          <w:sz w:val="24"/>
        </w:rPr>
        <w:t>Survey</w:t>
      </w:r>
      <w:r>
        <w:rPr>
          <w:spacing w:val="-1"/>
          <w:sz w:val="24"/>
        </w:rPr>
        <w:t xml:space="preserve"> </w:t>
      </w:r>
      <w:r>
        <w:rPr>
          <w:sz w:val="24"/>
        </w:rPr>
        <w:t>minimum</w:t>
      </w:r>
      <w:r>
        <w:rPr>
          <w:spacing w:val="-1"/>
          <w:sz w:val="24"/>
        </w:rPr>
        <w:t xml:space="preserve"> </w:t>
      </w:r>
      <w:r>
        <w:rPr>
          <w:sz w:val="24"/>
        </w:rPr>
        <w:t>enrollment</w:t>
      </w:r>
      <w:r>
        <w:rPr>
          <w:spacing w:val="-1"/>
          <w:sz w:val="24"/>
        </w:rPr>
        <w:t xml:space="preserve"> </w:t>
      </w:r>
      <w:r>
        <w:rPr>
          <w:spacing w:val="-2"/>
          <w:sz w:val="24"/>
        </w:rPr>
        <w:t>requirements:</w:t>
      </w:r>
    </w:p>
    <w:p>
      <w:pPr>
        <w:pStyle w:val="ListParagraph"/>
        <w:numPr>
          <w:ilvl w:val="1"/>
          <w:numId w:val="18"/>
        </w:numPr>
        <w:tabs>
          <w:tab w:val="left" w:pos="1350"/>
        </w:tabs>
        <w:spacing w:before="120" w:after="0" w:line="240" w:lineRule="auto"/>
        <w:ind w:left="1350" w:right="0" w:hanging="359"/>
        <w:jc w:val="left"/>
        <w:rPr>
          <w:sz w:val="24"/>
        </w:rPr>
      </w:pPr>
      <w:r>
        <w:rPr>
          <w:sz w:val="24"/>
        </w:rPr>
        <w:t>Included</w:t>
      </w:r>
      <w:r>
        <w:rPr>
          <w:spacing w:val="-3"/>
          <w:sz w:val="24"/>
        </w:rPr>
        <w:t xml:space="preserve"> </w:t>
      </w:r>
      <w:r>
        <w:rPr>
          <w:sz w:val="24"/>
        </w:rPr>
        <w:t>more</w:t>
      </w:r>
      <w:r>
        <w:rPr>
          <w:spacing w:val="-2"/>
          <w:sz w:val="24"/>
        </w:rPr>
        <w:t xml:space="preserve"> </w:t>
      </w:r>
      <w:r>
        <w:rPr>
          <w:sz w:val="24"/>
        </w:rPr>
        <w:t>than 500</w:t>
      </w:r>
      <w:r>
        <w:rPr>
          <w:spacing w:val="-1"/>
          <w:sz w:val="24"/>
        </w:rPr>
        <w:t xml:space="preserve"> </w:t>
      </w:r>
      <w:r>
        <w:rPr>
          <w:sz w:val="24"/>
        </w:rPr>
        <w:t>enrollees</w:t>
      </w:r>
      <w:r>
        <w:rPr>
          <w:spacing w:val="-1"/>
          <w:sz w:val="24"/>
        </w:rPr>
        <w:t xml:space="preserve"> </w:t>
      </w:r>
      <w:r>
        <w:rPr>
          <w:sz w:val="24"/>
        </w:rPr>
        <w:t>as</w:t>
      </w:r>
      <w:r>
        <w:rPr>
          <w:spacing w:val="-2"/>
          <w:sz w:val="24"/>
        </w:rPr>
        <w:t xml:space="preserve"> </w:t>
      </w:r>
      <w:r>
        <w:rPr>
          <w:sz w:val="24"/>
        </w:rPr>
        <w:t>of</w:t>
      </w:r>
      <w:r>
        <w:rPr>
          <w:spacing w:val="-1"/>
          <w:sz w:val="24"/>
        </w:rPr>
        <w:t xml:space="preserve"> </w:t>
      </w:r>
      <w:r>
        <w:rPr>
          <w:sz w:val="24"/>
        </w:rPr>
        <w:t>July 1</w:t>
      </w:r>
      <w:r>
        <w:rPr>
          <w:spacing w:val="-1"/>
          <w:sz w:val="24"/>
        </w:rPr>
        <w:t xml:space="preserve"> </w:t>
      </w:r>
      <w:r>
        <w:rPr>
          <w:sz w:val="24"/>
        </w:rPr>
        <w:t>in the</w:t>
      </w:r>
      <w:r>
        <w:rPr>
          <w:spacing w:val="-1"/>
          <w:sz w:val="24"/>
        </w:rPr>
        <w:t xml:space="preserve"> </w:t>
      </w:r>
      <w:r>
        <w:rPr>
          <w:sz w:val="24"/>
        </w:rPr>
        <w:t>prior</w:t>
      </w:r>
      <w:r>
        <w:rPr>
          <w:spacing w:val="-1"/>
          <w:sz w:val="24"/>
        </w:rPr>
        <w:t xml:space="preserve"> </w:t>
      </w:r>
      <w:r>
        <w:rPr>
          <w:sz w:val="24"/>
        </w:rPr>
        <w:t>year (i.e.,</w:t>
      </w:r>
      <w:r>
        <w:rPr>
          <w:spacing w:val="-1"/>
          <w:sz w:val="24"/>
        </w:rPr>
        <w:t xml:space="preserve"> </w:t>
      </w:r>
      <w:r>
        <w:rPr>
          <w:sz w:val="24"/>
        </w:rPr>
        <w:t>July 1,</w:t>
      </w:r>
      <w:r>
        <w:rPr>
          <w:spacing w:val="1"/>
          <w:sz w:val="24"/>
        </w:rPr>
        <w:t xml:space="preserve"> </w:t>
      </w:r>
      <w:r>
        <w:rPr>
          <w:sz w:val="24"/>
        </w:rPr>
        <w:t xml:space="preserve">2026), </w:t>
      </w:r>
      <w:r>
        <w:rPr>
          <w:spacing w:val="-5"/>
          <w:sz w:val="24"/>
        </w:rPr>
        <w:t>and</w:t>
      </w:r>
    </w:p>
    <w:p>
      <w:pPr>
        <w:pStyle w:val="ListParagraph"/>
        <w:numPr>
          <w:ilvl w:val="1"/>
          <w:numId w:val="18"/>
        </w:numPr>
        <w:tabs>
          <w:tab w:val="left" w:pos="1351"/>
        </w:tabs>
        <w:spacing w:before="120" w:after="0" w:line="240" w:lineRule="auto"/>
        <w:ind w:left="1351" w:right="669" w:hanging="360"/>
        <w:jc w:val="left"/>
        <w:rPr>
          <w:sz w:val="24"/>
        </w:rPr>
      </w:pPr>
      <w:r>
        <w:rPr>
          <w:sz w:val="24"/>
        </w:rPr>
        <w:t>Included</w:t>
      </w:r>
      <w:r>
        <w:rPr>
          <w:spacing w:val="-3"/>
          <w:sz w:val="24"/>
        </w:rPr>
        <w:t xml:space="preserve"> </w:t>
      </w:r>
      <w:r>
        <w:rPr>
          <w:sz w:val="24"/>
        </w:rPr>
        <w:t>more</w:t>
      </w:r>
      <w:r>
        <w:rPr>
          <w:spacing w:val="-4"/>
          <w:sz w:val="24"/>
        </w:rPr>
        <w:t xml:space="preserve"> </w:t>
      </w:r>
      <w:r>
        <w:rPr>
          <w:sz w:val="24"/>
        </w:rPr>
        <w:t>than</w:t>
      </w:r>
      <w:r>
        <w:rPr>
          <w:spacing w:val="-2"/>
          <w:sz w:val="24"/>
        </w:rPr>
        <w:t xml:space="preserve"> </w:t>
      </w:r>
      <w:r>
        <w:rPr>
          <w:sz w:val="24"/>
        </w:rPr>
        <w:t>500</w:t>
      </w:r>
      <w:r>
        <w:rPr>
          <w:spacing w:val="-2"/>
          <w:sz w:val="24"/>
        </w:rPr>
        <w:t xml:space="preserve"> </w:t>
      </w:r>
      <w:r>
        <w:rPr>
          <w:sz w:val="24"/>
        </w:rPr>
        <w:t>enrollees</w:t>
      </w:r>
      <w:r>
        <w:rPr>
          <w:spacing w:val="-2"/>
          <w:sz w:val="24"/>
        </w:rPr>
        <w:t xml:space="preserve"> </w:t>
      </w:r>
      <w:r>
        <w:rPr>
          <w:sz w:val="24"/>
        </w:rPr>
        <w:t>as</w:t>
      </w:r>
      <w:r>
        <w:rPr>
          <w:spacing w:val="-3"/>
          <w:sz w:val="24"/>
        </w:rPr>
        <w:t xml:space="preserve"> </w:t>
      </w:r>
      <w:r>
        <w:rPr>
          <w:sz w:val="24"/>
        </w:rPr>
        <w:t>of</w:t>
      </w:r>
      <w:r>
        <w:rPr>
          <w:spacing w:val="-3"/>
          <w:sz w:val="24"/>
        </w:rPr>
        <w:t xml:space="preserve"> </w:t>
      </w:r>
      <w:r>
        <w:rPr>
          <w:sz w:val="24"/>
        </w:rPr>
        <w:t>January</w:t>
      </w:r>
      <w:r>
        <w:rPr>
          <w:spacing w:val="-2"/>
          <w:sz w:val="24"/>
        </w:rPr>
        <w:t xml:space="preserve"> </w:t>
      </w:r>
      <w:r>
        <w:rPr>
          <w:sz w:val="24"/>
        </w:rPr>
        <w:t>1</w:t>
      </w:r>
      <w:r>
        <w:rPr>
          <w:spacing w:val="-3"/>
          <w:sz w:val="24"/>
        </w:rPr>
        <w:t xml:space="preserve"> </w:t>
      </w:r>
      <w:r>
        <w:rPr>
          <w:sz w:val="24"/>
        </w:rPr>
        <w:t>of</w:t>
      </w:r>
      <w:r>
        <w:rPr>
          <w:spacing w:val="-2"/>
          <w:sz w:val="24"/>
        </w:rPr>
        <w:t xml:space="preserve"> </w:t>
      </w:r>
      <w:r>
        <w:rPr>
          <w:sz w:val="24"/>
        </w:rPr>
        <w:t>the</w:t>
      </w:r>
      <w:r>
        <w:rPr>
          <w:spacing w:val="-4"/>
          <w:sz w:val="24"/>
        </w:rPr>
        <w:t xml:space="preserve"> </w:t>
      </w:r>
      <w:r>
        <w:rPr>
          <w:sz w:val="24"/>
        </w:rPr>
        <w:t>ratings</w:t>
      </w:r>
      <w:r>
        <w:rPr>
          <w:spacing w:val="-3"/>
          <w:sz w:val="24"/>
        </w:rPr>
        <w:t xml:space="preserve"> </w:t>
      </w:r>
      <w:r>
        <w:rPr>
          <w:sz w:val="24"/>
        </w:rPr>
        <w:t>year</w:t>
      </w:r>
      <w:r>
        <w:rPr>
          <w:spacing w:val="-2"/>
          <w:sz w:val="24"/>
        </w:rPr>
        <w:t xml:space="preserve"> </w:t>
      </w:r>
      <w:r>
        <w:rPr>
          <w:sz w:val="24"/>
        </w:rPr>
        <w:t>(i.e.,</w:t>
      </w:r>
      <w:r>
        <w:rPr>
          <w:spacing w:val="-2"/>
          <w:sz w:val="24"/>
        </w:rPr>
        <w:t xml:space="preserve"> </w:t>
      </w:r>
      <w:r>
        <w:rPr>
          <w:sz w:val="24"/>
        </w:rPr>
        <w:t>January</w:t>
      </w:r>
      <w:r>
        <w:rPr>
          <w:spacing w:val="-2"/>
          <w:sz w:val="24"/>
        </w:rPr>
        <w:t xml:space="preserve"> </w:t>
      </w:r>
      <w:r>
        <w:rPr>
          <w:sz w:val="24"/>
        </w:rPr>
        <w:t xml:space="preserve">1, </w:t>
      </w:r>
      <w:r>
        <w:rPr>
          <w:spacing w:val="-2"/>
          <w:sz w:val="24"/>
        </w:rPr>
        <w:t>2026).</w:t>
      </w:r>
    </w:p>
    <w:p>
      <w:pPr>
        <w:pStyle w:val="BodyText"/>
        <w:spacing w:before="0"/>
        <w:ind w:left="0"/>
        <w:rPr>
          <w:sz w:val="20"/>
        </w:rPr>
      </w:pPr>
    </w:p>
    <w:p>
      <w:pPr>
        <w:pStyle w:val="BodyText"/>
        <w:spacing w:before="223"/>
        <w:ind w:left="0"/>
        <w:rPr>
          <w:sz w:val="20"/>
        </w:rPr>
      </w:pPr>
      <w:r>
        <w:rPr>
          <w:sz w:val="20"/>
        </w:rPr>
        <mc:AlternateContent>
          <mc:Choice Requires="wps">
            <w:drawing>
              <wp:anchor distT="0" distB="0" distL="0" distR="0" simplePos="0" relativeHeight="251660288" behindDoc="1" locked="0" layoutInCell="1" allowOverlap="1">
                <wp:simplePos x="0" y="0"/>
                <wp:positionH relativeFrom="page">
                  <wp:posOffset>914704</wp:posOffset>
                </wp:positionH>
                <wp:positionV relativeFrom="paragraph">
                  <wp:posOffset>302907</wp:posOffset>
                </wp:positionV>
                <wp:extent cx="1829435" cy="7620"/>
                <wp:effectExtent l="0" t="0" r="0" b="0"/>
                <wp:wrapTopAndBottom/>
                <wp:docPr id="7" name="Graphic 7"/>
                <wp:cNvGraphicFramePr/>
                <a:graphic xmlns:a="http://schemas.openxmlformats.org/drawingml/2006/main">
                  <a:graphicData uri="http://schemas.microsoft.com/office/word/2010/wordprocessingShape">
                    <wps:wsp xmlns:wps="http://schemas.microsoft.com/office/word/2010/wordprocessingShape">
                      <wps:cNvSpPr/>
                      <wps:spPr>
                        <a:xfrm>
                          <a:off x="0" y="0"/>
                          <a:ext cx="1829435" cy="7620"/>
                        </a:xfrm>
                        <a:custGeom>
                          <a:avLst/>
                          <a:gdLst/>
                          <a:rect l="l" t="t" r="r" b="b"/>
                          <a:pathLst>
                            <a:path fill="norm" h="7620" w="1829435" stroke="1">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wps:bodyPr>
                    </wps:wsp>
                  </a:graphicData>
                </a:graphic>
              </wp:anchor>
            </w:drawing>
          </mc:Choice>
          <mc:Fallback>
            <w:pict>
              <v:rect id="_x0000_s1027" style="width:144.02pt;height:0.6pt;margin-top:23.85pt;margin-left:72.02pt;mso-position-horizontal-relative:page;mso-wrap-distance-left:0;mso-wrap-distance-right:0;position:absolute;z-index:-251655168" filled="t" fillcolor="black" stroked="f">
                <v:fill type="solid"/>
                <w10:wrap type="topAndBottom"/>
              </v:rect>
            </w:pict>
          </mc:Fallback>
        </mc:AlternateContent>
      </w:r>
    </w:p>
    <w:p>
      <w:pPr>
        <w:spacing w:before="51" w:line="208" w:lineRule="auto"/>
        <w:ind w:left="360" w:right="548" w:firstLine="0"/>
        <w:jc w:val="both"/>
        <w:rPr>
          <w:sz w:val="20"/>
        </w:rPr>
      </w:pPr>
      <w:bookmarkStart w:id="8" w:name="_bookmark3"/>
      <w:bookmarkEnd w:id="8"/>
      <w:r>
        <w:rPr>
          <w:position w:val="6"/>
          <w:sz w:val="13"/>
        </w:rPr>
        <w:t>1</w:t>
      </w:r>
      <w:r>
        <w:rPr>
          <w:spacing w:val="40"/>
          <w:position w:val="6"/>
          <w:sz w:val="13"/>
        </w:rPr>
        <w:t xml:space="preserve"> </w:t>
      </w:r>
      <w:r>
        <w:rPr>
          <w:sz w:val="20"/>
        </w:rPr>
        <w:t xml:space="preserve">Health Insurance Marketplace® is a registered service mark of the U.S. Department of Health &amp; Human </w:t>
      </w:r>
      <w:bookmarkStart w:id="9" w:name="_bookmark4"/>
      <w:bookmarkEnd w:id="9"/>
      <w:r>
        <w:rPr>
          <w:spacing w:val="-2"/>
          <w:sz w:val="20"/>
        </w:rPr>
        <w:t>Services.</w:t>
      </w:r>
    </w:p>
    <w:p>
      <w:pPr>
        <w:spacing w:before="0" w:line="208" w:lineRule="auto"/>
        <w:ind w:left="360" w:right="547" w:firstLine="0"/>
        <w:jc w:val="both"/>
        <w:rPr>
          <w:sz w:val="20"/>
        </w:rPr>
      </w:pPr>
      <w:r>
        <w:rPr>
          <w:position w:val="6"/>
          <w:sz w:val="13"/>
        </w:rPr>
        <w:t>2</w:t>
      </w:r>
      <w:r>
        <w:rPr>
          <w:spacing w:val="17"/>
          <w:position w:val="6"/>
          <w:sz w:val="13"/>
        </w:rPr>
        <w:t xml:space="preserve"> </w:t>
      </w:r>
      <w:r>
        <w:rPr>
          <w:sz w:val="20"/>
        </w:rPr>
        <w:t>For purposes of QRS participation, the term “offered” includes all reporting units that are operational through an Exchange (i.e., reporting units that are available for purchase through an Exchange Small Business Health</w:t>
      </w:r>
      <w:r>
        <w:rPr>
          <w:spacing w:val="40"/>
          <w:sz w:val="20"/>
        </w:rPr>
        <w:t xml:space="preserve"> </w:t>
      </w:r>
      <w:r>
        <w:rPr>
          <w:sz w:val="20"/>
        </w:rPr>
        <w:t>Options Program [SHOP] or individual market, are accepting new members or groups, or have active or existing members) during the applicable year.</w:t>
      </w:r>
    </w:p>
    <w:p>
      <w:pPr>
        <w:spacing w:after="0" w:line="208" w:lineRule="auto"/>
        <w:jc w:val="both"/>
        <w:rPr>
          <w:sz w:val="20"/>
        </w:rPr>
        <w:sectPr>
          <w:footerReference w:type="default" r:id="rId5"/>
          <w:pgSz w:w="12240" w:h="15840"/>
          <w:pgMar w:top="1600" w:right="1080" w:bottom="940" w:left="1080" w:header="0" w:footer="748"/>
          <w:pgNumType w:start="1"/>
          <w:cols w:space="720"/>
        </w:sectPr>
      </w:pPr>
    </w:p>
    <w:p>
      <w:pPr>
        <w:pStyle w:val="BodyText"/>
        <w:spacing w:before="79"/>
        <w:ind w:right="421"/>
      </w:pPr>
      <w:bookmarkStart w:id="10" w:name="1.2 Sample Frame &amp; Respondent Universe"/>
      <w:bookmarkEnd w:id="10"/>
      <w:r>
        <w:t>To comply with the regulation, QHP Issuers must collect and report survey data for all eligible reporting units. For the 2027 survey, CMS estimates that no more than 360 reporting units will be required to field the QHP Enrollee Survey. This estimate is primarily based on trends in the number</w:t>
      </w:r>
      <w:r>
        <w:rPr>
          <w:spacing w:val="-5"/>
        </w:rPr>
        <w:t xml:space="preserve"> </w:t>
      </w:r>
      <w:r>
        <w:t>of</w:t>
      </w:r>
      <w:r>
        <w:rPr>
          <w:spacing w:val="-3"/>
        </w:rPr>
        <w:t xml:space="preserve"> </w:t>
      </w:r>
      <w:r>
        <w:t>reporting</w:t>
      </w:r>
      <w:r>
        <w:rPr>
          <w:spacing w:val="-3"/>
        </w:rPr>
        <w:t xml:space="preserve"> </w:t>
      </w:r>
      <w:r>
        <w:t>units</w:t>
      </w:r>
      <w:r>
        <w:rPr>
          <w:spacing w:val="-2"/>
        </w:rPr>
        <w:t xml:space="preserve"> </w:t>
      </w:r>
      <w:r>
        <w:t>required</w:t>
      </w:r>
      <w:r>
        <w:rPr>
          <w:spacing w:val="-3"/>
        </w:rPr>
        <w:t xml:space="preserve"> </w:t>
      </w:r>
      <w:r>
        <w:t>to</w:t>
      </w:r>
      <w:r>
        <w:rPr>
          <w:spacing w:val="-3"/>
        </w:rPr>
        <w:t xml:space="preserve"> </w:t>
      </w:r>
      <w:r>
        <w:t>collect</w:t>
      </w:r>
      <w:r>
        <w:rPr>
          <w:spacing w:val="-3"/>
        </w:rPr>
        <w:t xml:space="preserve"> </w:t>
      </w:r>
      <w:r>
        <w:t>and</w:t>
      </w:r>
      <w:r>
        <w:rPr>
          <w:spacing w:val="-4"/>
        </w:rPr>
        <w:t xml:space="preserve"> </w:t>
      </w:r>
      <w:r>
        <w:t>report</w:t>
      </w:r>
      <w:r>
        <w:rPr>
          <w:spacing w:val="-3"/>
        </w:rPr>
        <w:t xml:space="preserve"> </w:t>
      </w:r>
      <w:r>
        <w:t>survey</w:t>
      </w:r>
      <w:r>
        <w:rPr>
          <w:spacing w:val="-3"/>
        </w:rPr>
        <w:t xml:space="preserve"> </w:t>
      </w:r>
      <w:r>
        <w:t>data</w:t>
      </w:r>
      <w:r>
        <w:rPr>
          <w:spacing w:val="-3"/>
        </w:rPr>
        <w:t xml:space="preserve"> </w:t>
      </w:r>
      <w:r>
        <w:t>along</w:t>
      </w:r>
      <w:r>
        <w:rPr>
          <w:spacing w:val="-1"/>
        </w:rPr>
        <w:t xml:space="preserve"> </w:t>
      </w:r>
      <w:r>
        <w:t>with</w:t>
      </w:r>
      <w:r>
        <w:rPr>
          <w:spacing w:val="-2"/>
        </w:rPr>
        <w:t xml:space="preserve"> </w:t>
      </w:r>
      <w:r>
        <w:t>review</w:t>
      </w:r>
      <w:r>
        <w:rPr>
          <w:spacing w:val="-4"/>
        </w:rPr>
        <w:t xml:space="preserve"> </w:t>
      </w:r>
      <w:r>
        <w:t>of</w:t>
      </w:r>
      <w:r>
        <w:rPr>
          <w:spacing w:val="-3"/>
        </w:rPr>
        <w:t xml:space="preserve"> </w:t>
      </w:r>
      <w:r>
        <w:t>several data sources used to update the list of eligible reporting units maintained by CMS. In 2023,</w:t>
      </w:r>
    </w:p>
    <w:p>
      <w:pPr>
        <w:pStyle w:val="BodyText"/>
        <w:spacing w:before="0"/>
        <w:ind w:right="421"/>
      </w:pPr>
      <w:r>
        <w:t>324 reporting units submitted survey data, in 2024 it was 342, and in 2025 it was 353. CMS anticipates that approximately 355 reporting units will participate in the 2026 survey data collection.</w:t>
      </w:r>
      <w:r>
        <w:rPr>
          <w:spacing w:val="-3"/>
        </w:rPr>
        <w:t xml:space="preserve"> </w:t>
      </w:r>
      <w:r>
        <w:t>Updates</w:t>
      </w:r>
      <w:r>
        <w:rPr>
          <w:spacing w:val="-4"/>
        </w:rPr>
        <w:t xml:space="preserve"> </w:t>
      </w:r>
      <w:r>
        <w:t>to</w:t>
      </w:r>
      <w:r>
        <w:rPr>
          <w:spacing w:val="-3"/>
        </w:rPr>
        <w:t xml:space="preserve"> </w:t>
      </w:r>
      <w:r>
        <w:t>the</w:t>
      </w:r>
      <w:r>
        <w:rPr>
          <w:spacing w:val="-2"/>
        </w:rPr>
        <w:t xml:space="preserve"> </w:t>
      </w:r>
      <w:r>
        <w:t>QHP</w:t>
      </w:r>
      <w:r>
        <w:rPr>
          <w:spacing w:val="-3"/>
        </w:rPr>
        <w:t xml:space="preserve"> </w:t>
      </w:r>
      <w:r>
        <w:t>Issuer</w:t>
      </w:r>
      <w:r>
        <w:rPr>
          <w:spacing w:val="-3"/>
        </w:rPr>
        <w:t xml:space="preserve"> </w:t>
      </w:r>
      <w:r>
        <w:t>List</w:t>
      </w:r>
      <w:r>
        <w:rPr>
          <w:spacing w:val="-2"/>
        </w:rPr>
        <w:t xml:space="preserve"> </w:t>
      </w:r>
      <w:r>
        <w:t>are</w:t>
      </w:r>
      <w:r>
        <w:rPr>
          <w:spacing w:val="-4"/>
        </w:rPr>
        <w:t xml:space="preserve"> </w:t>
      </w:r>
      <w:r>
        <w:t>based</w:t>
      </w:r>
      <w:r>
        <w:rPr>
          <w:spacing w:val="-3"/>
        </w:rPr>
        <w:t xml:space="preserve"> </w:t>
      </w:r>
      <w:r>
        <w:t>on</w:t>
      </w:r>
      <w:r>
        <w:rPr>
          <w:spacing w:val="-3"/>
        </w:rPr>
        <w:t xml:space="preserve"> </w:t>
      </w:r>
      <w:r>
        <w:t>a</w:t>
      </w:r>
      <w:r>
        <w:rPr>
          <w:spacing w:val="-4"/>
        </w:rPr>
        <w:t xml:space="preserve"> </w:t>
      </w:r>
      <w:r>
        <w:t>combination</w:t>
      </w:r>
      <w:r>
        <w:rPr>
          <w:spacing w:val="-3"/>
        </w:rPr>
        <w:t xml:space="preserve"> </w:t>
      </w:r>
      <w:r>
        <w:t>of</w:t>
      </w:r>
      <w:r>
        <w:rPr>
          <w:spacing w:val="-4"/>
        </w:rPr>
        <w:t xml:space="preserve"> </w:t>
      </w:r>
      <w:r>
        <w:t>reports</w:t>
      </w:r>
      <w:r>
        <w:rPr>
          <w:spacing w:val="-4"/>
        </w:rPr>
        <w:t xml:space="preserve"> </w:t>
      </w:r>
      <w:r>
        <w:t>provided</w:t>
      </w:r>
      <w:r>
        <w:rPr>
          <w:spacing w:val="-3"/>
        </w:rPr>
        <w:t xml:space="preserve"> </w:t>
      </w:r>
      <w:r>
        <w:t>to CMS by issuers, CMS review of enrollment data maintained by the Center for Consumer Information and Insurance Oversight (CCIIO), and other sources.</w:t>
      </w:r>
    </w:p>
    <w:p>
      <w:pPr>
        <w:pStyle w:val="Heading3"/>
        <w:numPr>
          <w:ilvl w:val="1"/>
          <w:numId w:val="19"/>
        </w:numPr>
        <w:tabs>
          <w:tab w:val="left" w:pos="760"/>
        </w:tabs>
        <w:spacing w:before="242" w:after="0" w:line="240" w:lineRule="auto"/>
        <w:ind w:left="760" w:right="0" w:hanging="400"/>
        <w:jc w:val="left"/>
        <w:rPr>
          <w:i/>
        </w:rPr>
      </w:pPr>
      <w:bookmarkStart w:id="11" w:name="_bookmark5"/>
      <w:bookmarkEnd w:id="11"/>
      <w:r>
        <w:rPr>
          <w:i/>
        </w:rPr>
        <w:t>Sample</w:t>
      </w:r>
      <w:r>
        <w:rPr>
          <w:i/>
          <w:spacing w:val="-4"/>
        </w:rPr>
        <w:t xml:space="preserve"> </w:t>
      </w:r>
      <w:r>
        <w:rPr>
          <w:i/>
        </w:rPr>
        <w:t>Frame</w:t>
      </w:r>
      <w:r>
        <w:rPr>
          <w:i/>
          <w:spacing w:val="-4"/>
        </w:rPr>
        <w:t xml:space="preserve"> </w:t>
      </w:r>
      <w:r>
        <w:rPr>
          <w:i/>
        </w:rPr>
        <w:t>&amp;</w:t>
      </w:r>
      <w:r>
        <w:rPr>
          <w:i/>
          <w:spacing w:val="-4"/>
        </w:rPr>
        <w:t xml:space="preserve"> </w:t>
      </w:r>
      <w:r>
        <w:rPr>
          <w:i/>
        </w:rPr>
        <w:t>Respondent</w:t>
      </w:r>
      <w:r>
        <w:rPr>
          <w:i/>
          <w:spacing w:val="-3"/>
        </w:rPr>
        <w:t xml:space="preserve"> </w:t>
      </w:r>
      <w:r>
        <w:rPr>
          <w:i/>
          <w:spacing w:val="-2"/>
        </w:rPr>
        <w:t>Universe</w:t>
      </w:r>
    </w:p>
    <w:p>
      <w:pPr>
        <w:pStyle w:val="BodyText"/>
        <w:spacing w:before="119"/>
        <w:ind w:right="493"/>
      </w:pPr>
      <w:r>
        <w:t>QHP</w:t>
      </w:r>
      <w:r>
        <w:rPr>
          <w:spacing w:val="-3"/>
        </w:rPr>
        <w:t xml:space="preserve"> </w:t>
      </w:r>
      <w:r>
        <w:t>issuers</w:t>
      </w:r>
      <w:r>
        <w:rPr>
          <w:spacing w:val="-4"/>
        </w:rPr>
        <w:t xml:space="preserve"> </w:t>
      </w:r>
      <w:r>
        <w:t>generate</w:t>
      </w:r>
      <w:r>
        <w:rPr>
          <w:spacing w:val="-3"/>
        </w:rPr>
        <w:t xml:space="preserve"> </w:t>
      </w:r>
      <w:r>
        <w:t>the</w:t>
      </w:r>
      <w:r>
        <w:rPr>
          <w:spacing w:val="-2"/>
        </w:rPr>
        <w:t xml:space="preserve"> </w:t>
      </w:r>
      <w:r>
        <w:t>sample</w:t>
      </w:r>
      <w:r>
        <w:rPr>
          <w:spacing w:val="-4"/>
        </w:rPr>
        <w:t xml:space="preserve"> </w:t>
      </w:r>
      <w:r>
        <w:t>frame</w:t>
      </w:r>
      <w:r>
        <w:rPr>
          <w:spacing w:val="-2"/>
        </w:rPr>
        <w:t xml:space="preserve"> </w:t>
      </w:r>
      <w:r>
        <w:t>for</w:t>
      </w:r>
      <w:r>
        <w:rPr>
          <w:spacing w:val="-4"/>
        </w:rPr>
        <w:t xml:space="preserve"> </w:t>
      </w:r>
      <w:r>
        <w:t>each</w:t>
      </w:r>
      <w:r>
        <w:rPr>
          <w:spacing w:val="-1"/>
        </w:rPr>
        <w:t xml:space="preserve"> </w:t>
      </w:r>
      <w:r>
        <w:t>reporting</w:t>
      </w:r>
      <w:r>
        <w:rPr>
          <w:spacing w:val="-3"/>
        </w:rPr>
        <w:t xml:space="preserve"> </w:t>
      </w:r>
      <w:r>
        <w:t>unit,</w:t>
      </w:r>
      <w:r>
        <w:rPr>
          <w:spacing w:val="-3"/>
        </w:rPr>
        <w:t xml:space="preserve"> </w:t>
      </w:r>
      <w:r>
        <w:t>then</w:t>
      </w:r>
      <w:r>
        <w:rPr>
          <w:spacing w:val="-3"/>
        </w:rPr>
        <w:t xml:space="preserve"> </w:t>
      </w:r>
      <w:r>
        <w:t>provide</w:t>
      </w:r>
      <w:r>
        <w:rPr>
          <w:spacing w:val="-4"/>
        </w:rPr>
        <w:t xml:space="preserve"> </w:t>
      </w:r>
      <w:r>
        <w:t>the</w:t>
      </w:r>
      <w:r>
        <w:rPr>
          <w:spacing w:val="-3"/>
        </w:rPr>
        <w:t xml:space="preserve"> </w:t>
      </w:r>
      <w:r>
        <w:t>sample</w:t>
      </w:r>
      <w:r>
        <w:rPr>
          <w:spacing w:val="-4"/>
        </w:rPr>
        <w:t xml:space="preserve"> </w:t>
      </w:r>
      <w:r>
        <w:t>frames to their contracted HHS-approved survey vendor, which is responsible for drawing a simple random sample. For the 2027 QHP Enrollee Survey, the sample frame must include every enrollee within an eligible reporting unit who meets the following criteria:</w:t>
      </w:r>
    </w:p>
    <w:p>
      <w:pPr>
        <w:pStyle w:val="ListParagraph"/>
        <w:numPr>
          <w:ilvl w:val="0"/>
          <w:numId w:val="17"/>
        </w:numPr>
        <w:tabs>
          <w:tab w:val="left" w:pos="720"/>
        </w:tabs>
        <w:spacing w:before="120" w:after="0" w:line="240" w:lineRule="auto"/>
        <w:ind w:left="720" w:right="0" w:hanging="360"/>
        <w:jc w:val="left"/>
        <w:rPr>
          <w:sz w:val="24"/>
        </w:rPr>
      </w:pPr>
      <w:r>
        <w:rPr>
          <w:sz w:val="24"/>
        </w:rPr>
        <w:t>Enrollee</w:t>
      </w:r>
      <w:r>
        <w:rPr>
          <w:spacing w:val="-4"/>
          <w:sz w:val="24"/>
        </w:rPr>
        <w:t xml:space="preserve"> </w:t>
      </w:r>
      <w:r>
        <w:rPr>
          <w:sz w:val="24"/>
        </w:rPr>
        <w:t>is</w:t>
      </w:r>
      <w:r>
        <w:rPr>
          <w:spacing w:val="-1"/>
          <w:sz w:val="24"/>
        </w:rPr>
        <w:t xml:space="preserve"> </w:t>
      </w:r>
      <w:r>
        <w:rPr>
          <w:sz w:val="24"/>
        </w:rPr>
        <w:t>in</w:t>
      </w:r>
      <w:r>
        <w:rPr>
          <w:spacing w:val="-1"/>
          <w:sz w:val="24"/>
        </w:rPr>
        <w:t xml:space="preserve"> </w:t>
      </w:r>
      <w:r>
        <w:rPr>
          <w:sz w:val="24"/>
        </w:rPr>
        <w:t>a QHP</w:t>
      </w:r>
      <w:r>
        <w:rPr>
          <w:spacing w:val="-2"/>
          <w:sz w:val="24"/>
        </w:rPr>
        <w:t xml:space="preserve"> </w:t>
      </w:r>
      <w:r>
        <w:rPr>
          <w:sz w:val="24"/>
        </w:rPr>
        <w:t>offered through</w:t>
      </w:r>
      <w:r>
        <w:rPr>
          <w:spacing w:val="-1"/>
          <w:sz w:val="24"/>
        </w:rPr>
        <w:t xml:space="preserve"> </w:t>
      </w:r>
      <w:r>
        <w:rPr>
          <w:sz w:val="24"/>
        </w:rPr>
        <w:t>an</w:t>
      </w:r>
      <w:r>
        <w:rPr>
          <w:spacing w:val="-1"/>
          <w:sz w:val="24"/>
        </w:rPr>
        <w:t xml:space="preserve"> </w:t>
      </w:r>
      <w:r>
        <w:rPr>
          <w:sz w:val="24"/>
        </w:rPr>
        <w:t>Exchange</w:t>
      </w:r>
      <w:r>
        <w:rPr>
          <w:spacing w:val="1"/>
          <w:sz w:val="24"/>
        </w:rPr>
        <w:t xml:space="preserve"> </w:t>
      </w:r>
      <w:r>
        <w:rPr>
          <w:sz w:val="24"/>
        </w:rPr>
        <w:t>in the</w:t>
      </w:r>
      <w:r>
        <w:rPr>
          <w:spacing w:val="-2"/>
          <w:sz w:val="24"/>
        </w:rPr>
        <w:t xml:space="preserve"> </w:t>
      </w:r>
      <w:r>
        <w:rPr>
          <w:sz w:val="24"/>
        </w:rPr>
        <w:t>prior</w:t>
      </w:r>
      <w:r>
        <w:rPr>
          <w:spacing w:val="-2"/>
          <w:sz w:val="24"/>
        </w:rPr>
        <w:t xml:space="preserve"> </w:t>
      </w:r>
      <w:r>
        <w:rPr>
          <w:sz w:val="24"/>
        </w:rPr>
        <w:t>year</w:t>
      </w:r>
      <w:r>
        <w:rPr>
          <w:spacing w:val="1"/>
          <w:sz w:val="24"/>
        </w:rPr>
        <w:t xml:space="preserve"> </w:t>
      </w:r>
      <w:r>
        <w:rPr>
          <w:sz w:val="24"/>
        </w:rPr>
        <w:t>(i.e.,</w:t>
      </w:r>
      <w:r>
        <w:rPr>
          <w:spacing w:val="-1"/>
          <w:sz w:val="24"/>
        </w:rPr>
        <w:t xml:space="preserve"> </w:t>
      </w:r>
      <w:r>
        <w:rPr>
          <w:sz w:val="24"/>
        </w:rPr>
        <w:t>2026</w:t>
      </w:r>
      <w:r>
        <w:rPr>
          <w:spacing w:val="-1"/>
          <w:sz w:val="24"/>
        </w:rPr>
        <w:t xml:space="preserve"> </w:t>
      </w:r>
      <w:r>
        <w:rPr>
          <w:sz w:val="24"/>
        </w:rPr>
        <w:t xml:space="preserve">calendar </w:t>
      </w:r>
      <w:r>
        <w:rPr>
          <w:spacing w:val="-2"/>
          <w:sz w:val="24"/>
        </w:rPr>
        <w:t>year);</w:t>
      </w:r>
    </w:p>
    <w:p>
      <w:pPr>
        <w:pStyle w:val="ListParagraph"/>
        <w:numPr>
          <w:ilvl w:val="0"/>
          <w:numId w:val="17"/>
        </w:numPr>
        <w:tabs>
          <w:tab w:val="left" w:pos="720"/>
        </w:tabs>
        <w:spacing w:before="120" w:after="0" w:line="240" w:lineRule="auto"/>
        <w:ind w:left="720" w:right="494" w:hanging="360"/>
        <w:jc w:val="left"/>
        <w:rPr>
          <w:sz w:val="24"/>
        </w:rPr>
      </w:pPr>
      <w:r>
        <w:rPr>
          <w:sz w:val="24"/>
        </w:rPr>
        <w:t>Enrollee</w:t>
      </w:r>
      <w:r>
        <w:rPr>
          <w:spacing w:val="-4"/>
          <w:sz w:val="24"/>
        </w:rPr>
        <w:t xml:space="preserve"> </w:t>
      </w:r>
      <w:r>
        <w:rPr>
          <w:sz w:val="24"/>
        </w:rPr>
        <w:t>is</w:t>
      </w:r>
      <w:r>
        <w:rPr>
          <w:spacing w:val="-4"/>
          <w:sz w:val="24"/>
        </w:rPr>
        <w:t xml:space="preserve"> </w:t>
      </w:r>
      <w:r>
        <w:rPr>
          <w:sz w:val="24"/>
        </w:rPr>
        <w:t>in</w:t>
      </w:r>
      <w:r>
        <w:rPr>
          <w:spacing w:val="-3"/>
          <w:sz w:val="24"/>
        </w:rPr>
        <w:t xml:space="preserve"> </w:t>
      </w:r>
      <w:r>
        <w:rPr>
          <w:sz w:val="24"/>
        </w:rPr>
        <w:t>a</w:t>
      </w:r>
      <w:r>
        <w:rPr>
          <w:spacing w:val="-4"/>
          <w:sz w:val="24"/>
        </w:rPr>
        <w:t xml:space="preserve"> </w:t>
      </w:r>
      <w:r>
        <w:rPr>
          <w:sz w:val="24"/>
        </w:rPr>
        <w:t>QHP</w:t>
      </w:r>
      <w:r>
        <w:rPr>
          <w:spacing w:val="-3"/>
          <w:sz w:val="24"/>
        </w:rPr>
        <w:t xml:space="preserve"> </w:t>
      </w:r>
      <w:r>
        <w:rPr>
          <w:sz w:val="24"/>
        </w:rPr>
        <w:t>offered</w:t>
      </w:r>
      <w:r>
        <w:rPr>
          <w:spacing w:val="-3"/>
          <w:sz w:val="24"/>
        </w:rPr>
        <w:t xml:space="preserve"> </w:t>
      </w:r>
      <w:r>
        <w:rPr>
          <w:sz w:val="24"/>
        </w:rPr>
        <w:t>through</w:t>
      </w:r>
      <w:r>
        <w:rPr>
          <w:spacing w:val="-2"/>
          <w:sz w:val="24"/>
        </w:rPr>
        <w:t xml:space="preserve"> </w:t>
      </w:r>
      <w:r>
        <w:rPr>
          <w:sz w:val="24"/>
        </w:rPr>
        <w:t>an</w:t>
      </w:r>
      <w:r>
        <w:rPr>
          <w:spacing w:val="-3"/>
          <w:sz w:val="24"/>
        </w:rPr>
        <w:t xml:space="preserve"> </w:t>
      </w:r>
      <w:r>
        <w:rPr>
          <w:sz w:val="24"/>
        </w:rPr>
        <w:t>Exchange</w:t>
      </w:r>
      <w:r>
        <w:rPr>
          <w:spacing w:val="-2"/>
          <w:sz w:val="24"/>
        </w:rPr>
        <w:t xml:space="preserve"> </w:t>
      </w:r>
      <w:r>
        <w:rPr>
          <w:sz w:val="24"/>
        </w:rPr>
        <w:t>that</w:t>
      </w:r>
      <w:r>
        <w:rPr>
          <w:spacing w:val="-3"/>
          <w:sz w:val="24"/>
        </w:rPr>
        <w:t xml:space="preserve"> </w:t>
      </w:r>
      <w:r>
        <w:rPr>
          <w:sz w:val="24"/>
        </w:rPr>
        <w:t>provides</w:t>
      </w:r>
      <w:r>
        <w:rPr>
          <w:spacing w:val="-4"/>
          <w:sz w:val="24"/>
        </w:rPr>
        <w:t xml:space="preserve"> </w:t>
      </w:r>
      <w:r>
        <w:rPr>
          <w:sz w:val="24"/>
        </w:rPr>
        <w:t>family</w:t>
      </w:r>
      <w:r>
        <w:rPr>
          <w:spacing w:val="-3"/>
          <w:sz w:val="24"/>
        </w:rPr>
        <w:t xml:space="preserve"> </w:t>
      </w:r>
      <w:r>
        <w:rPr>
          <w:sz w:val="24"/>
        </w:rPr>
        <w:t>and/or</w:t>
      </w:r>
      <w:r>
        <w:rPr>
          <w:spacing w:val="-3"/>
          <w:sz w:val="24"/>
        </w:rPr>
        <w:t xml:space="preserve"> </w:t>
      </w:r>
      <w:r>
        <w:rPr>
          <w:sz w:val="24"/>
        </w:rPr>
        <w:t>adult</w:t>
      </w:r>
      <w:r>
        <w:rPr>
          <w:spacing w:val="-3"/>
          <w:sz w:val="24"/>
        </w:rPr>
        <w:t xml:space="preserve"> </w:t>
      </w:r>
      <w:r>
        <w:rPr>
          <w:sz w:val="24"/>
        </w:rPr>
        <w:t xml:space="preserve">medical </w:t>
      </w:r>
      <w:r>
        <w:rPr>
          <w:spacing w:val="-2"/>
          <w:sz w:val="24"/>
        </w:rPr>
        <w:t>coverage;</w:t>
      </w:r>
    </w:p>
    <w:p>
      <w:pPr>
        <w:pStyle w:val="ListParagraph"/>
        <w:numPr>
          <w:ilvl w:val="0"/>
          <w:numId w:val="17"/>
        </w:numPr>
        <w:tabs>
          <w:tab w:val="left" w:pos="720"/>
        </w:tabs>
        <w:spacing w:before="120" w:after="0" w:line="240" w:lineRule="auto"/>
        <w:ind w:left="720" w:right="0" w:hanging="360"/>
        <w:jc w:val="left"/>
        <w:rPr>
          <w:sz w:val="24"/>
        </w:rPr>
      </w:pPr>
      <w:r>
        <w:rPr>
          <w:sz w:val="24"/>
        </w:rPr>
        <w:t>Enrollee</w:t>
      </w:r>
      <w:r>
        <w:rPr>
          <w:spacing w:val="-4"/>
          <w:sz w:val="24"/>
        </w:rPr>
        <w:t xml:space="preserve"> </w:t>
      </w:r>
      <w:r>
        <w:rPr>
          <w:sz w:val="24"/>
        </w:rPr>
        <w:t>is 18 years</w:t>
      </w:r>
      <w:r>
        <w:rPr>
          <w:spacing w:val="-2"/>
          <w:sz w:val="24"/>
        </w:rPr>
        <w:t xml:space="preserve"> </w:t>
      </w:r>
      <w:r>
        <w:rPr>
          <w:sz w:val="24"/>
        </w:rPr>
        <w:t>of age</w:t>
      </w:r>
      <w:r>
        <w:rPr>
          <w:spacing w:val="-1"/>
          <w:sz w:val="24"/>
        </w:rPr>
        <w:t xml:space="preserve"> </w:t>
      </w:r>
      <w:r>
        <w:rPr>
          <w:sz w:val="24"/>
        </w:rPr>
        <w:t>or older</w:t>
      </w:r>
      <w:r>
        <w:rPr>
          <w:spacing w:val="-2"/>
          <w:sz w:val="24"/>
        </w:rPr>
        <w:t xml:space="preserve"> </w:t>
      </w:r>
      <w:r>
        <w:rPr>
          <w:sz w:val="24"/>
        </w:rPr>
        <w:t>on December</w:t>
      </w:r>
      <w:r>
        <w:rPr>
          <w:spacing w:val="-1"/>
          <w:sz w:val="24"/>
        </w:rPr>
        <w:t xml:space="preserve"> </w:t>
      </w:r>
      <w:r>
        <w:rPr>
          <w:sz w:val="24"/>
        </w:rPr>
        <w:t xml:space="preserve">31, </w:t>
      </w:r>
      <w:r>
        <w:rPr>
          <w:spacing w:val="-2"/>
          <w:sz w:val="24"/>
        </w:rPr>
        <w:t>2026;</w:t>
      </w:r>
    </w:p>
    <w:p>
      <w:pPr>
        <w:pStyle w:val="ListParagraph"/>
        <w:numPr>
          <w:ilvl w:val="0"/>
          <w:numId w:val="17"/>
        </w:numPr>
        <w:tabs>
          <w:tab w:val="left" w:pos="720"/>
        </w:tabs>
        <w:spacing w:before="120" w:after="0" w:line="240" w:lineRule="auto"/>
        <w:ind w:left="720" w:right="706" w:hanging="360"/>
        <w:jc w:val="left"/>
        <w:rPr>
          <w:sz w:val="24"/>
        </w:rPr>
      </w:pPr>
      <w:r>
        <w:rPr>
          <w:sz w:val="24"/>
        </w:rPr>
        <w:t>Enrollee</w:t>
      </w:r>
      <w:r>
        <w:rPr>
          <w:spacing w:val="-5"/>
          <w:sz w:val="24"/>
        </w:rPr>
        <w:t xml:space="preserve"> </w:t>
      </w:r>
      <w:r>
        <w:rPr>
          <w:sz w:val="24"/>
        </w:rPr>
        <w:t>meets</w:t>
      </w:r>
      <w:r>
        <w:rPr>
          <w:spacing w:val="-5"/>
          <w:sz w:val="24"/>
        </w:rPr>
        <w:t xml:space="preserve"> </w:t>
      </w:r>
      <w:r>
        <w:rPr>
          <w:sz w:val="24"/>
        </w:rPr>
        <w:t>continuous</w:t>
      </w:r>
      <w:r>
        <w:rPr>
          <w:spacing w:val="-5"/>
          <w:sz w:val="24"/>
        </w:rPr>
        <w:t xml:space="preserve"> </w:t>
      </w:r>
      <w:r>
        <w:rPr>
          <w:sz w:val="24"/>
        </w:rPr>
        <w:t>enrollment</w:t>
      </w:r>
      <w:r>
        <w:rPr>
          <w:spacing w:val="-4"/>
          <w:sz w:val="24"/>
        </w:rPr>
        <w:t xml:space="preserve"> </w:t>
      </w:r>
      <w:r>
        <w:rPr>
          <w:sz w:val="24"/>
        </w:rPr>
        <w:t>criteria</w:t>
      </w:r>
      <w:r>
        <w:rPr>
          <w:spacing w:val="-3"/>
          <w:sz w:val="24"/>
        </w:rPr>
        <w:t xml:space="preserve"> </w:t>
      </w:r>
      <w:r>
        <w:rPr>
          <w:sz w:val="24"/>
        </w:rPr>
        <w:t>(has</w:t>
      </w:r>
      <w:r>
        <w:rPr>
          <w:spacing w:val="-2"/>
          <w:sz w:val="24"/>
        </w:rPr>
        <w:t xml:space="preserve"> </w:t>
      </w:r>
      <w:r>
        <w:rPr>
          <w:sz w:val="24"/>
        </w:rPr>
        <w:t>been</w:t>
      </w:r>
      <w:r>
        <w:rPr>
          <w:spacing w:val="-4"/>
          <w:sz w:val="24"/>
        </w:rPr>
        <w:t xml:space="preserve"> </w:t>
      </w:r>
      <w:r>
        <w:rPr>
          <w:sz w:val="24"/>
        </w:rPr>
        <w:t>enrolled</w:t>
      </w:r>
      <w:r>
        <w:rPr>
          <w:spacing w:val="-4"/>
          <w:sz w:val="24"/>
        </w:rPr>
        <w:t xml:space="preserve"> </w:t>
      </w:r>
      <w:r>
        <w:rPr>
          <w:sz w:val="24"/>
        </w:rPr>
        <w:t>in</w:t>
      </w:r>
      <w:r>
        <w:rPr>
          <w:spacing w:val="-4"/>
          <w:sz w:val="24"/>
        </w:rPr>
        <w:t xml:space="preserve"> </w:t>
      </w:r>
      <w:r>
        <w:rPr>
          <w:sz w:val="24"/>
        </w:rPr>
        <w:t>the</w:t>
      </w:r>
      <w:r>
        <w:rPr>
          <w:spacing w:val="-3"/>
          <w:sz w:val="24"/>
        </w:rPr>
        <w:t xml:space="preserve"> </w:t>
      </w:r>
      <w:r>
        <w:rPr>
          <w:sz w:val="24"/>
        </w:rPr>
        <w:t>eligible</w:t>
      </w:r>
      <w:r>
        <w:rPr>
          <w:spacing w:val="-5"/>
          <w:sz w:val="24"/>
        </w:rPr>
        <w:t xml:space="preserve"> </w:t>
      </w:r>
      <w:r>
        <w:rPr>
          <w:sz w:val="24"/>
        </w:rPr>
        <w:t>QHP</w:t>
      </w:r>
      <w:r>
        <w:rPr>
          <w:spacing w:val="-3"/>
          <w:sz w:val="24"/>
        </w:rPr>
        <w:t xml:space="preserve"> </w:t>
      </w:r>
      <w:r>
        <w:rPr>
          <w:sz w:val="24"/>
        </w:rPr>
        <w:t>from July 1, 2026 through December 31, 2026, with no more than a single 45-day break in enrollment during those six months); and</w:t>
      </w:r>
    </w:p>
    <w:p>
      <w:pPr>
        <w:pStyle w:val="ListParagraph"/>
        <w:numPr>
          <w:ilvl w:val="0"/>
          <w:numId w:val="17"/>
        </w:numPr>
        <w:tabs>
          <w:tab w:val="left" w:pos="720"/>
        </w:tabs>
        <w:spacing w:before="121" w:after="0" w:line="343" w:lineRule="auto"/>
        <w:ind w:left="360" w:right="2502" w:firstLine="0"/>
        <w:jc w:val="left"/>
        <w:rPr>
          <w:sz w:val="24"/>
        </w:rPr>
      </w:pPr>
      <w:r>
        <w:rPr>
          <w:sz w:val="24"/>
        </w:rPr>
        <w:t>Enrollee</w:t>
      </w:r>
      <w:r>
        <w:rPr>
          <w:spacing w:val="-5"/>
          <w:sz w:val="24"/>
        </w:rPr>
        <w:t xml:space="preserve"> </w:t>
      </w:r>
      <w:r>
        <w:rPr>
          <w:sz w:val="24"/>
        </w:rPr>
        <w:t>is</w:t>
      </w:r>
      <w:r>
        <w:rPr>
          <w:spacing w:val="-4"/>
          <w:sz w:val="24"/>
        </w:rPr>
        <w:t xml:space="preserve"> </w:t>
      </w:r>
      <w:r>
        <w:rPr>
          <w:sz w:val="24"/>
        </w:rPr>
        <w:t>still</w:t>
      </w:r>
      <w:r>
        <w:rPr>
          <w:spacing w:val="-4"/>
          <w:sz w:val="24"/>
        </w:rPr>
        <w:t xml:space="preserve"> </w:t>
      </w:r>
      <w:r>
        <w:rPr>
          <w:sz w:val="24"/>
        </w:rPr>
        <w:t>enrolled</w:t>
      </w:r>
      <w:r>
        <w:rPr>
          <w:spacing w:val="-4"/>
          <w:sz w:val="24"/>
        </w:rPr>
        <w:t xml:space="preserve"> </w:t>
      </w:r>
      <w:r>
        <w:rPr>
          <w:sz w:val="24"/>
        </w:rPr>
        <w:t>on</w:t>
      </w:r>
      <w:r>
        <w:rPr>
          <w:spacing w:val="-4"/>
          <w:sz w:val="24"/>
        </w:rPr>
        <w:t xml:space="preserve"> </w:t>
      </w:r>
      <w:r>
        <w:rPr>
          <w:sz w:val="24"/>
        </w:rPr>
        <w:t>the</w:t>
      </w:r>
      <w:r>
        <w:rPr>
          <w:spacing w:val="-4"/>
          <w:sz w:val="24"/>
        </w:rPr>
        <w:t xml:space="preserve"> </w:t>
      </w:r>
      <w:r>
        <w:rPr>
          <w:sz w:val="24"/>
        </w:rPr>
        <w:t>specified</w:t>
      </w:r>
      <w:r>
        <w:rPr>
          <w:spacing w:val="-2"/>
          <w:sz w:val="24"/>
        </w:rPr>
        <w:t xml:space="preserve"> </w:t>
      </w:r>
      <w:r>
        <w:rPr>
          <w:sz w:val="24"/>
        </w:rPr>
        <w:t>anchor</w:t>
      </w:r>
      <w:r>
        <w:rPr>
          <w:spacing w:val="-4"/>
          <w:sz w:val="24"/>
        </w:rPr>
        <w:t xml:space="preserve"> </w:t>
      </w:r>
      <w:r>
        <w:rPr>
          <w:sz w:val="24"/>
        </w:rPr>
        <w:t>date</w:t>
      </w:r>
      <w:r>
        <w:rPr>
          <w:spacing w:val="-4"/>
          <w:sz w:val="24"/>
        </w:rPr>
        <w:t xml:space="preserve"> </w:t>
      </w:r>
      <w:r>
        <w:rPr>
          <w:sz w:val="24"/>
        </w:rPr>
        <w:t>(January</w:t>
      </w:r>
      <w:r>
        <w:rPr>
          <w:spacing w:val="-4"/>
          <w:sz w:val="24"/>
        </w:rPr>
        <w:t xml:space="preserve"> </w:t>
      </w:r>
      <w:r>
        <w:rPr>
          <w:sz w:val="24"/>
        </w:rPr>
        <w:t>6,</w:t>
      </w:r>
      <w:r>
        <w:rPr>
          <w:spacing w:val="-5"/>
          <w:sz w:val="24"/>
        </w:rPr>
        <w:t xml:space="preserve"> </w:t>
      </w:r>
      <w:r>
        <w:rPr>
          <w:sz w:val="24"/>
        </w:rPr>
        <w:t>2027). Issuers are to exclude individuals if:</w:t>
      </w:r>
    </w:p>
    <w:p>
      <w:pPr>
        <w:pStyle w:val="ListParagraph"/>
        <w:numPr>
          <w:ilvl w:val="1"/>
          <w:numId w:val="17"/>
        </w:numPr>
        <w:tabs>
          <w:tab w:val="left" w:pos="720"/>
        </w:tabs>
        <w:spacing w:before="2" w:after="0" w:line="240" w:lineRule="auto"/>
        <w:ind w:left="720" w:right="0" w:hanging="360"/>
        <w:jc w:val="left"/>
        <w:rPr>
          <w:sz w:val="24"/>
        </w:rPr>
      </w:pPr>
      <w:r>
        <w:rPr>
          <w:sz w:val="24"/>
        </w:rPr>
        <w:t>Enrollee</w:t>
      </w:r>
      <w:r>
        <w:rPr>
          <w:spacing w:val="-2"/>
          <w:sz w:val="24"/>
        </w:rPr>
        <w:t xml:space="preserve"> </w:t>
      </w:r>
      <w:r>
        <w:rPr>
          <w:sz w:val="24"/>
        </w:rPr>
        <w:t>is</w:t>
      </w:r>
      <w:r>
        <w:rPr>
          <w:spacing w:val="-2"/>
          <w:sz w:val="24"/>
        </w:rPr>
        <w:t xml:space="preserve"> </w:t>
      </w:r>
      <w:r>
        <w:rPr>
          <w:sz w:val="24"/>
        </w:rPr>
        <w:t>in</w:t>
      </w:r>
      <w:r>
        <w:rPr>
          <w:spacing w:val="-1"/>
          <w:sz w:val="24"/>
        </w:rPr>
        <w:t xml:space="preserve"> </w:t>
      </w:r>
      <w:r>
        <w:rPr>
          <w:sz w:val="24"/>
        </w:rPr>
        <w:t>a</w:t>
      </w:r>
      <w:r>
        <w:rPr>
          <w:spacing w:val="-1"/>
          <w:sz w:val="24"/>
        </w:rPr>
        <w:t xml:space="preserve"> </w:t>
      </w:r>
      <w:r>
        <w:rPr>
          <w:sz w:val="24"/>
        </w:rPr>
        <w:t>QHP</w:t>
      </w:r>
      <w:r>
        <w:rPr>
          <w:spacing w:val="-1"/>
          <w:sz w:val="24"/>
        </w:rPr>
        <w:t xml:space="preserve"> </w:t>
      </w:r>
      <w:r>
        <w:rPr>
          <w:sz w:val="24"/>
        </w:rPr>
        <w:t>offered</w:t>
      </w:r>
      <w:r>
        <w:rPr>
          <w:spacing w:val="-1"/>
          <w:sz w:val="24"/>
        </w:rPr>
        <w:t xml:space="preserve"> </w:t>
      </w:r>
      <w:r>
        <w:rPr>
          <w:sz w:val="24"/>
        </w:rPr>
        <w:t>outside</w:t>
      </w:r>
      <w:r>
        <w:rPr>
          <w:spacing w:val="-1"/>
          <w:sz w:val="24"/>
        </w:rPr>
        <w:t xml:space="preserve"> </w:t>
      </w:r>
      <w:r>
        <w:rPr>
          <w:sz w:val="24"/>
        </w:rPr>
        <w:t>the</w:t>
      </w:r>
      <w:r>
        <w:rPr>
          <w:spacing w:val="-1"/>
          <w:sz w:val="24"/>
        </w:rPr>
        <w:t xml:space="preserve"> </w:t>
      </w:r>
      <w:r>
        <w:rPr>
          <w:sz w:val="24"/>
        </w:rPr>
        <w:t>Exchange or</w:t>
      </w:r>
      <w:r>
        <w:rPr>
          <w:spacing w:val="-1"/>
          <w:sz w:val="24"/>
        </w:rPr>
        <w:t xml:space="preserve"> </w:t>
      </w:r>
      <w:r>
        <w:rPr>
          <w:sz w:val="24"/>
        </w:rPr>
        <w:t>a</w:t>
      </w:r>
      <w:r>
        <w:rPr>
          <w:spacing w:val="-2"/>
          <w:sz w:val="24"/>
        </w:rPr>
        <w:t xml:space="preserve"> </w:t>
      </w:r>
      <w:r>
        <w:rPr>
          <w:sz w:val="24"/>
        </w:rPr>
        <w:t>non-</w:t>
      </w:r>
      <w:r>
        <w:rPr>
          <w:spacing w:val="-4"/>
          <w:sz w:val="24"/>
        </w:rPr>
        <w:t>QHP;</w:t>
      </w:r>
    </w:p>
    <w:p>
      <w:pPr>
        <w:pStyle w:val="ListParagraph"/>
        <w:numPr>
          <w:ilvl w:val="1"/>
          <w:numId w:val="17"/>
        </w:numPr>
        <w:tabs>
          <w:tab w:val="left" w:pos="720"/>
        </w:tabs>
        <w:spacing w:before="120" w:after="0" w:line="240" w:lineRule="auto"/>
        <w:ind w:left="720" w:right="446" w:hanging="360"/>
        <w:jc w:val="left"/>
        <w:rPr>
          <w:sz w:val="24"/>
        </w:rPr>
      </w:pPr>
      <w:r>
        <w:rPr>
          <w:sz w:val="24"/>
        </w:rPr>
        <w:t>Enrollee</w:t>
      </w:r>
      <w:r>
        <w:rPr>
          <w:spacing w:val="-4"/>
          <w:sz w:val="24"/>
        </w:rPr>
        <w:t xml:space="preserve"> </w:t>
      </w:r>
      <w:r>
        <w:rPr>
          <w:sz w:val="24"/>
        </w:rPr>
        <w:t>is</w:t>
      </w:r>
      <w:r>
        <w:rPr>
          <w:spacing w:val="-3"/>
          <w:sz w:val="24"/>
        </w:rPr>
        <w:t xml:space="preserve"> </w:t>
      </w:r>
      <w:r>
        <w:rPr>
          <w:sz w:val="24"/>
        </w:rPr>
        <w:t>in</w:t>
      </w:r>
      <w:r>
        <w:rPr>
          <w:spacing w:val="-3"/>
          <w:sz w:val="24"/>
        </w:rPr>
        <w:t xml:space="preserve"> </w:t>
      </w:r>
      <w:r>
        <w:rPr>
          <w:sz w:val="24"/>
        </w:rPr>
        <w:t>a</w:t>
      </w:r>
      <w:r>
        <w:rPr>
          <w:spacing w:val="-3"/>
          <w:sz w:val="24"/>
        </w:rPr>
        <w:t xml:space="preserve"> </w:t>
      </w:r>
      <w:r>
        <w:rPr>
          <w:sz w:val="24"/>
        </w:rPr>
        <w:t>QHP</w:t>
      </w:r>
      <w:r>
        <w:rPr>
          <w:spacing w:val="-4"/>
          <w:sz w:val="24"/>
        </w:rPr>
        <w:t xml:space="preserve"> </w:t>
      </w:r>
      <w:r>
        <w:rPr>
          <w:sz w:val="24"/>
        </w:rPr>
        <w:t>offered</w:t>
      </w:r>
      <w:r>
        <w:rPr>
          <w:spacing w:val="-3"/>
          <w:sz w:val="24"/>
        </w:rPr>
        <w:t xml:space="preserve"> </w:t>
      </w:r>
      <w:r>
        <w:rPr>
          <w:sz w:val="24"/>
        </w:rPr>
        <w:t>through</w:t>
      </w:r>
      <w:r>
        <w:rPr>
          <w:spacing w:val="-3"/>
          <w:sz w:val="24"/>
        </w:rPr>
        <w:t xml:space="preserve"> </w:t>
      </w:r>
      <w:r>
        <w:rPr>
          <w:sz w:val="24"/>
        </w:rPr>
        <w:t>the</w:t>
      </w:r>
      <w:r>
        <w:rPr>
          <w:spacing w:val="-3"/>
          <w:sz w:val="24"/>
        </w:rPr>
        <w:t xml:space="preserve"> </w:t>
      </w:r>
      <w:r>
        <w:rPr>
          <w:sz w:val="24"/>
        </w:rPr>
        <w:t>Exchange</w:t>
      </w:r>
      <w:r>
        <w:rPr>
          <w:spacing w:val="-4"/>
          <w:sz w:val="24"/>
        </w:rPr>
        <w:t xml:space="preserve"> </w:t>
      </w:r>
      <w:r>
        <w:rPr>
          <w:sz w:val="24"/>
        </w:rPr>
        <w:t>that</w:t>
      </w:r>
      <w:r>
        <w:rPr>
          <w:spacing w:val="-3"/>
          <w:sz w:val="24"/>
        </w:rPr>
        <w:t xml:space="preserve"> </w:t>
      </w:r>
      <w:r>
        <w:rPr>
          <w:sz w:val="24"/>
        </w:rPr>
        <w:t>is</w:t>
      </w:r>
      <w:r>
        <w:rPr>
          <w:spacing w:val="-3"/>
          <w:sz w:val="24"/>
        </w:rPr>
        <w:t xml:space="preserve"> </w:t>
      </w:r>
      <w:r>
        <w:rPr>
          <w:sz w:val="24"/>
        </w:rPr>
        <w:t>an</w:t>
      </w:r>
      <w:r>
        <w:rPr>
          <w:spacing w:val="-3"/>
          <w:sz w:val="24"/>
        </w:rPr>
        <w:t xml:space="preserve"> </w:t>
      </w:r>
      <w:r>
        <w:rPr>
          <w:sz w:val="24"/>
        </w:rPr>
        <w:t>indemnity</w:t>
      </w:r>
      <w:r>
        <w:rPr>
          <w:spacing w:val="-3"/>
          <w:sz w:val="24"/>
        </w:rPr>
        <w:t xml:space="preserve"> </w:t>
      </w:r>
      <w:r>
        <w:rPr>
          <w:sz w:val="24"/>
        </w:rPr>
        <w:t>(i.e.,</w:t>
      </w:r>
      <w:r>
        <w:rPr>
          <w:spacing w:val="-3"/>
          <w:sz w:val="24"/>
        </w:rPr>
        <w:t xml:space="preserve"> </w:t>
      </w:r>
      <w:r>
        <w:rPr>
          <w:sz w:val="24"/>
        </w:rPr>
        <w:t>fee-for-service) plan, child-only health plan, or stand-alone dental plan;</w:t>
      </w:r>
    </w:p>
    <w:p>
      <w:pPr>
        <w:pStyle w:val="ListParagraph"/>
        <w:numPr>
          <w:ilvl w:val="1"/>
          <w:numId w:val="17"/>
        </w:numPr>
        <w:tabs>
          <w:tab w:val="left" w:pos="720"/>
        </w:tabs>
        <w:spacing w:before="121" w:after="0" w:line="240" w:lineRule="auto"/>
        <w:ind w:left="720" w:right="0" w:hanging="360"/>
        <w:jc w:val="left"/>
        <w:rPr>
          <w:sz w:val="24"/>
        </w:rPr>
      </w:pPr>
      <w:r>
        <w:rPr>
          <w:sz w:val="24"/>
        </w:rPr>
        <w:t>Enrollee</w:t>
      </w:r>
      <w:r>
        <w:rPr>
          <w:spacing w:val="-2"/>
          <w:sz w:val="24"/>
        </w:rPr>
        <w:t xml:space="preserve"> </w:t>
      </w:r>
      <w:r>
        <w:rPr>
          <w:sz w:val="24"/>
        </w:rPr>
        <w:t>is</w:t>
      </w:r>
      <w:r>
        <w:rPr>
          <w:spacing w:val="-2"/>
          <w:sz w:val="24"/>
        </w:rPr>
        <w:t xml:space="preserve"> </w:t>
      </w:r>
      <w:r>
        <w:rPr>
          <w:sz w:val="24"/>
        </w:rPr>
        <w:t>in a</w:t>
      </w:r>
      <w:r>
        <w:rPr>
          <w:spacing w:val="-2"/>
          <w:sz w:val="24"/>
        </w:rPr>
        <w:t xml:space="preserve"> </w:t>
      </w:r>
      <w:r>
        <w:rPr>
          <w:sz w:val="24"/>
        </w:rPr>
        <w:t>BHP</w:t>
      </w:r>
      <w:r>
        <w:rPr>
          <w:spacing w:val="-1"/>
          <w:sz w:val="24"/>
        </w:rPr>
        <w:t xml:space="preserve"> </w:t>
      </w:r>
      <w:r>
        <w:rPr>
          <w:spacing w:val="-2"/>
          <w:sz w:val="24"/>
        </w:rPr>
        <w:t>plan;</w:t>
      </w:r>
    </w:p>
    <w:p>
      <w:pPr>
        <w:pStyle w:val="ListParagraph"/>
        <w:numPr>
          <w:ilvl w:val="1"/>
          <w:numId w:val="17"/>
        </w:numPr>
        <w:tabs>
          <w:tab w:val="left" w:pos="720"/>
        </w:tabs>
        <w:spacing w:before="120" w:after="0" w:line="240" w:lineRule="auto"/>
        <w:ind w:left="720" w:right="0" w:hanging="360"/>
        <w:jc w:val="left"/>
        <w:rPr>
          <w:sz w:val="24"/>
        </w:rPr>
      </w:pPr>
      <w:r>
        <w:rPr>
          <w:sz w:val="24"/>
        </w:rPr>
        <w:t>Enrollee</w:t>
      </w:r>
      <w:r>
        <w:rPr>
          <w:spacing w:val="-4"/>
          <w:sz w:val="24"/>
        </w:rPr>
        <w:t xml:space="preserve"> </w:t>
      </w:r>
      <w:r>
        <w:rPr>
          <w:sz w:val="24"/>
        </w:rPr>
        <w:t>is</w:t>
      </w:r>
      <w:r>
        <w:rPr>
          <w:spacing w:val="-2"/>
          <w:sz w:val="24"/>
        </w:rPr>
        <w:t xml:space="preserve"> </w:t>
      </w:r>
      <w:r>
        <w:rPr>
          <w:sz w:val="24"/>
        </w:rPr>
        <w:t>younger</w:t>
      </w:r>
      <w:r>
        <w:rPr>
          <w:spacing w:val="-1"/>
          <w:sz w:val="24"/>
        </w:rPr>
        <w:t xml:space="preserve"> </w:t>
      </w:r>
      <w:r>
        <w:rPr>
          <w:sz w:val="24"/>
        </w:rPr>
        <w:t>than</w:t>
      </w:r>
      <w:r>
        <w:rPr>
          <w:spacing w:val="1"/>
          <w:sz w:val="24"/>
        </w:rPr>
        <w:t xml:space="preserve"> </w:t>
      </w:r>
      <w:r>
        <w:rPr>
          <w:sz w:val="24"/>
        </w:rPr>
        <w:t>18</w:t>
      </w:r>
      <w:r>
        <w:rPr>
          <w:spacing w:val="-1"/>
          <w:sz w:val="24"/>
        </w:rPr>
        <w:t xml:space="preserve"> </w:t>
      </w:r>
      <w:r>
        <w:rPr>
          <w:sz w:val="24"/>
        </w:rPr>
        <w:t>years</w:t>
      </w:r>
      <w:r>
        <w:rPr>
          <w:spacing w:val="-2"/>
          <w:sz w:val="24"/>
        </w:rPr>
        <w:t xml:space="preserve"> </w:t>
      </w:r>
      <w:r>
        <w:rPr>
          <w:sz w:val="24"/>
        </w:rPr>
        <w:t>of age</w:t>
      </w:r>
      <w:r>
        <w:rPr>
          <w:spacing w:val="-2"/>
          <w:sz w:val="24"/>
        </w:rPr>
        <w:t xml:space="preserve"> </w:t>
      </w:r>
      <w:r>
        <w:rPr>
          <w:sz w:val="24"/>
        </w:rPr>
        <w:t>as</w:t>
      </w:r>
      <w:r>
        <w:rPr>
          <w:spacing w:val="-2"/>
          <w:sz w:val="24"/>
        </w:rPr>
        <w:t xml:space="preserve"> </w:t>
      </w:r>
      <w:r>
        <w:rPr>
          <w:sz w:val="24"/>
        </w:rPr>
        <w:t>of</w:t>
      </w:r>
      <w:r>
        <w:rPr>
          <w:spacing w:val="-1"/>
          <w:sz w:val="24"/>
        </w:rPr>
        <w:t xml:space="preserve"> </w:t>
      </w:r>
      <w:r>
        <w:rPr>
          <w:sz w:val="24"/>
        </w:rPr>
        <w:t>December</w:t>
      </w:r>
      <w:r>
        <w:rPr>
          <w:spacing w:val="-3"/>
          <w:sz w:val="24"/>
        </w:rPr>
        <w:t xml:space="preserve"> </w:t>
      </w:r>
      <w:r>
        <w:rPr>
          <w:sz w:val="24"/>
        </w:rPr>
        <w:t xml:space="preserve">31, </w:t>
      </w:r>
      <w:r>
        <w:rPr>
          <w:spacing w:val="-2"/>
          <w:sz w:val="24"/>
        </w:rPr>
        <w:t>2026;</w:t>
      </w:r>
    </w:p>
    <w:p>
      <w:pPr>
        <w:pStyle w:val="ListParagraph"/>
        <w:numPr>
          <w:ilvl w:val="1"/>
          <w:numId w:val="17"/>
        </w:numPr>
        <w:tabs>
          <w:tab w:val="left" w:pos="720"/>
        </w:tabs>
        <w:spacing w:before="120" w:after="0" w:line="240" w:lineRule="auto"/>
        <w:ind w:left="720" w:right="0" w:hanging="360"/>
        <w:jc w:val="left"/>
        <w:rPr>
          <w:sz w:val="24"/>
        </w:rPr>
      </w:pPr>
      <w:r>
        <w:rPr>
          <w:sz w:val="24"/>
        </w:rPr>
        <w:t>Enrollee</w:t>
      </w:r>
      <w:r>
        <w:rPr>
          <w:spacing w:val="-3"/>
          <w:sz w:val="24"/>
        </w:rPr>
        <w:t xml:space="preserve"> </w:t>
      </w:r>
      <w:r>
        <w:rPr>
          <w:sz w:val="24"/>
        </w:rPr>
        <w:t>does</w:t>
      </w:r>
      <w:r>
        <w:rPr>
          <w:spacing w:val="-3"/>
          <w:sz w:val="24"/>
        </w:rPr>
        <w:t xml:space="preserve"> </w:t>
      </w:r>
      <w:r>
        <w:rPr>
          <w:sz w:val="24"/>
        </w:rPr>
        <w:t>not</w:t>
      </w:r>
      <w:r>
        <w:rPr>
          <w:spacing w:val="-1"/>
          <w:sz w:val="24"/>
        </w:rPr>
        <w:t xml:space="preserve"> </w:t>
      </w:r>
      <w:r>
        <w:rPr>
          <w:sz w:val="24"/>
        </w:rPr>
        <w:t>meet continuous</w:t>
      </w:r>
      <w:r>
        <w:rPr>
          <w:spacing w:val="-3"/>
          <w:sz w:val="24"/>
        </w:rPr>
        <w:t xml:space="preserve"> </w:t>
      </w:r>
      <w:r>
        <w:rPr>
          <w:sz w:val="24"/>
        </w:rPr>
        <w:t>enrollment</w:t>
      </w:r>
      <w:r>
        <w:rPr>
          <w:spacing w:val="-1"/>
          <w:sz w:val="24"/>
        </w:rPr>
        <w:t xml:space="preserve"> </w:t>
      </w:r>
      <w:r>
        <w:rPr>
          <w:spacing w:val="-2"/>
          <w:sz w:val="24"/>
        </w:rPr>
        <w:t>criteria;</w:t>
      </w:r>
    </w:p>
    <w:p>
      <w:pPr>
        <w:pStyle w:val="ListParagraph"/>
        <w:numPr>
          <w:ilvl w:val="1"/>
          <w:numId w:val="17"/>
        </w:numPr>
        <w:tabs>
          <w:tab w:val="left" w:pos="720"/>
        </w:tabs>
        <w:spacing w:before="120" w:after="0" w:line="240" w:lineRule="auto"/>
        <w:ind w:left="720" w:right="0" w:hanging="360"/>
        <w:jc w:val="left"/>
        <w:rPr>
          <w:sz w:val="24"/>
        </w:rPr>
      </w:pPr>
      <w:r>
        <w:rPr>
          <w:sz w:val="24"/>
        </w:rPr>
        <w:t>Enrollee</w:t>
      </w:r>
      <w:r>
        <w:rPr>
          <w:spacing w:val="-4"/>
          <w:sz w:val="24"/>
        </w:rPr>
        <w:t xml:space="preserve"> </w:t>
      </w:r>
      <w:r>
        <w:rPr>
          <w:sz w:val="24"/>
        </w:rPr>
        <w:t>discontinued enrollment</w:t>
      </w:r>
      <w:r>
        <w:rPr>
          <w:spacing w:val="1"/>
          <w:sz w:val="24"/>
        </w:rPr>
        <w:t xml:space="preserve"> </w:t>
      </w:r>
      <w:r>
        <w:rPr>
          <w:sz w:val="24"/>
        </w:rPr>
        <w:t>prior</w:t>
      </w:r>
      <w:r>
        <w:rPr>
          <w:spacing w:val="-1"/>
          <w:sz w:val="24"/>
        </w:rPr>
        <w:t xml:space="preserve"> </w:t>
      </w:r>
      <w:r>
        <w:rPr>
          <w:sz w:val="24"/>
        </w:rPr>
        <w:t>to 11:59 p.m.</w:t>
      </w:r>
      <w:r>
        <w:rPr>
          <w:spacing w:val="-1"/>
          <w:sz w:val="24"/>
        </w:rPr>
        <w:t xml:space="preserve"> </w:t>
      </w:r>
      <w:r>
        <w:rPr>
          <w:sz w:val="24"/>
        </w:rPr>
        <w:t>ET on January 6,</w:t>
      </w:r>
      <w:r>
        <w:rPr>
          <w:spacing w:val="-1"/>
          <w:sz w:val="24"/>
        </w:rPr>
        <w:t xml:space="preserve"> </w:t>
      </w:r>
      <w:r>
        <w:rPr>
          <w:sz w:val="24"/>
        </w:rPr>
        <w:t xml:space="preserve">2027; </w:t>
      </w:r>
      <w:r>
        <w:rPr>
          <w:spacing w:val="-5"/>
          <w:sz w:val="24"/>
        </w:rPr>
        <w:t>or</w:t>
      </w:r>
    </w:p>
    <w:p>
      <w:pPr>
        <w:pStyle w:val="ListParagraph"/>
        <w:numPr>
          <w:ilvl w:val="1"/>
          <w:numId w:val="17"/>
        </w:numPr>
        <w:tabs>
          <w:tab w:val="left" w:pos="720"/>
        </w:tabs>
        <w:spacing w:before="120" w:after="0" w:line="240" w:lineRule="auto"/>
        <w:ind w:left="720" w:right="0" w:hanging="360"/>
        <w:jc w:val="left"/>
        <w:rPr>
          <w:sz w:val="24"/>
        </w:rPr>
      </w:pPr>
      <w:r>
        <w:rPr>
          <w:sz w:val="24"/>
        </w:rPr>
        <w:t>Enrollee</w:t>
      </w:r>
      <w:r>
        <w:rPr>
          <w:spacing w:val="-2"/>
          <w:sz w:val="24"/>
        </w:rPr>
        <w:t xml:space="preserve"> </w:t>
      </w:r>
      <w:r>
        <w:rPr>
          <w:sz w:val="24"/>
        </w:rPr>
        <w:t>is</w:t>
      </w:r>
      <w:r>
        <w:rPr>
          <w:spacing w:val="-2"/>
          <w:sz w:val="24"/>
        </w:rPr>
        <w:t xml:space="preserve"> </w:t>
      </w:r>
      <w:r>
        <w:rPr>
          <w:sz w:val="24"/>
        </w:rPr>
        <w:t>deceased as</w:t>
      </w:r>
      <w:r>
        <w:rPr>
          <w:spacing w:val="-1"/>
          <w:sz w:val="24"/>
        </w:rPr>
        <w:t xml:space="preserve"> </w:t>
      </w:r>
      <w:r>
        <w:rPr>
          <w:sz w:val="24"/>
        </w:rPr>
        <w:t>of</w:t>
      </w:r>
      <w:r>
        <w:rPr>
          <w:spacing w:val="-1"/>
          <w:sz w:val="24"/>
        </w:rPr>
        <w:t xml:space="preserve"> </w:t>
      </w:r>
      <w:r>
        <w:rPr>
          <w:sz w:val="24"/>
        </w:rPr>
        <w:t>January</w:t>
      </w:r>
      <w:r>
        <w:rPr>
          <w:spacing w:val="-2"/>
          <w:sz w:val="24"/>
        </w:rPr>
        <w:t xml:space="preserve"> </w:t>
      </w:r>
      <w:r>
        <w:rPr>
          <w:sz w:val="24"/>
        </w:rPr>
        <w:t>6,</w:t>
      </w:r>
      <w:r>
        <w:rPr>
          <w:spacing w:val="-1"/>
          <w:sz w:val="24"/>
        </w:rPr>
        <w:t xml:space="preserve"> </w:t>
      </w:r>
      <w:r>
        <w:rPr>
          <w:spacing w:val="-2"/>
          <w:sz w:val="24"/>
        </w:rPr>
        <w:t>2027.</w:t>
      </w:r>
    </w:p>
    <w:p>
      <w:pPr>
        <w:pStyle w:val="BodyText"/>
        <w:ind w:right="493"/>
      </w:pPr>
      <w:r>
        <w:t>The</w:t>
      </w:r>
      <w:r>
        <w:rPr>
          <w:spacing w:val="-5"/>
        </w:rPr>
        <w:t xml:space="preserve"> </w:t>
      </w:r>
      <w:r>
        <w:t>sample</w:t>
      </w:r>
      <w:r>
        <w:rPr>
          <w:spacing w:val="-4"/>
        </w:rPr>
        <w:t xml:space="preserve"> </w:t>
      </w:r>
      <w:r>
        <w:t>frame</w:t>
      </w:r>
      <w:r>
        <w:rPr>
          <w:spacing w:val="-3"/>
        </w:rPr>
        <w:t xml:space="preserve"> </w:t>
      </w:r>
      <w:r>
        <w:t>is</w:t>
      </w:r>
      <w:r>
        <w:rPr>
          <w:spacing w:val="-4"/>
        </w:rPr>
        <w:t xml:space="preserve"> </w:t>
      </w:r>
      <w:r>
        <w:t>audited</w:t>
      </w:r>
      <w:r>
        <w:rPr>
          <w:spacing w:val="-3"/>
        </w:rPr>
        <w:t xml:space="preserve"> </w:t>
      </w:r>
      <w:r>
        <w:t>by</w:t>
      </w:r>
      <w:r>
        <w:rPr>
          <w:spacing w:val="-3"/>
        </w:rPr>
        <w:t xml:space="preserve"> </w:t>
      </w:r>
      <w:r>
        <w:t>a</w:t>
      </w:r>
      <w:r>
        <w:rPr>
          <w:spacing w:val="-4"/>
        </w:rPr>
        <w:t xml:space="preserve"> </w:t>
      </w:r>
      <w:r>
        <w:t>National</w:t>
      </w:r>
      <w:r>
        <w:rPr>
          <w:spacing w:val="-3"/>
        </w:rPr>
        <w:t xml:space="preserve"> </w:t>
      </w:r>
      <w:r>
        <w:t>Committee</w:t>
      </w:r>
      <w:r>
        <w:rPr>
          <w:spacing w:val="-4"/>
        </w:rPr>
        <w:t xml:space="preserve"> </w:t>
      </w:r>
      <w:r>
        <w:t>for</w:t>
      </w:r>
      <w:r>
        <w:rPr>
          <w:spacing w:val="-5"/>
        </w:rPr>
        <w:t xml:space="preserve"> </w:t>
      </w:r>
      <w:r>
        <w:t>Quality</w:t>
      </w:r>
      <w:r>
        <w:rPr>
          <w:spacing w:val="-3"/>
        </w:rPr>
        <w:t xml:space="preserve"> </w:t>
      </w:r>
      <w:r>
        <w:t>Assurance</w:t>
      </w:r>
      <w:r>
        <w:rPr>
          <w:spacing w:val="-4"/>
        </w:rPr>
        <w:t xml:space="preserve"> </w:t>
      </w:r>
      <w:r>
        <w:t>(NCQA)-Licensed Healthcare Effectiveness Data and Information Set (HEDIS</w:t>
      </w:r>
      <w:r>
        <w:rPr>
          <w:vertAlign w:val="superscript"/>
        </w:rPr>
        <w:t>®</w:t>
      </w:r>
      <w:r>
        <w:rPr>
          <w:vertAlign w:val="baseline"/>
        </w:rPr>
        <w:t>)</w:t>
      </w:r>
      <w:hyperlink w:anchor="_bookmark6" w:history="1">
        <w:r>
          <w:rPr>
            <w:vertAlign w:val="superscript"/>
          </w:rPr>
          <w:t>3</w:t>
        </w:r>
      </w:hyperlink>
      <w:r>
        <w:rPr>
          <w:vertAlign w:val="baseline"/>
        </w:rPr>
        <w:t xml:space="preserve"> Compliance Organization (NCQA-Certified HEDIS Compliance Auditor) to verify that the sample frame conforms to all established specifications.</w:t>
      </w:r>
    </w:p>
    <w:p>
      <w:pPr>
        <w:pStyle w:val="BodyText"/>
        <w:spacing w:before="155"/>
        <w:ind w:left="0"/>
        <w:rPr>
          <w:sz w:val="20"/>
        </w:rPr>
      </w:pPr>
      <w:r>
        <w:rPr>
          <w:sz w:val="20"/>
        </w:rPr>
        <mc:AlternateContent>
          <mc:Choice Requires="wps">
            <w:drawing>
              <wp:anchor distT="0" distB="0" distL="0" distR="0" simplePos="0" relativeHeight="251662336" behindDoc="1" locked="0" layoutInCell="1" allowOverlap="1">
                <wp:simplePos x="0" y="0"/>
                <wp:positionH relativeFrom="page">
                  <wp:posOffset>914704</wp:posOffset>
                </wp:positionH>
                <wp:positionV relativeFrom="paragraph">
                  <wp:posOffset>260034</wp:posOffset>
                </wp:positionV>
                <wp:extent cx="1829435" cy="7620"/>
                <wp:effectExtent l="0" t="0" r="0" b="0"/>
                <wp:wrapTopAndBottom/>
                <wp:docPr id="8" name="Graphic 8"/>
                <wp:cNvGraphicFramePr/>
                <a:graphic xmlns:a="http://schemas.openxmlformats.org/drawingml/2006/main">
                  <a:graphicData uri="http://schemas.microsoft.com/office/word/2010/wordprocessingShape">
                    <wps:wsp xmlns:wps="http://schemas.microsoft.com/office/word/2010/wordprocessingShape">
                      <wps:cNvSpPr/>
                      <wps:spPr>
                        <a:xfrm>
                          <a:off x="0" y="0"/>
                          <a:ext cx="1829435" cy="7620"/>
                        </a:xfrm>
                        <a:custGeom>
                          <a:avLst/>
                          <a:gdLst/>
                          <a:rect l="l" t="t" r="r" b="b"/>
                          <a:pathLst>
                            <a:path fill="norm" h="7620" w="1829435" stroke="1">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wps:bodyPr>
                    </wps:wsp>
                  </a:graphicData>
                </a:graphic>
              </wp:anchor>
            </w:drawing>
          </mc:Choice>
          <mc:Fallback>
            <w:pict>
              <v:rect id="_x0000_s1028" style="width:144.02pt;height:0.6pt;margin-top:20.48pt;margin-left:72.02pt;mso-position-horizontal-relative:page;mso-wrap-distance-left:0;mso-wrap-distance-right:0;position:absolute;z-index:-251653120" filled="t" fillcolor="black" stroked="f">
                <v:fill type="solid"/>
                <w10:wrap type="topAndBottom"/>
              </v:rect>
            </w:pict>
          </mc:Fallback>
        </mc:AlternateContent>
      </w:r>
    </w:p>
    <w:p>
      <w:pPr>
        <w:spacing w:before="103"/>
        <w:ind w:left="360" w:right="385" w:firstLine="0"/>
        <w:jc w:val="left"/>
        <w:rPr>
          <w:sz w:val="20"/>
        </w:rPr>
      </w:pPr>
      <w:bookmarkStart w:id="12" w:name="_bookmark6"/>
      <w:bookmarkEnd w:id="12"/>
      <w:r>
        <w:rPr>
          <w:sz w:val="20"/>
          <w:vertAlign w:val="superscript"/>
        </w:rPr>
        <w:t>3</w:t>
      </w:r>
      <w:r>
        <w:rPr>
          <w:spacing w:val="-3"/>
          <w:sz w:val="20"/>
          <w:vertAlign w:val="baseline"/>
        </w:rPr>
        <w:t xml:space="preserve"> </w:t>
      </w:r>
      <w:r>
        <w:rPr>
          <w:sz w:val="20"/>
          <w:vertAlign w:val="baseline"/>
        </w:rPr>
        <w:t>Healthcare</w:t>
      </w:r>
      <w:r>
        <w:rPr>
          <w:spacing w:val="-3"/>
          <w:sz w:val="20"/>
          <w:vertAlign w:val="baseline"/>
        </w:rPr>
        <w:t xml:space="preserve"> </w:t>
      </w:r>
      <w:r>
        <w:rPr>
          <w:sz w:val="20"/>
          <w:vertAlign w:val="baseline"/>
        </w:rPr>
        <w:t>Effectiveness</w:t>
      </w:r>
      <w:r>
        <w:rPr>
          <w:spacing w:val="-4"/>
          <w:sz w:val="20"/>
          <w:vertAlign w:val="baseline"/>
        </w:rPr>
        <w:t xml:space="preserve"> </w:t>
      </w:r>
      <w:r>
        <w:rPr>
          <w:sz w:val="20"/>
          <w:vertAlign w:val="baseline"/>
        </w:rPr>
        <w:t>Data</w:t>
      </w:r>
      <w:r>
        <w:rPr>
          <w:spacing w:val="-3"/>
          <w:sz w:val="20"/>
          <w:vertAlign w:val="baseline"/>
        </w:rPr>
        <w:t xml:space="preserve"> </w:t>
      </w:r>
      <w:r>
        <w:rPr>
          <w:sz w:val="20"/>
          <w:vertAlign w:val="baseline"/>
        </w:rPr>
        <w:t>and</w:t>
      </w:r>
      <w:r>
        <w:rPr>
          <w:spacing w:val="-2"/>
          <w:sz w:val="20"/>
          <w:vertAlign w:val="baseline"/>
        </w:rPr>
        <w:t xml:space="preserve"> </w:t>
      </w:r>
      <w:r>
        <w:rPr>
          <w:sz w:val="20"/>
          <w:vertAlign w:val="baseline"/>
        </w:rPr>
        <w:t>Information</w:t>
      </w:r>
      <w:r>
        <w:rPr>
          <w:spacing w:val="-2"/>
          <w:sz w:val="20"/>
          <w:vertAlign w:val="baseline"/>
        </w:rPr>
        <w:t xml:space="preserve"> </w:t>
      </w:r>
      <w:r>
        <w:rPr>
          <w:sz w:val="20"/>
          <w:vertAlign w:val="baseline"/>
        </w:rPr>
        <w:t>Set</w:t>
      </w:r>
      <w:r>
        <w:rPr>
          <w:spacing w:val="-4"/>
          <w:sz w:val="20"/>
          <w:vertAlign w:val="baseline"/>
        </w:rPr>
        <w:t xml:space="preserve"> </w:t>
      </w:r>
      <w:r>
        <w:rPr>
          <w:sz w:val="20"/>
          <w:vertAlign w:val="baseline"/>
        </w:rPr>
        <w:t>(HEDIS</w:t>
      </w:r>
      <w:r>
        <w:rPr>
          <w:sz w:val="20"/>
          <w:vertAlign w:val="superscript"/>
        </w:rPr>
        <w:t>®</w:t>
      </w:r>
      <w:r>
        <w:rPr>
          <w:sz w:val="20"/>
          <w:vertAlign w:val="baseline"/>
        </w:rPr>
        <w:t>)</w:t>
      </w:r>
      <w:r>
        <w:rPr>
          <w:spacing w:val="-3"/>
          <w:sz w:val="20"/>
          <w:vertAlign w:val="baseline"/>
        </w:rPr>
        <w:t xml:space="preserve"> </w:t>
      </w:r>
      <w:r>
        <w:rPr>
          <w:sz w:val="20"/>
          <w:vertAlign w:val="baseline"/>
        </w:rPr>
        <w:t>is</w:t>
      </w:r>
      <w:r>
        <w:rPr>
          <w:spacing w:val="-4"/>
          <w:sz w:val="20"/>
          <w:vertAlign w:val="baseline"/>
        </w:rPr>
        <w:t xml:space="preserve"> </w:t>
      </w:r>
      <w:r>
        <w:rPr>
          <w:sz w:val="20"/>
          <w:vertAlign w:val="baseline"/>
        </w:rPr>
        <w:t>a</w:t>
      </w:r>
      <w:r>
        <w:rPr>
          <w:spacing w:val="-3"/>
          <w:sz w:val="20"/>
          <w:vertAlign w:val="baseline"/>
        </w:rPr>
        <w:t xml:space="preserve"> </w:t>
      </w:r>
      <w:r>
        <w:rPr>
          <w:sz w:val="20"/>
          <w:vertAlign w:val="baseline"/>
        </w:rPr>
        <w:t>registered</w:t>
      </w:r>
      <w:r>
        <w:rPr>
          <w:spacing w:val="-2"/>
          <w:sz w:val="20"/>
          <w:vertAlign w:val="baseline"/>
        </w:rPr>
        <w:t xml:space="preserve"> </w:t>
      </w:r>
      <w:r>
        <w:rPr>
          <w:sz w:val="20"/>
          <w:vertAlign w:val="baseline"/>
        </w:rPr>
        <w:t>trademark</w:t>
      </w:r>
      <w:r>
        <w:rPr>
          <w:spacing w:val="-2"/>
          <w:sz w:val="20"/>
          <w:vertAlign w:val="baseline"/>
        </w:rPr>
        <w:t xml:space="preserve"> </w:t>
      </w:r>
      <w:r>
        <w:rPr>
          <w:sz w:val="20"/>
          <w:vertAlign w:val="baseline"/>
        </w:rPr>
        <w:t>of</w:t>
      </w:r>
      <w:r>
        <w:rPr>
          <w:spacing w:val="-5"/>
          <w:sz w:val="20"/>
          <w:vertAlign w:val="baseline"/>
        </w:rPr>
        <w:t xml:space="preserve"> </w:t>
      </w:r>
      <w:r>
        <w:rPr>
          <w:sz w:val="20"/>
          <w:vertAlign w:val="baseline"/>
        </w:rPr>
        <w:t>the</w:t>
      </w:r>
      <w:r>
        <w:rPr>
          <w:spacing w:val="-3"/>
          <w:sz w:val="20"/>
          <w:vertAlign w:val="baseline"/>
        </w:rPr>
        <w:t xml:space="preserve"> </w:t>
      </w:r>
      <w:r>
        <w:rPr>
          <w:sz w:val="20"/>
          <w:vertAlign w:val="baseline"/>
        </w:rPr>
        <w:t>National</w:t>
      </w:r>
      <w:r>
        <w:rPr>
          <w:spacing w:val="-3"/>
          <w:sz w:val="20"/>
          <w:vertAlign w:val="baseline"/>
        </w:rPr>
        <w:t xml:space="preserve"> </w:t>
      </w:r>
      <w:r>
        <w:rPr>
          <w:sz w:val="20"/>
          <w:vertAlign w:val="baseline"/>
        </w:rPr>
        <w:t>Committee for Quality Assurance (NCQA).</w:t>
      </w:r>
    </w:p>
    <w:p>
      <w:pPr>
        <w:spacing w:after="0"/>
        <w:jc w:val="left"/>
        <w:rPr>
          <w:sz w:val="20"/>
        </w:rPr>
        <w:sectPr>
          <w:pgSz w:w="12240" w:h="15840"/>
          <w:pgMar w:top="1360" w:right="1080" w:bottom="940" w:left="1080" w:header="0" w:footer="748"/>
          <w:cols w:space="720"/>
        </w:sectPr>
      </w:pPr>
    </w:p>
    <w:p>
      <w:pPr>
        <w:pStyle w:val="BodyText"/>
        <w:spacing w:before="79"/>
        <w:ind w:right="385"/>
      </w:pPr>
      <w:bookmarkStart w:id="13" w:name="1.3 Sample Size"/>
      <w:bookmarkEnd w:id="13"/>
      <w:bookmarkStart w:id="14" w:name="2. Information Collection Procedures"/>
      <w:bookmarkEnd w:id="14"/>
      <w:r>
        <w:t>Survey vendors then draw a simple random sample from each audited eligible sample frame. Vendors</w:t>
      </w:r>
      <w:r>
        <w:rPr>
          <w:spacing w:val="-4"/>
        </w:rPr>
        <w:t xml:space="preserve"> </w:t>
      </w:r>
      <w:r>
        <w:t>must</w:t>
      </w:r>
      <w:r>
        <w:rPr>
          <w:spacing w:val="-3"/>
        </w:rPr>
        <w:t xml:space="preserve"> </w:t>
      </w:r>
      <w:r>
        <w:t>deduplicate</w:t>
      </w:r>
      <w:r>
        <w:rPr>
          <w:spacing w:val="-4"/>
        </w:rPr>
        <w:t xml:space="preserve"> </w:t>
      </w:r>
      <w:r>
        <w:t>the</w:t>
      </w:r>
      <w:r>
        <w:rPr>
          <w:spacing w:val="-3"/>
        </w:rPr>
        <w:t xml:space="preserve"> </w:t>
      </w:r>
      <w:r>
        <w:t>sample</w:t>
      </w:r>
      <w:r>
        <w:rPr>
          <w:spacing w:val="-4"/>
        </w:rPr>
        <w:t xml:space="preserve"> </w:t>
      </w:r>
      <w:r>
        <w:t>frame</w:t>
      </w:r>
      <w:r>
        <w:rPr>
          <w:spacing w:val="-3"/>
        </w:rPr>
        <w:t xml:space="preserve"> </w:t>
      </w:r>
      <w:r>
        <w:t>by</w:t>
      </w:r>
      <w:r>
        <w:rPr>
          <w:spacing w:val="-3"/>
        </w:rPr>
        <w:t xml:space="preserve"> </w:t>
      </w:r>
      <w:r>
        <w:t>the</w:t>
      </w:r>
      <w:r>
        <w:rPr>
          <w:spacing w:val="-4"/>
        </w:rPr>
        <w:t xml:space="preserve"> </w:t>
      </w:r>
      <w:r>
        <w:t>Subscriber</w:t>
      </w:r>
      <w:r>
        <w:rPr>
          <w:spacing w:val="-3"/>
        </w:rPr>
        <w:t xml:space="preserve"> </w:t>
      </w:r>
      <w:r>
        <w:t>of</w:t>
      </w:r>
      <w:r>
        <w:rPr>
          <w:spacing w:val="-3"/>
        </w:rPr>
        <w:t xml:space="preserve"> </w:t>
      </w:r>
      <w:r>
        <w:t>Family</w:t>
      </w:r>
      <w:r>
        <w:rPr>
          <w:spacing w:val="-1"/>
        </w:rPr>
        <w:t xml:space="preserve"> </w:t>
      </w:r>
      <w:r>
        <w:t>Identifier</w:t>
      </w:r>
      <w:r>
        <w:rPr>
          <w:spacing w:val="-3"/>
        </w:rPr>
        <w:t xml:space="preserve"> </w:t>
      </w:r>
      <w:r>
        <w:t>(SFID)</w:t>
      </w:r>
      <w:r>
        <w:rPr>
          <w:spacing w:val="-3"/>
        </w:rPr>
        <w:t xml:space="preserve"> </w:t>
      </w:r>
      <w:r>
        <w:t>before selecting the sample frame to ensure that only one person in each household is surveyed.</w:t>
      </w:r>
    </w:p>
    <w:p>
      <w:pPr>
        <w:pStyle w:val="Heading3"/>
        <w:numPr>
          <w:ilvl w:val="1"/>
          <w:numId w:val="19"/>
        </w:numPr>
        <w:tabs>
          <w:tab w:val="left" w:pos="761"/>
        </w:tabs>
        <w:spacing w:before="242" w:after="0" w:line="240" w:lineRule="auto"/>
        <w:ind w:left="761" w:right="0" w:hanging="401"/>
        <w:jc w:val="left"/>
        <w:rPr>
          <w:i/>
        </w:rPr>
      </w:pPr>
      <w:bookmarkStart w:id="15" w:name="_bookmark7"/>
      <w:bookmarkEnd w:id="15"/>
      <w:r>
        <w:rPr>
          <w:i/>
        </w:rPr>
        <w:t>Sample</w:t>
      </w:r>
      <w:r>
        <w:rPr>
          <w:i/>
          <w:spacing w:val="-6"/>
        </w:rPr>
        <w:t xml:space="preserve"> </w:t>
      </w:r>
      <w:r>
        <w:rPr>
          <w:i/>
          <w:spacing w:val="-4"/>
        </w:rPr>
        <w:t>Size</w:t>
      </w:r>
    </w:p>
    <w:p>
      <w:pPr>
        <w:pStyle w:val="BodyText"/>
        <w:spacing w:before="118"/>
        <w:ind w:right="421"/>
      </w:pPr>
      <w:r>
        <w:t>For</w:t>
      </w:r>
      <w:r>
        <w:rPr>
          <w:spacing w:val="-3"/>
        </w:rPr>
        <w:t xml:space="preserve"> </w:t>
      </w:r>
      <w:r>
        <w:t>the</w:t>
      </w:r>
      <w:r>
        <w:rPr>
          <w:spacing w:val="-5"/>
        </w:rPr>
        <w:t xml:space="preserve"> </w:t>
      </w:r>
      <w:r>
        <w:t>2027</w:t>
      </w:r>
      <w:r>
        <w:rPr>
          <w:spacing w:val="-3"/>
        </w:rPr>
        <w:t xml:space="preserve"> </w:t>
      </w:r>
      <w:r>
        <w:t>QHP</w:t>
      </w:r>
      <w:r>
        <w:rPr>
          <w:spacing w:val="-4"/>
        </w:rPr>
        <w:t xml:space="preserve"> </w:t>
      </w:r>
      <w:r>
        <w:t>Enrollee</w:t>
      </w:r>
      <w:r>
        <w:rPr>
          <w:spacing w:val="-5"/>
        </w:rPr>
        <w:t xml:space="preserve"> </w:t>
      </w:r>
      <w:r>
        <w:t>Survey,</w:t>
      </w:r>
      <w:r>
        <w:rPr>
          <w:spacing w:val="-3"/>
        </w:rPr>
        <w:t xml:space="preserve"> </w:t>
      </w:r>
      <w:r>
        <w:t>CMS</w:t>
      </w:r>
      <w:r>
        <w:rPr>
          <w:spacing w:val="-1"/>
        </w:rPr>
        <w:t xml:space="preserve"> </w:t>
      </w:r>
      <w:r>
        <w:t>continues</w:t>
      </w:r>
      <w:r>
        <w:rPr>
          <w:spacing w:val="-4"/>
        </w:rPr>
        <w:t xml:space="preserve"> </w:t>
      </w:r>
      <w:r>
        <w:t>to</w:t>
      </w:r>
      <w:r>
        <w:rPr>
          <w:spacing w:val="-3"/>
        </w:rPr>
        <w:t xml:space="preserve"> </w:t>
      </w:r>
      <w:r>
        <w:t>propose</w:t>
      </w:r>
      <w:r>
        <w:rPr>
          <w:spacing w:val="-4"/>
        </w:rPr>
        <w:t xml:space="preserve"> </w:t>
      </w:r>
      <w:r>
        <w:t>a</w:t>
      </w:r>
      <w:r>
        <w:rPr>
          <w:spacing w:val="-4"/>
        </w:rPr>
        <w:t xml:space="preserve"> </w:t>
      </w:r>
      <w:r>
        <w:t>sample</w:t>
      </w:r>
      <w:r>
        <w:rPr>
          <w:spacing w:val="-4"/>
        </w:rPr>
        <w:t xml:space="preserve"> </w:t>
      </w:r>
      <w:r>
        <w:t>size</w:t>
      </w:r>
      <w:r>
        <w:rPr>
          <w:spacing w:val="-4"/>
        </w:rPr>
        <w:t xml:space="preserve"> </w:t>
      </w:r>
      <w:r>
        <w:t>of</w:t>
      </w:r>
      <w:r>
        <w:rPr>
          <w:spacing w:val="-3"/>
        </w:rPr>
        <w:t xml:space="preserve"> </w:t>
      </w:r>
      <w:r>
        <w:t>1,300</w:t>
      </w:r>
      <w:r>
        <w:rPr>
          <w:spacing w:val="-3"/>
        </w:rPr>
        <w:t xml:space="preserve"> </w:t>
      </w:r>
      <w:r>
        <w:t>enrollees per reporting unit. In the 2025 administration of the QHP Enrollee Survey, reporting units that had sufficient enrollment to produce the full sample of 1,300 enrollees received an average of 144 responses.</w:t>
      </w:r>
    </w:p>
    <w:p>
      <w:pPr>
        <w:pStyle w:val="BodyText"/>
        <w:ind w:right="385"/>
      </w:pPr>
      <w:r>
        <w:t>Additionally,</w:t>
      </w:r>
      <w:r>
        <w:rPr>
          <w:spacing w:val="-3"/>
        </w:rPr>
        <w:t xml:space="preserve"> </w:t>
      </w:r>
      <w:r>
        <w:t>CMS</w:t>
      </w:r>
      <w:r>
        <w:rPr>
          <w:spacing w:val="-2"/>
        </w:rPr>
        <w:t xml:space="preserve"> </w:t>
      </w:r>
      <w:r>
        <w:t>proposes</w:t>
      </w:r>
      <w:r>
        <w:rPr>
          <w:spacing w:val="-4"/>
        </w:rPr>
        <w:t xml:space="preserve"> </w:t>
      </w:r>
      <w:r>
        <w:t>removing</w:t>
      </w:r>
      <w:r>
        <w:rPr>
          <w:spacing w:val="-3"/>
        </w:rPr>
        <w:t xml:space="preserve"> </w:t>
      </w:r>
      <w:r>
        <w:t>the</w:t>
      </w:r>
      <w:r>
        <w:rPr>
          <w:spacing w:val="-3"/>
        </w:rPr>
        <w:t xml:space="preserve"> </w:t>
      </w:r>
      <w:r>
        <w:t>cap</w:t>
      </w:r>
      <w:r>
        <w:rPr>
          <w:spacing w:val="-1"/>
        </w:rPr>
        <w:t xml:space="preserve"> </w:t>
      </w:r>
      <w:r>
        <w:t>for</w:t>
      </w:r>
      <w:r>
        <w:rPr>
          <w:spacing w:val="-3"/>
        </w:rPr>
        <w:t xml:space="preserve"> </w:t>
      </w:r>
      <w:r>
        <w:t>oversampling</w:t>
      </w:r>
      <w:r>
        <w:rPr>
          <w:spacing w:val="-2"/>
        </w:rPr>
        <w:t xml:space="preserve"> </w:t>
      </w:r>
      <w:r>
        <w:t>to</w:t>
      </w:r>
      <w:r>
        <w:rPr>
          <w:spacing w:val="-3"/>
        </w:rPr>
        <w:t xml:space="preserve"> </w:t>
      </w:r>
      <w:r>
        <w:t>allow</w:t>
      </w:r>
      <w:r>
        <w:rPr>
          <w:spacing w:val="-1"/>
        </w:rPr>
        <w:t xml:space="preserve"> </w:t>
      </w:r>
      <w:r>
        <w:t>QHP</w:t>
      </w:r>
      <w:r>
        <w:rPr>
          <w:spacing w:val="-3"/>
        </w:rPr>
        <w:t xml:space="preserve"> </w:t>
      </w:r>
      <w:r>
        <w:t>issuers</w:t>
      </w:r>
      <w:r>
        <w:rPr>
          <w:spacing w:val="-3"/>
        </w:rPr>
        <w:t xml:space="preserve"> </w:t>
      </w:r>
      <w:r>
        <w:t>the</w:t>
      </w:r>
      <w:r>
        <w:rPr>
          <w:spacing w:val="-4"/>
        </w:rPr>
        <w:t xml:space="preserve"> </w:t>
      </w:r>
      <w:r>
        <w:t>option to oversample at any rate upon approval by CMS. QHP issuers may want to oversample in an effort to improve the likelihood that a reportable result for QRS is achieved or increase the reliability and validity of survey results. There is precedent to allow for oversampling in the implementation</w:t>
      </w:r>
      <w:r>
        <w:rPr>
          <w:spacing w:val="-4"/>
        </w:rPr>
        <w:t xml:space="preserve"> </w:t>
      </w:r>
      <w:r>
        <w:t>of</w:t>
      </w:r>
      <w:r>
        <w:rPr>
          <w:spacing w:val="-4"/>
        </w:rPr>
        <w:t xml:space="preserve"> </w:t>
      </w:r>
      <w:r>
        <w:t>CMS</w:t>
      </w:r>
      <w:r>
        <w:rPr>
          <w:spacing w:val="-5"/>
        </w:rPr>
        <w:t xml:space="preserve"> </w:t>
      </w:r>
      <w:r>
        <w:t>Consumer</w:t>
      </w:r>
      <w:r>
        <w:rPr>
          <w:spacing w:val="-4"/>
        </w:rPr>
        <w:t xml:space="preserve"> </w:t>
      </w:r>
      <w:r>
        <w:t>Assessment</w:t>
      </w:r>
      <w:r>
        <w:rPr>
          <w:spacing w:val="-4"/>
        </w:rPr>
        <w:t xml:space="preserve"> </w:t>
      </w:r>
      <w:r>
        <w:t>of</w:t>
      </w:r>
      <w:r>
        <w:rPr>
          <w:spacing w:val="-3"/>
        </w:rPr>
        <w:t xml:space="preserve"> </w:t>
      </w:r>
      <w:r>
        <w:t>Health</w:t>
      </w:r>
      <w:r>
        <w:rPr>
          <w:spacing w:val="-4"/>
        </w:rPr>
        <w:t xml:space="preserve"> </w:t>
      </w:r>
      <w:r>
        <w:t>Providers</w:t>
      </w:r>
      <w:r>
        <w:rPr>
          <w:spacing w:val="-5"/>
        </w:rPr>
        <w:t xml:space="preserve"> </w:t>
      </w:r>
      <w:r>
        <w:t>Surveys</w:t>
      </w:r>
      <w:r>
        <w:rPr>
          <w:spacing w:val="-5"/>
        </w:rPr>
        <w:t xml:space="preserve"> </w:t>
      </w:r>
      <w:r>
        <w:t>(CAHPS</w:t>
      </w:r>
      <w:r>
        <w:rPr>
          <w:vertAlign w:val="superscript"/>
        </w:rPr>
        <w:t>®</w:t>
      </w:r>
      <w:r>
        <w:rPr>
          <w:vertAlign w:val="baseline"/>
        </w:rPr>
        <w:t>)</w:t>
      </w:r>
      <w:r>
        <w:rPr>
          <w:spacing w:val="-5"/>
          <w:vertAlign w:val="baseline"/>
        </w:rPr>
        <w:t xml:space="preserve"> </w:t>
      </w:r>
      <w:r>
        <w:rPr>
          <w:vertAlign w:val="baseline"/>
        </w:rPr>
        <w:t>surveys, such as Medicare Advantage and Prescription Drug Plans (MA &amp; PDP) CAHPS, which permit oversampling at any level upon request to CMS. In the 2025 administration of</w:t>
      </w:r>
      <w:r>
        <w:rPr>
          <w:spacing w:val="-1"/>
          <w:vertAlign w:val="baseline"/>
        </w:rPr>
        <w:t xml:space="preserve"> </w:t>
      </w:r>
      <w:r>
        <w:rPr>
          <w:vertAlign w:val="baseline"/>
        </w:rPr>
        <w:t>the QHP</w:t>
      </w:r>
      <w:r>
        <w:rPr>
          <w:spacing w:val="-1"/>
          <w:vertAlign w:val="baseline"/>
        </w:rPr>
        <w:t xml:space="preserve"> </w:t>
      </w:r>
      <w:r>
        <w:rPr>
          <w:vertAlign w:val="baseline"/>
        </w:rPr>
        <w:t>Enrollee Survey, 234 out of 353 eligible reporting units opted to oversample.</w:t>
      </w:r>
    </w:p>
    <w:p>
      <w:pPr>
        <w:pStyle w:val="Heading2"/>
        <w:numPr>
          <w:ilvl w:val="0"/>
          <w:numId w:val="19"/>
        </w:numPr>
        <w:tabs>
          <w:tab w:val="left" w:pos="718"/>
        </w:tabs>
        <w:spacing w:before="241" w:after="0" w:line="240" w:lineRule="auto"/>
        <w:ind w:left="718" w:right="0" w:hanging="358"/>
        <w:jc w:val="left"/>
      </w:pPr>
      <w:bookmarkStart w:id="16" w:name="_bookmark8"/>
      <w:bookmarkEnd w:id="16"/>
      <w:r>
        <w:t>Information</w:t>
      </w:r>
      <w:r>
        <w:rPr>
          <w:spacing w:val="-12"/>
        </w:rPr>
        <w:t xml:space="preserve"> </w:t>
      </w:r>
      <w:r>
        <w:t>Collection</w:t>
      </w:r>
      <w:r>
        <w:rPr>
          <w:spacing w:val="-9"/>
        </w:rPr>
        <w:t xml:space="preserve"> </w:t>
      </w:r>
      <w:r>
        <w:rPr>
          <w:spacing w:val="-2"/>
        </w:rPr>
        <w:t>Procedures</w:t>
      </w:r>
    </w:p>
    <w:p>
      <w:pPr>
        <w:pStyle w:val="BodyText"/>
        <w:ind w:right="385"/>
      </w:pPr>
      <w:r>
        <w:t>The</w:t>
      </w:r>
      <w:r>
        <w:rPr>
          <w:spacing w:val="-5"/>
        </w:rPr>
        <w:t xml:space="preserve"> </w:t>
      </w:r>
      <w:r>
        <w:t>QHP</w:t>
      </w:r>
      <w:r>
        <w:rPr>
          <w:spacing w:val="-3"/>
        </w:rPr>
        <w:t xml:space="preserve"> </w:t>
      </w:r>
      <w:r>
        <w:t>Enrollee</w:t>
      </w:r>
      <w:r>
        <w:rPr>
          <w:spacing w:val="-4"/>
        </w:rPr>
        <w:t xml:space="preserve"> </w:t>
      </w:r>
      <w:r>
        <w:t>Survey</w:t>
      </w:r>
      <w:r>
        <w:rPr>
          <w:spacing w:val="-2"/>
        </w:rPr>
        <w:t xml:space="preserve"> </w:t>
      </w:r>
      <w:r>
        <w:t>is</w:t>
      </w:r>
      <w:r>
        <w:rPr>
          <w:spacing w:val="-3"/>
        </w:rPr>
        <w:t xml:space="preserve"> </w:t>
      </w:r>
      <w:r>
        <w:t>conducted</w:t>
      </w:r>
      <w:r>
        <w:rPr>
          <w:spacing w:val="-3"/>
        </w:rPr>
        <w:t xml:space="preserve"> </w:t>
      </w:r>
      <w:r>
        <w:t>by</w:t>
      </w:r>
      <w:r>
        <w:rPr>
          <w:spacing w:val="-4"/>
        </w:rPr>
        <w:t xml:space="preserve"> </w:t>
      </w:r>
      <w:r>
        <w:t>HHS-approved</w:t>
      </w:r>
      <w:r>
        <w:rPr>
          <w:spacing w:val="-3"/>
        </w:rPr>
        <w:t xml:space="preserve"> </w:t>
      </w:r>
      <w:r>
        <w:t>survey</w:t>
      </w:r>
      <w:r>
        <w:rPr>
          <w:spacing w:val="-3"/>
        </w:rPr>
        <w:t xml:space="preserve"> </w:t>
      </w:r>
      <w:r>
        <w:t>vendors</w:t>
      </w:r>
      <w:r>
        <w:rPr>
          <w:spacing w:val="-3"/>
        </w:rPr>
        <w:t xml:space="preserve"> </w:t>
      </w:r>
      <w:r>
        <w:t>that</w:t>
      </w:r>
      <w:r>
        <w:rPr>
          <w:spacing w:val="-2"/>
        </w:rPr>
        <w:t xml:space="preserve"> </w:t>
      </w:r>
      <w:r>
        <w:t>meet</w:t>
      </w:r>
      <w:r>
        <w:rPr>
          <w:spacing w:val="-3"/>
        </w:rPr>
        <w:t xml:space="preserve"> </w:t>
      </w:r>
      <w:r>
        <w:t>minimum business requirements. A similar system is currently used for other CMS surveys, including Medicare CAHPS, Hospital CAHPS (HCAHPS), Home Health CAHPS (HHCAHPS), the CAHPS Survey for Accountable Care Organizations, and the Health Outcomes Survey.</w:t>
      </w:r>
    </w:p>
    <w:p>
      <w:pPr>
        <w:pStyle w:val="BodyText"/>
        <w:ind w:right="421"/>
      </w:pPr>
      <w:r>
        <w:t>Under</w:t>
      </w:r>
      <w:r>
        <w:rPr>
          <w:spacing w:val="-3"/>
        </w:rPr>
        <w:t xml:space="preserve"> </w:t>
      </w:r>
      <w:r>
        <w:t>this</w:t>
      </w:r>
      <w:r>
        <w:rPr>
          <w:spacing w:val="-4"/>
        </w:rPr>
        <w:t xml:space="preserve"> </w:t>
      </w:r>
      <w:r>
        <w:t>model,</w:t>
      </w:r>
      <w:r>
        <w:rPr>
          <w:spacing w:val="-3"/>
        </w:rPr>
        <w:t xml:space="preserve"> </w:t>
      </w:r>
      <w:r>
        <w:t>all</w:t>
      </w:r>
      <w:r>
        <w:rPr>
          <w:spacing w:val="-3"/>
        </w:rPr>
        <w:t xml:space="preserve"> </w:t>
      </w:r>
      <w:r>
        <w:t>issuers</w:t>
      </w:r>
      <w:r>
        <w:rPr>
          <w:spacing w:val="-3"/>
        </w:rPr>
        <w:t xml:space="preserve"> </w:t>
      </w:r>
      <w:r>
        <w:t>that</w:t>
      </w:r>
      <w:r>
        <w:rPr>
          <w:spacing w:val="-3"/>
        </w:rPr>
        <w:t xml:space="preserve"> </w:t>
      </w:r>
      <w:r>
        <w:t>are</w:t>
      </w:r>
      <w:r>
        <w:rPr>
          <w:spacing w:val="-4"/>
        </w:rPr>
        <w:t xml:space="preserve"> </w:t>
      </w:r>
      <w:r>
        <w:t>required</w:t>
      </w:r>
      <w:r>
        <w:rPr>
          <w:spacing w:val="-3"/>
        </w:rPr>
        <w:t xml:space="preserve"> </w:t>
      </w:r>
      <w:r>
        <w:t>to</w:t>
      </w:r>
      <w:r>
        <w:rPr>
          <w:spacing w:val="-3"/>
        </w:rPr>
        <w:t xml:space="preserve"> </w:t>
      </w:r>
      <w:r>
        <w:t>conduct</w:t>
      </w:r>
      <w:r>
        <w:rPr>
          <w:spacing w:val="-3"/>
        </w:rPr>
        <w:t xml:space="preserve"> </w:t>
      </w:r>
      <w:r>
        <w:t>the</w:t>
      </w:r>
      <w:r>
        <w:rPr>
          <w:spacing w:val="-4"/>
        </w:rPr>
        <w:t xml:space="preserve"> </w:t>
      </w:r>
      <w:r>
        <w:t>QHP</w:t>
      </w:r>
      <w:r>
        <w:rPr>
          <w:spacing w:val="-3"/>
        </w:rPr>
        <w:t xml:space="preserve"> </w:t>
      </w:r>
      <w:r>
        <w:t>Enrollee</w:t>
      </w:r>
      <w:r>
        <w:rPr>
          <w:spacing w:val="-2"/>
        </w:rPr>
        <w:t xml:space="preserve"> </w:t>
      </w:r>
      <w:r>
        <w:t>Survey</w:t>
      </w:r>
      <w:r>
        <w:rPr>
          <w:spacing w:val="-3"/>
        </w:rPr>
        <w:t xml:space="preserve"> </w:t>
      </w:r>
      <w:r>
        <w:t>must</w:t>
      </w:r>
      <w:r>
        <w:rPr>
          <w:spacing w:val="-3"/>
        </w:rPr>
        <w:t xml:space="preserve"> </w:t>
      </w:r>
      <w:r>
        <w:t>contract with an HHS-approved survey vendor to collect the data and submit it to CMS on their behalf (45 CFR § 156.1125(a)). CMS is responsible for approving and training vendors, providing technical</w:t>
      </w:r>
      <w:r>
        <w:rPr>
          <w:spacing w:val="-1"/>
        </w:rPr>
        <w:t xml:space="preserve"> </w:t>
      </w:r>
      <w:r>
        <w:t>assistance</w:t>
      </w:r>
      <w:r>
        <w:rPr>
          <w:spacing w:val="-2"/>
        </w:rPr>
        <w:t xml:space="preserve"> </w:t>
      </w:r>
      <w:r>
        <w:t>to</w:t>
      </w:r>
      <w:r>
        <w:rPr>
          <w:spacing w:val="-1"/>
        </w:rPr>
        <w:t xml:space="preserve"> </w:t>
      </w:r>
      <w:r>
        <w:t>vendors,</w:t>
      </w:r>
      <w:r>
        <w:rPr>
          <w:spacing w:val="-1"/>
        </w:rPr>
        <w:t xml:space="preserve"> </w:t>
      </w:r>
      <w:r>
        <w:t>and</w:t>
      </w:r>
      <w:r>
        <w:rPr>
          <w:spacing w:val="-1"/>
        </w:rPr>
        <w:t xml:space="preserve"> </w:t>
      </w:r>
      <w:r>
        <w:t>overseeing</w:t>
      </w:r>
      <w:r>
        <w:rPr>
          <w:spacing w:val="-1"/>
        </w:rPr>
        <w:t xml:space="preserve"> </w:t>
      </w:r>
      <w:r>
        <w:t>vendors</w:t>
      </w:r>
      <w:r>
        <w:rPr>
          <w:spacing w:val="-2"/>
        </w:rPr>
        <w:t xml:space="preserve"> </w:t>
      </w:r>
      <w:r>
        <w:t>to verify</w:t>
      </w:r>
      <w:r>
        <w:rPr>
          <w:spacing w:val="-1"/>
        </w:rPr>
        <w:t xml:space="preserve"> </w:t>
      </w:r>
      <w:r>
        <w:t>that</w:t>
      </w:r>
      <w:r>
        <w:rPr>
          <w:spacing w:val="-1"/>
        </w:rPr>
        <w:t xml:space="preserve"> </w:t>
      </w:r>
      <w:r>
        <w:t>they are</w:t>
      </w:r>
      <w:r>
        <w:rPr>
          <w:spacing w:val="-3"/>
        </w:rPr>
        <w:t xml:space="preserve"> </w:t>
      </w:r>
      <w:r>
        <w:t>following</w:t>
      </w:r>
      <w:r>
        <w:rPr>
          <w:spacing w:val="-1"/>
        </w:rPr>
        <w:t xml:space="preserve"> </w:t>
      </w:r>
      <w:r>
        <w:t>the</w:t>
      </w:r>
      <w:r>
        <w:rPr>
          <w:spacing w:val="-2"/>
        </w:rPr>
        <w:t xml:space="preserve"> </w:t>
      </w:r>
      <w:r>
        <w:t>data collection protocols.</w:t>
      </w:r>
    </w:p>
    <w:p>
      <w:pPr>
        <w:pStyle w:val="BodyText"/>
        <w:ind w:right="389"/>
      </w:pPr>
      <w:r>
        <w:t>The data collection protocol for the 2027 QHP Enrollee Survey is a mixed-mode methodology that combines internet, mail, and telephone surveys. All sampled enrollees receive a pre-notification letter informing them they have been sampled for the survey and providing information</w:t>
      </w:r>
      <w:r>
        <w:rPr>
          <w:spacing w:val="-3"/>
        </w:rPr>
        <w:t xml:space="preserve"> </w:t>
      </w:r>
      <w:r>
        <w:t>about</w:t>
      </w:r>
      <w:r>
        <w:rPr>
          <w:spacing w:val="-3"/>
        </w:rPr>
        <w:t xml:space="preserve"> </w:t>
      </w:r>
      <w:r>
        <w:t>the</w:t>
      </w:r>
      <w:r>
        <w:rPr>
          <w:spacing w:val="-3"/>
        </w:rPr>
        <w:t xml:space="preserve"> </w:t>
      </w:r>
      <w:r>
        <w:t>survey</w:t>
      </w:r>
      <w:r>
        <w:rPr>
          <w:spacing w:val="-3"/>
        </w:rPr>
        <w:t xml:space="preserve"> </w:t>
      </w:r>
      <w:r>
        <w:t>and</w:t>
      </w:r>
      <w:r>
        <w:rPr>
          <w:spacing w:val="-3"/>
        </w:rPr>
        <w:t xml:space="preserve"> </w:t>
      </w:r>
      <w:r>
        <w:t>how</w:t>
      </w:r>
      <w:r>
        <w:rPr>
          <w:spacing w:val="-4"/>
        </w:rPr>
        <w:t xml:space="preserve"> </w:t>
      </w:r>
      <w:r>
        <w:t>the</w:t>
      </w:r>
      <w:r>
        <w:rPr>
          <w:spacing w:val="-4"/>
        </w:rPr>
        <w:t xml:space="preserve"> </w:t>
      </w:r>
      <w:r>
        <w:t>data</w:t>
      </w:r>
      <w:r>
        <w:rPr>
          <w:spacing w:val="-3"/>
        </w:rPr>
        <w:t xml:space="preserve"> </w:t>
      </w:r>
      <w:r>
        <w:t>collected</w:t>
      </w:r>
      <w:r>
        <w:rPr>
          <w:spacing w:val="-3"/>
        </w:rPr>
        <w:t xml:space="preserve"> </w:t>
      </w:r>
      <w:r>
        <w:t>will</w:t>
      </w:r>
      <w:r>
        <w:rPr>
          <w:spacing w:val="-3"/>
        </w:rPr>
        <w:t xml:space="preserve"> </w:t>
      </w:r>
      <w:r>
        <w:t>be</w:t>
      </w:r>
      <w:r>
        <w:rPr>
          <w:spacing w:val="-3"/>
        </w:rPr>
        <w:t xml:space="preserve"> </w:t>
      </w:r>
      <w:r>
        <w:t>used.</w:t>
      </w:r>
      <w:r>
        <w:rPr>
          <w:spacing w:val="-2"/>
        </w:rPr>
        <w:t xml:space="preserve"> </w:t>
      </w:r>
      <w:r>
        <w:t>The</w:t>
      </w:r>
      <w:r>
        <w:rPr>
          <w:spacing w:val="-2"/>
        </w:rPr>
        <w:t xml:space="preserve"> </w:t>
      </w:r>
      <w:r>
        <w:t>pre-notification</w:t>
      </w:r>
      <w:r>
        <w:rPr>
          <w:spacing w:val="-3"/>
        </w:rPr>
        <w:t xml:space="preserve"> </w:t>
      </w:r>
      <w:r>
        <w:t>letter also provides information on completing the survey online, including the website URL and the sample member’s unique login credentials, and a quick-response (QR) code to link enrollees directly to the online survey.</w:t>
      </w:r>
    </w:p>
    <w:p>
      <w:pPr>
        <w:pStyle w:val="BodyText"/>
        <w:spacing w:before="121"/>
        <w:ind w:right="426"/>
      </w:pPr>
      <w:r>
        <w:t>On</w:t>
      </w:r>
      <w:r>
        <w:rPr>
          <w:spacing w:val="-4"/>
        </w:rPr>
        <w:t xml:space="preserve"> </w:t>
      </w:r>
      <w:r>
        <w:t>Day</w:t>
      </w:r>
      <w:r>
        <w:rPr>
          <w:spacing w:val="-4"/>
        </w:rPr>
        <w:t xml:space="preserve"> </w:t>
      </w:r>
      <w:r>
        <w:t>7</w:t>
      </w:r>
      <w:r>
        <w:rPr>
          <w:spacing w:val="-3"/>
        </w:rPr>
        <w:t xml:space="preserve"> </w:t>
      </w:r>
      <w:r>
        <w:t>of</w:t>
      </w:r>
      <w:r>
        <w:rPr>
          <w:spacing w:val="-3"/>
        </w:rPr>
        <w:t xml:space="preserve"> </w:t>
      </w:r>
      <w:r>
        <w:t>fielding,</w:t>
      </w:r>
      <w:r>
        <w:rPr>
          <w:spacing w:val="-3"/>
        </w:rPr>
        <w:t xml:space="preserve"> </w:t>
      </w:r>
      <w:r>
        <w:t>sampled</w:t>
      </w:r>
      <w:r>
        <w:rPr>
          <w:spacing w:val="-3"/>
        </w:rPr>
        <w:t xml:space="preserve"> </w:t>
      </w:r>
      <w:r>
        <w:t>enrollees</w:t>
      </w:r>
      <w:r>
        <w:rPr>
          <w:spacing w:val="-2"/>
        </w:rPr>
        <w:t xml:space="preserve"> </w:t>
      </w:r>
      <w:r>
        <w:t>who</w:t>
      </w:r>
      <w:r>
        <w:rPr>
          <w:spacing w:val="-3"/>
        </w:rPr>
        <w:t xml:space="preserve"> </w:t>
      </w:r>
      <w:r>
        <w:t>provided</w:t>
      </w:r>
      <w:r>
        <w:rPr>
          <w:spacing w:val="-3"/>
        </w:rPr>
        <w:t xml:space="preserve"> </w:t>
      </w:r>
      <w:r>
        <w:t>their</w:t>
      </w:r>
      <w:r>
        <w:rPr>
          <w:spacing w:val="-3"/>
        </w:rPr>
        <w:t xml:space="preserve"> </w:t>
      </w:r>
      <w:r>
        <w:t>issuer</w:t>
      </w:r>
      <w:r>
        <w:rPr>
          <w:spacing w:val="-3"/>
        </w:rPr>
        <w:t xml:space="preserve"> </w:t>
      </w:r>
      <w:r>
        <w:t>with</w:t>
      </w:r>
      <w:r>
        <w:rPr>
          <w:spacing w:val="-3"/>
        </w:rPr>
        <w:t xml:space="preserve"> </w:t>
      </w:r>
      <w:r>
        <w:t>an</w:t>
      </w:r>
      <w:r>
        <w:rPr>
          <w:spacing w:val="-2"/>
        </w:rPr>
        <w:t xml:space="preserve"> </w:t>
      </w:r>
      <w:r>
        <w:t>email</w:t>
      </w:r>
      <w:r>
        <w:rPr>
          <w:spacing w:val="-3"/>
        </w:rPr>
        <w:t xml:space="preserve"> </w:t>
      </w:r>
      <w:r>
        <w:t>address</w:t>
      </w:r>
      <w:r>
        <w:rPr>
          <w:spacing w:val="-2"/>
        </w:rPr>
        <w:t xml:space="preserve"> </w:t>
      </w:r>
      <w:r>
        <w:t>receive a notification email and survey vendors mail the first mail survey. The mail survey does not include a link to the internet survey. The first mail survey is followed by a reminder email to nonrespondents on Day 13. This is followed by a second reminder email to nonrespondents on Day 19 and a reminder letter on Day 20.</w:t>
      </w:r>
    </w:p>
    <w:p>
      <w:pPr>
        <w:pStyle w:val="BodyText"/>
        <w:ind w:right="385"/>
      </w:pPr>
      <w:r>
        <w:t>A second mail survey are mailed to nonrespondents on Day 34. On Day 40, enrollees receive a third</w:t>
      </w:r>
      <w:r>
        <w:rPr>
          <w:spacing w:val="-1"/>
        </w:rPr>
        <w:t xml:space="preserve"> </w:t>
      </w:r>
      <w:r>
        <w:t>reminder</w:t>
      </w:r>
      <w:r>
        <w:rPr>
          <w:spacing w:val="-1"/>
        </w:rPr>
        <w:t xml:space="preserve"> </w:t>
      </w:r>
      <w:r>
        <w:t>email. Finally, on</w:t>
      </w:r>
      <w:r>
        <w:rPr>
          <w:spacing w:val="-1"/>
        </w:rPr>
        <w:t xml:space="preserve"> </w:t>
      </w:r>
      <w:r>
        <w:t>Day</w:t>
      </w:r>
      <w:r>
        <w:rPr>
          <w:spacing w:val="-2"/>
        </w:rPr>
        <w:t xml:space="preserve"> </w:t>
      </w:r>
      <w:r>
        <w:t>48,</w:t>
      </w:r>
      <w:r>
        <w:rPr>
          <w:spacing w:val="-1"/>
        </w:rPr>
        <w:t xml:space="preserve"> </w:t>
      </w:r>
      <w:r>
        <w:t>survey</w:t>
      </w:r>
      <w:r>
        <w:rPr>
          <w:spacing w:val="-1"/>
        </w:rPr>
        <w:t xml:space="preserve"> </w:t>
      </w:r>
      <w:r>
        <w:t>vendors</w:t>
      </w:r>
      <w:r>
        <w:rPr>
          <w:spacing w:val="-1"/>
        </w:rPr>
        <w:t xml:space="preserve"> </w:t>
      </w:r>
      <w:r>
        <w:t>will</w:t>
      </w:r>
      <w:r>
        <w:rPr>
          <w:spacing w:val="-1"/>
        </w:rPr>
        <w:t xml:space="preserve"> </w:t>
      </w:r>
      <w:r>
        <w:t>initiate</w:t>
      </w:r>
      <w:r>
        <w:rPr>
          <w:spacing w:val="-1"/>
        </w:rPr>
        <w:t xml:space="preserve"> </w:t>
      </w:r>
      <w:r>
        <w:t>telephone</w:t>
      </w:r>
      <w:r>
        <w:rPr>
          <w:spacing w:val="-3"/>
        </w:rPr>
        <w:t xml:space="preserve"> </w:t>
      </w:r>
      <w:r>
        <w:t>follow-up</w:t>
      </w:r>
      <w:r>
        <w:rPr>
          <w:spacing w:val="-1"/>
        </w:rPr>
        <w:t xml:space="preserve"> </w:t>
      </w:r>
      <w:r>
        <w:t>calls, making</w:t>
      </w:r>
      <w:r>
        <w:rPr>
          <w:spacing w:val="-3"/>
        </w:rPr>
        <w:t xml:space="preserve"> </w:t>
      </w:r>
      <w:r>
        <w:t>no</w:t>
      </w:r>
      <w:r>
        <w:rPr>
          <w:spacing w:val="-3"/>
        </w:rPr>
        <w:t xml:space="preserve"> </w:t>
      </w:r>
      <w:r>
        <w:t>more</w:t>
      </w:r>
      <w:r>
        <w:rPr>
          <w:spacing w:val="-4"/>
        </w:rPr>
        <w:t xml:space="preserve"> </w:t>
      </w:r>
      <w:r>
        <w:t>than</w:t>
      </w:r>
      <w:r>
        <w:rPr>
          <w:spacing w:val="-4"/>
        </w:rPr>
        <w:t xml:space="preserve"> </w:t>
      </w:r>
      <w:r>
        <w:t>six</w:t>
      </w:r>
      <w:r>
        <w:rPr>
          <w:spacing w:val="-3"/>
        </w:rPr>
        <w:t xml:space="preserve"> </w:t>
      </w:r>
      <w:r>
        <w:t>attempts</w:t>
      </w:r>
      <w:r>
        <w:rPr>
          <w:spacing w:val="-2"/>
        </w:rPr>
        <w:t xml:space="preserve"> </w:t>
      </w:r>
      <w:r>
        <w:t>on</w:t>
      </w:r>
      <w:r>
        <w:rPr>
          <w:spacing w:val="-3"/>
        </w:rPr>
        <w:t xml:space="preserve"> </w:t>
      </w:r>
      <w:r>
        <w:t>varying</w:t>
      </w:r>
      <w:r>
        <w:rPr>
          <w:spacing w:val="-3"/>
        </w:rPr>
        <w:t xml:space="preserve"> </w:t>
      </w:r>
      <w:r>
        <w:t>days</w:t>
      </w:r>
      <w:r>
        <w:rPr>
          <w:spacing w:val="-1"/>
        </w:rPr>
        <w:t xml:space="preserve"> </w:t>
      </w:r>
      <w:r>
        <w:t>of</w:t>
      </w:r>
      <w:r>
        <w:rPr>
          <w:spacing w:val="-3"/>
        </w:rPr>
        <w:t xml:space="preserve"> </w:t>
      </w:r>
      <w:r>
        <w:t>the</w:t>
      </w:r>
      <w:r>
        <w:rPr>
          <w:spacing w:val="-4"/>
        </w:rPr>
        <w:t xml:space="preserve"> </w:t>
      </w:r>
      <w:r>
        <w:t>week</w:t>
      </w:r>
      <w:r>
        <w:rPr>
          <w:spacing w:val="-1"/>
        </w:rPr>
        <w:t xml:space="preserve"> </w:t>
      </w:r>
      <w:r>
        <w:t>and</w:t>
      </w:r>
      <w:r>
        <w:rPr>
          <w:spacing w:val="-3"/>
        </w:rPr>
        <w:t xml:space="preserve"> </w:t>
      </w:r>
      <w:r>
        <w:t>at</w:t>
      </w:r>
      <w:r>
        <w:rPr>
          <w:spacing w:val="-3"/>
        </w:rPr>
        <w:t xml:space="preserve"> </w:t>
      </w:r>
      <w:r>
        <w:t>differing</w:t>
      </w:r>
      <w:r>
        <w:rPr>
          <w:spacing w:val="-3"/>
        </w:rPr>
        <w:t xml:space="preserve"> </w:t>
      </w:r>
      <w:r>
        <w:t>times</w:t>
      </w:r>
      <w:r>
        <w:rPr>
          <w:spacing w:val="-4"/>
        </w:rPr>
        <w:t xml:space="preserve"> </w:t>
      </w:r>
      <w:r>
        <w:t>of</w:t>
      </w:r>
      <w:r>
        <w:rPr>
          <w:spacing w:val="-3"/>
        </w:rPr>
        <w:t xml:space="preserve"> </w:t>
      </w:r>
      <w:r>
        <w:t>the</w:t>
      </w:r>
      <w:r>
        <w:rPr>
          <w:spacing w:val="-4"/>
        </w:rPr>
        <w:t xml:space="preserve"> </w:t>
      </w:r>
      <w:r>
        <w:t xml:space="preserve">day. Data collection ends on Day 73. </w:t>
      </w:r>
      <w:hyperlink w:anchor="_bookmark9" w:history="1">
        <w:r>
          <w:rPr>
            <w:color w:val="0000FF"/>
            <w:u w:val="single" w:color="0000FF"/>
          </w:rPr>
          <w:t>Exhibit B1</w:t>
        </w:r>
      </w:hyperlink>
      <w:r>
        <w:rPr>
          <w:color w:val="0000FF"/>
          <w:u w:val="none"/>
        </w:rPr>
        <w:t xml:space="preserve"> </w:t>
      </w:r>
      <w:r>
        <w:rPr>
          <w:u w:val="none"/>
        </w:rPr>
        <w:t>includes the complete fielding schedule.</w:t>
      </w:r>
    </w:p>
    <w:p>
      <w:pPr>
        <w:pStyle w:val="BodyText"/>
        <w:spacing w:after="0"/>
        <w:sectPr>
          <w:pgSz w:w="12240" w:h="15840"/>
          <w:pgMar w:top="1360" w:right="1080" w:bottom="940" w:left="1080" w:header="0" w:footer="748"/>
          <w:cols w:space="720"/>
        </w:sectPr>
      </w:pPr>
    </w:p>
    <w:p>
      <w:pPr>
        <w:spacing w:before="80"/>
        <w:ind w:left="360" w:right="0" w:firstLine="0"/>
        <w:jc w:val="left"/>
        <w:rPr>
          <w:rFonts w:ascii="Arial"/>
          <w:b/>
          <w:sz w:val="20"/>
        </w:rPr>
      </w:pPr>
      <w:bookmarkStart w:id="17" w:name="QHP Enrollee Survey Scoring"/>
      <w:bookmarkEnd w:id="17"/>
      <w:bookmarkStart w:id="18" w:name="_bookmark9"/>
      <w:bookmarkEnd w:id="18"/>
      <w:r>
        <w:rPr>
          <w:rFonts w:ascii="Arial"/>
          <w:b/>
          <w:sz w:val="20"/>
        </w:rPr>
        <w:t>Exhibit</w:t>
      </w:r>
      <w:r>
        <w:rPr>
          <w:rFonts w:ascii="Arial"/>
          <w:b/>
          <w:spacing w:val="-6"/>
          <w:sz w:val="20"/>
        </w:rPr>
        <w:t xml:space="preserve"> </w:t>
      </w:r>
      <w:r>
        <w:rPr>
          <w:rFonts w:ascii="Arial"/>
          <w:b/>
          <w:sz w:val="20"/>
        </w:rPr>
        <w:t>B1.</w:t>
      </w:r>
      <w:r>
        <w:rPr>
          <w:rFonts w:ascii="Arial"/>
          <w:b/>
          <w:spacing w:val="-7"/>
          <w:sz w:val="20"/>
        </w:rPr>
        <w:t xml:space="preserve"> </w:t>
      </w:r>
      <w:r>
        <w:rPr>
          <w:rFonts w:ascii="Arial"/>
          <w:b/>
          <w:sz w:val="20"/>
        </w:rPr>
        <w:t>Data</w:t>
      </w:r>
      <w:r>
        <w:rPr>
          <w:rFonts w:ascii="Arial"/>
          <w:b/>
          <w:spacing w:val="-5"/>
          <w:sz w:val="20"/>
        </w:rPr>
        <w:t xml:space="preserve"> </w:t>
      </w:r>
      <w:r>
        <w:rPr>
          <w:rFonts w:ascii="Arial"/>
          <w:b/>
          <w:sz w:val="20"/>
        </w:rPr>
        <w:t>Collection</w:t>
      </w:r>
      <w:r>
        <w:rPr>
          <w:rFonts w:ascii="Arial"/>
          <w:b/>
          <w:spacing w:val="-6"/>
          <w:sz w:val="20"/>
        </w:rPr>
        <w:t xml:space="preserve"> </w:t>
      </w:r>
      <w:r>
        <w:rPr>
          <w:rFonts w:ascii="Arial"/>
          <w:b/>
          <w:sz w:val="20"/>
        </w:rPr>
        <w:t>Protocol</w:t>
      </w:r>
      <w:r>
        <w:rPr>
          <w:rFonts w:ascii="Arial"/>
          <w:b/>
          <w:spacing w:val="-6"/>
          <w:sz w:val="20"/>
        </w:rPr>
        <w:t xml:space="preserve"> </w:t>
      </w:r>
      <w:r>
        <w:rPr>
          <w:rFonts w:ascii="Arial"/>
          <w:b/>
          <w:sz w:val="20"/>
        </w:rPr>
        <w:t>for</w:t>
      </w:r>
      <w:r>
        <w:rPr>
          <w:rFonts w:ascii="Arial"/>
          <w:b/>
          <w:spacing w:val="-5"/>
          <w:sz w:val="20"/>
        </w:rPr>
        <w:t xml:space="preserve"> </w:t>
      </w:r>
      <w:r>
        <w:rPr>
          <w:rFonts w:ascii="Arial"/>
          <w:b/>
          <w:sz w:val="20"/>
        </w:rPr>
        <w:t>2027</w:t>
      </w:r>
      <w:r>
        <w:rPr>
          <w:rFonts w:ascii="Arial"/>
          <w:b/>
          <w:spacing w:val="-7"/>
          <w:sz w:val="20"/>
        </w:rPr>
        <w:t xml:space="preserve"> </w:t>
      </w:r>
      <w:r>
        <w:rPr>
          <w:rFonts w:ascii="Arial"/>
          <w:b/>
          <w:sz w:val="20"/>
        </w:rPr>
        <w:t>QHP</w:t>
      </w:r>
      <w:r>
        <w:rPr>
          <w:rFonts w:ascii="Arial"/>
          <w:b/>
          <w:spacing w:val="-5"/>
          <w:sz w:val="20"/>
        </w:rPr>
        <w:t xml:space="preserve"> </w:t>
      </w:r>
      <w:r>
        <w:rPr>
          <w:rFonts w:ascii="Arial"/>
          <w:b/>
          <w:sz w:val="20"/>
        </w:rPr>
        <w:t>Enrollee</w:t>
      </w:r>
      <w:r>
        <w:rPr>
          <w:rFonts w:ascii="Arial"/>
          <w:b/>
          <w:spacing w:val="-5"/>
          <w:sz w:val="20"/>
        </w:rPr>
        <w:t xml:space="preserve"> </w:t>
      </w:r>
      <w:r>
        <w:rPr>
          <w:rFonts w:ascii="Arial"/>
          <w:b/>
          <w:spacing w:val="-2"/>
          <w:sz w:val="20"/>
        </w:rPr>
        <w:t>Survey</w:t>
      </w:r>
    </w:p>
    <w:p>
      <w:pPr>
        <w:pStyle w:val="BodyText"/>
        <w:spacing w:before="1"/>
        <w:ind w:left="0"/>
        <w:rPr>
          <w:rFonts w:ascii="Arial"/>
          <w:b/>
          <w:sz w:val="11"/>
        </w:rPr>
      </w:pPr>
    </w:p>
    <w:tbl>
      <w:tblPr>
        <w:tblStyle w:val="TableNormal"/>
        <w:tblW w:w="0" w:type="auto"/>
        <w:jc w:val="left"/>
        <w:tblInd w:w="339" w:type="dxa"/>
        <w:tblBorders>
          <w:top w:val="single" w:sz="24" w:space="0" w:color="009DD6"/>
          <w:left w:val="single" w:sz="24" w:space="0" w:color="009DD6"/>
          <w:bottom w:val="single" w:sz="24" w:space="0" w:color="009DD6"/>
          <w:right w:val="single" w:sz="24" w:space="0" w:color="009DD6"/>
          <w:insideH w:val="single" w:sz="24" w:space="0" w:color="009DD6"/>
          <w:insideV w:val="single" w:sz="24" w:space="0" w:color="009DD6"/>
        </w:tblBorders>
        <w:tblLayout w:type="fixed"/>
        <w:tblCellMar>
          <w:top w:w="0" w:type="dxa"/>
          <w:left w:w="0" w:type="dxa"/>
          <w:bottom w:w="0" w:type="dxa"/>
          <w:right w:w="0" w:type="dxa"/>
        </w:tblCellMar>
        <w:tblLook w:val="01E0"/>
      </w:tblPr>
      <w:tblGrid>
        <w:gridCol w:w="7134"/>
        <w:gridCol w:w="2286"/>
      </w:tblGrid>
      <w:tr>
        <w:tblPrEx>
          <w:tblW w:w="0" w:type="auto"/>
          <w:jc w:val="left"/>
          <w:tblInd w:w="339" w:type="dxa"/>
          <w:tblBorders>
            <w:top w:val="single" w:sz="24" w:space="0" w:color="009DD6"/>
            <w:left w:val="single" w:sz="24" w:space="0" w:color="009DD6"/>
            <w:bottom w:val="single" w:sz="24" w:space="0" w:color="009DD6"/>
            <w:right w:val="single" w:sz="24" w:space="0" w:color="009DD6"/>
            <w:insideH w:val="single" w:sz="24" w:space="0" w:color="009DD6"/>
            <w:insideV w:val="single" w:sz="24" w:space="0" w:color="009DD6"/>
          </w:tblBorders>
          <w:tblLayout w:type="fixed"/>
          <w:tblCellMar>
            <w:top w:w="0" w:type="dxa"/>
            <w:left w:w="0" w:type="dxa"/>
            <w:bottom w:w="0" w:type="dxa"/>
            <w:right w:w="0" w:type="dxa"/>
          </w:tblCellMar>
          <w:tblLook w:val="01E0"/>
        </w:tblPrEx>
        <w:trPr>
          <w:trHeight w:val="309"/>
          <w:jc w:val="left"/>
        </w:trPr>
        <w:tc>
          <w:tcPr>
            <w:tcW w:w="7134" w:type="dxa"/>
            <w:tcBorders>
              <w:top w:val="nil"/>
              <w:left w:val="nil"/>
              <w:right w:val="nil"/>
            </w:tcBorders>
            <w:shd w:val="clear" w:color="auto" w:fill="00507E"/>
          </w:tcPr>
          <w:p>
            <w:pPr>
              <w:pStyle w:val="TableParagraph"/>
              <w:spacing w:before="40"/>
              <w:ind w:left="27"/>
              <w:jc w:val="center"/>
              <w:rPr>
                <w:b/>
                <w:sz w:val="20"/>
              </w:rPr>
            </w:pPr>
            <w:r>
              <w:rPr>
                <w:b/>
                <w:color w:val="FFFFFF"/>
                <w:spacing w:val="-4"/>
                <w:sz w:val="20"/>
              </w:rPr>
              <w:t>Task</w:t>
            </w:r>
          </w:p>
        </w:tc>
        <w:tc>
          <w:tcPr>
            <w:tcW w:w="2286" w:type="dxa"/>
            <w:tcBorders>
              <w:top w:val="nil"/>
              <w:left w:val="nil"/>
              <w:right w:val="nil"/>
            </w:tcBorders>
            <w:shd w:val="clear" w:color="auto" w:fill="00507E"/>
          </w:tcPr>
          <w:p>
            <w:pPr>
              <w:pStyle w:val="TableParagraph"/>
              <w:spacing w:before="40"/>
              <w:ind w:left="710"/>
              <w:rPr>
                <w:b/>
                <w:sz w:val="20"/>
              </w:rPr>
            </w:pPr>
            <w:r>
              <w:rPr>
                <w:b/>
                <w:color w:val="FFFFFF"/>
                <w:spacing w:val="-2"/>
                <w:sz w:val="20"/>
              </w:rPr>
              <w:t>Timeframe</w:t>
            </w:r>
          </w:p>
        </w:tc>
      </w:tr>
      <w:tr>
        <w:tblPrEx>
          <w:tblW w:w="0" w:type="auto"/>
          <w:jc w:val="left"/>
          <w:tblInd w:w="339" w:type="dxa"/>
          <w:tblLayout w:type="fixed"/>
          <w:tblCellMar>
            <w:top w:w="0" w:type="dxa"/>
            <w:left w:w="0" w:type="dxa"/>
            <w:bottom w:w="0" w:type="dxa"/>
            <w:right w:w="0" w:type="dxa"/>
          </w:tblCellMar>
          <w:tblLook w:val="01E0"/>
        </w:tblPrEx>
        <w:trPr>
          <w:trHeight w:val="309"/>
          <w:jc w:val="left"/>
        </w:trPr>
        <w:tc>
          <w:tcPr>
            <w:tcW w:w="7134" w:type="dxa"/>
            <w:tcBorders>
              <w:left w:val="nil"/>
              <w:bottom w:val="single" w:sz="8" w:space="0" w:color="D9D9D9"/>
              <w:right w:val="single" w:sz="8" w:space="0" w:color="D9D9D9"/>
            </w:tcBorders>
          </w:tcPr>
          <w:p>
            <w:pPr>
              <w:pStyle w:val="TableParagraph"/>
              <w:spacing w:before="40"/>
              <w:ind w:left="136"/>
              <w:rPr>
                <w:sz w:val="20"/>
              </w:rPr>
            </w:pPr>
            <w:r>
              <w:rPr>
                <w:color w:val="1C242C"/>
                <w:sz w:val="20"/>
              </w:rPr>
              <w:t>Sample</w:t>
            </w:r>
            <w:r>
              <w:rPr>
                <w:color w:val="1C242C"/>
                <w:spacing w:val="-12"/>
                <w:sz w:val="20"/>
              </w:rPr>
              <w:t xml:space="preserve"> </w:t>
            </w:r>
            <w:r>
              <w:rPr>
                <w:color w:val="1C242C"/>
                <w:sz w:val="20"/>
              </w:rPr>
              <w:t>enrollees</w:t>
            </w:r>
            <w:r>
              <w:rPr>
                <w:color w:val="1C242C"/>
                <w:spacing w:val="-9"/>
                <w:sz w:val="20"/>
              </w:rPr>
              <w:t xml:space="preserve"> </w:t>
            </w:r>
            <w:r>
              <w:rPr>
                <w:color w:val="1C242C"/>
                <w:sz w:val="20"/>
              </w:rPr>
              <w:t>per</w:t>
            </w:r>
            <w:r>
              <w:rPr>
                <w:color w:val="1C242C"/>
                <w:spacing w:val="-9"/>
                <w:sz w:val="20"/>
              </w:rPr>
              <w:t xml:space="preserve"> </w:t>
            </w:r>
            <w:r>
              <w:rPr>
                <w:color w:val="1C242C"/>
                <w:sz w:val="20"/>
              </w:rPr>
              <w:t>sampling</w:t>
            </w:r>
            <w:r>
              <w:rPr>
                <w:color w:val="1C242C"/>
                <w:spacing w:val="-7"/>
                <w:sz w:val="20"/>
              </w:rPr>
              <w:t xml:space="preserve"> </w:t>
            </w:r>
            <w:r>
              <w:rPr>
                <w:color w:val="1C242C"/>
                <w:spacing w:val="-2"/>
                <w:sz w:val="20"/>
              </w:rPr>
              <w:t>protocols.</w:t>
            </w:r>
          </w:p>
        </w:tc>
        <w:tc>
          <w:tcPr>
            <w:tcW w:w="2286" w:type="dxa"/>
            <w:tcBorders>
              <w:left w:val="single" w:sz="8" w:space="0" w:color="D9D9D9"/>
              <w:bottom w:val="single" w:sz="8" w:space="0" w:color="D9D9D9"/>
              <w:right w:val="nil"/>
            </w:tcBorders>
          </w:tcPr>
          <w:p>
            <w:pPr>
              <w:pStyle w:val="TableParagraph"/>
              <w:spacing w:before="40"/>
              <w:ind w:left="97"/>
              <w:rPr>
                <w:b/>
                <w:sz w:val="20"/>
              </w:rPr>
            </w:pPr>
            <w:r>
              <w:rPr>
                <w:b/>
                <w:color w:val="1C242C"/>
                <w:sz w:val="20"/>
              </w:rPr>
              <w:t>January–February</w:t>
            </w:r>
            <w:r>
              <w:rPr>
                <w:b/>
                <w:color w:val="1C242C"/>
                <w:spacing w:val="-12"/>
                <w:sz w:val="20"/>
              </w:rPr>
              <w:t xml:space="preserve"> </w:t>
            </w:r>
            <w:r>
              <w:rPr>
                <w:b/>
                <w:color w:val="1C242C"/>
                <w:spacing w:val="-4"/>
                <w:sz w:val="20"/>
              </w:rPr>
              <w:t>2027</w:t>
            </w:r>
          </w:p>
        </w:tc>
      </w:tr>
      <w:tr>
        <w:tblPrEx>
          <w:tblW w:w="0" w:type="auto"/>
          <w:jc w:val="left"/>
          <w:tblInd w:w="339" w:type="dxa"/>
          <w:tblLayout w:type="fixed"/>
          <w:tblCellMar>
            <w:top w:w="0" w:type="dxa"/>
            <w:left w:w="0" w:type="dxa"/>
            <w:bottom w:w="0" w:type="dxa"/>
            <w:right w:w="0" w:type="dxa"/>
          </w:tblCellMar>
          <w:tblLook w:val="01E0"/>
        </w:tblPrEx>
        <w:trPr>
          <w:trHeight w:val="848"/>
          <w:jc w:val="left"/>
        </w:trPr>
        <w:tc>
          <w:tcPr>
            <w:tcW w:w="7134" w:type="dxa"/>
            <w:tcBorders>
              <w:top w:val="single" w:sz="8" w:space="0" w:color="D9D9D9"/>
              <w:left w:val="nil"/>
              <w:bottom w:val="single" w:sz="8" w:space="0" w:color="D9D9D9"/>
              <w:right w:val="single" w:sz="8" w:space="0" w:color="D9D9D9"/>
            </w:tcBorders>
            <w:shd w:val="clear" w:color="auto" w:fill="F3FAFF"/>
          </w:tcPr>
          <w:p>
            <w:pPr>
              <w:pStyle w:val="TableParagraph"/>
              <w:numPr>
                <w:ilvl w:val="0"/>
                <w:numId w:val="16"/>
              </w:numPr>
              <w:tabs>
                <w:tab w:val="left" w:pos="496"/>
              </w:tabs>
              <w:spacing w:before="40" w:after="0" w:line="240" w:lineRule="auto"/>
              <w:ind w:left="496" w:right="0" w:hanging="360"/>
              <w:jc w:val="left"/>
              <w:rPr>
                <w:position w:val="5"/>
                <w:sz w:val="13"/>
              </w:rPr>
            </w:pPr>
            <w:r>
              <w:rPr>
                <w:color w:val="1C242C"/>
                <w:sz w:val="20"/>
              </w:rPr>
              <w:t>Mail</w:t>
            </w:r>
            <w:r>
              <w:rPr>
                <w:color w:val="1C242C"/>
                <w:spacing w:val="-9"/>
                <w:sz w:val="20"/>
              </w:rPr>
              <w:t xml:space="preserve"> </w:t>
            </w:r>
            <w:r>
              <w:rPr>
                <w:color w:val="1C242C"/>
                <w:sz w:val="20"/>
              </w:rPr>
              <w:t>prenotification</w:t>
            </w:r>
            <w:r>
              <w:rPr>
                <w:color w:val="1C242C"/>
                <w:spacing w:val="-7"/>
                <w:sz w:val="20"/>
              </w:rPr>
              <w:t xml:space="preserve"> </w:t>
            </w:r>
            <w:r>
              <w:rPr>
                <w:color w:val="1C242C"/>
                <w:sz w:val="20"/>
              </w:rPr>
              <w:t>letter</w:t>
            </w:r>
            <w:r>
              <w:rPr>
                <w:color w:val="1C242C"/>
                <w:spacing w:val="-7"/>
                <w:sz w:val="20"/>
              </w:rPr>
              <w:t xml:space="preserve"> </w:t>
            </w:r>
            <w:r>
              <w:rPr>
                <w:color w:val="1C242C"/>
                <w:sz w:val="20"/>
              </w:rPr>
              <w:t>to</w:t>
            </w:r>
            <w:r>
              <w:rPr>
                <w:color w:val="1C242C"/>
                <w:spacing w:val="-7"/>
                <w:sz w:val="20"/>
              </w:rPr>
              <w:t xml:space="preserve"> </w:t>
            </w:r>
            <w:r>
              <w:rPr>
                <w:color w:val="1C242C"/>
                <w:sz w:val="20"/>
              </w:rPr>
              <w:t>sampled</w:t>
            </w:r>
            <w:r>
              <w:rPr>
                <w:color w:val="1C242C"/>
                <w:spacing w:val="-7"/>
                <w:sz w:val="20"/>
              </w:rPr>
              <w:t xml:space="preserve"> </w:t>
            </w:r>
            <w:r>
              <w:rPr>
                <w:color w:val="1C242C"/>
                <w:sz w:val="20"/>
              </w:rPr>
              <w:t>enrollees.</w:t>
            </w:r>
            <w:r>
              <w:rPr>
                <w:color w:val="1C242C"/>
                <w:spacing w:val="-5"/>
                <w:sz w:val="20"/>
              </w:rPr>
              <w:t xml:space="preserve"> </w:t>
            </w:r>
            <w:r>
              <w:rPr>
                <w:color w:val="1C242C"/>
                <w:spacing w:val="-10"/>
                <w:position w:val="5"/>
                <w:sz w:val="13"/>
              </w:rPr>
              <w:t>a</w:t>
            </w:r>
          </w:p>
          <w:p>
            <w:pPr>
              <w:pStyle w:val="TableParagraph"/>
              <w:numPr>
                <w:ilvl w:val="0"/>
                <w:numId w:val="16"/>
              </w:numPr>
              <w:tabs>
                <w:tab w:val="left" w:pos="496"/>
              </w:tabs>
              <w:spacing w:before="39" w:after="0" w:line="240" w:lineRule="auto"/>
              <w:ind w:left="496" w:right="0" w:hanging="360"/>
              <w:jc w:val="left"/>
              <w:rPr>
                <w:sz w:val="20"/>
              </w:rPr>
            </w:pPr>
            <w:r>
              <w:rPr>
                <w:color w:val="1C242C"/>
                <w:spacing w:val="-2"/>
                <w:sz w:val="20"/>
              </w:rPr>
              <w:t>Activate</w:t>
            </w:r>
            <w:r>
              <w:rPr>
                <w:color w:val="1C242C"/>
                <w:spacing w:val="4"/>
                <w:sz w:val="20"/>
              </w:rPr>
              <w:t xml:space="preserve"> </w:t>
            </w:r>
            <w:r>
              <w:rPr>
                <w:color w:val="1C242C"/>
                <w:spacing w:val="-2"/>
                <w:sz w:val="20"/>
              </w:rPr>
              <w:t>internet</w:t>
            </w:r>
            <w:r>
              <w:rPr>
                <w:color w:val="1C242C"/>
                <w:spacing w:val="4"/>
                <w:sz w:val="20"/>
              </w:rPr>
              <w:t xml:space="preserve"> </w:t>
            </w:r>
            <w:r>
              <w:rPr>
                <w:color w:val="1C242C"/>
                <w:spacing w:val="-2"/>
                <w:sz w:val="20"/>
              </w:rPr>
              <w:t>survey.</w:t>
            </w:r>
          </w:p>
          <w:p>
            <w:pPr>
              <w:pStyle w:val="TableParagraph"/>
              <w:numPr>
                <w:ilvl w:val="0"/>
                <w:numId w:val="16"/>
              </w:numPr>
              <w:tabs>
                <w:tab w:val="left" w:pos="496"/>
              </w:tabs>
              <w:spacing w:before="42" w:after="0" w:line="240" w:lineRule="auto"/>
              <w:ind w:left="496" w:right="0" w:hanging="360"/>
              <w:jc w:val="left"/>
              <w:rPr>
                <w:sz w:val="20"/>
              </w:rPr>
            </w:pPr>
            <w:r>
              <w:rPr>
                <w:color w:val="1C242C"/>
                <w:sz w:val="20"/>
              </w:rPr>
              <w:t>Open</w:t>
            </w:r>
            <w:r>
              <w:rPr>
                <w:color w:val="1C242C"/>
                <w:spacing w:val="-9"/>
                <w:sz w:val="20"/>
              </w:rPr>
              <w:t xml:space="preserve"> </w:t>
            </w:r>
            <w:r>
              <w:rPr>
                <w:color w:val="1C242C"/>
                <w:sz w:val="20"/>
              </w:rPr>
              <w:t>customer</w:t>
            </w:r>
            <w:r>
              <w:rPr>
                <w:color w:val="1C242C"/>
                <w:spacing w:val="-8"/>
                <w:sz w:val="20"/>
              </w:rPr>
              <w:t xml:space="preserve"> </w:t>
            </w:r>
            <w:r>
              <w:rPr>
                <w:color w:val="1C242C"/>
                <w:sz w:val="20"/>
              </w:rPr>
              <w:t>support</w:t>
            </w:r>
            <w:r>
              <w:rPr>
                <w:color w:val="1C242C"/>
                <w:spacing w:val="-9"/>
                <w:sz w:val="20"/>
              </w:rPr>
              <w:t xml:space="preserve"> </w:t>
            </w:r>
            <w:r>
              <w:rPr>
                <w:color w:val="1C242C"/>
                <w:sz w:val="20"/>
              </w:rPr>
              <w:t>toll-free</w:t>
            </w:r>
            <w:r>
              <w:rPr>
                <w:color w:val="1C242C"/>
                <w:spacing w:val="-9"/>
                <w:sz w:val="20"/>
              </w:rPr>
              <w:t xml:space="preserve"> </w:t>
            </w:r>
            <w:r>
              <w:rPr>
                <w:color w:val="1C242C"/>
                <w:sz w:val="20"/>
              </w:rPr>
              <w:t>line</w:t>
            </w:r>
            <w:r>
              <w:rPr>
                <w:color w:val="1C242C"/>
                <w:spacing w:val="-8"/>
                <w:sz w:val="20"/>
              </w:rPr>
              <w:t xml:space="preserve"> </w:t>
            </w:r>
            <w:r>
              <w:rPr>
                <w:color w:val="1C242C"/>
                <w:sz w:val="20"/>
              </w:rPr>
              <w:t>and</w:t>
            </w:r>
            <w:r>
              <w:rPr>
                <w:color w:val="1C242C"/>
                <w:spacing w:val="-9"/>
                <w:sz w:val="20"/>
              </w:rPr>
              <w:t xml:space="preserve"> </w:t>
            </w:r>
            <w:r>
              <w:rPr>
                <w:color w:val="1C242C"/>
                <w:sz w:val="20"/>
              </w:rPr>
              <w:t>project-specific</w:t>
            </w:r>
            <w:r>
              <w:rPr>
                <w:color w:val="1C242C"/>
                <w:spacing w:val="-8"/>
                <w:sz w:val="20"/>
              </w:rPr>
              <w:t xml:space="preserve"> </w:t>
            </w:r>
            <w:r>
              <w:rPr>
                <w:color w:val="1C242C"/>
                <w:sz w:val="20"/>
              </w:rPr>
              <w:t>email</w:t>
            </w:r>
            <w:r>
              <w:rPr>
                <w:color w:val="1C242C"/>
                <w:spacing w:val="-9"/>
                <w:sz w:val="20"/>
              </w:rPr>
              <w:t xml:space="preserve"> </w:t>
            </w:r>
            <w:r>
              <w:rPr>
                <w:color w:val="1C242C"/>
                <w:spacing w:val="-2"/>
                <w:sz w:val="20"/>
              </w:rPr>
              <w:t>address.</w:t>
            </w:r>
          </w:p>
        </w:tc>
        <w:tc>
          <w:tcPr>
            <w:tcW w:w="2286" w:type="dxa"/>
            <w:tcBorders>
              <w:top w:val="single" w:sz="8" w:space="0" w:color="D9D9D9"/>
              <w:left w:val="single" w:sz="8" w:space="0" w:color="D9D9D9"/>
              <w:bottom w:val="single" w:sz="8" w:space="0" w:color="D9D9D9"/>
              <w:right w:val="nil"/>
            </w:tcBorders>
            <w:shd w:val="clear" w:color="auto" w:fill="F3FAFF"/>
          </w:tcPr>
          <w:p>
            <w:pPr>
              <w:pStyle w:val="TableParagraph"/>
              <w:spacing w:before="40"/>
              <w:ind w:left="97"/>
              <w:rPr>
                <w:b/>
                <w:sz w:val="20"/>
              </w:rPr>
            </w:pPr>
            <w:r>
              <w:rPr>
                <w:b/>
                <w:color w:val="1C242C"/>
                <w:sz w:val="20"/>
              </w:rPr>
              <w:t>Day</w:t>
            </w:r>
            <w:r>
              <w:rPr>
                <w:b/>
                <w:color w:val="1C242C"/>
                <w:spacing w:val="-6"/>
                <w:sz w:val="20"/>
              </w:rPr>
              <w:t xml:space="preserve"> </w:t>
            </w:r>
            <w:r>
              <w:rPr>
                <w:b/>
                <w:color w:val="1C242C"/>
                <w:spacing w:val="-10"/>
                <w:sz w:val="20"/>
              </w:rPr>
              <w:t>1</w:t>
            </w:r>
          </w:p>
        </w:tc>
      </w:tr>
      <w:tr>
        <w:tblPrEx>
          <w:tblW w:w="0" w:type="auto"/>
          <w:jc w:val="left"/>
          <w:tblInd w:w="339" w:type="dxa"/>
          <w:tblLayout w:type="fixed"/>
          <w:tblCellMar>
            <w:top w:w="0" w:type="dxa"/>
            <w:left w:w="0" w:type="dxa"/>
            <w:bottom w:w="0" w:type="dxa"/>
            <w:right w:w="0" w:type="dxa"/>
          </w:tblCellMar>
          <w:tblLook w:val="01E0"/>
        </w:tblPrEx>
        <w:trPr>
          <w:trHeight w:val="1038"/>
          <w:jc w:val="left"/>
        </w:trPr>
        <w:tc>
          <w:tcPr>
            <w:tcW w:w="7134" w:type="dxa"/>
            <w:tcBorders>
              <w:top w:val="single" w:sz="8" w:space="0" w:color="D9D9D9"/>
              <w:left w:val="nil"/>
              <w:bottom w:val="single" w:sz="8" w:space="0" w:color="D9D9D9"/>
              <w:right w:val="single" w:sz="8" w:space="0" w:color="D9D9D9"/>
            </w:tcBorders>
          </w:tcPr>
          <w:p>
            <w:pPr>
              <w:pStyle w:val="TableParagraph"/>
              <w:numPr>
                <w:ilvl w:val="0"/>
                <w:numId w:val="15"/>
              </w:numPr>
              <w:tabs>
                <w:tab w:val="left" w:pos="496"/>
              </w:tabs>
              <w:spacing w:before="37" w:after="0" w:line="240" w:lineRule="auto"/>
              <w:ind w:left="496" w:right="1039" w:hanging="360"/>
              <w:jc w:val="left"/>
              <w:rPr>
                <w:position w:val="5"/>
                <w:sz w:val="13"/>
              </w:rPr>
            </w:pPr>
            <w:r>
              <w:rPr>
                <w:color w:val="1C242C"/>
                <w:sz w:val="20"/>
              </w:rPr>
              <w:t>Mail</w:t>
            </w:r>
            <w:r>
              <w:rPr>
                <w:color w:val="1C242C"/>
                <w:spacing w:val="-4"/>
                <w:sz w:val="20"/>
              </w:rPr>
              <w:t xml:space="preserve"> </w:t>
            </w:r>
            <w:r>
              <w:rPr>
                <w:color w:val="1C242C"/>
                <w:sz w:val="20"/>
              </w:rPr>
              <w:t>first</w:t>
            </w:r>
            <w:r>
              <w:rPr>
                <w:color w:val="1C242C"/>
                <w:spacing w:val="-4"/>
                <w:sz w:val="20"/>
              </w:rPr>
              <w:t xml:space="preserve"> </w:t>
            </w:r>
            <w:r>
              <w:rPr>
                <w:color w:val="1C242C"/>
                <w:sz w:val="20"/>
              </w:rPr>
              <w:t>survey</w:t>
            </w:r>
            <w:r>
              <w:rPr>
                <w:color w:val="1C242C"/>
                <w:spacing w:val="-4"/>
                <w:sz w:val="20"/>
              </w:rPr>
              <w:t xml:space="preserve"> </w:t>
            </w:r>
            <w:r>
              <w:rPr>
                <w:color w:val="1C242C"/>
                <w:sz w:val="20"/>
              </w:rPr>
              <w:t>with</w:t>
            </w:r>
            <w:r>
              <w:rPr>
                <w:color w:val="1C242C"/>
                <w:spacing w:val="-4"/>
                <w:sz w:val="20"/>
              </w:rPr>
              <w:t xml:space="preserve"> </w:t>
            </w:r>
            <w:r>
              <w:rPr>
                <w:color w:val="1C242C"/>
                <w:sz w:val="20"/>
              </w:rPr>
              <w:t>cover</w:t>
            </w:r>
            <w:r>
              <w:rPr>
                <w:color w:val="1C242C"/>
                <w:spacing w:val="-3"/>
                <w:sz w:val="20"/>
              </w:rPr>
              <w:t xml:space="preserve"> </w:t>
            </w:r>
            <w:r>
              <w:rPr>
                <w:color w:val="1C242C"/>
                <w:sz w:val="20"/>
              </w:rPr>
              <w:t>letter</w:t>
            </w:r>
            <w:r>
              <w:rPr>
                <w:color w:val="1C242C"/>
                <w:spacing w:val="-3"/>
                <w:sz w:val="20"/>
              </w:rPr>
              <w:t xml:space="preserve"> </w:t>
            </w:r>
            <w:r>
              <w:rPr>
                <w:color w:val="1C242C"/>
                <w:sz w:val="20"/>
              </w:rPr>
              <w:t>to</w:t>
            </w:r>
            <w:r>
              <w:rPr>
                <w:color w:val="1C242C"/>
                <w:spacing w:val="-3"/>
                <w:sz w:val="20"/>
              </w:rPr>
              <w:t xml:space="preserve"> </w:t>
            </w:r>
            <w:r>
              <w:rPr>
                <w:color w:val="1C242C"/>
                <w:sz w:val="20"/>
              </w:rPr>
              <w:t>nonrespondents</w:t>
            </w:r>
            <w:r>
              <w:rPr>
                <w:color w:val="1C242C"/>
                <w:spacing w:val="-3"/>
                <w:sz w:val="20"/>
              </w:rPr>
              <w:t xml:space="preserve"> </w:t>
            </w:r>
            <w:r>
              <w:rPr>
                <w:color w:val="1C242C"/>
                <w:sz w:val="20"/>
              </w:rPr>
              <w:t>6</w:t>
            </w:r>
            <w:r>
              <w:rPr>
                <w:color w:val="1C242C"/>
                <w:spacing w:val="-4"/>
                <w:sz w:val="20"/>
              </w:rPr>
              <w:t xml:space="preserve"> </w:t>
            </w:r>
            <w:r>
              <w:rPr>
                <w:color w:val="1C242C"/>
                <w:sz w:val="20"/>
              </w:rPr>
              <w:t>calendar</w:t>
            </w:r>
            <w:r>
              <w:rPr>
                <w:color w:val="1C242C"/>
                <w:spacing w:val="-3"/>
                <w:sz w:val="20"/>
              </w:rPr>
              <w:t xml:space="preserve"> </w:t>
            </w:r>
            <w:r>
              <w:rPr>
                <w:color w:val="1C242C"/>
                <w:sz w:val="20"/>
              </w:rPr>
              <w:t>days</w:t>
            </w:r>
            <w:r>
              <w:rPr>
                <w:color w:val="1C242C"/>
                <w:spacing w:val="-4"/>
                <w:sz w:val="20"/>
              </w:rPr>
              <w:t xml:space="preserve"> </w:t>
            </w:r>
            <w:r>
              <w:rPr>
                <w:color w:val="1C242C"/>
                <w:sz w:val="20"/>
              </w:rPr>
              <w:t>after</w:t>
            </w:r>
            <w:r>
              <w:rPr>
                <w:color w:val="1C242C"/>
                <w:spacing w:val="-3"/>
                <w:sz w:val="20"/>
              </w:rPr>
              <w:t xml:space="preserve"> </w:t>
            </w:r>
            <w:r>
              <w:rPr>
                <w:color w:val="1C242C"/>
                <w:sz w:val="20"/>
              </w:rPr>
              <w:t xml:space="preserve">the prenotification letter is mailed. </w:t>
            </w:r>
            <w:r>
              <w:rPr>
                <w:color w:val="1C242C"/>
                <w:position w:val="5"/>
                <w:sz w:val="13"/>
              </w:rPr>
              <w:t>a</w:t>
            </w:r>
          </w:p>
          <w:p>
            <w:pPr>
              <w:pStyle w:val="TableParagraph"/>
              <w:numPr>
                <w:ilvl w:val="0"/>
                <w:numId w:val="15"/>
              </w:numPr>
              <w:tabs>
                <w:tab w:val="left" w:pos="496"/>
              </w:tabs>
              <w:spacing w:before="41" w:after="0" w:line="240" w:lineRule="auto"/>
              <w:ind w:left="496" w:right="246" w:hanging="360"/>
              <w:jc w:val="left"/>
              <w:rPr>
                <w:position w:val="5"/>
                <w:sz w:val="13"/>
              </w:rPr>
            </w:pPr>
            <w:r>
              <w:rPr>
                <w:color w:val="1C242C"/>
                <w:sz w:val="20"/>
              </w:rPr>
              <w:t>Send</w:t>
            </w:r>
            <w:r>
              <w:rPr>
                <w:color w:val="1C242C"/>
                <w:spacing w:val="-5"/>
                <w:sz w:val="20"/>
              </w:rPr>
              <w:t xml:space="preserve"> </w:t>
            </w:r>
            <w:r>
              <w:rPr>
                <w:color w:val="1C242C"/>
                <w:sz w:val="20"/>
              </w:rPr>
              <w:t>notification</w:t>
            </w:r>
            <w:r>
              <w:rPr>
                <w:color w:val="1C242C"/>
                <w:spacing w:val="-4"/>
                <w:sz w:val="20"/>
              </w:rPr>
              <w:t xml:space="preserve"> </w:t>
            </w:r>
            <w:r>
              <w:rPr>
                <w:color w:val="1C242C"/>
                <w:sz w:val="20"/>
              </w:rPr>
              <w:t>email</w:t>
            </w:r>
            <w:r>
              <w:rPr>
                <w:color w:val="1C242C"/>
                <w:spacing w:val="-5"/>
                <w:sz w:val="20"/>
              </w:rPr>
              <w:t xml:space="preserve"> </w:t>
            </w:r>
            <w:r>
              <w:rPr>
                <w:color w:val="1C242C"/>
                <w:sz w:val="20"/>
              </w:rPr>
              <w:t>to</w:t>
            </w:r>
            <w:r>
              <w:rPr>
                <w:color w:val="1C242C"/>
                <w:spacing w:val="-4"/>
                <w:sz w:val="20"/>
              </w:rPr>
              <w:t xml:space="preserve"> </w:t>
            </w:r>
            <w:r>
              <w:rPr>
                <w:color w:val="1C242C"/>
                <w:sz w:val="20"/>
              </w:rPr>
              <w:t>nonrespondents</w:t>
            </w:r>
            <w:r>
              <w:rPr>
                <w:color w:val="1C242C"/>
                <w:spacing w:val="-5"/>
                <w:sz w:val="20"/>
              </w:rPr>
              <w:t xml:space="preserve"> </w:t>
            </w:r>
            <w:r>
              <w:rPr>
                <w:color w:val="1C242C"/>
                <w:sz w:val="20"/>
              </w:rPr>
              <w:t>6</w:t>
            </w:r>
            <w:r>
              <w:rPr>
                <w:color w:val="1C242C"/>
                <w:spacing w:val="-4"/>
                <w:sz w:val="20"/>
              </w:rPr>
              <w:t xml:space="preserve"> </w:t>
            </w:r>
            <w:r>
              <w:rPr>
                <w:color w:val="1C242C"/>
                <w:sz w:val="20"/>
              </w:rPr>
              <w:t>calendar</w:t>
            </w:r>
            <w:r>
              <w:rPr>
                <w:color w:val="1C242C"/>
                <w:spacing w:val="-4"/>
                <w:sz w:val="20"/>
              </w:rPr>
              <w:t xml:space="preserve"> </w:t>
            </w:r>
            <w:r>
              <w:rPr>
                <w:color w:val="1C242C"/>
                <w:sz w:val="20"/>
              </w:rPr>
              <w:t>days</w:t>
            </w:r>
            <w:r>
              <w:rPr>
                <w:color w:val="1C242C"/>
                <w:spacing w:val="-5"/>
                <w:sz w:val="20"/>
              </w:rPr>
              <w:t xml:space="preserve"> </w:t>
            </w:r>
            <w:r>
              <w:rPr>
                <w:color w:val="1C242C"/>
                <w:sz w:val="20"/>
              </w:rPr>
              <w:t>after</w:t>
            </w:r>
            <w:r>
              <w:rPr>
                <w:color w:val="1C242C"/>
                <w:spacing w:val="-4"/>
                <w:sz w:val="20"/>
              </w:rPr>
              <w:t xml:space="preserve"> </w:t>
            </w:r>
            <w:r>
              <w:rPr>
                <w:color w:val="1C242C"/>
                <w:sz w:val="20"/>
              </w:rPr>
              <w:t>the</w:t>
            </w:r>
            <w:r>
              <w:rPr>
                <w:color w:val="1C242C"/>
                <w:spacing w:val="-5"/>
                <w:sz w:val="20"/>
              </w:rPr>
              <w:t xml:space="preserve"> </w:t>
            </w:r>
            <w:r>
              <w:rPr>
                <w:color w:val="1C242C"/>
                <w:sz w:val="20"/>
              </w:rPr>
              <w:t>prenotification</w:t>
            </w:r>
            <w:r>
              <w:rPr>
                <w:color w:val="1C242C"/>
                <w:spacing w:val="-4"/>
                <w:sz w:val="20"/>
              </w:rPr>
              <w:t xml:space="preserve"> </w:t>
            </w:r>
            <w:r>
              <w:rPr>
                <w:color w:val="1C242C"/>
                <w:sz w:val="20"/>
              </w:rPr>
              <w:t xml:space="preserve">letter is mailed. </w:t>
            </w:r>
            <w:r>
              <w:rPr>
                <w:color w:val="1C242C"/>
                <w:position w:val="5"/>
                <w:sz w:val="13"/>
              </w:rPr>
              <w:t>a</w:t>
            </w:r>
          </w:p>
        </w:tc>
        <w:tc>
          <w:tcPr>
            <w:tcW w:w="2286" w:type="dxa"/>
            <w:tcBorders>
              <w:top w:val="single" w:sz="8" w:space="0" w:color="D9D9D9"/>
              <w:left w:val="single" w:sz="8" w:space="0" w:color="D9D9D9"/>
              <w:bottom w:val="single" w:sz="8" w:space="0" w:color="D9D9D9"/>
              <w:right w:val="nil"/>
            </w:tcBorders>
          </w:tcPr>
          <w:p>
            <w:pPr>
              <w:pStyle w:val="TableParagraph"/>
              <w:spacing w:before="40"/>
              <w:ind w:left="97"/>
              <w:rPr>
                <w:b/>
                <w:sz w:val="20"/>
              </w:rPr>
            </w:pPr>
            <w:r>
              <w:rPr>
                <w:b/>
                <w:color w:val="1C242C"/>
                <w:sz w:val="20"/>
              </w:rPr>
              <w:t>Day</w:t>
            </w:r>
            <w:r>
              <w:rPr>
                <w:b/>
                <w:color w:val="1C242C"/>
                <w:spacing w:val="-6"/>
                <w:sz w:val="20"/>
              </w:rPr>
              <w:t xml:space="preserve"> </w:t>
            </w:r>
            <w:r>
              <w:rPr>
                <w:b/>
                <w:color w:val="1C242C"/>
                <w:spacing w:val="-10"/>
                <w:sz w:val="20"/>
              </w:rPr>
              <w:t>7</w:t>
            </w:r>
          </w:p>
        </w:tc>
      </w:tr>
      <w:tr>
        <w:tblPrEx>
          <w:tblW w:w="0" w:type="auto"/>
          <w:jc w:val="left"/>
          <w:tblInd w:w="339" w:type="dxa"/>
          <w:tblLayout w:type="fixed"/>
          <w:tblCellMar>
            <w:top w:w="0" w:type="dxa"/>
            <w:left w:w="0" w:type="dxa"/>
            <w:bottom w:w="0" w:type="dxa"/>
            <w:right w:w="0" w:type="dxa"/>
          </w:tblCellMar>
          <w:tblLook w:val="01E0"/>
        </w:tblPrEx>
        <w:trPr>
          <w:trHeight w:val="539"/>
          <w:jc w:val="left"/>
        </w:trPr>
        <w:tc>
          <w:tcPr>
            <w:tcW w:w="7134" w:type="dxa"/>
            <w:tcBorders>
              <w:top w:val="single" w:sz="8" w:space="0" w:color="D9D9D9"/>
              <w:left w:val="nil"/>
              <w:bottom w:val="single" w:sz="8" w:space="0" w:color="D9D9D9"/>
              <w:right w:val="single" w:sz="8" w:space="0" w:color="D9D9D9"/>
            </w:tcBorders>
            <w:shd w:val="clear" w:color="auto" w:fill="F3FAFF"/>
          </w:tcPr>
          <w:p>
            <w:pPr>
              <w:pStyle w:val="TableParagraph"/>
              <w:numPr>
                <w:ilvl w:val="0"/>
                <w:numId w:val="14"/>
              </w:numPr>
              <w:tabs>
                <w:tab w:val="left" w:pos="496"/>
              </w:tabs>
              <w:spacing w:before="37" w:after="0" w:line="240" w:lineRule="auto"/>
              <w:ind w:left="496" w:right="123" w:hanging="360"/>
              <w:jc w:val="left"/>
              <w:rPr>
                <w:position w:val="5"/>
                <w:sz w:val="13"/>
              </w:rPr>
            </w:pPr>
            <w:r>
              <w:rPr>
                <w:color w:val="1C242C"/>
                <w:sz w:val="20"/>
              </w:rPr>
              <w:t>Send</w:t>
            </w:r>
            <w:r>
              <w:rPr>
                <w:color w:val="1C242C"/>
                <w:spacing w:val="-5"/>
                <w:sz w:val="20"/>
              </w:rPr>
              <w:t xml:space="preserve"> </w:t>
            </w:r>
            <w:r>
              <w:rPr>
                <w:color w:val="1C242C"/>
                <w:sz w:val="20"/>
              </w:rPr>
              <w:t>first</w:t>
            </w:r>
            <w:r>
              <w:rPr>
                <w:color w:val="1C242C"/>
                <w:spacing w:val="-4"/>
                <w:sz w:val="20"/>
              </w:rPr>
              <w:t xml:space="preserve"> </w:t>
            </w:r>
            <w:r>
              <w:rPr>
                <w:color w:val="1C242C"/>
                <w:sz w:val="20"/>
              </w:rPr>
              <w:t>reminder</w:t>
            </w:r>
            <w:r>
              <w:rPr>
                <w:color w:val="1C242C"/>
                <w:spacing w:val="-4"/>
                <w:sz w:val="20"/>
              </w:rPr>
              <w:t xml:space="preserve"> </w:t>
            </w:r>
            <w:r>
              <w:rPr>
                <w:color w:val="1C242C"/>
                <w:sz w:val="20"/>
              </w:rPr>
              <w:t>email</w:t>
            </w:r>
            <w:r>
              <w:rPr>
                <w:color w:val="1C242C"/>
                <w:spacing w:val="-5"/>
                <w:sz w:val="20"/>
              </w:rPr>
              <w:t xml:space="preserve"> </w:t>
            </w:r>
            <w:r>
              <w:rPr>
                <w:color w:val="1C242C"/>
                <w:sz w:val="20"/>
              </w:rPr>
              <w:t>to</w:t>
            </w:r>
            <w:r>
              <w:rPr>
                <w:color w:val="1C242C"/>
                <w:spacing w:val="-4"/>
                <w:sz w:val="20"/>
              </w:rPr>
              <w:t xml:space="preserve"> </w:t>
            </w:r>
            <w:r>
              <w:rPr>
                <w:color w:val="1C242C"/>
                <w:sz w:val="20"/>
              </w:rPr>
              <w:t>nonrespondents</w:t>
            </w:r>
            <w:r>
              <w:rPr>
                <w:color w:val="1C242C"/>
                <w:spacing w:val="-4"/>
                <w:sz w:val="20"/>
              </w:rPr>
              <w:t xml:space="preserve"> </w:t>
            </w:r>
            <w:r>
              <w:rPr>
                <w:color w:val="1C242C"/>
                <w:sz w:val="20"/>
              </w:rPr>
              <w:t>6</w:t>
            </w:r>
            <w:r>
              <w:rPr>
                <w:color w:val="1C242C"/>
                <w:spacing w:val="-5"/>
                <w:sz w:val="20"/>
              </w:rPr>
              <w:t xml:space="preserve"> </w:t>
            </w:r>
            <w:r>
              <w:rPr>
                <w:color w:val="1C242C"/>
                <w:sz w:val="20"/>
              </w:rPr>
              <w:t>calendar</w:t>
            </w:r>
            <w:r>
              <w:rPr>
                <w:color w:val="1C242C"/>
                <w:spacing w:val="-4"/>
                <w:sz w:val="20"/>
              </w:rPr>
              <w:t xml:space="preserve"> </w:t>
            </w:r>
            <w:r>
              <w:rPr>
                <w:color w:val="1C242C"/>
                <w:sz w:val="20"/>
              </w:rPr>
              <w:t>days</w:t>
            </w:r>
            <w:r>
              <w:rPr>
                <w:color w:val="1C242C"/>
                <w:spacing w:val="-5"/>
                <w:sz w:val="20"/>
              </w:rPr>
              <w:t xml:space="preserve"> </w:t>
            </w:r>
            <w:r>
              <w:rPr>
                <w:color w:val="1C242C"/>
                <w:sz w:val="20"/>
              </w:rPr>
              <w:t>after</w:t>
            </w:r>
            <w:r>
              <w:rPr>
                <w:color w:val="1C242C"/>
                <w:spacing w:val="-1"/>
                <w:sz w:val="20"/>
              </w:rPr>
              <w:t xml:space="preserve"> </w:t>
            </w:r>
            <w:r>
              <w:rPr>
                <w:color w:val="1C242C"/>
                <w:sz w:val="20"/>
              </w:rPr>
              <w:t>the</w:t>
            </w:r>
            <w:r>
              <w:rPr>
                <w:color w:val="1C242C"/>
                <w:spacing w:val="-5"/>
                <w:sz w:val="20"/>
              </w:rPr>
              <w:t xml:space="preserve"> </w:t>
            </w:r>
            <w:r>
              <w:rPr>
                <w:color w:val="1C242C"/>
                <w:sz w:val="20"/>
              </w:rPr>
              <w:t>notification</w:t>
            </w:r>
            <w:r>
              <w:rPr>
                <w:color w:val="1C242C"/>
                <w:spacing w:val="-4"/>
                <w:sz w:val="20"/>
              </w:rPr>
              <w:t xml:space="preserve"> </w:t>
            </w:r>
            <w:r>
              <w:rPr>
                <w:color w:val="1C242C"/>
                <w:sz w:val="20"/>
              </w:rPr>
              <w:t>email</w:t>
            </w:r>
            <w:r>
              <w:rPr>
                <w:color w:val="1C242C"/>
                <w:spacing w:val="-5"/>
                <w:sz w:val="20"/>
              </w:rPr>
              <w:t xml:space="preserve"> </w:t>
            </w:r>
            <w:r>
              <w:rPr>
                <w:color w:val="1C242C"/>
                <w:sz w:val="20"/>
              </w:rPr>
              <w:t>is sent.</w:t>
            </w:r>
            <w:r>
              <w:rPr>
                <w:color w:val="1C242C"/>
                <w:spacing w:val="-17"/>
                <w:sz w:val="20"/>
              </w:rPr>
              <w:t xml:space="preserve"> </w:t>
            </w:r>
            <w:r>
              <w:rPr>
                <w:color w:val="1C242C"/>
                <w:position w:val="5"/>
                <w:sz w:val="13"/>
              </w:rPr>
              <w:t>a</w:t>
            </w:r>
          </w:p>
        </w:tc>
        <w:tc>
          <w:tcPr>
            <w:tcW w:w="2286" w:type="dxa"/>
            <w:tcBorders>
              <w:top w:val="single" w:sz="8" w:space="0" w:color="D9D9D9"/>
              <w:left w:val="single" w:sz="8" w:space="0" w:color="D9D9D9"/>
              <w:bottom w:val="single" w:sz="8" w:space="0" w:color="D9D9D9"/>
              <w:right w:val="nil"/>
            </w:tcBorders>
            <w:shd w:val="clear" w:color="auto" w:fill="F3FAFF"/>
          </w:tcPr>
          <w:p>
            <w:pPr>
              <w:pStyle w:val="TableParagraph"/>
              <w:spacing w:before="40"/>
              <w:ind w:left="97"/>
              <w:rPr>
                <w:b/>
                <w:sz w:val="20"/>
              </w:rPr>
            </w:pPr>
            <w:r>
              <w:rPr>
                <w:b/>
                <w:color w:val="1C242C"/>
                <w:sz w:val="20"/>
              </w:rPr>
              <w:t>Day</w:t>
            </w:r>
            <w:r>
              <w:rPr>
                <w:b/>
                <w:color w:val="1C242C"/>
                <w:spacing w:val="-8"/>
                <w:sz w:val="20"/>
              </w:rPr>
              <w:t xml:space="preserve"> </w:t>
            </w:r>
            <w:r>
              <w:rPr>
                <w:b/>
                <w:color w:val="1C242C"/>
                <w:spacing w:val="-5"/>
                <w:sz w:val="20"/>
              </w:rPr>
              <w:t>13</w:t>
            </w:r>
          </w:p>
        </w:tc>
      </w:tr>
      <w:tr>
        <w:tblPrEx>
          <w:tblW w:w="0" w:type="auto"/>
          <w:jc w:val="left"/>
          <w:tblInd w:w="339" w:type="dxa"/>
          <w:tblLayout w:type="fixed"/>
          <w:tblCellMar>
            <w:top w:w="0" w:type="dxa"/>
            <w:left w:w="0" w:type="dxa"/>
            <w:bottom w:w="0" w:type="dxa"/>
            <w:right w:w="0" w:type="dxa"/>
          </w:tblCellMar>
          <w:tblLook w:val="01E0"/>
        </w:tblPrEx>
        <w:trPr>
          <w:trHeight w:val="536"/>
          <w:jc w:val="left"/>
        </w:trPr>
        <w:tc>
          <w:tcPr>
            <w:tcW w:w="7134" w:type="dxa"/>
            <w:tcBorders>
              <w:top w:val="single" w:sz="8" w:space="0" w:color="D9D9D9"/>
              <w:left w:val="nil"/>
              <w:bottom w:val="single" w:sz="8" w:space="0" w:color="D9D9D9"/>
              <w:right w:val="single" w:sz="8" w:space="0" w:color="D9D9D9"/>
            </w:tcBorders>
          </w:tcPr>
          <w:p>
            <w:pPr>
              <w:pStyle w:val="TableParagraph"/>
              <w:numPr>
                <w:ilvl w:val="0"/>
                <w:numId w:val="13"/>
              </w:numPr>
              <w:tabs>
                <w:tab w:val="left" w:pos="496"/>
              </w:tabs>
              <w:spacing w:before="37" w:after="0" w:line="240" w:lineRule="auto"/>
              <w:ind w:left="496" w:right="279" w:hanging="360"/>
              <w:jc w:val="left"/>
              <w:rPr>
                <w:position w:val="5"/>
                <w:sz w:val="13"/>
              </w:rPr>
            </w:pPr>
            <w:r>
              <w:rPr>
                <w:color w:val="1C242C"/>
                <w:sz w:val="20"/>
              </w:rPr>
              <w:t>Send</w:t>
            </w:r>
            <w:r>
              <w:rPr>
                <w:color w:val="1C242C"/>
                <w:spacing w:val="-4"/>
                <w:sz w:val="20"/>
              </w:rPr>
              <w:t xml:space="preserve"> </w:t>
            </w:r>
            <w:r>
              <w:rPr>
                <w:color w:val="1C242C"/>
                <w:sz w:val="20"/>
              </w:rPr>
              <w:t>second</w:t>
            </w:r>
            <w:r>
              <w:rPr>
                <w:color w:val="1C242C"/>
                <w:spacing w:val="-4"/>
                <w:sz w:val="20"/>
              </w:rPr>
              <w:t xml:space="preserve"> </w:t>
            </w:r>
            <w:r>
              <w:rPr>
                <w:color w:val="1C242C"/>
                <w:sz w:val="20"/>
              </w:rPr>
              <w:t>reminder</w:t>
            </w:r>
            <w:r>
              <w:rPr>
                <w:color w:val="1C242C"/>
                <w:spacing w:val="-3"/>
                <w:sz w:val="20"/>
              </w:rPr>
              <w:t xml:space="preserve"> </w:t>
            </w:r>
            <w:r>
              <w:rPr>
                <w:color w:val="1C242C"/>
                <w:sz w:val="20"/>
              </w:rPr>
              <w:t>email</w:t>
            </w:r>
            <w:r>
              <w:rPr>
                <w:color w:val="1C242C"/>
                <w:spacing w:val="-4"/>
                <w:sz w:val="20"/>
              </w:rPr>
              <w:t xml:space="preserve"> </w:t>
            </w:r>
            <w:r>
              <w:rPr>
                <w:color w:val="1C242C"/>
                <w:sz w:val="20"/>
              </w:rPr>
              <w:t>to</w:t>
            </w:r>
            <w:r>
              <w:rPr>
                <w:color w:val="1C242C"/>
                <w:spacing w:val="-3"/>
                <w:sz w:val="20"/>
              </w:rPr>
              <w:t xml:space="preserve"> </w:t>
            </w:r>
            <w:r>
              <w:rPr>
                <w:color w:val="1C242C"/>
                <w:sz w:val="20"/>
              </w:rPr>
              <w:t>nonrespondents</w:t>
            </w:r>
            <w:r>
              <w:rPr>
                <w:color w:val="1C242C"/>
                <w:spacing w:val="-1"/>
                <w:sz w:val="20"/>
              </w:rPr>
              <w:t xml:space="preserve"> </w:t>
            </w:r>
            <w:r>
              <w:rPr>
                <w:color w:val="1C242C"/>
                <w:sz w:val="20"/>
              </w:rPr>
              <w:t>6</w:t>
            </w:r>
            <w:r>
              <w:rPr>
                <w:color w:val="1C242C"/>
                <w:spacing w:val="-4"/>
                <w:sz w:val="20"/>
              </w:rPr>
              <w:t xml:space="preserve"> </w:t>
            </w:r>
            <w:r>
              <w:rPr>
                <w:color w:val="1C242C"/>
                <w:sz w:val="20"/>
              </w:rPr>
              <w:t>calendar</w:t>
            </w:r>
            <w:r>
              <w:rPr>
                <w:color w:val="1C242C"/>
                <w:spacing w:val="-3"/>
                <w:sz w:val="20"/>
              </w:rPr>
              <w:t xml:space="preserve"> </w:t>
            </w:r>
            <w:r>
              <w:rPr>
                <w:color w:val="1C242C"/>
                <w:sz w:val="20"/>
              </w:rPr>
              <w:t>days</w:t>
            </w:r>
            <w:r>
              <w:rPr>
                <w:color w:val="1C242C"/>
                <w:spacing w:val="-4"/>
                <w:sz w:val="20"/>
              </w:rPr>
              <w:t xml:space="preserve"> </w:t>
            </w:r>
            <w:r>
              <w:rPr>
                <w:color w:val="1C242C"/>
                <w:sz w:val="20"/>
              </w:rPr>
              <w:t>after</w:t>
            </w:r>
            <w:r>
              <w:rPr>
                <w:color w:val="1C242C"/>
                <w:spacing w:val="-3"/>
                <w:sz w:val="20"/>
              </w:rPr>
              <w:t xml:space="preserve"> </w:t>
            </w:r>
            <w:r>
              <w:rPr>
                <w:color w:val="1C242C"/>
                <w:sz w:val="20"/>
              </w:rPr>
              <w:t>the</w:t>
            </w:r>
            <w:r>
              <w:rPr>
                <w:color w:val="1C242C"/>
                <w:spacing w:val="-4"/>
                <w:sz w:val="20"/>
              </w:rPr>
              <w:t xml:space="preserve"> </w:t>
            </w:r>
            <w:r>
              <w:rPr>
                <w:color w:val="1C242C"/>
                <w:sz w:val="20"/>
              </w:rPr>
              <w:t>first</w:t>
            </w:r>
            <w:r>
              <w:rPr>
                <w:color w:val="1C242C"/>
                <w:spacing w:val="-3"/>
                <w:sz w:val="20"/>
              </w:rPr>
              <w:t xml:space="preserve"> </w:t>
            </w:r>
            <w:r>
              <w:rPr>
                <w:color w:val="1C242C"/>
                <w:sz w:val="20"/>
              </w:rPr>
              <w:t xml:space="preserve">reminder email is sent. </w:t>
            </w:r>
            <w:r>
              <w:rPr>
                <w:color w:val="1C242C"/>
                <w:position w:val="5"/>
                <w:sz w:val="13"/>
              </w:rPr>
              <w:t>a</w:t>
            </w:r>
          </w:p>
        </w:tc>
        <w:tc>
          <w:tcPr>
            <w:tcW w:w="2286" w:type="dxa"/>
            <w:tcBorders>
              <w:top w:val="single" w:sz="8" w:space="0" w:color="D9D9D9"/>
              <w:left w:val="single" w:sz="8" w:space="0" w:color="D9D9D9"/>
              <w:bottom w:val="single" w:sz="8" w:space="0" w:color="D9D9D9"/>
              <w:right w:val="nil"/>
            </w:tcBorders>
          </w:tcPr>
          <w:p>
            <w:pPr>
              <w:pStyle w:val="TableParagraph"/>
              <w:spacing w:before="40"/>
              <w:ind w:left="97"/>
              <w:rPr>
                <w:b/>
                <w:sz w:val="20"/>
              </w:rPr>
            </w:pPr>
            <w:r>
              <w:rPr>
                <w:b/>
                <w:color w:val="1C242C"/>
                <w:sz w:val="20"/>
              </w:rPr>
              <w:t>Day</w:t>
            </w:r>
            <w:r>
              <w:rPr>
                <w:b/>
                <w:color w:val="1C242C"/>
                <w:spacing w:val="-8"/>
                <w:sz w:val="20"/>
              </w:rPr>
              <w:t xml:space="preserve"> </w:t>
            </w:r>
            <w:r>
              <w:rPr>
                <w:b/>
                <w:color w:val="1C242C"/>
                <w:spacing w:val="-5"/>
                <w:sz w:val="20"/>
              </w:rPr>
              <w:t>19</w:t>
            </w:r>
          </w:p>
        </w:tc>
      </w:tr>
      <w:tr>
        <w:tblPrEx>
          <w:tblW w:w="0" w:type="auto"/>
          <w:jc w:val="left"/>
          <w:tblInd w:w="339" w:type="dxa"/>
          <w:tblLayout w:type="fixed"/>
          <w:tblCellMar>
            <w:top w:w="0" w:type="dxa"/>
            <w:left w:w="0" w:type="dxa"/>
            <w:bottom w:w="0" w:type="dxa"/>
            <w:right w:w="0" w:type="dxa"/>
          </w:tblCellMar>
          <w:tblLook w:val="01E0"/>
        </w:tblPrEx>
        <w:trPr>
          <w:trHeight w:val="311"/>
          <w:jc w:val="left"/>
        </w:trPr>
        <w:tc>
          <w:tcPr>
            <w:tcW w:w="7134" w:type="dxa"/>
            <w:tcBorders>
              <w:top w:val="single" w:sz="8" w:space="0" w:color="D9D9D9"/>
              <w:left w:val="nil"/>
              <w:bottom w:val="single" w:sz="8" w:space="0" w:color="D9D9D9"/>
              <w:right w:val="single" w:sz="8" w:space="0" w:color="D9D9D9"/>
            </w:tcBorders>
            <w:shd w:val="clear" w:color="auto" w:fill="F3FAFF"/>
          </w:tcPr>
          <w:p>
            <w:pPr>
              <w:pStyle w:val="TableParagraph"/>
              <w:numPr>
                <w:ilvl w:val="0"/>
                <w:numId w:val="12"/>
              </w:numPr>
              <w:tabs>
                <w:tab w:val="left" w:pos="496"/>
              </w:tabs>
              <w:spacing w:before="42" w:after="0" w:line="240" w:lineRule="auto"/>
              <w:ind w:left="496" w:right="0" w:hanging="360"/>
              <w:jc w:val="left"/>
              <w:rPr>
                <w:position w:val="5"/>
                <w:sz w:val="13"/>
              </w:rPr>
            </w:pPr>
            <w:r>
              <w:rPr>
                <w:color w:val="1C242C"/>
                <w:sz w:val="20"/>
              </w:rPr>
              <w:t>Mail</w:t>
            </w:r>
            <w:r>
              <w:rPr>
                <w:color w:val="1C242C"/>
                <w:spacing w:val="-11"/>
                <w:sz w:val="20"/>
              </w:rPr>
              <w:t xml:space="preserve"> </w:t>
            </w:r>
            <w:r>
              <w:rPr>
                <w:color w:val="1C242C"/>
                <w:sz w:val="20"/>
              </w:rPr>
              <w:t>reminder</w:t>
            </w:r>
            <w:r>
              <w:rPr>
                <w:color w:val="1C242C"/>
                <w:spacing w:val="-6"/>
                <w:sz w:val="20"/>
              </w:rPr>
              <w:t xml:space="preserve"> </w:t>
            </w:r>
            <w:r>
              <w:rPr>
                <w:color w:val="1C242C"/>
                <w:sz w:val="20"/>
              </w:rPr>
              <w:t>letter</w:t>
            </w:r>
            <w:r>
              <w:rPr>
                <w:color w:val="1C242C"/>
                <w:spacing w:val="-6"/>
                <w:sz w:val="20"/>
              </w:rPr>
              <w:t xml:space="preserve"> </w:t>
            </w:r>
            <w:r>
              <w:rPr>
                <w:color w:val="1C242C"/>
                <w:sz w:val="20"/>
              </w:rPr>
              <w:t>to</w:t>
            </w:r>
            <w:r>
              <w:rPr>
                <w:color w:val="1C242C"/>
                <w:spacing w:val="-6"/>
                <w:sz w:val="20"/>
              </w:rPr>
              <w:t xml:space="preserve"> </w:t>
            </w:r>
            <w:r>
              <w:rPr>
                <w:color w:val="1C242C"/>
                <w:sz w:val="20"/>
              </w:rPr>
              <w:t>nonrespondents</w:t>
            </w:r>
            <w:r>
              <w:rPr>
                <w:color w:val="1C242C"/>
                <w:spacing w:val="-5"/>
                <w:sz w:val="20"/>
              </w:rPr>
              <w:t xml:space="preserve"> </w:t>
            </w:r>
            <w:r>
              <w:rPr>
                <w:color w:val="1C242C"/>
                <w:sz w:val="20"/>
              </w:rPr>
              <w:t>13</w:t>
            </w:r>
            <w:r>
              <w:rPr>
                <w:color w:val="1C242C"/>
                <w:spacing w:val="-6"/>
                <w:sz w:val="20"/>
              </w:rPr>
              <w:t xml:space="preserve"> </w:t>
            </w:r>
            <w:r>
              <w:rPr>
                <w:color w:val="1C242C"/>
                <w:sz w:val="20"/>
              </w:rPr>
              <w:t>calendar</w:t>
            </w:r>
            <w:r>
              <w:rPr>
                <w:color w:val="1C242C"/>
                <w:spacing w:val="-6"/>
                <w:sz w:val="20"/>
              </w:rPr>
              <w:t xml:space="preserve"> </w:t>
            </w:r>
            <w:r>
              <w:rPr>
                <w:color w:val="1C242C"/>
                <w:sz w:val="20"/>
              </w:rPr>
              <w:t>days</w:t>
            </w:r>
            <w:r>
              <w:rPr>
                <w:color w:val="1C242C"/>
                <w:spacing w:val="-7"/>
                <w:sz w:val="20"/>
              </w:rPr>
              <w:t xml:space="preserve"> </w:t>
            </w:r>
            <w:r>
              <w:rPr>
                <w:color w:val="1C242C"/>
                <w:sz w:val="20"/>
              </w:rPr>
              <w:t>after</w:t>
            </w:r>
            <w:r>
              <w:rPr>
                <w:color w:val="1C242C"/>
                <w:spacing w:val="-6"/>
                <w:sz w:val="20"/>
              </w:rPr>
              <w:t xml:space="preserve"> </w:t>
            </w:r>
            <w:r>
              <w:rPr>
                <w:color w:val="1C242C"/>
                <w:sz w:val="20"/>
              </w:rPr>
              <w:t>the</w:t>
            </w:r>
            <w:r>
              <w:rPr>
                <w:color w:val="1C242C"/>
                <w:spacing w:val="-6"/>
                <w:sz w:val="20"/>
              </w:rPr>
              <w:t xml:space="preserve"> </w:t>
            </w:r>
            <w:r>
              <w:rPr>
                <w:color w:val="1C242C"/>
                <w:sz w:val="20"/>
              </w:rPr>
              <w:t>first</w:t>
            </w:r>
            <w:r>
              <w:rPr>
                <w:color w:val="1C242C"/>
                <w:spacing w:val="-6"/>
                <w:sz w:val="20"/>
              </w:rPr>
              <w:t xml:space="preserve"> </w:t>
            </w:r>
            <w:r>
              <w:rPr>
                <w:color w:val="1C242C"/>
                <w:sz w:val="20"/>
              </w:rPr>
              <w:t>survey</w:t>
            </w:r>
            <w:r>
              <w:rPr>
                <w:color w:val="1C242C"/>
                <w:spacing w:val="-7"/>
                <w:sz w:val="20"/>
              </w:rPr>
              <w:t xml:space="preserve"> </w:t>
            </w:r>
            <w:r>
              <w:rPr>
                <w:color w:val="1C242C"/>
                <w:sz w:val="20"/>
              </w:rPr>
              <w:t>is</w:t>
            </w:r>
            <w:r>
              <w:rPr>
                <w:color w:val="1C242C"/>
                <w:spacing w:val="-6"/>
                <w:sz w:val="20"/>
              </w:rPr>
              <w:t xml:space="preserve"> </w:t>
            </w:r>
            <w:r>
              <w:rPr>
                <w:color w:val="1C242C"/>
                <w:sz w:val="20"/>
              </w:rPr>
              <w:t>mailed.</w:t>
            </w:r>
            <w:r>
              <w:rPr>
                <w:color w:val="1C242C"/>
                <w:spacing w:val="-12"/>
                <w:sz w:val="20"/>
              </w:rPr>
              <w:t xml:space="preserve"> </w:t>
            </w:r>
            <w:r>
              <w:rPr>
                <w:color w:val="1C242C"/>
                <w:spacing w:val="-10"/>
                <w:position w:val="5"/>
                <w:sz w:val="13"/>
              </w:rPr>
              <w:t>a</w:t>
            </w:r>
          </w:p>
        </w:tc>
        <w:tc>
          <w:tcPr>
            <w:tcW w:w="2286" w:type="dxa"/>
            <w:tcBorders>
              <w:top w:val="single" w:sz="8" w:space="0" w:color="D9D9D9"/>
              <w:left w:val="single" w:sz="8" w:space="0" w:color="D9D9D9"/>
              <w:bottom w:val="single" w:sz="8" w:space="0" w:color="D9D9D9"/>
              <w:right w:val="nil"/>
            </w:tcBorders>
            <w:shd w:val="clear" w:color="auto" w:fill="F3FAFF"/>
          </w:tcPr>
          <w:p>
            <w:pPr>
              <w:pStyle w:val="TableParagraph"/>
              <w:spacing w:before="42"/>
              <w:ind w:left="97"/>
              <w:rPr>
                <w:b/>
                <w:sz w:val="20"/>
              </w:rPr>
            </w:pPr>
            <w:r>
              <w:rPr>
                <w:b/>
                <w:color w:val="1C242C"/>
                <w:sz w:val="20"/>
              </w:rPr>
              <w:t>Day</w:t>
            </w:r>
            <w:r>
              <w:rPr>
                <w:b/>
                <w:color w:val="1C242C"/>
                <w:spacing w:val="-6"/>
                <w:sz w:val="20"/>
              </w:rPr>
              <w:t xml:space="preserve"> </w:t>
            </w:r>
            <w:r>
              <w:rPr>
                <w:b/>
                <w:color w:val="1C242C"/>
                <w:spacing w:val="-5"/>
                <w:sz w:val="20"/>
              </w:rPr>
              <w:t>20</w:t>
            </w:r>
          </w:p>
        </w:tc>
      </w:tr>
      <w:tr>
        <w:tblPrEx>
          <w:tblW w:w="0" w:type="auto"/>
          <w:jc w:val="left"/>
          <w:tblInd w:w="339" w:type="dxa"/>
          <w:tblLayout w:type="fixed"/>
          <w:tblCellMar>
            <w:top w:w="0" w:type="dxa"/>
            <w:left w:w="0" w:type="dxa"/>
            <w:bottom w:w="0" w:type="dxa"/>
            <w:right w:w="0" w:type="dxa"/>
          </w:tblCellMar>
          <w:tblLook w:val="01E0"/>
        </w:tblPrEx>
        <w:trPr>
          <w:trHeight w:val="539"/>
          <w:jc w:val="left"/>
        </w:trPr>
        <w:tc>
          <w:tcPr>
            <w:tcW w:w="7134" w:type="dxa"/>
            <w:tcBorders>
              <w:top w:val="single" w:sz="8" w:space="0" w:color="D9D9D9"/>
              <w:left w:val="nil"/>
              <w:bottom w:val="single" w:sz="8" w:space="0" w:color="D9D9D9"/>
              <w:right w:val="single" w:sz="8" w:space="0" w:color="D9D9D9"/>
            </w:tcBorders>
          </w:tcPr>
          <w:p>
            <w:pPr>
              <w:pStyle w:val="TableParagraph"/>
              <w:numPr>
                <w:ilvl w:val="0"/>
                <w:numId w:val="11"/>
              </w:numPr>
              <w:tabs>
                <w:tab w:val="left" w:pos="496"/>
              </w:tabs>
              <w:spacing w:before="37" w:after="0" w:line="240" w:lineRule="auto"/>
              <w:ind w:left="496" w:right="684" w:hanging="360"/>
              <w:jc w:val="left"/>
              <w:rPr>
                <w:position w:val="5"/>
                <w:sz w:val="13"/>
              </w:rPr>
            </w:pPr>
            <w:r>
              <w:rPr>
                <w:color w:val="1C242C"/>
                <w:sz w:val="20"/>
              </w:rPr>
              <w:t>Mail</w:t>
            </w:r>
            <w:r>
              <w:rPr>
                <w:color w:val="1C242C"/>
                <w:spacing w:val="-5"/>
                <w:sz w:val="20"/>
              </w:rPr>
              <w:t xml:space="preserve"> </w:t>
            </w:r>
            <w:r>
              <w:rPr>
                <w:color w:val="1C242C"/>
                <w:sz w:val="20"/>
              </w:rPr>
              <w:t>second</w:t>
            </w:r>
            <w:r>
              <w:rPr>
                <w:color w:val="1C242C"/>
                <w:spacing w:val="-4"/>
                <w:sz w:val="20"/>
              </w:rPr>
              <w:t xml:space="preserve"> </w:t>
            </w:r>
            <w:r>
              <w:rPr>
                <w:color w:val="1C242C"/>
                <w:sz w:val="20"/>
              </w:rPr>
              <w:t>survey</w:t>
            </w:r>
            <w:r>
              <w:rPr>
                <w:color w:val="1C242C"/>
                <w:spacing w:val="-5"/>
                <w:sz w:val="20"/>
              </w:rPr>
              <w:t xml:space="preserve"> </w:t>
            </w:r>
            <w:r>
              <w:rPr>
                <w:color w:val="1C242C"/>
                <w:sz w:val="20"/>
              </w:rPr>
              <w:t>with</w:t>
            </w:r>
            <w:r>
              <w:rPr>
                <w:color w:val="1C242C"/>
                <w:spacing w:val="-5"/>
                <w:sz w:val="20"/>
              </w:rPr>
              <w:t xml:space="preserve"> </w:t>
            </w:r>
            <w:r>
              <w:rPr>
                <w:color w:val="1C242C"/>
                <w:sz w:val="20"/>
              </w:rPr>
              <w:t>cover</w:t>
            </w:r>
            <w:r>
              <w:rPr>
                <w:color w:val="1C242C"/>
                <w:spacing w:val="-4"/>
                <w:sz w:val="20"/>
              </w:rPr>
              <w:t xml:space="preserve"> </w:t>
            </w:r>
            <w:r>
              <w:rPr>
                <w:color w:val="1C242C"/>
                <w:sz w:val="20"/>
              </w:rPr>
              <w:t>letter</w:t>
            </w:r>
            <w:r>
              <w:rPr>
                <w:color w:val="1C242C"/>
                <w:spacing w:val="-4"/>
                <w:sz w:val="20"/>
              </w:rPr>
              <w:t xml:space="preserve"> </w:t>
            </w:r>
            <w:r>
              <w:rPr>
                <w:color w:val="1C242C"/>
                <w:sz w:val="20"/>
              </w:rPr>
              <w:t>to</w:t>
            </w:r>
            <w:r>
              <w:rPr>
                <w:color w:val="1C242C"/>
                <w:spacing w:val="-4"/>
                <w:sz w:val="20"/>
              </w:rPr>
              <w:t xml:space="preserve"> </w:t>
            </w:r>
            <w:r>
              <w:rPr>
                <w:color w:val="1C242C"/>
                <w:sz w:val="20"/>
              </w:rPr>
              <w:t>nonrespondents</w:t>
            </w:r>
            <w:r>
              <w:rPr>
                <w:color w:val="1C242C"/>
                <w:spacing w:val="-4"/>
                <w:sz w:val="20"/>
              </w:rPr>
              <w:t xml:space="preserve"> </w:t>
            </w:r>
            <w:r>
              <w:rPr>
                <w:color w:val="1C242C"/>
                <w:sz w:val="20"/>
              </w:rPr>
              <w:t>14</w:t>
            </w:r>
            <w:r>
              <w:rPr>
                <w:color w:val="1C242C"/>
                <w:spacing w:val="-4"/>
                <w:sz w:val="20"/>
              </w:rPr>
              <w:t xml:space="preserve"> </w:t>
            </w:r>
            <w:r>
              <w:rPr>
                <w:color w:val="1C242C"/>
                <w:sz w:val="20"/>
              </w:rPr>
              <w:t>calendar</w:t>
            </w:r>
            <w:r>
              <w:rPr>
                <w:color w:val="1C242C"/>
                <w:spacing w:val="-4"/>
                <w:sz w:val="20"/>
              </w:rPr>
              <w:t xml:space="preserve"> </w:t>
            </w:r>
            <w:r>
              <w:rPr>
                <w:color w:val="1C242C"/>
                <w:sz w:val="20"/>
              </w:rPr>
              <w:t>days</w:t>
            </w:r>
            <w:r>
              <w:rPr>
                <w:color w:val="1C242C"/>
                <w:spacing w:val="-5"/>
                <w:sz w:val="20"/>
              </w:rPr>
              <w:t xml:space="preserve"> </w:t>
            </w:r>
            <w:r>
              <w:rPr>
                <w:color w:val="1C242C"/>
                <w:sz w:val="20"/>
              </w:rPr>
              <w:t>after</w:t>
            </w:r>
            <w:r>
              <w:rPr>
                <w:color w:val="1C242C"/>
                <w:spacing w:val="-4"/>
                <w:sz w:val="20"/>
              </w:rPr>
              <w:t xml:space="preserve"> </w:t>
            </w:r>
            <w:r>
              <w:rPr>
                <w:color w:val="1C242C"/>
                <w:sz w:val="20"/>
              </w:rPr>
              <w:t xml:space="preserve">the reminder letter is mailed. </w:t>
            </w:r>
            <w:r>
              <w:rPr>
                <w:color w:val="1C242C"/>
                <w:position w:val="5"/>
                <w:sz w:val="13"/>
              </w:rPr>
              <w:t>a</w:t>
            </w:r>
          </w:p>
        </w:tc>
        <w:tc>
          <w:tcPr>
            <w:tcW w:w="2286" w:type="dxa"/>
            <w:tcBorders>
              <w:top w:val="single" w:sz="8" w:space="0" w:color="D9D9D9"/>
              <w:left w:val="single" w:sz="8" w:space="0" w:color="D9D9D9"/>
              <w:bottom w:val="single" w:sz="8" w:space="0" w:color="D9D9D9"/>
              <w:right w:val="nil"/>
            </w:tcBorders>
          </w:tcPr>
          <w:p>
            <w:pPr>
              <w:pStyle w:val="TableParagraph"/>
              <w:spacing w:before="40"/>
              <w:ind w:left="97"/>
              <w:rPr>
                <w:b/>
                <w:sz w:val="20"/>
              </w:rPr>
            </w:pPr>
            <w:r>
              <w:rPr>
                <w:b/>
                <w:color w:val="1C242C"/>
                <w:sz w:val="20"/>
              </w:rPr>
              <w:t>Day</w:t>
            </w:r>
            <w:r>
              <w:rPr>
                <w:b/>
                <w:color w:val="1C242C"/>
                <w:spacing w:val="-6"/>
                <w:sz w:val="20"/>
              </w:rPr>
              <w:t xml:space="preserve"> </w:t>
            </w:r>
            <w:r>
              <w:rPr>
                <w:b/>
                <w:color w:val="1C242C"/>
                <w:spacing w:val="-5"/>
                <w:sz w:val="20"/>
              </w:rPr>
              <w:t>34</w:t>
            </w:r>
          </w:p>
        </w:tc>
      </w:tr>
      <w:tr>
        <w:tblPrEx>
          <w:tblW w:w="0" w:type="auto"/>
          <w:jc w:val="left"/>
          <w:tblInd w:w="339" w:type="dxa"/>
          <w:tblLayout w:type="fixed"/>
          <w:tblCellMar>
            <w:top w:w="0" w:type="dxa"/>
            <w:left w:w="0" w:type="dxa"/>
            <w:bottom w:w="0" w:type="dxa"/>
            <w:right w:w="0" w:type="dxa"/>
          </w:tblCellMar>
          <w:tblLook w:val="01E0"/>
        </w:tblPrEx>
        <w:trPr>
          <w:trHeight w:val="539"/>
          <w:jc w:val="left"/>
        </w:trPr>
        <w:tc>
          <w:tcPr>
            <w:tcW w:w="7134" w:type="dxa"/>
            <w:tcBorders>
              <w:top w:val="single" w:sz="8" w:space="0" w:color="D9D9D9"/>
              <w:left w:val="nil"/>
              <w:bottom w:val="single" w:sz="8" w:space="0" w:color="D9D9D9"/>
              <w:right w:val="single" w:sz="8" w:space="0" w:color="D9D9D9"/>
            </w:tcBorders>
            <w:shd w:val="clear" w:color="auto" w:fill="F3FAFF"/>
          </w:tcPr>
          <w:p>
            <w:pPr>
              <w:pStyle w:val="TableParagraph"/>
              <w:numPr>
                <w:ilvl w:val="0"/>
                <w:numId w:val="10"/>
              </w:numPr>
              <w:tabs>
                <w:tab w:val="left" w:pos="496"/>
              </w:tabs>
              <w:spacing w:before="37" w:after="0" w:line="240" w:lineRule="auto"/>
              <w:ind w:left="496" w:right="133" w:hanging="360"/>
              <w:jc w:val="left"/>
              <w:rPr>
                <w:position w:val="5"/>
                <w:sz w:val="13"/>
              </w:rPr>
            </w:pPr>
            <w:r>
              <w:rPr>
                <w:color w:val="1C242C"/>
                <w:sz w:val="20"/>
              </w:rPr>
              <w:t>Send</w:t>
            </w:r>
            <w:r>
              <w:rPr>
                <w:color w:val="1C242C"/>
                <w:spacing w:val="-4"/>
                <w:sz w:val="20"/>
              </w:rPr>
              <w:t xml:space="preserve"> </w:t>
            </w:r>
            <w:r>
              <w:rPr>
                <w:color w:val="1C242C"/>
                <w:sz w:val="20"/>
              </w:rPr>
              <w:t>third</w:t>
            </w:r>
            <w:r>
              <w:rPr>
                <w:color w:val="1C242C"/>
                <w:spacing w:val="-4"/>
                <w:sz w:val="20"/>
              </w:rPr>
              <w:t xml:space="preserve"> </w:t>
            </w:r>
            <w:r>
              <w:rPr>
                <w:color w:val="1C242C"/>
                <w:sz w:val="20"/>
              </w:rPr>
              <w:t>reminder</w:t>
            </w:r>
            <w:r>
              <w:rPr>
                <w:color w:val="1C242C"/>
                <w:spacing w:val="-4"/>
                <w:sz w:val="20"/>
              </w:rPr>
              <w:t xml:space="preserve"> </w:t>
            </w:r>
            <w:r>
              <w:rPr>
                <w:color w:val="1C242C"/>
                <w:sz w:val="20"/>
              </w:rPr>
              <w:t>email</w:t>
            </w:r>
            <w:r>
              <w:rPr>
                <w:color w:val="1C242C"/>
                <w:spacing w:val="-5"/>
                <w:sz w:val="20"/>
              </w:rPr>
              <w:t xml:space="preserve"> </w:t>
            </w:r>
            <w:r>
              <w:rPr>
                <w:color w:val="1C242C"/>
                <w:sz w:val="20"/>
              </w:rPr>
              <w:t>to</w:t>
            </w:r>
            <w:r>
              <w:rPr>
                <w:color w:val="1C242C"/>
                <w:spacing w:val="-4"/>
                <w:sz w:val="20"/>
              </w:rPr>
              <w:t xml:space="preserve"> </w:t>
            </w:r>
            <w:r>
              <w:rPr>
                <w:color w:val="1C242C"/>
                <w:sz w:val="20"/>
              </w:rPr>
              <w:t>nonrespondents</w:t>
            </w:r>
            <w:r>
              <w:rPr>
                <w:color w:val="1C242C"/>
                <w:spacing w:val="-1"/>
                <w:sz w:val="20"/>
              </w:rPr>
              <w:t xml:space="preserve"> </w:t>
            </w:r>
            <w:r>
              <w:rPr>
                <w:color w:val="1C242C"/>
                <w:sz w:val="20"/>
              </w:rPr>
              <w:t>21</w:t>
            </w:r>
            <w:r>
              <w:rPr>
                <w:color w:val="1C242C"/>
                <w:spacing w:val="-4"/>
                <w:sz w:val="20"/>
              </w:rPr>
              <w:t xml:space="preserve"> </w:t>
            </w:r>
            <w:r>
              <w:rPr>
                <w:color w:val="1C242C"/>
                <w:sz w:val="20"/>
              </w:rPr>
              <w:t>calendar</w:t>
            </w:r>
            <w:r>
              <w:rPr>
                <w:color w:val="1C242C"/>
                <w:spacing w:val="-4"/>
                <w:sz w:val="20"/>
              </w:rPr>
              <w:t xml:space="preserve"> </w:t>
            </w:r>
            <w:r>
              <w:rPr>
                <w:color w:val="1C242C"/>
                <w:sz w:val="20"/>
              </w:rPr>
              <w:t>days</w:t>
            </w:r>
            <w:r>
              <w:rPr>
                <w:color w:val="1C242C"/>
                <w:spacing w:val="-5"/>
                <w:sz w:val="20"/>
              </w:rPr>
              <w:t xml:space="preserve"> </w:t>
            </w:r>
            <w:r>
              <w:rPr>
                <w:color w:val="1C242C"/>
                <w:sz w:val="20"/>
              </w:rPr>
              <w:t>after</w:t>
            </w:r>
            <w:r>
              <w:rPr>
                <w:color w:val="1C242C"/>
                <w:spacing w:val="-4"/>
                <w:sz w:val="20"/>
              </w:rPr>
              <w:t xml:space="preserve"> </w:t>
            </w:r>
            <w:r>
              <w:rPr>
                <w:color w:val="1C242C"/>
                <w:sz w:val="20"/>
              </w:rPr>
              <w:t>the</w:t>
            </w:r>
            <w:r>
              <w:rPr>
                <w:color w:val="1C242C"/>
                <w:spacing w:val="-3"/>
                <w:sz w:val="20"/>
              </w:rPr>
              <w:t xml:space="preserve"> </w:t>
            </w:r>
            <w:r>
              <w:rPr>
                <w:color w:val="1C242C"/>
                <w:sz w:val="20"/>
              </w:rPr>
              <w:t>second</w:t>
            </w:r>
            <w:r>
              <w:rPr>
                <w:color w:val="1C242C"/>
                <w:spacing w:val="-4"/>
                <w:sz w:val="20"/>
              </w:rPr>
              <w:t xml:space="preserve"> </w:t>
            </w:r>
            <w:r>
              <w:rPr>
                <w:color w:val="1C242C"/>
                <w:sz w:val="20"/>
              </w:rPr>
              <w:t xml:space="preserve">reminder email is sent. </w:t>
            </w:r>
            <w:r>
              <w:rPr>
                <w:color w:val="1C242C"/>
                <w:position w:val="5"/>
                <w:sz w:val="13"/>
              </w:rPr>
              <w:t>a</w:t>
            </w:r>
          </w:p>
        </w:tc>
        <w:tc>
          <w:tcPr>
            <w:tcW w:w="2286" w:type="dxa"/>
            <w:tcBorders>
              <w:top w:val="single" w:sz="8" w:space="0" w:color="D9D9D9"/>
              <w:left w:val="single" w:sz="8" w:space="0" w:color="D9D9D9"/>
              <w:bottom w:val="single" w:sz="8" w:space="0" w:color="D9D9D9"/>
              <w:right w:val="nil"/>
            </w:tcBorders>
            <w:shd w:val="clear" w:color="auto" w:fill="F3FAFF"/>
          </w:tcPr>
          <w:p>
            <w:pPr>
              <w:pStyle w:val="TableParagraph"/>
              <w:spacing w:before="40"/>
              <w:ind w:left="97"/>
              <w:rPr>
                <w:b/>
                <w:sz w:val="20"/>
              </w:rPr>
            </w:pPr>
            <w:r>
              <w:rPr>
                <w:b/>
                <w:color w:val="1C242C"/>
                <w:sz w:val="20"/>
              </w:rPr>
              <w:t>Day</w:t>
            </w:r>
            <w:r>
              <w:rPr>
                <w:b/>
                <w:color w:val="1C242C"/>
                <w:spacing w:val="-6"/>
                <w:sz w:val="20"/>
              </w:rPr>
              <w:t xml:space="preserve"> </w:t>
            </w:r>
            <w:r>
              <w:rPr>
                <w:b/>
                <w:color w:val="1C242C"/>
                <w:spacing w:val="-5"/>
                <w:sz w:val="20"/>
              </w:rPr>
              <w:t>40</w:t>
            </w:r>
          </w:p>
        </w:tc>
      </w:tr>
      <w:tr>
        <w:tblPrEx>
          <w:tblW w:w="0" w:type="auto"/>
          <w:jc w:val="left"/>
          <w:tblInd w:w="339" w:type="dxa"/>
          <w:tblLayout w:type="fixed"/>
          <w:tblCellMar>
            <w:top w:w="0" w:type="dxa"/>
            <w:left w:w="0" w:type="dxa"/>
            <w:bottom w:w="0" w:type="dxa"/>
            <w:right w:w="0" w:type="dxa"/>
          </w:tblCellMar>
          <w:tblLook w:val="01E0"/>
        </w:tblPrEx>
        <w:trPr>
          <w:trHeight w:val="539"/>
          <w:jc w:val="left"/>
        </w:trPr>
        <w:tc>
          <w:tcPr>
            <w:tcW w:w="7134" w:type="dxa"/>
            <w:tcBorders>
              <w:top w:val="single" w:sz="8" w:space="0" w:color="D9D9D9"/>
              <w:left w:val="nil"/>
              <w:bottom w:val="single" w:sz="8" w:space="0" w:color="D9D9D9"/>
              <w:right w:val="single" w:sz="8" w:space="0" w:color="D9D9D9"/>
            </w:tcBorders>
          </w:tcPr>
          <w:p>
            <w:pPr>
              <w:pStyle w:val="TableParagraph"/>
              <w:numPr>
                <w:ilvl w:val="0"/>
                <w:numId w:val="9"/>
              </w:numPr>
              <w:tabs>
                <w:tab w:val="left" w:pos="496"/>
              </w:tabs>
              <w:spacing w:before="37" w:after="0" w:line="240" w:lineRule="auto"/>
              <w:ind w:left="496" w:right="420" w:hanging="360"/>
              <w:jc w:val="left"/>
              <w:rPr>
                <w:sz w:val="20"/>
              </w:rPr>
            </w:pPr>
            <w:r>
              <w:rPr>
                <w:color w:val="1C242C"/>
                <w:sz w:val="20"/>
              </w:rPr>
              <w:t>Initiate</w:t>
            </w:r>
            <w:r>
              <w:rPr>
                <w:color w:val="1C242C"/>
                <w:spacing w:val="-4"/>
                <w:sz w:val="20"/>
              </w:rPr>
              <w:t xml:space="preserve"> </w:t>
            </w:r>
            <w:r>
              <w:rPr>
                <w:color w:val="1C242C"/>
                <w:sz w:val="20"/>
              </w:rPr>
              <w:t>telephone</w:t>
            </w:r>
            <w:r>
              <w:rPr>
                <w:color w:val="1C242C"/>
                <w:spacing w:val="-4"/>
                <w:sz w:val="20"/>
              </w:rPr>
              <w:t xml:space="preserve"> </w:t>
            </w:r>
            <w:r>
              <w:rPr>
                <w:color w:val="1C242C"/>
                <w:sz w:val="20"/>
              </w:rPr>
              <w:t>follow-up</w:t>
            </w:r>
            <w:r>
              <w:rPr>
                <w:color w:val="1C242C"/>
                <w:spacing w:val="-1"/>
                <w:sz w:val="20"/>
              </w:rPr>
              <w:t xml:space="preserve"> </w:t>
            </w:r>
            <w:r>
              <w:rPr>
                <w:color w:val="1C242C"/>
                <w:sz w:val="20"/>
              </w:rPr>
              <w:t>contact</w:t>
            </w:r>
            <w:r>
              <w:rPr>
                <w:color w:val="1C242C"/>
                <w:spacing w:val="-4"/>
                <w:sz w:val="20"/>
              </w:rPr>
              <w:t xml:space="preserve"> </w:t>
            </w:r>
            <w:r>
              <w:rPr>
                <w:color w:val="1C242C"/>
                <w:sz w:val="20"/>
              </w:rPr>
              <w:t>for</w:t>
            </w:r>
            <w:r>
              <w:rPr>
                <w:color w:val="1C242C"/>
                <w:spacing w:val="-3"/>
                <w:sz w:val="20"/>
              </w:rPr>
              <w:t xml:space="preserve"> </w:t>
            </w:r>
            <w:r>
              <w:rPr>
                <w:color w:val="1C242C"/>
                <w:sz w:val="20"/>
              </w:rPr>
              <w:t>nonrespondents</w:t>
            </w:r>
            <w:r>
              <w:rPr>
                <w:color w:val="1C242C"/>
                <w:spacing w:val="-3"/>
                <w:sz w:val="20"/>
              </w:rPr>
              <w:t xml:space="preserve"> </w:t>
            </w:r>
            <w:r>
              <w:rPr>
                <w:color w:val="1C242C"/>
                <w:sz w:val="20"/>
              </w:rPr>
              <w:t>8</w:t>
            </w:r>
            <w:r>
              <w:rPr>
                <w:color w:val="1C242C"/>
                <w:spacing w:val="-4"/>
                <w:sz w:val="20"/>
              </w:rPr>
              <w:t xml:space="preserve"> </w:t>
            </w:r>
            <w:r>
              <w:rPr>
                <w:color w:val="1C242C"/>
                <w:sz w:val="20"/>
              </w:rPr>
              <w:t>calendar</w:t>
            </w:r>
            <w:r>
              <w:rPr>
                <w:color w:val="1C242C"/>
                <w:spacing w:val="-2"/>
                <w:sz w:val="20"/>
              </w:rPr>
              <w:t xml:space="preserve"> </w:t>
            </w:r>
            <w:r>
              <w:rPr>
                <w:color w:val="1C242C"/>
                <w:sz w:val="20"/>
              </w:rPr>
              <w:t>days</w:t>
            </w:r>
            <w:r>
              <w:rPr>
                <w:color w:val="1C242C"/>
                <w:spacing w:val="-5"/>
                <w:sz w:val="20"/>
              </w:rPr>
              <w:t xml:space="preserve"> </w:t>
            </w:r>
            <w:r>
              <w:rPr>
                <w:color w:val="1C242C"/>
                <w:sz w:val="20"/>
              </w:rPr>
              <w:t>after</w:t>
            </w:r>
            <w:r>
              <w:rPr>
                <w:color w:val="1C242C"/>
                <w:spacing w:val="-4"/>
                <w:sz w:val="20"/>
              </w:rPr>
              <w:t xml:space="preserve"> </w:t>
            </w:r>
            <w:r>
              <w:rPr>
                <w:color w:val="1C242C"/>
                <w:sz w:val="20"/>
              </w:rPr>
              <w:t>the</w:t>
            </w:r>
            <w:r>
              <w:rPr>
                <w:color w:val="1C242C"/>
                <w:spacing w:val="-5"/>
                <w:sz w:val="20"/>
              </w:rPr>
              <w:t xml:space="preserve"> </w:t>
            </w:r>
            <w:r>
              <w:rPr>
                <w:color w:val="1C242C"/>
                <w:sz w:val="20"/>
              </w:rPr>
              <w:t>third reminder email is sent.</w:t>
            </w:r>
          </w:p>
        </w:tc>
        <w:tc>
          <w:tcPr>
            <w:tcW w:w="2286" w:type="dxa"/>
            <w:tcBorders>
              <w:top w:val="single" w:sz="8" w:space="0" w:color="D9D9D9"/>
              <w:left w:val="single" w:sz="8" w:space="0" w:color="D9D9D9"/>
              <w:bottom w:val="single" w:sz="8" w:space="0" w:color="D9D9D9"/>
              <w:right w:val="nil"/>
            </w:tcBorders>
          </w:tcPr>
          <w:p>
            <w:pPr>
              <w:pStyle w:val="TableParagraph"/>
              <w:spacing w:before="40"/>
              <w:ind w:left="97"/>
              <w:rPr>
                <w:b/>
                <w:sz w:val="20"/>
              </w:rPr>
            </w:pPr>
            <w:r>
              <w:rPr>
                <w:b/>
                <w:color w:val="1C242C"/>
                <w:sz w:val="20"/>
              </w:rPr>
              <w:t>Days</w:t>
            </w:r>
            <w:r>
              <w:rPr>
                <w:b/>
                <w:color w:val="1C242C"/>
                <w:spacing w:val="-9"/>
                <w:sz w:val="20"/>
              </w:rPr>
              <w:t xml:space="preserve"> </w:t>
            </w:r>
            <w:r>
              <w:rPr>
                <w:b/>
                <w:color w:val="1C242C"/>
                <w:sz w:val="20"/>
              </w:rPr>
              <w:t>48–</w:t>
            </w:r>
            <w:r>
              <w:rPr>
                <w:b/>
                <w:color w:val="1C242C"/>
                <w:spacing w:val="-5"/>
                <w:sz w:val="20"/>
              </w:rPr>
              <w:t>73</w:t>
            </w:r>
          </w:p>
        </w:tc>
      </w:tr>
      <w:tr>
        <w:tblPrEx>
          <w:tblW w:w="0" w:type="auto"/>
          <w:jc w:val="left"/>
          <w:tblInd w:w="339" w:type="dxa"/>
          <w:tblLayout w:type="fixed"/>
          <w:tblCellMar>
            <w:top w:w="0" w:type="dxa"/>
            <w:left w:w="0" w:type="dxa"/>
            <w:bottom w:w="0" w:type="dxa"/>
            <w:right w:w="0" w:type="dxa"/>
          </w:tblCellMar>
          <w:tblLook w:val="01E0"/>
        </w:tblPrEx>
        <w:trPr>
          <w:trHeight w:val="1118"/>
          <w:jc w:val="left"/>
        </w:trPr>
        <w:tc>
          <w:tcPr>
            <w:tcW w:w="7134" w:type="dxa"/>
            <w:tcBorders>
              <w:top w:val="single" w:sz="8" w:space="0" w:color="D9D9D9"/>
              <w:left w:val="nil"/>
              <w:bottom w:val="single" w:sz="6" w:space="0" w:color="00507E"/>
              <w:right w:val="single" w:sz="8" w:space="0" w:color="D9D9D9"/>
            </w:tcBorders>
            <w:shd w:val="clear" w:color="auto" w:fill="F3FAFF"/>
          </w:tcPr>
          <w:p>
            <w:pPr>
              <w:pStyle w:val="TableParagraph"/>
              <w:numPr>
                <w:ilvl w:val="0"/>
                <w:numId w:val="8"/>
              </w:numPr>
              <w:tabs>
                <w:tab w:val="left" w:pos="496"/>
              </w:tabs>
              <w:spacing w:before="40" w:after="0" w:line="240" w:lineRule="auto"/>
              <w:ind w:left="496" w:right="0" w:hanging="360"/>
              <w:jc w:val="left"/>
              <w:rPr>
                <w:sz w:val="20"/>
              </w:rPr>
            </w:pPr>
            <w:r>
              <w:rPr>
                <w:color w:val="1C242C"/>
                <w:sz w:val="20"/>
              </w:rPr>
              <w:t>End</w:t>
            </w:r>
            <w:r>
              <w:rPr>
                <w:color w:val="1C242C"/>
                <w:spacing w:val="-6"/>
                <w:sz w:val="20"/>
              </w:rPr>
              <w:t xml:space="preserve"> </w:t>
            </w:r>
            <w:r>
              <w:rPr>
                <w:color w:val="1C242C"/>
                <w:sz w:val="20"/>
              </w:rPr>
              <w:t>data</w:t>
            </w:r>
            <w:r>
              <w:rPr>
                <w:color w:val="1C242C"/>
                <w:spacing w:val="-6"/>
                <w:sz w:val="20"/>
              </w:rPr>
              <w:t xml:space="preserve"> </w:t>
            </w:r>
            <w:r>
              <w:rPr>
                <w:color w:val="1C242C"/>
                <w:sz w:val="20"/>
              </w:rPr>
              <w:t>collection</w:t>
            </w:r>
            <w:r>
              <w:rPr>
                <w:color w:val="1C242C"/>
                <w:spacing w:val="-5"/>
                <w:sz w:val="20"/>
              </w:rPr>
              <w:t xml:space="preserve"> </w:t>
            </w:r>
            <w:r>
              <w:rPr>
                <w:color w:val="1C242C"/>
                <w:spacing w:val="-2"/>
                <w:sz w:val="20"/>
              </w:rPr>
              <w:t>activities.</w:t>
            </w:r>
          </w:p>
          <w:p>
            <w:pPr>
              <w:pStyle w:val="TableParagraph"/>
              <w:numPr>
                <w:ilvl w:val="0"/>
                <w:numId w:val="8"/>
              </w:numPr>
              <w:tabs>
                <w:tab w:val="left" w:pos="496"/>
              </w:tabs>
              <w:spacing w:before="39" w:after="0" w:line="240" w:lineRule="auto"/>
              <w:ind w:left="496" w:right="0" w:hanging="360"/>
              <w:jc w:val="left"/>
              <w:rPr>
                <w:sz w:val="20"/>
              </w:rPr>
            </w:pPr>
            <w:r>
              <w:rPr>
                <w:color w:val="1C242C"/>
                <w:sz w:val="20"/>
              </w:rPr>
              <w:t>End</w:t>
            </w:r>
            <w:r>
              <w:rPr>
                <w:color w:val="1C242C"/>
                <w:spacing w:val="-8"/>
                <w:sz w:val="20"/>
              </w:rPr>
              <w:t xml:space="preserve"> </w:t>
            </w:r>
            <w:r>
              <w:rPr>
                <w:color w:val="1C242C"/>
                <w:sz w:val="20"/>
              </w:rPr>
              <w:t>all</w:t>
            </w:r>
            <w:r>
              <w:rPr>
                <w:color w:val="1C242C"/>
                <w:spacing w:val="-7"/>
                <w:sz w:val="20"/>
              </w:rPr>
              <w:t xml:space="preserve"> </w:t>
            </w:r>
            <w:r>
              <w:rPr>
                <w:color w:val="1C242C"/>
                <w:sz w:val="20"/>
              </w:rPr>
              <w:t>telephone</w:t>
            </w:r>
            <w:r>
              <w:rPr>
                <w:color w:val="1C242C"/>
                <w:spacing w:val="-8"/>
                <w:sz w:val="20"/>
              </w:rPr>
              <w:t xml:space="preserve"> </w:t>
            </w:r>
            <w:r>
              <w:rPr>
                <w:color w:val="1C242C"/>
                <w:spacing w:val="-2"/>
                <w:sz w:val="20"/>
              </w:rPr>
              <w:t>interviews.</w:t>
            </w:r>
          </w:p>
          <w:p>
            <w:pPr>
              <w:pStyle w:val="TableParagraph"/>
              <w:numPr>
                <w:ilvl w:val="0"/>
                <w:numId w:val="8"/>
              </w:numPr>
              <w:tabs>
                <w:tab w:val="left" w:pos="496"/>
              </w:tabs>
              <w:spacing w:before="40" w:after="0" w:line="240" w:lineRule="auto"/>
              <w:ind w:left="496" w:right="0" w:hanging="360"/>
              <w:jc w:val="left"/>
              <w:rPr>
                <w:sz w:val="20"/>
              </w:rPr>
            </w:pPr>
            <w:r>
              <w:rPr>
                <w:color w:val="1C242C"/>
                <w:sz w:val="20"/>
              </w:rPr>
              <w:t>Deactivate</w:t>
            </w:r>
            <w:r>
              <w:rPr>
                <w:color w:val="1C242C"/>
                <w:spacing w:val="-9"/>
                <w:sz w:val="20"/>
              </w:rPr>
              <w:t xml:space="preserve"> </w:t>
            </w:r>
            <w:r>
              <w:rPr>
                <w:color w:val="1C242C"/>
                <w:sz w:val="20"/>
              </w:rPr>
              <w:t>internet</w:t>
            </w:r>
            <w:r>
              <w:rPr>
                <w:color w:val="1C242C"/>
                <w:spacing w:val="-8"/>
                <w:sz w:val="20"/>
              </w:rPr>
              <w:t xml:space="preserve"> </w:t>
            </w:r>
            <w:r>
              <w:rPr>
                <w:color w:val="1C242C"/>
                <w:spacing w:val="-2"/>
                <w:sz w:val="20"/>
              </w:rPr>
              <w:t>survey.</w:t>
            </w:r>
          </w:p>
          <w:p>
            <w:pPr>
              <w:pStyle w:val="TableParagraph"/>
              <w:numPr>
                <w:ilvl w:val="0"/>
                <w:numId w:val="8"/>
              </w:numPr>
              <w:tabs>
                <w:tab w:val="left" w:pos="496"/>
              </w:tabs>
              <w:spacing w:before="39" w:after="0" w:line="240" w:lineRule="auto"/>
              <w:ind w:left="496" w:right="0" w:hanging="360"/>
              <w:jc w:val="left"/>
              <w:rPr>
                <w:sz w:val="20"/>
              </w:rPr>
            </w:pPr>
            <w:r>
              <w:rPr>
                <w:color w:val="1C242C"/>
                <w:sz w:val="20"/>
              </w:rPr>
              <w:t>Close</w:t>
            </w:r>
            <w:r>
              <w:rPr>
                <w:color w:val="1C242C"/>
                <w:spacing w:val="-9"/>
                <w:sz w:val="20"/>
              </w:rPr>
              <w:t xml:space="preserve"> </w:t>
            </w:r>
            <w:r>
              <w:rPr>
                <w:color w:val="1C242C"/>
                <w:sz w:val="20"/>
              </w:rPr>
              <w:t>customer</w:t>
            </w:r>
            <w:r>
              <w:rPr>
                <w:color w:val="1C242C"/>
                <w:spacing w:val="-8"/>
                <w:sz w:val="20"/>
              </w:rPr>
              <w:t xml:space="preserve"> </w:t>
            </w:r>
            <w:r>
              <w:rPr>
                <w:color w:val="1C242C"/>
                <w:sz w:val="20"/>
              </w:rPr>
              <w:t>support</w:t>
            </w:r>
            <w:r>
              <w:rPr>
                <w:color w:val="1C242C"/>
                <w:spacing w:val="-9"/>
                <w:sz w:val="20"/>
              </w:rPr>
              <w:t xml:space="preserve"> </w:t>
            </w:r>
            <w:r>
              <w:rPr>
                <w:color w:val="1C242C"/>
                <w:sz w:val="20"/>
              </w:rPr>
              <w:t>toll-free</w:t>
            </w:r>
            <w:r>
              <w:rPr>
                <w:color w:val="1C242C"/>
                <w:spacing w:val="-8"/>
                <w:sz w:val="20"/>
              </w:rPr>
              <w:t xml:space="preserve"> </w:t>
            </w:r>
            <w:r>
              <w:rPr>
                <w:color w:val="1C242C"/>
                <w:sz w:val="20"/>
              </w:rPr>
              <w:t>line</w:t>
            </w:r>
            <w:r>
              <w:rPr>
                <w:color w:val="1C242C"/>
                <w:spacing w:val="-7"/>
                <w:sz w:val="20"/>
              </w:rPr>
              <w:t xml:space="preserve"> </w:t>
            </w:r>
            <w:r>
              <w:rPr>
                <w:color w:val="1C242C"/>
                <w:sz w:val="20"/>
              </w:rPr>
              <w:t>and</w:t>
            </w:r>
            <w:r>
              <w:rPr>
                <w:color w:val="1C242C"/>
                <w:spacing w:val="-9"/>
                <w:sz w:val="20"/>
              </w:rPr>
              <w:t xml:space="preserve"> </w:t>
            </w:r>
            <w:r>
              <w:rPr>
                <w:color w:val="1C242C"/>
                <w:sz w:val="20"/>
              </w:rPr>
              <w:t>project-specific</w:t>
            </w:r>
            <w:r>
              <w:rPr>
                <w:color w:val="1C242C"/>
                <w:spacing w:val="-9"/>
                <w:sz w:val="20"/>
              </w:rPr>
              <w:t xml:space="preserve"> </w:t>
            </w:r>
            <w:r>
              <w:rPr>
                <w:color w:val="1C242C"/>
                <w:sz w:val="20"/>
              </w:rPr>
              <w:t>email</w:t>
            </w:r>
            <w:r>
              <w:rPr>
                <w:color w:val="1C242C"/>
                <w:spacing w:val="-9"/>
                <w:sz w:val="20"/>
              </w:rPr>
              <w:t xml:space="preserve"> </w:t>
            </w:r>
            <w:r>
              <w:rPr>
                <w:color w:val="1C242C"/>
                <w:spacing w:val="-2"/>
                <w:sz w:val="20"/>
              </w:rPr>
              <w:t>address.</w:t>
            </w:r>
          </w:p>
        </w:tc>
        <w:tc>
          <w:tcPr>
            <w:tcW w:w="2286" w:type="dxa"/>
            <w:tcBorders>
              <w:top w:val="single" w:sz="8" w:space="0" w:color="D9D9D9"/>
              <w:left w:val="single" w:sz="8" w:space="0" w:color="D9D9D9"/>
              <w:bottom w:val="single" w:sz="6" w:space="0" w:color="00507E"/>
              <w:right w:val="nil"/>
            </w:tcBorders>
            <w:shd w:val="clear" w:color="auto" w:fill="F3FAFF"/>
          </w:tcPr>
          <w:p>
            <w:pPr>
              <w:pStyle w:val="TableParagraph"/>
              <w:spacing w:before="40"/>
              <w:ind w:left="97"/>
              <w:rPr>
                <w:b/>
                <w:sz w:val="20"/>
              </w:rPr>
            </w:pPr>
            <w:r>
              <w:rPr>
                <w:b/>
                <w:color w:val="1C242C"/>
                <w:sz w:val="20"/>
              </w:rPr>
              <w:t>Day</w:t>
            </w:r>
            <w:r>
              <w:rPr>
                <w:b/>
                <w:color w:val="1C242C"/>
                <w:spacing w:val="-6"/>
                <w:sz w:val="20"/>
              </w:rPr>
              <w:t xml:space="preserve"> </w:t>
            </w:r>
            <w:r>
              <w:rPr>
                <w:b/>
                <w:color w:val="1C242C"/>
                <w:spacing w:val="-5"/>
                <w:sz w:val="20"/>
              </w:rPr>
              <w:t>73</w:t>
            </w:r>
          </w:p>
        </w:tc>
      </w:tr>
    </w:tbl>
    <w:p>
      <w:pPr>
        <w:spacing w:before="70"/>
        <w:ind w:left="360" w:right="0" w:firstLine="0"/>
        <w:jc w:val="left"/>
        <w:rPr>
          <w:rFonts w:ascii="Arial Narrow"/>
          <w:sz w:val="18"/>
        </w:rPr>
      </w:pPr>
      <w:r>
        <w:rPr>
          <w:rFonts w:ascii="Arial Narrow"/>
          <w:spacing w:val="-2"/>
          <w:position w:val="5"/>
          <w:sz w:val="12"/>
        </w:rPr>
        <w:t>a</w:t>
      </w:r>
      <w:r>
        <w:rPr>
          <w:rFonts w:ascii="Arial Narrow"/>
          <w:spacing w:val="-6"/>
          <w:position w:val="5"/>
          <w:sz w:val="12"/>
        </w:rPr>
        <w:t xml:space="preserve"> </w:t>
      </w:r>
      <w:r>
        <w:rPr>
          <w:rFonts w:ascii="Arial Narrow"/>
          <w:spacing w:val="-2"/>
          <w:sz w:val="18"/>
        </w:rPr>
        <w:t>If</w:t>
      </w:r>
      <w:r>
        <w:rPr>
          <w:rFonts w:ascii="Arial Narrow"/>
          <w:spacing w:val="-3"/>
          <w:sz w:val="18"/>
        </w:rPr>
        <w:t xml:space="preserve"> </w:t>
      </w:r>
      <w:r>
        <w:rPr>
          <w:rFonts w:ascii="Arial Narrow"/>
          <w:spacing w:val="-2"/>
          <w:sz w:val="18"/>
        </w:rPr>
        <w:t>a</w:t>
      </w:r>
      <w:r>
        <w:rPr>
          <w:rFonts w:ascii="Arial Narrow"/>
          <w:spacing w:val="-5"/>
          <w:sz w:val="18"/>
        </w:rPr>
        <w:t xml:space="preserve"> </w:t>
      </w:r>
      <w:r>
        <w:rPr>
          <w:rFonts w:ascii="Arial Narrow"/>
          <w:spacing w:val="-2"/>
          <w:sz w:val="18"/>
        </w:rPr>
        <w:t>mailout/email</w:t>
      </w:r>
      <w:r>
        <w:rPr>
          <w:rFonts w:ascii="Arial Narrow"/>
          <w:spacing w:val="-4"/>
          <w:sz w:val="18"/>
        </w:rPr>
        <w:t xml:space="preserve"> </w:t>
      </w:r>
      <w:r>
        <w:rPr>
          <w:rFonts w:ascii="Arial Narrow"/>
          <w:spacing w:val="-2"/>
          <w:sz w:val="18"/>
        </w:rPr>
        <w:t>day</w:t>
      </w:r>
      <w:r>
        <w:rPr>
          <w:rFonts w:ascii="Arial Narrow"/>
          <w:spacing w:val="-5"/>
          <w:sz w:val="18"/>
        </w:rPr>
        <w:t xml:space="preserve"> </w:t>
      </w:r>
      <w:r>
        <w:rPr>
          <w:rFonts w:ascii="Arial Narrow"/>
          <w:spacing w:val="-2"/>
          <w:sz w:val="18"/>
        </w:rPr>
        <w:t>falls</w:t>
      </w:r>
      <w:r>
        <w:rPr>
          <w:rFonts w:ascii="Arial Narrow"/>
          <w:spacing w:val="-1"/>
          <w:sz w:val="18"/>
        </w:rPr>
        <w:t xml:space="preserve"> </w:t>
      </w:r>
      <w:r>
        <w:rPr>
          <w:rFonts w:ascii="Arial Narrow"/>
          <w:spacing w:val="-2"/>
          <w:sz w:val="18"/>
        </w:rPr>
        <w:t>on a</w:t>
      </w:r>
      <w:r>
        <w:rPr>
          <w:rFonts w:ascii="Arial Narrow"/>
          <w:spacing w:val="-6"/>
          <w:sz w:val="18"/>
        </w:rPr>
        <w:t xml:space="preserve"> </w:t>
      </w:r>
      <w:r>
        <w:rPr>
          <w:rFonts w:ascii="Arial Narrow"/>
          <w:spacing w:val="-2"/>
          <w:sz w:val="18"/>
        </w:rPr>
        <w:t>Sunday</w:t>
      </w:r>
      <w:r>
        <w:rPr>
          <w:rFonts w:ascii="Arial Narrow"/>
          <w:spacing w:val="-4"/>
          <w:sz w:val="18"/>
        </w:rPr>
        <w:t xml:space="preserve"> </w:t>
      </w:r>
      <w:r>
        <w:rPr>
          <w:rFonts w:ascii="Arial Narrow"/>
          <w:spacing w:val="-2"/>
          <w:sz w:val="18"/>
        </w:rPr>
        <w:t>or</w:t>
      </w:r>
      <w:r>
        <w:rPr>
          <w:rFonts w:ascii="Arial Narrow"/>
          <w:spacing w:val="-4"/>
          <w:sz w:val="18"/>
        </w:rPr>
        <w:t xml:space="preserve"> </w:t>
      </w:r>
      <w:r>
        <w:rPr>
          <w:rFonts w:ascii="Arial Narrow"/>
          <w:spacing w:val="-2"/>
          <w:sz w:val="18"/>
        </w:rPr>
        <w:t>federal</w:t>
      </w:r>
      <w:r>
        <w:rPr>
          <w:rFonts w:ascii="Arial Narrow"/>
          <w:spacing w:val="-1"/>
          <w:sz w:val="18"/>
        </w:rPr>
        <w:t xml:space="preserve"> </w:t>
      </w:r>
      <w:r>
        <w:rPr>
          <w:rFonts w:ascii="Arial Narrow"/>
          <w:spacing w:val="-2"/>
          <w:sz w:val="18"/>
        </w:rPr>
        <w:t>holiday,</w:t>
      </w:r>
      <w:r>
        <w:rPr>
          <w:rFonts w:ascii="Arial Narrow"/>
          <w:spacing w:val="-6"/>
          <w:sz w:val="18"/>
        </w:rPr>
        <w:t xml:space="preserve"> </w:t>
      </w:r>
      <w:r>
        <w:rPr>
          <w:rFonts w:ascii="Arial Narrow"/>
          <w:spacing w:val="-2"/>
          <w:sz w:val="18"/>
        </w:rPr>
        <w:t>mail/email</w:t>
      </w:r>
      <w:r>
        <w:rPr>
          <w:rFonts w:ascii="Arial Narrow"/>
          <w:spacing w:val="-4"/>
          <w:sz w:val="18"/>
        </w:rPr>
        <w:t xml:space="preserve"> </w:t>
      </w:r>
      <w:r>
        <w:rPr>
          <w:rFonts w:ascii="Arial Narrow"/>
          <w:spacing w:val="-2"/>
          <w:sz w:val="18"/>
        </w:rPr>
        <w:t>on</w:t>
      </w:r>
      <w:r>
        <w:rPr>
          <w:rFonts w:ascii="Arial Narrow"/>
          <w:spacing w:val="-3"/>
          <w:sz w:val="18"/>
        </w:rPr>
        <w:t xml:space="preserve"> </w:t>
      </w:r>
      <w:r>
        <w:rPr>
          <w:rFonts w:ascii="Arial Narrow"/>
          <w:spacing w:val="-2"/>
          <w:sz w:val="18"/>
        </w:rPr>
        <w:t>the</w:t>
      </w:r>
      <w:r>
        <w:rPr>
          <w:rFonts w:ascii="Arial Narrow"/>
          <w:spacing w:val="-4"/>
          <w:sz w:val="18"/>
        </w:rPr>
        <w:t xml:space="preserve"> </w:t>
      </w:r>
      <w:r>
        <w:rPr>
          <w:rFonts w:ascii="Arial Narrow"/>
          <w:spacing w:val="-2"/>
          <w:sz w:val="18"/>
        </w:rPr>
        <w:t>following business</w:t>
      </w:r>
      <w:r>
        <w:rPr>
          <w:rFonts w:ascii="Arial Narrow"/>
          <w:spacing w:val="-4"/>
          <w:sz w:val="18"/>
        </w:rPr>
        <w:t xml:space="preserve"> day.</w:t>
      </w:r>
    </w:p>
    <w:p>
      <w:pPr>
        <w:pStyle w:val="BodyText"/>
        <w:spacing w:before="35"/>
        <w:ind w:left="0"/>
        <w:rPr>
          <w:rFonts w:ascii="Arial Narrow"/>
          <w:sz w:val="18"/>
        </w:rPr>
      </w:pPr>
    </w:p>
    <w:p>
      <w:pPr>
        <w:pStyle w:val="Heading3"/>
        <w:spacing w:before="0"/>
        <w:ind w:left="360" w:firstLine="0"/>
        <w:rPr>
          <w:i/>
        </w:rPr>
      </w:pPr>
      <w:bookmarkStart w:id="19" w:name="_bookmark10"/>
      <w:bookmarkEnd w:id="19"/>
      <w:r>
        <w:rPr>
          <w:i/>
        </w:rPr>
        <w:t>QHP</w:t>
      </w:r>
      <w:r>
        <w:rPr>
          <w:i/>
          <w:spacing w:val="-3"/>
        </w:rPr>
        <w:t xml:space="preserve"> </w:t>
      </w:r>
      <w:r>
        <w:rPr>
          <w:i/>
        </w:rPr>
        <w:t>Enrollee</w:t>
      </w:r>
      <w:r>
        <w:rPr>
          <w:i/>
          <w:spacing w:val="-3"/>
        </w:rPr>
        <w:t xml:space="preserve"> </w:t>
      </w:r>
      <w:r>
        <w:rPr>
          <w:i/>
        </w:rPr>
        <w:t>Survey</w:t>
      </w:r>
      <w:r>
        <w:rPr>
          <w:i/>
          <w:spacing w:val="-4"/>
        </w:rPr>
        <w:t xml:space="preserve"> </w:t>
      </w:r>
      <w:r>
        <w:rPr>
          <w:i/>
          <w:spacing w:val="-2"/>
        </w:rPr>
        <w:t>Scoring</w:t>
      </w:r>
    </w:p>
    <w:p>
      <w:pPr>
        <w:pStyle w:val="BodyText"/>
        <w:spacing w:before="119"/>
        <w:ind w:right="389"/>
      </w:pPr>
      <w:r>
        <w:t>CMS</w:t>
      </w:r>
      <w:r>
        <w:rPr>
          <w:spacing w:val="-3"/>
        </w:rPr>
        <w:t xml:space="preserve"> </w:t>
      </w:r>
      <w:r>
        <w:t>calculates</w:t>
      </w:r>
      <w:r>
        <w:rPr>
          <w:spacing w:val="-3"/>
        </w:rPr>
        <w:t xml:space="preserve"> </w:t>
      </w:r>
      <w:r>
        <w:t>the</w:t>
      </w:r>
      <w:r>
        <w:rPr>
          <w:spacing w:val="-4"/>
        </w:rPr>
        <w:t xml:space="preserve"> </w:t>
      </w:r>
      <w:r>
        <w:t>CAHPS</w:t>
      </w:r>
      <w:r>
        <w:rPr>
          <w:vertAlign w:val="superscript"/>
        </w:rPr>
        <w:t>®</w:t>
      </w:r>
      <w:r>
        <w:rPr>
          <w:vertAlign w:val="baseline"/>
        </w:rPr>
        <w:t>-based</w:t>
      </w:r>
      <w:r>
        <w:rPr>
          <w:spacing w:val="-3"/>
          <w:vertAlign w:val="baseline"/>
        </w:rPr>
        <w:t xml:space="preserve"> </w:t>
      </w:r>
      <w:r>
        <w:rPr>
          <w:vertAlign w:val="baseline"/>
        </w:rPr>
        <w:t>QRS</w:t>
      </w:r>
      <w:r>
        <w:rPr>
          <w:spacing w:val="-3"/>
          <w:vertAlign w:val="baseline"/>
        </w:rPr>
        <w:t xml:space="preserve"> </w:t>
      </w:r>
      <w:r>
        <w:rPr>
          <w:vertAlign w:val="baseline"/>
        </w:rPr>
        <w:t>survey</w:t>
      </w:r>
      <w:r>
        <w:rPr>
          <w:spacing w:val="-3"/>
          <w:vertAlign w:val="baseline"/>
        </w:rPr>
        <w:t xml:space="preserve"> </w:t>
      </w:r>
      <w:r>
        <w:rPr>
          <w:vertAlign w:val="baseline"/>
        </w:rPr>
        <w:t>measures</w:t>
      </w:r>
      <w:r>
        <w:rPr>
          <w:spacing w:val="-4"/>
          <w:vertAlign w:val="baseline"/>
        </w:rPr>
        <w:t xml:space="preserve"> </w:t>
      </w:r>
      <w:r>
        <w:rPr>
          <w:vertAlign w:val="baseline"/>
        </w:rPr>
        <w:t>with</w:t>
      </w:r>
      <w:r>
        <w:rPr>
          <w:spacing w:val="-3"/>
          <w:vertAlign w:val="baseline"/>
        </w:rPr>
        <w:t xml:space="preserve"> </w:t>
      </w:r>
      <w:r>
        <w:rPr>
          <w:vertAlign w:val="baseline"/>
        </w:rPr>
        <w:t>an</w:t>
      </w:r>
      <w:r>
        <w:rPr>
          <w:spacing w:val="-2"/>
          <w:vertAlign w:val="baseline"/>
        </w:rPr>
        <w:t xml:space="preserve"> </w:t>
      </w:r>
      <w:r>
        <w:rPr>
          <w:vertAlign w:val="baseline"/>
        </w:rPr>
        <w:t>approach</w:t>
      </w:r>
      <w:r>
        <w:rPr>
          <w:spacing w:val="-3"/>
          <w:vertAlign w:val="baseline"/>
        </w:rPr>
        <w:t xml:space="preserve"> </w:t>
      </w:r>
      <w:r>
        <w:rPr>
          <w:vertAlign w:val="baseline"/>
        </w:rPr>
        <w:t>similar</w:t>
      </w:r>
      <w:r>
        <w:rPr>
          <w:spacing w:val="-5"/>
          <w:vertAlign w:val="baseline"/>
        </w:rPr>
        <w:t xml:space="preserve"> </w:t>
      </w:r>
      <w:r>
        <w:rPr>
          <w:vertAlign w:val="baseline"/>
        </w:rPr>
        <w:t>to</w:t>
      </w:r>
      <w:r>
        <w:rPr>
          <w:spacing w:val="-3"/>
          <w:vertAlign w:val="baseline"/>
        </w:rPr>
        <w:t xml:space="preserve"> </w:t>
      </w:r>
      <w:r>
        <w:rPr>
          <w:vertAlign w:val="baseline"/>
        </w:rPr>
        <w:t>the</w:t>
      </w:r>
      <w:r>
        <w:rPr>
          <w:spacing w:val="-4"/>
          <w:vertAlign w:val="baseline"/>
        </w:rPr>
        <w:t xml:space="preserve"> </w:t>
      </w:r>
      <w:r>
        <w:rPr>
          <w:vertAlign w:val="baseline"/>
        </w:rPr>
        <w:t>one CMS uses in the Medicare Advantage-Prescription Drug Program (MA-PDP) quality measurement initiative for data collected through the MA-PDP CAHPS</w:t>
      </w:r>
      <w:r>
        <w:rPr>
          <w:vertAlign w:val="superscript"/>
        </w:rPr>
        <w:t>®</w:t>
      </w:r>
      <w:r>
        <w:rPr>
          <w:vertAlign w:val="baseline"/>
        </w:rPr>
        <w:t xml:space="preserve"> survey.</w:t>
      </w:r>
      <w:hyperlink w:anchor="_bookmark11" w:history="1">
        <w:r>
          <w:rPr>
            <w:vertAlign w:val="superscript"/>
          </w:rPr>
          <w:t>4</w:t>
        </w:r>
      </w:hyperlink>
    </w:p>
    <w:p>
      <w:pPr>
        <w:pStyle w:val="BodyText"/>
        <w:ind w:right="385"/>
      </w:pPr>
      <w:r>
        <w:t>CMS calculates QRS survey measures rates from the QHP Enrollee Survey using analysis code based</w:t>
      </w:r>
      <w:r>
        <w:rPr>
          <w:spacing w:val="-9"/>
        </w:rPr>
        <w:t xml:space="preserve"> </w:t>
      </w:r>
      <w:r>
        <w:t>on</w:t>
      </w:r>
      <w:r>
        <w:rPr>
          <w:spacing w:val="-5"/>
        </w:rPr>
        <w:t xml:space="preserve"> </w:t>
      </w:r>
      <w:r>
        <w:t>the</w:t>
      </w:r>
      <w:r>
        <w:rPr>
          <w:spacing w:val="-4"/>
        </w:rPr>
        <w:t xml:space="preserve"> </w:t>
      </w:r>
      <w:r>
        <w:t>CAHPS</w:t>
      </w:r>
      <w:r>
        <w:rPr>
          <w:vertAlign w:val="superscript"/>
        </w:rPr>
        <w:t>®</w:t>
      </w:r>
      <w:r>
        <w:rPr>
          <w:spacing w:val="-19"/>
          <w:vertAlign w:val="baseline"/>
        </w:rPr>
        <w:t xml:space="preserve"> </w:t>
      </w:r>
      <w:r>
        <w:rPr>
          <w:vertAlign w:val="baseline"/>
        </w:rPr>
        <w:t>Analysis</w:t>
      </w:r>
      <w:r>
        <w:rPr>
          <w:spacing w:val="-5"/>
          <w:vertAlign w:val="baseline"/>
        </w:rPr>
        <w:t xml:space="preserve"> </w:t>
      </w:r>
      <w:r>
        <w:rPr>
          <w:vertAlign w:val="baseline"/>
        </w:rPr>
        <w:t>Program</w:t>
      </w:r>
      <w:r>
        <w:rPr>
          <w:spacing w:val="-3"/>
          <w:vertAlign w:val="baseline"/>
        </w:rPr>
        <w:t xml:space="preserve"> </w:t>
      </w:r>
      <w:r>
        <w:rPr>
          <w:vertAlign w:val="baseline"/>
        </w:rPr>
        <w:t>Version</w:t>
      </w:r>
      <w:r>
        <w:rPr>
          <w:spacing w:val="-2"/>
          <w:vertAlign w:val="baseline"/>
        </w:rPr>
        <w:t xml:space="preserve"> </w:t>
      </w:r>
      <w:r>
        <w:rPr>
          <w:vertAlign w:val="baseline"/>
        </w:rPr>
        <w:t>5.0</w:t>
      </w:r>
      <w:r>
        <w:rPr>
          <w:spacing w:val="-4"/>
          <w:vertAlign w:val="baseline"/>
        </w:rPr>
        <w:t xml:space="preserve"> </w:t>
      </w:r>
      <w:r>
        <w:rPr>
          <w:vertAlign w:val="baseline"/>
        </w:rPr>
        <w:t>(“CAHPS</w:t>
      </w:r>
      <w:r>
        <w:rPr>
          <w:vertAlign w:val="superscript"/>
        </w:rPr>
        <w:t>®</w:t>
      </w:r>
      <w:r>
        <w:rPr>
          <w:spacing w:val="-19"/>
          <w:vertAlign w:val="baseline"/>
        </w:rPr>
        <w:t xml:space="preserve"> </w:t>
      </w:r>
      <w:r>
        <w:rPr>
          <w:vertAlign w:val="baseline"/>
        </w:rPr>
        <w:t>macro”),</w:t>
      </w:r>
      <w:r>
        <w:rPr>
          <w:spacing w:val="-3"/>
          <w:vertAlign w:val="baseline"/>
        </w:rPr>
        <w:t xml:space="preserve"> </w:t>
      </w:r>
      <w:r>
        <w:rPr>
          <w:vertAlign w:val="baseline"/>
        </w:rPr>
        <w:t>which</w:t>
      </w:r>
      <w:r>
        <w:rPr>
          <w:spacing w:val="-4"/>
          <w:vertAlign w:val="baseline"/>
        </w:rPr>
        <w:t xml:space="preserve"> </w:t>
      </w:r>
      <w:r>
        <w:rPr>
          <w:vertAlign w:val="baseline"/>
        </w:rPr>
        <w:t>was</w:t>
      </w:r>
      <w:r>
        <w:rPr>
          <w:spacing w:val="-5"/>
          <w:vertAlign w:val="baseline"/>
        </w:rPr>
        <w:t xml:space="preserve"> </w:t>
      </w:r>
      <w:r>
        <w:rPr>
          <w:vertAlign w:val="baseline"/>
        </w:rPr>
        <w:t>developed by the CAHPS</w:t>
      </w:r>
      <w:r>
        <w:rPr>
          <w:vertAlign w:val="superscript"/>
        </w:rPr>
        <w:t>®</w:t>
      </w:r>
      <w:r>
        <w:rPr>
          <w:spacing w:val="-12"/>
          <w:vertAlign w:val="baseline"/>
        </w:rPr>
        <w:t xml:space="preserve"> </w:t>
      </w:r>
      <w:r>
        <w:rPr>
          <w:vertAlign w:val="baseline"/>
        </w:rPr>
        <w:t>Consortium under the auspices of the Agency for Healthcare Research and Quality (AHRQ) and is commonly used for scoring CAHPS-related applications.</w:t>
      </w:r>
    </w:p>
    <w:p>
      <w:pPr>
        <w:pStyle w:val="BodyText"/>
        <w:ind w:right="389"/>
      </w:pPr>
      <w:r>
        <w:t>To adjust for any systematic biases with the enrollee response data, CMS applies a case-mix adjustment to the QHP Enrollee Survey response data and uses the adjusted data when calculating the QRS survey measures. It is common in survey-based applications to case-mix adjust for such factors as overall health status, age, and education to account for biases due to survey</w:t>
      </w:r>
      <w:r>
        <w:rPr>
          <w:spacing w:val="-3"/>
        </w:rPr>
        <w:t xml:space="preserve"> </w:t>
      </w:r>
      <w:r>
        <w:t>response</w:t>
      </w:r>
      <w:r>
        <w:rPr>
          <w:spacing w:val="-4"/>
        </w:rPr>
        <w:t xml:space="preserve"> </w:t>
      </w:r>
      <w:r>
        <w:t>tendencies.</w:t>
      </w:r>
      <w:r>
        <w:rPr>
          <w:spacing w:val="-3"/>
        </w:rPr>
        <w:t xml:space="preserve"> </w:t>
      </w:r>
      <w:r>
        <w:t>The</w:t>
      </w:r>
      <w:r>
        <w:rPr>
          <w:spacing w:val="-5"/>
        </w:rPr>
        <w:t xml:space="preserve"> </w:t>
      </w:r>
      <w:r>
        <w:t>QHP</w:t>
      </w:r>
      <w:r>
        <w:rPr>
          <w:spacing w:val="-3"/>
        </w:rPr>
        <w:t xml:space="preserve"> </w:t>
      </w:r>
      <w:r>
        <w:t>Enrollee</w:t>
      </w:r>
      <w:r>
        <w:rPr>
          <w:spacing w:val="-4"/>
        </w:rPr>
        <w:t xml:space="preserve"> </w:t>
      </w:r>
      <w:r>
        <w:t>Survey</w:t>
      </w:r>
      <w:r>
        <w:rPr>
          <w:spacing w:val="-3"/>
        </w:rPr>
        <w:t xml:space="preserve"> </w:t>
      </w:r>
      <w:r>
        <w:t>variables</w:t>
      </w:r>
      <w:r>
        <w:rPr>
          <w:spacing w:val="-4"/>
        </w:rPr>
        <w:t xml:space="preserve"> </w:t>
      </w:r>
      <w:r>
        <w:t>used</w:t>
      </w:r>
      <w:r>
        <w:rPr>
          <w:spacing w:val="-3"/>
        </w:rPr>
        <w:t xml:space="preserve"> </w:t>
      </w:r>
      <w:r>
        <w:t>in</w:t>
      </w:r>
      <w:r>
        <w:rPr>
          <w:spacing w:val="-3"/>
        </w:rPr>
        <w:t xml:space="preserve"> </w:t>
      </w:r>
      <w:r>
        <w:t>the</w:t>
      </w:r>
      <w:r>
        <w:rPr>
          <w:spacing w:val="-2"/>
        </w:rPr>
        <w:t xml:space="preserve"> </w:t>
      </w:r>
      <w:r>
        <w:t>case-mix</w:t>
      </w:r>
      <w:r>
        <w:rPr>
          <w:spacing w:val="-3"/>
        </w:rPr>
        <w:t xml:space="preserve"> </w:t>
      </w:r>
      <w:r>
        <w:t>adjustment</w:t>
      </w:r>
    </w:p>
    <w:p>
      <w:pPr>
        <w:pStyle w:val="BodyText"/>
        <w:spacing w:before="114"/>
        <w:ind w:left="0"/>
        <w:rPr>
          <w:sz w:val="20"/>
        </w:rPr>
      </w:pPr>
      <w:r>
        <w:rPr>
          <w:sz w:val="20"/>
        </w:rPr>
        <mc:AlternateContent>
          <mc:Choice Requires="wps">
            <w:drawing>
              <wp:anchor distT="0" distB="0" distL="0" distR="0" simplePos="0" relativeHeight="251664384" behindDoc="1" locked="0" layoutInCell="1" allowOverlap="1">
                <wp:simplePos x="0" y="0"/>
                <wp:positionH relativeFrom="page">
                  <wp:posOffset>914704</wp:posOffset>
                </wp:positionH>
                <wp:positionV relativeFrom="paragraph">
                  <wp:posOffset>234199</wp:posOffset>
                </wp:positionV>
                <wp:extent cx="1829435" cy="7620"/>
                <wp:effectExtent l="0" t="0" r="0" b="0"/>
                <wp:wrapTopAndBottom/>
                <wp:docPr id="9" name="Graphic 9"/>
                <wp:cNvGraphicFramePr/>
                <a:graphic xmlns:a="http://schemas.openxmlformats.org/drawingml/2006/main">
                  <a:graphicData uri="http://schemas.microsoft.com/office/word/2010/wordprocessingShape">
                    <wps:wsp xmlns:wps="http://schemas.microsoft.com/office/word/2010/wordprocessingShape">
                      <wps:cNvSpPr/>
                      <wps:spPr>
                        <a:xfrm>
                          <a:off x="0" y="0"/>
                          <a:ext cx="1829435" cy="7620"/>
                        </a:xfrm>
                        <a:custGeom>
                          <a:avLst/>
                          <a:gdLst/>
                          <a:rect l="l" t="t" r="r" b="b"/>
                          <a:pathLst>
                            <a:path fill="norm" h="7620" w="1829435" stroke="1">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wps:bodyPr>
                    </wps:wsp>
                  </a:graphicData>
                </a:graphic>
              </wp:anchor>
            </w:drawing>
          </mc:Choice>
          <mc:Fallback>
            <w:pict>
              <v:rect id="_x0000_s1029" style="width:144.02pt;height:0.6pt;margin-top:18.44pt;margin-left:72.02pt;mso-position-horizontal-relative:page;mso-wrap-distance-left:0;mso-wrap-distance-right:0;position:absolute;z-index:-251651072" filled="t" fillcolor="black" stroked="f">
                <v:fill type="solid"/>
                <w10:wrap type="topAndBottom"/>
              </v:rect>
            </w:pict>
          </mc:Fallback>
        </mc:AlternateContent>
      </w:r>
    </w:p>
    <w:p>
      <w:pPr>
        <w:spacing w:before="87" w:line="244" w:lineRule="auto"/>
        <w:ind w:left="360" w:right="981" w:firstLine="0"/>
        <w:jc w:val="left"/>
        <w:rPr>
          <w:sz w:val="20"/>
        </w:rPr>
      </w:pPr>
      <w:bookmarkStart w:id="20" w:name="_bookmark11"/>
      <w:bookmarkEnd w:id="20"/>
      <w:r>
        <w:rPr>
          <w:position w:val="9"/>
          <w:sz w:val="16"/>
        </w:rPr>
        <w:t>4</w:t>
      </w:r>
      <w:r>
        <w:rPr>
          <w:spacing w:val="18"/>
          <w:position w:val="9"/>
          <w:sz w:val="16"/>
        </w:rPr>
        <w:t xml:space="preserve"> </w:t>
      </w:r>
      <w:r>
        <w:rPr>
          <w:sz w:val="20"/>
        </w:rPr>
        <w:t>General</w:t>
      </w:r>
      <w:r>
        <w:rPr>
          <w:spacing w:val="-3"/>
          <w:sz w:val="20"/>
        </w:rPr>
        <w:t xml:space="preserve"> </w:t>
      </w:r>
      <w:r>
        <w:rPr>
          <w:sz w:val="20"/>
        </w:rPr>
        <w:t>background</w:t>
      </w:r>
      <w:r>
        <w:rPr>
          <w:spacing w:val="-2"/>
          <w:sz w:val="20"/>
        </w:rPr>
        <w:t xml:space="preserve"> </w:t>
      </w:r>
      <w:r>
        <w:rPr>
          <w:sz w:val="20"/>
        </w:rPr>
        <w:t>information</w:t>
      </w:r>
      <w:r>
        <w:rPr>
          <w:spacing w:val="-2"/>
          <w:sz w:val="20"/>
        </w:rPr>
        <w:t xml:space="preserve"> </w:t>
      </w:r>
      <w:r>
        <w:rPr>
          <w:sz w:val="20"/>
        </w:rPr>
        <w:t>about</w:t>
      </w:r>
      <w:r>
        <w:rPr>
          <w:spacing w:val="-4"/>
          <w:sz w:val="20"/>
        </w:rPr>
        <w:t xml:space="preserve"> </w:t>
      </w:r>
      <w:r>
        <w:rPr>
          <w:sz w:val="20"/>
        </w:rPr>
        <w:t>the</w:t>
      </w:r>
      <w:r>
        <w:rPr>
          <w:spacing w:val="-3"/>
          <w:sz w:val="20"/>
        </w:rPr>
        <w:t xml:space="preserve"> </w:t>
      </w:r>
      <w:r>
        <w:rPr>
          <w:sz w:val="20"/>
        </w:rPr>
        <w:t>scoring</w:t>
      </w:r>
      <w:r>
        <w:rPr>
          <w:spacing w:val="-2"/>
          <w:sz w:val="20"/>
        </w:rPr>
        <w:t xml:space="preserve"> </w:t>
      </w:r>
      <w:r>
        <w:rPr>
          <w:sz w:val="20"/>
        </w:rPr>
        <w:t>of</w:t>
      </w:r>
      <w:r>
        <w:rPr>
          <w:spacing w:val="-5"/>
          <w:sz w:val="20"/>
        </w:rPr>
        <w:t xml:space="preserve"> </w:t>
      </w:r>
      <w:r>
        <w:rPr>
          <w:sz w:val="20"/>
        </w:rPr>
        <w:t>CAHPS</w:t>
      </w:r>
      <w:r>
        <w:rPr>
          <w:sz w:val="20"/>
          <w:vertAlign w:val="superscript"/>
        </w:rPr>
        <w:t>®</w:t>
      </w:r>
      <w:r>
        <w:rPr>
          <w:sz w:val="20"/>
          <w:vertAlign w:val="baseline"/>
        </w:rPr>
        <w:t>-based</w:t>
      </w:r>
      <w:r>
        <w:rPr>
          <w:spacing w:val="-2"/>
          <w:sz w:val="20"/>
          <w:vertAlign w:val="baseline"/>
        </w:rPr>
        <w:t xml:space="preserve"> </w:t>
      </w:r>
      <w:r>
        <w:rPr>
          <w:sz w:val="20"/>
          <w:vertAlign w:val="baseline"/>
        </w:rPr>
        <w:t>measures</w:t>
      </w:r>
      <w:r>
        <w:rPr>
          <w:spacing w:val="-4"/>
          <w:sz w:val="20"/>
          <w:vertAlign w:val="baseline"/>
        </w:rPr>
        <w:t xml:space="preserve"> </w:t>
      </w:r>
      <w:r>
        <w:rPr>
          <w:sz w:val="20"/>
          <w:vertAlign w:val="baseline"/>
        </w:rPr>
        <w:t>in</w:t>
      </w:r>
      <w:r>
        <w:rPr>
          <w:spacing w:val="-2"/>
          <w:sz w:val="20"/>
          <w:vertAlign w:val="baseline"/>
        </w:rPr>
        <w:t xml:space="preserve"> </w:t>
      </w:r>
      <w:r>
        <w:rPr>
          <w:sz w:val="20"/>
          <w:vertAlign w:val="baseline"/>
        </w:rPr>
        <w:t>the</w:t>
      </w:r>
      <w:r>
        <w:rPr>
          <w:spacing w:val="-3"/>
          <w:sz w:val="20"/>
          <w:vertAlign w:val="baseline"/>
        </w:rPr>
        <w:t xml:space="preserve"> </w:t>
      </w:r>
      <w:r>
        <w:rPr>
          <w:sz w:val="20"/>
          <w:vertAlign w:val="baseline"/>
        </w:rPr>
        <w:t>MA-PDP</w:t>
      </w:r>
      <w:r>
        <w:rPr>
          <w:spacing w:val="-4"/>
          <w:sz w:val="20"/>
          <w:vertAlign w:val="baseline"/>
        </w:rPr>
        <w:t xml:space="preserve"> </w:t>
      </w:r>
      <w:r>
        <w:rPr>
          <w:sz w:val="20"/>
          <w:vertAlign w:val="baseline"/>
        </w:rPr>
        <w:t>program</w:t>
      </w:r>
      <w:r>
        <w:rPr>
          <w:spacing w:val="-2"/>
          <w:sz w:val="20"/>
          <w:vertAlign w:val="baseline"/>
        </w:rPr>
        <w:t xml:space="preserve"> </w:t>
      </w:r>
      <w:r>
        <w:rPr>
          <w:sz w:val="20"/>
          <w:vertAlign w:val="baseline"/>
        </w:rPr>
        <w:t xml:space="preserve">is presented in the </w:t>
      </w:r>
      <w:r>
        <w:rPr>
          <w:i/>
          <w:sz w:val="20"/>
          <w:vertAlign w:val="baseline"/>
        </w:rPr>
        <w:t>MA-PDP CAHPS</w:t>
      </w:r>
      <w:r>
        <w:rPr>
          <w:i/>
          <w:sz w:val="20"/>
          <w:vertAlign w:val="superscript"/>
        </w:rPr>
        <w:t>®</w:t>
      </w:r>
      <w:r>
        <w:rPr>
          <w:i/>
          <w:sz w:val="20"/>
          <w:vertAlign w:val="baseline"/>
        </w:rPr>
        <w:t xml:space="preserve"> Survey: Quality Assurance Protocols and Technical Specifications</w:t>
      </w:r>
      <w:r>
        <w:rPr>
          <w:i/>
          <w:sz w:val="20"/>
          <w:vertAlign w:val="baseline"/>
        </w:rPr>
        <w:t xml:space="preserve"> </w:t>
      </w:r>
      <w:r>
        <w:rPr>
          <w:spacing w:val="-2"/>
          <w:sz w:val="20"/>
          <w:vertAlign w:val="baseline"/>
        </w:rPr>
        <w:t>(</w:t>
      </w:r>
      <w:hyperlink r:id="rId6">
        <w:r>
          <w:rPr>
            <w:color w:val="0000FF"/>
            <w:spacing w:val="-2"/>
            <w:sz w:val="20"/>
            <w:u w:val="single" w:color="0000FF"/>
            <w:vertAlign w:val="baseline"/>
          </w:rPr>
          <w:t>http://www.ma-pdpcahps.org/</w:t>
        </w:r>
      </w:hyperlink>
      <w:r>
        <w:rPr>
          <w:color w:val="0000FF"/>
          <w:spacing w:val="-2"/>
          <w:sz w:val="20"/>
          <w:u w:val="single" w:color="0000FF"/>
          <w:vertAlign w:val="baseline"/>
        </w:rPr>
        <w:t>).</w:t>
      </w:r>
    </w:p>
    <w:p>
      <w:pPr>
        <w:spacing w:after="0" w:line="244" w:lineRule="auto"/>
        <w:jc w:val="left"/>
        <w:rPr>
          <w:sz w:val="20"/>
        </w:rPr>
        <w:sectPr>
          <w:pgSz w:w="12240" w:h="15840"/>
          <w:pgMar w:top="1360" w:right="1080" w:bottom="940" w:left="1080" w:header="0" w:footer="748"/>
          <w:cols w:space="720"/>
        </w:sectPr>
      </w:pPr>
    </w:p>
    <w:p>
      <w:pPr>
        <w:pStyle w:val="BodyText"/>
        <w:spacing w:before="79"/>
        <w:ind w:right="385"/>
      </w:pPr>
      <w:r>
        <w:t>include the following: general health rating, mental health rating, chronic conditions/ medications,</w:t>
      </w:r>
      <w:r>
        <w:rPr>
          <w:spacing w:val="-3"/>
        </w:rPr>
        <w:t xml:space="preserve"> </w:t>
      </w:r>
      <w:r>
        <w:t>age,</w:t>
      </w:r>
      <w:r>
        <w:rPr>
          <w:spacing w:val="-3"/>
        </w:rPr>
        <w:t xml:space="preserve"> </w:t>
      </w:r>
      <w:r>
        <w:t>education,</w:t>
      </w:r>
      <w:r>
        <w:rPr>
          <w:spacing w:val="-3"/>
        </w:rPr>
        <w:t xml:space="preserve"> </w:t>
      </w:r>
      <w:r>
        <w:t>survey</w:t>
      </w:r>
      <w:r>
        <w:rPr>
          <w:spacing w:val="-3"/>
        </w:rPr>
        <w:t xml:space="preserve"> </w:t>
      </w:r>
      <w:r>
        <w:t>language,</w:t>
      </w:r>
      <w:r>
        <w:rPr>
          <w:spacing w:val="-3"/>
        </w:rPr>
        <w:t xml:space="preserve"> </w:t>
      </w:r>
      <w:r>
        <w:t>help</w:t>
      </w:r>
      <w:r>
        <w:rPr>
          <w:spacing w:val="-3"/>
        </w:rPr>
        <w:t xml:space="preserve"> </w:t>
      </w:r>
      <w:r>
        <w:t>with</w:t>
      </w:r>
      <w:r>
        <w:rPr>
          <w:spacing w:val="-3"/>
        </w:rPr>
        <w:t xml:space="preserve"> </w:t>
      </w:r>
      <w:r>
        <w:t>the</w:t>
      </w:r>
      <w:r>
        <w:rPr>
          <w:spacing w:val="-4"/>
        </w:rPr>
        <w:t xml:space="preserve"> </w:t>
      </w:r>
      <w:r>
        <w:t>survey,</w:t>
      </w:r>
      <w:r>
        <w:rPr>
          <w:spacing w:val="-3"/>
        </w:rPr>
        <w:t xml:space="preserve"> </w:t>
      </w:r>
      <w:r>
        <w:t>and</w:t>
      </w:r>
      <w:r>
        <w:rPr>
          <w:spacing w:val="-3"/>
        </w:rPr>
        <w:t xml:space="preserve"> </w:t>
      </w:r>
      <w:r>
        <w:t>survey</w:t>
      </w:r>
      <w:r>
        <w:rPr>
          <w:spacing w:val="-3"/>
        </w:rPr>
        <w:t xml:space="preserve"> </w:t>
      </w:r>
      <w:r>
        <w:t>mode.</w:t>
      </w:r>
      <w:r>
        <w:rPr>
          <w:spacing w:val="-3"/>
        </w:rPr>
        <w:t xml:space="preserve"> </w:t>
      </w:r>
      <w:r>
        <w:t>The</w:t>
      </w:r>
      <w:r>
        <w:rPr>
          <w:spacing w:val="-3"/>
        </w:rPr>
        <w:t xml:space="preserve"> </w:t>
      </w:r>
      <w:r>
        <w:t xml:space="preserve">final variables to be included in the case-mix adjustment will be determined based on additional analysis of the 2027 QHP Enrollee Survey data. A list of the 2025 QHP Enrollee Survey case-mix adjusters is available in </w:t>
      </w:r>
      <w:hyperlink w:anchor="_bookmark24" w:history="1">
        <w:r>
          <w:rPr>
            <w:color w:val="0000FF"/>
            <w:u w:val="single" w:color="0000FF"/>
          </w:rPr>
          <w:t>Appendix B: 2025 QHP Enrollee Survey Case-Mix Adjusters</w:t>
        </w:r>
      </w:hyperlink>
      <w:r>
        <w:rPr>
          <w:color w:val="0000FF"/>
          <w:u w:val="none"/>
        </w:rPr>
        <w:t xml:space="preserve"> </w:t>
      </w:r>
      <w:hyperlink w:anchor="_bookmark24" w:history="1">
        <w:r>
          <w:rPr>
            <w:color w:val="0000FF"/>
            <w:spacing w:val="-2"/>
            <w:u w:val="single" w:color="0000FF"/>
          </w:rPr>
          <w:t>Variables</w:t>
        </w:r>
        <w:r>
          <w:rPr>
            <w:spacing w:val="-2"/>
            <w:u w:val="none"/>
          </w:rPr>
          <w:t>.</w:t>
        </w:r>
      </w:hyperlink>
    </w:p>
    <w:p>
      <w:pPr>
        <w:pStyle w:val="BodyText"/>
        <w:ind w:right="374"/>
      </w:pPr>
      <w:r>
        <w:t>All CAHPS</w:t>
      </w:r>
      <w:r>
        <w:rPr>
          <w:vertAlign w:val="superscript"/>
        </w:rPr>
        <w:t>®</w:t>
      </w:r>
      <w:r>
        <w:rPr>
          <w:vertAlign w:val="baseline"/>
        </w:rPr>
        <w:t>-based measures are based on weighted, case-mix adjusted means. CMS uses person-level sampling weights to account for the different probabilities of selection across reporting units. Sampling weights are used to make sure the survey results accurately represent the entire target population (i.e., all QHP enrollees), rather than respondents only. Using the weights</w:t>
      </w:r>
      <w:r>
        <w:rPr>
          <w:spacing w:val="-4"/>
          <w:vertAlign w:val="baseline"/>
        </w:rPr>
        <w:t xml:space="preserve"> </w:t>
      </w:r>
      <w:r>
        <w:rPr>
          <w:vertAlign w:val="baseline"/>
        </w:rPr>
        <w:t>for</w:t>
      </w:r>
      <w:r>
        <w:rPr>
          <w:spacing w:val="-5"/>
          <w:vertAlign w:val="baseline"/>
        </w:rPr>
        <w:t xml:space="preserve"> </w:t>
      </w:r>
      <w:r>
        <w:rPr>
          <w:vertAlign w:val="baseline"/>
        </w:rPr>
        <w:t>scoring</w:t>
      </w:r>
      <w:r>
        <w:rPr>
          <w:spacing w:val="-3"/>
          <w:vertAlign w:val="baseline"/>
        </w:rPr>
        <w:t xml:space="preserve"> </w:t>
      </w:r>
      <w:r>
        <w:rPr>
          <w:vertAlign w:val="baseline"/>
        </w:rPr>
        <w:t>the</w:t>
      </w:r>
      <w:r>
        <w:rPr>
          <w:spacing w:val="-3"/>
          <w:vertAlign w:val="baseline"/>
        </w:rPr>
        <w:t xml:space="preserve"> </w:t>
      </w:r>
      <w:r>
        <w:rPr>
          <w:vertAlign w:val="baseline"/>
        </w:rPr>
        <w:t>measures</w:t>
      </w:r>
      <w:r>
        <w:rPr>
          <w:spacing w:val="-4"/>
          <w:vertAlign w:val="baseline"/>
        </w:rPr>
        <w:t xml:space="preserve"> </w:t>
      </w:r>
      <w:r>
        <w:rPr>
          <w:vertAlign w:val="baseline"/>
        </w:rPr>
        <w:t>increases</w:t>
      </w:r>
      <w:r>
        <w:rPr>
          <w:spacing w:val="-4"/>
          <w:vertAlign w:val="baseline"/>
        </w:rPr>
        <w:t xml:space="preserve"> </w:t>
      </w:r>
      <w:r>
        <w:rPr>
          <w:vertAlign w:val="baseline"/>
        </w:rPr>
        <w:t>the</w:t>
      </w:r>
      <w:r>
        <w:rPr>
          <w:spacing w:val="-3"/>
          <w:vertAlign w:val="baseline"/>
        </w:rPr>
        <w:t xml:space="preserve"> </w:t>
      </w:r>
      <w:r>
        <w:rPr>
          <w:vertAlign w:val="baseline"/>
        </w:rPr>
        <w:t>influence</w:t>
      </w:r>
      <w:r>
        <w:rPr>
          <w:spacing w:val="-4"/>
          <w:vertAlign w:val="baseline"/>
        </w:rPr>
        <w:t xml:space="preserve"> </w:t>
      </w:r>
      <w:r>
        <w:rPr>
          <w:vertAlign w:val="baseline"/>
        </w:rPr>
        <w:t>of</w:t>
      </w:r>
      <w:r>
        <w:rPr>
          <w:spacing w:val="-2"/>
          <w:vertAlign w:val="baseline"/>
        </w:rPr>
        <w:t xml:space="preserve"> </w:t>
      </w:r>
      <w:r>
        <w:rPr>
          <w:vertAlign w:val="baseline"/>
        </w:rPr>
        <w:t>respondents</w:t>
      </w:r>
      <w:r>
        <w:rPr>
          <w:spacing w:val="-4"/>
          <w:vertAlign w:val="baseline"/>
        </w:rPr>
        <w:t xml:space="preserve"> </w:t>
      </w:r>
      <w:r>
        <w:rPr>
          <w:vertAlign w:val="baseline"/>
        </w:rPr>
        <w:t>from</w:t>
      </w:r>
      <w:r>
        <w:rPr>
          <w:spacing w:val="-3"/>
          <w:vertAlign w:val="baseline"/>
        </w:rPr>
        <w:t xml:space="preserve"> </w:t>
      </w:r>
      <w:r>
        <w:rPr>
          <w:vertAlign w:val="baseline"/>
        </w:rPr>
        <w:t>smaller</w:t>
      </w:r>
      <w:r>
        <w:rPr>
          <w:spacing w:val="-3"/>
          <w:vertAlign w:val="baseline"/>
        </w:rPr>
        <w:t xml:space="preserve"> </w:t>
      </w:r>
      <w:r>
        <w:rPr>
          <w:vertAlign w:val="baseline"/>
        </w:rPr>
        <w:t xml:space="preserve">populations and reduces the influence of respondents from larger populations. The weights are calculated as </w:t>
      </w:r>
      <w:r>
        <w:rPr>
          <w:spacing w:val="-2"/>
          <w:vertAlign w:val="baseline"/>
        </w:rPr>
        <w:t>follows:</w:t>
      </w:r>
    </w:p>
    <w:p>
      <w:pPr>
        <w:pStyle w:val="BodyText"/>
        <w:spacing w:before="11"/>
        <w:ind w:left="0"/>
        <w:rPr>
          <w:sz w:val="10"/>
        </w:rPr>
      </w:pPr>
      <w:r>
        <w:rPr>
          <w:sz w:val="10"/>
        </w:rPr>
        <w:drawing>
          <wp:anchor distT="0" distB="0" distL="0" distR="0" simplePos="0" relativeHeight="251666432" behindDoc="1" locked="0" layoutInCell="1" allowOverlap="1">
            <wp:simplePos x="0" y="0"/>
            <wp:positionH relativeFrom="page">
              <wp:posOffset>2999232</wp:posOffset>
            </wp:positionH>
            <wp:positionV relativeFrom="paragraph">
              <wp:posOffset>95359</wp:posOffset>
            </wp:positionV>
            <wp:extent cx="1769721" cy="335279"/>
            <wp:effectExtent l="0" t="0" r="0" b="0"/>
            <wp:wrapTopAndBottom/>
            <wp:docPr id="10" name="Image 10" descr="Final Weight equals left parenthesis fraction numerator M over denominator n subscript minus end S end fraction right parenthesis asterisk k"/>
            <wp:cNvGraphicFramePr/>
            <a:graphic xmlns:a="http://schemas.openxmlformats.org/drawingml/2006/main">
              <a:graphicData uri="http://schemas.openxmlformats.org/drawingml/2006/picture">
                <pic:pic xmlns:pic="http://schemas.openxmlformats.org/drawingml/2006/picture">
                  <pic:nvPicPr>
                    <pic:cNvPr id="10" name="Image 10" descr="Final Weight equals left parenthesis fraction numerator M over denominator n subscript minus end S end fraction right parenthesis asterisk k"/>
                    <pic:cNvPicPr/>
                  </pic:nvPicPr>
                  <pic:blipFill>
                    <a:blip xmlns:r="http://schemas.openxmlformats.org/officeDocument/2006/relationships" r:embed="rId7" cstate="print"/>
                    <a:stretch>
                      <a:fillRect/>
                    </a:stretch>
                  </pic:blipFill>
                  <pic:spPr>
                    <a:xfrm>
                      <a:off x="0" y="0"/>
                      <a:ext cx="1769721" cy="335279"/>
                    </a:xfrm>
                    <a:prstGeom prst="rect">
                      <a:avLst/>
                    </a:prstGeom>
                  </pic:spPr>
                </pic:pic>
              </a:graphicData>
            </a:graphic>
          </wp:anchor>
        </w:drawing>
      </w:r>
    </w:p>
    <w:p>
      <w:pPr>
        <w:pStyle w:val="BodyText"/>
        <w:spacing w:before="132"/>
        <w:ind w:left="0"/>
      </w:pPr>
    </w:p>
    <w:p>
      <w:pPr>
        <w:pStyle w:val="BodyText"/>
        <w:spacing w:before="0"/>
        <w:ind w:left="1080"/>
      </w:pPr>
      <w:r>
        <w:rPr>
          <w:spacing w:val="-2"/>
        </w:rPr>
        <w:t>Where:</w:t>
      </w:r>
    </w:p>
    <w:p>
      <w:pPr>
        <w:pStyle w:val="BodyText"/>
        <w:spacing w:before="0"/>
        <w:ind w:left="1080"/>
      </w:pPr>
      <w:r>
        <w:t>n_s</w:t>
      </w:r>
      <w:r>
        <w:rPr>
          <w:spacing w:val="-2"/>
        </w:rPr>
        <w:t xml:space="preserve"> </w:t>
      </w:r>
      <w:r>
        <w:t>=</w:t>
      </w:r>
      <w:r>
        <w:rPr>
          <w:spacing w:val="-1"/>
        </w:rPr>
        <w:t xml:space="preserve"> </w:t>
      </w:r>
      <w:r>
        <w:t>Total</w:t>
      </w:r>
      <w:r>
        <w:rPr>
          <w:spacing w:val="-1"/>
        </w:rPr>
        <w:t xml:space="preserve"> </w:t>
      </w:r>
      <w:r>
        <w:t>number of</w:t>
      </w:r>
      <w:r>
        <w:rPr>
          <w:spacing w:val="-1"/>
        </w:rPr>
        <w:t xml:space="preserve"> </w:t>
      </w:r>
      <w:r>
        <w:t>sampled</w:t>
      </w:r>
      <w:r>
        <w:rPr>
          <w:spacing w:val="-1"/>
        </w:rPr>
        <w:t xml:space="preserve"> </w:t>
      </w:r>
      <w:r>
        <w:t>enrollees</w:t>
      </w:r>
      <w:r>
        <w:rPr>
          <w:spacing w:val="-1"/>
        </w:rPr>
        <w:t xml:space="preserve"> </w:t>
      </w:r>
      <w:r>
        <w:t>in</w:t>
      </w:r>
      <w:r>
        <w:rPr>
          <w:spacing w:val="-1"/>
        </w:rPr>
        <w:t xml:space="preserve"> </w:t>
      </w:r>
      <w:r>
        <w:t>the</w:t>
      </w:r>
      <w:r>
        <w:rPr>
          <w:spacing w:val="-1"/>
        </w:rPr>
        <w:t xml:space="preserve"> </w:t>
      </w:r>
      <w:r>
        <w:t xml:space="preserve">reporting </w:t>
      </w:r>
      <w:r>
        <w:rPr>
          <w:spacing w:val="-2"/>
        </w:rPr>
        <w:t>unit;</w:t>
      </w:r>
    </w:p>
    <w:p>
      <w:pPr>
        <w:pStyle w:val="BodyText"/>
        <w:spacing w:before="0"/>
        <w:ind w:left="1080"/>
      </w:pPr>
      <w:r>
        <w:t>M</w:t>
      </w:r>
      <w:r>
        <w:rPr>
          <w:spacing w:val="-2"/>
        </w:rPr>
        <w:t xml:space="preserve"> </w:t>
      </w:r>
      <w:r>
        <w:t>=</w:t>
      </w:r>
      <w:r>
        <w:rPr>
          <w:spacing w:val="-2"/>
        </w:rPr>
        <w:t xml:space="preserve"> </w:t>
      </w:r>
      <w:r>
        <w:t>Total</w:t>
      </w:r>
      <w:r>
        <w:rPr>
          <w:spacing w:val="-1"/>
        </w:rPr>
        <w:t xml:space="preserve"> </w:t>
      </w:r>
      <w:r>
        <w:t>number</w:t>
      </w:r>
      <w:r>
        <w:rPr>
          <w:spacing w:val="-1"/>
        </w:rPr>
        <w:t xml:space="preserve"> </w:t>
      </w:r>
      <w:r>
        <w:t>of</w:t>
      </w:r>
      <w:r>
        <w:rPr>
          <w:spacing w:val="-3"/>
        </w:rPr>
        <w:t xml:space="preserve"> </w:t>
      </w:r>
      <w:r>
        <w:t>records</w:t>
      </w:r>
      <w:r>
        <w:rPr>
          <w:spacing w:val="-1"/>
        </w:rPr>
        <w:t xml:space="preserve"> </w:t>
      </w:r>
      <w:r>
        <w:t>in</w:t>
      </w:r>
      <w:r>
        <w:rPr>
          <w:spacing w:val="-1"/>
        </w:rPr>
        <w:t xml:space="preserve"> </w:t>
      </w:r>
      <w:r>
        <w:t>the</w:t>
      </w:r>
      <w:r>
        <w:rPr>
          <w:spacing w:val="-1"/>
        </w:rPr>
        <w:t xml:space="preserve"> </w:t>
      </w:r>
      <w:r>
        <w:t>reporting</w:t>
      </w:r>
      <w:r>
        <w:rPr>
          <w:spacing w:val="-1"/>
        </w:rPr>
        <w:t xml:space="preserve"> </w:t>
      </w:r>
      <w:r>
        <w:t>unit</w:t>
      </w:r>
      <w:r>
        <w:rPr>
          <w:spacing w:val="-1"/>
        </w:rPr>
        <w:t xml:space="preserve"> </w:t>
      </w:r>
      <w:r>
        <w:t>after</w:t>
      </w:r>
      <w:r>
        <w:rPr>
          <w:spacing w:val="-1"/>
        </w:rPr>
        <w:t xml:space="preserve"> </w:t>
      </w:r>
      <w:r>
        <w:t>de-</w:t>
      </w:r>
      <w:r>
        <w:rPr>
          <w:spacing w:val="-2"/>
        </w:rPr>
        <w:t>duplication;</w:t>
      </w:r>
    </w:p>
    <w:p>
      <w:pPr>
        <w:pStyle w:val="BodyText"/>
        <w:spacing w:before="0"/>
        <w:ind w:left="1080" w:right="385"/>
      </w:pPr>
      <w:r>
        <w:t>k</w:t>
      </w:r>
      <w:r>
        <w:rPr>
          <w:spacing w:val="-3"/>
        </w:rPr>
        <w:t xml:space="preserve"> </w:t>
      </w:r>
      <w:r>
        <w:t>=</w:t>
      </w:r>
      <w:r>
        <w:rPr>
          <w:spacing w:val="-4"/>
        </w:rPr>
        <w:t xml:space="preserve"> </w:t>
      </w:r>
      <w:r>
        <w:t>Number</w:t>
      </w:r>
      <w:r>
        <w:rPr>
          <w:spacing w:val="-3"/>
        </w:rPr>
        <w:t xml:space="preserve"> </w:t>
      </w:r>
      <w:r>
        <w:t>of</w:t>
      </w:r>
      <w:r>
        <w:rPr>
          <w:spacing w:val="-3"/>
        </w:rPr>
        <w:t xml:space="preserve"> </w:t>
      </w:r>
      <w:r>
        <w:t>eligible</w:t>
      </w:r>
      <w:r>
        <w:rPr>
          <w:spacing w:val="-4"/>
        </w:rPr>
        <w:t xml:space="preserve"> </w:t>
      </w:r>
      <w:r>
        <w:t>enrollees</w:t>
      </w:r>
      <w:r>
        <w:rPr>
          <w:spacing w:val="-4"/>
        </w:rPr>
        <w:t xml:space="preserve"> </w:t>
      </w:r>
      <w:r>
        <w:t>covered</w:t>
      </w:r>
      <w:r>
        <w:rPr>
          <w:spacing w:val="-3"/>
        </w:rPr>
        <w:t xml:space="preserve"> </w:t>
      </w:r>
      <w:r>
        <w:t>by</w:t>
      </w:r>
      <w:r>
        <w:rPr>
          <w:spacing w:val="-3"/>
        </w:rPr>
        <w:t xml:space="preserve"> </w:t>
      </w:r>
      <w:r>
        <w:t>the</w:t>
      </w:r>
      <w:r>
        <w:rPr>
          <w:spacing w:val="-3"/>
        </w:rPr>
        <w:t xml:space="preserve"> </w:t>
      </w:r>
      <w:r>
        <w:t>Subscriber</w:t>
      </w:r>
      <w:r>
        <w:rPr>
          <w:spacing w:val="-3"/>
        </w:rPr>
        <w:t xml:space="preserve"> </w:t>
      </w:r>
      <w:r>
        <w:t>or</w:t>
      </w:r>
      <w:r>
        <w:rPr>
          <w:spacing w:val="-3"/>
        </w:rPr>
        <w:t xml:space="preserve"> </w:t>
      </w:r>
      <w:r>
        <w:t>Family</w:t>
      </w:r>
      <w:r>
        <w:rPr>
          <w:spacing w:val="-2"/>
        </w:rPr>
        <w:t xml:space="preserve"> </w:t>
      </w:r>
      <w:r>
        <w:t>ID</w:t>
      </w:r>
      <w:r>
        <w:rPr>
          <w:spacing w:val="-2"/>
        </w:rPr>
        <w:t xml:space="preserve"> </w:t>
      </w:r>
      <w:r>
        <w:t>(SFID) associated with the sampled enrollee.</w:t>
      </w:r>
    </w:p>
    <w:p>
      <w:pPr>
        <w:pStyle w:val="BodyText"/>
        <w:ind w:left="0"/>
      </w:pPr>
    </w:p>
    <w:p>
      <w:pPr>
        <w:pStyle w:val="BodyText"/>
        <w:spacing w:before="0"/>
      </w:pPr>
      <w:r>
        <w:t>CMS</w:t>
      </w:r>
      <w:r>
        <w:rPr>
          <w:spacing w:val="-2"/>
        </w:rPr>
        <w:t xml:space="preserve"> </w:t>
      </w:r>
      <w:r>
        <w:t>calculates</w:t>
      </w:r>
      <w:r>
        <w:rPr>
          <w:spacing w:val="-2"/>
        </w:rPr>
        <w:t xml:space="preserve"> </w:t>
      </w:r>
      <w:r>
        <w:t>the</w:t>
      </w:r>
      <w:r>
        <w:rPr>
          <w:spacing w:val="-2"/>
        </w:rPr>
        <w:t xml:space="preserve"> </w:t>
      </w:r>
      <w:r>
        <w:t>case-mix</w:t>
      </w:r>
      <w:r>
        <w:rPr>
          <w:spacing w:val="-1"/>
        </w:rPr>
        <w:t xml:space="preserve"> </w:t>
      </w:r>
      <w:r>
        <w:t>adjustment</w:t>
      </w:r>
      <w:r>
        <w:rPr>
          <w:spacing w:val="-1"/>
        </w:rPr>
        <w:t xml:space="preserve"> </w:t>
      </w:r>
      <w:r>
        <w:t>for</w:t>
      </w:r>
      <w:r>
        <w:rPr>
          <w:spacing w:val="-1"/>
        </w:rPr>
        <w:t xml:space="preserve"> </w:t>
      </w:r>
      <w:r>
        <w:t>each question</w:t>
      </w:r>
      <w:r>
        <w:rPr>
          <w:spacing w:val="-1"/>
        </w:rPr>
        <w:t xml:space="preserve"> </w:t>
      </w:r>
      <w:r>
        <w:t>or</w:t>
      </w:r>
      <w:r>
        <w:rPr>
          <w:spacing w:val="-2"/>
        </w:rPr>
        <w:t xml:space="preserve"> </w:t>
      </w:r>
      <w:r>
        <w:t>composite</w:t>
      </w:r>
      <w:r>
        <w:rPr>
          <w:spacing w:val="-2"/>
        </w:rPr>
        <w:t xml:space="preserve"> </w:t>
      </w:r>
      <w:r>
        <w:t>in</w:t>
      </w:r>
      <w:r>
        <w:rPr>
          <w:spacing w:val="-1"/>
        </w:rPr>
        <w:t xml:space="preserve"> </w:t>
      </w:r>
      <w:r>
        <w:t>the</w:t>
      </w:r>
      <w:r>
        <w:rPr>
          <w:spacing w:val="-2"/>
        </w:rPr>
        <w:t xml:space="preserve"> </w:t>
      </w:r>
      <w:r>
        <w:t>following</w:t>
      </w:r>
      <w:r>
        <w:rPr>
          <w:spacing w:val="-1"/>
        </w:rPr>
        <w:t xml:space="preserve"> </w:t>
      </w:r>
      <w:r>
        <w:rPr>
          <w:spacing w:val="-2"/>
        </w:rPr>
        <w:t>steps:</w:t>
      </w:r>
    </w:p>
    <w:p>
      <w:pPr>
        <w:pStyle w:val="ListParagraph"/>
        <w:numPr>
          <w:ilvl w:val="0"/>
          <w:numId w:val="7"/>
        </w:numPr>
        <w:tabs>
          <w:tab w:val="left" w:pos="720"/>
        </w:tabs>
        <w:spacing w:before="120" w:after="0" w:line="240" w:lineRule="auto"/>
        <w:ind w:left="720" w:right="0" w:hanging="360"/>
        <w:jc w:val="left"/>
        <w:rPr>
          <w:sz w:val="24"/>
        </w:rPr>
      </w:pPr>
      <w:r>
        <w:rPr>
          <w:sz w:val="24"/>
        </w:rPr>
        <w:t>Perform</w:t>
      </w:r>
      <w:r>
        <w:rPr>
          <w:spacing w:val="-1"/>
          <w:sz w:val="24"/>
        </w:rPr>
        <w:t xml:space="preserve"> </w:t>
      </w:r>
      <w:r>
        <w:rPr>
          <w:sz w:val="24"/>
        </w:rPr>
        <w:t>ordinary</w:t>
      </w:r>
      <w:r>
        <w:rPr>
          <w:spacing w:val="-1"/>
          <w:sz w:val="24"/>
        </w:rPr>
        <w:t xml:space="preserve"> </w:t>
      </w:r>
      <w:r>
        <w:rPr>
          <w:sz w:val="24"/>
        </w:rPr>
        <w:t>least</w:t>
      </w:r>
      <w:r>
        <w:rPr>
          <w:spacing w:val="-1"/>
          <w:sz w:val="24"/>
        </w:rPr>
        <w:t xml:space="preserve"> </w:t>
      </w:r>
      <w:r>
        <w:rPr>
          <w:sz w:val="24"/>
        </w:rPr>
        <w:t>squared</w:t>
      </w:r>
      <w:r>
        <w:rPr>
          <w:spacing w:val="-1"/>
          <w:sz w:val="24"/>
        </w:rPr>
        <w:t xml:space="preserve"> </w:t>
      </w:r>
      <w:r>
        <w:rPr>
          <w:sz w:val="24"/>
        </w:rPr>
        <w:t>regression</w:t>
      </w:r>
      <w:r>
        <w:rPr>
          <w:spacing w:val="-1"/>
          <w:sz w:val="24"/>
        </w:rPr>
        <w:t xml:space="preserve"> </w:t>
      </w:r>
      <w:r>
        <w:rPr>
          <w:sz w:val="24"/>
        </w:rPr>
        <w:t>on</w:t>
      </w:r>
      <w:r>
        <w:rPr>
          <w:spacing w:val="-1"/>
          <w:sz w:val="24"/>
        </w:rPr>
        <w:t xml:space="preserve"> </w:t>
      </w:r>
      <w:r>
        <w:rPr>
          <w:sz w:val="24"/>
        </w:rPr>
        <w:t>the</w:t>
      </w:r>
      <w:r>
        <w:rPr>
          <w:spacing w:val="1"/>
          <w:sz w:val="24"/>
        </w:rPr>
        <w:t xml:space="preserve"> </w:t>
      </w:r>
      <w:r>
        <w:rPr>
          <w:sz w:val="24"/>
        </w:rPr>
        <w:t>entire</w:t>
      </w:r>
      <w:r>
        <w:rPr>
          <w:spacing w:val="-3"/>
          <w:sz w:val="24"/>
        </w:rPr>
        <w:t xml:space="preserve"> </w:t>
      </w:r>
      <w:r>
        <w:rPr>
          <w:sz w:val="24"/>
        </w:rPr>
        <w:t>person-level</w:t>
      </w:r>
      <w:r>
        <w:rPr>
          <w:spacing w:val="-1"/>
          <w:sz w:val="24"/>
        </w:rPr>
        <w:t xml:space="preserve"> </w:t>
      </w:r>
      <w:r>
        <w:rPr>
          <w:sz w:val="24"/>
        </w:rPr>
        <w:t>QHP</w:t>
      </w:r>
      <w:r>
        <w:rPr>
          <w:spacing w:val="-2"/>
          <w:sz w:val="24"/>
        </w:rPr>
        <w:t xml:space="preserve"> </w:t>
      </w:r>
      <w:r>
        <w:rPr>
          <w:sz w:val="24"/>
        </w:rPr>
        <w:t>data</w:t>
      </w:r>
      <w:r>
        <w:rPr>
          <w:spacing w:val="-1"/>
          <w:sz w:val="24"/>
        </w:rPr>
        <w:t xml:space="preserve"> </w:t>
      </w:r>
      <w:r>
        <w:rPr>
          <w:sz w:val="24"/>
        </w:rPr>
        <w:t xml:space="preserve">using </w:t>
      </w:r>
      <w:r>
        <w:rPr>
          <w:spacing w:val="-5"/>
          <w:sz w:val="24"/>
        </w:rPr>
        <w:t>the</w:t>
      </w:r>
    </w:p>
    <w:p>
      <w:pPr>
        <w:pStyle w:val="BodyText"/>
        <w:spacing w:before="0"/>
        <w:ind w:left="720" w:right="421"/>
      </w:pPr>
      <w:r>
        <w:rPr>
          <w:i/>
        </w:rPr>
        <w:t xml:space="preserve">n </w:t>
      </w:r>
      <w:r>
        <w:t>case-mix adjusters as independent variables and the unadjusted score as the dependent variable. Coefficients obtained in this regression estimate the tendency of enrollees across RUs to respond more or less favorably to a given question or composite. To counter the estimated</w:t>
      </w:r>
      <w:r>
        <w:rPr>
          <w:spacing w:val="-3"/>
        </w:rPr>
        <w:t xml:space="preserve"> </w:t>
      </w:r>
      <w:r>
        <w:t>tendency,</w:t>
      </w:r>
      <w:r>
        <w:rPr>
          <w:spacing w:val="-4"/>
        </w:rPr>
        <w:t xml:space="preserve"> </w:t>
      </w:r>
      <w:r>
        <w:t>CMS</w:t>
      </w:r>
      <w:r>
        <w:rPr>
          <w:spacing w:val="-1"/>
        </w:rPr>
        <w:t xml:space="preserve"> </w:t>
      </w:r>
      <w:r>
        <w:t>multiplies</w:t>
      </w:r>
      <w:r>
        <w:rPr>
          <w:spacing w:val="-3"/>
        </w:rPr>
        <w:t xml:space="preserve"> </w:t>
      </w:r>
      <w:r>
        <w:t>the</w:t>
      </w:r>
      <w:r>
        <w:rPr>
          <w:spacing w:val="-3"/>
        </w:rPr>
        <w:t xml:space="preserve"> </w:t>
      </w:r>
      <w:r>
        <w:t>coefficients</w:t>
      </w:r>
      <w:r>
        <w:rPr>
          <w:spacing w:val="-4"/>
        </w:rPr>
        <w:t xml:space="preserve"> </w:t>
      </w:r>
      <w:r>
        <w:t>by</w:t>
      </w:r>
      <w:r>
        <w:rPr>
          <w:spacing w:val="-3"/>
        </w:rPr>
        <w:t xml:space="preserve"> </w:t>
      </w:r>
      <w:r>
        <w:t>negative</w:t>
      </w:r>
      <w:r>
        <w:rPr>
          <w:spacing w:val="-4"/>
        </w:rPr>
        <w:t xml:space="preserve"> </w:t>
      </w:r>
      <w:r>
        <w:t>one</w:t>
      </w:r>
      <w:r>
        <w:rPr>
          <w:spacing w:val="-4"/>
        </w:rPr>
        <w:t xml:space="preserve"> </w:t>
      </w:r>
      <w:r>
        <w:t>(-1)</w:t>
      </w:r>
      <w:r>
        <w:rPr>
          <w:spacing w:val="-3"/>
        </w:rPr>
        <w:t xml:space="preserve"> </w:t>
      </w:r>
      <w:r>
        <w:t>and</w:t>
      </w:r>
      <w:r>
        <w:rPr>
          <w:spacing w:val="-3"/>
        </w:rPr>
        <w:t xml:space="preserve"> </w:t>
      </w:r>
      <w:r>
        <w:t>denotes</w:t>
      </w:r>
      <w:r>
        <w:rPr>
          <w:spacing w:val="-3"/>
        </w:rPr>
        <w:t xml:space="preserve"> </w:t>
      </w:r>
      <w:r>
        <w:t xml:space="preserve">them </w:t>
      </w:r>
      <w:r>
        <w:rPr>
          <w:position w:val="1"/>
        </w:rPr>
        <w:t xml:space="preserve">as: </w:t>
      </w:r>
      <w:r>
        <w:drawing>
          <wp:inline distT="0" distB="0" distL="0" distR="0">
            <wp:extent cx="631092" cy="200132"/>
            <wp:effectExtent l="0" t="0" r="0" b="0"/>
            <wp:docPr id="11" name="Image 11" descr="beta subscript 1 end hat comma dot dot dot comma beta subscript n end hat"/>
            <wp:cNvGraphicFramePr/>
            <a:graphic xmlns:a="http://schemas.openxmlformats.org/drawingml/2006/main">
              <a:graphicData uri="http://schemas.openxmlformats.org/drawingml/2006/picture">
                <pic:pic xmlns:pic="http://schemas.openxmlformats.org/drawingml/2006/picture">
                  <pic:nvPicPr>
                    <pic:cNvPr id="11" name="Image 11" descr="beta subscript 1 end hat comma dot dot dot comma beta subscript n end hat"/>
                    <pic:cNvPicPr/>
                  </pic:nvPicPr>
                  <pic:blipFill>
                    <a:blip xmlns:r="http://schemas.openxmlformats.org/officeDocument/2006/relationships" r:embed="rId8" cstate="print"/>
                    <a:stretch>
                      <a:fillRect/>
                    </a:stretch>
                  </pic:blipFill>
                  <pic:spPr>
                    <a:xfrm>
                      <a:off x="0" y="0"/>
                      <a:ext cx="631092" cy="200132"/>
                    </a:xfrm>
                    <a:prstGeom prst="rect">
                      <a:avLst/>
                    </a:prstGeom>
                  </pic:spPr>
                </pic:pic>
              </a:graphicData>
            </a:graphic>
          </wp:inline>
        </w:drawing>
      </w:r>
    </w:p>
    <w:p>
      <w:pPr>
        <w:pStyle w:val="ListParagraph"/>
        <w:numPr>
          <w:ilvl w:val="0"/>
          <w:numId w:val="7"/>
        </w:numPr>
        <w:tabs>
          <w:tab w:val="left" w:pos="720"/>
        </w:tabs>
        <w:spacing w:before="126" w:after="0" w:line="240" w:lineRule="auto"/>
        <w:ind w:left="720" w:right="0" w:hanging="360"/>
        <w:jc w:val="left"/>
        <w:rPr>
          <w:position w:val="-7"/>
          <w:sz w:val="24"/>
        </w:rPr>
      </w:pPr>
      <w:r>
        <w:rPr>
          <w:sz w:val="24"/>
        </w:rPr>
        <w:t xml:space="preserve">Calculate reporting unit </w:t>
      </w:r>
      <w:r>
        <w:rPr>
          <w:i/>
          <w:sz w:val="24"/>
        </w:rPr>
        <w:t>i</w:t>
      </w:r>
      <w:r>
        <w:rPr>
          <w:sz w:val="24"/>
        </w:rPr>
        <w:t xml:space="preserve">’s raw unadjusted score: </w:t>
      </w:r>
      <w:r>
        <w:rPr>
          <w:spacing w:val="1"/>
          <w:position w:val="-7"/>
          <w:sz w:val="24"/>
        </w:rPr>
        <w:drawing>
          <wp:inline distT="0" distB="0" distL="0" distR="0">
            <wp:extent cx="496569" cy="159931"/>
            <wp:effectExtent l="0" t="0" r="0" b="0"/>
            <wp:docPr id="12" name="Image 12" descr="y subscript i comma unadj end"/>
            <wp:cNvGraphicFramePr/>
            <a:graphic xmlns:a="http://schemas.openxmlformats.org/drawingml/2006/main">
              <a:graphicData uri="http://schemas.openxmlformats.org/drawingml/2006/picture">
                <pic:pic xmlns:pic="http://schemas.openxmlformats.org/drawingml/2006/picture">
                  <pic:nvPicPr>
                    <pic:cNvPr id="12" name="Image 12" descr="y subscript i comma unadj end"/>
                    <pic:cNvPicPr/>
                  </pic:nvPicPr>
                  <pic:blipFill>
                    <a:blip xmlns:r="http://schemas.openxmlformats.org/officeDocument/2006/relationships" r:embed="rId9" cstate="print"/>
                    <a:stretch>
                      <a:fillRect/>
                    </a:stretch>
                  </pic:blipFill>
                  <pic:spPr>
                    <a:xfrm>
                      <a:off x="0" y="0"/>
                      <a:ext cx="496569" cy="159931"/>
                    </a:xfrm>
                    <a:prstGeom prst="rect">
                      <a:avLst/>
                    </a:prstGeom>
                  </pic:spPr>
                </pic:pic>
              </a:graphicData>
            </a:graphic>
          </wp:inline>
        </w:drawing>
      </w:r>
    </w:p>
    <w:p>
      <w:pPr>
        <w:pStyle w:val="ListParagraph"/>
        <w:numPr>
          <w:ilvl w:val="0"/>
          <w:numId w:val="7"/>
        </w:numPr>
        <w:tabs>
          <w:tab w:val="left" w:pos="720"/>
        </w:tabs>
        <w:spacing w:before="121" w:after="0" w:line="240" w:lineRule="auto"/>
        <w:ind w:left="720" w:right="0" w:hanging="360"/>
        <w:jc w:val="left"/>
        <w:rPr>
          <w:position w:val="-8"/>
          <w:sz w:val="24"/>
        </w:rPr>
      </w:pPr>
      <w:r>
        <w:rPr>
          <w:sz w:val="24"/>
        </w:rPr>
        <w:t xml:space="preserve">Calculate reporting unit </w:t>
      </w:r>
      <w:r>
        <w:rPr>
          <w:i/>
          <w:sz w:val="24"/>
        </w:rPr>
        <w:t>i</w:t>
      </w:r>
      <w:r>
        <w:rPr>
          <w:sz w:val="24"/>
        </w:rPr>
        <w:t>’s</w:t>
      </w:r>
      <w:r>
        <w:rPr>
          <w:spacing w:val="-1"/>
          <w:sz w:val="24"/>
        </w:rPr>
        <w:t xml:space="preserve"> </w:t>
      </w:r>
      <w:r>
        <w:rPr>
          <w:sz w:val="24"/>
        </w:rPr>
        <w:t>mean values for</w:t>
      </w:r>
      <w:r>
        <w:rPr>
          <w:spacing w:val="-2"/>
          <w:sz w:val="24"/>
        </w:rPr>
        <w:t xml:space="preserve"> </w:t>
      </w:r>
      <w:r>
        <w:rPr>
          <w:sz w:val="24"/>
        </w:rPr>
        <w:t>adjuster variables</w:t>
      </w:r>
      <w:hyperlink w:anchor="_bookmark12" w:history="1">
        <w:r>
          <w:rPr>
            <w:sz w:val="24"/>
            <w:vertAlign w:val="superscript"/>
          </w:rPr>
          <w:t>5</w:t>
        </w:r>
      </w:hyperlink>
      <w:r>
        <w:rPr>
          <w:sz w:val="24"/>
          <w:vertAlign w:val="baseline"/>
        </w:rPr>
        <w:t>:</w:t>
      </w:r>
      <w:r>
        <w:rPr>
          <w:spacing w:val="-6"/>
          <w:sz w:val="24"/>
          <w:vertAlign w:val="baseline"/>
        </w:rPr>
        <w:t xml:space="preserve"> </w:t>
      </w:r>
      <w:r>
        <w:rPr>
          <w:spacing w:val="-6"/>
          <w:position w:val="-8"/>
          <w:sz w:val="24"/>
          <w:vertAlign w:val="baseline"/>
        </w:rPr>
        <w:drawing>
          <wp:inline distT="0" distB="0" distL="0" distR="0">
            <wp:extent cx="864127" cy="167614"/>
            <wp:effectExtent l="0" t="0" r="0" b="0"/>
            <wp:docPr id="13" name="Image 13" descr="overline alpha subscript U i comma 1 end comma dot dot dot comma overline alpha subscript U i comma n end"/>
            <wp:cNvGraphicFramePr/>
            <a:graphic xmlns:a="http://schemas.openxmlformats.org/drawingml/2006/main">
              <a:graphicData uri="http://schemas.openxmlformats.org/drawingml/2006/picture">
                <pic:pic xmlns:pic="http://schemas.openxmlformats.org/drawingml/2006/picture">
                  <pic:nvPicPr>
                    <pic:cNvPr id="13" name="Image 13" descr="overline alpha subscript U i comma 1 end comma dot dot dot comma overline alpha subscript U i comma n end"/>
                    <pic:cNvPicPr/>
                  </pic:nvPicPr>
                  <pic:blipFill>
                    <a:blip xmlns:r="http://schemas.openxmlformats.org/officeDocument/2006/relationships" r:embed="rId10" cstate="print"/>
                    <a:stretch>
                      <a:fillRect/>
                    </a:stretch>
                  </pic:blipFill>
                  <pic:spPr>
                    <a:xfrm>
                      <a:off x="0" y="0"/>
                      <a:ext cx="864127" cy="167614"/>
                    </a:xfrm>
                    <a:prstGeom prst="rect">
                      <a:avLst/>
                    </a:prstGeom>
                  </pic:spPr>
                </pic:pic>
              </a:graphicData>
            </a:graphic>
          </wp:inline>
        </w:drawing>
      </w:r>
    </w:p>
    <w:p>
      <w:pPr>
        <w:pStyle w:val="ListParagraph"/>
        <w:numPr>
          <w:ilvl w:val="0"/>
          <w:numId w:val="7"/>
        </w:numPr>
        <w:tabs>
          <w:tab w:val="left" w:pos="720"/>
        </w:tabs>
        <w:spacing w:before="126" w:after="0" w:line="240" w:lineRule="auto"/>
        <w:ind w:left="720" w:right="0" w:hanging="360"/>
        <w:jc w:val="left"/>
        <w:rPr>
          <w:position w:val="-7"/>
          <w:sz w:val="24"/>
        </w:rPr>
      </w:pPr>
      <w:r>
        <w:rPr>
          <w:sz w:val="24"/>
        </w:rPr>
        <w:t xml:space="preserve">Calculate national-level mean values for adjuster variables: </w:t>
      </w:r>
      <w:r>
        <w:rPr>
          <w:spacing w:val="3"/>
          <w:position w:val="-7"/>
          <w:sz w:val="24"/>
        </w:rPr>
        <w:drawing>
          <wp:inline distT="0" distB="0" distL="0" distR="0">
            <wp:extent cx="796834" cy="166173"/>
            <wp:effectExtent l="0" t="0" r="0" b="0"/>
            <wp:docPr id="14" name="Image 14" descr="overline alpha subscript N comma 1 end comma dot dot dot comma overline alpha subscript N comma n end"/>
            <wp:cNvGraphicFramePr/>
            <a:graphic xmlns:a="http://schemas.openxmlformats.org/drawingml/2006/main">
              <a:graphicData uri="http://schemas.openxmlformats.org/drawingml/2006/picture">
                <pic:pic xmlns:pic="http://schemas.openxmlformats.org/drawingml/2006/picture">
                  <pic:nvPicPr>
                    <pic:cNvPr id="14" name="Image 14" descr="overline alpha subscript N comma 1 end comma dot dot dot comma overline alpha subscript N comma n end"/>
                    <pic:cNvPicPr/>
                  </pic:nvPicPr>
                  <pic:blipFill>
                    <a:blip xmlns:r="http://schemas.openxmlformats.org/officeDocument/2006/relationships" r:embed="rId11" cstate="print"/>
                    <a:stretch>
                      <a:fillRect/>
                    </a:stretch>
                  </pic:blipFill>
                  <pic:spPr>
                    <a:xfrm>
                      <a:off x="0" y="0"/>
                      <a:ext cx="796834" cy="166173"/>
                    </a:xfrm>
                    <a:prstGeom prst="rect">
                      <a:avLst/>
                    </a:prstGeom>
                  </pic:spPr>
                </pic:pic>
              </a:graphicData>
            </a:graphic>
          </wp:inline>
        </w:drawing>
      </w:r>
    </w:p>
    <w:p>
      <w:pPr>
        <w:pStyle w:val="ListParagraph"/>
        <w:numPr>
          <w:ilvl w:val="0"/>
          <w:numId w:val="7"/>
        </w:numPr>
        <w:tabs>
          <w:tab w:val="left" w:pos="720"/>
        </w:tabs>
        <w:spacing w:before="159" w:after="0" w:line="240" w:lineRule="auto"/>
        <w:ind w:left="720" w:right="0" w:hanging="360"/>
        <w:jc w:val="left"/>
        <w:rPr>
          <w:sz w:val="24"/>
        </w:rPr>
      </w:pPr>
      <w:r>
        <w:rPr>
          <w:sz w:val="24"/>
        </w:rPr>
        <w:t>Calculate</w:t>
      </w:r>
      <w:r>
        <w:rPr>
          <w:spacing w:val="-2"/>
          <w:sz w:val="24"/>
        </w:rPr>
        <w:t xml:space="preserve"> </w:t>
      </w:r>
      <w:r>
        <w:rPr>
          <w:sz w:val="24"/>
        </w:rPr>
        <w:t>reporting</w:t>
      </w:r>
      <w:r>
        <w:rPr>
          <w:spacing w:val="-1"/>
          <w:sz w:val="24"/>
        </w:rPr>
        <w:t xml:space="preserve"> </w:t>
      </w:r>
      <w:r>
        <w:rPr>
          <w:sz w:val="24"/>
        </w:rPr>
        <w:t xml:space="preserve">unit </w:t>
      </w:r>
      <w:r>
        <w:rPr>
          <w:i/>
          <w:sz w:val="24"/>
        </w:rPr>
        <w:t>i</w:t>
      </w:r>
      <w:r>
        <w:rPr>
          <w:sz w:val="24"/>
        </w:rPr>
        <w:t>’s</w:t>
      </w:r>
      <w:r>
        <w:rPr>
          <w:spacing w:val="-2"/>
          <w:sz w:val="24"/>
        </w:rPr>
        <w:t xml:space="preserve"> </w:t>
      </w:r>
      <w:r>
        <w:rPr>
          <w:sz w:val="24"/>
        </w:rPr>
        <w:t>case-mix</w:t>
      </w:r>
      <w:r>
        <w:rPr>
          <w:spacing w:val="-2"/>
          <w:sz w:val="24"/>
        </w:rPr>
        <w:t xml:space="preserve"> </w:t>
      </w:r>
      <w:r>
        <w:rPr>
          <w:sz w:val="24"/>
        </w:rPr>
        <w:t>adjusted</w:t>
      </w:r>
      <w:r>
        <w:rPr>
          <w:spacing w:val="-1"/>
          <w:sz w:val="24"/>
        </w:rPr>
        <w:t xml:space="preserve"> </w:t>
      </w:r>
      <w:r>
        <w:rPr>
          <w:sz w:val="24"/>
        </w:rPr>
        <w:t>raw score,</w:t>
      </w:r>
      <w:r>
        <w:rPr>
          <w:spacing w:val="-1"/>
          <w:sz w:val="24"/>
        </w:rPr>
        <w:t xml:space="preserve"> </w:t>
      </w:r>
      <w:r>
        <w:rPr>
          <w:spacing w:val="1"/>
          <w:position w:val="-8"/>
          <w:sz w:val="24"/>
        </w:rPr>
        <w:drawing>
          <wp:inline distT="0" distB="0" distL="0" distR="0">
            <wp:extent cx="306070" cy="167500"/>
            <wp:effectExtent l="0" t="0" r="0" b="0"/>
            <wp:docPr id="15" name="Image 15" descr="y subscript a d j "/>
            <wp:cNvGraphicFramePr/>
            <a:graphic xmlns:a="http://schemas.openxmlformats.org/drawingml/2006/main">
              <a:graphicData uri="http://schemas.openxmlformats.org/drawingml/2006/picture">
                <pic:pic xmlns:pic="http://schemas.openxmlformats.org/drawingml/2006/picture">
                  <pic:nvPicPr>
                    <pic:cNvPr id="15" name="Image 15" descr="y subscript a d j "/>
                    <pic:cNvPicPr/>
                  </pic:nvPicPr>
                  <pic:blipFill>
                    <a:blip xmlns:r="http://schemas.openxmlformats.org/officeDocument/2006/relationships" r:embed="rId12" cstate="print"/>
                    <a:stretch>
                      <a:fillRect/>
                    </a:stretch>
                  </pic:blipFill>
                  <pic:spPr>
                    <a:xfrm>
                      <a:off x="0" y="0"/>
                      <a:ext cx="306070" cy="167500"/>
                    </a:xfrm>
                    <a:prstGeom prst="rect">
                      <a:avLst/>
                    </a:prstGeom>
                  </pic:spPr>
                </pic:pic>
              </a:graphicData>
            </a:graphic>
          </wp:inline>
        </w:drawing>
      </w:r>
      <w:r>
        <w:rPr>
          <w:sz w:val="24"/>
        </w:rPr>
        <w:t>,</w:t>
      </w:r>
      <w:r>
        <w:rPr>
          <w:spacing w:val="-1"/>
          <w:sz w:val="24"/>
        </w:rPr>
        <w:t xml:space="preserve"> </w:t>
      </w:r>
      <w:r>
        <w:rPr>
          <w:sz w:val="24"/>
        </w:rPr>
        <w:t>using</w:t>
      </w:r>
      <w:r>
        <w:rPr>
          <w:spacing w:val="-1"/>
          <w:sz w:val="24"/>
        </w:rPr>
        <w:t xml:space="preserve"> </w:t>
      </w:r>
      <w:r>
        <w:rPr>
          <w:sz w:val="24"/>
        </w:rPr>
        <w:t>the</w:t>
      </w:r>
      <w:r>
        <w:rPr>
          <w:spacing w:val="-1"/>
          <w:sz w:val="24"/>
        </w:rPr>
        <w:t xml:space="preserve"> </w:t>
      </w:r>
      <w:r>
        <w:rPr>
          <w:sz w:val="24"/>
        </w:rPr>
        <w:t>following</w:t>
      </w:r>
      <w:r>
        <w:rPr>
          <w:spacing w:val="-1"/>
          <w:sz w:val="24"/>
        </w:rPr>
        <w:t xml:space="preserve"> </w:t>
      </w:r>
      <w:r>
        <w:rPr>
          <w:spacing w:val="-2"/>
          <w:sz w:val="24"/>
        </w:rPr>
        <w:t>formula:</w:t>
      </w:r>
    </w:p>
    <w:p>
      <w:pPr>
        <w:pStyle w:val="BodyText"/>
        <w:spacing w:before="10"/>
        <w:ind w:left="0"/>
        <w:rPr>
          <w:sz w:val="8"/>
        </w:rPr>
      </w:pPr>
      <w:r>
        <w:rPr>
          <w:sz w:val="8"/>
        </w:rPr>
        <w:drawing>
          <wp:anchor distT="0" distB="0" distL="0" distR="0" simplePos="0" relativeHeight="251667456" behindDoc="1" locked="0" layoutInCell="1" allowOverlap="1">
            <wp:simplePos x="0" y="0"/>
            <wp:positionH relativeFrom="page">
              <wp:posOffset>1929510</wp:posOffset>
            </wp:positionH>
            <wp:positionV relativeFrom="paragraph">
              <wp:posOffset>80309</wp:posOffset>
            </wp:positionV>
            <wp:extent cx="3890199" cy="221170"/>
            <wp:effectExtent l="0" t="0" r="0" b="0"/>
            <wp:wrapTopAndBottom/>
            <wp:docPr id="16" name="Image 16" descr="y subscript i comma a d j end equals y subscript i comma u n a d j end plus beta subscript 1 end hat left parenthesis overline alpha subscript U i comma 1 end minus overline alpha subscript N comma 1 end right parenthesis plus cdotp cdotp cdotp plus beta subscript n end hat left parenthesis overline alpha subscript U i comma n end minus overline alpha subscript N comma n end right parenthesis"/>
            <wp:cNvGraphicFramePr/>
            <a:graphic xmlns:a="http://schemas.openxmlformats.org/drawingml/2006/main">
              <a:graphicData uri="http://schemas.openxmlformats.org/drawingml/2006/picture">
                <pic:pic xmlns:pic="http://schemas.openxmlformats.org/drawingml/2006/picture">
                  <pic:nvPicPr>
                    <pic:cNvPr id="16" name="Image 16" descr="y subscript i comma a d j end equals y subscript i comma u n a d j end plus beta subscript 1 end hat left parenthesis overline alpha subscript U i comma 1 end minus overline alpha subscript N comma 1 end right parenthesis plus cdotp cdotp cdotp plus beta subscript n end hat left parenthesis overline alpha subscript U i comma n end minus overline alpha subscript N comma n end right parenthesis"/>
                    <pic:cNvPicPr/>
                  </pic:nvPicPr>
                  <pic:blipFill>
                    <a:blip xmlns:r="http://schemas.openxmlformats.org/officeDocument/2006/relationships" r:embed="rId13" cstate="print"/>
                    <a:stretch>
                      <a:fillRect/>
                    </a:stretch>
                  </pic:blipFill>
                  <pic:spPr>
                    <a:xfrm>
                      <a:off x="0" y="0"/>
                      <a:ext cx="3890199" cy="221170"/>
                    </a:xfrm>
                    <a:prstGeom prst="rect">
                      <a:avLst/>
                    </a:prstGeom>
                  </pic:spPr>
                </pic:pic>
              </a:graphicData>
            </a:graphic>
          </wp:anchor>
        </w:drawing>
      </w: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32"/>
        <w:ind w:left="0"/>
        <w:rPr>
          <w:sz w:val="20"/>
        </w:rPr>
      </w:pPr>
      <w:r>
        <w:rPr>
          <w:sz w:val="20"/>
        </w:rPr>
        <mc:AlternateContent>
          <mc:Choice Requires="wps">
            <w:drawing>
              <wp:anchor distT="0" distB="0" distL="0" distR="0" simplePos="0" relativeHeight="251668480" behindDoc="1" locked="0" layoutInCell="1" allowOverlap="1">
                <wp:simplePos x="0" y="0"/>
                <wp:positionH relativeFrom="page">
                  <wp:posOffset>914704</wp:posOffset>
                </wp:positionH>
                <wp:positionV relativeFrom="paragraph">
                  <wp:posOffset>181951</wp:posOffset>
                </wp:positionV>
                <wp:extent cx="1829435" cy="7620"/>
                <wp:effectExtent l="0" t="0" r="0" b="0"/>
                <wp:wrapTopAndBottom/>
                <wp:docPr id="17" name="Graphic 17"/>
                <wp:cNvGraphicFramePr/>
                <a:graphic xmlns:a="http://schemas.openxmlformats.org/drawingml/2006/main">
                  <a:graphicData uri="http://schemas.microsoft.com/office/word/2010/wordprocessingShape">
                    <wps:wsp xmlns:wps="http://schemas.microsoft.com/office/word/2010/wordprocessingShape">
                      <wps:cNvSpPr/>
                      <wps:spPr>
                        <a:xfrm>
                          <a:off x="0" y="0"/>
                          <a:ext cx="1829435" cy="7620"/>
                        </a:xfrm>
                        <a:custGeom>
                          <a:avLst/>
                          <a:gdLst/>
                          <a:rect l="l" t="t" r="r" b="b"/>
                          <a:pathLst>
                            <a:path fill="norm" h="7620" w="1829435" stroke="1">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wps:bodyPr>
                    </wps:wsp>
                  </a:graphicData>
                </a:graphic>
              </wp:anchor>
            </w:drawing>
          </mc:Choice>
          <mc:Fallback>
            <w:pict>
              <v:rect id="_x0000_s1030" style="width:144.02pt;height:0.6pt;margin-top:14.33pt;margin-left:72.02pt;mso-position-horizontal-relative:page;mso-wrap-distance-left:0;mso-wrap-distance-right:0;position:absolute;z-index:-251646976" filled="t" fillcolor="black" stroked="f">
                <v:fill type="solid"/>
                <w10:wrap type="topAndBottom"/>
              </v:rect>
            </w:pict>
          </mc:Fallback>
        </mc:AlternateContent>
      </w:r>
    </w:p>
    <w:p>
      <w:pPr>
        <w:spacing w:before="103"/>
        <w:ind w:left="360" w:right="0" w:firstLine="0"/>
        <w:jc w:val="left"/>
        <w:rPr>
          <w:i/>
          <w:sz w:val="20"/>
        </w:rPr>
      </w:pPr>
      <w:bookmarkStart w:id="21" w:name="_bookmark12"/>
      <w:bookmarkEnd w:id="21"/>
      <w:r>
        <w:rPr>
          <w:sz w:val="20"/>
          <w:vertAlign w:val="superscript"/>
        </w:rPr>
        <w:t>5</w:t>
      </w:r>
      <w:r>
        <w:rPr>
          <w:spacing w:val="-5"/>
          <w:sz w:val="20"/>
          <w:vertAlign w:val="baseline"/>
        </w:rPr>
        <w:t xml:space="preserve"> </w:t>
      </w:r>
      <w:r>
        <w:rPr>
          <w:sz w:val="20"/>
          <w:vertAlign w:val="baseline"/>
        </w:rPr>
        <w:t>Missing</w:t>
      </w:r>
      <w:r>
        <w:rPr>
          <w:spacing w:val="-4"/>
          <w:sz w:val="20"/>
          <w:vertAlign w:val="baseline"/>
        </w:rPr>
        <w:t xml:space="preserve"> </w:t>
      </w:r>
      <w:r>
        <w:rPr>
          <w:sz w:val="20"/>
          <w:vertAlign w:val="baseline"/>
        </w:rPr>
        <w:t>values</w:t>
      </w:r>
      <w:r>
        <w:rPr>
          <w:spacing w:val="-6"/>
          <w:sz w:val="20"/>
          <w:vertAlign w:val="baseline"/>
        </w:rPr>
        <w:t xml:space="preserve"> </w:t>
      </w:r>
      <w:r>
        <w:rPr>
          <w:sz w:val="20"/>
          <w:vertAlign w:val="baseline"/>
        </w:rPr>
        <w:t>are</w:t>
      </w:r>
      <w:r>
        <w:rPr>
          <w:spacing w:val="-5"/>
          <w:sz w:val="20"/>
          <w:vertAlign w:val="baseline"/>
        </w:rPr>
        <w:t xml:space="preserve"> </w:t>
      </w:r>
      <w:r>
        <w:rPr>
          <w:sz w:val="20"/>
          <w:vertAlign w:val="baseline"/>
        </w:rPr>
        <w:t>imputed</w:t>
      </w:r>
      <w:r>
        <w:rPr>
          <w:spacing w:val="-6"/>
          <w:sz w:val="20"/>
          <w:vertAlign w:val="baseline"/>
        </w:rPr>
        <w:t xml:space="preserve"> </w:t>
      </w:r>
      <w:r>
        <w:rPr>
          <w:sz w:val="20"/>
          <w:vertAlign w:val="baseline"/>
        </w:rPr>
        <w:t>by</w:t>
      </w:r>
      <w:r>
        <w:rPr>
          <w:spacing w:val="-4"/>
          <w:sz w:val="20"/>
          <w:vertAlign w:val="baseline"/>
        </w:rPr>
        <w:t xml:space="preserve"> </w:t>
      </w:r>
      <w:r>
        <w:rPr>
          <w:sz w:val="20"/>
          <w:vertAlign w:val="baseline"/>
        </w:rPr>
        <w:t>substituting</w:t>
      </w:r>
      <w:r>
        <w:rPr>
          <w:spacing w:val="-4"/>
          <w:sz w:val="20"/>
          <w:vertAlign w:val="baseline"/>
        </w:rPr>
        <w:t xml:space="preserve"> </w:t>
      </w:r>
      <w:r>
        <w:rPr>
          <w:sz w:val="20"/>
          <w:vertAlign w:val="baseline"/>
        </w:rPr>
        <w:t>the</w:t>
      </w:r>
      <w:r>
        <w:rPr>
          <w:spacing w:val="-4"/>
          <w:sz w:val="20"/>
          <w:vertAlign w:val="baseline"/>
        </w:rPr>
        <w:t xml:space="preserve"> </w:t>
      </w:r>
      <w:r>
        <w:rPr>
          <w:sz w:val="20"/>
          <w:vertAlign w:val="baseline"/>
        </w:rPr>
        <w:t>mean</w:t>
      </w:r>
      <w:r>
        <w:rPr>
          <w:spacing w:val="-4"/>
          <w:sz w:val="20"/>
          <w:vertAlign w:val="baseline"/>
        </w:rPr>
        <w:t xml:space="preserve"> </w:t>
      </w:r>
      <w:r>
        <w:rPr>
          <w:sz w:val="20"/>
          <w:vertAlign w:val="baseline"/>
        </w:rPr>
        <w:t>adjuster</w:t>
      </w:r>
      <w:r>
        <w:rPr>
          <w:spacing w:val="-4"/>
          <w:sz w:val="20"/>
          <w:vertAlign w:val="baseline"/>
        </w:rPr>
        <w:t xml:space="preserve"> </w:t>
      </w:r>
      <w:r>
        <w:rPr>
          <w:sz w:val="20"/>
          <w:vertAlign w:val="baseline"/>
        </w:rPr>
        <w:t>value</w:t>
      </w:r>
      <w:r>
        <w:rPr>
          <w:spacing w:val="-5"/>
          <w:sz w:val="20"/>
          <w:vertAlign w:val="baseline"/>
        </w:rPr>
        <w:t xml:space="preserve"> </w:t>
      </w:r>
      <w:r>
        <w:rPr>
          <w:sz w:val="20"/>
          <w:vertAlign w:val="baseline"/>
        </w:rPr>
        <w:t>of</w:t>
      </w:r>
      <w:r>
        <w:rPr>
          <w:spacing w:val="-5"/>
          <w:sz w:val="20"/>
          <w:vertAlign w:val="baseline"/>
        </w:rPr>
        <w:t xml:space="preserve"> </w:t>
      </w:r>
      <w:r>
        <w:rPr>
          <w:sz w:val="20"/>
          <w:vertAlign w:val="baseline"/>
        </w:rPr>
        <w:t>reporting</w:t>
      </w:r>
      <w:r>
        <w:rPr>
          <w:spacing w:val="-6"/>
          <w:sz w:val="20"/>
          <w:vertAlign w:val="baseline"/>
        </w:rPr>
        <w:t xml:space="preserve"> </w:t>
      </w:r>
      <w:r>
        <w:rPr>
          <w:sz w:val="20"/>
          <w:vertAlign w:val="baseline"/>
        </w:rPr>
        <w:t>unit</w:t>
      </w:r>
      <w:r>
        <w:rPr>
          <w:spacing w:val="3"/>
          <w:sz w:val="20"/>
          <w:vertAlign w:val="baseline"/>
        </w:rPr>
        <w:t xml:space="preserve"> </w:t>
      </w:r>
      <w:r>
        <w:rPr>
          <w:i/>
          <w:spacing w:val="-5"/>
          <w:sz w:val="20"/>
          <w:vertAlign w:val="baseline"/>
        </w:rPr>
        <w:t>i.</w:t>
      </w:r>
    </w:p>
    <w:p>
      <w:pPr>
        <w:spacing w:after="0"/>
        <w:jc w:val="left"/>
        <w:rPr>
          <w:i/>
          <w:sz w:val="20"/>
        </w:rPr>
        <w:sectPr>
          <w:pgSz w:w="12240" w:h="15840"/>
          <w:pgMar w:top="1360" w:right="1080" w:bottom="940" w:left="1080" w:header="0" w:footer="748"/>
          <w:cols w:space="720"/>
        </w:sectPr>
      </w:pPr>
    </w:p>
    <w:p>
      <w:pPr>
        <w:pStyle w:val="Heading2"/>
        <w:numPr>
          <w:ilvl w:val="0"/>
          <w:numId w:val="19"/>
        </w:numPr>
        <w:tabs>
          <w:tab w:val="left" w:pos="718"/>
        </w:tabs>
        <w:spacing w:before="79" w:after="0" w:line="240" w:lineRule="auto"/>
        <w:ind w:left="360" w:right="452" w:firstLine="0"/>
        <w:jc w:val="left"/>
      </w:pPr>
      <w:bookmarkStart w:id="22" w:name="3. Methods to Maximize Response Rates an"/>
      <w:bookmarkEnd w:id="22"/>
      <w:bookmarkStart w:id="23" w:name="3.1 Maximizing Response Rates"/>
      <w:bookmarkEnd w:id="23"/>
      <w:bookmarkStart w:id="24" w:name="3.2 Evaluating Non-Response Bias"/>
      <w:bookmarkEnd w:id="24"/>
      <w:bookmarkStart w:id="25" w:name="_bookmark13"/>
      <w:bookmarkEnd w:id="25"/>
      <w:r>
        <w:t>Methods</w:t>
      </w:r>
      <w:r>
        <w:rPr>
          <w:spacing w:val="-6"/>
        </w:rPr>
        <w:t xml:space="preserve"> </w:t>
      </w:r>
      <w:r>
        <w:t>to</w:t>
      </w:r>
      <w:r>
        <w:rPr>
          <w:spacing w:val="-4"/>
        </w:rPr>
        <w:t xml:space="preserve"> </w:t>
      </w:r>
      <w:r>
        <w:t>Maximize</w:t>
      </w:r>
      <w:r>
        <w:rPr>
          <w:spacing w:val="-8"/>
        </w:rPr>
        <w:t xml:space="preserve"> </w:t>
      </w:r>
      <w:r>
        <w:t>Response</w:t>
      </w:r>
      <w:r>
        <w:rPr>
          <w:spacing w:val="-8"/>
        </w:rPr>
        <w:t xml:space="preserve"> </w:t>
      </w:r>
      <w:r>
        <w:t>Rates and</w:t>
      </w:r>
      <w:r>
        <w:rPr>
          <w:spacing w:val="-4"/>
        </w:rPr>
        <w:t xml:space="preserve"> </w:t>
      </w:r>
      <w:r>
        <w:t>Address</w:t>
      </w:r>
      <w:r>
        <w:rPr>
          <w:spacing w:val="-6"/>
        </w:rPr>
        <w:t xml:space="preserve"> </w:t>
      </w:r>
      <w:r>
        <w:t xml:space="preserve">Non-Response </w:t>
      </w:r>
      <w:r>
        <w:rPr>
          <w:spacing w:val="-4"/>
        </w:rPr>
        <w:t>Bias</w:t>
      </w:r>
    </w:p>
    <w:p>
      <w:pPr>
        <w:pStyle w:val="Heading3"/>
        <w:numPr>
          <w:ilvl w:val="1"/>
          <w:numId w:val="19"/>
        </w:numPr>
        <w:tabs>
          <w:tab w:val="left" w:pos="761"/>
        </w:tabs>
        <w:spacing w:before="241" w:after="0" w:line="240" w:lineRule="auto"/>
        <w:ind w:left="761" w:right="0" w:hanging="401"/>
        <w:jc w:val="left"/>
        <w:rPr>
          <w:i/>
        </w:rPr>
      </w:pPr>
      <w:bookmarkStart w:id="26" w:name="_bookmark14"/>
      <w:bookmarkEnd w:id="26"/>
      <w:r>
        <w:rPr>
          <w:i/>
        </w:rPr>
        <w:t>Maximizing</w:t>
      </w:r>
      <w:r>
        <w:rPr>
          <w:i/>
          <w:spacing w:val="-6"/>
        </w:rPr>
        <w:t xml:space="preserve"> </w:t>
      </w:r>
      <w:r>
        <w:rPr>
          <w:i/>
        </w:rPr>
        <w:t>Response</w:t>
      </w:r>
      <w:r>
        <w:rPr>
          <w:i/>
          <w:spacing w:val="-4"/>
        </w:rPr>
        <w:t xml:space="preserve"> </w:t>
      </w:r>
      <w:r>
        <w:rPr>
          <w:i/>
          <w:spacing w:val="-2"/>
        </w:rPr>
        <w:t>Rates</w:t>
      </w:r>
    </w:p>
    <w:p>
      <w:pPr>
        <w:pStyle w:val="BodyText"/>
        <w:spacing w:before="119"/>
        <w:ind w:right="421"/>
      </w:pPr>
      <w:r>
        <w:t>CMS</w:t>
      </w:r>
      <w:r>
        <w:rPr>
          <w:spacing w:val="-3"/>
        </w:rPr>
        <w:t xml:space="preserve"> </w:t>
      </w:r>
      <w:r>
        <w:t>will</w:t>
      </w:r>
      <w:r>
        <w:rPr>
          <w:spacing w:val="-3"/>
        </w:rPr>
        <w:t xml:space="preserve"> </w:t>
      </w:r>
      <w:r>
        <w:t>make</w:t>
      </w:r>
      <w:r>
        <w:rPr>
          <w:spacing w:val="-5"/>
        </w:rPr>
        <w:t xml:space="preserve"> </w:t>
      </w:r>
      <w:r>
        <w:t>every</w:t>
      </w:r>
      <w:r>
        <w:rPr>
          <w:spacing w:val="-3"/>
        </w:rPr>
        <w:t xml:space="preserve"> </w:t>
      </w:r>
      <w:r>
        <w:t>effort</w:t>
      </w:r>
      <w:r>
        <w:rPr>
          <w:spacing w:val="-3"/>
        </w:rPr>
        <w:t xml:space="preserve"> </w:t>
      </w:r>
      <w:r>
        <w:t>to</w:t>
      </w:r>
      <w:r>
        <w:rPr>
          <w:spacing w:val="-3"/>
        </w:rPr>
        <w:t xml:space="preserve"> </w:t>
      </w:r>
      <w:r>
        <w:t>maximize</w:t>
      </w:r>
      <w:r>
        <w:rPr>
          <w:spacing w:val="-5"/>
        </w:rPr>
        <w:t xml:space="preserve"> </w:t>
      </w:r>
      <w:r>
        <w:t>the</w:t>
      </w:r>
      <w:r>
        <w:rPr>
          <w:spacing w:val="-3"/>
        </w:rPr>
        <w:t xml:space="preserve"> </w:t>
      </w:r>
      <w:r>
        <w:t>response</w:t>
      </w:r>
      <w:r>
        <w:rPr>
          <w:spacing w:val="-4"/>
        </w:rPr>
        <w:t xml:space="preserve"> </w:t>
      </w:r>
      <w:r>
        <w:t>rate,</w:t>
      </w:r>
      <w:r>
        <w:rPr>
          <w:spacing w:val="-3"/>
        </w:rPr>
        <w:t xml:space="preserve"> </w:t>
      </w:r>
      <w:r>
        <w:t>while</w:t>
      </w:r>
      <w:r>
        <w:rPr>
          <w:spacing w:val="-2"/>
        </w:rPr>
        <w:t xml:space="preserve"> </w:t>
      </w:r>
      <w:r>
        <w:t>retaining</w:t>
      </w:r>
      <w:r>
        <w:rPr>
          <w:spacing w:val="-3"/>
        </w:rPr>
        <w:t xml:space="preserve"> </w:t>
      </w:r>
      <w:r>
        <w:t>the</w:t>
      </w:r>
      <w:r>
        <w:rPr>
          <w:spacing w:val="-4"/>
        </w:rPr>
        <w:t xml:space="preserve"> </w:t>
      </w:r>
      <w:r>
        <w:t>voluntary</w:t>
      </w:r>
      <w:r>
        <w:rPr>
          <w:spacing w:val="-3"/>
        </w:rPr>
        <w:t xml:space="preserve"> </w:t>
      </w:r>
      <w:r>
        <w:t>nature of the survey. The mixed-mode methodology of the QHP Enrollee Survey provides sampled individuals</w:t>
      </w:r>
      <w:r>
        <w:rPr>
          <w:spacing w:val="-2"/>
        </w:rPr>
        <w:t xml:space="preserve"> </w:t>
      </w:r>
      <w:r>
        <w:t>with</w:t>
      </w:r>
      <w:r>
        <w:rPr>
          <w:spacing w:val="-1"/>
        </w:rPr>
        <w:t xml:space="preserve"> </w:t>
      </w:r>
      <w:r>
        <w:t>multiple</w:t>
      </w:r>
      <w:r>
        <w:rPr>
          <w:spacing w:val="-1"/>
        </w:rPr>
        <w:t xml:space="preserve"> </w:t>
      </w:r>
      <w:r>
        <w:t>methods</w:t>
      </w:r>
      <w:r>
        <w:rPr>
          <w:spacing w:val="-2"/>
        </w:rPr>
        <w:t xml:space="preserve"> </w:t>
      </w:r>
      <w:r>
        <w:t>for</w:t>
      </w:r>
      <w:r>
        <w:rPr>
          <w:spacing w:val="-3"/>
        </w:rPr>
        <w:t xml:space="preserve"> </w:t>
      </w:r>
      <w:r>
        <w:t>completing</w:t>
      </w:r>
      <w:r>
        <w:rPr>
          <w:spacing w:val="-1"/>
        </w:rPr>
        <w:t xml:space="preserve"> </w:t>
      </w:r>
      <w:r>
        <w:t>the</w:t>
      </w:r>
      <w:r>
        <w:rPr>
          <w:spacing w:val="-1"/>
        </w:rPr>
        <w:t xml:space="preserve"> </w:t>
      </w:r>
      <w:r>
        <w:t>survey</w:t>
      </w:r>
      <w:r>
        <w:rPr>
          <w:spacing w:val="-1"/>
        </w:rPr>
        <w:t xml:space="preserve"> </w:t>
      </w:r>
      <w:r>
        <w:t>across</w:t>
      </w:r>
      <w:r>
        <w:rPr>
          <w:spacing w:val="-2"/>
        </w:rPr>
        <w:t xml:space="preserve"> </w:t>
      </w:r>
      <w:r>
        <w:t>a</w:t>
      </w:r>
      <w:r>
        <w:rPr>
          <w:spacing w:val="-1"/>
        </w:rPr>
        <w:t xml:space="preserve"> </w:t>
      </w:r>
      <w:r>
        <w:t>73-day</w:t>
      </w:r>
      <w:r>
        <w:rPr>
          <w:spacing w:val="-1"/>
        </w:rPr>
        <w:t xml:space="preserve"> </w:t>
      </w:r>
      <w:r>
        <w:t>time</w:t>
      </w:r>
      <w:r>
        <w:rPr>
          <w:spacing w:val="-1"/>
        </w:rPr>
        <w:t xml:space="preserve"> </w:t>
      </w:r>
      <w:r>
        <w:t>period.</w:t>
      </w:r>
      <w:r>
        <w:rPr>
          <w:spacing w:val="-1"/>
        </w:rPr>
        <w:t xml:space="preserve"> </w:t>
      </w:r>
      <w:r>
        <w:t>CMS developed this methodology using best practices within the survey research field, including the Tailored Design Method.</w:t>
      </w:r>
      <w:hyperlink w:anchor="_bookmark17" w:history="1">
        <w:r>
          <w:rPr>
            <w:vertAlign w:val="superscript"/>
          </w:rPr>
          <w:t>6</w:t>
        </w:r>
      </w:hyperlink>
    </w:p>
    <w:p>
      <w:pPr>
        <w:pStyle w:val="BodyText"/>
        <w:ind w:right="430"/>
      </w:pPr>
      <w:r>
        <w:t>CMS has implemented an email outreach protocol, required survey vendors to optimize the internet</w:t>
      </w:r>
      <w:r>
        <w:rPr>
          <w:spacing w:val="-3"/>
        </w:rPr>
        <w:t xml:space="preserve"> </w:t>
      </w:r>
      <w:r>
        <w:t>survey</w:t>
      </w:r>
      <w:r>
        <w:rPr>
          <w:spacing w:val="-3"/>
        </w:rPr>
        <w:t xml:space="preserve"> </w:t>
      </w:r>
      <w:r>
        <w:t>for</w:t>
      </w:r>
      <w:r>
        <w:rPr>
          <w:spacing w:val="-3"/>
        </w:rPr>
        <w:t xml:space="preserve"> </w:t>
      </w:r>
      <w:r>
        <w:t>mobile</w:t>
      </w:r>
      <w:r>
        <w:rPr>
          <w:spacing w:val="-4"/>
        </w:rPr>
        <w:t xml:space="preserve"> </w:t>
      </w:r>
      <w:r>
        <w:t>devices, required</w:t>
      </w:r>
      <w:r>
        <w:rPr>
          <w:spacing w:val="-3"/>
        </w:rPr>
        <w:t xml:space="preserve"> </w:t>
      </w:r>
      <w:r>
        <w:t>survey</w:t>
      </w:r>
      <w:r>
        <w:rPr>
          <w:spacing w:val="-3"/>
        </w:rPr>
        <w:t xml:space="preserve"> </w:t>
      </w:r>
      <w:r>
        <w:t>vendors</w:t>
      </w:r>
      <w:r>
        <w:rPr>
          <w:spacing w:val="-4"/>
        </w:rPr>
        <w:t xml:space="preserve"> </w:t>
      </w:r>
      <w:r>
        <w:t>include</w:t>
      </w:r>
      <w:r>
        <w:rPr>
          <w:spacing w:val="-3"/>
        </w:rPr>
        <w:t xml:space="preserve"> </w:t>
      </w:r>
      <w:r>
        <w:t>a</w:t>
      </w:r>
      <w:r>
        <w:rPr>
          <w:spacing w:val="-2"/>
        </w:rPr>
        <w:t xml:space="preserve"> </w:t>
      </w:r>
      <w:r>
        <w:t>QR</w:t>
      </w:r>
      <w:r>
        <w:rPr>
          <w:spacing w:val="-3"/>
        </w:rPr>
        <w:t xml:space="preserve"> </w:t>
      </w:r>
      <w:r>
        <w:t>code</w:t>
      </w:r>
      <w:r>
        <w:rPr>
          <w:spacing w:val="-4"/>
        </w:rPr>
        <w:t xml:space="preserve"> </w:t>
      </w:r>
      <w:r>
        <w:t>to</w:t>
      </w:r>
      <w:r>
        <w:rPr>
          <w:spacing w:val="-3"/>
        </w:rPr>
        <w:t xml:space="preserve"> </w:t>
      </w:r>
      <w:r>
        <w:t>link</w:t>
      </w:r>
      <w:r>
        <w:rPr>
          <w:spacing w:val="-3"/>
        </w:rPr>
        <w:t xml:space="preserve"> </w:t>
      </w:r>
      <w:r>
        <w:t>enrollees to the online survey, and added an alternative phone number field to the sample frame to maximize the survey response rate.</w:t>
      </w:r>
    </w:p>
    <w:p>
      <w:pPr>
        <w:pStyle w:val="Heading3"/>
        <w:numPr>
          <w:ilvl w:val="1"/>
          <w:numId w:val="19"/>
        </w:numPr>
        <w:tabs>
          <w:tab w:val="left" w:pos="762"/>
        </w:tabs>
        <w:spacing w:before="242" w:after="0" w:line="240" w:lineRule="auto"/>
        <w:ind w:left="762" w:right="0" w:hanging="402"/>
        <w:jc w:val="left"/>
        <w:rPr>
          <w:i/>
        </w:rPr>
      </w:pPr>
      <w:bookmarkStart w:id="27" w:name="_bookmark15"/>
      <w:bookmarkEnd w:id="27"/>
      <w:r>
        <w:rPr>
          <w:i/>
        </w:rPr>
        <w:t>Evaluating</w:t>
      </w:r>
      <w:r>
        <w:rPr>
          <w:i/>
          <w:spacing w:val="-6"/>
        </w:rPr>
        <w:t xml:space="preserve"> </w:t>
      </w:r>
      <w:r>
        <w:rPr>
          <w:i/>
        </w:rPr>
        <w:t>Non-Response</w:t>
      </w:r>
      <w:r>
        <w:rPr>
          <w:i/>
          <w:spacing w:val="-6"/>
        </w:rPr>
        <w:t xml:space="preserve"> </w:t>
      </w:r>
      <w:r>
        <w:rPr>
          <w:i/>
          <w:spacing w:val="-4"/>
        </w:rPr>
        <w:t>Bias</w:t>
      </w:r>
    </w:p>
    <w:p>
      <w:pPr>
        <w:pStyle w:val="BodyText"/>
        <w:spacing w:before="118"/>
        <w:ind w:right="385"/>
      </w:pPr>
      <w:hyperlink w:anchor="_bookmark16" w:history="1">
        <w:r>
          <w:rPr>
            <w:color w:val="0000FF"/>
            <w:u w:val="single" w:color="0000FF"/>
          </w:rPr>
          <w:t>Exhibit</w:t>
        </w:r>
        <w:r>
          <w:rPr>
            <w:color w:val="0000FF"/>
            <w:spacing w:val="-3"/>
            <w:u w:val="single" w:color="0000FF"/>
          </w:rPr>
          <w:t xml:space="preserve"> </w:t>
        </w:r>
        <w:r>
          <w:rPr>
            <w:color w:val="0000FF"/>
            <w:u w:val="single" w:color="0000FF"/>
          </w:rPr>
          <w:t>B2</w:t>
        </w:r>
      </w:hyperlink>
      <w:r>
        <w:rPr>
          <w:color w:val="0000FF"/>
          <w:spacing w:val="-3"/>
          <w:u w:val="none"/>
        </w:rPr>
        <w:t xml:space="preserve"> </w:t>
      </w:r>
      <w:r>
        <w:rPr>
          <w:u w:val="none"/>
        </w:rPr>
        <w:t>summarizes</w:t>
      </w:r>
      <w:r>
        <w:rPr>
          <w:spacing w:val="-4"/>
          <w:u w:val="none"/>
        </w:rPr>
        <w:t xml:space="preserve"> </w:t>
      </w:r>
      <w:r>
        <w:rPr>
          <w:u w:val="none"/>
        </w:rPr>
        <w:t>the</w:t>
      </w:r>
      <w:r>
        <w:rPr>
          <w:spacing w:val="-3"/>
          <w:u w:val="none"/>
        </w:rPr>
        <w:t xml:space="preserve"> </w:t>
      </w:r>
      <w:r>
        <w:rPr>
          <w:u w:val="none"/>
        </w:rPr>
        <w:t>QHP</w:t>
      </w:r>
      <w:r>
        <w:rPr>
          <w:spacing w:val="-4"/>
          <w:u w:val="none"/>
        </w:rPr>
        <w:t xml:space="preserve"> </w:t>
      </w:r>
      <w:r>
        <w:rPr>
          <w:u w:val="none"/>
        </w:rPr>
        <w:t>Enrollee</w:t>
      </w:r>
      <w:r>
        <w:rPr>
          <w:spacing w:val="-5"/>
          <w:u w:val="none"/>
        </w:rPr>
        <w:t xml:space="preserve"> </w:t>
      </w:r>
      <w:r>
        <w:rPr>
          <w:u w:val="none"/>
        </w:rPr>
        <w:t>Survey</w:t>
      </w:r>
      <w:r>
        <w:rPr>
          <w:spacing w:val="-1"/>
          <w:u w:val="none"/>
        </w:rPr>
        <w:t xml:space="preserve"> </w:t>
      </w:r>
      <w:r>
        <w:rPr>
          <w:u w:val="none"/>
        </w:rPr>
        <w:t>response</w:t>
      </w:r>
      <w:r>
        <w:rPr>
          <w:spacing w:val="-3"/>
          <w:u w:val="none"/>
        </w:rPr>
        <w:t xml:space="preserve"> </w:t>
      </w:r>
      <w:r>
        <w:rPr>
          <w:u w:val="none"/>
        </w:rPr>
        <w:t>rate</w:t>
      </w:r>
      <w:r>
        <w:rPr>
          <w:spacing w:val="-2"/>
          <w:u w:val="none"/>
        </w:rPr>
        <w:t xml:space="preserve"> </w:t>
      </w:r>
      <w:r>
        <w:rPr>
          <w:u w:val="none"/>
        </w:rPr>
        <w:t>since</w:t>
      </w:r>
      <w:r>
        <w:rPr>
          <w:spacing w:val="-5"/>
          <w:u w:val="none"/>
        </w:rPr>
        <w:t xml:space="preserve"> </w:t>
      </w:r>
      <w:r>
        <w:rPr>
          <w:u w:val="none"/>
        </w:rPr>
        <w:t>beginning</w:t>
      </w:r>
      <w:r>
        <w:rPr>
          <w:spacing w:val="-3"/>
          <w:u w:val="none"/>
        </w:rPr>
        <w:t xml:space="preserve"> </w:t>
      </w:r>
      <w:r>
        <w:rPr>
          <w:u w:val="none"/>
        </w:rPr>
        <w:t xml:space="preserve">nationwide </w:t>
      </w:r>
      <w:r>
        <w:rPr>
          <w:spacing w:val="-2"/>
          <w:u w:val="none"/>
        </w:rPr>
        <w:t>fielding.</w:t>
      </w:r>
    </w:p>
    <w:p>
      <w:pPr>
        <w:spacing w:before="121"/>
        <w:ind w:left="360" w:right="0" w:firstLine="0"/>
        <w:jc w:val="left"/>
        <w:rPr>
          <w:rFonts w:ascii="Arial"/>
          <w:b/>
          <w:sz w:val="20"/>
        </w:rPr>
      </w:pPr>
      <w:bookmarkStart w:id="28" w:name="_bookmark16"/>
      <w:bookmarkEnd w:id="28"/>
      <w:r>
        <w:rPr>
          <w:rFonts w:ascii="Arial"/>
          <w:b/>
          <w:sz w:val="20"/>
        </w:rPr>
        <w:t>Exhibit</w:t>
      </w:r>
      <w:r>
        <w:rPr>
          <w:rFonts w:ascii="Arial"/>
          <w:b/>
          <w:spacing w:val="-8"/>
          <w:sz w:val="20"/>
        </w:rPr>
        <w:t xml:space="preserve"> </w:t>
      </w:r>
      <w:r>
        <w:rPr>
          <w:rFonts w:ascii="Arial"/>
          <w:b/>
          <w:sz w:val="20"/>
        </w:rPr>
        <w:t>B2.</w:t>
      </w:r>
      <w:r>
        <w:rPr>
          <w:rFonts w:ascii="Arial"/>
          <w:b/>
          <w:spacing w:val="-8"/>
          <w:sz w:val="20"/>
        </w:rPr>
        <w:t xml:space="preserve"> </w:t>
      </w:r>
      <w:r>
        <w:rPr>
          <w:rFonts w:ascii="Arial"/>
          <w:b/>
          <w:sz w:val="20"/>
        </w:rPr>
        <w:t>QHP</w:t>
      </w:r>
      <w:r>
        <w:rPr>
          <w:rFonts w:ascii="Arial"/>
          <w:b/>
          <w:spacing w:val="-6"/>
          <w:sz w:val="20"/>
        </w:rPr>
        <w:t xml:space="preserve"> </w:t>
      </w:r>
      <w:r>
        <w:rPr>
          <w:rFonts w:ascii="Arial"/>
          <w:b/>
          <w:sz w:val="20"/>
        </w:rPr>
        <w:t>Enrollee</w:t>
      </w:r>
      <w:r>
        <w:rPr>
          <w:rFonts w:ascii="Arial"/>
          <w:b/>
          <w:spacing w:val="-5"/>
          <w:sz w:val="20"/>
        </w:rPr>
        <w:t xml:space="preserve"> </w:t>
      </w:r>
      <w:r>
        <w:rPr>
          <w:rFonts w:ascii="Arial"/>
          <w:b/>
          <w:sz w:val="20"/>
        </w:rPr>
        <w:t>Survey</w:t>
      </w:r>
      <w:r>
        <w:rPr>
          <w:rFonts w:ascii="Arial"/>
          <w:b/>
          <w:spacing w:val="-8"/>
          <w:sz w:val="20"/>
        </w:rPr>
        <w:t xml:space="preserve"> </w:t>
      </w:r>
      <w:r>
        <w:rPr>
          <w:rFonts w:ascii="Arial"/>
          <w:b/>
          <w:sz w:val="20"/>
        </w:rPr>
        <w:t>Response</w:t>
      </w:r>
      <w:r>
        <w:rPr>
          <w:rFonts w:ascii="Arial"/>
          <w:b/>
          <w:spacing w:val="-7"/>
          <w:sz w:val="20"/>
        </w:rPr>
        <w:t xml:space="preserve"> </w:t>
      </w:r>
      <w:r>
        <w:rPr>
          <w:rFonts w:ascii="Arial"/>
          <w:b/>
          <w:spacing w:val="-2"/>
          <w:sz w:val="20"/>
        </w:rPr>
        <w:t>Rates</w:t>
      </w:r>
    </w:p>
    <w:p>
      <w:pPr>
        <w:pStyle w:val="BodyText"/>
        <w:spacing w:before="1"/>
        <w:ind w:left="0"/>
        <w:rPr>
          <w:rFonts w:ascii="Arial"/>
          <w:b/>
          <w:sz w:val="11"/>
        </w:rPr>
      </w:pPr>
    </w:p>
    <w:tbl>
      <w:tblPr>
        <w:tblStyle w:val="TableNormal"/>
        <w:tblW w:w="0" w:type="auto"/>
        <w:jc w:val="left"/>
        <w:tblInd w:w="367" w:type="dxa"/>
        <w:tblBorders>
          <w:top w:val="single" w:sz="24" w:space="0" w:color="009DD6"/>
          <w:left w:val="single" w:sz="24" w:space="0" w:color="009DD6"/>
          <w:bottom w:val="single" w:sz="24" w:space="0" w:color="009DD6"/>
          <w:right w:val="single" w:sz="24" w:space="0" w:color="009DD6"/>
          <w:insideH w:val="single" w:sz="24" w:space="0" w:color="009DD6"/>
          <w:insideV w:val="single" w:sz="24" w:space="0" w:color="009DD6"/>
        </w:tblBorders>
        <w:tblLayout w:type="fixed"/>
        <w:tblCellMar>
          <w:top w:w="0" w:type="dxa"/>
          <w:left w:w="0" w:type="dxa"/>
          <w:bottom w:w="0" w:type="dxa"/>
          <w:right w:w="0" w:type="dxa"/>
        </w:tblCellMar>
        <w:tblLook w:val="01E0"/>
      </w:tblPr>
      <w:tblGrid>
        <w:gridCol w:w="3013"/>
        <w:gridCol w:w="3013"/>
      </w:tblGrid>
      <w:tr>
        <w:tblPrEx>
          <w:tblW w:w="0" w:type="auto"/>
          <w:jc w:val="left"/>
          <w:tblInd w:w="367" w:type="dxa"/>
          <w:tblBorders>
            <w:top w:val="single" w:sz="24" w:space="0" w:color="009DD6"/>
            <w:left w:val="single" w:sz="24" w:space="0" w:color="009DD6"/>
            <w:bottom w:val="single" w:sz="24" w:space="0" w:color="009DD6"/>
            <w:right w:val="single" w:sz="24" w:space="0" w:color="009DD6"/>
            <w:insideH w:val="single" w:sz="24" w:space="0" w:color="009DD6"/>
            <w:insideV w:val="single" w:sz="24" w:space="0" w:color="009DD6"/>
          </w:tblBorders>
          <w:tblLayout w:type="fixed"/>
          <w:tblCellMar>
            <w:top w:w="0" w:type="dxa"/>
            <w:left w:w="0" w:type="dxa"/>
            <w:bottom w:w="0" w:type="dxa"/>
            <w:right w:w="0" w:type="dxa"/>
          </w:tblCellMar>
          <w:tblLook w:val="01E0"/>
        </w:tblPrEx>
        <w:trPr>
          <w:trHeight w:val="309"/>
          <w:jc w:val="left"/>
        </w:trPr>
        <w:tc>
          <w:tcPr>
            <w:tcW w:w="3013" w:type="dxa"/>
            <w:tcBorders>
              <w:top w:val="nil"/>
              <w:left w:val="nil"/>
              <w:right w:val="nil"/>
            </w:tcBorders>
            <w:shd w:val="clear" w:color="auto" w:fill="00507E"/>
          </w:tcPr>
          <w:p>
            <w:pPr>
              <w:pStyle w:val="TableParagraph"/>
              <w:spacing w:before="40"/>
              <w:ind w:left="2" w:right="3"/>
              <w:jc w:val="center"/>
              <w:rPr>
                <w:b/>
                <w:sz w:val="20"/>
              </w:rPr>
            </w:pPr>
            <w:r>
              <w:rPr>
                <w:b/>
                <w:color w:val="FFFFFF"/>
                <w:sz w:val="20"/>
              </w:rPr>
              <w:t>QHP</w:t>
            </w:r>
            <w:r>
              <w:rPr>
                <w:b/>
                <w:color w:val="FFFFFF"/>
                <w:spacing w:val="-5"/>
                <w:sz w:val="20"/>
              </w:rPr>
              <w:t xml:space="preserve"> </w:t>
            </w:r>
            <w:r>
              <w:rPr>
                <w:b/>
                <w:color w:val="FFFFFF"/>
                <w:sz w:val="20"/>
              </w:rPr>
              <w:t>Enrollee</w:t>
            </w:r>
            <w:r>
              <w:rPr>
                <w:b/>
                <w:color w:val="FFFFFF"/>
                <w:spacing w:val="-7"/>
                <w:sz w:val="20"/>
              </w:rPr>
              <w:t xml:space="preserve"> </w:t>
            </w:r>
            <w:r>
              <w:rPr>
                <w:b/>
                <w:color w:val="FFFFFF"/>
                <w:sz w:val="20"/>
              </w:rPr>
              <w:t>Survey</w:t>
            </w:r>
            <w:r>
              <w:rPr>
                <w:b/>
                <w:color w:val="FFFFFF"/>
                <w:spacing w:val="-7"/>
                <w:sz w:val="20"/>
              </w:rPr>
              <w:t xml:space="preserve"> </w:t>
            </w:r>
            <w:r>
              <w:rPr>
                <w:b/>
                <w:color w:val="FFFFFF"/>
                <w:spacing w:val="-4"/>
                <w:sz w:val="20"/>
              </w:rPr>
              <w:t>Year</w:t>
            </w:r>
          </w:p>
        </w:tc>
        <w:tc>
          <w:tcPr>
            <w:tcW w:w="3013" w:type="dxa"/>
            <w:tcBorders>
              <w:top w:val="nil"/>
              <w:left w:val="nil"/>
              <w:right w:val="nil"/>
            </w:tcBorders>
            <w:shd w:val="clear" w:color="auto" w:fill="00507E"/>
          </w:tcPr>
          <w:p>
            <w:pPr>
              <w:pStyle w:val="TableParagraph"/>
              <w:spacing w:before="40"/>
              <w:ind w:right="3"/>
              <w:jc w:val="center"/>
              <w:rPr>
                <w:b/>
                <w:sz w:val="20"/>
              </w:rPr>
            </w:pPr>
            <w:r>
              <w:rPr>
                <w:b/>
                <w:color w:val="FFFFFF"/>
                <w:sz w:val="20"/>
              </w:rPr>
              <w:t>Response</w:t>
            </w:r>
            <w:r>
              <w:rPr>
                <w:b/>
                <w:color w:val="FFFFFF"/>
                <w:spacing w:val="-8"/>
                <w:sz w:val="20"/>
              </w:rPr>
              <w:t xml:space="preserve"> </w:t>
            </w:r>
            <w:r>
              <w:rPr>
                <w:b/>
                <w:color w:val="FFFFFF"/>
                <w:spacing w:val="-4"/>
                <w:sz w:val="20"/>
              </w:rPr>
              <w:t>Rate</w:t>
            </w:r>
          </w:p>
        </w:tc>
      </w:tr>
      <w:tr>
        <w:tblPrEx>
          <w:tblW w:w="0" w:type="auto"/>
          <w:jc w:val="left"/>
          <w:tblInd w:w="367" w:type="dxa"/>
          <w:tblLayout w:type="fixed"/>
          <w:tblCellMar>
            <w:top w:w="0" w:type="dxa"/>
            <w:left w:w="0" w:type="dxa"/>
            <w:bottom w:w="0" w:type="dxa"/>
            <w:right w:w="0" w:type="dxa"/>
          </w:tblCellMar>
          <w:tblLook w:val="01E0"/>
        </w:tblPrEx>
        <w:trPr>
          <w:trHeight w:val="309"/>
          <w:jc w:val="left"/>
        </w:trPr>
        <w:tc>
          <w:tcPr>
            <w:tcW w:w="3013" w:type="dxa"/>
            <w:tcBorders>
              <w:left w:val="nil"/>
              <w:bottom w:val="single" w:sz="8" w:space="0" w:color="D9D9D9"/>
              <w:right w:val="single" w:sz="8" w:space="0" w:color="D9D9D9"/>
            </w:tcBorders>
          </w:tcPr>
          <w:p>
            <w:pPr>
              <w:pStyle w:val="TableParagraph"/>
              <w:spacing w:before="40"/>
              <w:ind w:left="18" w:right="12"/>
              <w:jc w:val="center"/>
              <w:rPr>
                <w:sz w:val="20"/>
              </w:rPr>
            </w:pPr>
            <w:r>
              <w:rPr>
                <w:spacing w:val="-4"/>
                <w:sz w:val="20"/>
              </w:rPr>
              <w:t>2016</w:t>
            </w:r>
          </w:p>
        </w:tc>
        <w:tc>
          <w:tcPr>
            <w:tcW w:w="3013" w:type="dxa"/>
            <w:tcBorders>
              <w:left w:val="single" w:sz="8" w:space="0" w:color="D9D9D9"/>
              <w:bottom w:val="single" w:sz="8" w:space="0" w:color="D9D9D9"/>
              <w:right w:val="nil"/>
            </w:tcBorders>
          </w:tcPr>
          <w:p>
            <w:pPr>
              <w:pStyle w:val="TableParagraph"/>
              <w:spacing w:before="40"/>
              <w:ind w:left="6" w:right="18"/>
              <w:jc w:val="center"/>
              <w:rPr>
                <w:sz w:val="20"/>
              </w:rPr>
            </w:pPr>
            <w:r>
              <w:rPr>
                <w:color w:val="1C242C"/>
                <w:spacing w:val="-2"/>
                <w:sz w:val="20"/>
              </w:rPr>
              <w:t>30.0%</w:t>
            </w:r>
          </w:p>
        </w:tc>
      </w:tr>
      <w:tr>
        <w:tblPrEx>
          <w:tblW w:w="0" w:type="auto"/>
          <w:jc w:val="left"/>
          <w:tblInd w:w="367" w:type="dxa"/>
          <w:tblLayout w:type="fixed"/>
          <w:tblCellMar>
            <w:top w:w="0" w:type="dxa"/>
            <w:left w:w="0" w:type="dxa"/>
            <w:bottom w:w="0" w:type="dxa"/>
            <w:right w:w="0" w:type="dxa"/>
          </w:tblCellMar>
          <w:tblLook w:val="01E0"/>
        </w:tblPrEx>
        <w:trPr>
          <w:trHeight w:val="308"/>
          <w:jc w:val="left"/>
        </w:trPr>
        <w:tc>
          <w:tcPr>
            <w:tcW w:w="3013" w:type="dxa"/>
            <w:tcBorders>
              <w:top w:val="single" w:sz="8" w:space="0" w:color="D9D9D9"/>
              <w:left w:val="nil"/>
              <w:bottom w:val="single" w:sz="8" w:space="0" w:color="D9D9D9"/>
              <w:right w:val="single" w:sz="8" w:space="0" w:color="D9D9D9"/>
            </w:tcBorders>
            <w:shd w:val="clear" w:color="auto" w:fill="F3FAFF"/>
          </w:tcPr>
          <w:p>
            <w:pPr>
              <w:pStyle w:val="TableParagraph"/>
              <w:spacing w:before="42"/>
              <w:ind w:left="18" w:right="12"/>
              <w:jc w:val="center"/>
              <w:rPr>
                <w:sz w:val="20"/>
              </w:rPr>
            </w:pPr>
            <w:r>
              <w:rPr>
                <w:spacing w:val="-4"/>
                <w:sz w:val="20"/>
              </w:rPr>
              <w:t>2017</w:t>
            </w:r>
          </w:p>
        </w:tc>
        <w:tc>
          <w:tcPr>
            <w:tcW w:w="3013" w:type="dxa"/>
            <w:tcBorders>
              <w:top w:val="single" w:sz="8" w:space="0" w:color="D9D9D9"/>
              <w:left w:val="single" w:sz="8" w:space="0" w:color="D9D9D9"/>
              <w:bottom w:val="single" w:sz="8" w:space="0" w:color="D9D9D9"/>
              <w:right w:val="nil"/>
            </w:tcBorders>
            <w:shd w:val="clear" w:color="auto" w:fill="F3FAFF"/>
          </w:tcPr>
          <w:p>
            <w:pPr>
              <w:pStyle w:val="TableParagraph"/>
              <w:spacing w:before="42"/>
              <w:ind w:left="6" w:right="18"/>
              <w:jc w:val="center"/>
              <w:rPr>
                <w:sz w:val="20"/>
              </w:rPr>
            </w:pPr>
            <w:r>
              <w:rPr>
                <w:color w:val="1C242C"/>
                <w:spacing w:val="-2"/>
                <w:sz w:val="20"/>
              </w:rPr>
              <w:t>26.7%</w:t>
            </w:r>
          </w:p>
        </w:tc>
      </w:tr>
      <w:tr>
        <w:tblPrEx>
          <w:tblW w:w="0" w:type="auto"/>
          <w:jc w:val="left"/>
          <w:tblInd w:w="367" w:type="dxa"/>
          <w:tblLayout w:type="fixed"/>
          <w:tblCellMar>
            <w:top w:w="0" w:type="dxa"/>
            <w:left w:w="0" w:type="dxa"/>
            <w:bottom w:w="0" w:type="dxa"/>
            <w:right w:w="0" w:type="dxa"/>
          </w:tblCellMar>
          <w:tblLook w:val="01E0"/>
        </w:tblPrEx>
        <w:trPr>
          <w:trHeight w:val="311"/>
          <w:jc w:val="left"/>
        </w:trPr>
        <w:tc>
          <w:tcPr>
            <w:tcW w:w="3013" w:type="dxa"/>
            <w:tcBorders>
              <w:top w:val="single" w:sz="8" w:space="0" w:color="D9D9D9"/>
              <w:left w:val="nil"/>
              <w:bottom w:val="single" w:sz="8" w:space="0" w:color="D9D9D9"/>
              <w:right w:val="single" w:sz="8" w:space="0" w:color="D9D9D9"/>
            </w:tcBorders>
          </w:tcPr>
          <w:p>
            <w:pPr>
              <w:pStyle w:val="TableParagraph"/>
              <w:spacing w:before="42"/>
              <w:ind w:left="18" w:right="12"/>
              <w:jc w:val="center"/>
              <w:rPr>
                <w:sz w:val="20"/>
              </w:rPr>
            </w:pPr>
            <w:r>
              <w:rPr>
                <w:spacing w:val="-4"/>
                <w:sz w:val="20"/>
              </w:rPr>
              <w:t>2018</w:t>
            </w:r>
          </w:p>
        </w:tc>
        <w:tc>
          <w:tcPr>
            <w:tcW w:w="3013" w:type="dxa"/>
            <w:tcBorders>
              <w:top w:val="single" w:sz="8" w:space="0" w:color="D9D9D9"/>
              <w:left w:val="single" w:sz="8" w:space="0" w:color="D9D9D9"/>
              <w:bottom w:val="single" w:sz="8" w:space="0" w:color="D9D9D9"/>
              <w:right w:val="nil"/>
            </w:tcBorders>
          </w:tcPr>
          <w:p>
            <w:pPr>
              <w:pStyle w:val="TableParagraph"/>
              <w:spacing w:before="42"/>
              <w:ind w:left="6" w:right="18"/>
              <w:jc w:val="center"/>
              <w:rPr>
                <w:sz w:val="20"/>
              </w:rPr>
            </w:pPr>
            <w:r>
              <w:rPr>
                <w:color w:val="1C242C"/>
                <w:spacing w:val="-2"/>
                <w:sz w:val="20"/>
              </w:rPr>
              <w:t>25.8%</w:t>
            </w:r>
          </w:p>
        </w:tc>
      </w:tr>
      <w:tr>
        <w:tblPrEx>
          <w:tblW w:w="0" w:type="auto"/>
          <w:jc w:val="left"/>
          <w:tblInd w:w="367" w:type="dxa"/>
          <w:tblLayout w:type="fixed"/>
          <w:tblCellMar>
            <w:top w:w="0" w:type="dxa"/>
            <w:left w:w="0" w:type="dxa"/>
            <w:bottom w:w="0" w:type="dxa"/>
            <w:right w:w="0" w:type="dxa"/>
          </w:tblCellMar>
          <w:tblLook w:val="01E0"/>
        </w:tblPrEx>
        <w:trPr>
          <w:trHeight w:val="308"/>
          <w:jc w:val="left"/>
        </w:trPr>
        <w:tc>
          <w:tcPr>
            <w:tcW w:w="3013" w:type="dxa"/>
            <w:tcBorders>
              <w:top w:val="single" w:sz="8" w:space="0" w:color="D9D9D9"/>
              <w:left w:val="nil"/>
              <w:bottom w:val="single" w:sz="8" w:space="0" w:color="D9D9D9"/>
              <w:right w:val="single" w:sz="8" w:space="0" w:color="D9D9D9"/>
            </w:tcBorders>
            <w:shd w:val="clear" w:color="auto" w:fill="F3FAFF"/>
          </w:tcPr>
          <w:p>
            <w:pPr>
              <w:pStyle w:val="TableParagraph"/>
              <w:spacing w:before="40"/>
              <w:ind w:left="18" w:right="12"/>
              <w:jc w:val="center"/>
              <w:rPr>
                <w:sz w:val="20"/>
              </w:rPr>
            </w:pPr>
            <w:r>
              <w:rPr>
                <w:spacing w:val="-4"/>
                <w:sz w:val="20"/>
              </w:rPr>
              <w:t>2019</w:t>
            </w:r>
          </w:p>
        </w:tc>
        <w:tc>
          <w:tcPr>
            <w:tcW w:w="3013" w:type="dxa"/>
            <w:tcBorders>
              <w:top w:val="single" w:sz="8" w:space="0" w:color="D9D9D9"/>
              <w:left w:val="single" w:sz="8" w:space="0" w:color="D9D9D9"/>
              <w:bottom w:val="single" w:sz="8" w:space="0" w:color="D9D9D9"/>
              <w:right w:val="nil"/>
            </w:tcBorders>
            <w:shd w:val="clear" w:color="auto" w:fill="F3FAFF"/>
          </w:tcPr>
          <w:p>
            <w:pPr>
              <w:pStyle w:val="TableParagraph"/>
              <w:spacing w:before="40"/>
              <w:ind w:left="6" w:right="18"/>
              <w:jc w:val="center"/>
              <w:rPr>
                <w:sz w:val="20"/>
              </w:rPr>
            </w:pPr>
            <w:r>
              <w:rPr>
                <w:color w:val="1C242C"/>
                <w:spacing w:val="-2"/>
                <w:sz w:val="20"/>
              </w:rPr>
              <w:t>23.2%</w:t>
            </w:r>
          </w:p>
        </w:tc>
      </w:tr>
      <w:tr>
        <w:tblPrEx>
          <w:tblW w:w="0" w:type="auto"/>
          <w:jc w:val="left"/>
          <w:tblInd w:w="367" w:type="dxa"/>
          <w:tblLayout w:type="fixed"/>
          <w:tblCellMar>
            <w:top w:w="0" w:type="dxa"/>
            <w:left w:w="0" w:type="dxa"/>
            <w:bottom w:w="0" w:type="dxa"/>
            <w:right w:w="0" w:type="dxa"/>
          </w:tblCellMar>
          <w:tblLook w:val="01E0"/>
        </w:tblPrEx>
        <w:trPr>
          <w:trHeight w:val="308"/>
          <w:jc w:val="left"/>
        </w:trPr>
        <w:tc>
          <w:tcPr>
            <w:tcW w:w="3013" w:type="dxa"/>
            <w:tcBorders>
              <w:top w:val="single" w:sz="8" w:space="0" w:color="D9D9D9"/>
              <w:left w:val="nil"/>
              <w:bottom w:val="single" w:sz="8" w:space="0" w:color="D9D9D9"/>
              <w:right w:val="single" w:sz="8" w:space="0" w:color="D9D9D9"/>
            </w:tcBorders>
          </w:tcPr>
          <w:p>
            <w:pPr>
              <w:pStyle w:val="TableParagraph"/>
              <w:spacing w:before="40"/>
              <w:ind w:left="18" w:right="12"/>
              <w:jc w:val="center"/>
              <w:rPr>
                <w:sz w:val="20"/>
              </w:rPr>
            </w:pPr>
            <w:r>
              <w:rPr>
                <w:spacing w:val="-4"/>
                <w:sz w:val="20"/>
              </w:rPr>
              <w:t>2021</w:t>
            </w:r>
          </w:p>
        </w:tc>
        <w:tc>
          <w:tcPr>
            <w:tcW w:w="3013" w:type="dxa"/>
            <w:tcBorders>
              <w:top w:val="single" w:sz="8" w:space="0" w:color="D9D9D9"/>
              <w:left w:val="single" w:sz="8" w:space="0" w:color="D9D9D9"/>
              <w:bottom w:val="single" w:sz="8" w:space="0" w:color="D9D9D9"/>
              <w:right w:val="nil"/>
            </w:tcBorders>
          </w:tcPr>
          <w:p>
            <w:pPr>
              <w:pStyle w:val="TableParagraph"/>
              <w:spacing w:before="40"/>
              <w:ind w:left="6" w:right="18"/>
              <w:jc w:val="center"/>
              <w:rPr>
                <w:sz w:val="20"/>
              </w:rPr>
            </w:pPr>
            <w:r>
              <w:rPr>
                <w:color w:val="1C242C"/>
                <w:spacing w:val="-2"/>
                <w:sz w:val="20"/>
              </w:rPr>
              <w:t>22.1%</w:t>
            </w:r>
          </w:p>
        </w:tc>
      </w:tr>
      <w:tr>
        <w:tblPrEx>
          <w:tblW w:w="0" w:type="auto"/>
          <w:jc w:val="left"/>
          <w:tblInd w:w="367" w:type="dxa"/>
          <w:tblLayout w:type="fixed"/>
          <w:tblCellMar>
            <w:top w:w="0" w:type="dxa"/>
            <w:left w:w="0" w:type="dxa"/>
            <w:bottom w:w="0" w:type="dxa"/>
            <w:right w:w="0" w:type="dxa"/>
          </w:tblCellMar>
          <w:tblLook w:val="01E0"/>
        </w:tblPrEx>
        <w:trPr>
          <w:trHeight w:val="311"/>
          <w:jc w:val="left"/>
        </w:trPr>
        <w:tc>
          <w:tcPr>
            <w:tcW w:w="3013" w:type="dxa"/>
            <w:tcBorders>
              <w:top w:val="single" w:sz="8" w:space="0" w:color="D9D9D9"/>
              <w:left w:val="nil"/>
              <w:bottom w:val="single" w:sz="8" w:space="0" w:color="D9D9D9"/>
              <w:right w:val="single" w:sz="8" w:space="0" w:color="D9D9D9"/>
            </w:tcBorders>
            <w:shd w:val="clear" w:color="auto" w:fill="F3FAFF"/>
          </w:tcPr>
          <w:p>
            <w:pPr>
              <w:pStyle w:val="TableParagraph"/>
              <w:spacing w:before="42"/>
              <w:ind w:left="18" w:right="12"/>
              <w:jc w:val="center"/>
              <w:rPr>
                <w:sz w:val="20"/>
              </w:rPr>
            </w:pPr>
            <w:r>
              <w:rPr>
                <w:spacing w:val="-4"/>
                <w:sz w:val="20"/>
              </w:rPr>
              <w:t>2022</w:t>
            </w:r>
          </w:p>
        </w:tc>
        <w:tc>
          <w:tcPr>
            <w:tcW w:w="3013" w:type="dxa"/>
            <w:tcBorders>
              <w:top w:val="single" w:sz="8" w:space="0" w:color="D9D9D9"/>
              <w:left w:val="single" w:sz="8" w:space="0" w:color="D9D9D9"/>
              <w:bottom w:val="single" w:sz="8" w:space="0" w:color="D9D9D9"/>
              <w:right w:val="nil"/>
            </w:tcBorders>
            <w:shd w:val="clear" w:color="auto" w:fill="F3FAFF"/>
          </w:tcPr>
          <w:p>
            <w:pPr>
              <w:pStyle w:val="TableParagraph"/>
              <w:spacing w:before="42"/>
              <w:ind w:left="6" w:right="18"/>
              <w:jc w:val="center"/>
              <w:rPr>
                <w:sz w:val="20"/>
              </w:rPr>
            </w:pPr>
            <w:r>
              <w:rPr>
                <w:color w:val="1C242C"/>
                <w:spacing w:val="-2"/>
                <w:sz w:val="20"/>
              </w:rPr>
              <w:t>18.3%</w:t>
            </w:r>
          </w:p>
        </w:tc>
      </w:tr>
      <w:tr>
        <w:tblPrEx>
          <w:tblW w:w="0" w:type="auto"/>
          <w:jc w:val="left"/>
          <w:tblInd w:w="367" w:type="dxa"/>
          <w:tblLayout w:type="fixed"/>
          <w:tblCellMar>
            <w:top w:w="0" w:type="dxa"/>
            <w:left w:w="0" w:type="dxa"/>
            <w:bottom w:w="0" w:type="dxa"/>
            <w:right w:w="0" w:type="dxa"/>
          </w:tblCellMar>
          <w:tblLook w:val="01E0"/>
        </w:tblPrEx>
        <w:trPr>
          <w:trHeight w:val="308"/>
          <w:jc w:val="left"/>
        </w:trPr>
        <w:tc>
          <w:tcPr>
            <w:tcW w:w="3013" w:type="dxa"/>
            <w:tcBorders>
              <w:top w:val="single" w:sz="8" w:space="0" w:color="D9D9D9"/>
              <w:left w:val="nil"/>
              <w:bottom w:val="single" w:sz="8" w:space="0" w:color="D9D9D9"/>
              <w:right w:val="single" w:sz="8" w:space="0" w:color="D9D9D9"/>
            </w:tcBorders>
          </w:tcPr>
          <w:p>
            <w:pPr>
              <w:pStyle w:val="TableParagraph"/>
              <w:spacing w:before="40"/>
              <w:ind w:left="18" w:right="12"/>
              <w:jc w:val="center"/>
              <w:rPr>
                <w:sz w:val="20"/>
              </w:rPr>
            </w:pPr>
            <w:r>
              <w:rPr>
                <w:color w:val="1C242C"/>
                <w:spacing w:val="-4"/>
                <w:sz w:val="20"/>
              </w:rPr>
              <w:t>2023</w:t>
            </w:r>
          </w:p>
        </w:tc>
        <w:tc>
          <w:tcPr>
            <w:tcW w:w="3013" w:type="dxa"/>
            <w:tcBorders>
              <w:top w:val="single" w:sz="8" w:space="0" w:color="D9D9D9"/>
              <w:left w:val="single" w:sz="8" w:space="0" w:color="D9D9D9"/>
              <w:bottom w:val="single" w:sz="8" w:space="0" w:color="D9D9D9"/>
              <w:right w:val="nil"/>
            </w:tcBorders>
          </w:tcPr>
          <w:p>
            <w:pPr>
              <w:pStyle w:val="TableParagraph"/>
              <w:spacing w:before="40"/>
              <w:ind w:left="6" w:right="18"/>
              <w:jc w:val="center"/>
              <w:rPr>
                <w:sz w:val="20"/>
              </w:rPr>
            </w:pPr>
            <w:r>
              <w:rPr>
                <w:color w:val="1C242C"/>
                <w:spacing w:val="-2"/>
                <w:sz w:val="20"/>
              </w:rPr>
              <w:t>16.3%</w:t>
            </w:r>
          </w:p>
        </w:tc>
      </w:tr>
      <w:tr>
        <w:tblPrEx>
          <w:tblW w:w="0" w:type="auto"/>
          <w:jc w:val="left"/>
          <w:tblInd w:w="367" w:type="dxa"/>
          <w:tblLayout w:type="fixed"/>
          <w:tblCellMar>
            <w:top w:w="0" w:type="dxa"/>
            <w:left w:w="0" w:type="dxa"/>
            <w:bottom w:w="0" w:type="dxa"/>
            <w:right w:w="0" w:type="dxa"/>
          </w:tblCellMar>
          <w:tblLook w:val="01E0"/>
        </w:tblPrEx>
        <w:trPr>
          <w:trHeight w:val="308"/>
          <w:jc w:val="left"/>
        </w:trPr>
        <w:tc>
          <w:tcPr>
            <w:tcW w:w="3013" w:type="dxa"/>
            <w:tcBorders>
              <w:top w:val="single" w:sz="8" w:space="0" w:color="D9D9D9"/>
              <w:left w:val="nil"/>
              <w:bottom w:val="single" w:sz="8" w:space="0" w:color="D9D9D9"/>
              <w:right w:val="single" w:sz="8" w:space="0" w:color="D9D9D9"/>
            </w:tcBorders>
            <w:shd w:val="clear" w:color="auto" w:fill="F3FAFF"/>
          </w:tcPr>
          <w:p>
            <w:pPr>
              <w:pStyle w:val="TableParagraph"/>
              <w:spacing w:before="40"/>
              <w:ind w:left="18" w:right="12"/>
              <w:jc w:val="center"/>
              <w:rPr>
                <w:sz w:val="20"/>
              </w:rPr>
            </w:pPr>
            <w:r>
              <w:rPr>
                <w:color w:val="1C242C"/>
                <w:spacing w:val="-4"/>
                <w:sz w:val="20"/>
              </w:rPr>
              <w:t>2024</w:t>
            </w:r>
          </w:p>
        </w:tc>
        <w:tc>
          <w:tcPr>
            <w:tcW w:w="3013" w:type="dxa"/>
            <w:tcBorders>
              <w:top w:val="single" w:sz="8" w:space="0" w:color="D9D9D9"/>
              <w:left w:val="single" w:sz="8" w:space="0" w:color="D9D9D9"/>
              <w:bottom w:val="single" w:sz="8" w:space="0" w:color="D9D9D9"/>
              <w:right w:val="nil"/>
            </w:tcBorders>
            <w:shd w:val="clear" w:color="auto" w:fill="F3FAFF"/>
          </w:tcPr>
          <w:p>
            <w:pPr>
              <w:pStyle w:val="TableParagraph"/>
              <w:spacing w:before="40"/>
              <w:ind w:left="6" w:right="18"/>
              <w:jc w:val="center"/>
              <w:rPr>
                <w:sz w:val="20"/>
              </w:rPr>
            </w:pPr>
            <w:r>
              <w:rPr>
                <w:color w:val="1C242C"/>
                <w:spacing w:val="-2"/>
                <w:sz w:val="20"/>
              </w:rPr>
              <w:t>18.0%</w:t>
            </w:r>
          </w:p>
        </w:tc>
      </w:tr>
      <w:tr>
        <w:tblPrEx>
          <w:tblW w:w="0" w:type="auto"/>
          <w:jc w:val="left"/>
          <w:tblInd w:w="367" w:type="dxa"/>
          <w:tblLayout w:type="fixed"/>
          <w:tblCellMar>
            <w:top w:w="0" w:type="dxa"/>
            <w:left w:w="0" w:type="dxa"/>
            <w:bottom w:w="0" w:type="dxa"/>
            <w:right w:w="0" w:type="dxa"/>
          </w:tblCellMar>
          <w:tblLook w:val="01E0"/>
        </w:tblPrEx>
        <w:trPr>
          <w:trHeight w:val="311"/>
          <w:jc w:val="left"/>
        </w:trPr>
        <w:tc>
          <w:tcPr>
            <w:tcW w:w="3013" w:type="dxa"/>
            <w:tcBorders>
              <w:top w:val="single" w:sz="8" w:space="0" w:color="D9D9D9"/>
              <w:left w:val="nil"/>
              <w:bottom w:val="single" w:sz="6" w:space="0" w:color="00507E"/>
              <w:right w:val="single" w:sz="8" w:space="0" w:color="D9D9D9"/>
            </w:tcBorders>
          </w:tcPr>
          <w:p>
            <w:pPr>
              <w:pStyle w:val="TableParagraph"/>
              <w:spacing w:before="42"/>
              <w:ind w:left="18" w:right="12"/>
              <w:jc w:val="center"/>
              <w:rPr>
                <w:sz w:val="20"/>
              </w:rPr>
            </w:pPr>
            <w:r>
              <w:rPr>
                <w:color w:val="1C242C"/>
                <w:spacing w:val="-4"/>
                <w:sz w:val="20"/>
              </w:rPr>
              <w:t>2025</w:t>
            </w:r>
          </w:p>
        </w:tc>
        <w:tc>
          <w:tcPr>
            <w:tcW w:w="3013" w:type="dxa"/>
            <w:tcBorders>
              <w:top w:val="single" w:sz="8" w:space="0" w:color="D9D9D9"/>
              <w:left w:val="single" w:sz="8" w:space="0" w:color="D9D9D9"/>
              <w:bottom w:val="single" w:sz="6" w:space="0" w:color="00507E"/>
              <w:right w:val="nil"/>
            </w:tcBorders>
          </w:tcPr>
          <w:p>
            <w:pPr>
              <w:pStyle w:val="TableParagraph"/>
              <w:spacing w:before="42"/>
              <w:ind w:left="6" w:right="18"/>
              <w:jc w:val="center"/>
              <w:rPr>
                <w:sz w:val="20"/>
              </w:rPr>
            </w:pPr>
            <w:r>
              <w:rPr>
                <w:color w:val="1C242C"/>
                <w:spacing w:val="-2"/>
                <w:sz w:val="20"/>
              </w:rPr>
              <w:t>15.5%</w:t>
            </w:r>
          </w:p>
        </w:tc>
      </w:tr>
    </w:tbl>
    <w:p>
      <w:pPr>
        <w:pStyle w:val="BodyText"/>
        <w:spacing w:before="21"/>
        <w:ind w:left="0"/>
        <w:rPr>
          <w:rFonts w:ascii="Arial"/>
          <w:b/>
          <w:sz w:val="20"/>
        </w:rPr>
      </w:pPr>
    </w:p>
    <w:p>
      <w:pPr>
        <w:pStyle w:val="BodyText"/>
        <w:spacing w:before="1"/>
        <w:ind w:right="360"/>
      </w:pPr>
      <w:r>
        <w:t>Response rates for the QHP Enrollee Survey are calculated using the Response Rate 3 (RR3) formula established by the American Association for Public Opinion Research (AAPOR). A response is counted as a completed survey if the respondent completes 50 percent (i.e., 10 or more)</w:t>
      </w:r>
      <w:r>
        <w:rPr>
          <w:spacing w:val="-2"/>
        </w:rPr>
        <w:t xml:space="preserve"> </w:t>
      </w:r>
      <w:r>
        <w:t>of</w:t>
      </w:r>
      <w:r>
        <w:rPr>
          <w:spacing w:val="-4"/>
        </w:rPr>
        <w:t xml:space="preserve"> </w:t>
      </w:r>
      <w:r>
        <w:t>a</w:t>
      </w:r>
      <w:r>
        <w:rPr>
          <w:spacing w:val="-3"/>
        </w:rPr>
        <w:t xml:space="preserve"> </w:t>
      </w:r>
      <w:r>
        <w:t>selected</w:t>
      </w:r>
      <w:r>
        <w:rPr>
          <w:spacing w:val="-2"/>
        </w:rPr>
        <w:t xml:space="preserve"> </w:t>
      </w:r>
      <w:r>
        <w:t>list</w:t>
      </w:r>
      <w:r>
        <w:rPr>
          <w:spacing w:val="-2"/>
        </w:rPr>
        <w:t xml:space="preserve"> </w:t>
      </w:r>
      <w:r>
        <w:t>of</w:t>
      </w:r>
      <w:r>
        <w:rPr>
          <w:spacing w:val="-2"/>
        </w:rPr>
        <w:t xml:space="preserve"> </w:t>
      </w:r>
      <w:r>
        <w:t>key</w:t>
      </w:r>
      <w:r>
        <w:rPr>
          <w:spacing w:val="-2"/>
        </w:rPr>
        <w:t xml:space="preserve"> </w:t>
      </w:r>
      <w:r>
        <w:t>survey</w:t>
      </w:r>
      <w:r>
        <w:rPr>
          <w:spacing w:val="-2"/>
        </w:rPr>
        <w:t xml:space="preserve"> </w:t>
      </w:r>
      <w:r>
        <w:t>items</w:t>
      </w:r>
      <w:r>
        <w:rPr>
          <w:spacing w:val="-2"/>
        </w:rPr>
        <w:t xml:space="preserve"> </w:t>
      </w:r>
      <w:r>
        <w:t>–</w:t>
      </w:r>
      <w:r>
        <w:rPr>
          <w:spacing w:val="-2"/>
        </w:rPr>
        <w:t xml:space="preserve"> </w:t>
      </w:r>
      <w:r>
        <w:t>the</w:t>
      </w:r>
      <w:r>
        <w:rPr>
          <w:spacing w:val="-2"/>
        </w:rPr>
        <w:t xml:space="preserve"> </w:t>
      </w:r>
      <w:r>
        <w:t>items</w:t>
      </w:r>
      <w:r>
        <w:rPr>
          <w:spacing w:val="-3"/>
        </w:rPr>
        <w:t xml:space="preserve"> </w:t>
      </w:r>
      <w:r>
        <w:t>that</w:t>
      </w:r>
      <w:r>
        <w:rPr>
          <w:spacing w:val="-2"/>
        </w:rPr>
        <w:t xml:space="preserve"> </w:t>
      </w:r>
      <w:r>
        <w:t>all</w:t>
      </w:r>
      <w:r>
        <w:rPr>
          <w:spacing w:val="-2"/>
        </w:rPr>
        <w:t xml:space="preserve"> </w:t>
      </w:r>
      <w:r>
        <w:t>respondents</w:t>
      </w:r>
      <w:r>
        <w:rPr>
          <w:spacing w:val="-1"/>
        </w:rPr>
        <w:t xml:space="preserve"> </w:t>
      </w:r>
      <w:r>
        <w:t>are</w:t>
      </w:r>
      <w:r>
        <w:rPr>
          <w:spacing w:val="-4"/>
        </w:rPr>
        <w:t xml:space="preserve"> </w:t>
      </w:r>
      <w:r>
        <w:t>eligible</w:t>
      </w:r>
      <w:r>
        <w:rPr>
          <w:spacing w:val="-3"/>
        </w:rPr>
        <w:t xml:space="preserve"> </w:t>
      </w:r>
      <w:r>
        <w:t>to</w:t>
      </w:r>
      <w:r>
        <w:rPr>
          <w:spacing w:val="-2"/>
        </w:rPr>
        <w:t xml:space="preserve"> </w:t>
      </w:r>
      <w:r>
        <w:t>answer, excluding the questions in the “About You” section of the survey. Other CMS surveys have reported response rates between 23% and 39%</w:t>
      </w:r>
      <w:hyperlink w:anchor="_bookmark18" w:history="1">
        <w:r>
          <w:rPr>
            <w:vertAlign w:val="superscript"/>
          </w:rPr>
          <w:t>7</w:t>
        </w:r>
      </w:hyperlink>
      <w:r>
        <w:rPr>
          <w:vertAlign w:val="baseline"/>
        </w:rPr>
        <w:t>.</w:t>
      </w:r>
    </w:p>
    <w:p>
      <w:pPr>
        <w:pStyle w:val="BodyText"/>
        <w:ind w:right="360"/>
      </w:pPr>
      <w:r>
        <w:t>Given</w:t>
      </w:r>
      <w:r>
        <w:rPr>
          <w:spacing w:val="-3"/>
        </w:rPr>
        <w:t xml:space="preserve"> </w:t>
      </w:r>
      <w:r>
        <w:t>that</w:t>
      </w:r>
      <w:r>
        <w:rPr>
          <w:spacing w:val="-3"/>
        </w:rPr>
        <w:t xml:space="preserve"> </w:t>
      </w:r>
      <w:r>
        <w:t>the</w:t>
      </w:r>
      <w:r>
        <w:rPr>
          <w:spacing w:val="-3"/>
        </w:rPr>
        <w:t xml:space="preserve"> </w:t>
      </w:r>
      <w:r>
        <w:t>2025</w:t>
      </w:r>
      <w:r>
        <w:rPr>
          <w:spacing w:val="-3"/>
        </w:rPr>
        <w:t xml:space="preserve"> </w:t>
      </w:r>
      <w:r>
        <w:t>QHP Enrollee</w:t>
      </w:r>
      <w:r>
        <w:rPr>
          <w:spacing w:val="-4"/>
        </w:rPr>
        <w:t xml:space="preserve"> </w:t>
      </w:r>
      <w:r>
        <w:t>Survey</w:t>
      </w:r>
      <w:r>
        <w:rPr>
          <w:spacing w:val="-3"/>
        </w:rPr>
        <w:t xml:space="preserve"> </w:t>
      </w:r>
      <w:r>
        <w:t>response</w:t>
      </w:r>
      <w:r>
        <w:rPr>
          <w:spacing w:val="-4"/>
        </w:rPr>
        <w:t xml:space="preserve"> </w:t>
      </w:r>
      <w:r>
        <w:t>rate</w:t>
      </w:r>
      <w:r>
        <w:rPr>
          <w:spacing w:val="-3"/>
        </w:rPr>
        <w:t xml:space="preserve"> </w:t>
      </w:r>
      <w:r>
        <w:t>was</w:t>
      </w:r>
      <w:r>
        <w:rPr>
          <w:spacing w:val="-4"/>
        </w:rPr>
        <w:t xml:space="preserve"> </w:t>
      </w:r>
      <w:r>
        <w:t>below</w:t>
      </w:r>
      <w:r>
        <w:rPr>
          <w:spacing w:val="-4"/>
        </w:rPr>
        <w:t xml:space="preserve"> </w:t>
      </w:r>
      <w:r>
        <w:t>80</w:t>
      </w:r>
      <w:r>
        <w:rPr>
          <w:spacing w:val="-3"/>
        </w:rPr>
        <w:t xml:space="preserve"> </w:t>
      </w:r>
      <w:r>
        <w:t>percent,</w:t>
      </w:r>
      <w:r>
        <w:rPr>
          <w:spacing w:val="-3"/>
        </w:rPr>
        <w:t xml:space="preserve"> </w:t>
      </w:r>
      <w:r>
        <w:t>CMS</w:t>
      </w:r>
      <w:r>
        <w:rPr>
          <w:spacing w:val="-3"/>
        </w:rPr>
        <w:t xml:space="preserve"> </w:t>
      </w:r>
      <w:r>
        <w:t>conducted</w:t>
      </w:r>
      <w:r>
        <w:rPr>
          <w:spacing w:val="-3"/>
        </w:rPr>
        <w:t xml:space="preserve"> </w:t>
      </w:r>
      <w:r>
        <w:t>a non-response bias analysis to determine whether non-respondents systematically differ from respondents based on their experience with their health plan per Office of Management and</w:t>
      </w:r>
    </w:p>
    <w:p>
      <w:pPr>
        <w:pStyle w:val="BodyText"/>
        <w:spacing w:before="11"/>
        <w:ind w:left="0"/>
        <w:rPr>
          <w:sz w:val="14"/>
        </w:rPr>
      </w:pPr>
      <w:r>
        <w:rPr>
          <w:sz w:val="14"/>
        </w:rPr>
        <mc:AlternateContent>
          <mc:Choice Requires="wps">
            <w:drawing>
              <wp:anchor distT="0" distB="0" distL="0" distR="0" simplePos="0" relativeHeight="251670528" behindDoc="1" locked="0" layoutInCell="1" allowOverlap="1">
                <wp:simplePos x="0" y="0"/>
                <wp:positionH relativeFrom="page">
                  <wp:posOffset>914704</wp:posOffset>
                </wp:positionH>
                <wp:positionV relativeFrom="paragraph">
                  <wp:posOffset>124479</wp:posOffset>
                </wp:positionV>
                <wp:extent cx="1829435" cy="7620"/>
                <wp:effectExtent l="0" t="0" r="0" b="0"/>
                <wp:wrapTopAndBottom/>
                <wp:docPr id="18" name="Graphic 18"/>
                <wp:cNvGraphicFramePr/>
                <a:graphic xmlns:a="http://schemas.openxmlformats.org/drawingml/2006/main">
                  <a:graphicData uri="http://schemas.microsoft.com/office/word/2010/wordprocessingShape">
                    <wps:wsp xmlns:wps="http://schemas.microsoft.com/office/word/2010/wordprocessingShape">
                      <wps:cNvSpPr/>
                      <wps:spPr>
                        <a:xfrm>
                          <a:off x="0" y="0"/>
                          <a:ext cx="1829435" cy="7620"/>
                        </a:xfrm>
                        <a:custGeom>
                          <a:avLst/>
                          <a:gdLst/>
                          <a:rect l="l" t="t" r="r" b="b"/>
                          <a:pathLst>
                            <a:path fill="norm" h="7620" w="1829435" stroke="1">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wps:bodyPr>
                    </wps:wsp>
                  </a:graphicData>
                </a:graphic>
              </wp:anchor>
            </w:drawing>
          </mc:Choice>
          <mc:Fallback>
            <w:pict>
              <v:rect id="_x0000_s1031" style="width:144.02pt;height:0.6pt;margin-top:9.8pt;margin-left:72.02pt;mso-position-horizontal-relative:page;mso-wrap-distance-left:0;mso-wrap-distance-right:0;position:absolute;z-index:-251644928" filled="t" fillcolor="black" stroked="f">
                <v:fill type="solid"/>
                <w10:wrap type="topAndBottom"/>
              </v:rect>
            </w:pict>
          </mc:Fallback>
        </mc:AlternateContent>
      </w:r>
    </w:p>
    <w:p>
      <w:pPr>
        <w:spacing w:before="116" w:line="206" w:lineRule="auto"/>
        <w:ind w:left="360" w:right="385" w:firstLine="0"/>
        <w:jc w:val="left"/>
        <w:rPr>
          <w:sz w:val="20"/>
        </w:rPr>
      </w:pPr>
      <w:bookmarkStart w:id="29" w:name="_bookmark17"/>
      <w:bookmarkEnd w:id="29"/>
      <w:r>
        <w:rPr>
          <w:sz w:val="20"/>
          <w:vertAlign w:val="superscript"/>
        </w:rPr>
        <w:t>6</w:t>
      </w:r>
      <w:r>
        <w:rPr>
          <w:spacing w:val="-3"/>
          <w:sz w:val="20"/>
          <w:vertAlign w:val="baseline"/>
        </w:rPr>
        <w:t xml:space="preserve"> </w:t>
      </w:r>
      <w:r>
        <w:rPr>
          <w:sz w:val="20"/>
          <w:vertAlign w:val="baseline"/>
        </w:rPr>
        <w:t>Dillman,</w:t>
      </w:r>
      <w:r>
        <w:rPr>
          <w:spacing w:val="-3"/>
          <w:sz w:val="20"/>
          <w:vertAlign w:val="baseline"/>
        </w:rPr>
        <w:t xml:space="preserve"> </w:t>
      </w:r>
      <w:r>
        <w:rPr>
          <w:sz w:val="20"/>
          <w:vertAlign w:val="baseline"/>
        </w:rPr>
        <w:t>D.,</w:t>
      </w:r>
      <w:r>
        <w:rPr>
          <w:spacing w:val="-3"/>
          <w:sz w:val="20"/>
          <w:vertAlign w:val="baseline"/>
        </w:rPr>
        <w:t xml:space="preserve"> </w:t>
      </w:r>
      <w:r>
        <w:rPr>
          <w:sz w:val="20"/>
          <w:vertAlign w:val="baseline"/>
        </w:rPr>
        <w:t>Smyth,</w:t>
      </w:r>
      <w:r>
        <w:rPr>
          <w:spacing w:val="-3"/>
          <w:sz w:val="20"/>
          <w:vertAlign w:val="baseline"/>
        </w:rPr>
        <w:t xml:space="preserve"> </w:t>
      </w:r>
      <w:r>
        <w:rPr>
          <w:sz w:val="20"/>
          <w:vertAlign w:val="baseline"/>
        </w:rPr>
        <w:t>J.,</w:t>
      </w:r>
      <w:r>
        <w:rPr>
          <w:spacing w:val="-5"/>
          <w:sz w:val="20"/>
          <w:vertAlign w:val="baseline"/>
        </w:rPr>
        <w:t xml:space="preserve"> </w:t>
      </w:r>
      <w:r>
        <w:rPr>
          <w:sz w:val="20"/>
          <w:vertAlign w:val="baseline"/>
        </w:rPr>
        <w:t>&amp;</w:t>
      </w:r>
      <w:r>
        <w:rPr>
          <w:spacing w:val="-3"/>
          <w:sz w:val="20"/>
          <w:vertAlign w:val="baseline"/>
        </w:rPr>
        <w:t xml:space="preserve"> </w:t>
      </w:r>
      <w:r>
        <w:rPr>
          <w:sz w:val="20"/>
          <w:vertAlign w:val="baseline"/>
        </w:rPr>
        <w:t>Christian,</w:t>
      </w:r>
      <w:r>
        <w:rPr>
          <w:spacing w:val="-3"/>
          <w:sz w:val="20"/>
          <w:vertAlign w:val="baseline"/>
        </w:rPr>
        <w:t xml:space="preserve"> </w:t>
      </w:r>
      <w:r>
        <w:rPr>
          <w:sz w:val="20"/>
          <w:vertAlign w:val="baseline"/>
        </w:rPr>
        <w:t>L.</w:t>
      </w:r>
      <w:r>
        <w:rPr>
          <w:spacing w:val="-3"/>
          <w:sz w:val="20"/>
          <w:vertAlign w:val="baseline"/>
        </w:rPr>
        <w:t xml:space="preserve"> </w:t>
      </w:r>
      <w:r>
        <w:rPr>
          <w:sz w:val="20"/>
          <w:vertAlign w:val="baseline"/>
        </w:rPr>
        <w:t xml:space="preserve">(2014). </w:t>
      </w:r>
      <w:r>
        <w:rPr>
          <w:i/>
          <w:sz w:val="20"/>
          <w:vertAlign w:val="baseline"/>
        </w:rPr>
        <w:t>Internet,</w:t>
      </w:r>
      <w:r>
        <w:rPr>
          <w:i/>
          <w:spacing w:val="-3"/>
          <w:sz w:val="20"/>
          <w:vertAlign w:val="baseline"/>
        </w:rPr>
        <w:t xml:space="preserve"> </w:t>
      </w:r>
      <w:r>
        <w:rPr>
          <w:i/>
          <w:sz w:val="20"/>
          <w:vertAlign w:val="baseline"/>
        </w:rPr>
        <w:t>phone,</w:t>
      </w:r>
      <w:r>
        <w:rPr>
          <w:i/>
          <w:spacing w:val="-3"/>
          <w:sz w:val="20"/>
          <w:vertAlign w:val="baseline"/>
        </w:rPr>
        <w:t xml:space="preserve"> </w:t>
      </w:r>
      <w:r>
        <w:rPr>
          <w:i/>
          <w:sz w:val="20"/>
          <w:vertAlign w:val="baseline"/>
        </w:rPr>
        <w:t>mail,</w:t>
      </w:r>
      <w:r>
        <w:rPr>
          <w:i/>
          <w:spacing w:val="-3"/>
          <w:sz w:val="20"/>
          <w:vertAlign w:val="baseline"/>
        </w:rPr>
        <w:t xml:space="preserve"> </w:t>
      </w:r>
      <w:r>
        <w:rPr>
          <w:i/>
          <w:sz w:val="20"/>
          <w:vertAlign w:val="baseline"/>
        </w:rPr>
        <w:t>and</w:t>
      </w:r>
      <w:r>
        <w:rPr>
          <w:i/>
          <w:spacing w:val="-2"/>
          <w:sz w:val="20"/>
          <w:vertAlign w:val="baseline"/>
        </w:rPr>
        <w:t xml:space="preserve"> </w:t>
      </w:r>
      <w:r>
        <w:rPr>
          <w:i/>
          <w:sz w:val="20"/>
          <w:vertAlign w:val="baseline"/>
        </w:rPr>
        <w:t>mixed-mode</w:t>
      </w:r>
      <w:r>
        <w:rPr>
          <w:i/>
          <w:spacing w:val="-3"/>
          <w:sz w:val="20"/>
          <w:vertAlign w:val="baseline"/>
        </w:rPr>
        <w:t xml:space="preserve"> </w:t>
      </w:r>
      <w:r>
        <w:rPr>
          <w:i/>
          <w:sz w:val="20"/>
          <w:vertAlign w:val="baseline"/>
        </w:rPr>
        <w:t>surveys:</w:t>
      </w:r>
      <w:r>
        <w:rPr>
          <w:i/>
          <w:spacing w:val="-3"/>
          <w:sz w:val="20"/>
          <w:vertAlign w:val="baseline"/>
        </w:rPr>
        <w:t xml:space="preserve"> </w:t>
      </w:r>
      <w:r>
        <w:rPr>
          <w:i/>
          <w:sz w:val="20"/>
          <w:vertAlign w:val="baseline"/>
        </w:rPr>
        <w:t>The</w:t>
      </w:r>
      <w:r>
        <w:rPr>
          <w:i/>
          <w:spacing w:val="-3"/>
          <w:sz w:val="20"/>
          <w:vertAlign w:val="baseline"/>
        </w:rPr>
        <w:t xml:space="preserve"> </w:t>
      </w:r>
      <w:r>
        <w:rPr>
          <w:i/>
          <w:sz w:val="20"/>
          <w:vertAlign w:val="baseline"/>
        </w:rPr>
        <w:t>tailored</w:t>
      </w:r>
      <w:r>
        <w:rPr>
          <w:i/>
          <w:spacing w:val="-2"/>
          <w:sz w:val="20"/>
          <w:vertAlign w:val="baseline"/>
        </w:rPr>
        <w:t xml:space="preserve"> </w:t>
      </w:r>
      <w:r>
        <w:rPr>
          <w:i/>
          <w:sz w:val="20"/>
          <w:vertAlign w:val="baseline"/>
        </w:rPr>
        <w:t>design</w:t>
      </w:r>
      <w:r>
        <w:rPr>
          <w:i/>
          <w:sz w:val="20"/>
          <w:vertAlign w:val="baseline"/>
        </w:rPr>
        <w:t xml:space="preserve"> method </w:t>
      </w:r>
      <w:r>
        <w:rPr>
          <w:sz w:val="20"/>
          <w:vertAlign w:val="baseline"/>
        </w:rPr>
        <w:t>(4th ed.). Wiley.</w:t>
      </w:r>
    </w:p>
    <w:p>
      <w:pPr>
        <w:spacing w:before="84" w:line="213" w:lineRule="exact"/>
        <w:ind w:left="360" w:right="0" w:firstLine="0"/>
        <w:jc w:val="left"/>
        <w:rPr>
          <w:sz w:val="20"/>
        </w:rPr>
      </w:pPr>
      <w:bookmarkStart w:id="30" w:name="_bookmark18"/>
      <w:bookmarkEnd w:id="30"/>
      <w:r>
        <w:rPr>
          <w:sz w:val="20"/>
          <w:vertAlign w:val="superscript"/>
        </w:rPr>
        <w:t>7</w:t>
      </w:r>
      <w:r>
        <w:rPr>
          <w:spacing w:val="-6"/>
          <w:sz w:val="20"/>
          <w:vertAlign w:val="baseline"/>
        </w:rPr>
        <w:t xml:space="preserve"> </w:t>
      </w:r>
      <w:r>
        <w:rPr>
          <w:sz w:val="20"/>
          <w:vertAlign w:val="baseline"/>
        </w:rPr>
        <w:t>This</w:t>
      </w:r>
      <w:r>
        <w:rPr>
          <w:spacing w:val="-7"/>
          <w:sz w:val="20"/>
          <w:vertAlign w:val="baseline"/>
        </w:rPr>
        <w:t xml:space="preserve"> </w:t>
      </w:r>
      <w:r>
        <w:rPr>
          <w:sz w:val="20"/>
          <w:vertAlign w:val="baseline"/>
        </w:rPr>
        <w:t>is</w:t>
      </w:r>
      <w:r>
        <w:rPr>
          <w:spacing w:val="-7"/>
          <w:sz w:val="20"/>
          <w:vertAlign w:val="baseline"/>
        </w:rPr>
        <w:t xml:space="preserve"> </w:t>
      </w:r>
      <w:r>
        <w:rPr>
          <w:sz w:val="20"/>
          <w:vertAlign w:val="baseline"/>
        </w:rPr>
        <w:t>the</w:t>
      </w:r>
      <w:r>
        <w:rPr>
          <w:spacing w:val="-6"/>
          <w:sz w:val="20"/>
          <w:vertAlign w:val="baseline"/>
        </w:rPr>
        <w:t xml:space="preserve"> </w:t>
      </w:r>
      <w:r>
        <w:rPr>
          <w:sz w:val="20"/>
          <w:vertAlign w:val="baseline"/>
        </w:rPr>
        <w:t>range</w:t>
      </w:r>
      <w:r>
        <w:rPr>
          <w:spacing w:val="-7"/>
          <w:sz w:val="20"/>
          <w:vertAlign w:val="baseline"/>
        </w:rPr>
        <w:t xml:space="preserve"> </w:t>
      </w:r>
      <w:r>
        <w:rPr>
          <w:sz w:val="20"/>
          <w:vertAlign w:val="baseline"/>
        </w:rPr>
        <w:t>of</w:t>
      </w:r>
      <w:r>
        <w:rPr>
          <w:spacing w:val="-6"/>
          <w:sz w:val="20"/>
          <w:vertAlign w:val="baseline"/>
        </w:rPr>
        <w:t xml:space="preserve"> </w:t>
      </w:r>
      <w:r>
        <w:rPr>
          <w:sz w:val="20"/>
          <w:vertAlign w:val="baseline"/>
        </w:rPr>
        <w:t>each</w:t>
      </w:r>
      <w:r>
        <w:rPr>
          <w:spacing w:val="-5"/>
          <w:sz w:val="20"/>
          <w:vertAlign w:val="baseline"/>
        </w:rPr>
        <w:t xml:space="preserve"> </w:t>
      </w:r>
      <w:r>
        <w:rPr>
          <w:sz w:val="20"/>
          <w:vertAlign w:val="baseline"/>
        </w:rPr>
        <w:t>CMS</w:t>
      </w:r>
      <w:r>
        <w:rPr>
          <w:spacing w:val="-7"/>
          <w:sz w:val="20"/>
          <w:vertAlign w:val="baseline"/>
        </w:rPr>
        <w:t xml:space="preserve"> </w:t>
      </w:r>
      <w:r>
        <w:rPr>
          <w:sz w:val="20"/>
          <w:vertAlign w:val="baseline"/>
        </w:rPr>
        <w:t>surveys’</w:t>
      </w:r>
      <w:r>
        <w:rPr>
          <w:spacing w:val="-6"/>
          <w:sz w:val="20"/>
          <w:vertAlign w:val="baseline"/>
        </w:rPr>
        <w:t xml:space="preserve"> </w:t>
      </w:r>
      <w:r>
        <w:rPr>
          <w:sz w:val="20"/>
          <w:vertAlign w:val="baseline"/>
        </w:rPr>
        <w:t>publicly-reported</w:t>
      </w:r>
      <w:r>
        <w:rPr>
          <w:spacing w:val="-5"/>
          <w:sz w:val="20"/>
          <w:vertAlign w:val="baseline"/>
        </w:rPr>
        <w:t xml:space="preserve"> </w:t>
      </w:r>
      <w:r>
        <w:rPr>
          <w:sz w:val="20"/>
          <w:vertAlign w:val="baseline"/>
        </w:rPr>
        <w:t>response</w:t>
      </w:r>
      <w:r>
        <w:rPr>
          <w:spacing w:val="-5"/>
          <w:sz w:val="20"/>
          <w:vertAlign w:val="baseline"/>
        </w:rPr>
        <w:t xml:space="preserve"> </w:t>
      </w:r>
      <w:r>
        <w:rPr>
          <w:sz w:val="20"/>
          <w:vertAlign w:val="baseline"/>
        </w:rPr>
        <w:t>rate.</w:t>
      </w:r>
      <w:r>
        <w:rPr>
          <w:spacing w:val="-5"/>
          <w:sz w:val="20"/>
          <w:vertAlign w:val="baseline"/>
        </w:rPr>
        <w:t xml:space="preserve"> </w:t>
      </w:r>
      <w:r>
        <w:rPr>
          <w:sz w:val="20"/>
          <w:vertAlign w:val="baseline"/>
        </w:rPr>
        <w:t>Different</w:t>
      </w:r>
      <w:r>
        <w:rPr>
          <w:spacing w:val="-7"/>
          <w:sz w:val="20"/>
          <w:vertAlign w:val="baseline"/>
        </w:rPr>
        <w:t xml:space="preserve"> </w:t>
      </w:r>
      <w:r>
        <w:rPr>
          <w:sz w:val="20"/>
          <w:vertAlign w:val="baseline"/>
        </w:rPr>
        <w:t>CMS</w:t>
      </w:r>
      <w:r>
        <w:rPr>
          <w:spacing w:val="-7"/>
          <w:sz w:val="20"/>
          <w:vertAlign w:val="baseline"/>
        </w:rPr>
        <w:t xml:space="preserve"> </w:t>
      </w:r>
      <w:r>
        <w:rPr>
          <w:sz w:val="20"/>
          <w:vertAlign w:val="baseline"/>
        </w:rPr>
        <w:t>surveys</w:t>
      </w:r>
      <w:r>
        <w:rPr>
          <w:spacing w:val="-7"/>
          <w:sz w:val="20"/>
          <w:vertAlign w:val="baseline"/>
        </w:rPr>
        <w:t xml:space="preserve"> </w:t>
      </w:r>
      <w:r>
        <w:rPr>
          <w:sz w:val="20"/>
          <w:vertAlign w:val="baseline"/>
        </w:rPr>
        <w:t>calculate</w:t>
      </w:r>
      <w:r>
        <w:rPr>
          <w:spacing w:val="-5"/>
          <w:sz w:val="20"/>
          <w:vertAlign w:val="baseline"/>
        </w:rPr>
        <w:t xml:space="preserve"> and</w:t>
      </w:r>
    </w:p>
    <w:p>
      <w:pPr>
        <w:spacing w:before="0" w:line="213" w:lineRule="exact"/>
        <w:ind w:left="360" w:right="0" w:firstLine="0"/>
        <w:jc w:val="left"/>
        <w:rPr>
          <w:sz w:val="20"/>
        </w:rPr>
      </w:pPr>
      <w:r>
        <w:rPr>
          <w:sz w:val="20"/>
        </w:rPr>
        <w:t>report</w:t>
      </w:r>
      <w:r>
        <w:rPr>
          <w:spacing w:val="-8"/>
          <w:sz w:val="20"/>
        </w:rPr>
        <w:t xml:space="preserve"> </w:t>
      </w:r>
      <w:r>
        <w:rPr>
          <w:sz w:val="20"/>
        </w:rPr>
        <w:t>their</w:t>
      </w:r>
      <w:r>
        <w:rPr>
          <w:spacing w:val="-8"/>
          <w:sz w:val="20"/>
        </w:rPr>
        <w:t xml:space="preserve"> </w:t>
      </w:r>
      <w:r>
        <w:rPr>
          <w:sz w:val="20"/>
        </w:rPr>
        <w:t>official</w:t>
      </w:r>
      <w:r>
        <w:rPr>
          <w:spacing w:val="-9"/>
          <w:sz w:val="20"/>
        </w:rPr>
        <w:t xml:space="preserve"> </w:t>
      </w:r>
      <w:r>
        <w:rPr>
          <w:sz w:val="20"/>
        </w:rPr>
        <w:t>response</w:t>
      </w:r>
      <w:r>
        <w:rPr>
          <w:spacing w:val="-6"/>
          <w:sz w:val="20"/>
        </w:rPr>
        <w:t xml:space="preserve"> </w:t>
      </w:r>
      <w:r>
        <w:rPr>
          <w:sz w:val="20"/>
        </w:rPr>
        <w:t>rates</w:t>
      </w:r>
      <w:r>
        <w:rPr>
          <w:spacing w:val="-8"/>
          <w:sz w:val="20"/>
        </w:rPr>
        <w:t xml:space="preserve"> </w:t>
      </w:r>
      <w:r>
        <w:rPr>
          <w:sz w:val="20"/>
        </w:rPr>
        <w:t>using</w:t>
      </w:r>
      <w:r>
        <w:rPr>
          <w:spacing w:val="-5"/>
          <w:sz w:val="20"/>
        </w:rPr>
        <w:t xml:space="preserve"> </w:t>
      </w:r>
      <w:r>
        <w:rPr>
          <w:sz w:val="20"/>
        </w:rPr>
        <w:t>different</w:t>
      </w:r>
      <w:r>
        <w:rPr>
          <w:spacing w:val="-8"/>
          <w:sz w:val="20"/>
        </w:rPr>
        <w:t xml:space="preserve"> </w:t>
      </w:r>
      <w:r>
        <w:rPr>
          <w:sz w:val="20"/>
        </w:rPr>
        <w:t>AAPOR</w:t>
      </w:r>
      <w:r>
        <w:rPr>
          <w:spacing w:val="-7"/>
          <w:sz w:val="20"/>
        </w:rPr>
        <w:t xml:space="preserve"> </w:t>
      </w:r>
      <w:r>
        <w:rPr>
          <w:sz w:val="20"/>
        </w:rPr>
        <w:t>formulas</w:t>
      </w:r>
      <w:r>
        <w:rPr>
          <w:spacing w:val="-8"/>
          <w:sz w:val="20"/>
        </w:rPr>
        <w:t xml:space="preserve"> </w:t>
      </w:r>
      <w:r>
        <w:rPr>
          <w:sz w:val="20"/>
        </w:rPr>
        <w:t>based</w:t>
      </w:r>
      <w:r>
        <w:rPr>
          <w:spacing w:val="-5"/>
          <w:sz w:val="20"/>
        </w:rPr>
        <w:t xml:space="preserve"> </w:t>
      </w:r>
      <w:r>
        <w:rPr>
          <w:sz w:val="20"/>
        </w:rPr>
        <w:t>on</w:t>
      </w:r>
      <w:r>
        <w:rPr>
          <w:spacing w:val="-6"/>
          <w:sz w:val="20"/>
        </w:rPr>
        <w:t xml:space="preserve"> </w:t>
      </w:r>
      <w:r>
        <w:rPr>
          <w:sz w:val="20"/>
        </w:rPr>
        <w:t>each</w:t>
      </w:r>
      <w:r>
        <w:rPr>
          <w:spacing w:val="-6"/>
          <w:sz w:val="20"/>
        </w:rPr>
        <w:t xml:space="preserve"> </w:t>
      </w:r>
      <w:r>
        <w:rPr>
          <w:sz w:val="20"/>
        </w:rPr>
        <w:t>survey’s</w:t>
      </w:r>
      <w:r>
        <w:rPr>
          <w:spacing w:val="-9"/>
          <w:sz w:val="20"/>
        </w:rPr>
        <w:t xml:space="preserve"> </w:t>
      </w:r>
      <w:r>
        <w:rPr>
          <w:sz w:val="20"/>
        </w:rPr>
        <w:t>fielding</w:t>
      </w:r>
      <w:r>
        <w:rPr>
          <w:spacing w:val="-6"/>
          <w:sz w:val="20"/>
        </w:rPr>
        <w:t xml:space="preserve"> </w:t>
      </w:r>
      <w:r>
        <w:rPr>
          <w:spacing w:val="-2"/>
          <w:sz w:val="20"/>
        </w:rPr>
        <w:t>methodology.</w:t>
      </w:r>
    </w:p>
    <w:p>
      <w:pPr>
        <w:spacing w:after="0" w:line="213" w:lineRule="exact"/>
        <w:jc w:val="left"/>
        <w:rPr>
          <w:sz w:val="20"/>
        </w:rPr>
        <w:sectPr>
          <w:pgSz w:w="12240" w:h="15840"/>
          <w:pgMar w:top="1360" w:right="1080" w:bottom="940" w:left="1080" w:header="0" w:footer="748"/>
          <w:cols w:space="720"/>
        </w:sectPr>
      </w:pPr>
    </w:p>
    <w:p>
      <w:pPr>
        <w:pStyle w:val="BodyText"/>
        <w:spacing w:before="79"/>
        <w:ind w:right="381"/>
      </w:pPr>
      <w:bookmarkStart w:id="31" w:name="4. Tests of Procedures"/>
      <w:bookmarkEnd w:id="31"/>
      <w:bookmarkStart w:id="32" w:name="5. Statistical Consultants"/>
      <w:bookmarkEnd w:id="32"/>
      <w:r>
        <w:t>Budget (OMB) guidelines. Similar to previous survey administration years, CMS found that older enrollees continued to be more likely to respond compared to younger enrollees. For example,</w:t>
      </w:r>
      <w:r>
        <w:rPr>
          <w:spacing w:val="-3"/>
        </w:rPr>
        <w:t xml:space="preserve"> </w:t>
      </w:r>
      <w:r>
        <w:t>respondents</w:t>
      </w:r>
      <w:r>
        <w:rPr>
          <w:spacing w:val="-4"/>
        </w:rPr>
        <w:t xml:space="preserve"> </w:t>
      </w:r>
      <w:r>
        <w:t>ages</w:t>
      </w:r>
      <w:r>
        <w:rPr>
          <w:spacing w:val="-4"/>
        </w:rPr>
        <w:t xml:space="preserve"> </w:t>
      </w:r>
      <w:r>
        <w:t>18-24</w:t>
      </w:r>
      <w:r>
        <w:rPr>
          <w:spacing w:val="-3"/>
        </w:rPr>
        <w:t xml:space="preserve"> </w:t>
      </w:r>
      <w:r>
        <w:t>had</w:t>
      </w:r>
      <w:r>
        <w:rPr>
          <w:spacing w:val="-3"/>
        </w:rPr>
        <w:t xml:space="preserve"> </w:t>
      </w:r>
      <w:r>
        <w:t>an</w:t>
      </w:r>
      <w:r>
        <w:rPr>
          <w:spacing w:val="-3"/>
        </w:rPr>
        <w:t xml:space="preserve"> </w:t>
      </w:r>
      <w:r>
        <w:t>8.91%</w:t>
      </w:r>
      <w:r>
        <w:rPr>
          <w:spacing w:val="-4"/>
        </w:rPr>
        <w:t xml:space="preserve"> </w:t>
      </w:r>
      <w:r>
        <w:t>response</w:t>
      </w:r>
      <w:r>
        <w:rPr>
          <w:spacing w:val="-3"/>
        </w:rPr>
        <w:t xml:space="preserve"> </w:t>
      </w:r>
      <w:r>
        <w:t>rate,</w:t>
      </w:r>
      <w:r>
        <w:rPr>
          <w:spacing w:val="-3"/>
        </w:rPr>
        <w:t xml:space="preserve"> </w:t>
      </w:r>
      <w:r>
        <w:t>while</w:t>
      </w:r>
      <w:r>
        <w:rPr>
          <w:spacing w:val="-4"/>
        </w:rPr>
        <w:t xml:space="preserve"> </w:t>
      </w:r>
      <w:r>
        <w:t>individuals</w:t>
      </w:r>
      <w:r>
        <w:rPr>
          <w:spacing w:val="-4"/>
        </w:rPr>
        <w:t xml:space="preserve"> </w:t>
      </w:r>
      <w:r>
        <w:t>ages</w:t>
      </w:r>
      <w:r>
        <w:rPr>
          <w:spacing w:val="-4"/>
        </w:rPr>
        <w:t xml:space="preserve"> </w:t>
      </w:r>
      <w:r>
        <w:t>55-64</w:t>
      </w:r>
      <w:r>
        <w:rPr>
          <w:spacing w:val="-3"/>
        </w:rPr>
        <w:t xml:space="preserve"> </w:t>
      </w:r>
      <w:r>
        <w:t>had</w:t>
      </w:r>
      <w:r>
        <w:rPr>
          <w:spacing w:val="-3"/>
        </w:rPr>
        <w:t xml:space="preserve"> </w:t>
      </w:r>
      <w:r>
        <w:t>a 22.70%</w:t>
      </w:r>
      <w:r>
        <w:rPr>
          <w:spacing w:val="-2"/>
        </w:rPr>
        <w:t xml:space="preserve"> </w:t>
      </w:r>
      <w:r>
        <w:t>response rate.</w:t>
      </w:r>
      <w:r>
        <w:rPr>
          <w:spacing w:val="-2"/>
        </w:rPr>
        <w:t xml:space="preserve"> </w:t>
      </w:r>
      <w:r>
        <w:t>CMS</w:t>
      </w:r>
      <w:r>
        <w:rPr>
          <w:spacing w:val="-1"/>
        </w:rPr>
        <w:t xml:space="preserve"> </w:t>
      </w:r>
      <w:r>
        <w:t>also</w:t>
      </w:r>
      <w:r>
        <w:rPr>
          <w:spacing w:val="-1"/>
        </w:rPr>
        <w:t xml:space="preserve"> </w:t>
      </w:r>
      <w:r>
        <w:t>found</w:t>
      </w:r>
      <w:r>
        <w:rPr>
          <w:spacing w:val="-1"/>
        </w:rPr>
        <w:t xml:space="preserve"> </w:t>
      </w:r>
      <w:r>
        <w:t>associations</w:t>
      </w:r>
      <w:r>
        <w:rPr>
          <w:spacing w:val="-2"/>
        </w:rPr>
        <w:t xml:space="preserve"> </w:t>
      </w:r>
      <w:r>
        <w:t>between</w:t>
      </w:r>
      <w:r>
        <w:rPr>
          <w:spacing w:val="-1"/>
        </w:rPr>
        <w:t xml:space="preserve"> </w:t>
      </w:r>
      <w:r>
        <w:t>enrollee characteristics</w:t>
      </w:r>
      <w:r>
        <w:rPr>
          <w:spacing w:val="-2"/>
        </w:rPr>
        <w:t xml:space="preserve"> </w:t>
      </w:r>
      <w:r>
        <w:t>like</w:t>
      </w:r>
      <w:r>
        <w:rPr>
          <w:spacing w:val="-1"/>
        </w:rPr>
        <w:t xml:space="preserve"> </w:t>
      </w:r>
      <w:r>
        <w:t>sex and written language preferences and the likelihood of completing the survey. This pattern was observed in the 2014 psychometric test, the 2015 beta test, and the 2016</w:t>
      </w:r>
      <w:r>
        <w:rPr>
          <w:rFonts w:ascii="Symbol" w:hAnsi="Symbol"/>
        </w:rPr>
        <w:sym w:font="Symbol" w:char="F02D"/>
      </w:r>
      <w:r>
        <w:t xml:space="preserve">2024 nationwide administration years. More detailed findings from the 2025 non-response bias evaluation are included in </w:t>
      </w:r>
      <w:hyperlink w:anchor="_bookmark21" w:history="1">
        <w:r>
          <w:rPr>
            <w:color w:val="0000FF"/>
            <w:u w:val="single" w:color="0000FF"/>
          </w:rPr>
          <w:t>Appendix A: Nonresponse Bias Analysis of the 2025 QHP Enrollee Survey</w:t>
        </w:r>
      </w:hyperlink>
      <w:r>
        <w:rPr>
          <w:u w:val="none"/>
        </w:rPr>
        <w:t>.</w:t>
      </w:r>
    </w:p>
    <w:p>
      <w:pPr>
        <w:pStyle w:val="Heading2"/>
        <w:numPr>
          <w:ilvl w:val="0"/>
          <w:numId w:val="19"/>
        </w:numPr>
        <w:tabs>
          <w:tab w:val="left" w:pos="718"/>
        </w:tabs>
        <w:spacing w:before="239" w:after="0" w:line="240" w:lineRule="auto"/>
        <w:ind w:left="718" w:right="0" w:hanging="358"/>
        <w:jc w:val="left"/>
      </w:pPr>
      <w:bookmarkStart w:id="33" w:name="_bookmark19"/>
      <w:bookmarkEnd w:id="33"/>
      <w:r>
        <w:t>Tests</w:t>
      </w:r>
      <w:r>
        <w:rPr>
          <w:spacing w:val="-6"/>
        </w:rPr>
        <w:t xml:space="preserve"> </w:t>
      </w:r>
      <w:r>
        <w:t xml:space="preserve">of </w:t>
      </w:r>
      <w:r>
        <w:rPr>
          <w:spacing w:val="-2"/>
        </w:rPr>
        <w:t>Procedures</w:t>
      </w:r>
    </w:p>
    <w:p>
      <w:pPr>
        <w:pStyle w:val="BodyText"/>
        <w:spacing w:before="122"/>
        <w:ind w:right="360"/>
      </w:pPr>
      <w:r>
        <w:t>The QHP Enrollee Survey uses core questions and supplemental items from the CAHPS</w:t>
      </w:r>
      <w:r>
        <w:rPr>
          <w:spacing w:val="-11"/>
        </w:rPr>
        <w:t xml:space="preserve"> </w:t>
      </w:r>
      <w:r>
        <w:t>Health Plan Adult Commercial 5.1, CAHPS</w:t>
      </w:r>
      <w:r>
        <w:rPr>
          <w:spacing w:val="-10"/>
        </w:rPr>
        <w:t xml:space="preserve"> </w:t>
      </w:r>
      <w:r>
        <w:t>Health Plan Adult Commercial 5.0, CAHPS Health Plan Adult</w:t>
      </w:r>
      <w:r>
        <w:rPr>
          <w:spacing w:val="-3"/>
        </w:rPr>
        <w:t xml:space="preserve"> </w:t>
      </w:r>
      <w:r>
        <w:t>Commercial</w:t>
      </w:r>
      <w:r>
        <w:rPr>
          <w:spacing w:val="-3"/>
        </w:rPr>
        <w:t xml:space="preserve"> </w:t>
      </w:r>
      <w:r>
        <w:t>4.0,</w:t>
      </w:r>
      <w:r>
        <w:rPr>
          <w:spacing w:val="-3"/>
        </w:rPr>
        <w:t xml:space="preserve"> </w:t>
      </w:r>
      <w:r>
        <w:t>and</w:t>
      </w:r>
      <w:r>
        <w:rPr>
          <w:spacing w:val="-3"/>
        </w:rPr>
        <w:t xml:space="preserve"> </w:t>
      </w:r>
      <w:r>
        <w:t>CAHPS</w:t>
      </w:r>
      <w:r>
        <w:rPr>
          <w:spacing w:val="-3"/>
        </w:rPr>
        <w:t xml:space="preserve"> </w:t>
      </w:r>
      <w:r>
        <w:t>Clinician</w:t>
      </w:r>
      <w:r>
        <w:rPr>
          <w:spacing w:val="-3"/>
        </w:rPr>
        <w:t xml:space="preserve"> </w:t>
      </w:r>
      <w:r>
        <w:t>and</w:t>
      </w:r>
      <w:r>
        <w:rPr>
          <w:spacing w:val="-3"/>
        </w:rPr>
        <w:t xml:space="preserve"> </w:t>
      </w:r>
      <w:r>
        <w:t>Groups</w:t>
      </w:r>
      <w:r>
        <w:rPr>
          <w:spacing w:val="-4"/>
        </w:rPr>
        <w:t xml:space="preserve"> </w:t>
      </w:r>
      <w:r>
        <w:t>2.0</w:t>
      </w:r>
      <w:r>
        <w:rPr>
          <w:spacing w:val="-3"/>
        </w:rPr>
        <w:t xml:space="preserve"> </w:t>
      </w:r>
      <w:r>
        <w:t>surveys,</w:t>
      </w:r>
      <w:r>
        <w:rPr>
          <w:spacing w:val="-3"/>
        </w:rPr>
        <w:t xml:space="preserve"> </w:t>
      </w:r>
      <w:r>
        <w:t>as</w:t>
      </w:r>
      <w:r>
        <w:rPr>
          <w:spacing w:val="-1"/>
        </w:rPr>
        <w:t xml:space="preserve"> </w:t>
      </w:r>
      <w:r>
        <w:t>well</w:t>
      </w:r>
      <w:r>
        <w:rPr>
          <w:spacing w:val="-3"/>
        </w:rPr>
        <w:t xml:space="preserve"> </w:t>
      </w:r>
      <w:r>
        <w:t>as</w:t>
      </w:r>
      <w:r>
        <w:rPr>
          <w:spacing w:val="-2"/>
        </w:rPr>
        <w:t xml:space="preserve"> </w:t>
      </w:r>
      <w:r>
        <w:t>Section</w:t>
      </w:r>
      <w:r>
        <w:rPr>
          <w:spacing w:val="-3"/>
        </w:rPr>
        <w:t xml:space="preserve"> </w:t>
      </w:r>
      <w:r>
        <w:t>4302</w:t>
      </w:r>
      <w:r>
        <w:rPr>
          <w:spacing w:val="-3"/>
        </w:rPr>
        <w:t xml:space="preserve"> </w:t>
      </w:r>
      <w:r>
        <w:t>of the ACA. These items have undergone extensive testing and practical use by the AHRQ, OMB, NCQA, and other users since they were first developed.</w:t>
      </w:r>
    </w:p>
    <w:p>
      <w:pPr>
        <w:pStyle w:val="BodyText"/>
        <w:spacing w:before="121"/>
        <w:ind w:right="385"/>
      </w:pPr>
      <w:r>
        <w:t>In</w:t>
      </w:r>
      <w:r>
        <w:rPr>
          <w:spacing w:val="-3"/>
        </w:rPr>
        <w:t xml:space="preserve"> </w:t>
      </w:r>
      <w:r>
        <w:t>2014,</w:t>
      </w:r>
      <w:r>
        <w:rPr>
          <w:spacing w:val="-3"/>
        </w:rPr>
        <w:t xml:space="preserve"> </w:t>
      </w:r>
      <w:r>
        <w:t>CMS</w:t>
      </w:r>
      <w:r>
        <w:rPr>
          <w:spacing w:val="-3"/>
        </w:rPr>
        <w:t xml:space="preserve"> </w:t>
      </w:r>
      <w:r>
        <w:t>conducted</w:t>
      </w:r>
      <w:r>
        <w:rPr>
          <w:spacing w:val="-1"/>
        </w:rPr>
        <w:t xml:space="preserve"> </w:t>
      </w:r>
      <w:r>
        <w:t>a</w:t>
      </w:r>
      <w:r>
        <w:rPr>
          <w:spacing w:val="-3"/>
        </w:rPr>
        <w:t xml:space="preserve"> </w:t>
      </w:r>
      <w:r>
        <w:t>psychometric</w:t>
      </w:r>
      <w:r>
        <w:rPr>
          <w:spacing w:val="-4"/>
        </w:rPr>
        <w:t xml:space="preserve"> </w:t>
      </w:r>
      <w:r>
        <w:t>test</w:t>
      </w:r>
      <w:r>
        <w:rPr>
          <w:spacing w:val="-3"/>
        </w:rPr>
        <w:t xml:space="preserve"> </w:t>
      </w:r>
      <w:r>
        <w:t>to</w:t>
      </w:r>
      <w:r>
        <w:rPr>
          <w:spacing w:val="-3"/>
        </w:rPr>
        <w:t xml:space="preserve"> </w:t>
      </w:r>
      <w:r>
        <w:t>evaluate</w:t>
      </w:r>
      <w:r>
        <w:rPr>
          <w:spacing w:val="-4"/>
        </w:rPr>
        <w:t xml:space="preserve"> </w:t>
      </w:r>
      <w:r>
        <w:t>the</w:t>
      </w:r>
      <w:r>
        <w:rPr>
          <w:spacing w:val="-3"/>
        </w:rPr>
        <w:t xml:space="preserve"> </w:t>
      </w:r>
      <w:r>
        <w:t>psychometric</w:t>
      </w:r>
      <w:r>
        <w:rPr>
          <w:spacing w:val="-2"/>
        </w:rPr>
        <w:t xml:space="preserve"> </w:t>
      </w:r>
      <w:r>
        <w:t>properties</w:t>
      </w:r>
      <w:r>
        <w:rPr>
          <w:spacing w:val="-4"/>
        </w:rPr>
        <w:t xml:space="preserve"> </w:t>
      </w:r>
      <w:r>
        <w:t>of</w:t>
      </w:r>
      <w:r>
        <w:rPr>
          <w:spacing w:val="-3"/>
        </w:rPr>
        <w:t xml:space="preserve"> </w:t>
      </w:r>
      <w:r>
        <w:t>the</w:t>
      </w:r>
      <w:r>
        <w:rPr>
          <w:spacing w:val="-2"/>
        </w:rPr>
        <w:t xml:space="preserve"> </w:t>
      </w:r>
      <w:r>
        <w:t>QHP Enrollee Survey in the Exchange population with 30 QRS reporting units (defined by state, issuer, and product type (i.e., HMO, PPO, POS, or EPO) and a Beta Test in 2015. As a result of the psychometric and beta tests, CMS identified changes in the questionnaire items, data collection procedures, and sampling specifications that obtained approval for the 2016 implementation of the survey.</w:t>
      </w:r>
    </w:p>
    <w:p>
      <w:pPr>
        <w:pStyle w:val="BodyText"/>
        <w:spacing w:before="118"/>
        <w:ind w:right="385"/>
      </w:pPr>
      <w:r>
        <w:t>For</w:t>
      </w:r>
      <w:r>
        <w:rPr>
          <w:spacing w:val="-3"/>
        </w:rPr>
        <w:t xml:space="preserve"> </w:t>
      </w:r>
      <w:r>
        <w:t>the</w:t>
      </w:r>
      <w:r>
        <w:rPr>
          <w:spacing w:val="-5"/>
        </w:rPr>
        <w:t xml:space="preserve"> </w:t>
      </w:r>
      <w:r>
        <w:t>2017</w:t>
      </w:r>
      <w:r>
        <w:rPr>
          <w:spacing w:val="-3"/>
        </w:rPr>
        <w:t xml:space="preserve"> </w:t>
      </w:r>
      <w:r>
        <w:t>implementation</w:t>
      </w:r>
      <w:r>
        <w:rPr>
          <w:spacing w:val="-3"/>
        </w:rPr>
        <w:t xml:space="preserve"> </w:t>
      </w:r>
      <w:r>
        <w:t>and</w:t>
      </w:r>
      <w:r>
        <w:rPr>
          <w:spacing w:val="-3"/>
        </w:rPr>
        <w:t xml:space="preserve"> </w:t>
      </w:r>
      <w:r>
        <w:t>beyond,</w:t>
      </w:r>
      <w:r>
        <w:rPr>
          <w:spacing w:val="-3"/>
        </w:rPr>
        <w:t xml:space="preserve"> </w:t>
      </w:r>
      <w:r>
        <w:t>CMS</w:t>
      </w:r>
      <w:r>
        <w:rPr>
          <w:spacing w:val="-3"/>
        </w:rPr>
        <w:t xml:space="preserve"> </w:t>
      </w:r>
      <w:r>
        <w:t>added</w:t>
      </w:r>
      <w:r>
        <w:rPr>
          <w:spacing w:val="-3"/>
        </w:rPr>
        <w:t xml:space="preserve"> </w:t>
      </w:r>
      <w:r>
        <w:t>six</w:t>
      </w:r>
      <w:r>
        <w:rPr>
          <w:spacing w:val="-3"/>
        </w:rPr>
        <w:t xml:space="preserve"> </w:t>
      </w:r>
      <w:r>
        <w:t>disability</w:t>
      </w:r>
      <w:r>
        <w:rPr>
          <w:spacing w:val="-3"/>
        </w:rPr>
        <w:t xml:space="preserve"> </w:t>
      </w:r>
      <w:r>
        <w:t>status</w:t>
      </w:r>
      <w:r>
        <w:rPr>
          <w:spacing w:val="-5"/>
        </w:rPr>
        <w:t xml:space="preserve"> </w:t>
      </w:r>
      <w:r>
        <w:t>items to</w:t>
      </w:r>
      <w:r>
        <w:rPr>
          <w:spacing w:val="-3"/>
        </w:rPr>
        <w:t xml:space="preserve"> </w:t>
      </w:r>
      <w:r>
        <w:t>address requirements</w:t>
      </w:r>
      <w:r>
        <w:rPr>
          <w:spacing w:val="-3"/>
        </w:rPr>
        <w:t xml:space="preserve"> </w:t>
      </w:r>
      <w:r>
        <w:t>of</w:t>
      </w:r>
      <w:r>
        <w:rPr>
          <w:spacing w:val="-3"/>
        </w:rPr>
        <w:t xml:space="preserve"> </w:t>
      </w:r>
      <w:r>
        <w:t>Section</w:t>
      </w:r>
      <w:r>
        <w:rPr>
          <w:spacing w:val="-2"/>
        </w:rPr>
        <w:t xml:space="preserve"> </w:t>
      </w:r>
      <w:r>
        <w:t>4302</w:t>
      </w:r>
      <w:r>
        <w:rPr>
          <w:spacing w:val="-2"/>
        </w:rPr>
        <w:t xml:space="preserve"> </w:t>
      </w:r>
      <w:r>
        <w:t>data</w:t>
      </w:r>
      <w:r>
        <w:rPr>
          <w:spacing w:val="-2"/>
        </w:rPr>
        <w:t xml:space="preserve"> </w:t>
      </w:r>
      <w:r>
        <w:t>collection</w:t>
      </w:r>
      <w:r>
        <w:rPr>
          <w:spacing w:val="-2"/>
        </w:rPr>
        <w:t xml:space="preserve"> </w:t>
      </w:r>
      <w:r>
        <w:t>standards</w:t>
      </w:r>
      <w:r>
        <w:rPr>
          <w:spacing w:val="-3"/>
        </w:rPr>
        <w:t xml:space="preserve"> </w:t>
      </w:r>
      <w:r>
        <w:t>of</w:t>
      </w:r>
      <w:r>
        <w:rPr>
          <w:spacing w:val="-1"/>
        </w:rPr>
        <w:t xml:space="preserve"> </w:t>
      </w:r>
      <w:r>
        <w:t>the</w:t>
      </w:r>
      <w:r>
        <w:rPr>
          <w:spacing w:val="-3"/>
        </w:rPr>
        <w:t xml:space="preserve"> </w:t>
      </w:r>
      <w:r>
        <w:t>ACA.</w:t>
      </w:r>
      <w:r>
        <w:rPr>
          <w:spacing w:val="-2"/>
        </w:rPr>
        <w:t xml:space="preserve"> </w:t>
      </w:r>
      <w:r>
        <w:t>CMS removed</w:t>
      </w:r>
      <w:r>
        <w:rPr>
          <w:spacing w:val="-2"/>
        </w:rPr>
        <w:t xml:space="preserve"> </w:t>
      </w:r>
      <w:r>
        <w:t>several question items between 2017 and 2018 due to either low screen-in rates or question being removed from the QRS.</w:t>
      </w:r>
    </w:p>
    <w:p>
      <w:pPr>
        <w:pStyle w:val="BodyText"/>
        <w:ind w:right="395"/>
      </w:pPr>
      <w:r>
        <w:t>In consultation with the QHP Enrollee Survey Technical Expert Panel (TEP), CMS has continued</w:t>
      </w:r>
      <w:r>
        <w:rPr>
          <w:spacing w:val="-3"/>
        </w:rPr>
        <w:t xml:space="preserve"> </w:t>
      </w:r>
      <w:r>
        <w:t>to</w:t>
      </w:r>
      <w:r>
        <w:rPr>
          <w:spacing w:val="-3"/>
        </w:rPr>
        <w:t xml:space="preserve"> </w:t>
      </w:r>
      <w:r>
        <w:t>review</w:t>
      </w:r>
      <w:r>
        <w:rPr>
          <w:spacing w:val="-4"/>
        </w:rPr>
        <w:t xml:space="preserve"> </w:t>
      </w:r>
      <w:r>
        <w:t>the</w:t>
      </w:r>
      <w:r>
        <w:rPr>
          <w:spacing w:val="-3"/>
        </w:rPr>
        <w:t xml:space="preserve"> </w:t>
      </w:r>
      <w:r>
        <w:t>survey</w:t>
      </w:r>
      <w:r>
        <w:rPr>
          <w:spacing w:val="-3"/>
        </w:rPr>
        <w:t xml:space="preserve"> </w:t>
      </w:r>
      <w:r>
        <w:t>to</w:t>
      </w:r>
      <w:r>
        <w:rPr>
          <w:spacing w:val="-2"/>
        </w:rPr>
        <w:t xml:space="preserve"> </w:t>
      </w:r>
      <w:r>
        <w:t>evaluate</w:t>
      </w:r>
      <w:r>
        <w:rPr>
          <w:spacing w:val="-4"/>
        </w:rPr>
        <w:t xml:space="preserve"> </w:t>
      </w:r>
      <w:r>
        <w:t>the</w:t>
      </w:r>
      <w:r>
        <w:rPr>
          <w:spacing w:val="-3"/>
        </w:rPr>
        <w:t xml:space="preserve"> </w:t>
      </w:r>
      <w:r>
        <w:t>impact</w:t>
      </w:r>
      <w:r>
        <w:rPr>
          <w:spacing w:val="-3"/>
        </w:rPr>
        <w:t xml:space="preserve"> </w:t>
      </w:r>
      <w:r>
        <w:t>of</w:t>
      </w:r>
      <w:r>
        <w:rPr>
          <w:spacing w:val="-3"/>
        </w:rPr>
        <w:t xml:space="preserve"> </w:t>
      </w:r>
      <w:r>
        <w:t>the</w:t>
      </w:r>
      <w:r>
        <w:rPr>
          <w:spacing w:val="-4"/>
        </w:rPr>
        <w:t xml:space="preserve"> </w:t>
      </w:r>
      <w:r>
        <w:t>survey’s</w:t>
      </w:r>
      <w:r>
        <w:rPr>
          <w:spacing w:val="-3"/>
        </w:rPr>
        <w:t xml:space="preserve"> </w:t>
      </w:r>
      <w:r>
        <w:t>length</w:t>
      </w:r>
      <w:r>
        <w:rPr>
          <w:spacing w:val="-1"/>
        </w:rPr>
        <w:t xml:space="preserve"> </w:t>
      </w:r>
      <w:r>
        <w:t>and</w:t>
      </w:r>
      <w:r>
        <w:rPr>
          <w:spacing w:val="-3"/>
        </w:rPr>
        <w:t xml:space="preserve"> </w:t>
      </w:r>
      <w:r>
        <w:t>consider</w:t>
      </w:r>
      <w:r>
        <w:rPr>
          <w:spacing w:val="-3"/>
        </w:rPr>
        <w:t xml:space="preserve"> </w:t>
      </w:r>
      <w:r>
        <w:t>options to reduce the respondent burden. CMS conducted focus groups and cognitive testing to support identification of future refinements for the QHP Enrollee Survey.</w:t>
      </w:r>
    </w:p>
    <w:p>
      <w:pPr>
        <w:pStyle w:val="Heading2"/>
        <w:numPr>
          <w:ilvl w:val="0"/>
          <w:numId w:val="19"/>
        </w:numPr>
        <w:tabs>
          <w:tab w:val="left" w:pos="718"/>
        </w:tabs>
        <w:spacing w:before="240" w:after="0" w:line="240" w:lineRule="auto"/>
        <w:ind w:left="718" w:right="0" w:hanging="358"/>
        <w:jc w:val="left"/>
      </w:pPr>
      <w:bookmarkStart w:id="34" w:name="_bookmark20"/>
      <w:bookmarkEnd w:id="34"/>
      <w:r>
        <w:t>Statistical</w:t>
      </w:r>
      <w:r>
        <w:rPr>
          <w:spacing w:val="-7"/>
        </w:rPr>
        <w:t xml:space="preserve"> </w:t>
      </w:r>
      <w:r>
        <w:rPr>
          <w:spacing w:val="-2"/>
        </w:rPr>
        <w:t>Consultants</w:t>
      </w:r>
    </w:p>
    <w:p>
      <w:pPr>
        <w:pStyle w:val="BodyText"/>
        <w:spacing w:before="122"/>
        <w:ind w:right="421"/>
      </w:pPr>
      <w:r>
        <w:t>This sampling and statistical plan was prepared and reviewed by staff of CMS and American Institutes</w:t>
      </w:r>
      <w:r>
        <w:rPr>
          <w:spacing w:val="-4"/>
        </w:rPr>
        <w:t xml:space="preserve"> </w:t>
      </w:r>
      <w:r>
        <w:t>for</w:t>
      </w:r>
      <w:r>
        <w:rPr>
          <w:spacing w:val="-5"/>
        </w:rPr>
        <w:t xml:space="preserve"> </w:t>
      </w:r>
      <w:r>
        <w:t>Research</w:t>
      </w:r>
      <w:r>
        <w:rPr>
          <w:spacing w:val="-3"/>
        </w:rPr>
        <w:t xml:space="preserve"> </w:t>
      </w:r>
      <w:r>
        <w:t>(AIR).</w:t>
      </w:r>
      <w:r>
        <w:rPr>
          <w:spacing w:val="-3"/>
        </w:rPr>
        <w:t xml:space="preserve"> </w:t>
      </w:r>
      <w:r>
        <w:t>The</w:t>
      </w:r>
      <w:r>
        <w:rPr>
          <w:spacing w:val="-5"/>
        </w:rPr>
        <w:t xml:space="preserve"> </w:t>
      </w:r>
      <w:r>
        <w:t>primary</w:t>
      </w:r>
      <w:r>
        <w:rPr>
          <w:spacing w:val="-4"/>
        </w:rPr>
        <w:t xml:space="preserve"> </w:t>
      </w:r>
      <w:r>
        <w:t>statistical</w:t>
      </w:r>
      <w:r>
        <w:rPr>
          <w:spacing w:val="-3"/>
        </w:rPr>
        <w:t xml:space="preserve"> </w:t>
      </w:r>
      <w:r>
        <w:t>design</w:t>
      </w:r>
      <w:r>
        <w:rPr>
          <w:spacing w:val="-3"/>
        </w:rPr>
        <w:t xml:space="preserve"> </w:t>
      </w:r>
      <w:r>
        <w:t>was</w:t>
      </w:r>
      <w:r>
        <w:rPr>
          <w:spacing w:val="-2"/>
        </w:rPr>
        <w:t xml:space="preserve"> </w:t>
      </w:r>
      <w:r>
        <w:t>provided</w:t>
      </w:r>
      <w:r>
        <w:rPr>
          <w:spacing w:val="-2"/>
        </w:rPr>
        <w:t xml:space="preserve"> </w:t>
      </w:r>
      <w:r>
        <w:t>by</w:t>
      </w:r>
      <w:r>
        <w:rPr>
          <w:spacing w:val="-3"/>
        </w:rPr>
        <w:t xml:space="preserve"> </w:t>
      </w:r>
      <w:r>
        <w:t>Christian</w:t>
      </w:r>
      <w:r>
        <w:rPr>
          <w:spacing w:val="-3"/>
        </w:rPr>
        <w:t xml:space="preserve"> </w:t>
      </w:r>
      <w:r>
        <w:t xml:space="preserve">Evensen at </w:t>
      </w:r>
      <w:hyperlink r:id="rId14">
        <w:r>
          <w:rPr>
            <w:color w:val="0000FF"/>
            <w:u w:val="single" w:color="0000FF"/>
          </w:rPr>
          <w:t>cevensen@air.org</w:t>
        </w:r>
        <w:r>
          <w:rPr>
            <w:u w:val="none"/>
          </w:rPr>
          <w:t>,</w:t>
        </w:r>
      </w:hyperlink>
      <w:r>
        <w:rPr>
          <w:u w:val="none"/>
        </w:rPr>
        <w:t xml:space="preserve"> Chris Pugliese at </w:t>
      </w:r>
      <w:hyperlink r:id="rId15">
        <w:r>
          <w:rPr>
            <w:color w:val="0000FF"/>
            <w:u w:val="single" w:color="0000FF"/>
          </w:rPr>
          <w:t>cpugliese@air.org</w:t>
        </w:r>
      </w:hyperlink>
      <w:r>
        <w:rPr>
          <w:u w:val="none"/>
        </w:rPr>
        <w:t xml:space="preserve">, Brittany Martin at </w:t>
      </w:r>
      <w:hyperlink r:id="rId16">
        <w:r>
          <w:rPr>
            <w:color w:val="0000FF"/>
            <w:u w:val="single" w:color="0000FF"/>
          </w:rPr>
          <w:t>bmartin@air.org</w:t>
        </w:r>
      </w:hyperlink>
      <w:r>
        <w:rPr>
          <w:u w:val="none"/>
        </w:rPr>
        <w:t xml:space="preserve">, and Coretta Lankford at </w:t>
      </w:r>
      <w:hyperlink r:id="rId17">
        <w:r>
          <w:rPr>
            <w:color w:val="0000FF"/>
            <w:u w:val="single" w:color="0000FF"/>
          </w:rPr>
          <w:t>clankford@air.org</w:t>
        </w:r>
        <w:r>
          <w:rPr>
            <w:u w:val="none"/>
          </w:rPr>
          <w:t>.</w:t>
        </w:r>
      </w:hyperlink>
    </w:p>
    <w:p>
      <w:pPr>
        <w:pStyle w:val="BodyText"/>
        <w:spacing w:after="0"/>
        <w:sectPr>
          <w:pgSz w:w="12240" w:h="15840"/>
          <w:pgMar w:top="1360" w:right="1080" w:bottom="940" w:left="1080" w:header="0" w:footer="748"/>
          <w:cols w:space="720"/>
        </w:sectPr>
      </w:pPr>
    </w:p>
    <w:p>
      <w:pPr>
        <w:pStyle w:val="Heading2"/>
        <w:ind w:left="360" w:right="385" w:firstLine="0"/>
      </w:pPr>
      <w:bookmarkStart w:id="35" w:name="Appendix A: Nonresponse Bias Analysis of"/>
      <w:bookmarkEnd w:id="35"/>
      <w:bookmarkStart w:id="36" w:name="_bookmark21"/>
      <w:bookmarkEnd w:id="36"/>
      <w:r>
        <w:t>Appendix</w:t>
      </w:r>
      <w:r>
        <w:rPr>
          <w:spacing w:val="-4"/>
        </w:rPr>
        <w:t xml:space="preserve"> </w:t>
      </w:r>
      <w:r>
        <w:t>A:</w:t>
      </w:r>
      <w:r>
        <w:rPr>
          <w:spacing w:val="-4"/>
        </w:rPr>
        <w:t xml:space="preserve"> </w:t>
      </w:r>
      <w:r>
        <w:t>Nonresponse</w:t>
      </w:r>
      <w:r>
        <w:rPr>
          <w:spacing w:val="-4"/>
        </w:rPr>
        <w:t xml:space="preserve"> </w:t>
      </w:r>
      <w:r>
        <w:t>Bias</w:t>
      </w:r>
      <w:r>
        <w:rPr>
          <w:spacing w:val="-2"/>
        </w:rPr>
        <w:t xml:space="preserve"> </w:t>
      </w:r>
      <w:r>
        <w:t>Analysis</w:t>
      </w:r>
      <w:r>
        <w:rPr>
          <w:spacing w:val="-6"/>
        </w:rPr>
        <w:t xml:space="preserve"> </w:t>
      </w:r>
      <w:r>
        <w:t>of</w:t>
      </w:r>
      <w:r>
        <w:rPr>
          <w:spacing w:val="-4"/>
        </w:rPr>
        <w:t xml:space="preserve"> </w:t>
      </w:r>
      <w:r>
        <w:t>the</w:t>
      </w:r>
      <w:r>
        <w:rPr>
          <w:spacing w:val="-2"/>
        </w:rPr>
        <w:t xml:space="preserve"> </w:t>
      </w:r>
      <w:r>
        <w:t>2025</w:t>
      </w:r>
      <w:r>
        <w:rPr>
          <w:spacing w:val="-4"/>
        </w:rPr>
        <w:t xml:space="preserve"> </w:t>
      </w:r>
      <w:r>
        <w:t>QHP</w:t>
      </w:r>
      <w:r>
        <w:rPr>
          <w:spacing w:val="-4"/>
        </w:rPr>
        <w:t xml:space="preserve"> </w:t>
      </w:r>
      <w:r>
        <w:t xml:space="preserve">Enrollee </w:t>
      </w:r>
      <w:r>
        <w:rPr>
          <w:spacing w:val="-2"/>
        </w:rPr>
        <w:t>Survey</w:t>
      </w:r>
    </w:p>
    <w:p>
      <w:pPr>
        <w:pStyle w:val="BodyText"/>
        <w:spacing w:before="119"/>
        <w:ind w:right="360"/>
      </w:pPr>
      <w:r>
        <w:t>Given</w:t>
      </w:r>
      <w:r>
        <w:rPr>
          <w:spacing w:val="-3"/>
        </w:rPr>
        <w:t xml:space="preserve"> </w:t>
      </w:r>
      <w:r>
        <w:t>the</w:t>
      </w:r>
      <w:r>
        <w:rPr>
          <w:spacing w:val="-3"/>
        </w:rPr>
        <w:t xml:space="preserve"> </w:t>
      </w:r>
      <w:r>
        <w:t>potential</w:t>
      </w:r>
      <w:r>
        <w:rPr>
          <w:spacing w:val="-3"/>
        </w:rPr>
        <w:t xml:space="preserve"> </w:t>
      </w:r>
      <w:r>
        <w:t>detrimental</w:t>
      </w:r>
      <w:r>
        <w:rPr>
          <w:spacing w:val="-3"/>
        </w:rPr>
        <w:t xml:space="preserve"> </w:t>
      </w:r>
      <w:r>
        <w:t>impact</w:t>
      </w:r>
      <w:r>
        <w:rPr>
          <w:spacing w:val="-3"/>
        </w:rPr>
        <w:t xml:space="preserve"> </w:t>
      </w:r>
      <w:r>
        <w:t>that</w:t>
      </w:r>
      <w:r>
        <w:rPr>
          <w:spacing w:val="-3"/>
        </w:rPr>
        <w:t xml:space="preserve"> </w:t>
      </w:r>
      <w:r>
        <w:t>nonresponse</w:t>
      </w:r>
      <w:r>
        <w:rPr>
          <w:spacing w:val="-3"/>
        </w:rPr>
        <w:t xml:space="preserve"> </w:t>
      </w:r>
      <w:r>
        <w:t>bias</w:t>
      </w:r>
      <w:r>
        <w:rPr>
          <w:spacing w:val="-4"/>
        </w:rPr>
        <w:t xml:space="preserve"> </w:t>
      </w:r>
      <w:r>
        <w:t>can</w:t>
      </w:r>
      <w:r>
        <w:rPr>
          <w:spacing w:val="-3"/>
        </w:rPr>
        <w:t xml:space="preserve"> </w:t>
      </w:r>
      <w:r>
        <w:t>have</w:t>
      </w:r>
      <w:r>
        <w:rPr>
          <w:spacing w:val="-4"/>
        </w:rPr>
        <w:t xml:space="preserve"> </w:t>
      </w:r>
      <w:r>
        <w:t>on</w:t>
      </w:r>
      <w:r>
        <w:rPr>
          <w:spacing w:val="-2"/>
        </w:rPr>
        <w:t xml:space="preserve"> </w:t>
      </w:r>
      <w:r>
        <w:t>survey</w:t>
      </w:r>
      <w:r>
        <w:rPr>
          <w:spacing w:val="-3"/>
        </w:rPr>
        <w:t xml:space="preserve"> </w:t>
      </w:r>
      <w:r>
        <w:t>estimates,</w:t>
      </w:r>
      <w:r>
        <w:rPr>
          <w:spacing w:val="-3"/>
        </w:rPr>
        <w:t xml:space="preserve"> </w:t>
      </w:r>
      <w:r>
        <w:t>OMB requires that all federal surveys that achieve a response rate below 80 percent perform a nonresponse bias analysis (Office of Management and Budget, 2006). This nonresponse bias analysis utilizes demographic information that QHP issuers included in the sample frame about all survey-eligible individuals.</w:t>
      </w:r>
    </w:p>
    <w:p>
      <w:pPr>
        <w:pStyle w:val="BodyText"/>
        <w:spacing w:before="121"/>
        <w:ind w:right="385"/>
      </w:pPr>
      <w:r>
        <w:t>First,</w:t>
      </w:r>
      <w:r>
        <w:rPr>
          <w:spacing w:val="-3"/>
        </w:rPr>
        <w:t xml:space="preserve"> </w:t>
      </w:r>
      <w:r>
        <w:t>the</w:t>
      </w:r>
      <w:r>
        <w:rPr>
          <w:spacing w:val="-4"/>
        </w:rPr>
        <w:t xml:space="preserve"> </w:t>
      </w:r>
      <w:r>
        <w:t>research</w:t>
      </w:r>
      <w:r>
        <w:rPr>
          <w:spacing w:val="-3"/>
        </w:rPr>
        <w:t xml:space="preserve"> </w:t>
      </w:r>
      <w:r>
        <w:t>team</w:t>
      </w:r>
      <w:r>
        <w:rPr>
          <w:spacing w:val="-2"/>
        </w:rPr>
        <w:t xml:space="preserve"> </w:t>
      </w:r>
      <w:r>
        <w:t>calculated</w:t>
      </w:r>
      <w:r>
        <w:rPr>
          <w:spacing w:val="-3"/>
        </w:rPr>
        <w:t xml:space="preserve"> </w:t>
      </w:r>
      <w:r>
        <w:t>the</w:t>
      </w:r>
      <w:r>
        <w:rPr>
          <w:spacing w:val="-4"/>
        </w:rPr>
        <w:t xml:space="preserve"> </w:t>
      </w:r>
      <w:r>
        <w:t>2025</w:t>
      </w:r>
      <w:r>
        <w:rPr>
          <w:spacing w:val="-3"/>
        </w:rPr>
        <w:t xml:space="preserve"> </w:t>
      </w:r>
      <w:r>
        <w:t>response</w:t>
      </w:r>
      <w:r>
        <w:rPr>
          <w:spacing w:val="-4"/>
        </w:rPr>
        <w:t xml:space="preserve"> </w:t>
      </w:r>
      <w:r>
        <w:t>rate</w:t>
      </w:r>
      <w:r>
        <w:rPr>
          <w:spacing w:val="-3"/>
        </w:rPr>
        <w:t xml:space="preserve"> </w:t>
      </w:r>
      <w:r>
        <w:t>by</w:t>
      </w:r>
      <w:r>
        <w:rPr>
          <w:spacing w:val="-1"/>
        </w:rPr>
        <w:t xml:space="preserve"> </w:t>
      </w:r>
      <w:r>
        <w:t>enrollees’</w:t>
      </w:r>
      <w:r>
        <w:rPr>
          <w:spacing w:val="-4"/>
        </w:rPr>
        <w:t xml:space="preserve"> </w:t>
      </w:r>
      <w:r>
        <w:t>Census</w:t>
      </w:r>
      <w:r>
        <w:rPr>
          <w:spacing w:val="-4"/>
        </w:rPr>
        <w:t xml:space="preserve"> </w:t>
      </w:r>
      <w:r>
        <w:t>divisions,</w:t>
      </w:r>
      <w:r>
        <w:rPr>
          <w:spacing w:val="-3"/>
        </w:rPr>
        <w:t xml:space="preserve"> </w:t>
      </w:r>
      <w:r>
        <w:t xml:space="preserve">age, gender, and spoken and written language preferences and then compared these rates to the national response rate. The results of this analysis are shown in </w:t>
      </w:r>
      <w:hyperlink w:anchor="_bookmark22" w:history="1">
        <w:r>
          <w:t>Exhibit B3</w:t>
        </w:r>
      </w:hyperlink>
      <w:r>
        <w:t>.</w:t>
      </w:r>
    </w:p>
    <w:p>
      <w:pPr>
        <w:spacing w:before="120"/>
        <w:ind w:left="360" w:right="0" w:firstLine="0"/>
        <w:jc w:val="left"/>
        <w:rPr>
          <w:rFonts w:ascii="Arial"/>
          <w:b/>
          <w:sz w:val="20"/>
        </w:rPr>
      </w:pPr>
      <w:bookmarkStart w:id="37" w:name="_bookmark22"/>
      <w:bookmarkEnd w:id="37"/>
      <w:r>
        <w:rPr>
          <w:rFonts w:ascii="Arial"/>
          <w:b/>
          <w:sz w:val="20"/>
        </w:rPr>
        <w:t>Exhibit</w:t>
      </w:r>
      <w:r>
        <w:rPr>
          <w:rFonts w:ascii="Arial"/>
          <w:b/>
          <w:spacing w:val="-7"/>
          <w:sz w:val="20"/>
        </w:rPr>
        <w:t xml:space="preserve"> </w:t>
      </w:r>
      <w:r>
        <w:rPr>
          <w:rFonts w:ascii="Arial"/>
          <w:b/>
          <w:sz w:val="20"/>
        </w:rPr>
        <w:t>B3.</w:t>
      </w:r>
      <w:r>
        <w:rPr>
          <w:rFonts w:ascii="Arial"/>
          <w:b/>
          <w:spacing w:val="-7"/>
          <w:sz w:val="20"/>
        </w:rPr>
        <w:t xml:space="preserve"> </w:t>
      </w:r>
      <w:r>
        <w:rPr>
          <w:rFonts w:ascii="Arial"/>
          <w:b/>
          <w:sz w:val="20"/>
        </w:rPr>
        <w:t>2025</w:t>
      </w:r>
      <w:r>
        <w:rPr>
          <w:rFonts w:ascii="Arial"/>
          <w:b/>
          <w:spacing w:val="-6"/>
          <w:sz w:val="20"/>
        </w:rPr>
        <w:t xml:space="preserve"> </w:t>
      </w:r>
      <w:r>
        <w:rPr>
          <w:rFonts w:ascii="Arial"/>
          <w:b/>
          <w:sz w:val="20"/>
        </w:rPr>
        <w:t>Response</w:t>
      </w:r>
      <w:r>
        <w:rPr>
          <w:rFonts w:ascii="Arial"/>
          <w:b/>
          <w:spacing w:val="-7"/>
          <w:sz w:val="20"/>
        </w:rPr>
        <w:t xml:space="preserve"> </w:t>
      </w:r>
      <w:r>
        <w:rPr>
          <w:rFonts w:ascii="Arial"/>
          <w:b/>
          <w:sz w:val="20"/>
        </w:rPr>
        <w:t>Rates</w:t>
      </w:r>
      <w:r>
        <w:rPr>
          <w:rFonts w:ascii="Arial"/>
          <w:b/>
          <w:spacing w:val="-5"/>
          <w:sz w:val="20"/>
        </w:rPr>
        <w:t xml:space="preserve"> </w:t>
      </w:r>
      <w:r>
        <w:rPr>
          <w:rFonts w:ascii="Arial"/>
          <w:b/>
          <w:sz w:val="20"/>
        </w:rPr>
        <w:t>by</w:t>
      </w:r>
      <w:r>
        <w:rPr>
          <w:rFonts w:ascii="Arial"/>
          <w:b/>
          <w:spacing w:val="-6"/>
          <w:sz w:val="20"/>
        </w:rPr>
        <w:t xml:space="preserve"> </w:t>
      </w:r>
      <w:r>
        <w:rPr>
          <w:rFonts w:ascii="Arial"/>
          <w:b/>
          <w:sz w:val="20"/>
        </w:rPr>
        <w:t>Enrollee</w:t>
      </w:r>
      <w:r>
        <w:rPr>
          <w:rFonts w:ascii="Arial"/>
          <w:b/>
          <w:spacing w:val="-8"/>
          <w:sz w:val="20"/>
        </w:rPr>
        <w:t xml:space="preserve"> </w:t>
      </w:r>
      <w:r>
        <w:rPr>
          <w:rFonts w:ascii="Arial"/>
          <w:b/>
          <w:spacing w:val="-2"/>
          <w:sz w:val="20"/>
        </w:rPr>
        <w:t>Characteristics</w:t>
      </w:r>
    </w:p>
    <w:p>
      <w:pPr>
        <w:pStyle w:val="BodyText"/>
        <w:spacing w:before="2"/>
        <w:ind w:left="0"/>
        <w:rPr>
          <w:rFonts w:ascii="Arial"/>
          <w:b/>
          <w:sz w:val="11"/>
        </w:rPr>
      </w:pPr>
    </w:p>
    <w:tbl>
      <w:tblPr>
        <w:tblStyle w:val="TableNormal"/>
        <w:tblW w:w="0" w:type="auto"/>
        <w:jc w:val="left"/>
        <w:tblInd w:w="339" w:type="dxa"/>
        <w:tblBorders>
          <w:top w:val="single" w:sz="24" w:space="0" w:color="009DD6"/>
          <w:left w:val="single" w:sz="24" w:space="0" w:color="009DD6"/>
          <w:bottom w:val="single" w:sz="24" w:space="0" w:color="009DD6"/>
          <w:right w:val="single" w:sz="24" w:space="0" w:color="009DD6"/>
          <w:insideH w:val="single" w:sz="24" w:space="0" w:color="009DD6"/>
          <w:insideV w:val="single" w:sz="24" w:space="0" w:color="009DD6"/>
        </w:tblBorders>
        <w:tblLayout w:type="fixed"/>
        <w:tblCellMar>
          <w:top w:w="0" w:type="dxa"/>
          <w:left w:w="0" w:type="dxa"/>
          <w:bottom w:w="0" w:type="dxa"/>
          <w:right w:w="0" w:type="dxa"/>
        </w:tblCellMar>
        <w:tblLook w:val="01E0"/>
      </w:tblPr>
      <w:tblGrid>
        <w:gridCol w:w="3233"/>
        <w:gridCol w:w="1027"/>
        <w:gridCol w:w="1265"/>
        <w:gridCol w:w="1260"/>
        <w:gridCol w:w="1555"/>
        <w:gridCol w:w="1077"/>
      </w:tblGrid>
      <w:tr>
        <w:tblPrEx>
          <w:tblW w:w="0" w:type="auto"/>
          <w:jc w:val="left"/>
          <w:tblInd w:w="339" w:type="dxa"/>
          <w:tblBorders>
            <w:top w:val="single" w:sz="24" w:space="0" w:color="009DD6"/>
            <w:left w:val="single" w:sz="24" w:space="0" w:color="009DD6"/>
            <w:bottom w:val="single" w:sz="24" w:space="0" w:color="009DD6"/>
            <w:right w:val="single" w:sz="24" w:space="0" w:color="009DD6"/>
            <w:insideH w:val="single" w:sz="24" w:space="0" w:color="009DD6"/>
            <w:insideV w:val="single" w:sz="24" w:space="0" w:color="009DD6"/>
          </w:tblBorders>
          <w:tblLayout w:type="fixed"/>
          <w:tblCellMar>
            <w:top w:w="0" w:type="dxa"/>
            <w:left w:w="0" w:type="dxa"/>
            <w:bottom w:w="0" w:type="dxa"/>
            <w:right w:w="0" w:type="dxa"/>
          </w:tblCellMar>
          <w:tblLook w:val="01E0"/>
        </w:tblPrEx>
        <w:trPr>
          <w:trHeight w:val="923"/>
          <w:jc w:val="left"/>
        </w:trPr>
        <w:tc>
          <w:tcPr>
            <w:tcW w:w="3233" w:type="dxa"/>
            <w:tcBorders>
              <w:top w:val="nil"/>
              <w:left w:val="nil"/>
              <w:right w:val="nil"/>
            </w:tcBorders>
            <w:shd w:val="clear" w:color="auto" w:fill="00507E"/>
          </w:tcPr>
          <w:p>
            <w:pPr>
              <w:pStyle w:val="TableParagraph"/>
              <w:spacing w:before="0"/>
              <w:rPr>
                <w:rFonts w:ascii="Arial"/>
                <w:b/>
                <w:sz w:val="20"/>
              </w:rPr>
            </w:pPr>
          </w:p>
          <w:p>
            <w:pPr>
              <w:pStyle w:val="TableParagraph"/>
              <w:spacing w:before="141"/>
              <w:rPr>
                <w:rFonts w:ascii="Arial"/>
                <w:b/>
                <w:sz w:val="20"/>
              </w:rPr>
            </w:pPr>
          </w:p>
          <w:p>
            <w:pPr>
              <w:pStyle w:val="TableParagraph"/>
              <w:spacing w:before="0"/>
              <w:ind w:left="441"/>
              <w:rPr>
                <w:rFonts w:ascii="Calibri"/>
                <w:b/>
                <w:sz w:val="20"/>
              </w:rPr>
            </w:pPr>
            <w:r>
              <w:rPr>
                <w:rFonts w:ascii="Calibri"/>
                <w:b/>
                <w:color w:val="FFFFFF"/>
                <w:sz w:val="20"/>
              </w:rPr>
              <w:t>2025</w:t>
            </w:r>
            <w:r>
              <w:rPr>
                <w:rFonts w:ascii="Calibri"/>
                <w:b/>
                <w:color w:val="FFFFFF"/>
                <w:spacing w:val="-8"/>
                <w:sz w:val="20"/>
              </w:rPr>
              <w:t xml:space="preserve"> </w:t>
            </w:r>
            <w:r>
              <w:rPr>
                <w:rFonts w:ascii="Calibri"/>
                <w:b/>
                <w:color w:val="FFFFFF"/>
                <w:sz w:val="20"/>
              </w:rPr>
              <w:t>enrollee</w:t>
            </w:r>
            <w:r>
              <w:rPr>
                <w:rFonts w:ascii="Calibri"/>
                <w:b/>
                <w:color w:val="FFFFFF"/>
                <w:spacing w:val="-6"/>
                <w:sz w:val="20"/>
              </w:rPr>
              <w:t xml:space="preserve"> </w:t>
            </w:r>
            <w:r>
              <w:rPr>
                <w:rFonts w:ascii="Calibri"/>
                <w:b/>
                <w:color w:val="FFFFFF"/>
                <w:spacing w:val="-2"/>
                <w:sz w:val="20"/>
              </w:rPr>
              <w:t>characteristics</w:t>
            </w:r>
          </w:p>
        </w:tc>
        <w:tc>
          <w:tcPr>
            <w:tcW w:w="1027" w:type="dxa"/>
            <w:tcBorders>
              <w:top w:val="nil"/>
              <w:left w:val="nil"/>
              <w:right w:val="nil"/>
            </w:tcBorders>
            <w:shd w:val="clear" w:color="auto" w:fill="00507E"/>
          </w:tcPr>
          <w:p>
            <w:pPr>
              <w:pStyle w:val="TableParagraph"/>
              <w:spacing w:before="93"/>
              <w:rPr>
                <w:rFonts w:ascii="Arial"/>
                <w:b/>
                <w:sz w:val="20"/>
              </w:rPr>
            </w:pPr>
          </w:p>
          <w:p>
            <w:pPr>
              <w:pStyle w:val="TableParagraph"/>
              <w:spacing w:before="0" w:line="276" w:lineRule="auto"/>
              <w:ind w:left="161" w:right="154" w:firstLine="141"/>
              <w:rPr>
                <w:rFonts w:ascii="Calibri"/>
                <w:b/>
                <w:sz w:val="20"/>
              </w:rPr>
            </w:pPr>
            <w:r>
              <w:rPr>
                <w:rFonts w:ascii="Calibri"/>
                <w:b/>
                <w:color w:val="FFFFFF"/>
                <w:spacing w:val="-2"/>
                <w:sz w:val="20"/>
              </w:rPr>
              <w:t>Total sampled</w:t>
            </w:r>
          </w:p>
        </w:tc>
        <w:tc>
          <w:tcPr>
            <w:tcW w:w="1265" w:type="dxa"/>
            <w:tcBorders>
              <w:top w:val="nil"/>
              <w:left w:val="nil"/>
              <w:right w:val="nil"/>
            </w:tcBorders>
            <w:shd w:val="clear" w:color="auto" w:fill="00507E"/>
          </w:tcPr>
          <w:p>
            <w:pPr>
              <w:pStyle w:val="TableParagraph"/>
              <w:spacing w:before="42" w:line="276" w:lineRule="auto"/>
              <w:ind w:left="3"/>
              <w:jc w:val="center"/>
              <w:rPr>
                <w:rFonts w:ascii="Calibri"/>
                <w:b/>
                <w:sz w:val="20"/>
              </w:rPr>
            </w:pPr>
            <w:r>
              <w:rPr>
                <w:rFonts w:ascii="Calibri"/>
                <w:b/>
                <w:color w:val="FFFFFF"/>
                <w:sz w:val="20"/>
              </w:rPr>
              <w:t>Number</w:t>
            </w:r>
            <w:r>
              <w:rPr>
                <w:rFonts w:ascii="Calibri"/>
                <w:b/>
                <w:color w:val="FFFFFF"/>
                <w:spacing w:val="-12"/>
                <w:sz w:val="20"/>
              </w:rPr>
              <w:t xml:space="preserve"> </w:t>
            </w:r>
            <w:r>
              <w:rPr>
                <w:rFonts w:ascii="Calibri"/>
                <w:b/>
                <w:color w:val="FFFFFF"/>
                <w:sz w:val="20"/>
              </w:rPr>
              <w:t xml:space="preserve">of </w:t>
            </w:r>
            <w:r>
              <w:rPr>
                <w:rFonts w:ascii="Calibri"/>
                <w:b/>
                <w:color w:val="FFFFFF"/>
                <w:spacing w:val="-2"/>
                <w:sz w:val="20"/>
              </w:rPr>
              <w:t>completed surveys</w:t>
            </w:r>
          </w:p>
        </w:tc>
        <w:tc>
          <w:tcPr>
            <w:tcW w:w="1260" w:type="dxa"/>
            <w:tcBorders>
              <w:top w:val="nil"/>
              <w:left w:val="nil"/>
              <w:right w:val="nil"/>
            </w:tcBorders>
            <w:shd w:val="clear" w:color="auto" w:fill="00507E"/>
          </w:tcPr>
          <w:p>
            <w:pPr>
              <w:pStyle w:val="TableParagraph"/>
              <w:spacing w:before="42" w:line="276" w:lineRule="auto"/>
              <w:ind w:left="185" w:right="184" w:firstLine="5"/>
              <w:jc w:val="center"/>
              <w:rPr>
                <w:rFonts w:ascii="Calibri"/>
                <w:b/>
                <w:sz w:val="20"/>
              </w:rPr>
            </w:pPr>
            <w:r>
              <w:rPr>
                <w:rFonts w:ascii="Calibri"/>
                <w:b/>
                <w:color w:val="FFFFFF"/>
                <w:sz w:val="20"/>
              </w:rPr>
              <w:t xml:space="preserve">% of total </w:t>
            </w:r>
            <w:r>
              <w:rPr>
                <w:rFonts w:ascii="Calibri"/>
                <w:b/>
                <w:color w:val="FFFFFF"/>
                <w:spacing w:val="-2"/>
                <w:sz w:val="20"/>
              </w:rPr>
              <w:t>completed surveys</w:t>
            </w:r>
          </w:p>
        </w:tc>
        <w:tc>
          <w:tcPr>
            <w:tcW w:w="1555" w:type="dxa"/>
            <w:tcBorders>
              <w:top w:val="nil"/>
              <w:left w:val="nil"/>
              <w:right w:val="nil"/>
            </w:tcBorders>
            <w:shd w:val="clear" w:color="auto" w:fill="00507E"/>
          </w:tcPr>
          <w:p>
            <w:pPr>
              <w:pStyle w:val="TableParagraph"/>
              <w:spacing w:before="42" w:line="276" w:lineRule="auto"/>
              <w:ind w:left="132" w:right="130" w:firstLine="3"/>
              <w:jc w:val="center"/>
              <w:rPr>
                <w:rFonts w:ascii="Calibri"/>
                <w:b/>
                <w:sz w:val="20"/>
              </w:rPr>
            </w:pPr>
            <w:r>
              <w:rPr>
                <w:rFonts w:ascii="Calibri"/>
                <w:b/>
                <w:color w:val="FFFFFF"/>
                <w:sz w:val="20"/>
              </w:rPr>
              <w:t>% of QHP Enrollee</w:t>
            </w:r>
            <w:r>
              <w:rPr>
                <w:rFonts w:ascii="Calibri"/>
                <w:b/>
                <w:color w:val="FFFFFF"/>
                <w:spacing w:val="-12"/>
                <w:sz w:val="20"/>
              </w:rPr>
              <w:t xml:space="preserve"> </w:t>
            </w:r>
            <w:r>
              <w:rPr>
                <w:rFonts w:ascii="Calibri"/>
                <w:b/>
                <w:color w:val="FFFFFF"/>
                <w:sz w:val="20"/>
              </w:rPr>
              <w:t xml:space="preserve">Survey </w:t>
            </w:r>
            <w:r>
              <w:rPr>
                <w:rFonts w:ascii="Calibri"/>
                <w:b/>
                <w:color w:val="FFFFFF"/>
                <w:spacing w:val="-2"/>
                <w:sz w:val="20"/>
              </w:rPr>
              <w:t>sample</w:t>
            </w:r>
          </w:p>
        </w:tc>
        <w:tc>
          <w:tcPr>
            <w:tcW w:w="1077" w:type="dxa"/>
            <w:tcBorders>
              <w:top w:val="nil"/>
              <w:left w:val="nil"/>
              <w:right w:val="nil"/>
            </w:tcBorders>
            <w:shd w:val="clear" w:color="auto" w:fill="00507E"/>
          </w:tcPr>
          <w:p>
            <w:pPr>
              <w:pStyle w:val="TableParagraph"/>
              <w:spacing w:before="93"/>
              <w:rPr>
                <w:rFonts w:ascii="Arial"/>
                <w:b/>
                <w:sz w:val="20"/>
              </w:rPr>
            </w:pPr>
          </w:p>
          <w:p>
            <w:pPr>
              <w:pStyle w:val="TableParagraph"/>
              <w:spacing w:before="0" w:line="276" w:lineRule="auto"/>
              <w:ind w:left="354" w:right="151" w:hanging="228"/>
              <w:rPr>
                <w:rFonts w:ascii="Calibri"/>
                <w:b/>
                <w:sz w:val="20"/>
              </w:rPr>
            </w:pPr>
            <w:r>
              <w:rPr>
                <w:rFonts w:ascii="Calibri"/>
                <w:b/>
                <w:color w:val="FFFFFF"/>
                <w:spacing w:val="-2"/>
                <w:sz w:val="20"/>
              </w:rPr>
              <w:t xml:space="preserve">Response </w:t>
            </w:r>
            <w:r>
              <w:rPr>
                <w:rFonts w:ascii="Calibri"/>
                <w:b/>
                <w:color w:val="FFFFFF"/>
                <w:spacing w:val="-4"/>
                <w:sz w:val="20"/>
              </w:rPr>
              <w:t>rate</w:t>
            </w:r>
          </w:p>
        </w:tc>
      </w:tr>
      <w:tr>
        <w:tblPrEx>
          <w:tblW w:w="0" w:type="auto"/>
          <w:jc w:val="left"/>
          <w:tblInd w:w="339" w:type="dxa"/>
          <w:tblLayout w:type="fixed"/>
          <w:tblCellMar>
            <w:top w:w="0" w:type="dxa"/>
            <w:left w:w="0" w:type="dxa"/>
            <w:bottom w:w="0" w:type="dxa"/>
            <w:right w:w="0" w:type="dxa"/>
          </w:tblCellMar>
          <w:tblLook w:val="01E0"/>
        </w:tblPrEx>
        <w:trPr>
          <w:trHeight w:val="359"/>
          <w:jc w:val="left"/>
        </w:trPr>
        <w:tc>
          <w:tcPr>
            <w:tcW w:w="3233" w:type="dxa"/>
            <w:tcBorders>
              <w:left w:val="nil"/>
              <w:bottom w:val="single" w:sz="8" w:space="0" w:color="D9D9D9"/>
              <w:right w:val="nil"/>
            </w:tcBorders>
            <w:shd w:val="clear" w:color="auto" w:fill="E1E6E8"/>
          </w:tcPr>
          <w:p>
            <w:pPr>
              <w:pStyle w:val="TableParagraph"/>
              <w:spacing w:before="40"/>
              <w:ind w:left="86"/>
              <w:rPr>
                <w:rFonts w:ascii="Calibri"/>
                <w:b/>
                <w:sz w:val="20"/>
              </w:rPr>
            </w:pPr>
            <w:r>
              <w:rPr>
                <w:rFonts w:ascii="Calibri"/>
                <w:b/>
                <w:color w:val="1C242C"/>
                <w:spacing w:val="-2"/>
                <w:sz w:val="20"/>
              </w:rPr>
              <w:t>Total</w:t>
            </w:r>
          </w:p>
        </w:tc>
        <w:tc>
          <w:tcPr>
            <w:tcW w:w="1027" w:type="dxa"/>
            <w:tcBorders>
              <w:left w:val="nil"/>
              <w:bottom w:val="single" w:sz="8" w:space="0" w:color="D9D9D9"/>
              <w:right w:val="nil"/>
            </w:tcBorders>
            <w:shd w:val="clear" w:color="auto" w:fill="E1E6E8"/>
          </w:tcPr>
          <w:p>
            <w:pPr>
              <w:pStyle w:val="TableParagraph"/>
              <w:spacing w:before="40"/>
              <w:ind w:left="182"/>
              <w:rPr>
                <w:rFonts w:ascii="Calibri"/>
                <w:b/>
                <w:sz w:val="20"/>
              </w:rPr>
            </w:pPr>
            <w:r>
              <w:rPr>
                <w:rFonts w:ascii="Calibri"/>
                <w:b/>
                <w:color w:val="1C242C"/>
                <w:spacing w:val="-2"/>
                <w:sz w:val="20"/>
              </w:rPr>
              <w:t>600,168</w:t>
            </w:r>
          </w:p>
        </w:tc>
        <w:tc>
          <w:tcPr>
            <w:tcW w:w="1265" w:type="dxa"/>
            <w:tcBorders>
              <w:left w:val="nil"/>
              <w:bottom w:val="single" w:sz="8" w:space="0" w:color="D9D9D9"/>
              <w:right w:val="nil"/>
            </w:tcBorders>
            <w:shd w:val="clear" w:color="auto" w:fill="E1E6E8"/>
          </w:tcPr>
          <w:p>
            <w:pPr>
              <w:pStyle w:val="TableParagraph"/>
              <w:spacing w:before="40"/>
              <w:ind w:right="352"/>
              <w:jc w:val="right"/>
              <w:rPr>
                <w:rFonts w:ascii="Calibri"/>
                <w:b/>
                <w:sz w:val="20"/>
              </w:rPr>
            </w:pPr>
            <w:r>
              <w:rPr>
                <w:rFonts w:ascii="Calibri"/>
                <w:b/>
                <w:color w:val="1C242C"/>
                <w:spacing w:val="-2"/>
                <w:sz w:val="20"/>
              </w:rPr>
              <w:t>50,912</w:t>
            </w:r>
          </w:p>
        </w:tc>
        <w:tc>
          <w:tcPr>
            <w:tcW w:w="1260" w:type="dxa"/>
            <w:tcBorders>
              <w:left w:val="nil"/>
              <w:bottom w:val="single" w:sz="8" w:space="0" w:color="D9D9D9"/>
              <w:right w:val="nil"/>
            </w:tcBorders>
            <w:shd w:val="clear" w:color="auto" w:fill="E1E6E8"/>
          </w:tcPr>
          <w:p>
            <w:pPr>
              <w:pStyle w:val="TableParagraph"/>
              <w:spacing w:before="40"/>
              <w:ind w:left="351"/>
              <w:rPr>
                <w:rFonts w:ascii="Calibri"/>
                <w:b/>
                <w:sz w:val="20"/>
              </w:rPr>
            </w:pPr>
            <w:r>
              <w:rPr>
                <w:rFonts w:ascii="Calibri"/>
                <w:b/>
                <w:spacing w:val="-2"/>
                <w:sz w:val="20"/>
              </w:rPr>
              <w:t>100.00</w:t>
            </w:r>
          </w:p>
        </w:tc>
        <w:tc>
          <w:tcPr>
            <w:tcW w:w="1555" w:type="dxa"/>
            <w:tcBorders>
              <w:left w:val="nil"/>
              <w:bottom w:val="single" w:sz="8" w:space="0" w:color="D9D9D9"/>
              <w:right w:val="nil"/>
            </w:tcBorders>
            <w:shd w:val="clear" w:color="auto" w:fill="E1E6E8"/>
          </w:tcPr>
          <w:p>
            <w:pPr>
              <w:pStyle w:val="TableParagraph"/>
              <w:spacing w:before="40"/>
              <w:ind w:right="496"/>
              <w:jc w:val="right"/>
              <w:rPr>
                <w:rFonts w:ascii="Calibri"/>
                <w:b/>
                <w:sz w:val="20"/>
              </w:rPr>
            </w:pPr>
            <w:r>
              <w:rPr>
                <w:rFonts w:ascii="Calibri"/>
                <w:b/>
                <w:spacing w:val="-2"/>
                <w:sz w:val="20"/>
              </w:rPr>
              <w:t>100.00</w:t>
            </w:r>
          </w:p>
        </w:tc>
        <w:tc>
          <w:tcPr>
            <w:tcW w:w="1077" w:type="dxa"/>
            <w:tcBorders>
              <w:left w:val="nil"/>
              <w:bottom w:val="single" w:sz="8" w:space="0" w:color="D9D9D9"/>
              <w:right w:val="nil"/>
            </w:tcBorders>
            <w:shd w:val="clear" w:color="auto" w:fill="E1E6E8"/>
          </w:tcPr>
          <w:p>
            <w:pPr>
              <w:pStyle w:val="TableParagraph"/>
              <w:spacing w:before="40"/>
              <w:ind w:left="222"/>
              <w:rPr>
                <w:rFonts w:ascii="Calibri"/>
                <w:b/>
                <w:sz w:val="20"/>
              </w:rPr>
            </w:pPr>
            <w:r>
              <w:rPr>
                <w:rFonts w:ascii="Calibri"/>
                <w:b/>
                <w:spacing w:val="-2"/>
                <w:sz w:val="20"/>
              </w:rPr>
              <w:t>15.48%</w:t>
            </w:r>
          </w:p>
        </w:tc>
      </w:tr>
      <w:tr>
        <w:tblPrEx>
          <w:tblW w:w="0" w:type="auto"/>
          <w:jc w:val="left"/>
          <w:tblInd w:w="339" w:type="dxa"/>
          <w:tblLayout w:type="fixed"/>
          <w:tblCellMar>
            <w:top w:w="0" w:type="dxa"/>
            <w:left w:w="0" w:type="dxa"/>
            <w:bottom w:w="0" w:type="dxa"/>
            <w:right w:w="0" w:type="dxa"/>
          </w:tblCellMar>
          <w:tblLook w:val="01E0"/>
        </w:tblPrEx>
        <w:trPr>
          <w:trHeight w:val="361"/>
          <w:jc w:val="left"/>
        </w:trPr>
        <w:tc>
          <w:tcPr>
            <w:tcW w:w="9417" w:type="dxa"/>
            <w:gridSpan w:val="6"/>
            <w:tcBorders>
              <w:top w:val="single" w:sz="8" w:space="0" w:color="D9D9D9"/>
              <w:left w:val="nil"/>
              <w:bottom w:val="single" w:sz="8" w:space="0" w:color="D9D9D9"/>
              <w:right w:val="nil"/>
            </w:tcBorders>
            <w:shd w:val="clear" w:color="auto" w:fill="D1EDFB"/>
          </w:tcPr>
          <w:p>
            <w:pPr>
              <w:pStyle w:val="TableParagraph"/>
              <w:spacing w:before="39"/>
              <w:ind w:left="86"/>
              <w:rPr>
                <w:rFonts w:ascii="Calibri"/>
                <w:b/>
                <w:sz w:val="20"/>
              </w:rPr>
            </w:pPr>
            <w:r>
              <w:rPr>
                <w:rFonts w:ascii="Calibri"/>
                <w:b/>
                <w:color w:val="1C242C"/>
                <w:sz w:val="20"/>
              </w:rPr>
              <w:t>Census</w:t>
            </w:r>
            <w:r>
              <w:rPr>
                <w:rFonts w:ascii="Calibri"/>
                <w:b/>
                <w:color w:val="1C242C"/>
                <w:spacing w:val="-8"/>
                <w:sz w:val="20"/>
              </w:rPr>
              <w:t xml:space="preserve"> </w:t>
            </w:r>
            <w:r>
              <w:rPr>
                <w:rFonts w:ascii="Calibri"/>
                <w:b/>
                <w:color w:val="1C242C"/>
                <w:spacing w:val="-2"/>
                <w:sz w:val="20"/>
              </w:rPr>
              <w:t>region</w:t>
            </w:r>
          </w:p>
        </w:tc>
      </w:tr>
      <w:tr>
        <w:tblPrEx>
          <w:tblW w:w="0" w:type="auto"/>
          <w:jc w:val="left"/>
          <w:tblInd w:w="339" w:type="dxa"/>
          <w:tblLayout w:type="fixed"/>
          <w:tblCellMar>
            <w:top w:w="0" w:type="dxa"/>
            <w:left w:w="0" w:type="dxa"/>
            <w:bottom w:w="0" w:type="dxa"/>
            <w:right w:w="0" w:type="dxa"/>
          </w:tblCellMar>
          <w:tblLook w:val="01E0"/>
        </w:tblPrEx>
        <w:trPr>
          <w:trHeight w:val="392"/>
          <w:jc w:val="left"/>
        </w:trPr>
        <w:tc>
          <w:tcPr>
            <w:tcW w:w="3233" w:type="dxa"/>
            <w:tcBorders>
              <w:top w:val="single" w:sz="8" w:space="0" w:color="D9D9D9"/>
              <w:left w:val="nil"/>
              <w:bottom w:val="single" w:sz="8" w:space="0" w:color="D9D9D9"/>
              <w:right w:val="single" w:sz="8" w:space="0" w:color="D9D9D9"/>
            </w:tcBorders>
          </w:tcPr>
          <w:p>
            <w:pPr>
              <w:pStyle w:val="TableParagraph"/>
              <w:spacing w:before="39"/>
              <w:ind w:left="86"/>
              <w:rPr>
                <w:rFonts w:ascii="Calibri"/>
                <w:sz w:val="20"/>
              </w:rPr>
            </w:pPr>
            <w:r>
              <w:rPr>
                <w:rFonts w:ascii="Calibri"/>
                <w:color w:val="1C242C"/>
                <w:sz w:val="20"/>
              </w:rPr>
              <w:t>East</w:t>
            </w:r>
            <w:r>
              <w:rPr>
                <w:rFonts w:ascii="Calibri"/>
                <w:color w:val="1C242C"/>
                <w:spacing w:val="-4"/>
                <w:sz w:val="20"/>
              </w:rPr>
              <w:t xml:space="preserve"> </w:t>
            </w:r>
            <w:r>
              <w:rPr>
                <w:rFonts w:ascii="Calibri"/>
                <w:color w:val="1C242C"/>
                <w:sz w:val="20"/>
              </w:rPr>
              <w:t>North</w:t>
            </w:r>
            <w:r>
              <w:rPr>
                <w:rFonts w:ascii="Calibri"/>
                <w:color w:val="1C242C"/>
                <w:spacing w:val="-4"/>
                <w:sz w:val="20"/>
              </w:rPr>
              <w:t xml:space="preserve"> </w:t>
            </w:r>
            <w:r>
              <w:rPr>
                <w:rFonts w:ascii="Calibri"/>
                <w:color w:val="1C242C"/>
                <w:sz w:val="20"/>
              </w:rPr>
              <w:t>Central</w:t>
            </w:r>
            <w:r>
              <w:rPr>
                <w:rFonts w:ascii="Calibri"/>
                <w:color w:val="1C242C"/>
                <w:spacing w:val="-5"/>
                <w:sz w:val="20"/>
              </w:rPr>
              <w:t xml:space="preserve"> </w:t>
            </w:r>
            <w:r>
              <w:rPr>
                <w:rFonts w:ascii="Calibri"/>
                <w:color w:val="1C242C"/>
                <w:sz w:val="20"/>
              </w:rPr>
              <w:t>(IL,</w:t>
            </w:r>
            <w:r>
              <w:rPr>
                <w:rFonts w:ascii="Calibri"/>
                <w:color w:val="1C242C"/>
                <w:spacing w:val="-4"/>
                <w:sz w:val="20"/>
              </w:rPr>
              <w:t xml:space="preserve"> </w:t>
            </w:r>
            <w:r>
              <w:rPr>
                <w:rFonts w:ascii="Calibri"/>
                <w:color w:val="1C242C"/>
                <w:sz w:val="20"/>
              </w:rPr>
              <w:t>IN,</w:t>
            </w:r>
            <w:r>
              <w:rPr>
                <w:rFonts w:ascii="Calibri"/>
                <w:color w:val="1C242C"/>
                <w:spacing w:val="-4"/>
                <w:sz w:val="20"/>
              </w:rPr>
              <w:t xml:space="preserve"> </w:t>
            </w:r>
            <w:r>
              <w:rPr>
                <w:rFonts w:ascii="Calibri"/>
                <w:color w:val="1C242C"/>
                <w:sz w:val="20"/>
              </w:rPr>
              <w:t>MI,</w:t>
            </w:r>
            <w:r>
              <w:rPr>
                <w:rFonts w:ascii="Calibri"/>
                <w:color w:val="1C242C"/>
                <w:spacing w:val="-5"/>
                <w:sz w:val="20"/>
              </w:rPr>
              <w:t xml:space="preserve"> </w:t>
            </w:r>
            <w:r>
              <w:rPr>
                <w:rFonts w:ascii="Calibri"/>
                <w:color w:val="1C242C"/>
                <w:sz w:val="20"/>
              </w:rPr>
              <w:t>OH,</w:t>
            </w:r>
            <w:r>
              <w:rPr>
                <w:rFonts w:ascii="Calibri"/>
                <w:color w:val="1C242C"/>
                <w:spacing w:val="-4"/>
                <w:sz w:val="20"/>
              </w:rPr>
              <w:t xml:space="preserve"> </w:t>
            </w:r>
            <w:r>
              <w:rPr>
                <w:rFonts w:ascii="Calibri"/>
                <w:color w:val="1C242C"/>
                <w:spacing w:val="-5"/>
                <w:sz w:val="20"/>
              </w:rPr>
              <w:t>WI)</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spacing w:before="73"/>
              <w:ind w:left="225"/>
              <w:rPr>
                <w:rFonts w:ascii="Calibri"/>
                <w:sz w:val="20"/>
              </w:rPr>
            </w:pPr>
            <w:r>
              <w:rPr>
                <w:rFonts w:ascii="Calibri"/>
                <w:color w:val="1C242C"/>
                <w:spacing w:val="-2"/>
                <w:sz w:val="20"/>
              </w:rPr>
              <w:t>89,353</w:t>
            </w:r>
          </w:p>
        </w:tc>
        <w:tc>
          <w:tcPr>
            <w:tcW w:w="1265" w:type="dxa"/>
            <w:tcBorders>
              <w:top w:val="single" w:sz="8" w:space="0" w:color="D9D9D9"/>
              <w:left w:val="single" w:sz="8" w:space="0" w:color="D9D9D9"/>
              <w:bottom w:val="single" w:sz="8" w:space="0" w:color="D9D9D9"/>
              <w:right w:val="single" w:sz="8" w:space="0" w:color="D9D9D9"/>
            </w:tcBorders>
          </w:tcPr>
          <w:p>
            <w:pPr>
              <w:pStyle w:val="TableParagraph"/>
              <w:spacing w:before="73"/>
              <w:ind w:right="393"/>
              <w:jc w:val="right"/>
              <w:rPr>
                <w:rFonts w:ascii="Calibri"/>
                <w:sz w:val="20"/>
              </w:rPr>
            </w:pPr>
            <w:r>
              <w:rPr>
                <w:rFonts w:ascii="Calibri"/>
                <w:color w:val="1C242C"/>
                <w:spacing w:val="-2"/>
                <w:sz w:val="20"/>
              </w:rPr>
              <w:t>8,556</w:t>
            </w:r>
          </w:p>
        </w:tc>
        <w:tc>
          <w:tcPr>
            <w:tcW w:w="1260" w:type="dxa"/>
            <w:tcBorders>
              <w:top w:val="single" w:sz="8" w:space="0" w:color="D9D9D9"/>
              <w:left w:val="single" w:sz="8" w:space="0" w:color="D9D9D9"/>
              <w:bottom w:val="single" w:sz="8" w:space="0" w:color="D9D9D9"/>
              <w:right w:val="single" w:sz="8" w:space="0" w:color="D9D9D9"/>
            </w:tcBorders>
          </w:tcPr>
          <w:p>
            <w:pPr>
              <w:pStyle w:val="TableParagraph"/>
              <w:spacing w:before="73"/>
              <w:ind w:left="321"/>
              <w:rPr>
                <w:rFonts w:ascii="Calibri"/>
                <w:sz w:val="20"/>
              </w:rPr>
            </w:pPr>
            <w:r>
              <w:rPr>
                <w:rFonts w:ascii="Calibri"/>
                <w:color w:val="1C242C"/>
                <w:spacing w:val="-2"/>
                <w:sz w:val="20"/>
              </w:rPr>
              <w:t>16.80%</w:t>
            </w:r>
          </w:p>
        </w:tc>
        <w:tc>
          <w:tcPr>
            <w:tcW w:w="1555" w:type="dxa"/>
            <w:tcBorders>
              <w:top w:val="single" w:sz="8" w:space="0" w:color="D9D9D9"/>
              <w:left w:val="single" w:sz="8" w:space="0" w:color="D9D9D9"/>
              <w:bottom w:val="single" w:sz="8" w:space="0" w:color="D9D9D9"/>
              <w:right w:val="single" w:sz="8" w:space="0" w:color="D9D9D9"/>
            </w:tcBorders>
          </w:tcPr>
          <w:p>
            <w:pPr>
              <w:pStyle w:val="TableParagraph"/>
              <w:spacing w:before="73"/>
              <w:ind w:right="466"/>
              <w:jc w:val="right"/>
              <w:rPr>
                <w:rFonts w:ascii="Calibri"/>
                <w:sz w:val="20"/>
              </w:rPr>
            </w:pPr>
            <w:r>
              <w:rPr>
                <w:rFonts w:ascii="Calibri"/>
                <w:color w:val="1C242C"/>
                <w:spacing w:val="-2"/>
                <w:sz w:val="20"/>
              </w:rPr>
              <w:t>14.90%</w:t>
            </w:r>
          </w:p>
        </w:tc>
        <w:tc>
          <w:tcPr>
            <w:tcW w:w="1077" w:type="dxa"/>
            <w:tcBorders>
              <w:top w:val="single" w:sz="8" w:space="0" w:color="D9D9D9"/>
              <w:left w:val="single" w:sz="8" w:space="0" w:color="D9D9D9"/>
              <w:bottom w:val="single" w:sz="8" w:space="0" w:color="D9D9D9"/>
              <w:right w:val="nil"/>
            </w:tcBorders>
          </w:tcPr>
          <w:p>
            <w:pPr>
              <w:pStyle w:val="TableParagraph"/>
              <w:spacing w:before="73"/>
              <w:ind w:left="214"/>
              <w:rPr>
                <w:rFonts w:ascii="Calibri"/>
                <w:sz w:val="20"/>
              </w:rPr>
            </w:pPr>
            <w:r>
              <w:rPr>
                <w:rFonts w:ascii="Calibri"/>
                <w:color w:val="1C242C"/>
                <w:spacing w:val="-2"/>
                <w:sz w:val="20"/>
              </w:rPr>
              <w:t>16.70%</w:t>
            </w:r>
          </w:p>
        </w:tc>
      </w:tr>
      <w:tr>
        <w:tblPrEx>
          <w:tblW w:w="0" w:type="auto"/>
          <w:jc w:val="left"/>
          <w:tblInd w:w="339" w:type="dxa"/>
          <w:tblLayout w:type="fixed"/>
          <w:tblCellMar>
            <w:top w:w="0" w:type="dxa"/>
            <w:left w:w="0" w:type="dxa"/>
            <w:bottom w:w="0" w:type="dxa"/>
            <w:right w:w="0" w:type="dxa"/>
          </w:tblCellMar>
          <w:tblLook w:val="01E0"/>
        </w:tblPrEx>
        <w:trPr>
          <w:trHeight w:val="361"/>
          <w:jc w:val="left"/>
        </w:trPr>
        <w:tc>
          <w:tcPr>
            <w:tcW w:w="3233" w:type="dxa"/>
            <w:tcBorders>
              <w:top w:val="single" w:sz="8" w:space="0" w:color="D9D9D9"/>
              <w:left w:val="nil"/>
              <w:bottom w:val="single" w:sz="8" w:space="0" w:color="D9D9D9"/>
              <w:right w:val="single" w:sz="8" w:space="0" w:color="D9D9D9"/>
            </w:tcBorders>
          </w:tcPr>
          <w:p>
            <w:pPr>
              <w:pStyle w:val="TableParagraph"/>
              <w:spacing w:before="39"/>
              <w:ind w:left="86"/>
              <w:rPr>
                <w:rFonts w:ascii="Calibri"/>
                <w:sz w:val="20"/>
              </w:rPr>
            </w:pPr>
            <w:r>
              <w:rPr>
                <w:rFonts w:ascii="Calibri"/>
                <w:color w:val="1C242C"/>
                <w:sz w:val="20"/>
              </w:rPr>
              <w:t>East</w:t>
            </w:r>
            <w:r>
              <w:rPr>
                <w:rFonts w:ascii="Calibri"/>
                <w:color w:val="1C242C"/>
                <w:spacing w:val="-5"/>
                <w:sz w:val="20"/>
              </w:rPr>
              <w:t xml:space="preserve"> </w:t>
            </w:r>
            <w:r>
              <w:rPr>
                <w:rFonts w:ascii="Calibri"/>
                <w:color w:val="1C242C"/>
                <w:sz w:val="20"/>
              </w:rPr>
              <w:t>South</w:t>
            </w:r>
            <w:r>
              <w:rPr>
                <w:rFonts w:ascii="Calibri"/>
                <w:color w:val="1C242C"/>
                <w:spacing w:val="-4"/>
                <w:sz w:val="20"/>
              </w:rPr>
              <w:t xml:space="preserve"> </w:t>
            </w:r>
            <w:r>
              <w:rPr>
                <w:rFonts w:ascii="Calibri"/>
                <w:color w:val="1C242C"/>
                <w:sz w:val="20"/>
              </w:rPr>
              <w:t>Central</w:t>
            </w:r>
            <w:r>
              <w:rPr>
                <w:rFonts w:ascii="Calibri"/>
                <w:color w:val="1C242C"/>
                <w:spacing w:val="-6"/>
                <w:sz w:val="20"/>
              </w:rPr>
              <w:t xml:space="preserve"> </w:t>
            </w:r>
            <w:r>
              <w:rPr>
                <w:rFonts w:ascii="Calibri"/>
                <w:color w:val="1C242C"/>
                <w:sz w:val="20"/>
              </w:rPr>
              <w:t>(AL,</w:t>
            </w:r>
            <w:r>
              <w:rPr>
                <w:rFonts w:ascii="Calibri"/>
                <w:color w:val="1C242C"/>
                <w:spacing w:val="-4"/>
                <w:sz w:val="20"/>
              </w:rPr>
              <w:t xml:space="preserve"> </w:t>
            </w:r>
            <w:r>
              <w:rPr>
                <w:rFonts w:ascii="Calibri"/>
                <w:color w:val="1C242C"/>
                <w:sz w:val="20"/>
              </w:rPr>
              <w:t>KY,</w:t>
            </w:r>
            <w:r>
              <w:rPr>
                <w:rFonts w:ascii="Calibri"/>
                <w:color w:val="1C242C"/>
                <w:spacing w:val="-5"/>
                <w:sz w:val="20"/>
              </w:rPr>
              <w:t xml:space="preserve"> </w:t>
            </w:r>
            <w:r>
              <w:rPr>
                <w:rFonts w:ascii="Calibri"/>
                <w:color w:val="1C242C"/>
                <w:sz w:val="20"/>
              </w:rPr>
              <w:t>MS,</w:t>
            </w:r>
            <w:r>
              <w:rPr>
                <w:rFonts w:ascii="Calibri"/>
                <w:color w:val="1C242C"/>
                <w:spacing w:val="-4"/>
                <w:sz w:val="20"/>
              </w:rPr>
              <w:t xml:space="preserve"> </w:t>
            </w:r>
            <w:r>
              <w:rPr>
                <w:rFonts w:ascii="Calibri"/>
                <w:color w:val="1C242C"/>
                <w:spacing w:val="-5"/>
                <w:sz w:val="20"/>
              </w:rPr>
              <w:t>TN)</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spacing w:before="39"/>
              <w:ind w:left="225"/>
              <w:rPr>
                <w:rFonts w:ascii="Calibri"/>
                <w:sz w:val="20"/>
              </w:rPr>
            </w:pPr>
            <w:r>
              <w:rPr>
                <w:rFonts w:ascii="Calibri"/>
                <w:color w:val="1C242C"/>
                <w:spacing w:val="-2"/>
                <w:sz w:val="20"/>
              </w:rPr>
              <w:t>35,456</w:t>
            </w:r>
          </w:p>
        </w:tc>
        <w:tc>
          <w:tcPr>
            <w:tcW w:w="1265" w:type="dxa"/>
            <w:tcBorders>
              <w:top w:val="single" w:sz="8" w:space="0" w:color="D9D9D9"/>
              <w:left w:val="single" w:sz="8" w:space="0" w:color="D9D9D9"/>
              <w:bottom w:val="single" w:sz="8" w:space="0" w:color="D9D9D9"/>
              <w:right w:val="single" w:sz="8" w:space="0" w:color="D9D9D9"/>
            </w:tcBorders>
          </w:tcPr>
          <w:p>
            <w:pPr>
              <w:pStyle w:val="TableParagraph"/>
              <w:spacing w:before="39"/>
              <w:ind w:right="393"/>
              <w:jc w:val="right"/>
              <w:rPr>
                <w:rFonts w:ascii="Calibri"/>
                <w:sz w:val="20"/>
              </w:rPr>
            </w:pPr>
            <w:r>
              <w:rPr>
                <w:rFonts w:ascii="Calibri"/>
                <w:color w:val="1C242C"/>
                <w:spacing w:val="-2"/>
                <w:sz w:val="20"/>
              </w:rPr>
              <w:t>2,707</w:t>
            </w:r>
          </w:p>
        </w:tc>
        <w:tc>
          <w:tcPr>
            <w:tcW w:w="1260" w:type="dxa"/>
            <w:tcBorders>
              <w:top w:val="single" w:sz="8" w:space="0" w:color="D9D9D9"/>
              <w:left w:val="single" w:sz="8" w:space="0" w:color="D9D9D9"/>
              <w:bottom w:val="single" w:sz="8" w:space="0" w:color="D9D9D9"/>
              <w:right w:val="single" w:sz="8" w:space="0" w:color="D9D9D9"/>
            </w:tcBorders>
          </w:tcPr>
          <w:p>
            <w:pPr>
              <w:pStyle w:val="TableParagraph"/>
              <w:spacing w:before="39"/>
              <w:ind w:left="372"/>
              <w:rPr>
                <w:rFonts w:ascii="Calibri"/>
                <w:sz w:val="20"/>
              </w:rPr>
            </w:pPr>
            <w:r>
              <w:rPr>
                <w:rFonts w:ascii="Calibri"/>
                <w:color w:val="1C242C"/>
                <w:spacing w:val="-2"/>
                <w:sz w:val="20"/>
              </w:rPr>
              <w:t>5.32%</w:t>
            </w:r>
          </w:p>
        </w:tc>
        <w:tc>
          <w:tcPr>
            <w:tcW w:w="1555" w:type="dxa"/>
            <w:tcBorders>
              <w:top w:val="single" w:sz="8" w:space="0" w:color="D9D9D9"/>
              <w:left w:val="single" w:sz="8" w:space="0" w:color="D9D9D9"/>
              <w:bottom w:val="single" w:sz="8" w:space="0" w:color="D9D9D9"/>
              <w:right w:val="single" w:sz="8" w:space="0" w:color="D9D9D9"/>
            </w:tcBorders>
          </w:tcPr>
          <w:p>
            <w:pPr>
              <w:pStyle w:val="TableParagraph"/>
              <w:spacing w:before="39"/>
              <w:ind w:right="516"/>
              <w:jc w:val="right"/>
              <w:rPr>
                <w:rFonts w:ascii="Calibri"/>
                <w:sz w:val="20"/>
              </w:rPr>
            </w:pPr>
            <w:r>
              <w:rPr>
                <w:rFonts w:ascii="Calibri"/>
                <w:color w:val="1C242C"/>
                <w:spacing w:val="-2"/>
                <w:sz w:val="20"/>
              </w:rPr>
              <w:t>5.91%</w:t>
            </w:r>
          </w:p>
        </w:tc>
        <w:tc>
          <w:tcPr>
            <w:tcW w:w="1077" w:type="dxa"/>
            <w:tcBorders>
              <w:top w:val="single" w:sz="8" w:space="0" w:color="D9D9D9"/>
              <w:left w:val="single" w:sz="8" w:space="0" w:color="D9D9D9"/>
              <w:bottom w:val="single" w:sz="8" w:space="0" w:color="D9D9D9"/>
              <w:right w:val="nil"/>
            </w:tcBorders>
          </w:tcPr>
          <w:p>
            <w:pPr>
              <w:pStyle w:val="TableParagraph"/>
              <w:spacing w:before="39"/>
              <w:ind w:left="214"/>
              <w:rPr>
                <w:rFonts w:ascii="Calibri"/>
                <w:sz w:val="20"/>
              </w:rPr>
            </w:pPr>
            <w:r>
              <w:rPr>
                <w:rFonts w:ascii="Calibri"/>
                <w:color w:val="1C242C"/>
                <w:spacing w:val="-2"/>
                <w:sz w:val="20"/>
              </w:rPr>
              <w:t>13.80%</w:t>
            </w:r>
          </w:p>
        </w:tc>
      </w:tr>
      <w:tr>
        <w:tblPrEx>
          <w:tblW w:w="0" w:type="auto"/>
          <w:jc w:val="left"/>
          <w:tblInd w:w="339" w:type="dxa"/>
          <w:tblLayout w:type="fixed"/>
          <w:tblCellMar>
            <w:top w:w="0" w:type="dxa"/>
            <w:left w:w="0" w:type="dxa"/>
            <w:bottom w:w="0" w:type="dxa"/>
            <w:right w:w="0" w:type="dxa"/>
          </w:tblCellMar>
          <w:tblLook w:val="01E0"/>
        </w:tblPrEx>
        <w:trPr>
          <w:trHeight w:val="359"/>
          <w:jc w:val="left"/>
        </w:trPr>
        <w:tc>
          <w:tcPr>
            <w:tcW w:w="3233" w:type="dxa"/>
            <w:tcBorders>
              <w:top w:val="single" w:sz="8" w:space="0" w:color="D9D9D9"/>
              <w:left w:val="nil"/>
              <w:bottom w:val="single" w:sz="8" w:space="0" w:color="D9D9D9"/>
              <w:right w:val="single" w:sz="8" w:space="0" w:color="D9D9D9"/>
            </w:tcBorders>
          </w:tcPr>
          <w:p>
            <w:pPr>
              <w:pStyle w:val="TableParagraph"/>
              <w:spacing w:before="39"/>
              <w:ind w:left="86"/>
              <w:rPr>
                <w:rFonts w:ascii="Calibri"/>
                <w:sz w:val="20"/>
              </w:rPr>
            </w:pPr>
            <w:r>
              <w:rPr>
                <w:rFonts w:ascii="Calibri"/>
                <w:color w:val="1C242C"/>
                <w:sz w:val="20"/>
              </w:rPr>
              <w:t>Mid-Atlantic</w:t>
            </w:r>
            <w:r>
              <w:rPr>
                <w:rFonts w:ascii="Calibri"/>
                <w:color w:val="1C242C"/>
                <w:spacing w:val="-7"/>
                <w:sz w:val="20"/>
              </w:rPr>
              <w:t xml:space="preserve"> </w:t>
            </w:r>
            <w:r>
              <w:rPr>
                <w:rFonts w:ascii="Calibri"/>
                <w:color w:val="1C242C"/>
                <w:sz w:val="20"/>
              </w:rPr>
              <w:t>(NJ,</w:t>
            </w:r>
            <w:r>
              <w:rPr>
                <w:rFonts w:ascii="Calibri"/>
                <w:color w:val="1C242C"/>
                <w:spacing w:val="-6"/>
                <w:sz w:val="20"/>
              </w:rPr>
              <w:t xml:space="preserve"> </w:t>
            </w:r>
            <w:r>
              <w:rPr>
                <w:rFonts w:ascii="Calibri"/>
                <w:color w:val="1C242C"/>
                <w:sz w:val="20"/>
              </w:rPr>
              <w:t>NY,</w:t>
            </w:r>
            <w:r>
              <w:rPr>
                <w:rFonts w:ascii="Calibri"/>
                <w:color w:val="1C242C"/>
                <w:spacing w:val="-5"/>
                <w:sz w:val="20"/>
              </w:rPr>
              <w:t xml:space="preserve"> PA)</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spacing w:before="39"/>
              <w:ind w:left="225"/>
              <w:rPr>
                <w:rFonts w:ascii="Calibri"/>
                <w:sz w:val="20"/>
              </w:rPr>
            </w:pPr>
            <w:r>
              <w:rPr>
                <w:rFonts w:ascii="Calibri"/>
                <w:color w:val="1C242C"/>
                <w:spacing w:val="-2"/>
                <w:sz w:val="20"/>
              </w:rPr>
              <w:t>51,190</w:t>
            </w:r>
          </w:p>
        </w:tc>
        <w:tc>
          <w:tcPr>
            <w:tcW w:w="1265" w:type="dxa"/>
            <w:tcBorders>
              <w:top w:val="single" w:sz="8" w:space="0" w:color="D9D9D9"/>
              <w:left w:val="single" w:sz="8" w:space="0" w:color="D9D9D9"/>
              <w:bottom w:val="single" w:sz="8" w:space="0" w:color="D9D9D9"/>
              <w:right w:val="single" w:sz="8" w:space="0" w:color="D9D9D9"/>
            </w:tcBorders>
          </w:tcPr>
          <w:p>
            <w:pPr>
              <w:pStyle w:val="TableParagraph"/>
              <w:spacing w:before="39"/>
              <w:ind w:right="393"/>
              <w:jc w:val="right"/>
              <w:rPr>
                <w:rFonts w:ascii="Calibri"/>
                <w:sz w:val="20"/>
              </w:rPr>
            </w:pPr>
            <w:r>
              <w:rPr>
                <w:rFonts w:ascii="Calibri"/>
                <w:color w:val="1C242C"/>
                <w:spacing w:val="-2"/>
                <w:sz w:val="20"/>
              </w:rPr>
              <w:t>5,116</w:t>
            </w:r>
          </w:p>
        </w:tc>
        <w:tc>
          <w:tcPr>
            <w:tcW w:w="1260" w:type="dxa"/>
            <w:tcBorders>
              <w:top w:val="single" w:sz="8" w:space="0" w:color="D9D9D9"/>
              <w:left w:val="single" w:sz="8" w:space="0" w:color="D9D9D9"/>
              <w:bottom w:val="single" w:sz="8" w:space="0" w:color="D9D9D9"/>
              <w:right w:val="single" w:sz="8" w:space="0" w:color="D9D9D9"/>
            </w:tcBorders>
          </w:tcPr>
          <w:p>
            <w:pPr>
              <w:pStyle w:val="TableParagraph"/>
              <w:spacing w:before="39"/>
              <w:ind w:left="321"/>
              <w:rPr>
                <w:rFonts w:ascii="Calibri"/>
                <w:sz w:val="20"/>
              </w:rPr>
            </w:pPr>
            <w:r>
              <w:rPr>
                <w:rFonts w:ascii="Calibri"/>
                <w:color w:val="1C242C"/>
                <w:spacing w:val="-2"/>
                <w:sz w:val="20"/>
              </w:rPr>
              <w:t>10.00%</w:t>
            </w:r>
          </w:p>
        </w:tc>
        <w:tc>
          <w:tcPr>
            <w:tcW w:w="1555" w:type="dxa"/>
            <w:tcBorders>
              <w:top w:val="single" w:sz="8" w:space="0" w:color="D9D9D9"/>
              <w:left w:val="single" w:sz="8" w:space="0" w:color="D9D9D9"/>
              <w:bottom w:val="single" w:sz="8" w:space="0" w:color="D9D9D9"/>
              <w:right w:val="single" w:sz="8" w:space="0" w:color="D9D9D9"/>
            </w:tcBorders>
          </w:tcPr>
          <w:p>
            <w:pPr>
              <w:pStyle w:val="TableParagraph"/>
              <w:spacing w:before="39"/>
              <w:ind w:right="516"/>
              <w:jc w:val="right"/>
              <w:rPr>
                <w:rFonts w:ascii="Calibri"/>
                <w:sz w:val="20"/>
              </w:rPr>
            </w:pPr>
            <w:r>
              <w:rPr>
                <w:rFonts w:ascii="Calibri"/>
                <w:color w:val="1C242C"/>
                <w:spacing w:val="-2"/>
                <w:sz w:val="20"/>
              </w:rPr>
              <w:t>8.53%</w:t>
            </w:r>
          </w:p>
        </w:tc>
        <w:tc>
          <w:tcPr>
            <w:tcW w:w="1077" w:type="dxa"/>
            <w:tcBorders>
              <w:top w:val="single" w:sz="8" w:space="0" w:color="D9D9D9"/>
              <w:left w:val="single" w:sz="8" w:space="0" w:color="D9D9D9"/>
              <w:bottom w:val="single" w:sz="8" w:space="0" w:color="D9D9D9"/>
              <w:right w:val="nil"/>
            </w:tcBorders>
          </w:tcPr>
          <w:p>
            <w:pPr>
              <w:pStyle w:val="TableParagraph"/>
              <w:spacing w:before="39"/>
              <w:ind w:left="214"/>
              <w:rPr>
                <w:rFonts w:ascii="Calibri"/>
                <w:sz w:val="20"/>
              </w:rPr>
            </w:pPr>
            <w:r>
              <w:rPr>
                <w:rFonts w:ascii="Calibri"/>
                <w:color w:val="1C242C"/>
                <w:spacing w:val="-2"/>
                <w:sz w:val="20"/>
              </w:rPr>
              <w:t>17.80%</w:t>
            </w:r>
          </w:p>
        </w:tc>
      </w:tr>
      <w:tr>
        <w:tblPrEx>
          <w:tblW w:w="0" w:type="auto"/>
          <w:jc w:val="left"/>
          <w:tblInd w:w="339" w:type="dxa"/>
          <w:tblLayout w:type="fixed"/>
          <w:tblCellMar>
            <w:top w:w="0" w:type="dxa"/>
            <w:left w:w="0" w:type="dxa"/>
            <w:bottom w:w="0" w:type="dxa"/>
            <w:right w:w="0" w:type="dxa"/>
          </w:tblCellMar>
          <w:tblLook w:val="01E0"/>
        </w:tblPrEx>
        <w:trPr>
          <w:trHeight w:val="642"/>
          <w:jc w:val="left"/>
        </w:trPr>
        <w:tc>
          <w:tcPr>
            <w:tcW w:w="3233" w:type="dxa"/>
            <w:tcBorders>
              <w:top w:val="single" w:sz="8" w:space="0" w:color="D9D9D9"/>
              <w:left w:val="nil"/>
              <w:bottom w:val="single" w:sz="8" w:space="0" w:color="D9D9D9"/>
              <w:right w:val="single" w:sz="8" w:space="0" w:color="D9D9D9"/>
            </w:tcBorders>
          </w:tcPr>
          <w:p>
            <w:pPr>
              <w:pStyle w:val="TableParagraph"/>
              <w:spacing w:before="44" w:line="273" w:lineRule="auto"/>
              <w:ind w:left="86" w:right="166"/>
              <w:rPr>
                <w:rFonts w:ascii="Calibri"/>
                <w:sz w:val="20"/>
              </w:rPr>
            </w:pPr>
            <w:r>
              <w:rPr>
                <w:rFonts w:ascii="Calibri"/>
                <w:color w:val="1C242C"/>
                <w:sz w:val="20"/>
              </w:rPr>
              <w:t>Mountain</w:t>
            </w:r>
            <w:r>
              <w:rPr>
                <w:rFonts w:ascii="Calibri"/>
                <w:color w:val="1C242C"/>
                <w:spacing w:val="-7"/>
                <w:sz w:val="20"/>
              </w:rPr>
              <w:t xml:space="preserve"> </w:t>
            </w:r>
            <w:r>
              <w:rPr>
                <w:rFonts w:ascii="Calibri"/>
                <w:color w:val="1C242C"/>
                <w:sz w:val="20"/>
              </w:rPr>
              <w:t>(AZ,</w:t>
            </w:r>
            <w:r>
              <w:rPr>
                <w:rFonts w:ascii="Calibri"/>
                <w:color w:val="1C242C"/>
                <w:spacing w:val="-7"/>
                <w:sz w:val="20"/>
              </w:rPr>
              <w:t xml:space="preserve"> </w:t>
            </w:r>
            <w:r>
              <w:rPr>
                <w:rFonts w:ascii="Calibri"/>
                <w:color w:val="1C242C"/>
                <w:sz w:val="20"/>
              </w:rPr>
              <w:t>CO,</w:t>
            </w:r>
            <w:r>
              <w:rPr>
                <w:rFonts w:ascii="Calibri"/>
                <w:color w:val="1C242C"/>
                <w:spacing w:val="-7"/>
                <w:sz w:val="20"/>
              </w:rPr>
              <w:t xml:space="preserve"> </w:t>
            </w:r>
            <w:r>
              <w:rPr>
                <w:rFonts w:ascii="Calibri"/>
                <w:color w:val="1C242C"/>
                <w:sz w:val="20"/>
              </w:rPr>
              <w:t>ID,</w:t>
            </w:r>
            <w:r>
              <w:rPr>
                <w:rFonts w:ascii="Calibri"/>
                <w:color w:val="1C242C"/>
                <w:spacing w:val="-7"/>
                <w:sz w:val="20"/>
              </w:rPr>
              <w:t xml:space="preserve"> </w:t>
            </w:r>
            <w:r>
              <w:rPr>
                <w:rFonts w:ascii="Calibri"/>
                <w:color w:val="1C242C"/>
                <w:sz w:val="20"/>
              </w:rPr>
              <w:t>MT,</w:t>
            </w:r>
            <w:r>
              <w:rPr>
                <w:rFonts w:ascii="Calibri"/>
                <w:color w:val="1C242C"/>
                <w:spacing w:val="-7"/>
                <w:sz w:val="20"/>
              </w:rPr>
              <w:t xml:space="preserve"> </w:t>
            </w:r>
            <w:r>
              <w:rPr>
                <w:rFonts w:ascii="Calibri"/>
                <w:color w:val="1C242C"/>
                <w:sz w:val="20"/>
              </w:rPr>
              <w:t>NM,</w:t>
            </w:r>
            <w:r>
              <w:rPr>
                <w:rFonts w:ascii="Calibri"/>
                <w:color w:val="1C242C"/>
                <w:spacing w:val="-7"/>
                <w:sz w:val="20"/>
              </w:rPr>
              <w:t xml:space="preserve"> </w:t>
            </w:r>
            <w:r>
              <w:rPr>
                <w:rFonts w:ascii="Calibri"/>
                <w:color w:val="1C242C"/>
                <w:sz w:val="20"/>
              </w:rPr>
              <w:t>NV, UT, WY)</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spacing w:before="93"/>
              <w:rPr>
                <w:rFonts w:ascii="Arial"/>
                <w:b/>
                <w:sz w:val="20"/>
              </w:rPr>
            </w:pPr>
          </w:p>
          <w:p>
            <w:pPr>
              <w:pStyle w:val="TableParagraph"/>
              <w:spacing w:before="0"/>
              <w:ind w:left="225"/>
              <w:rPr>
                <w:rFonts w:ascii="Calibri"/>
                <w:sz w:val="20"/>
              </w:rPr>
            </w:pPr>
            <w:r>
              <w:rPr>
                <w:rFonts w:ascii="Calibri"/>
                <w:color w:val="1C242C"/>
                <w:spacing w:val="-2"/>
                <w:sz w:val="20"/>
              </w:rPr>
              <w:t>68,261</w:t>
            </w:r>
          </w:p>
        </w:tc>
        <w:tc>
          <w:tcPr>
            <w:tcW w:w="1265" w:type="dxa"/>
            <w:tcBorders>
              <w:top w:val="single" w:sz="8" w:space="0" w:color="D9D9D9"/>
              <w:left w:val="single" w:sz="8" w:space="0" w:color="D9D9D9"/>
              <w:bottom w:val="single" w:sz="8" w:space="0" w:color="D9D9D9"/>
              <w:right w:val="single" w:sz="8" w:space="0" w:color="D9D9D9"/>
            </w:tcBorders>
          </w:tcPr>
          <w:p>
            <w:pPr>
              <w:pStyle w:val="TableParagraph"/>
              <w:spacing w:before="93"/>
              <w:rPr>
                <w:rFonts w:ascii="Arial"/>
                <w:b/>
                <w:sz w:val="20"/>
              </w:rPr>
            </w:pPr>
          </w:p>
          <w:p>
            <w:pPr>
              <w:pStyle w:val="TableParagraph"/>
              <w:spacing w:before="0"/>
              <w:ind w:right="393"/>
              <w:jc w:val="right"/>
              <w:rPr>
                <w:rFonts w:ascii="Calibri"/>
                <w:sz w:val="20"/>
              </w:rPr>
            </w:pPr>
            <w:r>
              <w:rPr>
                <w:rFonts w:ascii="Calibri"/>
                <w:color w:val="1C242C"/>
                <w:spacing w:val="-2"/>
                <w:sz w:val="20"/>
              </w:rPr>
              <w:t>6,696</w:t>
            </w:r>
          </w:p>
        </w:tc>
        <w:tc>
          <w:tcPr>
            <w:tcW w:w="1260" w:type="dxa"/>
            <w:tcBorders>
              <w:top w:val="single" w:sz="8" w:space="0" w:color="D9D9D9"/>
              <w:left w:val="single" w:sz="8" w:space="0" w:color="D9D9D9"/>
              <w:bottom w:val="single" w:sz="8" w:space="0" w:color="D9D9D9"/>
              <w:right w:val="single" w:sz="8" w:space="0" w:color="D9D9D9"/>
            </w:tcBorders>
          </w:tcPr>
          <w:p>
            <w:pPr>
              <w:pStyle w:val="TableParagraph"/>
              <w:spacing w:before="93"/>
              <w:rPr>
                <w:rFonts w:ascii="Arial"/>
                <w:b/>
                <w:sz w:val="20"/>
              </w:rPr>
            </w:pPr>
          </w:p>
          <w:p>
            <w:pPr>
              <w:pStyle w:val="TableParagraph"/>
              <w:spacing w:before="0"/>
              <w:ind w:left="321"/>
              <w:rPr>
                <w:rFonts w:ascii="Calibri"/>
                <w:sz w:val="20"/>
              </w:rPr>
            </w:pPr>
            <w:r>
              <w:rPr>
                <w:rFonts w:ascii="Calibri"/>
                <w:color w:val="1C242C"/>
                <w:spacing w:val="-2"/>
                <w:sz w:val="20"/>
              </w:rPr>
              <w:t>13.20%</w:t>
            </w:r>
          </w:p>
        </w:tc>
        <w:tc>
          <w:tcPr>
            <w:tcW w:w="1555" w:type="dxa"/>
            <w:tcBorders>
              <w:top w:val="single" w:sz="8" w:space="0" w:color="D9D9D9"/>
              <w:left w:val="single" w:sz="8" w:space="0" w:color="D9D9D9"/>
              <w:bottom w:val="single" w:sz="8" w:space="0" w:color="D9D9D9"/>
              <w:right w:val="single" w:sz="8" w:space="0" w:color="D9D9D9"/>
            </w:tcBorders>
          </w:tcPr>
          <w:p>
            <w:pPr>
              <w:pStyle w:val="TableParagraph"/>
              <w:spacing w:before="93"/>
              <w:rPr>
                <w:rFonts w:ascii="Arial"/>
                <w:b/>
                <w:sz w:val="20"/>
              </w:rPr>
            </w:pPr>
          </w:p>
          <w:p>
            <w:pPr>
              <w:pStyle w:val="TableParagraph"/>
              <w:spacing w:before="0"/>
              <w:ind w:right="466"/>
              <w:jc w:val="right"/>
              <w:rPr>
                <w:rFonts w:ascii="Calibri"/>
                <w:sz w:val="20"/>
              </w:rPr>
            </w:pPr>
            <w:r>
              <w:rPr>
                <w:rFonts w:ascii="Calibri"/>
                <w:color w:val="1C242C"/>
                <w:spacing w:val="-2"/>
                <w:sz w:val="20"/>
              </w:rPr>
              <w:t>11.40%</w:t>
            </w:r>
          </w:p>
        </w:tc>
        <w:tc>
          <w:tcPr>
            <w:tcW w:w="1077" w:type="dxa"/>
            <w:tcBorders>
              <w:top w:val="single" w:sz="8" w:space="0" w:color="D9D9D9"/>
              <w:left w:val="single" w:sz="8" w:space="0" w:color="D9D9D9"/>
              <w:bottom w:val="single" w:sz="8" w:space="0" w:color="D9D9D9"/>
              <w:right w:val="nil"/>
            </w:tcBorders>
          </w:tcPr>
          <w:p>
            <w:pPr>
              <w:pStyle w:val="TableParagraph"/>
              <w:spacing w:before="93"/>
              <w:rPr>
                <w:rFonts w:ascii="Arial"/>
                <w:b/>
                <w:sz w:val="20"/>
              </w:rPr>
            </w:pPr>
          </w:p>
          <w:p>
            <w:pPr>
              <w:pStyle w:val="TableParagraph"/>
              <w:spacing w:before="0"/>
              <w:ind w:left="214"/>
              <w:rPr>
                <w:rFonts w:ascii="Calibri"/>
                <w:sz w:val="20"/>
              </w:rPr>
            </w:pPr>
            <w:r>
              <w:rPr>
                <w:rFonts w:ascii="Calibri"/>
                <w:color w:val="1C242C"/>
                <w:spacing w:val="-2"/>
                <w:sz w:val="20"/>
              </w:rPr>
              <w:t>16.80%</w:t>
            </w:r>
          </w:p>
        </w:tc>
      </w:tr>
      <w:tr>
        <w:tblPrEx>
          <w:tblW w:w="0" w:type="auto"/>
          <w:jc w:val="left"/>
          <w:tblInd w:w="339" w:type="dxa"/>
          <w:tblLayout w:type="fixed"/>
          <w:tblCellMar>
            <w:top w:w="0" w:type="dxa"/>
            <w:left w:w="0" w:type="dxa"/>
            <w:bottom w:w="0" w:type="dxa"/>
            <w:right w:w="0" w:type="dxa"/>
          </w:tblCellMar>
          <w:tblLook w:val="01E0"/>
        </w:tblPrEx>
        <w:trPr>
          <w:trHeight w:val="642"/>
          <w:jc w:val="left"/>
        </w:trPr>
        <w:tc>
          <w:tcPr>
            <w:tcW w:w="3233" w:type="dxa"/>
            <w:tcBorders>
              <w:top w:val="single" w:sz="8" w:space="0" w:color="D9D9D9"/>
              <w:left w:val="nil"/>
              <w:bottom w:val="single" w:sz="8" w:space="0" w:color="D9D9D9"/>
              <w:right w:val="single" w:sz="8" w:space="0" w:color="D9D9D9"/>
            </w:tcBorders>
          </w:tcPr>
          <w:p>
            <w:pPr>
              <w:pStyle w:val="TableParagraph"/>
              <w:spacing w:before="42" w:line="276" w:lineRule="auto"/>
              <w:ind w:left="86" w:right="166"/>
              <w:rPr>
                <w:rFonts w:ascii="Calibri"/>
                <w:sz w:val="20"/>
              </w:rPr>
            </w:pPr>
            <w:r>
              <w:rPr>
                <w:rFonts w:ascii="Calibri"/>
                <w:color w:val="1C242C"/>
                <w:sz w:val="20"/>
              </w:rPr>
              <w:t>New</w:t>
            </w:r>
            <w:r>
              <w:rPr>
                <w:rFonts w:ascii="Calibri"/>
                <w:color w:val="1C242C"/>
                <w:spacing w:val="-8"/>
                <w:sz w:val="20"/>
              </w:rPr>
              <w:t xml:space="preserve"> </w:t>
            </w:r>
            <w:r>
              <w:rPr>
                <w:rFonts w:ascii="Calibri"/>
                <w:color w:val="1C242C"/>
                <w:sz w:val="20"/>
              </w:rPr>
              <w:t>England</w:t>
            </w:r>
            <w:r>
              <w:rPr>
                <w:rFonts w:ascii="Calibri"/>
                <w:color w:val="1C242C"/>
                <w:spacing w:val="-7"/>
                <w:sz w:val="20"/>
              </w:rPr>
              <w:t xml:space="preserve"> </w:t>
            </w:r>
            <w:r>
              <w:rPr>
                <w:rFonts w:ascii="Calibri"/>
                <w:color w:val="1C242C"/>
                <w:sz w:val="20"/>
              </w:rPr>
              <w:t>(CT,</w:t>
            </w:r>
            <w:r>
              <w:rPr>
                <w:rFonts w:ascii="Calibri"/>
                <w:color w:val="1C242C"/>
                <w:spacing w:val="-7"/>
                <w:sz w:val="20"/>
              </w:rPr>
              <w:t xml:space="preserve"> </w:t>
            </w:r>
            <w:r>
              <w:rPr>
                <w:rFonts w:ascii="Calibri"/>
                <w:color w:val="1C242C"/>
                <w:sz w:val="20"/>
              </w:rPr>
              <w:t>MA,</w:t>
            </w:r>
            <w:r>
              <w:rPr>
                <w:rFonts w:ascii="Calibri"/>
                <w:color w:val="1C242C"/>
                <w:spacing w:val="-7"/>
                <w:sz w:val="20"/>
              </w:rPr>
              <w:t xml:space="preserve"> </w:t>
            </w:r>
            <w:r>
              <w:rPr>
                <w:rFonts w:ascii="Calibri"/>
                <w:color w:val="1C242C"/>
                <w:sz w:val="20"/>
              </w:rPr>
              <w:t>ME,</w:t>
            </w:r>
            <w:r>
              <w:rPr>
                <w:rFonts w:ascii="Calibri"/>
                <w:color w:val="1C242C"/>
                <w:spacing w:val="-7"/>
                <w:sz w:val="20"/>
              </w:rPr>
              <w:t xml:space="preserve"> </w:t>
            </w:r>
            <w:r>
              <w:rPr>
                <w:rFonts w:ascii="Calibri"/>
                <w:color w:val="1C242C"/>
                <w:sz w:val="20"/>
              </w:rPr>
              <w:t>NH,</w:t>
            </w:r>
            <w:r>
              <w:rPr>
                <w:rFonts w:ascii="Calibri"/>
                <w:color w:val="1C242C"/>
                <w:spacing w:val="-7"/>
                <w:sz w:val="20"/>
              </w:rPr>
              <w:t xml:space="preserve"> </w:t>
            </w:r>
            <w:r>
              <w:rPr>
                <w:rFonts w:ascii="Calibri"/>
                <w:color w:val="1C242C"/>
                <w:sz w:val="20"/>
              </w:rPr>
              <w:t xml:space="preserve">RI, </w:t>
            </w:r>
            <w:r>
              <w:rPr>
                <w:rFonts w:ascii="Calibri"/>
                <w:color w:val="1C242C"/>
                <w:spacing w:val="-4"/>
                <w:sz w:val="20"/>
              </w:rPr>
              <w:t>VT)</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spacing w:before="90"/>
              <w:rPr>
                <w:rFonts w:ascii="Arial"/>
                <w:b/>
                <w:sz w:val="20"/>
              </w:rPr>
            </w:pPr>
          </w:p>
          <w:p>
            <w:pPr>
              <w:pStyle w:val="TableParagraph"/>
              <w:spacing w:before="0"/>
              <w:ind w:left="225"/>
              <w:rPr>
                <w:rFonts w:ascii="Calibri"/>
                <w:sz w:val="20"/>
              </w:rPr>
            </w:pPr>
            <w:r>
              <w:rPr>
                <w:rFonts w:ascii="Calibri"/>
                <w:color w:val="1C242C"/>
                <w:spacing w:val="-2"/>
                <w:sz w:val="20"/>
              </w:rPr>
              <w:t>38,818</w:t>
            </w:r>
          </w:p>
        </w:tc>
        <w:tc>
          <w:tcPr>
            <w:tcW w:w="1265" w:type="dxa"/>
            <w:tcBorders>
              <w:top w:val="single" w:sz="8" w:space="0" w:color="D9D9D9"/>
              <w:left w:val="single" w:sz="8" w:space="0" w:color="D9D9D9"/>
              <w:bottom w:val="single" w:sz="8" w:space="0" w:color="D9D9D9"/>
              <w:right w:val="single" w:sz="8" w:space="0" w:color="D9D9D9"/>
            </w:tcBorders>
          </w:tcPr>
          <w:p>
            <w:pPr>
              <w:pStyle w:val="TableParagraph"/>
              <w:spacing w:before="90"/>
              <w:rPr>
                <w:rFonts w:ascii="Arial"/>
                <w:b/>
                <w:sz w:val="20"/>
              </w:rPr>
            </w:pPr>
          </w:p>
          <w:p>
            <w:pPr>
              <w:pStyle w:val="TableParagraph"/>
              <w:spacing w:before="0"/>
              <w:ind w:right="393"/>
              <w:jc w:val="right"/>
              <w:rPr>
                <w:rFonts w:ascii="Calibri"/>
                <w:sz w:val="20"/>
              </w:rPr>
            </w:pPr>
            <w:r>
              <w:rPr>
                <w:rFonts w:ascii="Calibri"/>
                <w:color w:val="1C242C"/>
                <w:spacing w:val="-2"/>
                <w:sz w:val="20"/>
              </w:rPr>
              <w:t>3,770</w:t>
            </w:r>
          </w:p>
        </w:tc>
        <w:tc>
          <w:tcPr>
            <w:tcW w:w="1260" w:type="dxa"/>
            <w:tcBorders>
              <w:top w:val="single" w:sz="8" w:space="0" w:color="D9D9D9"/>
              <w:left w:val="single" w:sz="8" w:space="0" w:color="D9D9D9"/>
              <w:bottom w:val="single" w:sz="8" w:space="0" w:color="D9D9D9"/>
              <w:right w:val="single" w:sz="8" w:space="0" w:color="D9D9D9"/>
            </w:tcBorders>
          </w:tcPr>
          <w:p>
            <w:pPr>
              <w:pStyle w:val="TableParagraph"/>
              <w:spacing w:before="90"/>
              <w:rPr>
                <w:rFonts w:ascii="Arial"/>
                <w:b/>
                <w:sz w:val="20"/>
              </w:rPr>
            </w:pPr>
          </w:p>
          <w:p>
            <w:pPr>
              <w:pStyle w:val="TableParagraph"/>
              <w:spacing w:before="0"/>
              <w:ind w:left="372"/>
              <w:rPr>
                <w:rFonts w:ascii="Calibri"/>
                <w:sz w:val="20"/>
              </w:rPr>
            </w:pPr>
            <w:r>
              <w:rPr>
                <w:rFonts w:ascii="Calibri"/>
                <w:color w:val="1C242C"/>
                <w:spacing w:val="-2"/>
                <w:sz w:val="20"/>
              </w:rPr>
              <w:t>7.40%</w:t>
            </w:r>
          </w:p>
        </w:tc>
        <w:tc>
          <w:tcPr>
            <w:tcW w:w="1555" w:type="dxa"/>
            <w:tcBorders>
              <w:top w:val="single" w:sz="8" w:space="0" w:color="D9D9D9"/>
              <w:left w:val="single" w:sz="8" w:space="0" w:color="D9D9D9"/>
              <w:bottom w:val="single" w:sz="8" w:space="0" w:color="D9D9D9"/>
              <w:right w:val="single" w:sz="8" w:space="0" w:color="D9D9D9"/>
            </w:tcBorders>
          </w:tcPr>
          <w:p>
            <w:pPr>
              <w:pStyle w:val="TableParagraph"/>
              <w:spacing w:before="90"/>
              <w:rPr>
                <w:rFonts w:ascii="Arial"/>
                <w:b/>
                <w:sz w:val="20"/>
              </w:rPr>
            </w:pPr>
          </w:p>
          <w:p>
            <w:pPr>
              <w:pStyle w:val="TableParagraph"/>
              <w:spacing w:before="0"/>
              <w:ind w:right="516"/>
              <w:jc w:val="right"/>
              <w:rPr>
                <w:rFonts w:ascii="Calibri"/>
                <w:sz w:val="20"/>
              </w:rPr>
            </w:pPr>
            <w:r>
              <w:rPr>
                <w:rFonts w:ascii="Calibri"/>
                <w:color w:val="1C242C"/>
                <w:spacing w:val="-2"/>
                <w:sz w:val="20"/>
              </w:rPr>
              <w:t>6.47%</w:t>
            </w:r>
          </w:p>
        </w:tc>
        <w:tc>
          <w:tcPr>
            <w:tcW w:w="1077" w:type="dxa"/>
            <w:tcBorders>
              <w:top w:val="single" w:sz="8" w:space="0" w:color="D9D9D9"/>
              <w:left w:val="single" w:sz="8" w:space="0" w:color="D9D9D9"/>
              <w:bottom w:val="single" w:sz="8" w:space="0" w:color="D9D9D9"/>
              <w:right w:val="nil"/>
            </w:tcBorders>
          </w:tcPr>
          <w:p>
            <w:pPr>
              <w:pStyle w:val="TableParagraph"/>
              <w:spacing w:before="90"/>
              <w:rPr>
                <w:rFonts w:ascii="Arial"/>
                <w:b/>
                <w:sz w:val="20"/>
              </w:rPr>
            </w:pPr>
          </w:p>
          <w:p>
            <w:pPr>
              <w:pStyle w:val="TableParagraph"/>
              <w:spacing w:before="0"/>
              <w:ind w:left="214"/>
              <w:rPr>
                <w:rFonts w:ascii="Calibri"/>
                <w:sz w:val="20"/>
              </w:rPr>
            </w:pPr>
            <w:r>
              <w:rPr>
                <w:rFonts w:ascii="Calibri"/>
                <w:color w:val="1C242C"/>
                <w:spacing w:val="-2"/>
                <w:sz w:val="20"/>
              </w:rPr>
              <w:t>17.00%</w:t>
            </w:r>
          </w:p>
        </w:tc>
      </w:tr>
      <w:tr>
        <w:tblPrEx>
          <w:tblW w:w="0" w:type="auto"/>
          <w:jc w:val="left"/>
          <w:tblInd w:w="339" w:type="dxa"/>
          <w:tblLayout w:type="fixed"/>
          <w:tblCellMar>
            <w:top w:w="0" w:type="dxa"/>
            <w:left w:w="0" w:type="dxa"/>
            <w:bottom w:w="0" w:type="dxa"/>
            <w:right w:w="0" w:type="dxa"/>
          </w:tblCellMar>
          <w:tblLook w:val="01E0"/>
        </w:tblPrEx>
        <w:trPr>
          <w:trHeight w:val="359"/>
          <w:jc w:val="left"/>
        </w:trPr>
        <w:tc>
          <w:tcPr>
            <w:tcW w:w="3233" w:type="dxa"/>
            <w:tcBorders>
              <w:top w:val="single" w:sz="8" w:space="0" w:color="D9D9D9"/>
              <w:left w:val="nil"/>
              <w:bottom w:val="single" w:sz="8" w:space="0" w:color="D9D9D9"/>
              <w:right w:val="single" w:sz="8" w:space="0" w:color="D9D9D9"/>
            </w:tcBorders>
          </w:tcPr>
          <w:p>
            <w:pPr>
              <w:pStyle w:val="TableParagraph"/>
              <w:spacing w:before="39"/>
              <w:ind w:left="86"/>
              <w:rPr>
                <w:rFonts w:ascii="Calibri"/>
                <w:sz w:val="20"/>
              </w:rPr>
            </w:pPr>
            <w:r>
              <w:rPr>
                <w:rFonts w:ascii="Calibri"/>
                <w:color w:val="1C242C"/>
                <w:sz w:val="20"/>
              </w:rPr>
              <w:t>Pacific</w:t>
            </w:r>
            <w:r>
              <w:rPr>
                <w:rFonts w:ascii="Calibri"/>
                <w:color w:val="1C242C"/>
                <w:spacing w:val="-5"/>
                <w:sz w:val="20"/>
              </w:rPr>
              <w:t xml:space="preserve"> </w:t>
            </w:r>
            <w:r>
              <w:rPr>
                <w:rFonts w:ascii="Calibri"/>
                <w:color w:val="1C242C"/>
                <w:sz w:val="20"/>
              </w:rPr>
              <w:t>(AK,</w:t>
            </w:r>
            <w:r>
              <w:rPr>
                <w:rFonts w:ascii="Calibri"/>
                <w:color w:val="1C242C"/>
                <w:spacing w:val="-5"/>
                <w:sz w:val="20"/>
              </w:rPr>
              <w:t xml:space="preserve"> </w:t>
            </w:r>
            <w:r>
              <w:rPr>
                <w:rFonts w:ascii="Calibri"/>
                <w:color w:val="1C242C"/>
                <w:sz w:val="20"/>
              </w:rPr>
              <w:t>CA,</w:t>
            </w:r>
            <w:r>
              <w:rPr>
                <w:rFonts w:ascii="Calibri"/>
                <w:color w:val="1C242C"/>
                <w:spacing w:val="-4"/>
                <w:sz w:val="20"/>
              </w:rPr>
              <w:t xml:space="preserve"> </w:t>
            </w:r>
            <w:r>
              <w:rPr>
                <w:rFonts w:ascii="Calibri"/>
                <w:color w:val="1C242C"/>
                <w:sz w:val="20"/>
              </w:rPr>
              <w:t>HI,</w:t>
            </w:r>
            <w:r>
              <w:rPr>
                <w:rFonts w:ascii="Calibri"/>
                <w:color w:val="1C242C"/>
                <w:spacing w:val="-4"/>
                <w:sz w:val="20"/>
              </w:rPr>
              <w:t xml:space="preserve"> </w:t>
            </w:r>
            <w:r>
              <w:rPr>
                <w:rFonts w:ascii="Calibri"/>
                <w:color w:val="1C242C"/>
                <w:sz w:val="20"/>
              </w:rPr>
              <w:t>OR,</w:t>
            </w:r>
            <w:r>
              <w:rPr>
                <w:rFonts w:ascii="Calibri"/>
                <w:color w:val="1C242C"/>
                <w:spacing w:val="-4"/>
                <w:sz w:val="20"/>
              </w:rPr>
              <w:t xml:space="preserve"> </w:t>
            </w:r>
            <w:r>
              <w:rPr>
                <w:rFonts w:ascii="Calibri"/>
                <w:color w:val="1C242C"/>
                <w:spacing w:val="-5"/>
                <w:sz w:val="20"/>
              </w:rPr>
              <w:t>WA)</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spacing w:before="39"/>
              <w:ind w:left="225"/>
              <w:rPr>
                <w:rFonts w:ascii="Calibri"/>
                <w:sz w:val="20"/>
              </w:rPr>
            </w:pPr>
            <w:r>
              <w:rPr>
                <w:rFonts w:ascii="Calibri"/>
                <w:color w:val="1C242C"/>
                <w:spacing w:val="-2"/>
                <w:sz w:val="20"/>
              </w:rPr>
              <w:t>59,549</w:t>
            </w:r>
          </w:p>
        </w:tc>
        <w:tc>
          <w:tcPr>
            <w:tcW w:w="1265" w:type="dxa"/>
            <w:tcBorders>
              <w:top w:val="single" w:sz="8" w:space="0" w:color="D9D9D9"/>
              <w:left w:val="single" w:sz="8" w:space="0" w:color="D9D9D9"/>
              <w:bottom w:val="single" w:sz="8" w:space="0" w:color="D9D9D9"/>
              <w:right w:val="single" w:sz="8" w:space="0" w:color="D9D9D9"/>
            </w:tcBorders>
          </w:tcPr>
          <w:p>
            <w:pPr>
              <w:pStyle w:val="TableParagraph"/>
              <w:spacing w:before="39"/>
              <w:ind w:right="393"/>
              <w:jc w:val="right"/>
              <w:rPr>
                <w:rFonts w:ascii="Calibri"/>
                <w:sz w:val="20"/>
              </w:rPr>
            </w:pPr>
            <w:r>
              <w:rPr>
                <w:rFonts w:ascii="Calibri"/>
                <w:color w:val="1C242C"/>
                <w:spacing w:val="-2"/>
                <w:sz w:val="20"/>
              </w:rPr>
              <w:t>5,787</w:t>
            </w:r>
          </w:p>
        </w:tc>
        <w:tc>
          <w:tcPr>
            <w:tcW w:w="1260" w:type="dxa"/>
            <w:tcBorders>
              <w:top w:val="single" w:sz="8" w:space="0" w:color="D9D9D9"/>
              <w:left w:val="single" w:sz="8" w:space="0" w:color="D9D9D9"/>
              <w:bottom w:val="single" w:sz="8" w:space="0" w:color="D9D9D9"/>
              <w:right w:val="single" w:sz="8" w:space="0" w:color="D9D9D9"/>
            </w:tcBorders>
          </w:tcPr>
          <w:p>
            <w:pPr>
              <w:pStyle w:val="TableParagraph"/>
              <w:spacing w:before="39"/>
              <w:ind w:left="321"/>
              <w:rPr>
                <w:rFonts w:ascii="Calibri"/>
                <w:sz w:val="20"/>
              </w:rPr>
            </w:pPr>
            <w:r>
              <w:rPr>
                <w:rFonts w:ascii="Calibri"/>
                <w:color w:val="1C242C"/>
                <w:spacing w:val="-2"/>
                <w:sz w:val="20"/>
              </w:rPr>
              <w:t>11.40%</w:t>
            </w:r>
          </w:p>
        </w:tc>
        <w:tc>
          <w:tcPr>
            <w:tcW w:w="1555" w:type="dxa"/>
            <w:tcBorders>
              <w:top w:val="single" w:sz="8" w:space="0" w:color="D9D9D9"/>
              <w:left w:val="single" w:sz="8" w:space="0" w:color="D9D9D9"/>
              <w:bottom w:val="single" w:sz="8" w:space="0" w:color="D9D9D9"/>
              <w:right w:val="single" w:sz="8" w:space="0" w:color="D9D9D9"/>
            </w:tcBorders>
          </w:tcPr>
          <w:p>
            <w:pPr>
              <w:pStyle w:val="TableParagraph"/>
              <w:spacing w:before="39"/>
              <w:ind w:right="516"/>
              <w:jc w:val="right"/>
              <w:rPr>
                <w:rFonts w:ascii="Calibri"/>
                <w:sz w:val="20"/>
              </w:rPr>
            </w:pPr>
            <w:r>
              <w:rPr>
                <w:rFonts w:ascii="Calibri"/>
                <w:color w:val="1C242C"/>
                <w:spacing w:val="-2"/>
                <w:sz w:val="20"/>
              </w:rPr>
              <w:t>9.92%</w:t>
            </w:r>
          </w:p>
        </w:tc>
        <w:tc>
          <w:tcPr>
            <w:tcW w:w="1077" w:type="dxa"/>
            <w:tcBorders>
              <w:top w:val="single" w:sz="8" w:space="0" w:color="D9D9D9"/>
              <w:left w:val="single" w:sz="8" w:space="0" w:color="D9D9D9"/>
              <w:bottom w:val="single" w:sz="8" w:space="0" w:color="D9D9D9"/>
              <w:right w:val="nil"/>
            </w:tcBorders>
          </w:tcPr>
          <w:p>
            <w:pPr>
              <w:pStyle w:val="TableParagraph"/>
              <w:spacing w:before="39"/>
              <w:ind w:left="214"/>
              <w:rPr>
                <w:rFonts w:ascii="Calibri"/>
                <w:sz w:val="20"/>
              </w:rPr>
            </w:pPr>
            <w:r>
              <w:rPr>
                <w:rFonts w:ascii="Calibri"/>
                <w:color w:val="1C242C"/>
                <w:spacing w:val="-2"/>
                <w:sz w:val="20"/>
              </w:rPr>
              <w:t>17.70%</w:t>
            </w:r>
          </w:p>
        </w:tc>
      </w:tr>
      <w:tr>
        <w:tblPrEx>
          <w:tblW w:w="0" w:type="auto"/>
          <w:jc w:val="left"/>
          <w:tblInd w:w="339" w:type="dxa"/>
          <w:tblLayout w:type="fixed"/>
          <w:tblCellMar>
            <w:top w:w="0" w:type="dxa"/>
            <w:left w:w="0" w:type="dxa"/>
            <w:bottom w:w="0" w:type="dxa"/>
            <w:right w:w="0" w:type="dxa"/>
          </w:tblCellMar>
          <w:tblLook w:val="01E0"/>
        </w:tblPrEx>
        <w:trPr>
          <w:trHeight w:val="642"/>
          <w:jc w:val="left"/>
        </w:trPr>
        <w:tc>
          <w:tcPr>
            <w:tcW w:w="3233" w:type="dxa"/>
            <w:tcBorders>
              <w:top w:val="single" w:sz="8" w:space="0" w:color="D9D9D9"/>
              <w:left w:val="nil"/>
              <w:bottom w:val="single" w:sz="8" w:space="0" w:color="D9D9D9"/>
              <w:right w:val="single" w:sz="8" w:space="0" w:color="D9D9D9"/>
            </w:tcBorders>
          </w:tcPr>
          <w:p>
            <w:pPr>
              <w:pStyle w:val="TableParagraph"/>
              <w:spacing w:before="44" w:line="273" w:lineRule="auto"/>
              <w:ind w:left="86" w:right="166"/>
              <w:rPr>
                <w:rFonts w:ascii="Calibri"/>
                <w:sz w:val="20"/>
              </w:rPr>
            </w:pPr>
            <w:r>
              <w:rPr>
                <w:rFonts w:ascii="Calibri"/>
                <w:color w:val="1C242C"/>
                <w:sz w:val="20"/>
              </w:rPr>
              <w:t>South</w:t>
            </w:r>
            <w:r>
              <w:rPr>
                <w:rFonts w:ascii="Calibri"/>
                <w:color w:val="1C242C"/>
                <w:spacing w:val="-7"/>
                <w:sz w:val="20"/>
              </w:rPr>
              <w:t xml:space="preserve"> </w:t>
            </w:r>
            <w:r>
              <w:rPr>
                <w:rFonts w:ascii="Calibri"/>
                <w:color w:val="1C242C"/>
                <w:sz w:val="20"/>
              </w:rPr>
              <w:t>Atlantic</w:t>
            </w:r>
            <w:r>
              <w:rPr>
                <w:rFonts w:ascii="Calibri"/>
                <w:color w:val="1C242C"/>
                <w:spacing w:val="-8"/>
                <w:sz w:val="20"/>
              </w:rPr>
              <w:t xml:space="preserve"> </w:t>
            </w:r>
            <w:r>
              <w:rPr>
                <w:rFonts w:ascii="Calibri"/>
                <w:color w:val="1C242C"/>
                <w:sz w:val="20"/>
              </w:rPr>
              <w:t>(DC,</w:t>
            </w:r>
            <w:r>
              <w:rPr>
                <w:rFonts w:ascii="Calibri"/>
                <w:color w:val="1C242C"/>
                <w:spacing w:val="-7"/>
                <w:sz w:val="20"/>
              </w:rPr>
              <w:t xml:space="preserve"> </w:t>
            </w:r>
            <w:r>
              <w:rPr>
                <w:rFonts w:ascii="Calibri"/>
                <w:color w:val="1C242C"/>
                <w:sz w:val="20"/>
              </w:rPr>
              <w:t>DE,</w:t>
            </w:r>
            <w:r>
              <w:rPr>
                <w:rFonts w:ascii="Calibri"/>
                <w:color w:val="1C242C"/>
                <w:spacing w:val="-7"/>
                <w:sz w:val="20"/>
              </w:rPr>
              <w:t xml:space="preserve"> </w:t>
            </w:r>
            <w:r>
              <w:rPr>
                <w:rFonts w:ascii="Calibri"/>
                <w:color w:val="1C242C"/>
                <w:sz w:val="20"/>
              </w:rPr>
              <w:t>FL,</w:t>
            </w:r>
            <w:r>
              <w:rPr>
                <w:rFonts w:ascii="Calibri"/>
                <w:color w:val="1C242C"/>
                <w:spacing w:val="-7"/>
                <w:sz w:val="20"/>
              </w:rPr>
              <w:t xml:space="preserve"> </w:t>
            </w:r>
            <w:r>
              <w:rPr>
                <w:rFonts w:ascii="Calibri"/>
                <w:color w:val="1C242C"/>
                <w:sz w:val="20"/>
              </w:rPr>
              <w:t>GA,</w:t>
            </w:r>
            <w:r>
              <w:rPr>
                <w:rFonts w:ascii="Calibri"/>
                <w:color w:val="1C242C"/>
                <w:spacing w:val="-7"/>
                <w:sz w:val="20"/>
              </w:rPr>
              <w:t xml:space="preserve"> </w:t>
            </w:r>
            <w:r>
              <w:rPr>
                <w:rFonts w:ascii="Calibri"/>
                <w:color w:val="1C242C"/>
                <w:sz w:val="20"/>
              </w:rPr>
              <w:t>MD, NC, SC, VA)</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spacing w:before="92"/>
              <w:rPr>
                <w:rFonts w:ascii="Arial"/>
                <w:b/>
                <w:sz w:val="20"/>
              </w:rPr>
            </w:pPr>
          </w:p>
          <w:p>
            <w:pPr>
              <w:pStyle w:val="TableParagraph"/>
              <w:spacing w:before="0"/>
              <w:ind w:left="175"/>
              <w:rPr>
                <w:rFonts w:ascii="Calibri"/>
                <w:sz w:val="20"/>
              </w:rPr>
            </w:pPr>
            <w:r>
              <w:rPr>
                <w:rFonts w:ascii="Calibri"/>
                <w:color w:val="1C242C"/>
                <w:spacing w:val="-2"/>
                <w:sz w:val="20"/>
              </w:rPr>
              <w:t>131,343</w:t>
            </w:r>
          </w:p>
        </w:tc>
        <w:tc>
          <w:tcPr>
            <w:tcW w:w="1265" w:type="dxa"/>
            <w:tcBorders>
              <w:top w:val="single" w:sz="8" w:space="0" w:color="D9D9D9"/>
              <w:left w:val="single" w:sz="8" w:space="0" w:color="D9D9D9"/>
              <w:bottom w:val="single" w:sz="8" w:space="0" w:color="D9D9D9"/>
              <w:right w:val="single" w:sz="8" w:space="0" w:color="D9D9D9"/>
            </w:tcBorders>
          </w:tcPr>
          <w:p>
            <w:pPr>
              <w:pStyle w:val="TableParagraph"/>
              <w:spacing w:before="92"/>
              <w:rPr>
                <w:rFonts w:ascii="Arial"/>
                <w:b/>
                <w:sz w:val="20"/>
              </w:rPr>
            </w:pPr>
          </w:p>
          <w:p>
            <w:pPr>
              <w:pStyle w:val="TableParagraph"/>
              <w:spacing w:before="0"/>
              <w:ind w:right="393"/>
              <w:jc w:val="right"/>
              <w:rPr>
                <w:rFonts w:ascii="Calibri"/>
                <w:sz w:val="20"/>
              </w:rPr>
            </w:pPr>
            <w:r>
              <w:rPr>
                <w:rFonts w:ascii="Calibri"/>
                <w:color w:val="1C242C"/>
                <w:spacing w:val="-2"/>
                <w:sz w:val="20"/>
              </w:rPr>
              <w:t>8,600</w:t>
            </w:r>
          </w:p>
        </w:tc>
        <w:tc>
          <w:tcPr>
            <w:tcW w:w="1260" w:type="dxa"/>
            <w:tcBorders>
              <w:top w:val="single" w:sz="8" w:space="0" w:color="D9D9D9"/>
              <w:left w:val="single" w:sz="8" w:space="0" w:color="D9D9D9"/>
              <w:bottom w:val="single" w:sz="8" w:space="0" w:color="D9D9D9"/>
              <w:right w:val="single" w:sz="8" w:space="0" w:color="D9D9D9"/>
            </w:tcBorders>
          </w:tcPr>
          <w:p>
            <w:pPr>
              <w:pStyle w:val="TableParagraph"/>
              <w:spacing w:before="92"/>
              <w:rPr>
                <w:rFonts w:ascii="Arial"/>
                <w:b/>
                <w:sz w:val="20"/>
              </w:rPr>
            </w:pPr>
          </w:p>
          <w:p>
            <w:pPr>
              <w:pStyle w:val="TableParagraph"/>
              <w:spacing w:before="0"/>
              <w:ind w:left="321"/>
              <w:rPr>
                <w:rFonts w:ascii="Calibri"/>
                <w:sz w:val="20"/>
              </w:rPr>
            </w:pPr>
            <w:r>
              <w:rPr>
                <w:rFonts w:ascii="Calibri"/>
                <w:color w:val="1C242C"/>
                <w:spacing w:val="-2"/>
                <w:sz w:val="20"/>
              </w:rPr>
              <w:t>16.90%</w:t>
            </w:r>
          </w:p>
        </w:tc>
        <w:tc>
          <w:tcPr>
            <w:tcW w:w="1555" w:type="dxa"/>
            <w:tcBorders>
              <w:top w:val="single" w:sz="8" w:space="0" w:color="D9D9D9"/>
              <w:left w:val="single" w:sz="8" w:space="0" w:color="D9D9D9"/>
              <w:bottom w:val="single" w:sz="8" w:space="0" w:color="D9D9D9"/>
              <w:right w:val="single" w:sz="8" w:space="0" w:color="D9D9D9"/>
            </w:tcBorders>
          </w:tcPr>
          <w:p>
            <w:pPr>
              <w:pStyle w:val="TableParagraph"/>
              <w:spacing w:before="92"/>
              <w:rPr>
                <w:rFonts w:ascii="Arial"/>
                <w:b/>
                <w:sz w:val="20"/>
              </w:rPr>
            </w:pPr>
          </w:p>
          <w:p>
            <w:pPr>
              <w:pStyle w:val="TableParagraph"/>
              <w:spacing w:before="0"/>
              <w:ind w:right="466"/>
              <w:jc w:val="right"/>
              <w:rPr>
                <w:rFonts w:ascii="Calibri"/>
                <w:sz w:val="20"/>
              </w:rPr>
            </w:pPr>
            <w:r>
              <w:rPr>
                <w:rFonts w:ascii="Calibri"/>
                <w:color w:val="1C242C"/>
                <w:spacing w:val="-2"/>
                <w:sz w:val="20"/>
              </w:rPr>
              <w:t>21.90%</w:t>
            </w:r>
          </w:p>
        </w:tc>
        <w:tc>
          <w:tcPr>
            <w:tcW w:w="1077" w:type="dxa"/>
            <w:tcBorders>
              <w:top w:val="single" w:sz="8" w:space="0" w:color="D9D9D9"/>
              <w:left w:val="single" w:sz="8" w:space="0" w:color="D9D9D9"/>
              <w:bottom w:val="single" w:sz="8" w:space="0" w:color="D9D9D9"/>
              <w:right w:val="nil"/>
            </w:tcBorders>
          </w:tcPr>
          <w:p>
            <w:pPr>
              <w:pStyle w:val="TableParagraph"/>
              <w:spacing w:before="92"/>
              <w:rPr>
                <w:rFonts w:ascii="Arial"/>
                <w:b/>
                <w:sz w:val="20"/>
              </w:rPr>
            </w:pPr>
          </w:p>
          <w:p>
            <w:pPr>
              <w:pStyle w:val="TableParagraph"/>
              <w:spacing w:before="0"/>
              <w:ind w:left="214"/>
              <w:rPr>
                <w:rFonts w:ascii="Calibri"/>
                <w:sz w:val="20"/>
              </w:rPr>
            </w:pPr>
            <w:r>
              <w:rPr>
                <w:rFonts w:ascii="Calibri"/>
                <w:color w:val="1C242C"/>
                <w:spacing w:val="-2"/>
                <w:sz w:val="20"/>
              </w:rPr>
              <w:t>13.00%</w:t>
            </w:r>
          </w:p>
        </w:tc>
      </w:tr>
      <w:tr>
        <w:tblPrEx>
          <w:tblW w:w="0" w:type="auto"/>
          <w:jc w:val="left"/>
          <w:tblInd w:w="339" w:type="dxa"/>
          <w:tblLayout w:type="fixed"/>
          <w:tblCellMar>
            <w:top w:w="0" w:type="dxa"/>
            <w:left w:w="0" w:type="dxa"/>
            <w:bottom w:w="0" w:type="dxa"/>
            <w:right w:w="0" w:type="dxa"/>
          </w:tblCellMar>
          <w:tblLook w:val="01E0"/>
        </w:tblPrEx>
        <w:trPr>
          <w:trHeight w:val="642"/>
          <w:jc w:val="left"/>
        </w:trPr>
        <w:tc>
          <w:tcPr>
            <w:tcW w:w="3233" w:type="dxa"/>
            <w:tcBorders>
              <w:top w:val="single" w:sz="8" w:space="0" w:color="D9D9D9"/>
              <w:left w:val="nil"/>
              <w:bottom w:val="single" w:sz="8" w:space="0" w:color="D9D9D9"/>
              <w:right w:val="single" w:sz="8" w:space="0" w:color="D9D9D9"/>
            </w:tcBorders>
          </w:tcPr>
          <w:p>
            <w:pPr>
              <w:pStyle w:val="TableParagraph"/>
              <w:spacing w:before="42" w:line="276" w:lineRule="auto"/>
              <w:ind w:left="86"/>
              <w:rPr>
                <w:rFonts w:ascii="Calibri"/>
                <w:sz w:val="20"/>
              </w:rPr>
            </w:pPr>
            <w:r>
              <w:rPr>
                <w:rFonts w:ascii="Calibri"/>
                <w:color w:val="1C242C"/>
                <w:sz w:val="20"/>
              </w:rPr>
              <w:t>West</w:t>
            </w:r>
            <w:r>
              <w:rPr>
                <w:rFonts w:ascii="Calibri"/>
                <w:color w:val="1C242C"/>
                <w:spacing w:val="-7"/>
                <w:sz w:val="20"/>
              </w:rPr>
              <w:t xml:space="preserve"> </w:t>
            </w:r>
            <w:r>
              <w:rPr>
                <w:rFonts w:ascii="Calibri"/>
                <w:color w:val="1C242C"/>
                <w:sz w:val="20"/>
              </w:rPr>
              <w:t>North</w:t>
            </w:r>
            <w:r>
              <w:rPr>
                <w:rFonts w:ascii="Calibri"/>
                <w:color w:val="1C242C"/>
                <w:spacing w:val="-6"/>
                <w:sz w:val="20"/>
              </w:rPr>
              <w:t xml:space="preserve"> </w:t>
            </w:r>
            <w:r>
              <w:rPr>
                <w:rFonts w:ascii="Calibri"/>
                <w:color w:val="1C242C"/>
                <w:sz w:val="20"/>
              </w:rPr>
              <w:t>Central</w:t>
            </w:r>
            <w:r>
              <w:rPr>
                <w:rFonts w:ascii="Calibri"/>
                <w:color w:val="1C242C"/>
                <w:spacing w:val="-8"/>
                <w:sz w:val="20"/>
              </w:rPr>
              <w:t xml:space="preserve"> </w:t>
            </w:r>
            <w:r>
              <w:rPr>
                <w:rFonts w:ascii="Calibri"/>
                <w:color w:val="1C242C"/>
                <w:sz w:val="20"/>
              </w:rPr>
              <w:t>(IA,</w:t>
            </w:r>
            <w:r>
              <w:rPr>
                <w:rFonts w:ascii="Calibri"/>
                <w:color w:val="1C242C"/>
                <w:spacing w:val="-7"/>
                <w:sz w:val="20"/>
              </w:rPr>
              <w:t xml:space="preserve"> </w:t>
            </w:r>
            <w:r>
              <w:rPr>
                <w:rFonts w:ascii="Calibri"/>
                <w:color w:val="1C242C"/>
                <w:sz w:val="20"/>
              </w:rPr>
              <w:t>KS,</w:t>
            </w:r>
            <w:r>
              <w:rPr>
                <w:rFonts w:ascii="Calibri"/>
                <w:color w:val="1C242C"/>
                <w:spacing w:val="-7"/>
                <w:sz w:val="20"/>
              </w:rPr>
              <w:t xml:space="preserve"> </w:t>
            </w:r>
            <w:r>
              <w:rPr>
                <w:rFonts w:ascii="Calibri"/>
                <w:color w:val="1C242C"/>
                <w:sz w:val="20"/>
              </w:rPr>
              <w:t>MN,</w:t>
            </w:r>
            <w:r>
              <w:rPr>
                <w:rFonts w:ascii="Calibri"/>
                <w:color w:val="1C242C"/>
                <w:spacing w:val="-7"/>
                <w:sz w:val="20"/>
              </w:rPr>
              <w:t xml:space="preserve"> </w:t>
            </w:r>
            <w:r>
              <w:rPr>
                <w:rFonts w:ascii="Calibri"/>
                <w:color w:val="1C242C"/>
                <w:sz w:val="20"/>
              </w:rPr>
              <w:t>MO, ND, NE, SD)</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spacing w:before="90"/>
              <w:rPr>
                <w:rFonts w:ascii="Arial"/>
                <w:b/>
                <w:sz w:val="20"/>
              </w:rPr>
            </w:pPr>
          </w:p>
          <w:p>
            <w:pPr>
              <w:pStyle w:val="TableParagraph"/>
              <w:spacing w:before="0"/>
              <w:ind w:left="225"/>
              <w:rPr>
                <w:rFonts w:ascii="Calibri"/>
                <w:sz w:val="20"/>
              </w:rPr>
            </w:pPr>
            <w:r>
              <w:rPr>
                <w:rFonts w:ascii="Calibri"/>
                <w:color w:val="1C242C"/>
                <w:spacing w:val="-2"/>
                <w:sz w:val="20"/>
              </w:rPr>
              <w:t>51,065</w:t>
            </w:r>
          </w:p>
        </w:tc>
        <w:tc>
          <w:tcPr>
            <w:tcW w:w="1265" w:type="dxa"/>
            <w:tcBorders>
              <w:top w:val="single" w:sz="8" w:space="0" w:color="D9D9D9"/>
              <w:left w:val="single" w:sz="8" w:space="0" w:color="D9D9D9"/>
              <w:bottom w:val="single" w:sz="8" w:space="0" w:color="D9D9D9"/>
              <w:right w:val="single" w:sz="8" w:space="0" w:color="D9D9D9"/>
            </w:tcBorders>
          </w:tcPr>
          <w:p>
            <w:pPr>
              <w:pStyle w:val="TableParagraph"/>
              <w:spacing w:before="90"/>
              <w:rPr>
                <w:rFonts w:ascii="Arial"/>
                <w:b/>
                <w:sz w:val="20"/>
              </w:rPr>
            </w:pPr>
          </w:p>
          <w:p>
            <w:pPr>
              <w:pStyle w:val="TableParagraph"/>
              <w:spacing w:before="0"/>
              <w:ind w:right="393"/>
              <w:jc w:val="right"/>
              <w:rPr>
                <w:rFonts w:ascii="Calibri"/>
                <w:sz w:val="20"/>
              </w:rPr>
            </w:pPr>
            <w:r>
              <w:rPr>
                <w:rFonts w:ascii="Calibri"/>
                <w:color w:val="1C242C"/>
                <w:spacing w:val="-2"/>
                <w:sz w:val="20"/>
              </w:rPr>
              <w:t>4,658</w:t>
            </w:r>
          </w:p>
        </w:tc>
        <w:tc>
          <w:tcPr>
            <w:tcW w:w="1260" w:type="dxa"/>
            <w:tcBorders>
              <w:top w:val="single" w:sz="8" w:space="0" w:color="D9D9D9"/>
              <w:left w:val="single" w:sz="8" w:space="0" w:color="D9D9D9"/>
              <w:bottom w:val="single" w:sz="8" w:space="0" w:color="D9D9D9"/>
              <w:right w:val="single" w:sz="8" w:space="0" w:color="D9D9D9"/>
            </w:tcBorders>
          </w:tcPr>
          <w:p>
            <w:pPr>
              <w:pStyle w:val="TableParagraph"/>
              <w:spacing w:before="90"/>
              <w:rPr>
                <w:rFonts w:ascii="Arial"/>
                <w:b/>
                <w:sz w:val="20"/>
              </w:rPr>
            </w:pPr>
          </w:p>
          <w:p>
            <w:pPr>
              <w:pStyle w:val="TableParagraph"/>
              <w:spacing w:before="0"/>
              <w:ind w:left="372"/>
              <w:rPr>
                <w:rFonts w:ascii="Calibri"/>
                <w:sz w:val="20"/>
              </w:rPr>
            </w:pPr>
            <w:r>
              <w:rPr>
                <w:rFonts w:ascii="Calibri"/>
                <w:color w:val="1C242C"/>
                <w:spacing w:val="-2"/>
                <w:sz w:val="20"/>
              </w:rPr>
              <w:t>9.15%</w:t>
            </w:r>
          </w:p>
        </w:tc>
        <w:tc>
          <w:tcPr>
            <w:tcW w:w="1555" w:type="dxa"/>
            <w:tcBorders>
              <w:top w:val="single" w:sz="8" w:space="0" w:color="D9D9D9"/>
              <w:left w:val="single" w:sz="8" w:space="0" w:color="D9D9D9"/>
              <w:bottom w:val="single" w:sz="8" w:space="0" w:color="D9D9D9"/>
              <w:right w:val="single" w:sz="8" w:space="0" w:color="D9D9D9"/>
            </w:tcBorders>
          </w:tcPr>
          <w:p>
            <w:pPr>
              <w:pStyle w:val="TableParagraph"/>
              <w:spacing w:before="90"/>
              <w:rPr>
                <w:rFonts w:ascii="Arial"/>
                <w:b/>
                <w:sz w:val="20"/>
              </w:rPr>
            </w:pPr>
          </w:p>
          <w:p>
            <w:pPr>
              <w:pStyle w:val="TableParagraph"/>
              <w:spacing w:before="0"/>
              <w:ind w:right="516"/>
              <w:jc w:val="right"/>
              <w:rPr>
                <w:rFonts w:ascii="Calibri"/>
                <w:sz w:val="20"/>
              </w:rPr>
            </w:pPr>
            <w:r>
              <w:rPr>
                <w:rFonts w:ascii="Calibri"/>
                <w:color w:val="1C242C"/>
                <w:spacing w:val="-2"/>
                <w:sz w:val="20"/>
              </w:rPr>
              <w:t>8.51%</w:t>
            </w:r>
          </w:p>
        </w:tc>
        <w:tc>
          <w:tcPr>
            <w:tcW w:w="1077" w:type="dxa"/>
            <w:tcBorders>
              <w:top w:val="single" w:sz="8" w:space="0" w:color="D9D9D9"/>
              <w:left w:val="single" w:sz="8" w:space="0" w:color="D9D9D9"/>
              <w:bottom w:val="single" w:sz="8" w:space="0" w:color="D9D9D9"/>
              <w:right w:val="nil"/>
            </w:tcBorders>
          </w:tcPr>
          <w:p>
            <w:pPr>
              <w:pStyle w:val="TableParagraph"/>
              <w:spacing w:before="90"/>
              <w:rPr>
                <w:rFonts w:ascii="Arial"/>
                <w:b/>
                <w:sz w:val="20"/>
              </w:rPr>
            </w:pPr>
          </w:p>
          <w:p>
            <w:pPr>
              <w:pStyle w:val="TableParagraph"/>
              <w:spacing w:before="0"/>
              <w:ind w:left="214"/>
              <w:rPr>
                <w:rFonts w:ascii="Calibri"/>
                <w:sz w:val="20"/>
              </w:rPr>
            </w:pPr>
            <w:r>
              <w:rPr>
                <w:rFonts w:ascii="Calibri"/>
                <w:color w:val="1C242C"/>
                <w:spacing w:val="-2"/>
                <w:sz w:val="20"/>
              </w:rPr>
              <w:t>16.30%</w:t>
            </w:r>
          </w:p>
        </w:tc>
      </w:tr>
      <w:tr>
        <w:tblPrEx>
          <w:tblW w:w="0" w:type="auto"/>
          <w:jc w:val="left"/>
          <w:tblInd w:w="339" w:type="dxa"/>
          <w:tblLayout w:type="fixed"/>
          <w:tblCellMar>
            <w:top w:w="0" w:type="dxa"/>
            <w:left w:w="0" w:type="dxa"/>
            <w:bottom w:w="0" w:type="dxa"/>
            <w:right w:w="0" w:type="dxa"/>
          </w:tblCellMar>
          <w:tblLook w:val="01E0"/>
        </w:tblPrEx>
        <w:trPr>
          <w:trHeight w:val="359"/>
          <w:jc w:val="left"/>
        </w:trPr>
        <w:tc>
          <w:tcPr>
            <w:tcW w:w="3233" w:type="dxa"/>
            <w:tcBorders>
              <w:top w:val="single" w:sz="8" w:space="0" w:color="D9D9D9"/>
              <w:left w:val="nil"/>
              <w:bottom w:val="single" w:sz="8" w:space="0" w:color="D9D9D9"/>
              <w:right w:val="single" w:sz="8" w:space="0" w:color="D9D9D9"/>
            </w:tcBorders>
          </w:tcPr>
          <w:p>
            <w:pPr>
              <w:pStyle w:val="TableParagraph"/>
              <w:spacing w:before="39"/>
              <w:ind w:left="86"/>
              <w:rPr>
                <w:rFonts w:ascii="Calibri"/>
                <w:sz w:val="20"/>
              </w:rPr>
            </w:pPr>
            <w:r>
              <w:rPr>
                <w:rFonts w:ascii="Calibri"/>
                <w:color w:val="1C242C"/>
                <w:sz w:val="20"/>
              </w:rPr>
              <w:t>West</w:t>
            </w:r>
            <w:r>
              <w:rPr>
                <w:rFonts w:ascii="Calibri"/>
                <w:color w:val="1C242C"/>
                <w:spacing w:val="-5"/>
                <w:sz w:val="20"/>
              </w:rPr>
              <w:t xml:space="preserve"> </w:t>
            </w:r>
            <w:r>
              <w:rPr>
                <w:rFonts w:ascii="Calibri"/>
                <w:color w:val="1C242C"/>
                <w:sz w:val="20"/>
              </w:rPr>
              <w:t>South</w:t>
            </w:r>
            <w:r>
              <w:rPr>
                <w:rFonts w:ascii="Calibri"/>
                <w:color w:val="1C242C"/>
                <w:spacing w:val="-4"/>
                <w:sz w:val="20"/>
              </w:rPr>
              <w:t xml:space="preserve"> </w:t>
            </w:r>
            <w:r>
              <w:rPr>
                <w:rFonts w:ascii="Calibri"/>
                <w:color w:val="1C242C"/>
                <w:sz w:val="20"/>
              </w:rPr>
              <w:t>Central</w:t>
            </w:r>
            <w:r>
              <w:rPr>
                <w:rFonts w:ascii="Calibri"/>
                <w:color w:val="1C242C"/>
                <w:spacing w:val="-5"/>
                <w:sz w:val="20"/>
              </w:rPr>
              <w:t xml:space="preserve"> </w:t>
            </w:r>
            <w:r>
              <w:rPr>
                <w:rFonts w:ascii="Calibri"/>
                <w:color w:val="1C242C"/>
                <w:sz w:val="20"/>
              </w:rPr>
              <w:t>(AR,</w:t>
            </w:r>
            <w:r>
              <w:rPr>
                <w:rFonts w:ascii="Calibri"/>
                <w:color w:val="1C242C"/>
                <w:spacing w:val="-5"/>
                <w:sz w:val="20"/>
              </w:rPr>
              <w:t xml:space="preserve"> </w:t>
            </w:r>
            <w:r>
              <w:rPr>
                <w:rFonts w:ascii="Calibri"/>
                <w:color w:val="1C242C"/>
                <w:sz w:val="20"/>
              </w:rPr>
              <w:t>LA,</w:t>
            </w:r>
            <w:r>
              <w:rPr>
                <w:rFonts w:ascii="Calibri"/>
                <w:color w:val="1C242C"/>
                <w:spacing w:val="-4"/>
                <w:sz w:val="20"/>
              </w:rPr>
              <w:t xml:space="preserve"> </w:t>
            </w:r>
            <w:r>
              <w:rPr>
                <w:rFonts w:ascii="Calibri"/>
                <w:color w:val="1C242C"/>
                <w:sz w:val="20"/>
              </w:rPr>
              <w:t>OK,</w:t>
            </w:r>
            <w:r>
              <w:rPr>
                <w:rFonts w:ascii="Calibri"/>
                <w:color w:val="1C242C"/>
                <w:spacing w:val="-4"/>
                <w:sz w:val="20"/>
              </w:rPr>
              <w:t xml:space="preserve"> </w:t>
            </w:r>
            <w:r>
              <w:rPr>
                <w:rFonts w:ascii="Calibri"/>
                <w:color w:val="1C242C"/>
                <w:spacing w:val="-5"/>
                <w:sz w:val="20"/>
              </w:rPr>
              <w:t>TX)</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spacing w:before="39"/>
              <w:ind w:left="225"/>
              <w:rPr>
                <w:rFonts w:ascii="Calibri"/>
                <w:sz w:val="20"/>
              </w:rPr>
            </w:pPr>
            <w:r>
              <w:rPr>
                <w:rFonts w:ascii="Calibri"/>
                <w:color w:val="1C242C"/>
                <w:spacing w:val="-2"/>
                <w:sz w:val="20"/>
              </w:rPr>
              <w:t>75,133</w:t>
            </w:r>
          </w:p>
        </w:tc>
        <w:tc>
          <w:tcPr>
            <w:tcW w:w="1265" w:type="dxa"/>
            <w:tcBorders>
              <w:top w:val="single" w:sz="8" w:space="0" w:color="D9D9D9"/>
              <w:left w:val="single" w:sz="8" w:space="0" w:color="D9D9D9"/>
              <w:bottom w:val="single" w:sz="8" w:space="0" w:color="D9D9D9"/>
              <w:right w:val="single" w:sz="8" w:space="0" w:color="D9D9D9"/>
            </w:tcBorders>
          </w:tcPr>
          <w:p>
            <w:pPr>
              <w:pStyle w:val="TableParagraph"/>
              <w:spacing w:before="39"/>
              <w:ind w:right="393"/>
              <w:jc w:val="right"/>
              <w:rPr>
                <w:rFonts w:ascii="Calibri"/>
                <w:sz w:val="20"/>
              </w:rPr>
            </w:pPr>
            <w:r>
              <w:rPr>
                <w:rFonts w:ascii="Calibri"/>
                <w:color w:val="1C242C"/>
                <w:spacing w:val="-2"/>
                <w:sz w:val="20"/>
              </w:rPr>
              <w:t>5,022</w:t>
            </w:r>
          </w:p>
        </w:tc>
        <w:tc>
          <w:tcPr>
            <w:tcW w:w="1260" w:type="dxa"/>
            <w:tcBorders>
              <w:top w:val="single" w:sz="8" w:space="0" w:color="D9D9D9"/>
              <w:left w:val="single" w:sz="8" w:space="0" w:color="D9D9D9"/>
              <w:bottom w:val="single" w:sz="8" w:space="0" w:color="D9D9D9"/>
              <w:right w:val="single" w:sz="8" w:space="0" w:color="D9D9D9"/>
            </w:tcBorders>
          </w:tcPr>
          <w:p>
            <w:pPr>
              <w:pStyle w:val="TableParagraph"/>
              <w:spacing w:before="39"/>
              <w:ind w:left="372"/>
              <w:rPr>
                <w:rFonts w:ascii="Calibri"/>
                <w:sz w:val="20"/>
              </w:rPr>
            </w:pPr>
            <w:r>
              <w:rPr>
                <w:rFonts w:ascii="Calibri"/>
                <w:color w:val="1C242C"/>
                <w:spacing w:val="-2"/>
                <w:sz w:val="20"/>
              </w:rPr>
              <w:t>9.86%</w:t>
            </w:r>
          </w:p>
        </w:tc>
        <w:tc>
          <w:tcPr>
            <w:tcW w:w="1555" w:type="dxa"/>
            <w:tcBorders>
              <w:top w:val="single" w:sz="8" w:space="0" w:color="D9D9D9"/>
              <w:left w:val="single" w:sz="8" w:space="0" w:color="D9D9D9"/>
              <w:bottom w:val="single" w:sz="8" w:space="0" w:color="D9D9D9"/>
              <w:right w:val="single" w:sz="8" w:space="0" w:color="D9D9D9"/>
            </w:tcBorders>
          </w:tcPr>
          <w:p>
            <w:pPr>
              <w:pStyle w:val="TableParagraph"/>
              <w:spacing w:before="39"/>
              <w:ind w:right="466"/>
              <w:jc w:val="right"/>
              <w:rPr>
                <w:rFonts w:ascii="Calibri"/>
                <w:sz w:val="20"/>
              </w:rPr>
            </w:pPr>
            <w:r>
              <w:rPr>
                <w:rFonts w:ascii="Calibri"/>
                <w:color w:val="1C242C"/>
                <w:spacing w:val="-2"/>
                <w:sz w:val="20"/>
              </w:rPr>
              <w:t>12.50%</w:t>
            </w:r>
          </w:p>
        </w:tc>
        <w:tc>
          <w:tcPr>
            <w:tcW w:w="1077" w:type="dxa"/>
            <w:tcBorders>
              <w:top w:val="single" w:sz="8" w:space="0" w:color="D9D9D9"/>
              <w:left w:val="single" w:sz="8" w:space="0" w:color="D9D9D9"/>
              <w:bottom w:val="single" w:sz="8" w:space="0" w:color="D9D9D9"/>
              <w:right w:val="nil"/>
            </w:tcBorders>
          </w:tcPr>
          <w:p>
            <w:pPr>
              <w:pStyle w:val="TableParagraph"/>
              <w:spacing w:before="39"/>
              <w:ind w:left="214"/>
              <w:rPr>
                <w:rFonts w:ascii="Calibri"/>
                <w:sz w:val="20"/>
              </w:rPr>
            </w:pPr>
            <w:r>
              <w:rPr>
                <w:rFonts w:ascii="Calibri"/>
                <w:color w:val="1C242C"/>
                <w:spacing w:val="-2"/>
                <w:sz w:val="20"/>
              </w:rPr>
              <w:t>12.70%</w:t>
            </w:r>
          </w:p>
        </w:tc>
      </w:tr>
      <w:tr>
        <w:tblPrEx>
          <w:tblW w:w="0" w:type="auto"/>
          <w:jc w:val="left"/>
          <w:tblInd w:w="339" w:type="dxa"/>
          <w:tblLayout w:type="fixed"/>
          <w:tblCellMar>
            <w:top w:w="0" w:type="dxa"/>
            <w:left w:w="0" w:type="dxa"/>
            <w:bottom w:w="0" w:type="dxa"/>
            <w:right w:w="0" w:type="dxa"/>
          </w:tblCellMar>
          <w:tblLook w:val="01E0"/>
        </w:tblPrEx>
        <w:trPr>
          <w:trHeight w:val="362"/>
          <w:jc w:val="left"/>
        </w:trPr>
        <w:tc>
          <w:tcPr>
            <w:tcW w:w="9417" w:type="dxa"/>
            <w:gridSpan w:val="6"/>
            <w:tcBorders>
              <w:top w:val="single" w:sz="8" w:space="0" w:color="D9D9D9"/>
              <w:left w:val="nil"/>
              <w:bottom w:val="single" w:sz="8" w:space="0" w:color="D9D9D9"/>
              <w:right w:val="nil"/>
            </w:tcBorders>
            <w:shd w:val="clear" w:color="auto" w:fill="D1EDFB"/>
          </w:tcPr>
          <w:p>
            <w:pPr>
              <w:pStyle w:val="TableParagraph"/>
              <w:spacing w:before="42"/>
              <w:ind w:left="86"/>
              <w:rPr>
                <w:rFonts w:ascii="Calibri"/>
                <w:b/>
                <w:sz w:val="20"/>
              </w:rPr>
            </w:pPr>
            <w:r>
              <w:rPr>
                <w:rFonts w:ascii="Calibri"/>
                <w:b/>
                <w:color w:val="1C242C"/>
                <w:spacing w:val="-5"/>
                <w:sz w:val="20"/>
              </w:rPr>
              <w:t>Age</w:t>
            </w:r>
          </w:p>
        </w:tc>
      </w:tr>
      <w:tr>
        <w:tblPrEx>
          <w:tblW w:w="0" w:type="auto"/>
          <w:jc w:val="left"/>
          <w:tblInd w:w="339" w:type="dxa"/>
          <w:tblLayout w:type="fixed"/>
          <w:tblCellMar>
            <w:top w:w="0" w:type="dxa"/>
            <w:left w:w="0" w:type="dxa"/>
            <w:bottom w:w="0" w:type="dxa"/>
            <w:right w:w="0" w:type="dxa"/>
          </w:tblCellMar>
          <w:tblLook w:val="01E0"/>
        </w:tblPrEx>
        <w:trPr>
          <w:trHeight w:val="361"/>
          <w:jc w:val="left"/>
        </w:trPr>
        <w:tc>
          <w:tcPr>
            <w:tcW w:w="3233" w:type="dxa"/>
            <w:tcBorders>
              <w:top w:val="single" w:sz="8" w:space="0" w:color="D9D9D9"/>
              <w:left w:val="nil"/>
              <w:bottom w:val="single" w:sz="8" w:space="0" w:color="D9D9D9"/>
              <w:right w:val="single" w:sz="8" w:space="0" w:color="D9D9D9"/>
            </w:tcBorders>
          </w:tcPr>
          <w:p>
            <w:pPr>
              <w:pStyle w:val="TableParagraph"/>
              <w:spacing w:before="39"/>
              <w:ind w:left="86"/>
              <w:rPr>
                <w:rFonts w:ascii="Calibri" w:hAnsi="Calibri"/>
                <w:sz w:val="20"/>
              </w:rPr>
            </w:pPr>
            <w:r>
              <w:rPr>
                <w:rFonts w:ascii="Calibri" w:hAnsi="Calibri"/>
                <w:color w:val="1C242C"/>
                <w:spacing w:val="-4"/>
                <w:sz w:val="20"/>
              </w:rPr>
              <w:t>18–</w:t>
            </w:r>
            <w:r>
              <w:rPr>
                <w:rFonts w:ascii="Calibri" w:hAnsi="Calibri"/>
                <w:color w:val="1C242C"/>
                <w:spacing w:val="-5"/>
                <w:sz w:val="20"/>
              </w:rPr>
              <w:t>24</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spacing w:before="39"/>
              <w:ind w:right="85"/>
              <w:jc w:val="right"/>
              <w:rPr>
                <w:rFonts w:ascii="Calibri"/>
                <w:sz w:val="20"/>
              </w:rPr>
            </w:pPr>
            <w:r>
              <w:rPr>
                <w:rFonts w:ascii="Calibri"/>
                <w:color w:val="1C242C"/>
                <w:spacing w:val="-2"/>
                <w:sz w:val="20"/>
              </w:rPr>
              <w:t>44,793</w:t>
            </w:r>
          </w:p>
        </w:tc>
        <w:tc>
          <w:tcPr>
            <w:tcW w:w="1265" w:type="dxa"/>
            <w:tcBorders>
              <w:top w:val="single" w:sz="8" w:space="0" w:color="D9D9D9"/>
              <w:left w:val="single" w:sz="8" w:space="0" w:color="D9D9D9"/>
              <w:bottom w:val="single" w:sz="8" w:space="0" w:color="D9D9D9"/>
              <w:right w:val="single" w:sz="8" w:space="0" w:color="D9D9D9"/>
            </w:tcBorders>
          </w:tcPr>
          <w:p>
            <w:pPr>
              <w:pStyle w:val="TableParagraph"/>
              <w:spacing w:before="39"/>
              <w:ind w:right="321"/>
              <w:jc w:val="right"/>
              <w:rPr>
                <w:rFonts w:ascii="Calibri"/>
                <w:sz w:val="20"/>
              </w:rPr>
            </w:pPr>
            <w:r>
              <w:rPr>
                <w:rFonts w:ascii="Calibri"/>
                <w:color w:val="1C242C"/>
                <w:spacing w:val="-2"/>
                <w:sz w:val="20"/>
              </w:rPr>
              <w:t>1,497</w:t>
            </w:r>
          </w:p>
        </w:tc>
        <w:tc>
          <w:tcPr>
            <w:tcW w:w="1260" w:type="dxa"/>
            <w:tcBorders>
              <w:top w:val="single" w:sz="8" w:space="0" w:color="D9D9D9"/>
              <w:left w:val="single" w:sz="8" w:space="0" w:color="D9D9D9"/>
              <w:bottom w:val="single" w:sz="8" w:space="0" w:color="D9D9D9"/>
              <w:right w:val="single" w:sz="8" w:space="0" w:color="D9D9D9"/>
            </w:tcBorders>
          </w:tcPr>
          <w:p>
            <w:pPr>
              <w:pStyle w:val="TableParagraph"/>
              <w:spacing w:before="39"/>
              <w:ind w:right="218"/>
              <w:jc w:val="right"/>
              <w:rPr>
                <w:rFonts w:ascii="Calibri"/>
                <w:sz w:val="20"/>
              </w:rPr>
            </w:pPr>
            <w:r>
              <w:rPr>
                <w:rFonts w:ascii="Calibri"/>
                <w:color w:val="1C242C"/>
                <w:spacing w:val="-2"/>
                <w:sz w:val="20"/>
              </w:rPr>
              <w:t>2.94%</w:t>
            </w:r>
          </w:p>
        </w:tc>
        <w:tc>
          <w:tcPr>
            <w:tcW w:w="1555" w:type="dxa"/>
            <w:tcBorders>
              <w:top w:val="single" w:sz="8" w:space="0" w:color="D9D9D9"/>
              <w:left w:val="single" w:sz="8" w:space="0" w:color="D9D9D9"/>
              <w:bottom w:val="single" w:sz="8" w:space="0" w:color="D9D9D9"/>
              <w:right w:val="single" w:sz="8" w:space="0" w:color="D9D9D9"/>
            </w:tcBorders>
          </w:tcPr>
          <w:p>
            <w:pPr>
              <w:pStyle w:val="TableParagraph"/>
              <w:spacing w:before="39"/>
              <w:ind w:right="552"/>
              <w:jc w:val="right"/>
              <w:rPr>
                <w:rFonts w:ascii="Calibri"/>
                <w:sz w:val="20"/>
              </w:rPr>
            </w:pPr>
            <w:r>
              <w:rPr>
                <w:rFonts w:ascii="Calibri"/>
                <w:color w:val="1C242C"/>
                <w:spacing w:val="-2"/>
                <w:sz w:val="20"/>
              </w:rPr>
              <w:t>7.46%</w:t>
            </w:r>
          </w:p>
        </w:tc>
        <w:tc>
          <w:tcPr>
            <w:tcW w:w="1077" w:type="dxa"/>
            <w:tcBorders>
              <w:top w:val="single" w:sz="8" w:space="0" w:color="D9D9D9"/>
              <w:left w:val="single" w:sz="8" w:space="0" w:color="D9D9D9"/>
              <w:bottom w:val="single" w:sz="8" w:space="0" w:color="D9D9D9"/>
              <w:right w:val="nil"/>
            </w:tcBorders>
          </w:tcPr>
          <w:p>
            <w:pPr>
              <w:pStyle w:val="TableParagraph"/>
              <w:spacing w:before="39"/>
              <w:ind w:right="85"/>
              <w:jc w:val="right"/>
              <w:rPr>
                <w:rFonts w:ascii="Calibri"/>
                <w:sz w:val="20"/>
              </w:rPr>
            </w:pPr>
            <w:r>
              <w:rPr>
                <w:rFonts w:ascii="Calibri"/>
                <w:color w:val="1C242C"/>
                <w:spacing w:val="-2"/>
                <w:sz w:val="20"/>
              </w:rPr>
              <w:t>8.91%</w:t>
            </w:r>
          </w:p>
        </w:tc>
      </w:tr>
      <w:tr>
        <w:tblPrEx>
          <w:tblW w:w="0" w:type="auto"/>
          <w:jc w:val="left"/>
          <w:tblInd w:w="339" w:type="dxa"/>
          <w:tblLayout w:type="fixed"/>
          <w:tblCellMar>
            <w:top w:w="0" w:type="dxa"/>
            <w:left w:w="0" w:type="dxa"/>
            <w:bottom w:w="0" w:type="dxa"/>
            <w:right w:w="0" w:type="dxa"/>
          </w:tblCellMar>
          <w:tblLook w:val="01E0"/>
        </w:tblPrEx>
        <w:trPr>
          <w:trHeight w:val="359"/>
          <w:jc w:val="left"/>
        </w:trPr>
        <w:tc>
          <w:tcPr>
            <w:tcW w:w="3233" w:type="dxa"/>
            <w:tcBorders>
              <w:top w:val="single" w:sz="8" w:space="0" w:color="D9D9D9"/>
              <w:left w:val="nil"/>
              <w:bottom w:val="single" w:sz="8" w:space="0" w:color="D9D9D9"/>
              <w:right w:val="single" w:sz="8" w:space="0" w:color="D9D9D9"/>
            </w:tcBorders>
          </w:tcPr>
          <w:p>
            <w:pPr>
              <w:pStyle w:val="TableParagraph"/>
              <w:spacing w:before="39"/>
              <w:ind w:left="86"/>
              <w:rPr>
                <w:rFonts w:ascii="Calibri" w:hAnsi="Calibri"/>
                <w:sz w:val="20"/>
              </w:rPr>
            </w:pPr>
            <w:r>
              <w:rPr>
                <w:rFonts w:ascii="Calibri" w:hAnsi="Calibri"/>
                <w:color w:val="1C242C"/>
                <w:spacing w:val="-4"/>
                <w:sz w:val="20"/>
              </w:rPr>
              <w:t>25–</w:t>
            </w:r>
            <w:r>
              <w:rPr>
                <w:rFonts w:ascii="Calibri" w:hAnsi="Calibri"/>
                <w:color w:val="1C242C"/>
                <w:spacing w:val="-5"/>
                <w:sz w:val="20"/>
              </w:rPr>
              <w:t>34</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spacing w:before="39"/>
              <w:ind w:right="85"/>
              <w:jc w:val="right"/>
              <w:rPr>
                <w:rFonts w:ascii="Calibri"/>
                <w:sz w:val="20"/>
              </w:rPr>
            </w:pPr>
            <w:r>
              <w:rPr>
                <w:rFonts w:ascii="Calibri"/>
                <w:color w:val="1C242C"/>
                <w:spacing w:val="-2"/>
                <w:sz w:val="20"/>
              </w:rPr>
              <w:t>123,152</w:t>
            </w:r>
          </w:p>
        </w:tc>
        <w:tc>
          <w:tcPr>
            <w:tcW w:w="1265" w:type="dxa"/>
            <w:tcBorders>
              <w:top w:val="single" w:sz="8" w:space="0" w:color="D9D9D9"/>
              <w:left w:val="single" w:sz="8" w:space="0" w:color="D9D9D9"/>
              <w:bottom w:val="single" w:sz="8" w:space="0" w:color="D9D9D9"/>
              <w:right w:val="single" w:sz="8" w:space="0" w:color="D9D9D9"/>
            </w:tcBorders>
          </w:tcPr>
          <w:p>
            <w:pPr>
              <w:pStyle w:val="TableParagraph"/>
              <w:spacing w:before="39"/>
              <w:ind w:right="321"/>
              <w:jc w:val="right"/>
              <w:rPr>
                <w:rFonts w:ascii="Calibri"/>
                <w:sz w:val="20"/>
              </w:rPr>
            </w:pPr>
            <w:r>
              <w:rPr>
                <w:rFonts w:ascii="Calibri"/>
                <w:color w:val="1C242C"/>
                <w:spacing w:val="-2"/>
                <w:sz w:val="20"/>
              </w:rPr>
              <w:t>4,791</w:t>
            </w:r>
          </w:p>
        </w:tc>
        <w:tc>
          <w:tcPr>
            <w:tcW w:w="1260" w:type="dxa"/>
            <w:tcBorders>
              <w:top w:val="single" w:sz="8" w:space="0" w:color="D9D9D9"/>
              <w:left w:val="single" w:sz="8" w:space="0" w:color="D9D9D9"/>
              <w:bottom w:val="single" w:sz="8" w:space="0" w:color="D9D9D9"/>
              <w:right w:val="single" w:sz="8" w:space="0" w:color="D9D9D9"/>
            </w:tcBorders>
          </w:tcPr>
          <w:p>
            <w:pPr>
              <w:pStyle w:val="TableParagraph"/>
              <w:spacing w:before="39"/>
              <w:ind w:right="218"/>
              <w:jc w:val="right"/>
              <w:rPr>
                <w:rFonts w:ascii="Calibri"/>
                <w:sz w:val="20"/>
              </w:rPr>
            </w:pPr>
            <w:r>
              <w:rPr>
                <w:rFonts w:ascii="Calibri"/>
                <w:color w:val="1C242C"/>
                <w:spacing w:val="-2"/>
                <w:sz w:val="20"/>
              </w:rPr>
              <w:t>9.41%</w:t>
            </w:r>
          </w:p>
        </w:tc>
        <w:tc>
          <w:tcPr>
            <w:tcW w:w="1555" w:type="dxa"/>
            <w:tcBorders>
              <w:top w:val="single" w:sz="8" w:space="0" w:color="D9D9D9"/>
              <w:left w:val="single" w:sz="8" w:space="0" w:color="D9D9D9"/>
              <w:bottom w:val="single" w:sz="8" w:space="0" w:color="D9D9D9"/>
              <w:right w:val="single" w:sz="8" w:space="0" w:color="D9D9D9"/>
            </w:tcBorders>
          </w:tcPr>
          <w:p>
            <w:pPr>
              <w:pStyle w:val="TableParagraph"/>
              <w:spacing w:before="39"/>
              <w:ind w:right="550"/>
              <w:jc w:val="right"/>
              <w:rPr>
                <w:rFonts w:ascii="Calibri"/>
                <w:sz w:val="20"/>
              </w:rPr>
            </w:pPr>
            <w:r>
              <w:rPr>
                <w:rFonts w:ascii="Calibri"/>
                <w:color w:val="1C242C"/>
                <w:spacing w:val="-2"/>
                <w:sz w:val="20"/>
              </w:rPr>
              <w:t>20.50%</w:t>
            </w:r>
          </w:p>
        </w:tc>
        <w:tc>
          <w:tcPr>
            <w:tcW w:w="1077" w:type="dxa"/>
            <w:tcBorders>
              <w:top w:val="single" w:sz="8" w:space="0" w:color="D9D9D9"/>
              <w:left w:val="single" w:sz="8" w:space="0" w:color="D9D9D9"/>
              <w:bottom w:val="single" w:sz="8" w:space="0" w:color="D9D9D9"/>
              <w:right w:val="nil"/>
            </w:tcBorders>
          </w:tcPr>
          <w:p>
            <w:pPr>
              <w:pStyle w:val="TableParagraph"/>
              <w:spacing w:before="39"/>
              <w:ind w:right="85"/>
              <w:jc w:val="right"/>
              <w:rPr>
                <w:rFonts w:ascii="Calibri"/>
                <w:sz w:val="20"/>
              </w:rPr>
            </w:pPr>
            <w:r>
              <w:rPr>
                <w:rFonts w:ascii="Calibri"/>
                <w:color w:val="1C242C"/>
                <w:spacing w:val="-2"/>
                <w:sz w:val="20"/>
              </w:rPr>
              <w:t>9.94%</w:t>
            </w:r>
          </w:p>
        </w:tc>
      </w:tr>
      <w:tr>
        <w:tblPrEx>
          <w:tblW w:w="0" w:type="auto"/>
          <w:jc w:val="left"/>
          <w:tblInd w:w="339" w:type="dxa"/>
          <w:tblLayout w:type="fixed"/>
          <w:tblCellMar>
            <w:top w:w="0" w:type="dxa"/>
            <w:left w:w="0" w:type="dxa"/>
            <w:bottom w:w="0" w:type="dxa"/>
            <w:right w:w="0" w:type="dxa"/>
          </w:tblCellMar>
          <w:tblLook w:val="01E0"/>
        </w:tblPrEx>
        <w:trPr>
          <w:trHeight w:val="361"/>
          <w:jc w:val="left"/>
        </w:trPr>
        <w:tc>
          <w:tcPr>
            <w:tcW w:w="3233" w:type="dxa"/>
            <w:tcBorders>
              <w:top w:val="single" w:sz="8" w:space="0" w:color="D9D9D9"/>
              <w:left w:val="nil"/>
              <w:bottom w:val="single" w:sz="8" w:space="0" w:color="D9D9D9"/>
              <w:right w:val="single" w:sz="8" w:space="0" w:color="D9D9D9"/>
            </w:tcBorders>
          </w:tcPr>
          <w:p>
            <w:pPr>
              <w:pStyle w:val="TableParagraph"/>
              <w:spacing w:before="39"/>
              <w:ind w:left="86"/>
              <w:rPr>
                <w:rFonts w:ascii="Calibri" w:hAnsi="Calibri"/>
                <w:sz w:val="20"/>
              </w:rPr>
            </w:pPr>
            <w:r>
              <w:rPr>
                <w:rFonts w:ascii="Calibri" w:hAnsi="Calibri"/>
                <w:color w:val="1C242C"/>
                <w:spacing w:val="-4"/>
                <w:sz w:val="20"/>
              </w:rPr>
              <w:t>35–</w:t>
            </w:r>
            <w:r>
              <w:rPr>
                <w:rFonts w:ascii="Calibri" w:hAnsi="Calibri"/>
                <w:color w:val="1C242C"/>
                <w:spacing w:val="-5"/>
                <w:sz w:val="20"/>
              </w:rPr>
              <w:t>44</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spacing w:before="39"/>
              <w:ind w:right="85"/>
              <w:jc w:val="right"/>
              <w:rPr>
                <w:rFonts w:ascii="Calibri"/>
                <w:sz w:val="20"/>
              </w:rPr>
            </w:pPr>
            <w:r>
              <w:rPr>
                <w:rFonts w:ascii="Calibri"/>
                <w:color w:val="1C242C"/>
                <w:spacing w:val="-2"/>
                <w:sz w:val="20"/>
              </w:rPr>
              <w:t>123,889</w:t>
            </w:r>
          </w:p>
        </w:tc>
        <w:tc>
          <w:tcPr>
            <w:tcW w:w="1265" w:type="dxa"/>
            <w:tcBorders>
              <w:top w:val="single" w:sz="8" w:space="0" w:color="D9D9D9"/>
              <w:left w:val="single" w:sz="8" w:space="0" w:color="D9D9D9"/>
              <w:bottom w:val="single" w:sz="8" w:space="0" w:color="D9D9D9"/>
              <w:right w:val="single" w:sz="8" w:space="0" w:color="D9D9D9"/>
            </w:tcBorders>
          </w:tcPr>
          <w:p>
            <w:pPr>
              <w:pStyle w:val="TableParagraph"/>
              <w:spacing w:before="39"/>
              <w:ind w:right="321"/>
              <w:jc w:val="right"/>
              <w:rPr>
                <w:rFonts w:ascii="Calibri"/>
                <w:sz w:val="20"/>
              </w:rPr>
            </w:pPr>
            <w:r>
              <w:rPr>
                <w:rFonts w:ascii="Calibri"/>
                <w:color w:val="1C242C"/>
                <w:spacing w:val="-2"/>
                <w:sz w:val="20"/>
              </w:rPr>
              <w:t>6,220</w:t>
            </w:r>
          </w:p>
        </w:tc>
        <w:tc>
          <w:tcPr>
            <w:tcW w:w="1260" w:type="dxa"/>
            <w:tcBorders>
              <w:top w:val="single" w:sz="8" w:space="0" w:color="D9D9D9"/>
              <w:left w:val="single" w:sz="8" w:space="0" w:color="D9D9D9"/>
              <w:bottom w:val="single" w:sz="8" w:space="0" w:color="D9D9D9"/>
              <w:right w:val="single" w:sz="8" w:space="0" w:color="D9D9D9"/>
            </w:tcBorders>
          </w:tcPr>
          <w:p>
            <w:pPr>
              <w:pStyle w:val="TableParagraph"/>
              <w:spacing w:before="39"/>
              <w:ind w:right="218"/>
              <w:jc w:val="right"/>
              <w:rPr>
                <w:rFonts w:ascii="Calibri"/>
                <w:sz w:val="20"/>
              </w:rPr>
            </w:pPr>
            <w:r>
              <w:rPr>
                <w:rFonts w:ascii="Calibri"/>
                <w:color w:val="1C242C"/>
                <w:spacing w:val="-2"/>
                <w:sz w:val="20"/>
              </w:rPr>
              <w:t>12.20%</w:t>
            </w:r>
          </w:p>
        </w:tc>
        <w:tc>
          <w:tcPr>
            <w:tcW w:w="1555" w:type="dxa"/>
            <w:tcBorders>
              <w:top w:val="single" w:sz="8" w:space="0" w:color="D9D9D9"/>
              <w:left w:val="single" w:sz="8" w:space="0" w:color="D9D9D9"/>
              <w:bottom w:val="single" w:sz="8" w:space="0" w:color="D9D9D9"/>
              <w:right w:val="single" w:sz="8" w:space="0" w:color="D9D9D9"/>
            </w:tcBorders>
          </w:tcPr>
          <w:p>
            <w:pPr>
              <w:pStyle w:val="TableParagraph"/>
              <w:spacing w:before="39"/>
              <w:ind w:right="550"/>
              <w:jc w:val="right"/>
              <w:rPr>
                <w:rFonts w:ascii="Calibri"/>
                <w:sz w:val="20"/>
              </w:rPr>
            </w:pPr>
            <w:r>
              <w:rPr>
                <w:rFonts w:ascii="Calibri"/>
                <w:color w:val="1C242C"/>
                <w:spacing w:val="-2"/>
                <w:sz w:val="20"/>
              </w:rPr>
              <w:t>20.60%</w:t>
            </w:r>
          </w:p>
        </w:tc>
        <w:tc>
          <w:tcPr>
            <w:tcW w:w="1077" w:type="dxa"/>
            <w:tcBorders>
              <w:top w:val="single" w:sz="8" w:space="0" w:color="D9D9D9"/>
              <w:left w:val="single" w:sz="8" w:space="0" w:color="D9D9D9"/>
              <w:bottom w:val="single" w:sz="8" w:space="0" w:color="D9D9D9"/>
              <w:right w:val="nil"/>
            </w:tcBorders>
          </w:tcPr>
          <w:p>
            <w:pPr>
              <w:pStyle w:val="TableParagraph"/>
              <w:spacing w:before="39"/>
              <w:ind w:right="85"/>
              <w:jc w:val="right"/>
              <w:rPr>
                <w:rFonts w:ascii="Calibri"/>
                <w:sz w:val="20"/>
              </w:rPr>
            </w:pPr>
            <w:r>
              <w:rPr>
                <w:rFonts w:ascii="Calibri"/>
                <w:color w:val="1C242C"/>
                <w:spacing w:val="-2"/>
                <w:sz w:val="20"/>
              </w:rPr>
              <w:t>11.50%</w:t>
            </w:r>
          </w:p>
        </w:tc>
      </w:tr>
      <w:tr>
        <w:tblPrEx>
          <w:tblW w:w="0" w:type="auto"/>
          <w:jc w:val="left"/>
          <w:tblInd w:w="339" w:type="dxa"/>
          <w:tblLayout w:type="fixed"/>
          <w:tblCellMar>
            <w:top w:w="0" w:type="dxa"/>
            <w:left w:w="0" w:type="dxa"/>
            <w:bottom w:w="0" w:type="dxa"/>
            <w:right w:w="0" w:type="dxa"/>
          </w:tblCellMar>
          <w:tblLook w:val="01E0"/>
        </w:tblPrEx>
        <w:trPr>
          <w:trHeight w:val="359"/>
          <w:jc w:val="left"/>
        </w:trPr>
        <w:tc>
          <w:tcPr>
            <w:tcW w:w="3233" w:type="dxa"/>
            <w:tcBorders>
              <w:top w:val="single" w:sz="8" w:space="0" w:color="D9D9D9"/>
              <w:left w:val="nil"/>
              <w:bottom w:val="single" w:sz="8" w:space="0" w:color="D9D9D9"/>
              <w:right w:val="single" w:sz="8" w:space="0" w:color="D9D9D9"/>
            </w:tcBorders>
          </w:tcPr>
          <w:p>
            <w:pPr>
              <w:pStyle w:val="TableParagraph"/>
              <w:spacing w:before="39"/>
              <w:ind w:left="86"/>
              <w:rPr>
                <w:rFonts w:ascii="Calibri" w:hAnsi="Calibri"/>
                <w:sz w:val="20"/>
              </w:rPr>
            </w:pPr>
            <w:r>
              <w:rPr>
                <w:rFonts w:ascii="Calibri" w:hAnsi="Calibri"/>
                <w:color w:val="1C242C"/>
                <w:spacing w:val="-4"/>
                <w:sz w:val="20"/>
              </w:rPr>
              <w:t>45–</w:t>
            </w:r>
            <w:r>
              <w:rPr>
                <w:rFonts w:ascii="Calibri" w:hAnsi="Calibri"/>
                <w:color w:val="1C242C"/>
                <w:spacing w:val="-5"/>
                <w:sz w:val="20"/>
              </w:rPr>
              <w:t>54</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spacing w:before="39"/>
              <w:ind w:right="85"/>
              <w:jc w:val="right"/>
              <w:rPr>
                <w:rFonts w:ascii="Calibri"/>
                <w:sz w:val="20"/>
              </w:rPr>
            </w:pPr>
            <w:r>
              <w:rPr>
                <w:rFonts w:ascii="Calibri"/>
                <w:color w:val="1C242C"/>
                <w:spacing w:val="-2"/>
                <w:sz w:val="20"/>
              </w:rPr>
              <w:t>118,768</w:t>
            </w:r>
          </w:p>
        </w:tc>
        <w:tc>
          <w:tcPr>
            <w:tcW w:w="1265" w:type="dxa"/>
            <w:tcBorders>
              <w:top w:val="single" w:sz="8" w:space="0" w:color="D9D9D9"/>
              <w:left w:val="single" w:sz="8" w:space="0" w:color="D9D9D9"/>
              <w:bottom w:val="single" w:sz="8" w:space="0" w:color="D9D9D9"/>
              <w:right w:val="single" w:sz="8" w:space="0" w:color="D9D9D9"/>
            </w:tcBorders>
          </w:tcPr>
          <w:p>
            <w:pPr>
              <w:pStyle w:val="TableParagraph"/>
              <w:spacing w:before="39"/>
              <w:ind w:right="321"/>
              <w:jc w:val="right"/>
              <w:rPr>
                <w:rFonts w:ascii="Calibri"/>
                <w:sz w:val="20"/>
              </w:rPr>
            </w:pPr>
            <w:r>
              <w:rPr>
                <w:rFonts w:ascii="Calibri"/>
                <w:color w:val="1C242C"/>
                <w:spacing w:val="-2"/>
                <w:sz w:val="20"/>
              </w:rPr>
              <w:t>8,823</w:t>
            </w:r>
          </w:p>
        </w:tc>
        <w:tc>
          <w:tcPr>
            <w:tcW w:w="1260" w:type="dxa"/>
            <w:tcBorders>
              <w:top w:val="single" w:sz="8" w:space="0" w:color="D9D9D9"/>
              <w:left w:val="single" w:sz="8" w:space="0" w:color="D9D9D9"/>
              <w:bottom w:val="single" w:sz="8" w:space="0" w:color="D9D9D9"/>
              <w:right w:val="single" w:sz="8" w:space="0" w:color="D9D9D9"/>
            </w:tcBorders>
          </w:tcPr>
          <w:p>
            <w:pPr>
              <w:pStyle w:val="TableParagraph"/>
              <w:spacing w:before="39"/>
              <w:ind w:right="218"/>
              <w:jc w:val="right"/>
              <w:rPr>
                <w:rFonts w:ascii="Calibri"/>
                <w:sz w:val="20"/>
              </w:rPr>
            </w:pPr>
            <w:r>
              <w:rPr>
                <w:rFonts w:ascii="Calibri"/>
                <w:color w:val="1C242C"/>
                <w:spacing w:val="-2"/>
                <w:sz w:val="20"/>
              </w:rPr>
              <w:t>17.30%</w:t>
            </w:r>
          </w:p>
        </w:tc>
        <w:tc>
          <w:tcPr>
            <w:tcW w:w="1555" w:type="dxa"/>
            <w:tcBorders>
              <w:top w:val="single" w:sz="8" w:space="0" w:color="D9D9D9"/>
              <w:left w:val="single" w:sz="8" w:space="0" w:color="D9D9D9"/>
              <w:bottom w:val="single" w:sz="8" w:space="0" w:color="D9D9D9"/>
              <w:right w:val="single" w:sz="8" w:space="0" w:color="D9D9D9"/>
            </w:tcBorders>
          </w:tcPr>
          <w:p>
            <w:pPr>
              <w:pStyle w:val="TableParagraph"/>
              <w:spacing w:before="39"/>
              <w:ind w:right="550"/>
              <w:jc w:val="right"/>
              <w:rPr>
                <w:rFonts w:ascii="Calibri"/>
                <w:sz w:val="20"/>
              </w:rPr>
            </w:pPr>
            <w:r>
              <w:rPr>
                <w:rFonts w:ascii="Calibri"/>
                <w:color w:val="1C242C"/>
                <w:spacing w:val="-2"/>
                <w:sz w:val="20"/>
              </w:rPr>
              <w:t>19.80%</w:t>
            </w:r>
          </w:p>
        </w:tc>
        <w:tc>
          <w:tcPr>
            <w:tcW w:w="1077" w:type="dxa"/>
            <w:tcBorders>
              <w:top w:val="single" w:sz="8" w:space="0" w:color="D9D9D9"/>
              <w:left w:val="single" w:sz="8" w:space="0" w:color="D9D9D9"/>
              <w:bottom w:val="single" w:sz="8" w:space="0" w:color="D9D9D9"/>
              <w:right w:val="nil"/>
            </w:tcBorders>
          </w:tcPr>
          <w:p>
            <w:pPr>
              <w:pStyle w:val="TableParagraph"/>
              <w:spacing w:before="39"/>
              <w:ind w:right="85"/>
              <w:jc w:val="right"/>
              <w:rPr>
                <w:rFonts w:ascii="Calibri"/>
                <w:sz w:val="20"/>
              </w:rPr>
            </w:pPr>
            <w:r>
              <w:rPr>
                <w:rFonts w:ascii="Calibri"/>
                <w:color w:val="1C242C"/>
                <w:spacing w:val="-2"/>
                <w:sz w:val="20"/>
              </w:rPr>
              <w:t>14.20%</w:t>
            </w:r>
          </w:p>
        </w:tc>
      </w:tr>
      <w:tr>
        <w:tblPrEx>
          <w:tblW w:w="0" w:type="auto"/>
          <w:jc w:val="left"/>
          <w:tblInd w:w="339" w:type="dxa"/>
          <w:tblLayout w:type="fixed"/>
          <w:tblCellMar>
            <w:top w:w="0" w:type="dxa"/>
            <w:left w:w="0" w:type="dxa"/>
            <w:bottom w:w="0" w:type="dxa"/>
            <w:right w:w="0" w:type="dxa"/>
          </w:tblCellMar>
          <w:tblLook w:val="01E0"/>
        </w:tblPrEx>
        <w:trPr>
          <w:trHeight w:val="361"/>
          <w:jc w:val="left"/>
        </w:trPr>
        <w:tc>
          <w:tcPr>
            <w:tcW w:w="3233" w:type="dxa"/>
            <w:tcBorders>
              <w:top w:val="single" w:sz="8" w:space="0" w:color="D9D9D9"/>
              <w:left w:val="nil"/>
              <w:bottom w:val="single" w:sz="8" w:space="0" w:color="D9D9D9"/>
              <w:right w:val="single" w:sz="8" w:space="0" w:color="D9D9D9"/>
            </w:tcBorders>
          </w:tcPr>
          <w:p>
            <w:pPr>
              <w:pStyle w:val="TableParagraph"/>
              <w:spacing w:before="42"/>
              <w:ind w:left="86"/>
              <w:rPr>
                <w:rFonts w:ascii="Calibri" w:hAnsi="Calibri"/>
                <w:sz w:val="20"/>
              </w:rPr>
            </w:pPr>
            <w:r>
              <w:rPr>
                <w:rFonts w:ascii="Calibri" w:hAnsi="Calibri"/>
                <w:color w:val="1C242C"/>
                <w:spacing w:val="-4"/>
                <w:sz w:val="20"/>
              </w:rPr>
              <w:t>55–</w:t>
            </w:r>
            <w:r>
              <w:rPr>
                <w:rFonts w:ascii="Calibri" w:hAnsi="Calibri"/>
                <w:color w:val="1C242C"/>
                <w:spacing w:val="-5"/>
                <w:sz w:val="20"/>
              </w:rPr>
              <w:t>64</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spacing w:before="42"/>
              <w:ind w:right="85"/>
              <w:jc w:val="right"/>
              <w:rPr>
                <w:rFonts w:ascii="Calibri"/>
                <w:sz w:val="20"/>
              </w:rPr>
            </w:pPr>
            <w:r>
              <w:rPr>
                <w:rFonts w:ascii="Calibri"/>
                <w:color w:val="1C242C"/>
                <w:spacing w:val="-2"/>
                <w:sz w:val="20"/>
              </w:rPr>
              <w:t>178,175</w:t>
            </w:r>
          </w:p>
        </w:tc>
        <w:tc>
          <w:tcPr>
            <w:tcW w:w="1265" w:type="dxa"/>
            <w:tcBorders>
              <w:top w:val="single" w:sz="8" w:space="0" w:color="D9D9D9"/>
              <w:left w:val="single" w:sz="8" w:space="0" w:color="D9D9D9"/>
              <w:bottom w:val="single" w:sz="8" w:space="0" w:color="D9D9D9"/>
              <w:right w:val="single" w:sz="8" w:space="0" w:color="D9D9D9"/>
            </w:tcBorders>
          </w:tcPr>
          <w:p>
            <w:pPr>
              <w:pStyle w:val="TableParagraph"/>
              <w:spacing w:before="42"/>
              <w:ind w:right="320"/>
              <w:jc w:val="right"/>
              <w:rPr>
                <w:rFonts w:ascii="Calibri"/>
                <w:sz w:val="20"/>
              </w:rPr>
            </w:pPr>
            <w:r>
              <w:rPr>
                <w:rFonts w:ascii="Calibri"/>
                <w:color w:val="1C242C"/>
                <w:spacing w:val="-2"/>
                <w:sz w:val="20"/>
              </w:rPr>
              <w:t>27,721</w:t>
            </w:r>
          </w:p>
        </w:tc>
        <w:tc>
          <w:tcPr>
            <w:tcW w:w="1260" w:type="dxa"/>
            <w:tcBorders>
              <w:top w:val="single" w:sz="8" w:space="0" w:color="D9D9D9"/>
              <w:left w:val="single" w:sz="8" w:space="0" w:color="D9D9D9"/>
              <w:bottom w:val="single" w:sz="8" w:space="0" w:color="D9D9D9"/>
              <w:right w:val="single" w:sz="8" w:space="0" w:color="D9D9D9"/>
            </w:tcBorders>
          </w:tcPr>
          <w:p>
            <w:pPr>
              <w:pStyle w:val="TableParagraph"/>
              <w:spacing w:before="42"/>
              <w:ind w:right="218"/>
              <w:jc w:val="right"/>
              <w:rPr>
                <w:rFonts w:ascii="Calibri"/>
                <w:sz w:val="20"/>
              </w:rPr>
            </w:pPr>
            <w:r>
              <w:rPr>
                <w:rFonts w:ascii="Calibri"/>
                <w:color w:val="1C242C"/>
                <w:spacing w:val="-2"/>
                <w:sz w:val="20"/>
              </w:rPr>
              <w:t>54.40%</w:t>
            </w:r>
          </w:p>
        </w:tc>
        <w:tc>
          <w:tcPr>
            <w:tcW w:w="1555" w:type="dxa"/>
            <w:tcBorders>
              <w:top w:val="single" w:sz="8" w:space="0" w:color="D9D9D9"/>
              <w:left w:val="single" w:sz="8" w:space="0" w:color="D9D9D9"/>
              <w:bottom w:val="single" w:sz="8" w:space="0" w:color="D9D9D9"/>
              <w:right w:val="single" w:sz="8" w:space="0" w:color="D9D9D9"/>
            </w:tcBorders>
          </w:tcPr>
          <w:p>
            <w:pPr>
              <w:pStyle w:val="TableParagraph"/>
              <w:spacing w:before="42"/>
              <w:ind w:right="550"/>
              <w:jc w:val="right"/>
              <w:rPr>
                <w:rFonts w:ascii="Calibri"/>
                <w:sz w:val="20"/>
              </w:rPr>
            </w:pPr>
            <w:r>
              <w:rPr>
                <w:rFonts w:ascii="Calibri"/>
                <w:color w:val="1C242C"/>
                <w:spacing w:val="-2"/>
                <w:sz w:val="20"/>
              </w:rPr>
              <w:t>29.70%</w:t>
            </w:r>
          </w:p>
        </w:tc>
        <w:tc>
          <w:tcPr>
            <w:tcW w:w="1077" w:type="dxa"/>
            <w:tcBorders>
              <w:top w:val="single" w:sz="8" w:space="0" w:color="D9D9D9"/>
              <w:left w:val="single" w:sz="8" w:space="0" w:color="D9D9D9"/>
              <w:bottom w:val="single" w:sz="8" w:space="0" w:color="D9D9D9"/>
              <w:right w:val="nil"/>
            </w:tcBorders>
          </w:tcPr>
          <w:p>
            <w:pPr>
              <w:pStyle w:val="TableParagraph"/>
              <w:spacing w:before="42"/>
              <w:ind w:right="85"/>
              <w:jc w:val="right"/>
              <w:rPr>
                <w:rFonts w:ascii="Calibri"/>
                <w:sz w:val="20"/>
              </w:rPr>
            </w:pPr>
            <w:r>
              <w:rPr>
                <w:rFonts w:ascii="Calibri"/>
                <w:color w:val="1C242C"/>
                <w:spacing w:val="-2"/>
                <w:sz w:val="20"/>
              </w:rPr>
              <w:t>22.70%</w:t>
            </w:r>
          </w:p>
        </w:tc>
      </w:tr>
      <w:tr>
        <w:tblPrEx>
          <w:tblW w:w="0" w:type="auto"/>
          <w:jc w:val="left"/>
          <w:tblInd w:w="339" w:type="dxa"/>
          <w:tblLayout w:type="fixed"/>
          <w:tblCellMar>
            <w:top w:w="0" w:type="dxa"/>
            <w:left w:w="0" w:type="dxa"/>
            <w:bottom w:w="0" w:type="dxa"/>
            <w:right w:w="0" w:type="dxa"/>
          </w:tblCellMar>
          <w:tblLook w:val="01E0"/>
        </w:tblPrEx>
        <w:trPr>
          <w:trHeight w:val="361"/>
          <w:jc w:val="left"/>
        </w:trPr>
        <w:tc>
          <w:tcPr>
            <w:tcW w:w="3233" w:type="dxa"/>
            <w:tcBorders>
              <w:top w:val="single" w:sz="8" w:space="0" w:color="D9D9D9"/>
              <w:left w:val="nil"/>
              <w:bottom w:val="single" w:sz="8" w:space="0" w:color="D9D9D9"/>
              <w:right w:val="single" w:sz="8" w:space="0" w:color="D9D9D9"/>
            </w:tcBorders>
          </w:tcPr>
          <w:p>
            <w:pPr>
              <w:pStyle w:val="TableParagraph"/>
              <w:spacing w:before="39"/>
              <w:ind w:left="86"/>
              <w:rPr>
                <w:rFonts w:ascii="Calibri" w:hAnsi="Calibri"/>
                <w:sz w:val="20"/>
              </w:rPr>
            </w:pPr>
            <w:r>
              <w:rPr>
                <w:rFonts w:ascii="Calibri" w:hAnsi="Calibri"/>
                <w:color w:val="1C242C"/>
                <w:spacing w:val="-4"/>
                <w:sz w:val="20"/>
              </w:rPr>
              <w:t>65–</w:t>
            </w:r>
            <w:r>
              <w:rPr>
                <w:rFonts w:ascii="Calibri" w:hAnsi="Calibri"/>
                <w:color w:val="1C242C"/>
                <w:spacing w:val="-5"/>
                <w:sz w:val="20"/>
              </w:rPr>
              <w:t>74</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spacing w:before="39"/>
              <w:ind w:right="85"/>
              <w:jc w:val="right"/>
              <w:rPr>
                <w:rFonts w:ascii="Calibri"/>
                <w:sz w:val="20"/>
              </w:rPr>
            </w:pPr>
            <w:r>
              <w:rPr>
                <w:rFonts w:ascii="Calibri"/>
                <w:color w:val="1C242C"/>
                <w:spacing w:val="-2"/>
                <w:sz w:val="20"/>
              </w:rPr>
              <w:t>9,447</w:t>
            </w:r>
          </w:p>
        </w:tc>
        <w:tc>
          <w:tcPr>
            <w:tcW w:w="1265" w:type="dxa"/>
            <w:tcBorders>
              <w:top w:val="single" w:sz="8" w:space="0" w:color="D9D9D9"/>
              <w:left w:val="single" w:sz="8" w:space="0" w:color="D9D9D9"/>
              <w:bottom w:val="single" w:sz="8" w:space="0" w:color="D9D9D9"/>
              <w:right w:val="single" w:sz="8" w:space="0" w:color="D9D9D9"/>
            </w:tcBorders>
          </w:tcPr>
          <w:p>
            <w:pPr>
              <w:pStyle w:val="TableParagraph"/>
              <w:spacing w:before="39"/>
              <w:ind w:right="321"/>
              <w:jc w:val="right"/>
              <w:rPr>
                <w:rFonts w:ascii="Calibri"/>
                <w:sz w:val="20"/>
              </w:rPr>
            </w:pPr>
            <w:r>
              <w:rPr>
                <w:rFonts w:ascii="Calibri"/>
                <w:color w:val="1C242C"/>
                <w:spacing w:val="-2"/>
                <w:sz w:val="20"/>
              </w:rPr>
              <w:t>1,569</w:t>
            </w:r>
          </w:p>
        </w:tc>
        <w:tc>
          <w:tcPr>
            <w:tcW w:w="1260" w:type="dxa"/>
            <w:tcBorders>
              <w:top w:val="single" w:sz="8" w:space="0" w:color="D9D9D9"/>
              <w:left w:val="single" w:sz="8" w:space="0" w:color="D9D9D9"/>
              <w:bottom w:val="single" w:sz="8" w:space="0" w:color="D9D9D9"/>
              <w:right w:val="single" w:sz="8" w:space="0" w:color="D9D9D9"/>
            </w:tcBorders>
          </w:tcPr>
          <w:p>
            <w:pPr>
              <w:pStyle w:val="TableParagraph"/>
              <w:spacing w:before="39"/>
              <w:ind w:right="218"/>
              <w:jc w:val="right"/>
              <w:rPr>
                <w:rFonts w:ascii="Calibri"/>
                <w:sz w:val="20"/>
              </w:rPr>
            </w:pPr>
            <w:r>
              <w:rPr>
                <w:rFonts w:ascii="Calibri"/>
                <w:color w:val="1C242C"/>
                <w:spacing w:val="-2"/>
                <w:sz w:val="20"/>
              </w:rPr>
              <w:t>3.08%</w:t>
            </w:r>
          </w:p>
        </w:tc>
        <w:tc>
          <w:tcPr>
            <w:tcW w:w="1555" w:type="dxa"/>
            <w:tcBorders>
              <w:top w:val="single" w:sz="8" w:space="0" w:color="D9D9D9"/>
              <w:left w:val="single" w:sz="8" w:space="0" w:color="D9D9D9"/>
              <w:bottom w:val="single" w:sz="8" w:space="0" w:color="D9D9D9"/>
              <w:right w:val="single" w:sz="8" w:space="0" w:color="D9D9D9"/>
            </w:tcBorders>
          </w:tcPr>
          <w:p>
            <w:pPr>
              <w:pStyle w:val="TableParagraph"/>
              <w:spacing w:before="39"/>
              <w:ind w:right="552"/>
              <w:jc w:val="right"/>
              <w:rPr>
                <w:rFonts w:ascii="Calibri"/>
                <w:sz w:val="20"/>
              </w:rPr>
            </w:pPr>
            <w:r>
              <w:rPr>
                <w:rFonts w:ascii="Calibri"/>
                <w:color w:val="1C242C"/>
                <w:spacing w:val="-2"/>
                <w:sz w:val="20"/>
              </w:rPr>
              <w:t>1.57%</w:t>
            </w:r>
          </w:p>
        </w:tc>
        <w:tc>
          <w:tcPr>
            <w:tcW w:w="1077" w:type="dxa"/>
            <w:tcBorders>
              <w:top w:val="single" w:sz="8" w:space="0" w:color="D9D9D9"/>
              <w:left w:val="single" w:sz="8" w:space="0" w:color="D9D9D9"/>
              <w:bottom w:val="single" w:sz="8" w:space="0" w:color="D9D9D9"/>
              <w:right w:val="nil"/>
            </w:tcBorders>
          </w:tcPr>
          <w:p>
            <w:pPr>
              <w:pStyle w:val="TableParagraph"/>
              <w:spacing w:before="39"/>
              <w:ind w:right="85"/>
              <w:jc w:val="right"/>
              <w:rPr>
                <w:rFonts w:ascii="Calibri"/>
                <w:sz w:val="20"/>
              </w:rPr>
            </w:pPr>
            <w:r>
              <w:rPr>
                <w:rFonts w:ascii="Calibri"/>
                <w:color w:val="1C242C"/>
                <w:spacing w:val="-2"/>
                <w:sz w:val="20"/>
              </w:rPr>
              <w:t>26.40%</w:t>
            </w:r>
          </w:p>
        </w:tc>
      </w:tr>
      <w:tr>
        <w:tblPrEx>
          <w:tblW w:w="0" w:type="auto"/>
          <w:jc w:val="left"/>
          <w:tblInd w:w="339" w:type="dxa"/>
          <w:tblLayout w:type="fixed"/>
          <w:tblCellMar>
            <w:top w:w="0" w:type="dxa"/>
            <w:left w:w="0" w:type="dxa"/>
            <w:bottom w:w="0" w:type="dxa"/>
            <w:right w:w="0" w:type="dxa"/>
          </w:tblCellMar>
          <w:tblLook w:val="01E0"/>
        </w:tblPrEx>
        <w:trPr>
          <w:trHeight w:val="361"/>
          <w:jc w:val="left"/>
        </w:trPr>
        <w:tc>
          <w:tcPr>
            <w:tcW w:w="3233" w:type="dxa"/>
            <w:tcBorders>
              <w:top w:val="single" w:sz="8" w:space="0" w:color="D9D9D9"/>
              <w:left w:val="nil"/>
              <w:bottom w:val="single" w:sz="6" w:space="0" w:color="00507E"/>
              <w:right w:val="single" w:sz="8" w:space="0" w:color="D9D9D9"/>
            </w:tcBorders>
          </w:tcPr>
          <w:p>
            <w:pPr>
              <w:pStyle w:val="TableParagraph"/>
              <w:spacing w:before="39"/>
              <w:ind w:left="86"/>
              <w:rPr>
                <w:rFonts w:ascii="Calibri"/>
                <w:sz w:val="20"/>
              </w:rPr>
            </w:pPr>
            <w:r>
              <w:rPr>
                <w:rFonts w:ascii="Calibri"/>
                <w:color w:val="1C242C"/>
                <w:spacing w:val="-5"/>
                <w:sz w:val="20"/>
              </w:rPr>
              <w:t>75+</w:t>
            </w:r>
          </w:p>
        </w:tc>
        <w:tc>
          <w:tcPr>
            <w:tcW w:w="1027" w:type="dxa"/>
            <w:tcBorders>
              <w:top w:val="single" w:sz="8" w:space="0" w:color="D9D9D9"/>
              <w:left w:val="single" w:sz="8" w:space="0" w:color="D9D9D9"/>
              <w:bottom w:val="single" w:sz="6" w:space="0" w:color="00507E"/>
              <w:right w:val="single" w:sz="8" w:space="0" w:color="D9D9D9"/>
            </w:tcBorders>
          </w:tcPr>
          <w:p>
            <w:pPr>
              <w:pStyle w:val="TableParagraph"/>
              <w:spacing w:before="39"/>
              <w:ind w:right="85"/>
              <w:jc w:val="right"/>
              <w:rPr>
                <w:rFonts w:ascii="Calibri"/>
                <w:sz w:val="20"/>
              </w:rPr>
            </w:pPr>
            <w:r>
              <w:rPr>
                <w:rFonts w:ascii="Calibri"/>
                <w:color w:val="1C242C"/>
                <w:spacing w:val="-2"/>
                <w:sz w:val="20"/>
              </w:rPr>
              <w:t>1,944</w:t>
            </w:r>
          </w:p>
        </w:tc>
        <w:tc>
          <w:tcPr>
            <w:tcW w:w="1265" w:type="dxa"/>
            <w:tcBorders>
              <w:top w:val="single" w:sz="8" w:space="0" w:color="D9D9D9"/>
              <w:left w:val="single" w:sz="8" w:space="0" w:color="D9D9D9"/>
              <w:bottom w:val="single" w:sz="6" w:space="0" w:color="00507E"/>
              <w:right w:val="single" w:sz="8" w:space="0" w:color="D9D9D9"/>
            </w:tcBorders>
          </w:tcPr>
          <w:p>
            <w:pPr>
              <w:pStyle w:val="TableParagraph"/>
              <w:spacing w:before="39"/>
              <w:ind w:right="321"/>
              <w:jc w:val="right"/>
              <w:rPr>
                <w:rFonts w:ascii="Calibri"/>
                <w:sz w:val="20"/>
              </w:rPr>
            </w:pPr>
            <w:r>
              <w:rPr>
                <w:rFonts w:ascii="Calibri"/>
                <w:color w:val="1C242C"/>
                <w:spacing w:val="-5"/>
                <w:sz w:val="20"/>
              </w:rPr>
              <w:t>291</w:t>
            </w:r>
          </w:p>
        </w:tc>
        <w:tc>
          <w:tcPr>
            <w:tcW w:w="1260" w:type="dxa"/>
            <w:tcBorders>
              <w:top w:val="single" w:sz="8" w:space="0" w:color="D9D9D9"/>
              <w:left w:val="single" w:sz="8" w:space="0" w:color="D9D9D9"/>
              <w:bottom w:val="single" w:sz="6" w:space="0" w:color="00507E"/>
              <w:right w:val="single" w:sz="8" w:space="0" w:color="D9D9D9"/>
            </w:tcBorders>
          </w:tcPr>
          <w:p>
            <w:pPr>
              <w:pStyle w:val="TableParagraph"/>
              <w:spacing w:before="39"/>
              <w:ind w:right="218"/>
              <w:jc w:val="right"/>
              <w:rPr>
                <w:rFonts w:ascii="Calibri"/>
                <w:sz w:val="20"/>
              </w:rPr>
            </w:pPr>
            <w:r>
              <w:rPr>
                <w:rFonts w:ascii="Calibri"/>
                <w:color w:val="1C242C"/>
                <w:spacing w:val="-2"/>
                <w:sz w:val="20"/>
              </w:rPr>
              <w:t>0.57%</w:t>
            </w:r>
          </w:p>
        </w:tc>
        <w:tc>
          <w:tcPr>
            <w:tcW w:w="1555" w:type="dxa"/>
            <w:tcBorders>
              <w:top w:val="single" w:sz="8" w:space="0" w:color="D9D9D9"/>
              <w:left w:val="single" w:sz="8" w:space="0" w:color="D9D9D9"/>
              <w:bottom w:val="single" w:sz="6" w:space="0" w:color="00507E"/>
              <w:right w:val="single" w:sz="8" w:space="0" w:color="D9D9D9"/>
            </w:tcBorders>
          </w:tcPr>
          <w:p>
            <w:pPr>
              <w:pStyle w:val="TableParagraph"/>
              <w:spacing w:before="39"/>
              <w:ind w:right="552"/>
              <w:jc w:val="right"/>
              <w:rPr>
                <w:rFonts w:ascii="Calibri"/>
                <w:sz w:val="20"/>
              </w:rPr>
            </w:pPr>
            <w:r>
              <w:rPr>
                <w:rFonts w:ascii="Calibri"/>
                <w:color w:val="1C242C"/>
                <w:spacing w:val="-2"/>
                <w:sz w:val="20"/>
              </w:rPr>
              <w:t>0.32%</w:t>
            </w:r>
          </w:p>
        </w:tc>
        <w:tc>
          <w:tcPr>
            <w:tcW w:w="1077" w:type="dxa"/>
            <w:tcBorders>
              <w:top w:val="single" w:sz="8" w:space="0" w:color="D9D9D9"/>
              <w:left w:val="single" w:sz="8" w:space="0" w:color="D9D9D9"/>
              <w:bottom w:val="single" w:sz="6" w:space="0" w:color="00507E"/>
              <w:right w:val="nil"/>
            </w:tcBorders>
          </w:tcPr>
          <w:p>
            <w:pPr>
              <w:pStyle w:val="TableParagraph"/>
              <w:spacing w:before="39"/>
              <w:ind w:right="85"/>
              <w:jc w:val="right"/>
              <w:rPr>
                <w:rFonts w:ascii="Calibri"/>
                <w:sz w:val="20"/>
              </w:rPr>
            </w:pPr>
            <w:r>
              <w:rPr>
                <w:rFonts w:ascii="Calibri"/>
                <w:color w:val="1C242C"/>
                <w:spacing w:val="-2"/>
                <w:sz w:val="20"/>
              </w:rPr>
              <w:t>22.50%</w:t>
            </w:r>
          </w:p>
        </w:tc>
      </w:tr>
    </w:tbl>
    <w:p>
      <w:pPr>
        <w:pStyle w:val="TableParagraph"/>
        <w:spacing w:after="0"/>
        <w:jc w:val="right"/>
        <w:rPr>
          <w:rFonts w:ascii="Calibri"/>
          <w:sz w:val="20"/>
        </w:rPr>
        <w:sectPr>
          <w:pgSz w:w="12240" w:h="15840"/>
          <w:pgMar w:top="1360" w:right="1080" w:bottom="940" w:left="1080" w:header="0" w:footer="748"/>
          <w:cols w:space="720"/>
        </w:sectPr>
      </w:pPr>
    </w:p>
    <w:p>
      <w:pPr>
        <w:pStyle w:val="BodyText"/>
        <w:spacing w:before="4"/>
        <w:ind w:left="0"/>
        <w:rPr>
          <w:rFonts w:ascii="Arial"/>
          <w:b/>
          <w:sz w:val="2"/>
        </w:rPr>
      </w:pPr>
    </w:p>
    <w:tbl>
      <w:tblPr>
        <w:tblStyle w:val="TableNormal"/>
        <w:tblW w:w="0" w:type="auto"/>
        <w:jc w:val="left"/>
        <w:tblInd w:w="339" w:type="dxa"/>
        <w:tblBorders>
          <w:top w:val="single" w:sz="24" w:space="0" w:color="009DD6"/>
          <w:left w:val="single" w:sz="24" w:space="0" w:color="009DD6"/>
          <w:bottom w:val="single" w:sz="24" w:space="0" w:color="009DD6"/>
          <w:right w:val="single" w:sz="24" w:space="0" w:color="009DD6"/>
          <w:insideH w:val="single" w:sz="24" w:space="0" w:color="009DD6"/>
          <w:insideV w:val="single" w:sz="24" w:space="0" w:color="009DD6"/>
        </w:tblBorders>
        <w:tblLayout w:type="fixed"/>
        <w:tblCellMar>
          <w:top w:w="0" w:type="dxa"/>
          <w:left w:w="0" w:type="dxa"/>
          <w:bottom w:w="0" w:type="dxa"/>
          <w:right w:w="0" w:type="dxa"/>
        </w:tblCellMar>
        <w:tblLook w:val="01E0"/>
      </w:tblPr>
      <w:tblGrid>
        <w:gridCol w:w="3233"/>
        <w:gridCol w:w="1027"/>
        <w:gridCol w:w="1265"/>
        <w:gridCol w:w="1260"/>
        <w:gridCol w:w="1555"/>
        <w:gridCol w:w="1077"/>
      </w:tblGrid>
      <w:tr>
        <w:tblPrEx>
          <w:tblW w:w="0" w:type="auto"/>
          <w:jc w:val="left"/>
          <w:tblInd w:w="339" w:type="dxa"/>
          <w:tblBorders>
            <w:top w:val="single" w:sz="24" w:space="0" w:color="009DD6"/>
            <w:left w:val="single" w:sz="24" w:space="0" w:color="009DD6"/>
            <w:bottom w:val="single" w:sz="24" w:space="0" w:color="009DD6"/>
            <w:right w:val="single" w:sz="24" w:space="0" w:color="009DD6"/>
            <w:insideH w:val="single" w:sz="24" w:space="0" w:color="009DD6"/>
            <w:insideV w:val="single" w:sz="24" w:space="0" w:color="009DD6"/>
          </w:tblBorders>
          <w:tblLayout w:type="fixed"/>
          <w:tblCellMar>
            <w:top w:w="0" w:type="dxa"/>
            <w:left w:w="0" w:type="dxa"/>
            <w:bottom w:w="0" w:type="dxa"/>
            <w:right w:w="0" w:type="dxa"/>
          </w:tblCellMar>
          <w:tblLook w:val="01E0"/>
        </w:tblPrEx>
        <w:trPr>
          <w:trHeight w:val="924"/>
          <w:jc w:val="left"/>
        </w:trPr>
        <w:tc>
          <w:tcPr>
            <w:tcW w:w="3233" w:type="dxa"/>
            <w:tcBorders>
              <w:top w:val="nil"/>
              <w:left w:val="nil"/>
              <w:right w:val="nil"/>
            </w:tcBorders>
            <w:shd w:val="clear" w:color="auto" w:fill="00507E"/>
          </w:tcPr>
          <w:p>
            <w:pPr>
              <w:pStyle w:val="TableParagraph"/>
              <w:spacing w:before="0"/>
              <w:rPr>
                <w:rFonts w:ascii="Arial"/>
                <w:b/>
                <w:sz w:val="20"/>
              </w:rPr>
            </w:pPr>
          </w:p>
          <w:p>
            <w:pPr>
              <w:pStyle w:val="TableParagraph"/>
              <w:spacing w:before="142"/>
              <w:rPr>
                <w:rFonts w:ascii="Arial"/>
                <w:b/>
                <w:sz w:val="20"/>
              </w:rPr>
            </w:pPr>
          </w:p>
          <w:p>
            <w:pPr>
              <w:pStyle w:val="TableParagraph"/>
              <w:spacing w:before="0"/>
              <w:ind w:left="441"/>
              <w:rPr>
                <w:rFonts w:ascii="Calibri"/>
                <w:b/>
                <w:sz w:val="20"/>
              </w:rPr>
            </w:pPr>
            <w:r>
              <w:rPr>
                <w:rFonts w:ascii="Calibri"/>
                <w:b/>
                <w:color w:val="FFFFFF"/>
                <w:sz w:val="20"/>
              </w:rPr>
              <w:t>2025</w:t>
            </w:r>
            <w:r>
              <w:rPr>
                <w:rFonts w:ascii="Calibri"/>
                <w:b/>
                <w:color w:val="FFFFFF"/>
                <w:spacing w:val="-8"/>
                <w:sz w:val="20"/>
              </w:rPr>
              <w:t xml:space="preserve"> </w:t>
            </w:r>
            <w:r>
              <w:rPr>
                <w:rFonts w:ascii="Calibri"/>
                <w:b/>
                <w:color w:val="FFFFFF"/>
                <w:sz w:val="20"/>
              </w:rPr>
              <w:t>enrollee</w:t>
            </w:r>
            <w:r>
              <w:rPr>
                <w:rFonts w:ascii="Calibri"/>
                <w:b/>
                <w:color w:val="FFFFFF"/>
                <w:spacing w:val="-6"/>
                <w:sz w:val="20"/>
              </w:rPr>
              <w:t xml:space="preserve"> </w:t>
            </w:r>
            <w:r>
              <w:rPr>
                <w:rFonts w:ascii="Calibri"/>
                <w:b/>
                <w:color w:val="FFFFFF"/>
                <w:spacing w:val="-2"/>
                <w:sz w:val="20"/>
              </w:rPr>
              <w:t>characteristics</w:t>
            </w:r>
          </w:p>
        </w:tc>
        <w:tc>
          <w:tcPr>
            <w:tcW w:w="1027" w:type="dxa"/>
            <w:tcBorders>
              <w:top w:val="nil"/>
              <w:left w:val="nil"/>
              <w:right w:val="nil"/>
            </w:tcBorders>
            <w:shd w:val="clear" w:color="auto" w:fill="00507E"/>
          </w:tcPr>
          <w:p>
            <w:pPr>
              <w:pStyle w:val="TableParagraph"/>
              <w:spacing w:before="93"/>
              <w:rPr>
                <w:rFonts w:ascii="Arial"/>
                <w:b/>
                <w:sz w:val="20"/>
              </w:rPr>
            </w:pPr>
          </w:p>
          <w:p>
            <w:pPr>
              <w:pStyle w:val="TableParagraph"/>
              <w:spacing w:before="0" w:line="276" w:lineRule="auto"/>
              <w:ind w:left="161" w:right="154" w:firstLine="141"/>
              <w:rPr>
                <w:rFonts w:ascii="Calibri"/>
                <w:b/>
                <w:sz w:val="20"/>
              </w:rPr>
            </w:pPr>
            <w:r>
              <w:rPr>
                <w:rFonts w:ascii="Calibri"/>
                <w:b/>
                <w:color w:val="FFFFFF"/>
                <w:spacing w:val="-2"/>
                <w:sz w:val="20"/>
              </w:rPr>
              <w:t>Total sampled</w:t>
            </w:r>
          </w:p>
        </w:tc>
        <w:tc>
          <w:tcPr>
            <w:tcW w:w="1265" w:type="dxa"/>
            <w:tcBorders>
              <w:top w:val="nil"/>
              <w:left w:val="nil"/>
              <w:right w:val="nil"/>
            </w:tcBorders>
            <w:shd w:val="clear" w:color="auto" w:fill="00507E"/>
          </w:tcPr>
          <w:p>
            <w:pPr>
              <w:pStyle w:val="TableParagraph"/>
              <w:spacing w:before="43" w:line="276" w:lineRule="auto"/>
              <w:ind w:left="3"/>
              <w:jc w:val="center"/>
              <w:rPr>
                <w:rFonts w:ascii="Calibri"/>
                <w:b/>
                <w:sz w:val="20"/>
              </w:rPr>
            </w:pPr>
            <w:r>
              <w:rPr>
                <w:rFonts w:ascii="Calibri"/>
                <w:b/>
                <w:color w:val="FFFFFF"/>
                <w:sz w:val="20"/>
              </w:rPr>
              <w:t>Number</w:t>
            </w:r>
            <w:r>
              <w:rPr>
                <w:rFonts w:ascii="Calibri"/>
                <w:b/>
                <w:color w:val="FFFFFF"/>
                <w:spacing w:val="-12"/>
                <w:sz w:val="20"/>
              </w:rPr>
              <w:t xml:space="preserve"> </w:t>
            </w:r>
            <w:r>
              <w:rPr>
                <w:rFonts w:ascii="Calibri"/>
                <w:b/>
                <w:color w:val="FFFFFF"/>
                <w:sz w:val="20"/>
              </w:rPr>
              <w:t xml:space="preserve">of </w:t>
            </w:r>
            <w:r>
              <w:rPr>
                <w:rFonts w:ascii="Calibri"/>
                <w:b/>
                <w:color w:val="FFFFFF"/>
                <w:spacing w:val="-2"/>
                <w:sz w:val="20"/>
              </w:rPr>
              <w:t>completed surveys</w:t>
            </w:r>
          </w:p>
        </w:tc>
        <w:tc>
          <w:tcPr>
            <w:tcW w:w="1260" w:type="dxa"/>
            <w:tcBorders>
              <w:top w:val="nil"/>
              <w:left w:val="nil"/>
              <w:right w:val="nil"/>
            </w:tcBorders>
            <w:shd w:val="clear" w:color="auto" w:fill="00507E"/>
          </w:tcPr>
          <w:p>
            <w:pPr>
              <w:pStyle w:val="TableParagraph"/>
              <w:spacing w:before="43" w:line="276" w:lineRule="auto"/>
              <w:ind w:left="185" w:right="184" w:firstLine="5"/>
              <w:jc w:val="center"/>
              <w:rPr>
                <w:rFonts w:ascii="Calibri"/>
                <w:b/>
                <w:sz w:val="20"/>
              </w:rPr>
            </w:pPr>
            <w:r>
              <w:rPr>
                <w:rFonts w:ascii="Calibri"/>
                <w:b/>
                <w:color w:val="FFFFFF"/>
                <w:sz w:val="20"/>
              </w:rPr>
              <w:t xml:space="preserve">% of total </w:t>
            </w:r>
            <w:r>
              <w:rPr>
                <w:rFonts w:ascii="Calibri"/>
                <w:b/>
                <w:color w:val="FFFFFF"/>
                <w:spacing w:val="-2"/>
                <w:sz w:val="20"/>
              </w:rPr>
              <w:t>completed surveys</w:t>
            </w:r>
          </w:p>
        </w:tc>
        <w:tc>
          <w:tcPr>
            <w:tcW w:w="1555" w:type="dxa"/>
            <w:tcBorders>
              <w:top w:val="nil"/>
              <w:left w:val="nil"/>
              <w:right w:val="nil"/>
            </w:tcBorders>
            <w:shd w:val="clear" w:color="auto" w:fill="00507E"/>
          </w:tcPr>
          <w:p>
            <w:pPr>
              <w:pStyle w:val="TableParagraph"/>
              <w:spacing w:before="43" w:line="276" w:lineRule="auto"/>
              <w:ind w:left="132" w:right="130" w:firstLine="3"/>
              <w:jc w:val="center"/>
              <w:rPr>
                <w:rFonts w:ascii="Calibri"/>
                <w:b/>
                <w:sz w:val="20"/>
              </w:rPr>
            </w:pPr>
            <w:r>
              <w:rPr>
                <w:rFonts w:ascii="Calibri"/>
                <w:b/>
                <w:color w:val="FFFFFF"/>
                <w:sz w:val="20"/>
              </w:rPr>
              <w:t>% of QHP Enrollee</w:t>
            </w:r>
            <w:r>
              <w:rPr>
                <w:rFonts w:ascii="Calibri"/>
                <w:b/>
                <w:color w:val="FFFFFF"/>
                <w:spacing w:val="-12"/>
                <w:sz w:val="20"/>
              </w:rPr>
              <w:t xml:space="preserve"> </w:t>
            </w:r>
            <w:r>
              <w:rPr>
                <w:rFonts w:ascii="Calibri"/>
                <w:b/>
                <w:color w:val="FFFFFF"/>
                <w:sz w:val="20"/>
              </w:rPr>
              <w:t xml:space="preserve">Survey </w:t>
            </w:r>
            <w:r>
              <w:rPr>
                <w:rFonts w:ascii="Calibri"/>
                <w:b/>
                <w:color w:val="FFFFFF"/>
                <w:spacing w:val="-2"/>
                <w:sz w:val="20"/>
              </w:rPr>
              <w:t>sample</w:t>
            </w:r>
          </w:p>
        </w:tc>
        <w:tc>
          <w:tcPr>
            <w:tcW w:w="1077" w:type="dxa"/>
            <w:tcBorders>
              <w:top w:val="nil"/>
              <w:left w:val="nil"/>
              <w:right w:val="nil"/>
            </w:tcBorders>
            <w:shd w:val="clear" w:color="auto" w:fill="00507E"/>
          </w:tcPr>
          <w:p>
            <w:pPr>
              <w:pStyle w:val="TableParagraph"/>
              <w:spacing w:before="93"/>
              <w:rPr>
                <w:rFonts w:ascii="Arial"/>
                <w:b/>
                <w:sz w:val="20"/>
              </w:rPr>
            </w:pPr>
          </w:p>
          <w:p>
            <w:pPr>
              <w:pStyle w:val="TableParagraph"/>
              <w:spacing w:before="0" w:line="276" w:lineRule="auto"/>
              <w:ind w:left="354" w:right="151" w:hanging="228"/>
              <w:rPr>
                <w:rFonts w:ascii="Calibri"/>
                <w:b/>
                <w:sz w:val="20"/>
              </w:rPr>
            </w:pPr>
            <w:r>
              <w:rPr>
                <w:rFonts w:ascii="Calibri"/>
                <w:b/>
                <w:color w:val="FFFFFF"/>
                <w:spacing w:val="-2"/>
                <w:sz w:val="20"/>
              </w:rPr>
              <w:t xml:space="preserve">Response </w:t>
            </w:r>
            <w:r>
              <w:rPr>
                <w:rFonts w:ascii="Calibri"/>
                <w:b/>
                <w:color w:val="FFFFFF"/>
                <w:spacing w:val="-4"/>
                <w:sz w:val="20"/>
              </w:rPr>
              <w:t>rate</w:t>
            </w:r>
          </w:p>
        </w:tc>
      </w:tr>
      <w:tr>
        <w:tblPrEx>
          <w:tblW w:w="0" w:type="auto"/>
          <w:jc w:val="left"/>
          <w:tblInd w:w="339" w:type="dxa"/>
          <w:tblLayout w:type="fixed"/>
          <w:tblCellMar>
            <w:top w:w="0" w:type="dxa"/>
            <w:left w:w="0" w:type="dxa"/>
            <w:bottom w:w="0" w:type="dxa"/>
            <w:right w:w="0" w:type="dxa"/>
          </w:tblCellMar>
          <w:tblLook w:val="01E0"/>
        </w:tblPrEx>
        <w:trPr>
          <w:trHeight w:val="318"/>
          <w:jc w:val="left"/>
        </w:trPr>
        <w:tc>
          <w:tcPr>
            <w:tcW w:w="9417" w:type="dxa"/>
            <w:gridSpan w:val="6"/>
            <w:tcBorders>
              <w:left w:val="nil"/>
              <w:bottom w:val="single" w:sz="8" w:space="0" w:color="D9D9D9"/>
              <w:right w:val="nil"/>
            </w:tcBorders>
            <w:shd w:val="clear" w:color="auto" w:fill="D1EDFB"/>
          </w:tcPr>
          <w:p>
            <w:pPr>
              <w:pStyle w:val="TableParagraph"/>
              <w:spacing w:before="0" w:line="243" w:lineRule="exact"/>
              <w:ind w:left="86"/>
              <w:rPr>
                <w:rFonts w:ascii="Calibri"/>
                <w:b/>
                <w:sz w:val="20"/>
              </w:rPr>
            </w:pPr>
            <w:r>
              <w:rPr>
                <w:rFonts w:ascii="Calibri"/>
                <w:b/>
                <w:color w:val="1C242C"/>
                <w:spacing w:val="-5"/>
                <w:sz w:val="20"/>
              </w:rPr>
              <w:t>Sex</w:t>
            </w:r>
          </w:p>
        </w:tc>
      </w:tr>
      <w:tr>
        <w:tblPrEx>
          <w:tblW w:w="0" w:type="auto"/>
          <w:jc w:val="left"/>
          <w:tblInd w:w="339" w:type="dxa"/>
          <w:tblLayout w:type="fixed"/>
          <w:tblCellMar>
            <w:top w:w="0" w:type="dxa"/>
            <w:left w:w="0" w:type="dxa"/>
            <w:bottom w:w="0" w:type="dxa"/>
            <w:right w:w="0" w:type="dxa"/>
          </w:tblCellMar>
          <w:tblLook w:val="01E0"/>
        </w:tblPrEx>
        <w:trPr>
          <w:trHeight w:val="385"/>
          <w:jc w:val="left"/>
        </w:trPr>
        <w:tc>
          <w:tcPr>
            <w:tcW w:w="3233" w:type="dxa"/>
            <w:tcBorders>
              <w:top w:val="single" w:sz="8" w:space="0" w:color="D9D9D9"/>
              <w:left w:val="nil"/>
              <w:bottom w:val="single" w:sz="8" w:space="0" w:color="D9D9D9"/>
              <w:right w:val="single" w:sz="8" w:space="0" w:color="D9D9D9"/>
            </w:tcBorders>
          </w:tcPr>
          <w:p>
            <w:pPr>
              <w:pStyle w:val="TableParagraph"/>
              <w:spacing w:before="42"/>
              <w:ind w:left="86"/>
              <w:rPr>
                <w:rFonts w:ascii="Calibri"/>
                <w:sz w:val="20"/>
              </w:rPr>
            </w:pPr>
            <w:r>
              <w:rPr>
                <w:rFonts w:ascii="Calibri"/>
                <w:color w:val="1C242C"/>
                <w:spacing w:val="-2"/>
                <w:sz w:val="20"/>
              </w:rPr>
              <w:t>Female</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spacing w:before="66"/>
              <w:ind w:right="46"/>
              <w:jc w:val="right"/>
              <w:rPr>
                <w:rFonts w:ascii="Calibri"/>
                <w:sz w:val="20"/>
              </w:rPr>
            </w:pPr>
            <w:r>
              <w:rPr>
                <w:rFonts w:ascii="Calibri"/>
                <w:color w:val="1C242C"/>
                <w:spacing w:val="-2"/>
                <w:sz w:val="20"/>
              </w:rPr>
              <w:t>319,660</w:t>
            </w:r>
          </w:p>
        </w:tc>
        <w:tc>
          <w:tcPr>
            <w:tcW w:w="1265" w:type="dxa"/>
            <w:tcBorders>
              <w:top w:val="single" w:sz="8" w:space="0" w:color="D9D9D9"/>
              <w:left w:val="single" w:sz="8" w:space="0" w:color="D9D9D9"/>
              <w:bottom w:val="single" w:sz="8" w:space="0" w:color="D9D9D9"/>
              <w:right w:val="single" w:sz="8" w:space="0" w:color="D9D9D9"/>
            </w:tcBorders>
          </w:tcPr>
          <w:p>
            <w:pPr>
              <w:pStyle w:val="TableParagraph"/>
              <w:spacing w:before="66"/>
              <w:ind w:right="320"/>
              <w:jc w:val="right"/>
              <w:rPr>
                <w:rFonts w:ascii="Calibri"/>
                <w:sz w:val="20"/>
              </w:rPr>
            </w:pPr>
            <w:r>
              <w:rPr>
                <w:rFonts w:ascii="Calibri"/>
                <w:color w:val="1C242C"/>
                <w:spacing w:val="-2"/>
                <w:sz w:val="20"/>
              </w:rPr>
              <w:t>31,574</w:t>
            </w:r>
          </w:p>
        </w:tc>
        <w:tc>
          <w:tcPr>
            <w:tcW w:w="1260" w:type="dxa"/>
            <w:tcBorders>
              <w:top w:val="single" w:sz="8" w:space="0" w:color="D9D9D9"/>
              <w:left w:val="single" w:sz="8" w:space="0" w:color="D9D9D9"/>
              <w:bottom w:val="single" w:sz="8" w:space="0" w:color="D9D9D9"/>
              <w:right w:val="single" w:sz="8" w:space="0" w:color="D9D9D9"/>
            </w:tcBorders>
          </w:tcPr>
          <w:p>
            <w:pPr>
              <w:pStyle w:val="TableParagraph"/>
              <w:spacing w:before="66"/>
              <w:ind w:left="2"/>
              <w:jc w:val="center"/>
              <w:rPr>
                <w:rFonts w:ascii="Calibri"/>
                <w:sz w:val="20"/>
              </w:rPr>
            </w:pPr>
            <w:r>
              <w:rPr>
                <w:rFonts w:ascii="Calibri"/>
                <w:spacing w:val="-2"/>
                <w:sz w:val="20"/>
              </w:rPr>
              <w:t>62.00%</w:t>
            </w:r>
          </w:p>
        </w:tc>
        <w:tc>
          <w:tcPr>
            <w:tcW w:w="1555" w:type="dxa"/>
            <w:tcBorders>
              <w:top w:val="single" w:sz="8" w:space="0" w:color="D9D9D9"/>
              <w:left w:val="single" w:sz="8" w:space="0" w:color="D9D9D9"/>
              <w:bottom w:val="single" w:sz="8" w:space="0" w:color="D9D9D9"/>
              <w:right w:val="single" w:sz="8" w:space="0" w:color="D9D9D9"/>
            </w:tcBorders>
          </w:tcPr>
          <w:p>
            <w:pPr>
              <w:pStyle w:val="TableParagraph"/>
              <w:spacing w:before="66"/>
              <w:ind w:right="466"/>
              <w:jc w:val="right"/>
              <w:rPr>
                <w:rFonts w:ascii="Calibri"/>
                <w:sz w:val="20"/>
              </w:rPr>
            </w:pPr>
            <w:r>
              <w:rPr>
                <w:rFonts w:ascii="Calibri"/>
                <w:spacing w:val="-2"/>
                <w:sz w:val="20"/>
              </w:rPr>
              <w:t>53.30%</w:t>
            </w:r>
          </w:p>
        </w:tc>
        <w:tc>
          <w:tcPr>
            <w:tcW w:w="1077" w:type="dxa"/>
            <w:tcBorders>
              <w:top w:val="single" w:sz="8" w:space="0" w:color="D9D9D9"/>
              <w:left w:val="single" w:sz="8" w:space="0" w:color="D9D9D9"/>
              <w:bottom w:val="single" w:sz="8" w:space="0" w:color="D9D9D9"/>
              <w:right w:val="nil"/>
            </w:tcBorders>
          </w:tcPr>
          <w:p>
            <w:pPr>
              <w:pStyle w:val="TableParagraph"/>
              <w:spacing w:before="66"/>
              <w:ind w:right="37"/>
              <w:jc w:val="center"/>
              <w:rPr>
                <w:rFonts w:ascii="Calibri"/>
                <w:sz w:val="20"/>
              </w:rPr>
            </w:pPr>
            <w:r>
              <w:rPr>
                <w:rFonts w:ascii="Calibri"/>
                <w:spacing w:val="-2"/>
                <w:sz w:val="20"/>
              </w:rPr>
              <w:t>16.80%</w:t>
            </w:r>
          </w:p>
        </w:tc>
      </w:tr>
      <w:tr>
        <w:tblPrEx>
          <w:tblW w:w="0" w:type="auto"/>
          <w:jc w:val="left"/>
          <w:tblInd w:w="339" w:type="dxa"/>
          <w:tblLayout w:type="fixed"/>
          <w:tblCellMar>
            <w:top w:w="0" w:type="dxa"/>
            <w:left w:w="0" w:type="dxa"/>
            <w:bottom w:w="0" w:type="dxa"/>
            <w:right w:w="0" w:type="dxa"/>
          </w:tblCellMar>
          <w:tblLook w:val="01E0"/>
        </w:tblPrEx>
        <w:trPr>
          <w:trHeight w:val="361"/>
          <w:jc w:val="left"/>
        </w:trPr>
        <w:tc>
          <w:tcPr>
            <w:tcW w:w="3233" w:type="dxa"/>
            <w:tcBorders>
              <w:top w:val="single" w:sz="8" w:space="0" w:color="D9D9D9"/>
              <w:left w:val="nil"/>
              <w:bottom w:val="single" w:sz="8" w:space="0" w:color="D9D9D9"/>
              <w:right w:val="single" w:sz="8" w:space="0" w:color="D9D9D9"/>
            </w:tcBorders>
          </w:tcPr>
          <w:p>
            <w:pPr>
              <w:pStyle w:val="TableParagraph"/>
              <w:spacing w:before="39"/>
              <w:ind w:left="86"/>
              <w:rPr>
                <w:rFonts w:ascii="Calibri"/>
                <w:sz w:val="20"/>
              </w:rPr>
            </w:pPr>
            <w:r>
              <w:rPr>
                <w:rFonts w:ascii="Calibri"/>
                <w:color w:val="1C242C"/>
                <w:spacing w:val="-4"/>
                <w:sz w:val="20"/>
              </w:rPr>
              <w:t>Male</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spacing w:before="39"/>
              <w:ind w:right="46"/>
              <w:jc w:val="right"/>
              <w:rPr>
                <w:rFonts w:ascii="Calibri"/>
                <w:sz w:val="20"/>
              </w:rPr>
            </w:pPr>
            <w:r>
              <w:rPr>
                <w:rFonts w:ascii="Calibri"/>
                <w:color w:val="1C242C"/>
                <w:spacing w:val="-2"/>
                <w:sz w:val="20"/>
              </w:rPr>
              <w:t>280,479</w:t>
            </w:r>
          </w:p>
        </w:tc>
        <w:tc>
          <w:tcPr>
            <w:tcW w:w="1265" w:type="dxa"/>
            <w:tcBorders>
              <w:top w:val="single" w:sz="8" w:space="0" w:color="D9D9D9"/>
              <w:left w:val="single" w:sz="8" w:space="0" w:color="D9D9D9"/>
              <w:bottom w:val="single" w:sz="8" w:space="0" w:color="D9D9D9"/>
              <w:right w:val="single" w:sz="8" w:space="0" w:color="D9D9D9"/>
            </w:tcBorders>
          </w:tcPr>
          <w:p>
            <w:pPr>
              <w:pStyle w:val="TableParagraph"/>
              <w:spacing w:before="39"/>
              <w:ind w:right="320"/>
              <w:jc w:val="right"/>
              <w:rPr>
                <w:rFonts w:ascii="Calibri"/>
                <w:sz w:val="20"/>
              </w:rPr>
            </w:pPr>
            <w:r>
              <w:rPr>
                <w:rFonts w:ascii="Calibri"/>
                <w:color w:val="1C242C"/>
                <w:spacing w:val="-2"/>
                <w:sz w:val="20"/>
              </w:rPr>
              <w:t>19,338</w:t>
            </w:r>
          </w:p>
        </w:tc>
        <w:tc>
          <w:tcPr>
            <w:tcW w:w="1260" w:type="dxa"/>
            <w:tcBorders>
              <w:top w:val="single" w:sz="8" w:space="0" w:color="D9D9D9"/>
              <w:left w:val="single" w:sz="8" w:space="0" w:color="D9D9D9"/>
              <w:bottom w:val="single" w:sz="8" w:space="0" w:color="D9D9D9"/>
              <w:right w:val="single" w:sz="8" w:space="0" w:color="D9D9D9"/>
            </w:tcBorders>
          </w:tcPr>
          <w:p>
            <w:pPr>
              <w:pStyle w:val="TableParagraph"/>
              <w:spacing w:before="39"/>
              <w:ind w:left="2"/>
              <w:jc w:val="center"/>
              <w:rPr>
                <w:rFonts w:ascii="Calibri"/>
                <w:sz w:val="20"/>
              </w:rPr>
            </w:pPr>
            <w:r>
              <w:rPr>
                <w:rFonts w:ascii="Calibri"/>
                <w:spacing w:val="-2"/>
                <w:sz w:val="20"/>
              </w:rPr>
              <w:t>38.00%</w:t>
            </w:r>
          </w:p>
        </w:tc>
        <w:tc>
          <w:tcPr>
            <w:tcW w:w="1555" w:type="dxa"/>
            <w:tcBorders>
              <w:top w:val="single" w:sz="8" w:space="0" w:color="D9D9D9"/>
              <w:left w:val="single" w:sz="8" w:space="0" w:color="D9D9D9"/>
              <w:bottom w:val="single" w:sz="8" w:space="0" w:color="D9D9D9"/>
              <w:right w:val="single" w:sz="8" w:space="0" w:color="D9D9D9"/>
            </w:tcBorders>
          </w:tcPr>
          <w:p>
            <w:pPr>
              <w:pStyle w:val="TableParagraph"/>
              <w:spacing w:before="39"/>
              <w:ind w:right="466"/>
              <w:jc w:val="right"/>
              <w:rPr>
                <w:rFonts w:ascii="Calibri"/>
                <w:sz w:val="20"/>
              </w:rPr>
            </w:pPr>
            <w:r>
              <w:rPr>
                <w:rFonts w:ascii="Calibri"/>
                <w:spacing w:val="-2"/>
                <w:sz w:val="20"/>
              </w:rPr>
              <w:t>46.70%</w:t>
            </w:r>
          </w:p>
        </w:tc>
        <w:tc>
          <w:tcPr>
            <w:tcW w:w="1077" w:type="dxa"/>
            <w:tcBorders>
              <w:top w:val="single" w:sz="8" w:space="0" w:color="D9D9D9"/>
              <w:left w:val="single" w:sz="8" w:space="0" w:color="D9D9D9"/>
              <w:bottom w:val="single" w:sz="8" w:space="0" w:color="D9D9D9"/>
              <w:right w:val="nil"/>
            </w:tcBorders>
          </w:tcPr>
          <w:p>
            <w:pPr>
              <w:pStyle w:val="TableParagraph"/>
              <w:spacing w:before="39"/>
              <w:ind w:right="37"/>
              <w:jc w:val="center"/>
              <w:rPr>
                <w:rFonts w:ascii="Calibri"/>
                <w:sz w:val="20"/>
              </w:rPr>
            </w:pPr>
            <w:r>
              <w:rPr>
                <w:rFonts w:ascii="Calibri"/>
                <w:spacing w:val="-2"/>
                <w:sz w:val="20"/>
              </w:rPr>
              <w:t>13.90%</w:t>
            </w:r>
          </w:p>
        </w:tc>
      </w:tr>
      <w:tr>
        <w:tblPrEx>
          <w:tblW w:w="0" w:type="auto"/>
          <w:jc w:val="left"/>
          <w:tblInd w:w="339" w:type="dxa"/>
          <w:tblLayout w:type="fixed"/>
          <w:tblCellMar>
            <w:top w:w="0" w:type="dxa"/>
            <w:left w:w="0" w:type="dxa"/>
            <w:bottom w:w="0" w:type="dxa"/>
            <w:right w:w="0" w:type="dxa"/>
          </w:tblCellMar>
          <w:tblLook w:val="01E0"/>
        </w:tblPrEx>
        <w:trPr>
          <w:trHeight w:val="359"/>
          <w:jc w:val="left"/>
        </w:trPr>
        <w:tc>
          <w:tcPr>
            <w:tcW w:w="9417" w:type="dxa"/>
            <w:gridSpan w:val="6"/>
            <w:tcBorders>
              <w:top w:val="single" w:sz="8" w:space="0" w:color="D9D9D9"/>
              <w:left w:val="nil"/>
              <w:bottom w:val="single" w:sz="8" w:space="0" w:color="D9D9D9"/>
              <w:right w:val="nil"/>
            </w:tcBorders>
            <w:shd w:val="clear" w:color="auto" w:fill="D1EDFB"/>
          </w:tcPr>
          <w:p>
            <w:pPr>
              <w:pStyle w:val="TableParagraph"/>
              <w:spacing w:before="39"/>
              <w:ind w:left="86"/>
              <w:rPr>
                <w:rFonts w:ascii="Calibri"/>
                <w:b/>
                <w:sz w:val="20"/>
              </w:rPr>
            </w:pPr>
            <w:r>
              <w:rPr>
                <w:rFonts w:ascii="Calibri"/>
                <w:b/>
                <w:color w:val="1C242C"/>
                <w:sz w:val="20"/>
              </w:rPr>
              <w:t>Language</w:t>
            </w:r>
            <w:r>
              <w:rPr>
                <w:rFonts w:ascii="Calibri"/>
                <w:b/>
                <w:color w:val="1C242C"/>
                <w:spacing w:val="-11"/>
                <w:sz w:val="20"/>
              </w:rPr>
              <w:t xml:space="preserve"> </w:t>
            </w:r>
            <w:r>
              <w:rPr>
                <w:rFonts w:ascii="Calibri"/>
                <w:b/>
                <w:color w:val="1C242C"/>
                <w:spacing w:val="-2"/>
                <w:sz w:val="20"/>
              </w:rPr>
              <w:t>preferences</w:t>
            </w:r>
          </w:p>
        </w:tc>
      </w:tr>
      <w:tr>
        <w:tblPrEx>
          <w:tblW w:w="0" w:type="auto"/>
          <w:jc w:val="left"/>
          <w:tblInd w:w="339" w:type="dxa"/>
          <w:tblLayout w:type="fixed"/>
          <w:tblCellMar>
            <w:top w:w="0" w:type="dxa"/>
            <w:left w:w="0" w:type="dxa"/>
            <w:bottom w:w="0" w:type="dxa"/>
            <w:right w:w="0" w:type="dxa"/>
          </w:tblCellMar>
          <w:tblLook w:val="01E0"/>
        </w:tblPrEx>
        <w:trPr>
          <w:trHeight w:val="361"/>
          <w:jc w:val="left"/>
        </w:trPr>
        <w:tc>
          <w:tcPr>
            <w:tcW w:w="9417" w:type="dxa"/>
            <w:gridSpan w:val="6"/>
            <w:tcBorders>
              <w:top w:val="single" w:sz="8" w:space="0" w:color="D9D9D9"/>
              <w:left w:val="nil"/>
              <w:bottom w:val="single" w:sz="8" w:space="0" w:color="D9D9D9"/>
              <w:right w:val="nil"/>
            </w:tcBorders>
            <w:shd w:val="clear" w:color="auto" w:fill="F3FAFF"/>
          </w:tcPr>
          <w:p>
            <w:pPr>
              <w:pStyle w:val="TableParagraph"/>
              <w:spacing w:before="42"/>
              <w:ind w:left="86"/>
              <w:rPr>
                <w:rFonts w:ascii="Calibri"/>
                <w:i/>
                <w:sz w:val="20"/>
              </w:rPr>
            </w:pPr>
            <w:r>
              <w:rPr>
                <w:rFonts w:ascii="Calibri"/>
                <w:i/>
                <w:color w:val="1C242C"/>
                <w:sz w:val="20"/>
              </w:rPr>
              <w:t>Spoken</w:t>
            </w:r>
            <w:r>
              <w:rPr>
                <w:rFonts w:ascii="Calibri"/>
                <w:i/>
                <w:color w:val="1C242C"/>
                <w:spacing w:val="-5"/>
                <w:sz w:val="20"/>
              </w:rPr>
              <w:t xml:space="preserve"> </w:t>
            </w:r>
            <w:r>
              <w:rPr>
                <w:rFonts w:ascii="Calibri"/>
                <w:i/>
                <w:color w:val="1C242C"/>
                <w:spacing w:val="-2"/>
                <w:sz w:val="20"/>
              </w:rPr>
              <w:t>language</w:t>
            </w:r>
          </w:p>
        </w:tc>
      </w:tr>
      <w:tr>
        <w:tblPrEx>
          <w:tblW w:w="0" w:type="auto"/>
          <w:jc w:val="left"/>
          <w:tblInd w:w="339" w:type="dxa"/>
          <w:tblLayout w:type="fixed"/>
          <w:tblCellMar>
            <w:top w:w="0" w:type="dxa"/>
            <w:left w:w="0" w:type="dxa"/>
            <w:bottom w:w="0" w:type="dxa"/>
            <w:right w:w="0" w:type="dxa"/>
          </w:tblCellMar>
          <w:tblLook w:val="01E0"/>
        </w:tblPrEx>
        <w:trPr>
          <w:trHeight w:val="361"/>
          <w:jc w:val="left"/>
        </w:trPr>
        <w:tc>
          <w:tcPr>
            <w:tcW w:w="3233" w:type="dxa"/>
            <w:tcBorders>
              <w:top w:val="single" w:sz="8" w:space="0" w:color="D9D9D9"/>
              <w:left w:val="nil"/>
              <w:bottom w:val="single" w:sz="8" w:space="0" w:color="D9D9D9"/>
              <w:right w:val="single" w:sz="8" w:space="0" w:color="D9D9D9"/>
            </w:tcBorders>
          </w:tcPr>
          <w:p>
            <w:pPr>
              <w:pStyle w:val="TableParagraph"/>
              <w:spacing w:before="39"/>
              <w:ind w:left="86"/>
              <w:rPr>
                <w:rFonts w:ascii="Calibri"/>
                <w:sz w:val="20"/>
              </w:rPr>
            </w:pPr>
            <w:r>
              <w:rPr>
                <w:rFonts w:ascii="Calibri"/>
                <w:color w:val="1C242C"/>
                <w:spacing w:val="-2"/>
                <w:sz w:val="20"/>
              </w:rPr>
              <w:t>English</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spacing w:before="39"/>
              <w:ind w:left="175"/>
              <w:rPr>
                <w:rFonts w:ascii="Calibri"/>
                <w:sz w:val="20"/>
              </w:rPr>
            </w:pPr>
            <w:r>
              <w:rPr>
                <w:rFonts w:ascii="Calibri"/>
                <w:color w:val="1C242C"/>
                <w:spacing w:val="-2"/>
                <w:sz w:val="20"/>
              </w:rPr>
              <w:t>318,917</w:t>
            </w:r>
          </w:p>
        </w:tc>
        <w:tc>
          <w:tcPr>
            <w:tcW w:w="1265" w:type="dxa"/>
            <w:tcBorders>
              <w:top w:val="single" w:sz="8" w:space="0" w:color="D9D9D9"/>
              <w:left w:val="single" w:sz="8" w:space="0" w:color="D9D9D9"/>
              <w:bottom w:val="single" w:sz="8" w:space="0" w:color="D9D9D9"/>
              <w:right w:val="single" w:sz="8" w:space="0" w:color="D9D9D9"/>
            </w:tcBorders>
          </w:tcPr>
          <w:p>
            <w:pPr>
              <w:pStyle w:val="TableParagraph"/>
              <w:spacing w:before="39"/>
              <w:ind w:right="320"/>
              <w:jc w:val="right"/>
              <w:rPr>
                <w:rFonts w:ascii="Calibri"/>
                <w:sz w:val="20"/>
              </w:rPr>
            </w:pPr>
            <w:r>
              <w:rPr>
                <w:rFonts w:ascii="Calibri"/>
                <w:color w:val="1C242C"/>
                <w:spacing w:val="-2"/>
                <w:sz w:val="20"/>
              </w:rPr>
              <w:t>27,128</w:t>
            </w:r>
          </w:p>
        </w:tc>
        <w:tc>
          <w:tcPr>
            <w:tcW w:w="1260" w:type="dxa"/>
            <w:tcBorders>
              <w:top w:val="single" w:sz="8" w:space="0" w:color="D9D9D9"/>
              <w:left w:val="single" w:sz="8" w:space="0" w:color="D9D9D9"/>
              <w:bottom w:val="single" w:sz="8" w:space="0" w:color="D9D9D9"/>
              <w:right w:val="single" w:sz="8" w:space="0" w:color="D9D9D9"/>
            </w:tcBorders>
          </w:tcPr>
          <w:p>
            <w:pPr>
              <w:pStyle w:val="TableParagraph"/>
              <w:spacing w:before="39"/>
              <w:ind w:left="2"/>
              <w:jc w:val="center"/>
              <w:rPr>
                <w:rFonts w:ascii="Calibri"/>
                <w:sz w:val="20"/>
              </w:rPr>
            </w:pPr>
            <w:r>
              <w:rPr>
                <w:rFonts w:ascii="Calibri"/>
                <w:color w:val="1C242C"/>
                <w:spacing w:val="-2"/>
                <w:sz w:val="20"/>
              </w:rPr>
              <w:t>53.30%</w:t>
            </w:r>
          </w:p>
        </w:tc>
        <w:tc>
          <w:tcPr>
            <w:tcW w:w="1555" w:type="dxa"/>
            <w:tcBorders>
              <w:top w:val="single" w:sz="8" w:space="0" w:color="D9D9D9"/>
              <w:left w:val="single" w:sz="8" w:space="0" w:color="D9D9D9"/>
              <w:bottom w:val="single" w:sz="8" w:space="0" w:color="D9D9D9"/>
              <w:right w:val="single" w:sz="8" w:space="0" w:color="D9D9D9"/>
            </w:tcBorders>
          </w:tcPr>
          <w:p>
            <w:pPr>
              <w:pStyle w:val="TableParagraph"/>
              <w:spacing w:before="39"/>
              <w:ind w:right="466"/>
              <w:jc w:val="right"/>
              <w:rPr>
                <w:rFonts w:ascii="Calibri"/>
                <w:sz w:val="20"/>
              </w:rPr>
            </w:pPr>
            <w:r>
              <w:rPr>
                <w:rFonts w:ascii="Calibri"/>
                <w:color w:val="1C242C"/>
                <w:spacing w:val="-2"/>
                <w:sz w:val="20"/>
              </w:rPr>
              <w:t>53.10%</w:t>
            </w:r>
          </w:p>
        </w:tc>
        <w:tc>
          <w:tcPr>
            <w:tcW w:w="1077" w:type="dxa"/>
            <w:tcBorders>
              <w:top w:val="single" w:sz="8" w:space="0" w:color="D9D9D9"/>
              <w:left w:val="single" w:sz="8" w:space="0" w:color="D9D9D9"/>
              <w:bottom w:val="single" w:sz="8" w:space="0" w:color="D9D9D9"/>
              <w:right w:val="nil"/>
            </w:tcBorders>
          </w:tcPr>
          <w:p>
            <w:pPr>
              <w:pStyle w:val="TableParagraph"/>
              <w:spacing w:before="39"/>
              <w:ind w:right="37"/>
              <w:jc w:val="center"/>
              <w:rPr>
                <w:rFonts w:ascii="Calibri"/>
                <w:sz w:val="20"/>
              </w:rPr>
            </w:pPr>
            <w:r>
              <w:rPr>
                <w:rFonts w:ascii="Calibri"/>
                <w:color w:val="1C242C"/>
                <w:spacing w:val="-2"/>
                <w:sz w:val="20"/>
              </w:rPr>
              <w:t>15.40%</w:t>
            </w:r>
          </w:p>
        </w:tc>
      </w:tr>
      <w:tr>
        <w:tblPrEx>
          <w:tblW w:w="0" w:type="auto"/>
          <w:jc w:val="left"/>
          <w:tblInd w:w="339" w:type="dxa"/>
          <w:tblLayout w:type="fixed"/>
          <w:tblCellMar>
            <w:top w:w="0" w:type="dxa"/>
            <w:left w:w="0" w:type="dxa"/>
            <w:bottom w:w="0" w:type="dxa"/>
            <w:right w:w="0" w:type="dxa"/>
          </w:tblCellMar>
          <w:tblLook w:val="01E0"/>
        </w:tblPrEx>
        <w:trPr>
          <w:trHeight w:val="359"/>
          <w:jc w:val="left"/>
        </w:trPr>
        <w:tc>
          <w:tcPr>
            <w:tcW w:w="3233" w:type="dxa"/>
            <w:tcBorders>
              <w:top w:val="single" w:sz="8" w:space="0" w:color="D9D9D9"/>
              <w:left w:val="nil"/>
              <w:bottom w:val="single" w:sz="8" w:space="0" w:color="D9D9D9"/>
              <w:right w:val="single" w:sz="8" w:space="0" w:color="D9D9D9"/>
            </w:tcBorders>
          </w:tcPr>
          <w:p>
            <w:pPr>
              <w:pStyle w:val="TableParagraph"/>
              <w:spacing w:before="40"/>
              <w:ind w:left="86"/>
              <w:rPr>
                <w:rFonts w:ascii="Calibri"/>
                <w:sz w:val="20"/>
              </w:rPr>
            </w:pPr>
            <w:r>
              <w:rPr>
                <w:rFonts w:ascii="Calibri"/>
                <w:color w:val="1C242C"/>
                <w:spacing w:val="-2"/>
                <w:sz w:val="20"/>
              </w:rPr>
              <w:t>Spanish</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spacing w:before="40"/>
              <w:ind w:left="225"/>
              <w:rPr>
                <w:rFonts w:ascii="Calibri"/>
                <w:sz w:val="20"/>
              </w:rPr>
            </w:pPr>
            <w:r>
              <w:rPr>
                <w:rFonts w:ascii="Calibri"/>
                <w:color w:val="1C242C"/>
                <w:spacing w:val="-2"/>
                <w:sz w:val="20"/>
              </w:rPr>
              <w:t>24,292</w:t>
            </w:r>
          </w:p>
        </w:tc>
        <w:tc>
          <w:tcPr>
            <w:tcW w:w="1265" w:type="dxa"/>
            <w:tcBorders>
              <w:top w:val="single" w:sz="8" w:space="0" w:color="D9D9D9"/>
              <w:left w:val="single" w:sz="8" w:space="0" w:color="D9D9D9"/>
              <w:bottom w:val="single" w:sz="8" w:space="0" w:color="D9D9D9"/>
              <w:right w:val="single" w:sz="8" w:space="0" w:color="D9D9D9"/>
            </w:tcBorders>
          </w:tcPr>
          <w:p>
            <w:pPr>
              <w:pStyle w:val="TableParagraph"/>
              <w:spacing w:before="40"/>
              <w:ind w:right="321"/>
              <w:jc w:val="right"/>
              <w:rPr>
                <w:rFonts w:ascii="Calibri"/>
                <w:sz w:val="20"/>
              </w:rPr>
            </w:pPr>
            <w:r>
              <w:rPr>
                <w:rFonts w:ascii="Calibri"/>
                <w:color w:val="1C242C"/>
                <w:spacing w:val="-2"/>
                <w:sz w:val="20"/>
              </w:rPr>
              <w:t>2,956</w:t>
            </w:r>
          </w:p>
        </w:tc>
        <w:tc>
          <w:tcPr>
            <w:tcW w:w="1260" w:type="dxa"/>
            <w:tcBorders>
              <w:top w:val="single" w:sz="8" w:space="0" w:color="D9D9D9"/>
              <w:left w:val="single" w:sz="8" w:space="0" w:color="D9D9D9"/>
              <w:bottom w:val="single" w:sz="8" w:space="0" w:color="D9D9D9"/>
              <w:right w:val="single" w:sz="8" w:space="0" w:color="D9D9D9"/>
            </w:tcBorders>
          </w:tcPr>
          <w:p>
            <w:pPr>
              <w:pStyle w:val="TableParagraph"/>
              <w:spacing w:before="40"/>
              <w:ind w:left="2" w:right="2"/>
              <w:jc w:val="center"/>
              <w:rPr>
                <w:rFonts w:ascii="Calibri"/>
                <w:sz w:val="20"/>
              </w:rPr>
            </w:pPr>
            <w:r>
              <w:rPr>
                <w:rFonts w:ascii="Calibri"/>
                <w:color w:val="1C242C"/>
                <w:spacing w:val="-2"/>
                <w:sz w:val="20"/>
              </w:rPr>
              <w:t>5.81%</w:t>
            </w:r>
          </w:p>
        </w:tc>
        <w:tc>
          <w:tcPr>
            <w:tcW w:w="1555" w:type="dxa"/>
            <w:tcBorders>
              <w:top w:val="single" w:sz="8" w:space="0" w:color="D9D9D9"/>
              <w:left w:val="single" w:sz="8" w:space="0" w:color="D9D9D9"/>
              <w:bottom w:val="single" w:sz="8" w:space="0" w:color="D9D9D9"/>
              <w:right w:val="single" w:sz="8" w:space="0" w:color="D9D9D9"/>
            </w:tcBorders>
          </w:tcPr>
          <w:p>
            <w:pPr>
              <w:pStyle w:val="TableParagraph"/>
              <w:spacing w:before="40"/>
              <w:ind w:right="532"/>
              <w:jc w:val="right"/>
              <w:rPr>
                <w:rFonts w:ascii="Calibri"/>
                <w:sz w:val="20"/>
              </w:rPr>
            </w:pPr>
            <w:r>
              <w:rPr>
                <w:rFonts w:ascii="Calibri"/>
                <w:color w:val="1C242C"/>
                <w:spacing w:val="-2"/>
                <w:sz w:val="20"/>
              </w:rPr>
              <w:t>4.05%</w:t>
            </w:r>
          </w:p>
        </w:tc>
        <w:tc>
          <w:tcPr>
            <w:tcW w:w="1077" w:type="dxa"/>
            <w:tcBorders>
              <w:top w:val="single" w:sz="8" w:space="0" w:color="D9D9D9"/>
              <w:left w:val="single" w:sz="8" w:space="0" w:color="D9D9D9"/>
              <w:bottom w:val="single" w:sz="8" w:space="0" w:color="D9D9D9"/>
              <w:right w:val="nil"/>
            </w:tcBorders>
          </w:tcPr>
          <w:p>
            <w:pPr>
              <w:pStyle w:val="TableParagraph"/>
              <w:spacing w:before="40"/>
              <w:ind w:right="37"/>
              <w:jc w:val="center"/>
              <w:rPr>
                <w:rFonts w:ascii="Calibri"/>
                <w:sz w:val="20"/>
              </w:rPr>
            </w:pPr>
            <w:r>
              <w:rPr>
                <w:rFonts w:ascii="Calibri"/>
                <w:color w:val="1C242C"/>
                <w:spacing w:val="-2"/>
                <w:sz w:val="20"/>
              </w:rPr>
              <w:t>17.40%</w:t>
            </w:r>
          </w:p>
        </w:tc>
      </w:tr>
      <w:tr>
        <w:tblPrEx>
          <w:tblW w:w="0" w:type="auto"/>
          <w:jc w:val="left"/>
          <w:tblInd w:w="339" w:type="dxa"/>
          <w:tblLayout w:type="fixed"/>
          <w:tblCellMar>
            <w:top w:w="0" w:type="dxa"/>
            <w:left w:w="0" w:type="dxa"/>
            <w:bottom w:w="0" w:type="dxa"/>
            <w:right w:w="0" w:type="dxa"/>
          </w:tblCellMar>
          <w:tblLook w:val="01E0"/>
        </w:tblPrEx>
        <w:trPr>
          <w:trHeight w:val="361"/>
          <w:jc w:val="left"/>
        </w:trPr>
        <w:tc>
          <w:tcPr>
            <w:tcW w:w="3233" w:type="dxa"/>
            <w:tcBorders>
              <w:top w:val="single" w:sz="8" w:space="0" w:color="D9D9D9"/>
              <w:left w:val="nil"/>
              <w:bottom w:val="single" w:sz="8" w:space="0" w:color="D9D9D9"/>
              <w:right w:val="single" w:sz="8" w:space="0" w:color="D9D9D9"/>
            </w:tcBorders>
          </w:tcPr>
          <w:p>
            <w:pPr>
              <w:pStyle w:val="TableParagraph"/>
              <w:spacing w:before="42"/>
              <w:ind w:left="86"/>
              <w:rPr>
                <w:rFonts w:ascii="Calibri"/>
                <w:sz w:val="20"/>
              </w:rPr>
            </w:pPr>
            <w:r>
              <w:rPr>
                <w:rFonts w:ascii="Calibri"/>
                <w:color w:val="1C242C"/>
                <w:spacing w:val="-2"/>
                <w:sz w:val="20"/>
              </w:rPr>
              <w:t>Chinese</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spacing w:before="42"/>
              <w:ind w:left="275"/>
              <w:rPr>
                <w:rFonts w:ascii="Calibri"/>
                <w:sz w:val="20"/>
              </w:rPr>
            </w:pPr>
            <w:r>
              <w:rPr>
                <w:rFonts w:ascii="Calibri"/>
                <w:color w:val="1C242C"/>
                <w:spacing w:val="-2"/>
                <w:sz w:val="20"/>
              </w:rPr>
              <w:t>2,752</w:t>
            </w:r>
          </w:p>
        </w:tc>
        <w:tc>
          <w:tcPr>
            <w:tcW w:w="1265" w:type="dxa"/>
            <w:tcBorders>
              <w:top w:val="single" w:sz="8" w:space="0" w:color="D9D9D9"/>
              <w:left w:val="single" w:sz="8" w:space="0" w:color="D9D9D9"/>
              <w:bottom w:val="single" w:sz="8" w:space="0" w:color="D9D9D9"/>
              <w:right w:val="single" w:sz="8" w:space="0" w:color="D9D9D9"/>
            </w:tcBorders>
          </w:tcPr>
          <w:p>
            <w:pPr>
              <w:pStyle w:val="TableParagraph"/>
              <w:spacing w:before="42"/>
              <w:ind w:right="321"/>
              <w:jc w:val="right"/>
              <w:rPr>
                <w:rFonts w:ascii="Calibri"/>
                <w:sz w:val="20"/>
              </w:rPr>
            </w:pPr>
            <w:r>
              <w:rPr>
                <w:rFonts w:ascii="Calibri"/>
                <w:color w:val="1C242C"/>
                <w:spacing w:val="-5"/>
                <w:sz w:val="20"/>
              </w:rPr>
              <w:t>279</w:t>
            </w:r>
          </w:p>
        </w:tc>
        <w:tc>
          <w:tcPr>
            <w:tcW w:w="1260" w:type="dxa"/>
            <w:tcBorders>
              <w:top w:val="single" w:sz="8" w:space="0" w:color="D9D9D9"/>
              <w:left w:val="single" w:sz="8" w:space="0" w:color="D9D9D9"/>
              <w:bottom w:val="single" w:sz="8" w:space="0" w:color="D9D9D9"/>
              <w:right w:val="single" w:sz="8" w:space="0" w:color="D9D9D9"/>
            </w:tcBorders>
          </w:tcPr>
          <w:p>
            <w:pPr>
              <w:pStyle w:val="TableParagraph"/>
              <w:spacing w:before="42"/>
              <w:ind w:left="2" w:right="2"/>
              <w:jc w:val="center"/>
              <w:rPr>
                <w:rFonts w:ascii="Calibri"/>
                <w:sz w:val="20"/>
              </w:rPr>
            </w:pPr>
            <w:r>
              <w:rPr>
                <w:rFonts w:ascii="Calibri"/>
                <w:color w:val="1C242C"/>
                <w:spacing w:val="-2"/>
                <w:sz w:val="20"/>
              </w:rPr>
              <w:t>0.55%</w:t>
            </w:r>
          </w:p>
        </w:tc>
        <w:tc>
          <w:tcPr>
            <w:tcW w:w="1555" w:type="dxa"/>
            <w:tcBorders>
              <w:top w:val="single" w:sz="8" w:space="0" w:color="D9D9D9"/>
              <w:left w:val="single" w:sz="8" w:space="0" w:color="D9D9D9"/>
              <w:bottom w:val="single" w:sz="8" w:space="0" w:color="D9D9D9"/>
              <w:right w:val="single" w:sz="8" w:space="0" w:color="D9D9D9"/>
            </w:tcBorders>
          </w:tcPr>
          <w:p>
            <w:pPr>
              <w:pStyle w:val="TableParagraph"/>
              <w:spacing w:before="42"/>
              <w:ind w:right="532"/>
              <w:jc w:val="right"/>
              <w:rPr>
                <w:rFonts w:ascii="Calibri"/>
                <w:sz w:val="20"/>
              </w:rPr>
            </w:pPr>
            <w:r>
              <w:rPr>
                <w:rFonts w:ascii="Calibri"/>
                <w:color w:val="1C242C"/>
                <w:spacing w:val="-2"/>
                <w:sz w:val="20"/>
              </w:rPr>
              <w:t>0.46%</w:t>
            </w:r>
          </w:p>
        </w:tc>
        <w:tc>
          <w:tcPr>
            <w:tcW w:w="1077" w:type="dxa"/>
            <w:tcBorders>
              <w:top w:val="single" w:sz="8" w:space="0" w:color="D9D9D9"/>
              <w:left w:val="single" w:sz="8" w:space="0" w:color="D9D9D9"/>
              <w:bottom w:val="single" w:sz="8" w:space="0" w:color="D9D9D9"/>
              <w:right w:val="nil"/>
            </w:tcBorders>
          </w:tcPr>
          <w:p>
            <w:pPr>
              <w:pStyle w:val="TableParagraph"/>
              <w:spacing w:before="42"/>
              <w:ind w:right="37"/>
              <w:jc w:val="center"/>
              <w:rPr>
                <w:rFonts w:ascii="Calibri"/>
                <w:sz w:val="20"/>
              </w:rPr>
            </w:pPr>
            <w:r>
              <w:rPr>
                <w:rFonts w:ascii="Calibri"/>
                <w:color w:val="1C242C"/>
                <w:spacing w:val="-2"/>
                <w:sz w:val="20"/>
              </w:rPr>
              <w:t>18.20%</w:t>
            </w:r>
          </w:p>
        </w:tc>
      </w:tr>
      <w:tr>
        <w:tblPrEx>
          <w:tblW w:w="0" w:type="auto"/>
          <w:jc w:val="left"/>
          <w:tblInd w:w="339" w:type="dxa"/>
          <w:tblLayout w:type="fixed"/>
          <w:tblCellMar>
            <w:top w:w="0" w:type="dxa"/>
            <w:left w:w="0" w:type="dxa"/>
            <w:bottom w:w="0" w:type="dxa"/>
            <w:right w:w="0" w:type="dxa"/>
          </w:tblCellMar>
          <w:tblLook w:val="01E0"/>
        </w:tblPrEx>
        <w:trPr>
          <w:trHeight w:val="359"/>
          <w:jc w:val="left"/>
        </w:trPr>
        <w:tc>
          <w:tcPr>
            <w:tcW w:w="3233" w:type="dxa"/>
            <w:tcBorders>
              <w:top w:val="single" w:sz="8" w:space="0" w:color="D9D9D9"/>
              <w:left w:val="nil"/>
              <w:bottom w:val="single" w:sz="8" w:space="0" w:color="D9D9D9"/>
              <w:right w:val="single" w:sz="8" w:space="0" w:color="D9D9D9"/>
            </w:tcBorders>
          </w:tcPr>
          <w:p>
            <w:pPr>
              <w:pStyle w:val="TableParagraph"/>
              <w:spacing w:before="39"/>
              <w:ind w:left="86"/>
              <w:rPr>
                <w:rFonts w:ascii="Calibri"/>
                <w:sz w:val="20"/>
              </w:rPr>
            </w:pPr>
            <w:r>
              <w:rPr>
                <w:rFonts w:ascii="Calibri"/>
                <w:color w:val="1C242C"/>
                <w:spacing w:val="-2"/>
                <w:sz w:val="20"/>
              </w:rPr>
              <w:t>Other</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spacing w:before="39"/>
              <w:ind w:left="225"/>
              <w:rPr>
                <w:rFonts w:ascii="Calibri"/>
                <w:sz w:val="20"/>
              </w:rPr>
            </w:pPr>
            <w:r>
              <w:rPr>
                <w:rFonts w:ascii="Calibri"/>
                <w:color w:val="1C242C"/>
                <w:spacing w:val="-2"/>
                <w:sz w:val="20"/>
              </w:rPr>
              <w:t>60,867</w:t>
            </w:r>
          </w:p>
        </w:tc>
        <w:tc>
          <w:tcPr>
            <w:tcW w:w="1265" w:type="dxa"/>
            <w:tcBorders>
              <w:top w:val="single" w:sz="8" w:space="0" w:color="D9D9D9"/>
              <w:left w:val="single" w:sz="8" w:space="0" w:color="D9D9D9"/>
              <w:bottom w:val="single" w:sz="8" w:space="0" w:color="D9D9D9"/>
              <w:right w:val="single" w:sz="8" w:space="0" w:color="D9D9D9"/>
            </w:tcBorders>
          </w:tcPr>
          <w:p>
            <w:pPr>
              <w:pStyle w:val="TableParagraph"/>
              <w:spacing w:before="39"/>
              <w:ind w:right="321"/>
              <w:jc w:val="right"/>
              <w:rPr>
                <w:rFonts w:ascii="Calibri"/>
                <w:sz w:val="20"/>
              </w:rPr>
            </w:pPr>
            <w:r>
              <w:rPr>
                <w:rFonts w:ascii="Calibri"/>
                <w:color w:val="1C242C"/>
                <w:spacing w:val="-2"/>
                <w:sz w:val="20"/>
              </w:rPr>
              <w:t>4,299</w:t>
            </w:r>
          </w:p>
        </w:tc>
        <w:tc>
          <w:tcPr>
            <w:tcW w:w="1260" w:type="dxa"/>
            <w:tcBorders>
              <w:top w:val="single" w:sz="8" w:space="0" w:color="D9D9D9"/>
              <w:left w:val="single" w:sz="8" w:space="0" w:color="D9D9D9"/>
              <w:bottom w:val="single" w:sz="8" w:space="0" w:color="D9D9D9"/>
              <w:right w:val="single" w:sz="8" w:space="0" w:color="D9D9D9"/>
            </w:tcBorders>
          </w:tcPr>
          <w:p>
            <w:pPr>
              <w:pStyle w:val="TableParagraph"/>
              <w:spacing w:before="39"/>
              <w:ind w:left="2" w:right="2"/>
              <w:jc w:val="center"/>
              <w:rPr>
                <w:rFonts w:ascii="Calibri"/>
                <w:sz w:val="20"/>
              </w:rPr>
            </w:pPr>
            <w:r>
              <w:rPr>
                <w:rFonts w:ascii="Calibri"/>
                <w:color w:val="1C242C"/>
                <w:spacing w:val="-2"/>
                <w:sz w:val="20"/>
              </w:rPr>
              <w:t>8.44%</w:t>
            </w:r>
          </w:p>
        </w:tc>
        <w:tc>
          <w:tcPr>
            <w:tcW w:w="1555" w:type="dxa"/>
            <w:tcBorders>
              <w:top w:val="single" w:sz="8" w:space="0" w:color="D9D9D9"/>
              <w:left w:val="single" w:sz="8" w:space="0" w:color="D9D9D9"/>
              <w:bottom w:val="single" w:sz="8" w:space="0" w:color="D9D9D9"/>
              <w:right w:val="single" w:sz="8" w:space="0" w:color="D9D9D9"/>
            </w:tcBorders>
          </w:tcPr>
          <w:p>
            <w:pPr>
              <w:pStyle w:val="TableParagraph"/>
              <w:spacing w:before="39"/>
              <w:ind w:right="531"/>
              <w:jc w:val="right"/>
              <w:rPr>
                <w:rFonts w:ascii="Calibri"/>
                <w:sz w:val="20"/>
              </w:rPr>
            </w:pPr>
            <w:r>
              <w:rPr>
                <w:rFonts w:ascii="Calibri"/>
                <w:color w:val="1C242C"/>
                <w:spacing w:val="-2"/>
                <w:sz w:val="20"/>
              </w:rPr>
              <w:t>10.10%</w:t>
            </w:r>
          </w:p>
        </w:tc>
        <w:tc>
          <w:tcPr>
            <w:tcW w:w="1077" w:type="dxa"/>
            <w:tcBorders>
              <w:top w:val="single" w:sz="8" w:space="0" w:color="D9D9D9"/>
              <w:left w:val="single" w:sz="8" w:space="0" w:color="D9D9D9"/>
              <w:bottom w:val="single" w:sz="8" w:space="0" w:color="D9D9D9"/>
              <w:right w:val="nil"/>
            </w:tcBorders>
          </w:tcPr>
          <w:p>
            <w:pPr>
              <w:pStyle w:val="TableParagraph"/>
              <w:spacing w:before="39"/>
              <w:ind w:right="37"/>
              <w:jc w:val="center"/>
              <w:rPr>
                <w:rFonts w:ascii="Calibri"/>
                <w:sz w:val="20"/>
              </w:rPr>
            </w:pPr>
            <w:r>
              <w:rPr>
                <w:rFonts w:ascii="Calibri"/>
                <w:color w:val="1C242C"/>
                <w:spacing w:val="-2"/>
                <w:sz w:val="20"/>
              </w:rPr>
              <w:t>13.90%</w:t>
            </w:r>
          </w:p>
        </w:tc>
      </w:tr>
      <w:tr>
        <w:tblPrEx>
          <w:tblW w:w="0" w:type="auto"/>
          <w:jc w:val="left"/>
          <w:tblInd w:w="339" w:type="dxa"/>
          <w:tblLayout w:type="fixed"/>
          <w:tblCellMar>
            <w:top w:w="0" w:type="dxa"/>
            <w:left w:w="0" w:type="dxa"/>
            <w:bottom w:w="0" w:type="dxa"/>
            <w:right w:w="0" w:type="dxa"/>
          </w:tblCellMar>
          <w:tblLook w:val="01E0"/>
        </w:tblPrEx>
        <w:trPr>
          <w:trHeight w:val="361"/>
          <w:jc w:val="left"/>
        </w:trPr>
        <w:tc>
          <w:tcPr>
            <w:tcW w:w="3233" w:type="dxa"/>
            <w:tcBorders>
              <w:top w:val="single" w:sz="8" w:space="0" w:color="D9D9D9"/>
              <w:left w:val="nil"/>
              <w:bottom w:val="single" w:sz="8" w:space="0" w:color="D9D9D9"/>
              <w:right w:val="single" w:sz="8" w:space="0" w:color="D9D9D9"/>
            </w:tcBorders>
          </w:tcPr>
          <w:p>
            <w:pPr>
              <w:pStyle w:val="TableParagraph"/>
              <w:spacing w:before="42"/>
              <w:ind w:left="86"/>
              <w:rPr>
                <w:rFonts w:ascii="Calibri"/>
                <w:sz w:val="20"/>
              </w:rPr>
            </w:pPr>
            <w:r>
              <w:rPr>
                <w:rFonts w:ascii="Calibri"/>
                <w:color w:val="1C242C"/>
                <w:spacing w:val="-2"/>
                <w:sz w:val="20"/>
              </w:rPr>
              <w:t>Missing</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spacing w:before="42"/>
              <w:ind w:left="175"/>
              <w:rPr>
                <w:rFonts w:ascii="Calibri"/>
                <w:sz w:val="20"/>
              </w:rPr>
            </w:pPr>
            <w:r>
              <w:rPr>
                <w:rFonts w:ascii="Calibri"/>
                <w:color w:val="1C242C"/>
                <w:spacing w:val="-2"/>
                <w:sz w:val="20"/>
              </w:rPr>
              <w:t>193,340</w:t>
            </w:r>
          </w:p>
        </w:tc>
        <w:tc>
          <w:tcPr>
            <w:tcW w:w="1265" w:type="dxa"/>
            <w:tcBorders>
              <w:top w:val="single" w:sz="8" w:space="0" w:color="D9D9D9"/>
              <w:left w:val="single" w:sz="8" w:space="0" w:color="D9D9D9"/>
              <w:bottom w:val="single" w:sz="8" w:space="0" w:color="D9D9D9"/>
              <w:right w:val="single" w:sz="8" w:space="0" w:color="D9D9D9"/>
            </w:tcBorders>
          </w:tcPr>
          <w:p>
            <w:pPr>
              <w:pStyle w:val="TableParagraph"/>
              <w:spacing w:before="42"/>
              <w:ind w:right="320"/>
              <w:jc w:val="right"/>
              <w:rPr>
                <w:rFonts w:ascii="Calibri"/>
                <w:sz w:val="20"/>
              </w:rPr>
            </w:pPr>
            <w:r>
              <w:rPr>
                <w:rFonts w:ascii="Calibri"/>
                <w:color w:val="1C242C"/>
                <w:spacing w:val="-2"/>
                <w:sz w:val="20"/>
              </w:rPr>
              <w:t>16,250</w:t>
            </w:r>
          </w:p>
        </w:tc>
        <w:tc>
          <w:tcPr>
            <w:tcW w:w="1260" w:type="dxa"/>
            <w:tcBorders>
              <w:top w:val="single" w:sz="8" w:space="0" w:color="D9D9D9"/>
              <w:left w:val="single" w:sz="8" w:space="0" w:color="D9D9D9"/>
              <w:bottom w:val="single" w:sz="8" w:space="0" w:color="D9D9D9"/>
              <w:right w:val="single" w:sz="8" w:space="0" w:color="D9D9D9"/>
            </w:tcBorders>
          </w:tcPr>
          <w:p>
            <w:pPr>
              <w:pStyle w:val="TableParagraph"/>
              <w:spacing w:before="42"/>
              <w:ind w:left="2"/>
              <w:jc w:val="center"/>
              <w:rPr>
                <w:rFonts w:ascii="Calibri"/>
                <w:sz w:val="20"/>
              </w:rPr>
            </w:pPr>
            <w:r>
              <w:rPr>
                <w:rFonts w:ascii="Calibri"/>
                <w:color w:val="1C242C"/>
                <w:spacing w:val="-2"/>
                <w:sz w:val="20"/>
              </w:rPr>
              <w:t>31.90%</w:t>
            </w:r>
          </w:p>
        </w:tc>
        <w:tc>
          <w:tcPr>
            <w:tcW w:w="1555" w:type="dxa"/>
            <w:tcBorders>
              <w:top w:val="single" w:sz="8" w:space="0" w:color="D9D9D9"/>
              <w:left w:val="single" w:sz="8" w:space="0" w:color="D9D9D9"/>
              <w:bottom w:val="single" w:sz="8" w:space="0" w:color="D9D9D9"/>
              <w:right w:val="single" w:sz="8" w:space="0" w:color="D9D9D9"/>
            </w:tcBorders>
          </w:tcPr>
          <w:p>
            <w:pPr>
              <w:pStyle w:val="TableParagraph"/>
              <w:spacing w:before="42"/>
              <w:ind w:right="531"/>
              <w:jc w:val="right"/>
              <w:rPr>
                <w:rFonts w:ascii="Calibri"/>
                <w:sz w:val="20"/>
              </w:rPr>
            </w:pPr>
            <w:r>
              <w:rPr>
                <w:rFonts w:ascii="Calibri"/>
                <w:color w:val="1C242C"/>
                <w:spacing w:val="-2"/>
                <w:sz w:val="20"/>
              </w:rPr>
              <w:t>32.20%</w:t>
            </w:r>
          </w:p>
        </w:tc>
        <w:tc>
          <w:tcPr>
            <w:tcW w:w="1077" w:type="dxa"/>
            <w:tcBorders>
              <w:top w:val="single" w:sz="8" w:space="0" w:color="D9D9D9"/>
              <w:left w:val="single" w:sz="8" w:space="0" w:color="D9D9D9"/>
              <w:bottom w:val="single" w:sz="8" w:space="0" w:color="D9D9D9"/>
              <w:right w:val="nil"/>
            </w:tcBorders>
          </w:tcPr>
          <w:p>
            <w:pPr>
              <w:pStyle w:val="TableParagraph"/>
              <w:spacing w:before="42"/>
              <w:ind w:right="37"/>
              <w:jc w:val="center"/>
              <w:rPr>
                <w:rFonts w:ascii="Calibri"/>
                <w:sz w:val="20"/>
              </w:rPr>
            </w:pPr>
            <w:r>
              <w:rPr>
                <w:rFonts w:ascii="Calibri"/>
                <w:color w:val="1C242C"/>
                <w:spacing w:val="-2"/>
                <w:sz w:val="20"/>
              </w:rPr>
              <w:t>15.70%</w:t>
            </w:r>
          </w:p>
        </w:tc>
      </w:tr>
      <w:tr>
        <w:tblPrEx>
          <w:tblW w:w="0" w:type="auto"/>
          <w:jc w:val="left"/>
          <w:tblInd w:w="339" w:type="dxa"/>
          <w:tblLayout w:type="fixed"/>
          <w:tblCellMar>
            <w:top w:w="0" w:type="dxa"/>
            <w:left w:w="0" w:type="dxa"/>
            <w:bottom w:w="0" w:type="dxa"/>
            <w:right w:w="0" w:type="dxa"/>
          </w:tblCellMar>
          <w:tblLook w:val="01E0"/>
        </w:tblPrEx>
        <w:trPr>
          <w:trHeight w:val="361"/>
          <w:jc w:val="left"/>
        </w:trPr>
        <w:tc>
          <w:tcPr>
            <w:tcW w:w="9417" w:type="dxa"/>
            <w:gridSpan w:val="6"/>
            <w:tcBorders>
              <w:top w:val="single" w:sz="8" w:space="0" w:color="D9D9D9"/>
              <w:left w:val="nil"/>
              <w:bottom w:val="single" w:sz="8" w:space="0" w:color="D9D9D9"/>
              <w:right w:val="nil"/>
            </w:tcBorders>
            <w:shd w:val="clear" w:color="auto" w:fill="F3FAFF"/>
          </w:tcPr>
          <w:p>
            <w:pPr>
              <w:pStyle w:val="TableParagraph"/>
              <w:spacing w:before="39"/>
              <w:ind w:left="86"/>
              <w:rPr>
                <w:rFonts w:ascii="Calibri"/>
                <w:i/>
                <w:sz w:val="20"/>
              </w:rPr>
            </w:pPr>
            <w:r>
              <w:rPr>
                <w:rFonts w:ascii="Calibri"/>
                <w:i/>
                <w:color w:val="1C242C"/>
                <w:sz w:val="20"/>
              </w:rPr>
              <w:t>Written</w:t>
            </w:r>
            <w:r>
              <w:rPr>
                <w:rFonts w:ascii="Calibri"/>
                <w:i/>
                <w:color w:val="1C242C"/>
                <w:spacing w:val="-8"/>
                <w:sz w:val="20"/>
              </w:rPr>
              <w:t xml:space="preserve"> </w:t>
            </w:r>
            <w:r>
              <w:rPr>
                <w:rFonts w:ascii="Calibri"/>
                <w:i/>
                <w:color w:val="1C242C"/>
                <w:spacing w:val="-2"/>
                <w:sz w:val="20"/>
              </w:rPr>
              <w:t>language</w:t>
            </w:r>
          </w:p>
        </w:tc>
      </w:tr>
      <w:tr>
        <w:tblPrEx>
          <w:tblW w:w="0" w:type="auto"/>
          <w:jc w:val="left"/>
          <w:tblInd w:w="339" w:type="dxa"/>
          <w:tblLayout w:type="fixed"/>
          <w:tblCellMar>
            <w:top w:w="0" w:type="dxa"/>
            <w:left w:w="0" w:type="dxa"/>
            <w:bottom w:w="0" w:type="dxa"/>
            <w:right w:w="0" w:type="dxa"/>
          </w:tblCellMar>
          <w:tblLook w:val="01E0"/>
        </w:tblPrEx>
        <w:trPr>
          <w:trHeight w:val="359"/>
          <w:jc w:val="left"/>
        </w:trPr>
        <w:tc>
          <w:tcPr>
            <w:tcW w:w="3233" w:type="dxa"/>
            <w:tcBorders>
              <w:top w:val="single" w:sz="8" w:space="0" w:color="D9D9D9"/>
              <w:left w:val="nil"/>
              <w:bottom w:val="single" w:sz="8" w:space="0" w:color="D9D9D9"/>
              <w:right w:val="single" w:sz="8" w:space="0" w:color="D9D9D9"/>
            </w:tcBorders>
          </w:tcPr>
          <w:p>
            <w:pPr>
              <w:pStyle w:val="TableParagraph"/>
              <w:spacing w:before="39"/>
              <w:ind w:left="86"/>
              <w:rPr>
                <w:rFonts w:ascii="Calibri"/>
                <w:sz w:val="20"/>
              </w:rPr>
            </w:pPr>
            <w:r>
              <w:rPr>
                <w:rFonts w:ascii="Calibri"/>
                <w:color w:val="1C242C"/>
                <w:spacing w:val="-2"/>
                <w:sz w:val="20"/>
              </w:rPr>
              <w:t>English</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spacing w:before="39"/>
              <w:ind w:left="175"/>
              <w:rPr>
                <w:rFonts w:ascii="Calibri"/>
                <w:sz w:val="20"/>
              </w:rPr>
            </w:pPr>
            <w:r>
              <w:rPr>
                <w:rFonts w:ascii="Calibri"/>
                <w:color w:val="1C242C"/>
                <w:spacing w:val="-2"/>
                <w:sz w:val="20"/>
              </w:rPr>
              <w:t>255,533</w:t>
            </w:r>
          </w:p>
        </w:tc>
        <w:tc>
          <w:tcPr>
            <w:tcW w:w="1265" w:type="dxa"/>
            <w:tcBorders>
              <w:top w:val="single" w:sz="8" w:space="0" w:color="D9D9D9"/>
              <w:left w:val="single" w:sz="8" w:space="0" w:color="D9D9D9"/>
              <w:bottom w:val="single" w:sz="8" w:space="0" w:color="D9D9D9"/>
              <w:right w:val="single" w:sz="8" w:space="0" w:color="D9D9D9"/>
            </w:tcBorders>
          </w:tcPr>
          <w:p>
            <w:pPr>
              <w:pStyle w:val="TableParagraph"/>
              <w:spacing w:before="39"/>
              <w:ind w:right="320"/>
              <w:jc w:val="right"/>
              <w:rPr>
                <w:rFonts w:ascii="Calibri"/>
                <w:sz w:val="20"/>
              </w:rPr>
            </w:pPr>
            <w:r>
              <w:rPr>
                <w:rFonts w:ascii="Calibri"/>
                <w:color w:val="1C242C"/>
                <w:spacing w:val="-2"/>
                <w:sz w:val="20"/>
              </w:rPr>
              <w:t>22,451</w:t>
            </w:r>
          </w:p>
        </w:tc>
        <w:tc>
          <w:tcPr>
            <w:tcW w:w="1260" w:type="dxa"/>
            <w:tcBorders>
              <w:top w:val="single" w:sz="8" w:space="0" w:color="D9D9D9"/>
              <w:left w:val="single" w:sz="8" w:space="0" w:color="D9D9D9"/>
              <w:bottom w:val="single" w:sz="8" w:space="0" w:color="D9D9D9"/>
              <w:right w:val="single" w:sz="8" w:space="0" w:color="D9D9D9"/>
            </w:tcBorders>
          </w:tcPr>
          <w:p>
            <w:pPr>
              <w:pStyle w:val="TableParagraph"/>
              <w:spacing w:before="39"/>
              <w:ind w:left="2"/>
              <w:jc w:val="center"/>
              <w:rPr>
                <w:rFonts w:ascii="Calibri"/>
                <w:sz w:val="20"/>
              </w:rPr>
            </w:pPr>
            <w:r>
              <w:rPr>
                <w:rFonts w:ascii="Calibri"/>
                <w:color w:val="1C242C"/>
                <w:spacing w:val="-2"/>
                <w:sz w:val="20"/>
              </w:rPr>
              <w:t>44.10%</w:t>
            </w:r>
          </w:p>
        </w:tc>
        <w:tc>
          <w:tcPr>
            <w:tcW w:w="1555" w:type="dxa"/>
            <w:tcBorders>
              <w:top w:val="single" w:sz="8" w:space="0" w:color="D9D9D9"/>
              <w:left w:val="single" w:sz="8" w:space="0" w:color="D9D9D9"/>
              <w:bottom w:val="single" w:sz="8" w:space="0" w:color="D9D9D9"/>
              <w:right w:val="single" w:sz="8" w:space="0" w:color="D9D9D9"/>
            </w:tcBorders>
          </w:tcPr>
          <w:p>
            <w:pPr>
              <w:pStyle w:val="TableParagraph"/>
              <w:spacing w:before="39"/>
              <w:ind w:right="513"/>
              <w:jc w:val="right"/>
              <w:rPr>
                <w:rFonts w:ascii="Calibri"/>
                <w:sz w:val="20"/>
              </w:rPr>
            </w:pPr>
            <w:r>
              <w:rPr>
                <w:rFonts w:ascii="Calibri"/>
                <w:color w:val="1C242C"/>
                <w:spacing w:val="-2"/>
                <w:sz w:val="20"/>
              </w:rPr>
              <w:t>42.60%</w:t>
            </w:r>
          </w:p>
        </w:tc>
        <w:tc>
          <w:tcPr>
            <w:tcW w:w="1077" w:type="dxa"/>
            <w:tcBorders>
              <w:top w:val="single" w:sz="8" w:space="0" w:color="D9D9D9"/>
              <w:left w:val="single" w:sz="8" w:space="0" w:color="D9D9D9"/>
              <w:bottom w:val="single" w:sz="8" w:space="0" w:color="D9D9D9"/>
              <w:right w:val="nil"/>
            </w:tcBorders>
          </w:tcPr>
          <w:p>
            <w:pPr>
              <w:pStyle w:val="TableParagraph"/>
              <w:spacing w:before="39"/>
              <w:ind w:right="37"/>
              <w:jc w:val="center"/>
              <w:rPr>
                <w:rFonts w:ascii="Calibri"/>
                <w:sz w:val="20"/>
              </w:rPr>
            </w:pPr>
            <w:r>
              <w:rPr>
                <w:rFonts w:ascii="Calibri"/>
                <w:color w:val="1C242C"/>
                <w:spacing w:val="-2"/>
                <w:sz w:val="20"/>
              </w:rPr>
              <w:t>15.70%</w:t>
            </w:r>
          </w:p>
        </w:tc>
      </w:tr>
      <w:tr>
        <w:tblPrEx>
          <w:tblW w:w="0" w:type="auto"/>
          <w:jc w:val="left"/>
          <w:tblInd w:w="339" w:type="dxa"/>
          <w:tblLayout w:type="fixed"/>
          <w:tblCellMar>
            <w:top w:w="0" w:type="dxa"/>
            <w:left w:w="0" w:type="dxa"/>
            <w:bottom w:w="0" w:type="dxa"/>
            <w:right w:w="0" w:type="dxa"/>
          </w:tblCellMar>
          <w:tblLook w:val="01E0"/>
        </w:tblPrEx>
        <w:trPr>
          <w:trHeight w:val="361"/>
          <w:jc w:val="left"/>
        </w:trPr>
        <w:tc>
          <w:tcPr>
            <w:tcW w:w="3233" w:type="dxa"/>
            <w:tcBorders>
              <w:top w:val="single" w:sz="8" w:space="0" w:color="D9D9D9"/>
              <w:left w:val="nil"/>
              <w:bottom w:val="single" w:sz="8" w:space="0" w:color="D9D9D9"/>
              <w:right w:val="single" w:sz="8" w:space="0" w:color="D9D9D9"/>
            </w:tcBorders>
          </w:tcPr>
          <w:p>
            <w:pPr>
              <w:pStyle w:val="TableParagraph"/>
              <w:spacing w:before="42"/>
              <w:ind w:left="86"/>
              <w:rPr>
                <w:rFonts w:ascii="Calibri"/>
                <w:sz w:val="20"/>
              </w:rPr>
            </w:pPr>
            <w:r>
              <w:rPr>
                <w:rFonts w:ascii="Calibri"/>
                <w:color w:val="1C242C"/>
                <w:spacing w:val="-2"/>
                <w:sz w:val="20"/>
              </w:rPr>
              <w:t>Spanish</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spacing w:before="42"/>
              <w:ind w:left="225"/>
              <w:rPr>
                <w:rFonts w:ascii="Calibri"/>
                <w:sz w:val="20"/>
              </w:rPr>
            </w:pPr>
            <w:r>
              <w:rPr>
                <w:rFonts w:ascii="Calibri"/>
                <w:color w:val="1C242C"/>
                <w:spacing w:val="-2"/>
                <w:sz w:val="20"/>
              </w:rPr>
              <w:t>21,102</w:t>
            </w:r>
          </w:p>
        </w:tc>
        <w:tc>
          <w:tcPr>
            <w:tcW w:w="1265" w:type="dxa"/>
            <w:tcBorders>
              <w:top w:val="single" w:sz="8" w:space="0" w:color="D9D9D9"/>
              <w:left w:val="single" w:sz="8" w:space="0" w:color="D9D9D9"/>
              <w:bottom w:val="single" w:sz="8" w:space="0" w:color="D9D9D9"/>
              <w:right w:val="single" w:sz="8" w:space="0" w:color="D9D9D9"/>
            </w:tcBorders>
          </w:tcPr>
          <w:p>
            <w:pPr>
              <w:pStyle w:val="TableParagraph"/>
              <w:spacing w:before="42"/>
              <w:ind w:right="321"/>
              <w:jc w:val="right"/>
              <w:rPr>
                <w:rFonts w:ascii="Calibri"/>
                <w:sz w:val="20"/>
              </w:rPr>
            </w:pPr>
            <w:r>
              <w:rPr>
                <w:rFonts w:ascii="Calibri"/>
                <w:color w:val="1C242C"/>
                <w:spacing w:val="-2"/>
                <w:sz w:val="20"/>
              </w:rPr>
              <w:t>2,811</w:t>
            </w:r>
          </w:p>
        </w:tc>
        <w:tc>
          <w:tcPr>
            <w:tcW w:w="1260" w:type="dxa"/>
            <w:tcBorders>
              <w:top w:val="single" w:sz="8" w:space="0" w:color="D9D9D9"/>
              <w:left w:val="single" w:sz="8" w:space="0" w:color="D9D9D9"/>
              <w:bottom w:val="single" w:sz="8" w:space="0" w:color="D9D9D9"/>
              <w:right w:val="single" w:sz="8" w:space="0" w:color="D9D9D9"/>
            </w:tcBorders>
          </w:tcPr>
          <w:p>
            <w:pPr>
              <w:pStyle w:val="TableParagraph"/>
              <w:spacing w:before="42"/>
              <w:ind w:left="2" w:right="2"/>
              <w:jc w:val="center"/>
              <w:rPr>
                <w:rFonts w:ascii="Calibri"/>
                <w:sz w:val="20"/>
              </w:rPr>
            </w:pPr>
            <w:r>
              <w:rPr>
                <w:rFonts w:ascii="Calibri"/>
                <w:color w:val="1C242C"/>
                <w:spacing w:val="-2"/>
                <w:sz w:val="20"/>
              </w:rPr>
              <w:t>5.52%</w:t>
            </w:r>
          </w:p>
        </w:tc>
        <w:tc>
          <w:tcPr>
            <w:tcW w:w="1555" w:type="dxa"/>
            <w:tcBorders>
              <w:top w:val="single" w:sz="8" w:space="0" w:color="D9D9D9"/>
              <w:left w:val="single" w:sz="8" w:space="0" w:color="D9D9D9"/>
              <w:bottom w:val="single" w:sz="8" w:space="0" w:color="D9D9D9"/>
              <w:right w:val="single" w:sz="8" w:space="0" w:color="D9D9D9"/>
            </w:tcBorders>
          </w:tcPr>
          <w:p>
            <w:pPr>
              <w:pStyle w:val="TableParagraph"/>
              <w:spacing w:before="42"/>
              <w:ind w:right="513"/>
              <w:jc w:val="right"/>
              <w:rPr>
                <w:rFonts w:ascii="Calibri"/>
                <w:sz w:val="20"/>
              </w:rPr>
            </w:pPr>
            <w:r>
              <w:rPr>
                <w:rFonts w:ascii="Calibri"/>
                <w:color w:val="1C242C"/>
                <w:spacing w:val="-2"/>
                <w:sz w:val="20"/>
              </w:rPr>
              <w:t>3.52%</w:t>
            </w:r>
          </w:p>
        </w:tc>
        <w:tc>
          <w:tcPr>
            <w:tcW w:w="1077" w:type="dxa"/>
            <w:tcBorders>
              <w:top w:val="single" w:sz="8" w:space="0" w:color="D9D9D9"/>
              <w:left w:val="single" w:sz="8" w:space="0" w:color="D9D9D9"/>
              <w:bottom w:val="single" w:sz="8" w:space="0" w:color="D9D9D9"/>
              <w:right w:val="nil"/>
            </w:tcBorders>
          </w:tcPr>
          <w:p>
            <w:pPr>
              <w:pStyle w:val="TableParagraph"/>
              <w:spacing w:before="42"/>
              <w:ind w:right="37"/>
              <w:jc w:val="center"/>
              <w:rPr>
                <w:rFonts w:ascii="Calibri"/>
                <w:sz w:val="20"/>
              </w:rPr>
            </w:pPr>
            <w:r>
              <w:rPr>
                <w:rFonts w:ascii="Calibri"/>
                <w:color w:val="1C242C"/>
                <w:spacing w:val="-2"/>
                <w:sz w:val="20"/>
              </w:rPr>
              <w:t>18.00%</w:t>
            </w:r>
          </w:p>
        </w:tc>
      </w:tr>
      <w:tr>
        <w:tblPrEx>
          <w:tblW w:w="0" w:type="auto"/>
          <w:jc w:val="left"/>
          <w:tblInd w:w="339" w:type="dxa"/>
          <w:tblLayout w:type="fixed"/>
          <w:tblCellMar>
            <w:top w:w="0" w:type="dxa"/>
            <w:left w:w="0" w:type="dxa"/>
            <w:bottom w:w="0" w:type="dxa"/>
            <w:right w:w="0" w:type="dxa"/>
          </w:tblCellMar>
          <w:tblLook w:val="01E0"/>
        </w:tblPrEx>
        <w:trPr>
          <w:trHeight w:val="361"/>
          <w:jc w:val="left"/>
        </w:trPr>
        <w:tc>
          <w:tcPr>
            <w:tcW w:w="3233" w:type="dxa"/>
            <w:tcBorders>
              <w:top w:val="single" w:sz="8" w:space="0" w:color="D9D9D9"/>
              <w:left w:val="nil"/>
              <w:bottom w:val="single" w:sz="8" w:space="0" w:color="D9D9D9"/>
              <w:right w:val="single" w:sz="8" w:space="0" w:color="D9D9D9"/>
            </w:tcBorders>
          </w:tcPr>
          <w:p>
            <w:pPr>
              <w:pStyle w:val="TableParagraph"/>
              <w:spacing w:before="39"/>
              <w:ind w:left="86"/>
              <w:rPr>
                <w:rFonts w:ascii="Calibri"/>
                <w:sz w:val="20"/>
              </w:rPr>
            </w:pPr>
            <w:r>
              <w:rPr>
                <w:rFonts w:ascii="Calibri"/>
                <w:color w:val="1C242C"/>
                <w:spacing w:val="-2"/>
                <w:sz w:val="20"/>
              </w:rPr>
              <w:t>Chinese</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spacing w:before="39"/>
              <w:ind w:left="275"/>
              <w:rPr>
                <w:rFonts w:ascii="Calibri"/>
                <w:sz w:val="20"/>
              </w:rPr>
            </w:pPr>
            <w:r>
              <w:rPr>
                <w:rFonts w:ascii="Calibri"/>
                <w:color w:val="1C242C"/>
                <w:spacing w:val="-2"/>
                <w:sz w:val="20"/>
              </w:rPr>
              <w:t>2,316</w:t>
            </w:r>
          </w:p>
        </w:tc>
        <w:tc>
          <w:tcPr>
            <w:tcW w:w="1265" w:type="dxa"/>
            <w:tcBorders>
              <w:top w:val="single" w:sz="8" w:space="0" w:color="D9D9D9"/>
              <w:left w:val="single" w:sz="8" w:space="0" w:color="D9D9D9"/>
              <w:bottom w:val="single" w:sz="8" w:space="0" w:color="D9D9D9"/>
              <w:right w:val="single" w:sz="8" w:space="0" w:color="D9D9D9"/>
            </w:tcBorders>
          </w:tcPr>
          <w:p>
            <w:pPr>
              <w:pStyle w:val="TableParagraph"/>
              <w:spacing w:before="39"/>
              <w:ind w:right="321"/>
              <w:jc w:val="right"/>
              <w:rPr>
                <w:rFonts w:ascii="Calibri"/>
                <w:sz w:val="20"/>
              </w:rPr>
            </w:pPr>
            <w:r>
              <w:rPr>
                <w:rFonts w:ascii="Calibri"/>
                <w:color w:val="1C242C"/>
                <w:spacing w:val="-5"/>
                <w:sz w:val="20"/>
              </w:rPr>
              <w:t>247</w:t>
            </w:r>
          </w:p>
        </w:tc>
        <w:tc>
          <w:tcPr>
            <w:tcW w:w="1260" w:type="dxa"/>
            <w:tcBorders>
              <w:top w:val="single" w:sz="8" w:space="0" w:color="D9D9D9"/>
              <w:left w:val="single" w:sz="8" w:space="0" w:color="D9D9D9"/>
              <w:bottom w:val="single" w:sz="8" w:space="0" w:color="D9D9D9"/>
              <w:right w:val="single" w:sz="8" w:space="0" w:color="D9D9D9"/>
            </w:tcBorders>
          </w:tcPr>
          <w:p>
            <w:pPr>
              <w:pStyle w:val="TableParagraph"/>
              <w:spacing w:before="39"/>
              <w:ind w:left="2" w:right="2"/>
              <w:jc w:val="center"/>
              <w:rPr>
                <w:rFonts w:ascii="Calibri"/>
                <w:sz w:val="20"/>
              </w:rPr>
            </w:pPr>
            <w:r>
              <w:rPr>
                <w:rFonts w:ascii="Calibri"/>
                <w:color w:val="1C242C"/>
                <w:spacing w:val="-2"/>
                <w:sz w:val="20"/>
              </w:rPr>
              <w:t>0.49%</w:t>
            </w:r>
          </w:p>
        </w:tc>
        <w:tc>
          <w:tcPr>
            <w:tcW w:w="1555" w:type="dxa"/>
            <w:tcBorders>
              <w:top w:val="single" w:sz="8" w:space="0" w:color="D9D9D9"/>
              <w:left w:val="single" w:sz="8" w:space="0" w:color="D9D9D9"/>
              <w:bottom w:val="single" w:sz="8" w:space="0" w:color="D9D9D9"/>
              <w:right w:val="single" w:sz="8" w:space="0" w:color="D9D9D9"/>
            </w:tcBorders>
          </w:tcPr>
          <w:p>
            <w:pPr>
              <w:pStyle w:val="TableParagraph"/>
              <w:spacing w:before="39"/>
              <w:ind w:right="513"/>
              <w:jc w:val="right"/>
              <w:rPr>
                <w:rFonts w:ascii="Calibri"/>
                <w:sz w:val="20"/>
              </w:rPr>
            </w:pPr>
            <w:r>
              <w:rPr>
                <w:rFonts w:ascii="Calibri"/>
                <w:color w:val="1C242C"/>
                <w:spacing w:val="-2"/>
                <w:sz w:val="20"/>
              </w:rPr>
              <w:t>0.39%</w:t>
            </w:r>
          </w:p>
        </w:tc>
        <w:tc>
          <w:tcPr>
            <w:tcW w:w="1077" w:type="dxa"/>
            <w:tcBorders>
              <w:top w:val="single" w:sz="8" w:space="0" w:color="D9D9D9"/>
              <w:left w:val="single" w:sz="8" w:space="0" w:color="D9D9D9"/>
              <w:bottom w:val="single" w:sz="8" w:space="0" w:color="D9D9D9"/>
              <w:right w:val="nil"/>
            </w:tcBorders>
          </w:tcPr>
          <w:p>
            <w:pPr>
              <w:pStyle w:val="TableParagraph"/>
              <w:spacing w:before="39"/>
              <w:ind w:right="37"/>
              <w:jc w:val="center"/>
              <w:rPr>
                <w:rFonts w:ascii="Calibri"/>
                <w:sz w:val="20"/>
              </w:rPr>
            </w:pPr>
            <w:r>
              <w:rPr>
                <w:rFonts w:ascii="Calibri"/>
                <w:color w:val="1C242C"/>
                <w:spacing w:val="-2"/>
                <w:sz w:val="20"/>
              </w:rPr>
              <w:t>18.70%</w:t>
            </w:r>
          </w:p>
        </w:tc>
      </w:tr>
      <w:tr>
        <w:tblPrEx>
          <w:tblW w:w="0" w:type="auto"/>
          <w:jc w:val="left"/>
          <w:tblInd w:w="339" w:type="dxa"/>
          <w:tblLayout w:type="fixed"/>
          <w:tblCellMar>
            <w:top w:w="0" w:type="dxa"/>
            <w:left w:w="0" w:type="dxa"/>
            <w:bottom w:w="0" w:type="dxa"/>
            <w:right w:w="0" w:type="dxa"/>
          </w:tblCellMar>
          <w:tblLook w:val="01E0"/>
        </w:tblPrEx>
        <w:trPr>
          <w:trHeight w:val="359"/>
          <w:jc w:val="left"/>
        </w:trPr>
        <w:tc>
          <w:tcPr>
            <w:tcW w:w="3233" w:type="dxa"/>
            <w:tcBorders>
              <w:top w:val="single" w:sz="8" w:space="0" w:color="D9D9D9"/>
              <w:left w:val="nil"/>
              <w:bottom w:val="single" w:sz="8" w:space="0" w:color="D9D9D9"/>
              <w:right w:val="single" w:sz="8" w:space="0" w:color="D9D9D9"/>
            </w:tcBorders>
          </w:tcPr>
          <w:p>
            <w:pPr>
              <w:pStyle w:val="TableParagraph"/>
              <w:spacing w:before="39"/>
              <w:ind w:left="86"/>
              <w:rPr>
                <w:rFonts w:ascii="Calibri"/>
                <w:sz w:val="20"/>
              </w:rPr>
            </w:pPr>
            <w:r>
              <w:rPr>
                <w:rFonts w:ascii="Calibri"/>
                <w:color w:val="1C242C"/>
                <w:spacing w:val="-2"/>
                <w:sz w:val="20"/>
              </w:rPr>
              <w:t>Other</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spacing w:before="39"/>
              <w:ind w:left="225"/>
              <w:rPr>
                <w:rFonts w:ascii="Calibri"/>
                <w:sz w:val="20"/>
              </w:rPr>
            </w:pPr>
            <w:r>
              <w:rPr>
                <w:rFonts w:ascii="Calibri"/>
                <w:color w:val="1C242C"/>
                <w:spacing w:val="-2"/>
                <w:sz w:val="20"/>
              </w:rPr>
              <w:t>10,866</w:t>
            </w:r>
          </w:p>
        </w:tc>
        <w:tc>
          <w:tcPr>
            <w:tcW w:w="1265" w:type="dxa"/>
            <w:tcBorders>
              <w:top w:val="single" w:sz="8" w:space="0" w:color="D9D9D9"/>
              <w:left w:val="single" w:sz="8" w:space="0" w:color="D9D9D9"/>
              <w:bottom w:val="single" w:sz="8" w:space="0" w:color="D9D9D9"/>
              <w:right w:val="single" w:sz="8" w:space="0" w:color="D9D9D9"/>
            </w:tcBorders>
          </w:tcPr>
          <w:p>
            <w:pPr>
              <w:pStyle w:val="TableParagraph"/>
              <w:spacing w:before="39"/>
              <w:ind w:right="321"/>
              <w:jc w:val="right"/>
              <w:rPr>
                <w:rFonts w:ascii="Calibri"/>
                <w:sz w:val="20"/>
              </w:rPr>
            </w:pPr>
            <w:r>
              <w:rPr>
                <w:rFonts w:ascii="Calibri"/>
                <w:color w:val="1C242C"/>
                <w:spacing w:val="-5"/>
                <w:sz w:val="20"/>
              </w:rPr>
              <w:t>826</w:t>
            </w:r>
          </w:p>
        </w:tc>
        <w:tc>
          <w:tcPr>
            <w:tcW w:w="1260" w:type="dxa"/>
            <w:tcBorders>
              <w:top w:val="single" w:sz="8" w:space="0" w:color="D9D9D9"/>
              <w:left w:val="single" w:sz="8" w:space="0" w:color="D9D9D9"/>
              <w:bottom w:val="single" w:sz="8" w:space="0" w:color="D9D9D9"/>
              <w:right w:val="single" w:sz="8" w:space="0" w:color="D9D9D9"/>
            </w:tcBorders>
          </w:tcPr>
          <w:p>
            <w:pPr>
              <w:pStyle w:val="TableParagraph"/>
              <w:spacing w:before="39"/>
              <w:ind w:left="2" w:right="2"/>
              <w:jc w:val="center"/>
              <w:rPr>
                <w:rFonts w:ascii="Calibri"/>
                <w:sz w:val="20"/>
              </w:rPr>
            </w:pPr>
            <w:r>
              <w:rPr>
                <w:rFonts w:ascii="Calibri"/>
                <w:color w:val="1C242C"/>
                <w:spacing w:val="-2"/>
                <w:sz w:val="20"/>
              </w:rPr>
              <w:t>1.62%</w:t>
            </w:r>
          </w:p>
        </w:tc>
        <w:tc>
          <w:tcPr>
            <w:tcW w:w="1555" w:type="dxa"/>
            <w:tcBorders>
              <w:top w:val="single" w:sz="8" w:space="0" w:color="D9D9D9"/>
              <w:left w:val="single" w:sz="8" w:space="0" w:color="D9D9D9"/>
              <w:bottom w:val="single" w:sz="8" w:space="0" w:color="D9D9D9"/>
              <w:right w:val="single" w:sz="8" w:space="0" w:color="D9D9D9"/>
            </w:tcBorders>
          </w:tcPr>
          <w:p>
            <w:pPr>
              <w:pStyle w:val="TableParagraph"/>
              <w:spacing w:before="39"/>
              <w:ind w:right="513"/>
              <w:jc w:val="right"/>
              <w:rPr>
                <w:rFonts w:ascii="Calibri"/>
                <w:sz w:val="20"/>
              </w:rPr>
            </w:pPr>
            <w:r>
              <w:rPr>
                <w:rFonts w:ascii="Calibri"/>
                <w:color w:val="1C242C"/>
                <w:spacing w:val="-2"/>
                <w:sz w:val="20"/>
              </w:rPr>
              <w:t>1.81%</w:t>
            </w:r>
          </w:p>
        </w:tc>
        <w:tc>
          <w:tcPr>
            <w:tcW w:w="1077" w:type="dxa"/>
            <w:tcBorders>
              <w:top w:val="single" w:sz="8" w:space="0" w:color="D9D9D9"/>
              <w:left w:val="single" w:sz="8" w:space="0" w:color="D9D9D9"/>
              <w:bottom w:val="single" w:sz="8" w:space="0" w:color="D9D9D9"/>
              <w:right w:val="nil"/>
            </w:tcBorders>
          </w:tcPr>
          <w:p>
            <w:pPr>
              <w:pStyle w:val="TableParagraph"/>
              <w:spacing w:before="39"/>
              <w:ind w:right="37"/>
              <w:jc w:val="center"/>
              <w:rPr>
                <w:rFonts w:ascii="Calibri"/>
                <w:sz w:val="20"/>
              </w:rPr>
            </w:pPr>
            <w:r>
              <w:rPr>
                <w:rFonts w:ascii="Calibri"/>
                <w:color w:val="1C242C"/>
                <w:spacing w:val="-2"/>
                <w:sz w:val="20"/>
              </w:rPr>
              <w:t>15.40%</w:t>
            </w:r>
          </w:p>
        </w:tc>
      </w:tr>
      <w:tr>
        <w:tblPrEx>
          <w:tblW w:w="0" w:type="auto"/>
          <w:jc w:val="left"/>
          <w:tblInd w:w="339" w:type="dxa"/>
          <w:tblLayout w:type="fixed"/>
          <w:tblCellMar>
            <w:top w:w="0" w:type="dxa"/>
            <w:left w:w="0" w:type="dxa"/>
            <w:bottom w:w="0" w:type="dxa"/>
            <w:right w:w="0" w:type="dxa"/>
          </w:tblCellMar>
          <w:tblLook w:val="01E0"/>
        </w:tblPrEx>
        <w:trPr>
          <w:trHeight w:val="362"/>
          <w:jc w:val="left"/>
        </w:trPr>
        <w:tc>
          <w:tcPr>
            <w:tcW w:w="3233" w:type="dxa"/>
            <w:tcBorders>
              <w:top w:val="single" w:sz="8" w:space="0" w:color="D9D9D9"/>
              <w:left w:val="nil"/>
              <w:bottom w:val="single" w:sz="6" w:space="0" w:color="00507E"/>
              <w:right w:val="single" w:sz="8" w:space="0" w:color="D9D9D9"/>
            </w:tcBorders>
          </w:tcPr>
          <w:p>
            <w:pPr>
              <w:pStyle w:val="TableParagraph"/>
              <w:spacing w:before="42"/>
              <w:ind w:left="86"/>
              <w:rPr>
                <w:rFonts w:ascii="Calibri"/>
                <w:sz w:val="20"/>
              </w:rPr>
            </w:pPr>
            <w:r>
              <w:rPr>
                <w:rFonts w:ascii="Calibri"/>
                <w:color w:val="1C242C"/>
                <w:spacing w:val="-2"/>
                <w:sz w:val="20"/>
              </w:rPr>
              <w:t>Missing</w:t>
            </w:r>
          </w:p>
        </w:tc>
        <w:tc>
          <w:tcPr>
            <w:tcW w:w="1027" w:type="dxa"/>
            <w:tcBorders>
              <w:top w:val="single" w:sz="8" w:space="0" w:color="D9D9D9"/>
              <w:left w:val="single" w:sz="8" w:space="0" w:color="D9D9D9"/>
              <w:bottom w:val="single" w:sz="6" w:space="0" w:color="00507E"/>
              <w:right w:val="single" w:sz="8" w:space="0" w:color="D9D9D9"/>
            </w:tcBorders>
          </w:tcPr>
          <w:p>
            <w:pPr>
              <w:pStyle w:val="TableParagraph"/>
              <w:spacing w:before="42"/>
              <w:ind w:left="175"/>
              <w:rPr>
                <w:rFonts w:ascii="Calibri"/>
                <w:sz w:val="20"/>
              </w:rPr>
            </w:pPr>
            <w:r>
              <w:rPr>
                <w:rFonts w:ascii="Calibri"/>
                <w:color w:val="1C242C"/>
                <w:spacing w:val="-2"/>
                <w:sz w:val="20"/>
              </w:rPr>
              <w:t>310,351</w:t>
            </w:r>
          </w:p>
        </w:tc>
        <w:tc>
          <w:tcPr>
            <w:tcW w:w="1265" w:type="dxa"/>
            <w:tcBorders>
              <w:top w:val="single" w:sz="8" w:space="0" w:color="D9D9D9"/>
              <w:left w:val="single" w:sz="8" w:space="0" w:color="D9D9D9"/>
              <w:bottom w:val="single" w:sz="6" w:space="0" w:color="00507E"/>
              <w:right w:val="single" w:sz="8" w:space="0" w:color="D9D9D9"/>
            </w:tcBorders>
          </w:tcPr>
          <w:p>
            <w:pPr>
              <w:pStyle w:val="TableParagraph"/>
              <w:spacing w:before="42"/>
              <w:ind w:right="342"/>
              <w:jc w:val="right"/>
              <w:rPr>
                <w:rFonts w:ascii="Calibri"/>
                <w:sz w:val="20"/>
              </w:rPr>
            </w:pPr>
            <w:r>
              <w:rPr>
                <w:rFonts w:ascii="Calibri"/>
                <w:color w:val="1C242C"/>
                <w:spacing w:val="-2"/>
                <w:sz w:val="20"/>
              </w:rPr>
              <w:t>24,577</w:t>
            </w:r>
          </w:p>
        </w:tc>
        <w:tc>
          <w:tcPr>
            <w:tcW w:w="1260" w:type="dxa"/>
            <w:tcBorders>
              <w:top w:val="single" w:sz="8" w:space="0" w:color="D9D9D9"/>
              <w:left w:val="single" w:sz="8" w:space="0" w:color="D9D9D9"/>
              <w:bottom w:val="single" w:sz="6" w:space="0" w:color="00507E"/>
              <w:right w:val="single" w:sz="8" w:space="0" w:color="D9D9D9"/>
            </w:tcBorders>
          </w:tcPr>
          <w:p>
            <w:pPr>
              <w:pStyle w:val="TableParagraph"/>
              <w:spacing w:before="42"/>
              <w:ind w:left="2"/>
              <w:jc w:val="center"/>
              <w:rPr>
                <w:rFonts w:ascii="Calibri"/>
                <w:sz w:val="20"/>
              </w:rPr>
            </w:pPr>
            <w:r>
              <w:rPr>
                <w:rFonts w:ascii="Calibri"/>
                <w:color w:val="1C242C"/>
                <w:spacing w:val="-2"/>
                <w:sz w:val="20"/>
              </w:rPr>
              <w:t>48.30%</w:t>
            </w:r>
          </w:p>
        </w:tc>
        <w:tc>
          <w:tcPr>
            <w:tcW w:w="1555" w:type="dxa"/>
            <w:tcBorders>
              <w:top w:val="single" w:sz="8" w:space="0" w:color="D9D9D9"/>
              <w:left w:val="single" w:sz="8" w:space="0" w:color="D9D9D9"/>
              <w:bottom w:val="single" w:sz="6" w:space="0" w:color="00507E"/>
              <w:right w:val="single" w:sz="8" w:space="0" w:color="D9D9D9"/>
            </w:tcBorders>
          </w:tcPr>
          <w:p>
            <w:pPr>
              <w:pStyle w:val="TableParagraph"/>
              <w:spacing w:before="42"/>
              <w:ind w:right="513"/>
              <w:jc w:val="right"/>
              <w:rPr>
                <w:rFonts w:ascii="Calibri"/>
                <w:sz w:val="20"/>
              </w:rPr>
            </w:pPr>
            <w:r>
              <w:rPr>
                <w:rFonts w:ascii="Calibri"/>
                <w:color w:val="1C242C"/>
                <w:spacing w:val="-2"/>
                <w:sz w:val="20"/>
              </w:rPr>
              <w:t>51.70%</w:t>
            </w:r>
          </w:p>
        </w:tc>
        <w:tc>
          <w:tcPr>
            <w:tcW w:w="1077" w:type="dxa"/>
            <w:tcBorders>
              <w:top w:val="single" w:sz="8" w:space="0" w:color="D9D9D9"/>
              <w:left w:val="single" w:sz="8" w:space="0" w:color="D9D9D9"/>
              <w:bottom w:val="single" w:sz="6" w:space="0" w:color="00507E"/>
              <w:right w:val="nil"/>
            </w:tcBorders>
          </w:tcPr>
          <w:p>
            <w:pPr>
              <w:pStyle w:val="TableParagraph"/>
              <w:spacing w:before="42"/>
              <w:ind w:right="37"/>
              <w:jc w:val="center"/>
              <w:rPr>
                <w:rFonts w:ascii="Calibri"/>
                <w:sz w:val="20"/>
              </w:rPr>
            </w:pPr>
            <w:r>
              <w:rPr>
                <w:rFonts w:ascii="Calibri"/>
                <w:color w:val="1C242C"/>
                <w:spacing w:val="-2"/>
                <w:sz w:val="20"/>
              </w:rPr>
              <w:t>15.10%</w:t>
            </w:r>
          </w:p>
        </w:tc>
      </w:tr>
    </w:tbl>
    <w:p>
      <w:pPr>
        <w:pStyle w:val="BodyText"/>
        <w:spacing w:before="254"/>
        <w:ind w:right="389"/>
      </w:pPr>
      <w:r>
        <w:t>Similar to previous survey administration years, response rates were higher as respondents increased</w:t>
      </w:r>
      <w:r>
        <w:rPr>
          <w:spacing w:val="-4"/>
        </w:rPr>
        <w:t xml:space="preserve"> </w:t>
      </w:r>
      <w:r>
        <w:t>in</w:t>
      </w:r>
      <w:r>
        <w:rPr>
          <w:spacing w:val="-4"/>
        </w:rPr>
        <w:t xml:space="preserve"> </w:t>
      </w:r>
      <w:r>
        <w:t>age.</w:t>
      </w:r>
      <w:r>
        <w:rPr>
          <w:spacing w:val="-2"/>
        </w:rPr>
        <w:t xml:space="preserve"> </w:t>
      </w:r>
      <w:r>
        <w:t>In</w:t>
      </w:r>
      <w:r>
        <w:rPr>
          <w:spacing w:val="-2"/>
        </w:rPr>
        <w:t xml:space="preserve"> </w:t>
      </w:r>
      <w:r>
        <w:t>addition,</w:t>
      </w:r>
      <w:r>
        <w:rPr>
          <w:spacing w:val="-4"/>
        </w:rPr>
        <w:t xml:space="preserve"> </w:t>
      </w:r>
      <w:r>
        <w:t>the</w:t>
      </w:r>
      <w:r>
        <w:rPr>
          <w:spacing w:val="-5"/>
        </w:rPr>
        <w:t xml:space="preserve"> </w:t>
      </w:r>
      <w:r>
        <w:t>response</w:t>
      </w:r>
      <w:r>
        <w:rPr>
          <w:spacing w:val="-4"/>
        </w:rPr>
        <w:t xml:space="preserve"> </w:t>
      </w:r>
      <w:r>
        <w:t>rate</w:t>
      </w:r>
      <w:r>
        <w:rPr>
          <w:spacing w:val="-4"/>
        </w:rPr>
        <w:t xml:space="preserve"> </w:t>
      </w:r>
      <w:r>
        <w:t>was</w:t>
      </w:r>
      <w:r>
        <w:rPr>
          <w:spacing w:val="-5"/>
        </w:rPr>
        <w:t xml:space="preserve"> </w:t>
      </w:r>
      <w:r>
        <w:t>higher</w:t>
      </w:r>
      <w:r>
        <w:rPr>
          <w:spacing w:val="-4"/>
        </w:rPr>
        <w:t xml:space="preserve"> </w:t>
      </w:r>
      <w:r>
        <w:t>among</w:t>
      </w:r>
      <w:r>
        <w:rPr>
          <w:spacing w:val="-4"/>
        </w:rPr>
        <w:t xml:space="preserve"> </w:t>
      </w:r>
      <w:r>
        <w:t>female</w:t>
      </w:r>
      <w:r>
        <w:rPr>
          <w:spacing w:val="-5"/>
        </w:rPr>
        <w:t xml:space="preserve"> </w:t>
      </w:r>
      <w:r>
        <w:t>sampled</w:t>
      </w:r>
      <w:r>
        <w:rPr>
          <w:spacing w:val="-4"/>
        </w:rPr>
        <w:t xml:space="preserve"> </w:t>
      </w:r>
      <w:r>
        <w:t>enrollees.</w:t>
      </w:r>
    </w:p>
    <w:p>
      <w:pPr>
        <w:pStyle w:val="BodyText"/>
        <w:ind w:right="421"/>
      </w:pPr>
      <w:r>
        <w:t>The</w:t>
      </w:r>
      <w:r>
        <w:rPr>
          <w:spacing w:val="-5"/>
        </w:rPr>
        <w:t xml:space="preserve"> </w:t>
      </w:r>
      <w:r>
        <w:t>Project</w:t>
      </w:r>
      <w:r>
        <w:rPr>
          <w:spacing w:val="-3"/>
        </w:rPr>
        <w:t xml:space="preserve"> </w:t>
      </w:r>
      <w:r>
        <w:t>Team</w:t>
      </w:r>
      <w:r>
        <w:rPr>
          <w:spacing w:val="-3"/>
        </w:rPr>
        <w:t xml:space="preserve"> </w:t>
      </w:r>
      <w:r>
        <w:t>then</w:t>
      </w:r>
      <w:r>
        <w:rPr>
          <w:spacing w:val="-4"/>
        </w:rPr>
        <w:t xml:space="preserve"> </w:t>
      </w:r>
      <w:r>
        <w:t>used</w:t>
      </w:r>
      <w:r>
        <w:rPr>
          <w:spacing w:val="-3"/>
        </w:rPr>
        <w:t xml:space="preserve"> </w:t>
      </w:r>
      <w:r>
        <w:t>an</w:t>
      </w:r>
      <w:r>
        <w:rPr>
          <w:spacing w:val="-3"/>
        </w:rPr>
        <w:t xml:space="preserve"> </w:t>
      </w:r>
      <w:r>
        <w:t>unweighted</w:t>
      </w:r>
      <w:r>
        <w:rPr>
          <w:spacing w:val="-3"/>
        </w:rPr>
        <w:t xml:space="preserve"> </w:t>
      </w:r>
      <w:r>
        <w:t>multivariable</w:t>
      </w:r>
      <w:r>
        <w:rPr>
          <w:spacing w:val="-3"/>
        </w:rPr>
        <w:t xml:space="preserve"> </w:t>
      </w:r>
      <w:r>
        <w:t>logistic</w:t>
      </w:r>
      <w:r>
        <w:rPr>
          <w:spacing w:val="-4"/>
        </w:rPr>
        <w:t xml:space="preserve"> </w:t>
      </w:r>
      <w:r>
        <w:t>regression</w:t>
      </w:r>
      <w:r>
        <w:rPr>
          <w:spacing w:val="-3"/>
        </w:rPr>
        <w:t xml:space="preserve"> </w:t>
      </w:r>
      <w:r>
        <w:t>model</w:t>
      </w:r>
      <w:r>
        <w:rPr>
          <w:spacing w:val="-3"/>
        </w:rPr>
        <w:t xml:space="preserve"> </w:t>
      </w:r>
      <w:r>
        <w:t>to</w:t>
      </w:r>
      <w:r>
        <w:rPr>
          <w:spacing w:val="-1"/>
        </w:rPr>
        <w:t xml:space="preserve"> </w:t>
      </w:r>
      <w:r>
        <w:t>estimate the probability of completing a survey and assess whether the respondent characteristics reviewed and examined in the previous section were significantly associated with survey response or nonresponse, controlling for the impact of other respondent characteristics.</w:t>
      </w:r>
    </w:p>
    <w:p>
      <w:pPr>
        <w:pStyle w:val="BodyText"/>
        <w:ind w:right="421"/>
      </w:pPr>
      <w:r>
        <w:t>The team did not adjust the regression with the survey weights because nonresponses were contained to only those in the sample (i.e., those who had an opportunity to respond/not respond).</w:t>
      </w:r>
      <w:r>
        <w:rPr>
          <w:spacing w:val="-4"/>
        </w:rPr>
        <w:t xml:space="preserve"> </w:t>
      </w:r>
      <w:r>
        <w:t>The</w:t>
      </w:r>
      <w:r>
        <w:rPr>
          <w:spacing w:val="-5"/>
        </w:rPr>
        <w:t xml:space="preserve"> </w:t>
      </w:r>
      <w:r>
        <w:t>logistic</w:t>
      </w:r>
      <w:r>
        <w:rPr>
          <w:spacing w:val="-4"/>
        </w:rPr>
        <w:t xml:space="preserve"> </w:t>
      </w:r>
      <w:r>
        <w:t>regression</w:t>
      </w:r>
      <w:r>
        <w:rPr>
          <w:spacing w:val="-3"/>
        </w:rPr>
        <w:t xml:space="preserve"> </w:t>
      </w:r>
      <w:r>
        <w:t>model</w:t>
      </w:r>
      <w:r>
        <w:rPr>
          <w:spacing w:val="-3"/>
        </w:rPr>
        <w:t xml:space="preserve"> </w:t>
      </w:r>
      <w:r>
        <w:t>included</w:t>
      </w:r>
      <w:r>
        <w:rPr>
          <w:spacing w:val="-2"/>
        </w:rPr>
        <w:t xml:space="preserve"> </w:t>
      </w:r>
      <w:r>
        <w:t>predictors</w:t>
      </w:r>
      <w:r>
        <w:rPr>
          <w:spacing w:val="-4"/>
        </w:rPr>
        <w:t xml:space="preserve"> </w:t>
      </w:r>
      <w:r>
        <w:t>for</w:t>
      </w:r>
      <w:r>
        <w:rPr>
          <w:spacing w:val="-3"/>
        </w:rPr>
        <w:t xml:space="preserve"> </w:t>
      </w:r>
      <w:r>
        <w:t>enrollee</w:t>
      </w:r>
      <w:r>
        <w:rPr>
          <w:spacing w:val="-2"/>
        </w:rPr>
        <w:t xml:space="preserve"> </w:t>
      </w:r>
      <w:r>
        <w:t>sex,</w:t>
      </w:r>
      <w:r>
        <w:rPr>
          <w:spacing w:val="-3"/>
        </w:rPr>
        <w:t xml:space="preserve"> </w:t>
      </w:r>
      <w:r>
        <w:t>age,</w:t>
      </w:r>
      <w:r>
        <w:rPr>
          <w:spacing w:val="-3"/>
        </w:rPr>
        <w:t xml:space="preserve"> </w:t>
      </w:r>
      <w:r>
        <w:t>written</w:t>
      </w:r>
      <w:r>
        <w:rPr>
          <w:spacing w:val="-3"/>
        </w:rPr>
        <w:t xml:space="preserve"> </w:t>
      </w:r>
      <w:r>
        <w:t xml:space="preserve">and spoken language preference, and Census division. The odds ratio and 95 percent confidence interval estimates from the logistic regression are presented in </w:t>
      </w:r>
      <w:hyperlink w:anchor="_bookmark23" w:history="1">
        <w:r>
          <w:rPr>
            <w:color w:val="0000FF"/>
            <w:u w:val="single" w:color="0000FF"/>
          </w:rPr>
          <w:t>Exhibit B4</w:t>
        </w:r>
      </w:hyperlink>
      <w:r>
        <w:rPr>
          <w:u w:val="none"/>
        </w:rPr>
        <w:t>.</w:t>
      </w:r>
    </w:p>
    <w:p>
      <w:pPr>
        <w:pStyle w:val="BodyText"/>
        <w:spacing w:after="0"/>
        <w:sectPr>
          <w:pgSz w:w="12240" w:h="15840"/>
          <w:pgMar w:top="1420" w:right="1080" w:bottom="940" w:left="1080" w:header="0" w:footer="748"/>
          <w:cols w:space="720"/>
        </w:sectPr>
      </w:pPr>
    </w:p>
    <w:p>
      <w:pPr>
        <w:spacing w:before="80"/>
        <w:ind w:left="360" w:right="385" w:firstLine="0"/>
        <w:jc w:val="left"/>
        <w:rPr>
          <w:rFonts w:ascii="Arial" w:hAnsi="Arial"/>
          <w:b/>
          <w:sz w:val="20"/>
        </w:rPr>
      </w:pPr>
      <w:bookmarkStart w:id="38" w:name="_bookmark23"/>
      <w:bookmarkEnd w:id="38"/>
      <w:r>
        <w:rPr>
          <w:rFonts w:ascii="Arial" w:hAnsi="Arial"/>
          <w:b/>
          <w:sz w:val="20"/>
        </w:rPr>
        <w:t>Exhibit</w:t>
      </w:r>
      <w:r>
        <w:rPr>
          <w:rFonts w:ascii="Arial" w:hAnsi="Arial"/>
          <w:b/>
          <w:spacing w:val="-5"/>
          <w:sz w:val="20"/>
        </w:rPr>
        <w:t xml:space="preserve"> </w:t>
      </w:r>
      <w:r>
        <w:rPr>
          <w:rFonts w:ascii="Arial" w:hAnsi="Arial"/>
          <w:b/>
          <w:sz w:val="20"/>
        </w:rPr>
        <w:t>B4.</w:t>
      </w:r>
      <w:r>
        <w:rPr>
          <w:rFonts w:ascii="Arial" w:hAnsi="Arial"/>
          <w:b/>
          <w:spacing w:val="-6"/>
          <w:sz w:val="20"/>
        </w:rPr>
        <w:t xml:space="preserve"> </w:t>
      </w:r>
      <w:r>
        <w:rPr>
          <w:rFonts w:ascii="Arial" w:hAnsi="Arial"/>
          <w:b/>
          <w:sz w:val="20"/>
        </w:rPr>
        <w:t>Multivariable</w:t>
      </w:r>
      <w:r>
        <w:rPr>
          <w:rFonts w:ascii="Arial" w:hAnsi="Arial"/>
          <w:b/>
          <w:spacing w:val="-4"/>
          <w:sz w:val="20"/>
        </w:rPr>
        <w:t xml:space="preserve"> </w:t>
      </w:r>
      <w:r>
        <w:rPr>
          <w:rFonts w:ascii="Arial" w:hAnsi="Arial"/>
          <w:b/>
          <w:sz w:val="20"/>
        </w:rPr>
        <w:t>Logistic</w:t>
      </w:r>
      <w:r>
        <w:rPr>
          <w:rFonts w:ascii="Arial" w:hAnsi="Arial"/>
          <w:b/>
          <w:spacing w:val="-6"/>
          <w:sz w:val="20"/>
        </w:rPr>
        <w:t xml:space="preserve"> </w:t>
      </w:r>
      <w:r>
        <w:rPr>
          <w:rFonts w:ascii="Arial" w:hAnsi="Arial"/>
          <w:b/>
          <w:sz w:val="20"/>
        </w:rPr>
        <w:t>Regression</w:t>
      </w:r>
      <w:r>
        <w:rPr>
          <w:rFonts w:ascii="Arial" w:hAnsi="Arial"/>
          <w:b/>
          <w:spacing w:val="-2"/>
          <w:sz w:val="20"/>
        </w:rPr>
        <w:t xml:space="preserve"> </w:t>
      </w:r>
      <w:r>
        <w:rPr>
          <w:rFonts w:ascii="Arial" w:hAnsi="Arial"/>
          <w:b/>
          <w:sz w:val="20"/>
        </w:rPr>
        <w:t>–</w:t>
      </w:r>
      <w:r>
        <w:rPr>
          <w:rFonts w:ascii="Arial" w:hAnsi="Arial"/>
          <w:b/>
          <w:spacing w:val="-6"/>
          <w:sz w:val="20"/>
        </w:rPr>
        <w:t xml:space="preserve"> </w:t>
      </w:r>
      <w:r>
        <w:rPr>
          <w:rFonts w:ascii="Arial" w:hAnsi="Arial"/>
          <w:b/>
          <w:sz w:val="20"/>
        </w:rPr>
        <w:t>Demographic</w:t>
      </w:r>
      <w:r>
        <w:rPr>
          <w:rFonts w:ascii="Arial" w:hAnsi="Arial"/>
          <w:b/>
          <w:spacing w:val="-7"/>
          <w:sz w:val="20"/>
        </w:rPr>
        <w:t xml:space="preserve"> </w:t>
      </w:r>
      <w:r>
        <w:rPr>
          <w:rFonts w:ascii="Arial" w:hAnsi="Arial"/>
          <w:b/>
          <w:sz w:val="20"/>
        </w:rPr>
        <w:t>Associations</w:t>
      </w:r>
      <w:r>
        <w:rPr>
          <w:rFonts w:ascii="Arial" w:hAnsi="Arial"/>
          <w:b/>
          <w:spacing w:val="-4"/>
          <w:sz w:val="20"/>
        </w:rPr>
        <w:t xml:space="preserve"> </w:t>
      </w:r>
      <w:r>
        <w:rPr>
          <w:rFonts w:ascii="Arial" w:hAnsi="Arial"/>
          <w:b/>
          <w:sz w:val="20"/>
        </w:rPr>
        <w:t>with</w:t>
      </w:r>
      <w:r>
        <w:rPr>
          <w:rFonts w:ascii="Arial" w:hAnsi="Arial"/>
          <w:b/>
          <w:spacing w:val="-5"/>
          <w:sz w:val="20"/>
        </w:rPr>
        <w:t xml:space="preserve"> </w:t>
      </w:r>
      <w:r>
        <w:rPr>
          <w:rFonts w:ascii="Arial" w:hAnsi="Arial"/>
          <w:b/>
          <w:sz w:val="20"/>
        </w:rPr>
        <w:t>Survey</w:t>
      </w:r>
      <w:r>
        <w:rPr>
          <w:rFonts w:ascii="Arial" w:hAnsi="Arial"/>
          <w:b/>
          <w:spacing w:val="-1"/>
          <w:sz w:val="20"/>
        </w:rPr>
        <w:t xml:space="preserve"> </w:t>
      </w:r>
      <w:r>
        <w:rPr>
          <w:rFonts w:ascii="Arial" w:hAnsi="Arial"/>
          <w:b/>
          <w:sz w:val="20"/>
        </w:rPr>
        <w:t xml:space="preserve">Response, </w:t>
      </w:r>
      <w:r>
        <w:rPr>
          <w:rFonts w:ascii="Arial" w:hAnsi="Arial"/>
          <w:b/>
          <w:spacing w:val="-4"/>
          <w:sz w:val="20"/>
        </w:rPr>
        <w:t>2025</w:t>
      </w:r>
    </w:p>
    <w:p>
      <w:pPr>
        <w:pStyle w:val="BodyText"/>
        <w:spacing w:before="4"/>
        <w:ind w:left="0"/>
        <w:rPr>
          <w:rFonts w:ascii="Arial"/>
          <w:b/>
          <w:sz w:val="11"/>
        </w:rPr>
      </w:pPr>
    </w:p>
    <w:tbl>
      <w:tblPr>
        <w:tblStyle w:val="TableNormal"/>
        <w:tblW w:w="0" w:type="auto"/>
        <w:jc w:val="left"/>
        <w:tblInd w:w="339" w:type="dxa"/>
        <w:tblBorders>
          <w:top w:val="single" w:sz="18" w:space="0" w:color="009DD6"/>
          <w:left w:val="single" w:sz="18" w:space="0" w:color="009DD6"/>
          <w:bottom w:val="single" w:sz="18" w:space="0" w:color="009DD6"/>
          <w:right w:val="single" w:sz="18" w:space="0" w:color="009DD6"/>
          <w:insideH w:val="single" w:sz="18" w:space="0" w:color="009DD6"/>
          <w:insideV w:val="single" w:sz="18" w:space="0" w:color="009DD6"/>
        </w:tblBorders>
        <w:tblLayout w:type="fixed"/>
        <w:tblCellMar>
          <w:top w:w="0" w:type="dxa"/>
          <w:left w:w="0" w:type="dxa"/>
          <w:bottom w:w="0" w:type="dxa"/>
          <w:right w:w="0" w:type="dxa"/>
        </w:tblCellMar>
        <w:tblLook w:val="01E0"/>
      </w:tblPr>
      <w:tblGrid>
        <w:gridCol w:w="4848"/>
        <w:gridCol w:w="1042"/>
        <w:gridCol w:w="1027"/>
        <w:gridCol w:w="1232"/>
        <w:gridCol w:w="1271"/>
      </w:tblGrid>
      <w:tr>
        <w:tblPrEx>
          <w:tblW w:w="0" w:type="auto"/>
          <w:jc w:val="left"/>
          <w:tblInd w:w="339" w:type="dxa"/>
          <w:tblBorders>
            <w:top w:val="single" w:sz="18" w:space="0" w:color="009DD6"/>
            <w:left w:val="single" w:sz="18" w:space="0" w:color="009DD6"/>
            <w:bottom w:val="single" w:sz="18" w:space="0" w:color="009DD6"/>
            <w:right w:val="single" w:sz="18" w:space="0" w:color="009DD6"/>
            <w:insideH w:val="single" w:sz="18" w:space="0" w:color="009DD6"/>
            <w:insideV w:val="single" w:sz="18" w:space="0" w:color="009DD6"/>
          </w:tblBorders>
          <w:tblLayout w:type="fixed"/>
          <w:tblCellMar>
            <w:top w:w="0" w:type="dxa"/>
            <w:left w:w="0" w:type="dxa"/>
            <w:bottom w:w="0" w:type="dxa"/>
            <w:right w:w="0" w:type="dxa"/>
          </w:tblCellMar>
          <w:tblLook w:val="01E0"/>
        </w:tblPrEx>
        <w:trPr>
          <w:trHeight w:val="1214"/>
          <w:jc w:val="left"/>
        </w:trPr>
        <w:tc>
          <w:tcPr>
            <w:tcW w:w="4848" w:type="dxa"/>
            <w:tcBorders>
              <w:top w:val="nil"/>
              <w:left w:val="nil"/>
              <w:right w:val="nil"/>
            </w:tcBorders>
            <w:shd w:val="clear" w:color="auto" w:fill="00507E"/>
          </w:tcPr>
          <w:p>
            <w:pPr>
              <w:pStyle w:val="TableParagraph"/>
              <w:spacing w:before="0"/>
              <w:rPr>
                <w:rFonts w:ascii="Arial"/>
                <w:b/>
                <w:sz w:val="20"/>
              </w:rPr>
            </w:pPr>
          </w:p>
          <w:p>
            <w:pPr>
              <w:pStyle w:val="TableParagraph"/>
              <w:spacing w:before="0"/>
              <w:rPr>
                <w:rFonts w:ascii="Arial"/>
                <w:b/>
                <w:sz w:val="20"/>
              </w:rPr>
            </w:pPr>
          </w:p>
          <w:p>
            <w:pPr>
              <w:pStyle w:val="TableParagraph"/>
              <w:spacing w:before="0"/>
              <w:rPr>
                <w:rFonts w:ascii="Arial"/>
                <w:b/>
                <w:sz w:val="20"/>
              </w:rPr>
            </w:pPr>
          </w:p>
          <w:p>
            <w:pPr>
              <w:pStyle w:val="TableParagraph"/>
              <w:spacing w:before="58"/>
              <w:rPr>
                <w:rFonts w:ascii="Arial"/>
                <w:b/>
                <w:sz w:val="20"/>
              </w:rPr>
            </w:pPr>
          </w:p>
          <w:p>
            <w:pPr>
              <w:pStyle w:val="TableParagraph"/>
              <w:spacing w:before="0" w:line="216" w:lineRule="exact"/>
              <w:ind w:left="1475"/>
              <w:rPr>
                <w:rFonts w:ascii="Calibri"/>
                <w:b/>
                <w:sz w:val="20"/>
              </w:rPr>
            </w:pPr>
            <w:r>
              <w:rPr>
                <w:rFonts w:ascii="Calibri"/>
                <w:b/>
                <w:color w:val="FFFFFF"/>
                <w:sz w:val="20"/>
              </w:rPr>
              <w:t>Enrollee</w:t>
            </w:r>
            <w:r>
              <w:rPr>
                <w:rFonts w:ascii="Calibri"/>
                <w:b/>
                <w:color w:val="FFFFFF"/>
                <w:spacing w:val="-8"/>
                <w:sz w:val="20"/>
              </w:rPr>
              <w:t xml:space="preserve"> </w:t>
            </w:r>
            <w:r>
              <w:rPr>
                <w:rFonts w:ascii="Calibri"/>
                <w:b/>
                <w:color w:val="FFFFFF"/>
                <w:spacing w:val="-2"/>
                <w:sz w:val="20"/>
              </w:rPr>
              <w:t>characteristics</w:t>
            </w:r>
          </w:p>
        </w:tc>
        <w:tc>
          <w:tcPr>
            <w:tcW w:w="1042" w:type="dxa"/>
            <w:tcBorders>
              <w:top w:val="nil"/>
              <w:left w:val="nil"/>
              <w:right w:val="nil"/>
            </w:tcBorders>
            <w:shd w:val="clear" w:color="auto" w:fill="00507E"/>
          </w:tcPr>
          <w:p>
            <w:pPr>
              <w:pStyle w:val="TableParagraph"/>
              <w:spacing w:before="0"/>
              <w:rPr>
                <w:rFonts w:ascii="Arial"/>
                <w:b/>
                <w:sz w:val="20"/>
              </w:rPr>
            </w:pPr>
          </w:p>
          <w:p>
            <w:pPr>
              <w:pStyle w:val="TableParagraph"/>
              <w:spacing w:before="0"/>
              <w:rPr>
                <w:rFonts w:ascii="Arial"/>
                <w:b/>
                <w:sz w:val="20"/>
              </w:rPr>
            </w:pPr>
          </w:p>
          <w:p>
            <w:pPr>
              <w:pStyle w:val="TableParagraph"/>
              <w:spacing w:before="0"/>
              <w:rPr>
                <w:rFonts w:ascii="Arial"/>
                <w:b/>
                <w:sz w:val="20"/>
              </w:rPr>
            </w:pPr>
          </w:p>
          <w:p>
            <w:pPr>
              <w:pStyle w:val="TableParagraph"/>
              <w:spacing w:before="58"/>
              <w:rPr>
                <w:rFonts w:ascii="Arial"/>
                <w:b/>
                <w:sz w:val="20"/>
              </w:rPr>
            </w:pPr>
          </w:p>
          <w:p>
            <w:pPr>
              <w:pStyle w:val="TableParagraph"/>
              <w:spacing w:before="0" w:line="216" w:lineRule="exact"/>
              <w:ind w:left="2" w:right="3"/>
              <w:jc w:val="center"/>
              <w:rPr>
                <w:rFonts w:ascii="Calibri"/>
                <w:b/>
                <w:i/>
                <w:sz w:val="20"/>
              </w:rPr>
            </w:pPr>
            <w:r>
              <w:rPr>
                <w:rFonts w:ascii="Calibri"/>
                <w:b/>
                <w:i/>
                <w:color w:val="FFFFFF"/>
                <w:spacing w:val="-10"/>
                <w:sz w:val="20"/>
              </w:rPr>
              <w:t>n</w:t>
            </w:r>
          </w:p>
        </w:tc>
        <w:tc>
          <w:tcPr>
            <w:tcW w:w="1027" w:type="dxa"/>
            <w:tcBorders>
              <w:top w:val="nil"/>
              <w:left w:val="nil"/>
              <w:right w:val="nil"/>
            </w:tcBorders>
            <w:shd w:val="clear" w:color="auto" w:fill="00507E"/>
          </w:tcPr>
          <w:p>
            <w:pPr>
              <w:pStyle w:val="TableParagraph"/>
              <w:spacing w:before="0"/>
              <w:rPr>
                <w:rFonts w:ascii="Arial"/>
                <w:b/>
                <w:sz w:val="20"/>
              </w:rPr>
            </w:pPr>
          </w:p>
          <w:p>
            <w:pPr>
              <w:pStyle w:val="TableParagraph"/>
              <w:spacing w:before="0"/>
              <w:rPr>
                <w:rFonts w:ascii="Arial"/>
                <w:b/>
                <w:sz w:val="20"/>
              </w:rPr>
            </w:pPr>
          </w:p>
          <w:p>
            <w:pPr>
              <w:pStyle w:val="TableParagraph"/>
              <w:spacing w:before="16"/>
              <w:rPr>
                <w:rFonts w:ascii="Arial"/>
                <w:b/>
                <w:sz w:val="20"/>
              </w:rPr>
            </w:pPr>
          </w:p>
          <w:p>
            <w:pPr>
              <w:pStyle w:val="TableParagraph"/>
              <w:spacing w:before="0" w:line="240" w:lineRule="atLeast"/>
              <w:ind w:left="314" w:right="296" w:hanging="17"/>
              <w:rPr>
                <w:rFonts w:ascii="Calibri"/>
                <w:b/>
                <w:sz w:val="20"/>
              </w:rPr>
            </w:pPr>
            <w:r>
              <w:rPr>
                <w:rFonts w:ascii="Calibri"/>
                <w:b/>
                <w:color w:val="FFFFFF"/>
                <w:spacing w:val="-4"/>
                <w:sz w:val="20"/>
              </w:rPr>
              <w:t xml:space="preserve">Odds </w:t>
            </w:r>
            <w:r>
              <w:rPr>
                <w:rFonts w:ascii="Calibri"/>
                <w:b/>
                <w:color w:val="FFFFFF"/>
                <w:spacing w:val="-2"/>
                <w:sz w:val="20"/>
              </w:rPr>
              <w:t>ratio</w:t>
            </w:r>
          </w:p>
        </w:tc>
        <w:tc>
          <w:tcPr>
            <w:tcW w:w="1232" w:type="dxa"/>
            <w:tcBorders>
              <w:top w:val="nil"/>
              <w:left w:val="nil"/>
              <w:right w:val="nil"/>
            </w:tcBorders>
            <w:shd w:val="clear" w:color="auto" w:fill="00507E"/>
          </w:tcPr>
          <w:p>
            <w:pPr>
              <w:pStyle w:val="TableParagraph"/>
              <w:spacing w:before="1" w:line="243" w:lineRule="exact"/>
              <w:ind w:left="90" w:right="90"/>
              <w:jc w:val="center"/>
              <w:rPr>
                <w:rFonts w:ascii="Calibri"/>
                <w:b/>
                <w:sz w:val="20"/>
              </w:rPr>
            </w:pPr>
            <w:r>
              <w:rPr>
                <w:rFonts w:ascii="Calibri"/>
                <w:b/>
                <w:color w:val="FFFFFF"/>
                <w:spacing w:val="-5"/>
                <w:sz w:val="20"/>
              </w:rPr>
              <w:t>95%</w:t>
            </w:r>
          </w:p>
          <w:p>
            <w:pPr>
              <w:pStyle w:val="TableParagraph"/>
              <w:spacing w:before="0"/>
              <w:ind w:left="89" w:right="90"/>
              <w:jc w:val="center"/>
              <w:rPr>
                <w:rFonts w:ascii="Calibri"/>
                <w:b/>
                <w:sz w:val="20"/>
              </w:rPr>
            </w:pPr>
            <w:r>
              <w:rPr>
                <w:rFonts w:ascii="Calibri"/>
                <w:b/>
                <w:color w:val="FFFFFF"/>
                <w:spacing w:val="-2"/>
                <w:sz w:val="20"/>
              </w:rPr>
              <w:t>confidence interval lower</w:t>
            </w:r>
          </w:p>
          <w:p>
            <w:pPr>
              <w:pStyle w:val="TableParagraph"/>
              <w:spacing w:before="1" w:line="216" w:lineRule="exact"/>
              <w:ind w:left="90" w:right="90"/>
              <w:jc w:val="center"/>
              <w:rPr>
                <w:rFonts w:ascii="Calibri"/>
                <w:b/>
                <w:sz w:val="20"/>
              </w:rPr>
            </w:pPr>
            <w:r>
              <w:rPr>
                <w:rFonts w:ascii="Calibri"/>
                <w:b/>
                <w:color w:val="FFFFFF"/>
                <w:spacing w:val="-2"/>
                <w:sz w:val="20"/>
              </w:rPr>
              <w:t>bound</w:t>
            </w:r>
          </w:p>
        </w:tc>
        <w:tc>
          <w:tcPr>
            <w:tcW w:w="1271" w:type="dxa"/>
            <w:tcBorders>
              <w:top w:val="nil"/>
              <w:left w:val="nil"/>
              <w:right w:val="nil"/>
            </w:tcBorders>
            <w:shd w:val="clear" w:color="auto" w:fill="00507E"/>
          </w:tcPr>
          <w:p>
            <w:pPr>
              <w:pStyle w:val="TableParagraph"/>
              <w:spacing w:before="1" w:line="243" w:lineRule="exact"/>
              <w:ind w:left="85" w:right="122"/>
              <w:jc w:val="center"/>
              <w:rPr>
                <w:rFonts w:ascii="Calibri"/>
                <w:b/>
                <w:sz w:val="20"/>
              </w:rPr>
            </w:pPr>
            <w:r>
              <w:rPr>
                <w:rFonts w:ascii="Calibri"/>
                <w:b/>
                <w:color w:val="FFFFFF"/>
                <w:spacing w:val="-5"/>
                <w:sz w:val="20"/>
              </w:rPr>
              <w:t>95%</w:t>
            </w:r>
          </w:p>
          <w:p>
            <w:pPr>
              <w:pStyle w:val="TableParagraph"/>
              <w:spacing w:before="0"/>
              <w:ind w:left="81" w:right="122"/>
              <w:jc w:val="center"/>
              <w:rPr>
                <w:rFonts w:ascii="Calibri"/>
                <w:b/>
                <w:sz w:val="20"/>
              </w:rPr>
            </w:pPr>
            <w:r>
              <w:rPr>
                <w:rFonts w:ascii="Calibri"/>
                <w:b/>
                <w:color w:val="FFFFFF"/>
                <w:spacing w:val="-2"/>
                <w:sz w:val="20"/>
              </w:rPr>
              <w:t>confidence interval upper</w:t>
            </w:r>
          </w:p>
          <w:p>
            <w:pPr>
              <w:pStyle w:val="TableParagraph"/>
              <w:spacing w:before="1" w:line="216" w:lineRule="exact"/>
              <w:ind w:left="86" w:right="122"/>
              <w:jc w:val="center"/>
              <w:rPr>
                <w:rFonts w:ascii="Calibri"/>
                <w:b/>
                <w:sz w:val="20"/>
              </w:rPr>
            </w:pPr>
            <w:r>
              <w:rPr>
                <w:rFonts w:ascii="Calibri"/>
                <w:b/>
                <w:color w:val="FFFFFF"/>
                <w:spacing w:val="-2"/>
                <w:sz w:val="20"/>
              </w:rPr>
              <w:t>bound</w:t>
            </w:r>
          </w:p>
        </w:tc>
      </w:tr>
      <w:tr>
        <w:tblPrEx>
          <w:tblW w:w="0" w:type="auto"/>
          <w:jc w:val="left"/>
          <w:tblInd w:w="339" w:type="dxa"/>
          <w:tblLayout w:type="fixed"/>
          <w:tblCellMar>
            <w:top w:w="0" w:type="dxa"/>
            <w:left w:w="0" w:type="dxa"/>
            <w:bottom w:w="0" w:type="dxa"/>
            <w:right w:w="0" w:type="dxa"/>
          </w:tblCellMar>
          <w:tblLook w:val="01E0"/>
        </w:tblPrEx>
        <w:trPr>
          <w:trHeight w:val="302"/>
          <w:jc w:val="left"/>
        </w:trPr>
        <w:tc>
          <w:tcPr>
            <w:tcW w:w="9420" w:type="dxa"/>
            <w:gridSpan w:val="5"/>
            <w:tcBorders>
              <w:top w:val="single" w:sz="12" w:space="0" w:color="009DD6"/>
              <w:left w:val="nil"/>
              <w:bottom w:val="single" w:sz="8" w:space="0" w:color="D9D9D9"/>
              <w:right w:val="nil"/>
            </w:tcBorders>
            <w:shd w:val="clear" w:color="auto" w:fill="D1EDFB"/>
          </w:tcPr>
          <w:p>
            <w:pPr>
              <w:pStyle w:val="TableParagraph"/>
              <w:spacing w:before="26"/>
              <w:ind w:left="136"/>
              <w:rPr>
                <w:rFonts w:ascii="Calibri"/>
                <w:sz w:val="20"/>
              </w:rPr>
            </w:pPr>
            <w:r>
              <w:rPr>
                <w:rFonts w:ascii="Calibri"/>
                <w:b/>
                <w:color w:val="1C242C"/>
                <w:sz w:val="20"/>
              </w:rPr>
              <w:t>Sex</w:t>
            </w:r>
            <w:r>
              <w:rPr>
                <w:rFonts w:ascii="Calibri"/>
                <w:b/>
                <w:color w:val="1C242C"/>
                <w:spacing w:val="-5"/>
                <w:sz w:val="20"/>
              </w:rPr>
              <w:t xml:space="preserve"> </w:t>
            </w:r>
            <w:r>
              <w:rPr>
                <w:rFonts w:ascii="Calibri"/>
                <w:color w:val="1C242C"/>
                <w:sz w:val="20"/>
              </w:rPr>
              <w:t>(Ref:</w:t>
            </w:r>
            <w:r>
              <w:rPr>
                <w:rFonts w:ascii="Calibri"/>
                <w:color w:val="1C242C"/>
                <w:spacing w:val="-5"/>
                <w:sz w:val="20"/>
              </w:rPr>
              <w:t xml:space="preserve"> </w:t>
            </w:r>
            <w:r>
              <w:rPr>
                <w:rFonts w:ascii="Calibri"/>
                <w:color w:val="1C242C"/>
                <w:spacing w:val="-2"/>
                <w:sz w:val="20"/>
              </w:rPr>
              <w:t>Male)</w:t>
            </w:r>
          </w:p>
        </w:tc>
      </w:tr>
      <w:tr>
        <w:tblPrEx>
          <w:tblW w:w="0" w:type="auto"/>
          <w:jc w:val="left"/>
          <w:tblInd w:w="339" w:type="dxa"/>
          <w:tblLayout w:type="fixed"/>
          <w:tblCellMar>
            <w:top w:w="0" w:type="dxa"/>
            <w:left w:w="0" w:type="dxa"/>
            <w:bottom w:w="0" w:type="dxa"/>
            <w:right w:w="0" w:type="dxa"/>
          </w:tblCellMar>
          <w:tblLook w:val="01E0"/>
        </w:tblPrEx>
        <w:trPr>
          <w:trHeight w:val="299"/>
          <w:jc w:val="left"/>
        </w:trPr>
        <w:tc>
          <w:tcPr>
            <w:tcW w:w="4848" w:type="dxa"/>
            <w:tcBorders>
              <w:top w:val="single" w:sz="8" w:space="0" w:color="D9D9D9"/>
              <w:left w:val="nil"/>
              <w:bottom w:val="single" w:sz="8" w:space="0" w:color="D9D9D9"/>
              <w:right w:val="single" w:sz="8" w:space="0" w:color="D9D9D9"/>
            </w:tcBorders>
          </w:tcPr>
          <w:p>
            <w:pPr>
              <w:pStyle w:val="TableParagraph"/>
              <w:ind w:left="136"/>
              <w:rPr>
                <w:rFonts w:ascii="Calibri"/>
                <w:sz w:val="20"/>
              </w:rPr>
            </w:pPr>
            <w:r>
              <w:rPr>
                <w:rFonts w:ascii="Calibri"/>
                <w:color w:val="1C242C"/>
                <w:spacing w:val="-4"/>
                <w:sz w:val="20"/>
              </w:rPr>
              <w:t>Male</w:t>
            </w:r>
          </w:p>
        </w:tc>
        <w:tc>
          <w:tcPr>
            <w:tcW w:w="1042" w:type="dxa"/>
            <w:tcBorders>
              <w:top w:val="single" w:sz="8" w:space="0" w:color="D9D9D9"/>
              <w:left w:val="single" w:sz="8" w:space="0" w:color="D9D9D9"/>
              <w:bottom w:val="single" w:sz="8" w:space="0" w:color="D9D9D9"/>
              <w:right w:val="nil"/>
            </w:tcBorders>
          </w:tcPr>
          <w:p>
            <w:pPr>
              <w:pStyle w:val="TableParagraph"/>
              <w:ind w:right="46"/>
              <w:jc w:val="center"/>
              <w:rPr>
                <w:rFonts w:ascii="Calibri"/>
                <w:sz w:val="20"/>
              </w:rPr>
            </w:pPr>
            <w:r>
              <w:rPr>
                <w:rFonts w:ascii="Calibri"/>
                <w:color w:val="1C242C"/>
                <w:spacing w:val="-2"/>
                <w:sz w:val="20"/>
              </w:rPr>
              <w:t>280,479</w:t>
            </w:r>
          </w:p>
        </w:tc>
        <w:tc>
          <w:tcPr>
            <w:tcW w:w="1027" w:type="dxa"/>
            <w:tcBorders>
              <w:top w:val="single" w:sz="8" w:space="0" w:color="D9D9D9"/>
              <w:left w:val="nil"/>
              <w:bottom w:val="single" w:sz="8" w:space="0" w:color="D9D9D9"/>
              <w:right w:val="single" w:sz="8" w:space="0" w:color="D9D9D9"/>
            </w:tcBorders>
          </w:tcPr>
          <w:p>
            <w:pPr>
              <w:pStyle w:val="TableParagraph"/>
              <w:ind w:left="11"/>
              <w:jc w:val="center"/>
              <w:rPr>
                <w:rFonts w:ascii="Calibri"/>
                <w:sz w:val="20"/>
              </w:rPr>
            </w:pPr>
            <w:r>
              <w:rPr>
                <w:rFonts w:ascii="Calibri"/>
                <w:color w:val="1C242C"/>
                <w:spacing w:val="-5"/>
                <w:sz w:val="20"/>
              </w:rPr>
              <w:t>REF</w:t>
            </w:r>
          </w:p>
        </w:tc>
        <w:tc>
          <w:tcPr>
            <w:tcW w:w="1232" w:type="dxa"/>
            <w:tcBorders>
              <w:top w:val="single" w:sz="8" w:space="0" w:color="D9D9D9"/>
              <w:left w:val="single" w:sz="8" w:space="0" w:color="D9D9D9"/>
              <w:bottom w:val="single" w:sz="8" w:space="0" w:color="D9D9D9"/>
              <w:right w:val="single" w:sz="8" w:space="0" w:color="D9D9D9"/>
            </w:tcBorders>
          </w:tcPr>
          <w:p>
            <w:pPr>
              <w:pStyle w:val="TableParagraph"/>
              <w:ind w:left="2" w:right="3"/>
              <w:jc w:val="center"/>
              <w:rPr>
                <w:rFonts w:ascii="Calibri" w:hAnsi="Calibri"/>
                <w:sz w:val="20"/>
              </w:rPr>
            </w:pPr>
            <w:r>
              <w:rPr>
                <w:rFonts w:ascii="Calibri" w:hAnsi="Calibri"/>
                <w:color w:val="1C242C"/>
                <w:spacing w:val="-10"/>
                <w:sz w:val="20"/>
              </w:rPr>
              <w:t>–</w:t>
            </w:r>
          </w:p>
        </w:tc>
        <w:tc>
          <w:tcPr>
            <w:tcW w:w="1271" w:type="dxa"/>
            <w:tcBorders>
              <w:top w:val="single" w:sz="8" w:space="0" w:color="D9D9D9"/>
              <w:left w:val="single" w:sz="8" w:space="0" w:color="D9D9D9"/>
              <w:bottom w:val="single" w:sz="8" w:space="0" w:color="D9D9D9"/>
              <w:right w:val="nil"/>
            </w:tcBorders>
          </w:tcPr>
          <w:p>
            <w:pPr>
              <w:pStyle w:val="TableParagraph"/>
              <w:ind w:left="1" w:right="51"/>
              <w:jc w:val="center"/>
              <w:rPr>
                <w:rFonts w:ascii="Calibri" w:hAnsi="Calibri"/>
                <w:sz w:val="20"/>
              </w:rPr>
            </w:pPr>
            <w:r>
              <w:rPr>
                <w:rFonts w:ascii="Calibri" w:hAnsi="Calibri"/>
                <w:color w:val="1C242C"/>
                <w:spacing w:val="-10"/>
                <w:sz w:val="20"/>
              </w:rPr>
              <w:t>–</w:t>
            </w:r>
          </w:p>
        </w:tc>
      </w:tr>
      <w:tr>
        <w:tblPrEx>
          <w:tblW w:w="0" w:type="auto"/>
          <w:jc w:val="left"/>
          <w:tblInd w:w="339" w:type="dxa"/>
          <w:tblLayout w:type="fixed"/>
          <w:tblCellMar>
            <w:top w:w="0" w:type="dxa"/>
            <w:left w:w="0" w:type="dxa"/>
            <w:bottom w:w="0" w:type="dxa"/>
            <w:right w:w="0" w:type="dxa"/>
          </w:tblCellMar>
          <w:tblLook w:val="01E0"/>
        </w:tblPrEx>
        <w:trPr>
          <w:trHeight w:val="301"/>
          <w:jc w:val="left"/>
        </w:trPr>
        <w:tc>
          <w:tcPr>
            <w:tcW w:w="4848" w:type="dxa"/>
            <w:tcBorders>
              <w:top w:val="single" w:sz="8" w:space="0" w:color="D9D9D9"/>
              <w:left w:val="nil"/>
              <w:bottom w:val="single" w:sz="8" w:space="0" w:color="D9D9D9"/>
              <w:right w:val="single" w:sz="8" w:space="0" w:color="D9D9D9"/>
            </w:tcBorders>
          </w:tcPr>
          <w:p>
            <w:pPr>
              <w:pStyle w:val="TableParagraph"/>
              <w:ind w:left="136"/>
              <w:rPr>
                <w:rFonts w:ascii="Calibri"/>
                <w:sz w:val="20"/>
              </w:rPr>
            </w:pPr>
            <w:r>
              <w:rPr>
                <w:rFonts w:ascii="Calibri"/>
                <w:color w:val="1C242C"/>
                <w:spacing w:val="-2"/>
                <w:sz w:val="20"/>
              </w:rPr>
              <w:t>Female</w:t>
            </w:r>
          </w:p>
        </w:tc>
        <w:tc>
          <w:tcPr>
            <w:tcW w:w="1042" w:type="dxa"/>
            <w:tcBorders>
              <w:top w:val="single" w:sz="8" w:space="0" w:color="D9D9D9"/>
              <w:left w:val="single" w:sz="8" w:space="0" w:color="D9D9D9"/>
              <w:bottom w:val="single" w:sz="8" w:space="0" w:color="D9D9D9"/>
              <w:right w:val="single" w:sz="8" w:space="0" w:color="D9D9D9"/>
            </w:tcBorders>
          </w:tcPr>
          <w:p>
            <w:pPr>
              <w:pStyle w:val="TableParagraph"/>
              <w:ind w:left="2" w:right="5"/>
              <w:jc w:val="center"/>
              <w:rPr>
                <w:rFonts w:ascii="Calibri"/>
                <w:sz w:val="20"/>
              </w:rPr>
            </w:pPr>
            <w:r>
              <w:rPr>
                <w:rFonts w:ascii="Calibri"/>
                <w:color w:val="1C242C"/>
                <w:spacing w:val="-2"/>
                <w:sz w:val="20"/>
              </w:rPr>
              <w:t>319,660</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ind w:left="2" w:right="2"/>
              <w:jc w:val="center"/>
              <w:rPr>
                <w:rFonts w:ascii="Calibri"/>
                <w:sz w:val="20"/>
              </w:rPr>
            </w:pPr>
            <w:r>
              <w:rPr>
                <w:rFonts w:ascii="Calibri"/>
                <w:color w:val="1C242C"/>
                <w:spacing w:val="-2"/>
                <w:sz w:val="20"/>
              </w:rPr>
              <w:t>1.39*</w:t>
            </w:r>
          </w:p>
        </w:tc>
        <w:tc>
          <w:tcPr>
            <w:tcW w:w="1232" w:type="dxa"/>
            <w:tcBorders>
              <w:top w:val="single" w:sz="8" w:space="0" w:color="D9D9D9"/>
              <w:left w:val="single" w:sz="8" w:space="0" w:color="D9D9D9"/>
              <w:bottom w:val="single" w:sz="8" w:space="0" w:color="D9D9D9"/>
              <w:right w:val="single" w:sz="8" w:space="0" w:color="D9D9D9"/>
            </w:tcBorders>
          </w:tcPr>
          <w:p>
            <w:pPr>
              <w:pStyle w:val="TableParagraph"/>
              <w:ind w:left="2" w:right="3"/>
              <w:jc w:val="center"/>
              <w:rPr>
                <w:rFonts w:ascii="Calibri"/>
                <w:sz w:val="20"/>
              </w:rPr>
            </w:pPr>
            <w:r>
              <w:rPr>
                <w:rFonts w:ascii="Calibri"/>
                <w:color w:val="1C242C"/>
                <w:spacing w:val="-4"/>
                <w:sz w:val="20"/>
              </w:rPr>
              <w:t>1.37</w:t>
            </w:r>
          </w:p>
        </w:tc>
        <w:tc>
          <w:tcPr>
            <w:tcW w:w="1271" w:type="dxa"/>
            <w:tcBorders>
              <w:top w:val="single" w:sz="8" w:space="0" w:color="D9D9D9"/>
              <w:left w:val="single" w:sz="8" w:space="0" w:color="D9D9D9"/>
              <w:bottom w:val="single" w:sz="8" w:space="0" w:color="D9D9D9"/>
              <w:right w:val="nil"/>
            </w:tcBorders>
          </w:tcPr>
          <w:p>
            <w:pPr>
              <w:pStyle w:val="TableParagraph"/>
              <w:ind w:right="51"/>
              <w:jc w:val="center"/>
              <w:rPr>
                <w:rFonts w:ascii="Calibri"/>
                <w:sz w:val="20"/>
              </w:rPr>
            </w:pPr>
            <w:r>
              <w:rPr>
                <w:rFonts w:ascii="Calibri"/>
                <w:color w:val="1C242C"/>
                <w:spacing w:val="-4"/>
                <w:sz w:val="20"/>
              </w:rPr>
              <w:t>1.42</w:t>
            </w:r>
          </w:p>
        </w:tc>
      </w:tr>
      <w:tr>
        <w:tblPrEx>
          <w:tblW w:w="0" w:type="auto"/>
          <w:jc w:val="left"/>
          <w:tblInd w:w="339" w:type="dxa"/>
          <w:tblLayout w:type="fixed"/>
          <w:tblCellMar>
            <w:top w:w="0" w:type="dxa"/>
            <w:left w:w="0" w:type="dxa"/>
            <w:bottom w:w="0" w:type="dxa"/>
            <w:right w:w="0" w:type="dxa"/>
          </w:tblCellMar>
          <w:tblLook w:val="01E0"/>
        </w:tblPrEx>
        <w:trPr>
          <w:trHeight w:val="299"/>
          <w:jc w:val="left"/>
        </w:trPr>
        <w:tc>
          <w:tcPr>
            <w:tcW w:w="9420" w:type="dxa"/>
            <w:gridSpan w:val="5"/>
            <w:tcBorders>
              <w:top w:val="single" w:sz="8" w:space="0" w:color="D9D9D9"/>
              <w:left w:val="nil"/>
              <w:bottom w:val="single" w:sz="8" w:space="0" w:color="D9D9D9"/>
              <w:right w:val="nil"/>
            </w:tcBorders>
            <w:shd w:val="clear" w:color="auto" w:fill="D1EDFB"/>
          </w:tcPr>
          <w:p>
            <w:pPr>
              <w:pStyle w:val="TableParagraph"/>
              <w:spacing w:before="27"/>
              <w:ind w:left="136"/>
              <w:rPr>
                <w:rFonts w:ascii="Calibri" w:hAnsi="Calibri"/>
                <w:sz w:val="20"/>
              </w:rPr>
            </w:pPr>
            <w:r>
              <w:rPr>
                <w:rFonts w:ascii="Calibri" w:hAnsi="Calibri"/>
                <w:b/>
                <w:color w:val="1C242C"/>
                <w:sz w:val="20"/>
              </w:rPr>
              <w:t>Age</w:t>
            </w:r>
            <w:r>
              <w:rPr>
                <w:rFonts w:ascii="Calibri" w:hAnsi="Calibri"/>
                <w:b/>
                <w:color w:val="1C242C"/>
                <w:spacing w:val="-6"/>
                <w:sz w:val="20"/>
              </w:rPr>
              <w:t xml:space="preserve"> </w:t>
            </w:r>
            <w:r>
              <w:rPr>
                <w:rFonts w:ascii="Calibri" w:hAnsi="Calibri"/>
                <w:color w:val="1C242C"/>
                <w:sz w:val="20"/>
              </w:rPr>
              <w:t>(Ref:</w:t>
            </w:r>
            <w:r>
              <w:rPr>
                <w:rFonts w:ascii="Calibri" w:hAnsi="Calibri"/>
                <w:color w:val="1C242C"/>
                <w:spacing w:val="-6"/>
                <w:sz w:val="20"/>
              </w:rPr>
              <w:t xml:space="preserve"> </w:t>
            </w:r>
            <w:r>
              <w:rPr>
                <w:rFonts w:ascii="Calibri" w:hAnsi="Calibri"/>
                <w:color w:val="1C242C"/>
                <w:sz w:val="20"/>
              </w:rPr>
              <w:t>18–</w:t>
            </w:r>
            <w:r>
              <w:rPr>
                <w:rFonts w:ascii="Calibri" w:hAnsi="Calibri"/>
                <w:color w:val="1C242C"/>
                <w:spacing w:val="-5"/>
                <w:sz w:val="20"/>
              </w:rPr>
              <w:t>24)</w:t>
            </w:r>
          </w:p>
        </w:tc>
      </w:tr>
      <w:tr>
        <w:tblPrEx>
          <w:tblW w:w="0" w:type="auto"/>
          <w:jc w:val="left"/>
          <w:tblInd w:w="339" w:type="dxa"/>
          <w:tblLayout w:type="fixed"/>
          <w:tblCellMar>
            <w:top w:w="0" w:type="dxa"/>
            <w:left w:w="0" w:type="dxa"/>
            <w:bottom w:w="0" w:type="dxa"/>
            <w:right w:w="0" w:type="dxa"/>
          </w:tblCellMar>
          <w:tblLook w:val="01E0"/>
        </w:tblPrEx>
        <w:trPr>
          <w:trHeight w:val="299"/>
          <w:jc w:val="left"/>
        </w:trPr>
        <w:tc>
          <w:tcPr>
            <w:tcW w:w="4848" w:type="dxa"/>
            <w:tcBorders>
              <w:top w:val="single" w:sz="8" w:space="0" w:color="D9D9D9"/>
              <w:left w:val="nil"/>
              <w:bottom w:val="single" w:sz="8" w:space="0" w:color="D9D9D9"/>
              <w:right w:val="single" w:sz="8" w:space="0" w:color="D9D9D9"/>
            </w:tcBorders>
          </w:tcPr>
          <w:p>
            <w:pPr>
              <w:pStyle w:val="TableParagraph"/>
              <w:ind w:left="136"/>
              <w:rPr>
                <w:rFonts w:ascii="Calibri" w:hAnsi="Calibri"/>
                <w:sz w:val="20"/>
              </w:rPr>
            </w:pPr>
            <w:r>
              <w:rPr>
                <w:rFonts w:ascii="Calibri" w:hAnsi="Calibri"/>
                <w:color w:val="1C242C"/>
                <w:spacing w:val="-4"/>
                <w:sz w:val="20"/>
              </w:rPr>
              <w:t>18–</w:t>
            </w:r>
            <w:r>
              <w:rPr>
                <w:rFonts w:ascii="Calibri" w:hAnsi="Calibri"/>
                <w:color w:val="1C242C"/>
                <w:spacing w:val="-5"/>
                <w:sz w:val="20"/>
              </w:rPr>
              <w:t>24</w:t>
            </w:r>
          </w:p>
        </w:tc>
        <w:tc>
          <w:tcPr>
            <w:tcW w:w="1042" w:type="dxa"/>
            <w:tcBorders>
              <w:top w:val="single" w:sz="8" w:space="0" w:color="D9D9D9"/>
              <w:left w:val="single" w:sz="8" w:space="0" w:color="D9D9D9"/>
              <w:bottom w:val="single" w:sz="8" w:space="0" w:color="D9D9D9"/>
              <w:right w:val="single" w:sz="8" w:space="0" w:color="D9D9D9"/>
            </w:tcBorders>
          </w:tcPr>
          <w:p>
            <w:pPr>
              <w:pStyle w:val="TableParagraph"/>
              <w:ind w:left="2" w:right="5"/>
              <w:jc w:val="center"/>
              <w:rPr>
                <w:rFonts w:ascii="Calibri"/>
                <w:sz w:val="20"/>
              </w:rPr>
            </w:pPr>
            <w:r>
              <w:rPr>
                <w:rFonts w:ascii="Calibri"/>
                <w:color w:val="1C242C"/>
                <w:spacing w:val="-2"/>
                <w:sz w:val="20"/>
              </w:rPr>
              <w:t>44,793</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ind w:left="3" w:right="2"/>
              <w:jc w:val="center"/>
              <w:rPr>
                <w:rFonts w:ascii="Calibri"/>
                <w:sz w:val="20"/>
              </w:rPr>
            </w:pPr>
            <w:r>
              <w:rPr>
                <w:rFonts w:ascii="Calibri"/>
                <w:color w:val="1C242C"/>
                <w:spacing w:val="-5"/>
                <w:sz w:val="20"/>
              </w:rPr>
              <w:t>REF</w:t>
            </w:r>
          </w:p>
        </w:tc>
        <w:tc>
          <w:tcPr>
            <w:tcW w:w="1232" w:type="dxa"/>
            <w:tcBorders>
              <w:top w:val="single" w:sz="8" w:space="0" w:color="D9D9D9"/>
              <w:left w:val="single" w:sz="8" w:space="0" w:color="D9D9D9"/>
              <w:bottom w:val="single" w:sz="8" w:space="0" w:color="D9D9D9"/>
              <w:right w:val="single" w:sz="8" w:space="0" w:color="D9D9D9"/>
            </w:tcBorders>
          </w:tcPr>
          <w:p>
            <w:pPr>
              <w:pStyle w:val="TableParagraph"/>
              <w:ind w:left="2" w:right="3"/>
              <w:jc w:val="center"/>
              <w:rPr>
                <w:rFonts w:ascii="Calibri" w:hAnsi="Calibri"/>
                <w:sz w:val="20"/>
              </w:rPr>
            </w:pPr>
            <w:r>
              <w:rPr>
                <w:rFonts w:ascii="Calibri" w:hAnsi="Calibri"/>
                <w:color w:val="1C242C"/>
                <w:spacing w:val="-10"/>
                <w:sz w:val="20"/>
              </w:rPr>
              <w:t>–</w:t>
            </w:r>
          </w:p>
        </w:tc>
        <w:tc>
          <w:tcPr>
            <w:tcW w:w="1271" w:type="dxa"/>
            <w:tcBorders>
              <w:top w:val="single" w:sz="8" w:space="0" w:color="D9D9D9"/>
              <w:left w:val="single" w:sz="8" w:space="0" w:color="D9D9D9"/>
              <w:bottom w:val="single" w:sz="8" w:space="0" w:color="D9D9D9"/>
              <w:right w:val="nil"/>
            </w:tcBorders>
          </w:tcPr>
          <w:p>
            <w:pPr>
              <w:pStyle w:val="TableParagraph"/>
              <w:ind w:left="1" w:right="51"/>
              <w:jc w:val="center"/>
              <w:rPr>
                <w:rFonts w:ascii="Calibri" w:hAnsi="Calibri"/>
                <w:sz w:val="20"/>
              </w:rPr>
            </w:pPr>
            <w:r>
              <w:rPr>
                <w:rFonts w:ascii="Calibri" w:hAnsi="Calibri"/>
                <w:color w:val="1C242C"/>
                <w:spacing w:val="-10"/>
                <w:sz w:val="20"/>
              </w:rPr>
              <w:t>–</w:t>
            </w:r>
          </w:p>
        </w:tc>
      </w:tr>
      <w:tr>
        <w:tblPrEx>
          <w:tblW w:w="0" w:type="auto"/>
          <w:jc w:val="left"/>
          <w:tblInd w:w="339" w:type="dxa"/>
          <w:tblLayout w:type="fixed"/>
          <w:tblCellMar>
            <w:top w:w="0" w:type="dxa"/>
            <w:left w:w="0" w:type="dxa"/>
            <w:bottom w:w="0" w:type="dxa"/>
            <w:right w:w="0" w:type="dxa"/>
          </w:tblCellMar>
          <w:tblLook w:val="01E0"/>
        </w:tblPrEx>
        <w:trPr>
          <w:trHeight w:val="302"/>
          <w:jc w:val="left"/>
        </w:trPr>
        <w:tc>
          <w:tcPr>
            <w:tcW w:w="4848" w:type="dxa"/>
            <w:tcBorders>
              <w:top w:val="single" w:sz="8" w:space="0" w:color="D9D9D9"/>
              <w:left w:val="nil"/>
              <w:bottom w:val="single" w:sz="8" w:space="0" w:color="D9D9D9"/>
              <w:right w:val="single" w:sz="8" w:space="0" w:color="D9D9D9"/>
            </w:tcBorders>
          </w:tcPr>
          <w:p>
            <w:pPr>
              <w:pStyle w:val="TableParagraph"/>
              <w:ind w:left="136"/>
              <w:rPr>
                <w:rFonts w:ascii="Calibri" w:hAnsi="Calibri"/>
                <w:sz w:val="20"/>
              </w:rPr>
            </w:pPr>
            <w:r>
              <w:rPr>
                <w:rFonts w:ascii="Calibri" w:hAnsi="Calibri"/>
                <w:color w:val="1C242C"/>
                <w:spacing w:val="-4"/>
                <w:sz w:val="20"/>
              </w:rPr>
              <w:t>25–</w:t>
            </w:r>
            <w:r>
              <w:rPr>
                <w:rFonts w:ascii="Calibri" w:hAnsi="Calibri"/>
                <w:color w:val="1C242C"/>
                <w:spacing w:val="-5"/>
                <w:sz w:val="20"/>
              </w:rPr>
              <w:t>34</w:t>
            </w:r>
          </w:p>
        </w:tc>
        <w:tc>
          <w:tcPr>
            <w:tcW w:w="1042" w:type="dxa"/>
            <w:tcBorders>
              <w:top w:val="single" w:sz="8" w:space="0" w:color="D9D9D9"/>
              <w:left w:val="single" w:sz="8" w:space="0" w:color="D9D9D9"/>
              <w:bottom w:val="single" w:sz="8" w:space="0" w:color="D9D9D9"/>
              <w:right w:val="single" w:sz="8" w:space="0" w:color="D9D9D9"/>
            </w:tcBorders>
          </w:tcPr>
          <w:p>
            <w:pPr>
              <w:pStyle w:val="TableParagraph"/>
              <w:ind w:left="2" w:right="5"/>
              <w:jc w:val="center"/>
              <w:rPr>
                <w:rFonts w:ascii="Calibri"/>
                <w:sz w:val="20"/>
              </w:rPr>
            </w:pPr>
            <w:r>
              <w:rPr>
                <w:rFonts w:ascii="Calibri"/>
                <w:color w:val="1C242C"/>
                <w:spacing w:val="-2"/>
                <w:sz w:val="20"/>
              </w:rPr>
              <w:t>123,152</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ind w:left="2" w:right="2"/>
              <w:jc w:val="center"/>
              <w:rPr>
                <w:rFonts w:ascii="Calibri"/>
                <w:sz w:val="20"/>
              </w:rPr>
            </w:pPr>
            <w:r>
              <w:rPr>
                <w:rFonts w:ascii="Calibri"/>
                <w:color w:val="1C242C"/>
                <w:spacing w:val="-2"/>
                <w:sz w:val="20"/>
              </w:rPr>
              <w:t>1.17*</w:t>
            </w:r>
          </w:p>
        </w:tc>
        <w:tc>
          <w:tcPr>
            <w:tcW w:w="1232" w:type="dxa"/>
            <w:tcBorders>
              <w:top w:val="single" w:sz="8" w:space="0" w:color="D9D9D9"/>
              <w:left w:val="single" w:sz="8" w:space="0" w:color="D9D9D9"/>
              <w:bottom w:val="single" w:sz="8" w:space="0" w:color="D9D9D9"/>
              <w:right w:val="single" w:sz="8" w:space="0" w:color="D9D9D9"/>
            </w:tcBorders>
          </w:tcPr>
          <w:p>
            <w:pPr>
              <w:pStyle w:val="TableParagraph"/>
              <w:ind w:left="2" w:right="3"/>
              <w:jc w:val="center"/>
              <w:rPr>
                <w:rFonts w:ascii="Calibri"/>
                <w:sz w:val="20"/>
              </w:rPr>
            </w:pPr>
            <w:r>
              <w:rPr>
                <w:rFonts w:ascii="Calibri"/>
                <w:color w:val="1C242C"/>
                <w:spacing w:val="-4"/>
                <w:sz w:val="20"/>
              </w:rPr>
              <w:t>1.10</w:t>
            </w:r>
          </w:p>
        </w:tc>
        <w:tc>
          <w:tcPr>
            <w:tcW w:w="1271" w:type="dxa"/>
            <w:tcBorders>
              <w:top w:val="single" w:sz="8" w:space="0" w:color="D9D9D9"/>
              <w:left w:val="single" w:sz="8" w:space="0" w:color="D9D9D9"/>
              <w:bottom w:val="single" w:sz="8" w:space="0" w:color="D9D9D9"/>
              <w:right w:val="nil"/>
            </w:tcBorders>
          </w:tcPr>
          <w:p>
            <w:pPr>
              <w:pStyle w:val="TableParagraph"/>
              <w:ind w:right="51"/>
              <w:jc w:val="center"/>
              <w:rPr>
                <w:rFonts w:ascii="Calibri"/>
                <w:sz w:val="20"/>
              </w:rPr>
            </w:pPr>
            <w:r>
              <w:rPr>
                <w:rFonts w:ascii="Calibri"/>
                <w:color w:val="1C242C"/>
                <w:spacing w:val="-4"/>
                <w:sz w:val="20"/>
              </w:rPr>
              <w:t>1.24</w:t>
            </w:r>
          </w:p>
        </w:tc>
      </w:tr>
      <w:tr>
        <w:tblPrEx>
          <w:tblW w:w="0" w:type="auto"/>
          <w:jc w:val="left"/>
          <w:tblInd w:w="339" w:type="dxa"/>
          <w:tblLayout w:type="fixed"/>
          <w:tblCellMar>
            <w:top w:w="0" w:type="dxa"/>
            <w:left w:w="0" w:type="dxa"/>
            <w:bottom w:w="0" w:type="dxa"/>
            <w:right w:w="0" w:type="dxa"/>
          </w:tblCellMar>
          <w:tblLook w:val="01E0"/>
        </w:tblPrEx>
        <w:trPr>
          <w:trHeight w:val="299"/>
          <w:jc w:val="left"/>
        </w:trPr>
        <w:tc>
          <w:tcPr>
            <w:tcW w:w="4848" w:type="dxa"/>
            <w:tcBorders>
              <w:top w:val="single" w:sz="8" w:space="0" w:color="D9D9D9"/>
              <w:left w:val="nil"/>
              <w:bottom w:val="single" w:sz="8" w:space="0" w:color="D9D9D9"/>
              <w:right w:val="single" w:sz="8" w:space="0" w:color="D9D9D9"/>
            </w:tcBorders>
          </w:tcPr>
          <w:p>
            <w:pPr>
              <w:pStyle w:val="TableParagraph"/>
              <w:spacing w:before="27"/>
              <w:ind w:left="136"/>
              <w:rPr>
                <w:rFonts w:ascii="Calibri" w:hAnsi="Calibri"/>
                <w:sz w:val="20"/>
              </w:rPr>
            </w:pPr>
            <w:r>
              <w:rPr>
                <w:rFonts w:ascii="Calibri" w:hAnsi="Calibri"/>
                <w:color w:val="1C242C"/>
                <w:spacing w:val="-4"/>
                <w:sz w:val="20"/>
              </w:rPr>
              <w:t>35–</w:t>
            </w:r>
            <w:r>
              <w:rPr>
                <w:rFonts w:ascii="Calibri" w:hAnsi="Calibri"/>
                <w:color w:val="1C242C"/>
                <w:spacing w:val="-5"/>
                <w:sz w:val="20"/>
              </w:rPr>
              <w:t>44</w:t>
            </w:r>
          </w:p>
        </w:tc>
        <w:tc>
          <w:tcPr>
            <w:tcW w:w="1042" w:type="dxa"/>
            <w:tcBorders>
              <w:top w:val="single" w:sz="8" w:space="0" w:color="D9D9D9"/>
              <w:left w:val="single" w:sz="8" w:space="0" w:color="D9D9D9"/>
              <w:bottom w:val="single" w:sz="8" w:space="0" w:color="D9D9D9"/>
              <w:right w:val="single" w:sz="8" w:space="0" w:color="D9D9D9"/>
            </w:tcBorders>
          </w:tcPr>
          <w:p>
            <w:pPr>
              <w:pStyle w:val="TableParagraph"/>
              <w:spacing w:before="27"/>
              <w:ind w:left="2" w:right="5"/>
              <w:jc w:val="center"/>
              <w:rPr>
                <w:rFonts w:ascii="Calibri"/>
                <w:sz w:val="20"/>
              </w:rPr>
            </w:pPr>
            <w:r>
              <w:rPr>
                <w:rFonts w:ascii="Calibri"/>
                <w:color w:val="1C242C"/>
                <w:spacing w:val="-2"/>
                <w:sz w:val="20"/>
              </w:rPr>
              <w:t>123,889</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spacing w:before="27"/>
              <w:ind w:left="2" w:right="2"/>
              <w:jc w:val="center"/>
              <w:rPr>
                <w:rFonts w:ascii="Calibri"/>
                <w:sz w:val="20"/>
              </w:rPr>
            </w:pPr>
            <w:r>
              <w:rPr>
                <w:rFonts w:ascii="Calibri"/>
                <w:color w:val="1C242C"/>
                <w:spacing w:val="-2"/>
                <w:sz w:val="20"/>
              </w:rPr>
              <w:t>1.54*</w:t>
            </w:r>
          </w:p>
        </w:tc>
        <w:tc>
          <w:tcPr>
            <w:tcW w:w="1232" w:type="dxa"/>
            <w:tcBorders>
              <w:top w:val="single" w:sz="8" w:space="0" w:color="D9D9D9"/>
              <w:left w:val="single" w:sz="8" w:space="0" w:color="D9D9D9"/>
              <w:bottom w:val="single" w:sz="8" w:space="0" w:color="D9D9D9"/>
              <w:right w:val="single" w:sz="8" w:space="0" w:color="D9D9D9"/>
            </w:tcBorders>
          </w:tcPr>
          <w:p>
            <w:pPr>
              <w:pStyle w:val="TableParagraph"/>
              <w:spacing w:before="27"/>
              <w:ind w:left="2" w:right="3"/>
              <w:jc w:val="center"/>
              <w:rPr>
                <w:rFonts w:ascii="Calibri"/>
                <w:sz w:val="20"/>
              </w:rPr>
            </w:pPr>
            <w:r>
              <w:rPr>
                <w:rFonts w:ascii="Calibri"/>
                <w:color w:val="1C242C"/>
                <w:spacing w:val="-4"/>
                <w:sz w:val="20"/>
              </w:rPr>
              <w:t>1.46</w:t>
            </w:r>
          </w:p>
        </w:tc>
        <w:tc>
          <w:tcPr>
            <w:tcW w:w="1271" w:type="dxa"/>
            <w:tcBorders>
              <w:top w:val="single" w:sz="8" w:space="0" w:color="D9D9D9"/>
              <w:left w:val="single" w:sz="8" w:space="0" w:color="D9D9D9"/>
              <w:bottom w:val="single" w:sz="8" w:space="0" w:color="D9D9D9"/>
              <w:right w:val="nil"/>
            </w:tcBorders>
          </w:tcPr>
          <w:p>
            <w:pPr>
              <w:pStyle w:val="TableParagraph"/>
              <w:spacing w:before="27"/>
              <w:ind w:right="51"/>
              <w:jc w:val="center"/>
              <w:rPr>
                <w:rFonts w:ascii="Calibri"/>
                <w:sz w:val="20"/>
              </w:rPr>
            </w:pPr>
            <w:r>
              <w:rPr>
                <w:rFonts w:ascii="Calibri"/>
                <w:color w:val="1C242C"/>
                <w:spacing w:val="-4"/>
                <w:sz w:val="20"/>
              </w:rPr>
              <w:t>1.63</w:t>
            </w:r>
          </w:p>
        </w:tc>
      </w:tr>
      <w:tr>
        <w:tblPrEx>
          <w:tblW w:w="0" w:type="auto"/>
          <w:jc w:val="left"/>
          <w:tblInd w:w="339" w:type="dxa"/>
          <w:tblLayout w:type="fixed"/>
          <w:tblCellMar>
            <w:top w:w="0" w:type="dxa"/>
            <w:left w:w="0" w:type="dxa"/>
            <w:bottom w:w="0" w:type="dxa"/>
            <w:right w:w="0" w:type="dxa"/>
          </w:tblCellMar>
          <w:tblLook w:val="01E0"/>
        </w:tblPrEx>
        <w:trPr>
          <w:trHeight w:val="299"/>
          <w:jc w:val="left"/>
        </w:trPr>
        <w:tc>
          <w:tcPr>
            <w:tcW w:w="4848" w:type="dxa"/>
            <w:tcBorders>
              <w:top w:val="single" w:sz="8" w:space="0" w:color="D9D9D9"/>
              <w:left w:val="nil"/>
              <w:bottom w:val="single" w:sz="8" w:space="0" w:color="D9D9D9"/>
              <w:right w:val="single" w:sz="8" w:space="0" w:color="D9D9D9"/>
            </w:tcBorders>
          </w:tcPr>
          <w:p>
            <w:pPr>
              <w:pStyle w:val="TableParagraph"/>
              <w:ind w:left="136"/>
              <w:rPr>
                <w:rFonts w:ascii="Calibri" w:hAnsi="Calibri"/>
                <w:sz w:val="20"/>
              </w:rPr>
            </w:pPr>
            <w:r>
              <w:rPr>
                <w:rFonts w:ascii="Calibri" w:hAnsi="Calibri"/>
                <w:color w:val="1C242C"/>
                <w:spacing w:val="-4"/>
                <w:sz w:val="20"/>
              </w:rPr>
              <w:t>45–</w:t>
            </w:r>
            <w:r>
              <w:rPr>
                <w:rFonts w:ascii="Calibri" w:hAnsi="Calibri"/>
                <w:color w:val="1C242C"/>
                <w:spacing w:val="-5"/>
                <w:sz w:val="20"/>
              </w:rPr>
              <w:t>54</w:t>
            </w:r>
          </w:p>
        </w:tc>
        <w:tc>
          <w:tcPr>
            <w:tcW w:w="1042" w:type="dxa"/>
            <w:tcBorders>
              <w:top w:val="single" w:sz="8" w:space="0" w:color="D9D9D9"/>
              <w:left w:val="single" w:sz="8" w:space="0" w:color="D9D9D9"/>
              <w:bottom w:val="single" w:sz="8" w:space="0" w:color="D9D9D9"/>
              <w:right w:val="single" w:sz="8" w:space="0" w:color="D9D9D9"/>
            </w:tcBorders>
          </w:tcPr>
          <w:p>
            <w:pPr>
              <w:pStyle w:val="TableParagraph"/>
              <w:ind w:left="2" w:right="5"/>
              <w:jc w:val="center"/>
              <w:rPr>
                <w:rFonts w:ascii="Calibri"/>
                <w:sz w:val="20"/>
              </w:rPr>
            </w:pPr>
            <w:r>
              <w:rPr>
                <w:rFonts w:ascii="Calibri"/>
                <w:color w:val="1C242C"/>
                <w:spacing w:val="-2"/>
                <w:sz w:val="20"/>
              </w:rPr>
              <w:t>118,768</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ind w:left="2" w:right="2"/>
              <w:jc w:val="center"/>
              <w:rPr>
                <w:rFonts w:ascii="Calibri"/>
                <w:sz w:val="20"/>
              </w:rPr>
            </w:pPr>
            <w:r>
              <w:rPr>
                <w:rFonts w:ascii="Calibri"/>
                <w:color w:val="1C242C"/>
                <w:spacing w:val="-2"/>
                <w:sz w:val="20"/>
              </w:rPr>
              <w:t>2.33*</w:t>
            </w:r>
          </w:p>
        </w:tc>
        <w:tc>
          <w:tcPr>
            <w:tcW w:w="1232" w:type="dxa"/>
            <w:tcBorders>
              <w:top w:val="single" w:sz="8" w:space="0" w:color="D9D9D9"/>
              <w:left w:val="single" w:sz="8" w:space="0" w:color="D9D9D9"/>
              <w:bottom w:val="single" w:sz="8" w:space="0" w:color="D9D9D9"/>
              <w:right w:val="single" w:sz="8" w:space="0" w:color="D9D9D9"/>
            </w:tcBorders>
          </w:tcPr>
          <w:p>
            <w:pPr>
              <w:pStyle w:val="TableParagraph"/>
              <w:ind w:left="2" w:right="3"/>
              <w:jc w:val="center"/>
              <w:rPr>
                <w:rFonts w:ascii="Calibri"/>
                <w:sz w:val="20"/>
              </w:rPr>
            </w:pPr>
            <w:r>
              <w:rPr>
                <w:rFonts w:ascii="Calibri"/>
                <w:color w:val="1C242C"/>
                <w:spacing w:val="-4"/>
                <w:sz w:val="20"/>
              </w:rPr>
              <w:t>2.20</w:t>
            </w:r>
          </w:p>
        </w:tc>
        <w:tc>
          <w:tcPr>
            <w:tcW w:w="1271" w:type="dxa"/>
            <w:tcBorders>
              <w:top w:val="single" w:sz="8" w:space="0" w:color="D9D9D9"/>
              <w:left w:val="single" w:sz="8" w:space="0" w:color="D9D9D9"/>
              <w:bottom w:val="single" w:sz="8" w:space="0" w:color="D9D9D9"/>
              <w:right w:val="nil"/>
            </w:tcBorders>
          </w:tcPr>
          <w:p>
            <w:pPr>
              <w:pStyle w:val="TableParagraph"/>
              <w:ind w:right="51"/>
              <w:jc w:val="center"/>
              <w:rPr>
                <w:rFonts w:ascii="Calibri"/>
                <w:sz w:val="20"/>
              </w:rPr>
            </w:pPr>
            <w:r>
              <w:rPr>
                <w:rFonts w:ascii="Calibri"/>
                <w:color w:val="1C242C"/>
                <w:spacing w:val="-4"/>
                <w:sz w:val="20"/>
              </w:rPr>
              <w:t>2.46</w:t>
            </w:r>
          </w:p>
        </w:tc>
      </w:tr>
      <w:tr>
        <w:tblPrEx>
          <w:tblW w:w="0" w:type="auto"/>
          <w:jc w:val="left"/>
          <w:tblInd w:w="339" w:type="dxa"/>
          <w:tblLayout w:type="fixed"/>
          <w:tblCellMar>
            <w:top w:w="0" w:type="dxa"/>
            <w:left w:w="0" w:type="dxa"/>
            <w:bottom w:w="0" w:type="dxa"/>
            <w:right w:w="0" w:type="dxa"/>
          </w:tblCellMar>
          <w:tblLook w:val="01E0"/>
        </w:tblPrEx>
        <w:trPr>
          <w:trHeight w:val="301"/>
          <w:jc w:val="left"/>
        </w:trPr>
        <w:tc>
          <w:tcPr>
            <w:tcW w:w="4848" w:type="dxa"/>
            <w:tcBorders>
              <w:top w:val="single" w:sz="8" w:space="0" w:color="D9D9D9"/>
              <w:left w:val="nil"/>
              <w:bottom w:val="single" w:sz="8" w:space="0" w:color="D9D9D9"/>
              <w:right w:val="single" w:sz="8" w:space="0" w:color="D9D9D9"/>
            </w:tcBorders>
          </w:tcPr>
          <w:p>
            <w:pPr>
              <w:pStyle w:val="TableParagraph"/>
              <w:ind w:left="136"/>
              <w:rPr>
                <w:rFonts w:ascii="Calibri" w:hAnsi="Calibri"/>
                <w:sz w:val="20"/>
              </w:rPr>
            </w:pPr>
            <w:r>
              <w:rPr>
                <w:rFonts w:ascii="Calibri" w:hAnsi="Calibri"/>
                <w:color w:val="1C242C"/>
                <w:spacing w:val="-4"/>
                <w:sz w:val="20"/>
              </w:rPr>
              <w:t>55–</w:t>
            </w:r>
            <w:r>
              <w:rPr>
                <w:rFonts w:ascii="Calibri" w:hAnsi="Calibri"/>
                <w:color w:val="1C242C"/>
                <w:spacing w:val="-5"/>
                <w:sz w:val="20"/>
              </w:rPr>
              <w:t>64</w:t>
            </w:r>
          </w:p>
        </w:tc>
        <w:tc>
          <w:tcPr>
            <w:tcW w:w="1042" w:type="dxa"/>
            <w:tcBorders>
              <w:top w:val="single" w:sz="8" w:space="0" w:color="D9D9D9"/>
              <w:left w:val="single" w:sz="8" w:space="0" w:color="D9D9D9"/>
              <w:bottom w:val="single" w:sz="8" w:space="0" w:color="D9D9D9"/>
              <w:right w:val="single" w:sz="8" w:space="0" w:color="D9D9D9"/>
            </w:tcBorders>
          </w:tcPr>
          <w:p>
            <w:pPr>
              <w:pStyle w:val="TableParagraph"/>
              <w:ind w:left="2" w:right="5"/>
              <w:jc w:val="center"/>
              <w:rPr>
                <w:rFonts w:ascii="Calibri"/>
                <w:sz w:val="20"/>
              </w:rPr>
            </w:pPr>
            <w:r>
              <w:rPr>
                <w:rFonts w:ascii="Calibri"/>
                <w:color w:val="1C242C"/>
                <w:spacing w:val="-2"/>
                <w:sz w:val="20"/>
              </w:rPr>
              <w:t>178,175</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ind w:left="2" w:right="2"/>
              <w:jc w:val="center"/>
              <w:rPr>
                <w:rFonts w:ascii="Calibri"/>
                <w:sz w:val="20"/>
              </w:rPr>
            </w:pPr>
            <w:r>
              <w:rPr>
                <w:rFonts w:ascii="Calibri"/>
                <w:color w:val="1C242C"/>
                <w:spacing w:val="-2"/>
                <w:sz w:val="20"/>
              </w:rPr>
              <w:t>5.16*</w:t>
            </w:r>
          </w:p>
        </w:tc>
        <w:tc>
          <w:tcPr>
            <w:tcW w:w="1232" w:type="dxa"/>
            <w:tcBorders>
              <w:top w:val="single" w:sz="8" w:space="0" w:color="D9D9D9"/>
              <w:left w:val="single" w:sz="8" w:space="0" w:color="D9D9D9"/>
              <w:bottom w:val="single" w:sz="8" w:space="0" w:color="D9D9D9"/>
              <w:right w:val="single" w:sz="8" w:space="0" w:color="D9D9D9"/>
            </w:tcBorders>
          </w:tcPr>
          <w:p>
            <w:pPr>
              <w:pStyle w:val="TableParagraph"/>
              <w:ind w:left="2" w:right="3"/>
              <w:jc w:val="center"/>
              <w:rPr>
                <w:rFonts w:ascii="Calibri"/>
                <w:sz w:val="20"/>
              </w:rPr>
            </w:pPr>
            <w:r>
              <w:rPr>
                <w:rFonts w:ascii="Calibri"/>
                <w:color w:val="1C242C"/>
                <w:spacing w:val="-4"/>
                <w:sz w:val="20"/>
              </w:rPr>
              <w:t>4.89</w:t>
            </w:r>
          </w:p>
        </w:tc>
        <w:tc>
          <w:tcPr>
            <w:tcW w:w="1271" w:type="dxa"/>
            <w:tcBorders>
              <w:top w:val="single" w:sz="8" w:space="0" w:color="D9D9D9"/>
              <w:left w:val="single" w:sz="8" w:space="0" w:color="D9D9D9"/>
              <w:bottom w:val="single" w:sz="8" w:space="0" w:color="D9D9D9"/>
              <w:right w:val="nil"/>
            </w:tcBorders>
          </w:tcPr>
          <w:p>
            <w:pPr>
              <w:pStyle w:val="TableParagraph"/>
              <w:ind w:right="51"/>
              <w:jc w:val="center"/>
              <w:rPr>
                <w:rFonts w:ascii="Calibri"/>
                <w:sz w:val="20"/>
              </w:rPr>
            </w:pPr>
            <w:r>
              <w:rPr>
                <w:rFonts w:ascii="Calibri"/>
                <w:color w:val="1C242C"/>
                <w:spacing w:val="-4"/>
                <w:sz w:val="20"/>
              </w:rPr>
              <w:t>5.44</w:t>
            </w:r>
          </w:p>
        </w:tc>
      </w:tr>
      <w:tr>
        <w:tblPrEx>
          <w:tblW w:w="0" w:type="auto"/>
          <w:jc w:val="left"/>
          <w:tblInd w:w="339" w:type="dxa"/>
          <w:tblLayout w:type="fixed"/>
          <w:tblCellMar>
            <w:top w:w="0" w:type="dxa"/>
            <w:left w:w="0" w:type="dxa"/>
            <w:bottom w:w="0" w:type="dxa"/>
            <w:right w:w="0" w:type="dxa"/>
          </w:tblCellMar>
          <w:tblLook w:val="01E0"/>
        </w:tblPrEx>
        <w:trPr>
          <w:trHeight w:val="299"/>
          <w:jc w:val="left"/>
        </w:trPr>
        <w:tc>
          <w:tcPr>
            <w:tcW w:w="4848" w:type="dxa"/>
            <w:tcBorders>
              <w:top w:val="single" w:sz="8" w:space="0" w:color="D9D9D9"/>
              <w:left w:val="nil"/>
              <w:bottom w:val="single" w:sz="8" w:space="0" w:color="D9D9D9"/>
              <w:right w:val="single" w:sz="8" w:space="0" w:color="D9D9D9"/>
            </w:tcBorders>
          </w:tcPr>
          <w:p>
            <w:pPr>
              <w:pStyle w:val="TableParagraph"/>
              <w:spacing w:before="27"/>
              <w:ind w:left="136"/>
              <w:rPr>
                <w:rFonts w:ascii="Calibri" w:hAnsi="Calibri"/>
                <w:sz w:val="20"/>
              </w:rPr>
            </w:pPr>
            <w:r>
              <w:rPr>
                <w:rFonts w:ascii="Calibri" w:hAnsi="Calibri"/>
                <w:color w:val="1C242C"/>
                <w:spacing w:val="-4"/>
                <w:sz w:val="20"/>
              </w:rPr>
              <w:t>65–</w:t>
            </w:r>
            <w:r>
              <w:rPr>
                <w:rFonts w:ascii="Calibri" w:hAnsi="Calibri"/>
                <w:color w:val="1C242C"/>
                <w:spacing w:val="-5"/>
                <w:sz w:val="20"/>
              </w:rPr>
              <w:t>74</w:t>
            </w:r>
          </w:p>
        </w:tc>
        <w:tc>
          <w:tcPr>
            <w:tcW w:w="1042" w:type="dxa"/>
            <w:tcBorders>
              <w:top w:val="single" w:sz="8" w:space="0" w:color="D9D9D9"/>
              <w:left w:val="single" w:sz="8" w:space="0" w:color="D9D9D9"/>
              <w:bottom w:val="single" w:sz="8" w:space="0" w:color="D9D9D9"/>
              <w:right w:val="single" w:sz="8" w:space="0" w:color="D9D9D9"/>
            </w:tcBorders>
          </w:tcPr>
          <w:p>
            <w:pPr>
              <w:pStyle w:val="TableParagraph"/>
              <w:spacing w:before="27"/>
              <w:ind w:left="2" w:right="5"/>
              <w:jc w:val="center"/>
              <w:rPr>
                <w:rFonts w:ascii="Calibri"/>
                <w:sz w:val="20"/>
              </w:rPr>
            </w:pPr>
            <w:r>
              <w:rPr>
                <w:rFonts w:ascii="Calibri"/>
                <w:color w:val="1C242C"/>
                <w:spacing w:val="-2"/>
                <w:sz w:val="20"/>
              </w:rPr>
              <w:t>9,447</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spacing w:before="27"/>
              <w:ind w:left="2" w:right="2"/>
              <w:jc w:val="center"/>
              <w:rPr>
                <w:rFonts w:ascii="Calibri"/>
                <w:sz w:val="20"/>
              </w:rPr>
            </w:pPr>
            <w:r>
              <w:rPr>
                <w:rFonts w:ascii="Calibri"/>
                <w:color w:val="1C242C"/>
                <w:spacing w:val="-2"/>
                <w:sz w:val="20"/>
              </w:rPr>
              <w:t>5.61*</w:t>
            </w:r>
          </w:p>
        </w:tc>
        <w:tc>
          <w:tcPr>
            <w:tcW w:w="1232" w:type="dxa"/>
            <w:tcBorders>
              <w:top w:val="single" w:sz="8" w:space="0" w:color="D9D9D9"/>
              <w:left w:val="single" w:sz="8" w:space="0" w:color="D9D9D9"/>
              <w:bottom w:val="single" w:sz="8" w:space="0" w:color="D9D9D9"/>
              <w:right w:val="single" w:sz="8" w:space="0" w:color="D9D9D9"/>
            </w:tcBorders>
          </w:tcPr>
          <w:p>
            <w:pPr>
              <w:pStyle w:val="TableParagraph"/>
              <w:spacing w:before="27"/>
              <w:ind w:left="2" w:right="3"/>
              <w:jc w:val="center"/>
              <w:rPr>
                <w:rFonts w:ascii="Calibri"/>
                <w:sz w:val="20"/>
              </w:rPr>
            </w:pPr>
            <w:r>
              <w:rPr>
                <w:rFonts w:ascii="Calibri"/>
                <w:color w:val="1C242C"/>
                <w:spacing w:val="-4"/>
                <w:sz w:val="20"/>
              </w:rPr>
              <w:t>5.20</w:t>
            </w:r>
          </w:p>
        </w:tc>
        <w:tc>
          <w:tcPr>
            <w:tcW w:w="1271" w:type="dxa"/>
            <w:tcBorders>
              <w:top w:val="single" w:sz="8" w:space="0" w:color="D9D9D9"/>
              <w:left w:val="single" w:sz="8" w:space="0" w:color="D9D9D9"/>
              <w:bottom w:val="single" w:sz="8" w:space="0" w:color="D9D9D9"/>
              <w:right w:val="nil"/>
            </w:tcBorders>
          </w:tcPr>
          <w:p>
            <w:pPr>
              <w:pStyle w:val="TableParagraph"/>
              <w:spacing w:before="27"/>
              <w:ind w:right="51"/>
              <w:jc w:val="center"/>
              <w:rPr>
                <w:rFonts w:ascii="Calibri"/>
                <w:sz w:val="20"/>
              </w:rPr>
            </w:pPr>
            <w:r>
              <w:rPr>
                <w:rFonts w:ascii="Calibri"/>
                <w:color w:val="1C242C"/>
                <w:spacing w:val="-4"/>
                <w:sz w:val="20"/>
              </w:rPr>
              <w:t>6.05</w:t>
            </w:r>
          </w:p>
        </w:tc>
      </w:tr>
      <w:tr>
        <w:tblPrEx>
          <w:tblW w:w="0" w:type="auto"/>
          <w:jc w:val="left"/>
          <w:tblInd w:w="339" w:type="dxa"/>
          <w:tblLayout w:type="fixed"/>
          <w:tblCellMar>
            <w:top w:w="0" w:type="dxa"/>
            <w:left w:w="0" w:type="dxa"/>
            <w:bottom w:w="0" w:type="dxa"/>
            <w:right w:w="0" w:type="dxa"/>
          </w:tblCellMar>
          <w:tblLook w:val="01E0"/>
        </w:tblPrEx>
        <w:trPr>
          <w:trHeight w:val="299"/>
          <w:jc w:val="left"/>
        </w:trPr>
        <w:tc>
          <w:tcPr>
            <w:tcW w:w="4848" w:type="dxa"/>
            <w:tcBorders>
              <w:top w:val="single" w:sz="8" w:space="0" w:color="D9D9D9"/>
              <w:left w:val="nil"/>
              <w:bottom w:val="single" w:sz="8" w:space="0" w:color="D9D9D9"/>
              <w:right w:val="single" w:sz="8" w:space="0" w:color="D9D9D9"/>
            </w:tcBorders>
          </w:tcPr>
          <w:p>
            <w:pPr>
              <w:pStyle w:val="TableParagraph"/>
              <w:ind w:left="136"/>
              <w:rPr>
                <w:rFonts w:ascii="Calibri"/>
                <w:sz w:val="20"/>
              </w:rPr>
            </w:pPr>
            <w:r>
              <w:rPr>
                <w:rFonts w:ascii="Calibri"/>
                <w:color w:val="1C242C"/>
                <w:sz w:val="20"/>
              </w:rPr>
              <w:t>75</w:t>
            </w:r>
            <w:r>
              <w:rPr>
                <w:rFonts w:ascii="Calibri"/>
                <w:color w:val="1C242C"/>
                <w:spacing w:val="-3"/>
                <w:sz w:val="20"/>
              </w:rPr>
              <w:t xml:space="preserve"> </w:t>
            </w:r>
            <w:r>
              <w:rPr>
                <w:rFonts w:ascii="Calibri"/>
                <w:color w:val="1C242C"/>
                <w:sz w:val="20"/>
              </w:rPr>
              <w:t>or</w:t>
            </w:r>
            <w:r>
              <w:rPr>
                <w:rFonts w:ascii="Calibri"/>
                <w:color w:val="1C242C"/>
                <w:spacing w:val="-2"/>
                <w:sz w:val="20"/>
              </w:rPr>
              <w:t xml:space="preserve"> older</w:t>
            </w:r>
          </w:p>
        </w:tc>
        <w:tc>
          <w:tcPr>
            <w:tcW w:w="1042" w:type="dxa"/>
            <w:tcBorders>
              <w:top w:val="single" w:sz="8" w:space="0" w:color="D9D9D9"/>
              <w:left w:val="single" w:sz="8" w:space="0" w:color="D9D9D9"/>
              <w:bottom w:val="single" w:sz="8" w:space="0" w:color="D9D9D9"/>
              <w:right w:val="single" w:sz="8" w:space="0" w:color="D9D9D9"/>
            </w:tcBorders>
          </w:tcPr>
          <w:p>
            <w:pPr>
              <w:pStyle w:val="TableParagraph"/>
              <w:ind w:left="2" w:right="5"/>
              <w:jc w:val="center"/>
              <w:rPr>
                <w:rFonts w:ascii="Calibri"/>
                <w:sz w:val="20"/>
              </w:rPr>
            </w:pPr>
            <w:r>
              <w:rPr>
                <w:rFonts w:ascii="Calibri"/>
                <w:color w:val="1C242C"/>
                <w:spacing w:val="-2"/>
                <w:sz w:val="20"/>
              </w:rPr>
              <w:t>1,944</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ind w:left="2" w:right="2"/>
              <w:jc w:val="center"/>
              <w:rPr>
                <w:rFonts w:ascii="Calibri"/>
                <w:sz w:val="20"/>
              </w:rPr>
            </w:pPr>
            <w:r>
              <w:rPr>
                <w:rFonts w:ascii="Calibri"/>
                <w:color w:val="1C242C"/>
                <w:spacing w:val="-2"/>
                <w:sz w:val="20"/>
              </w:rPr>
              <w:t>4.94*</w:t>
            </w:r>
          </w:p>
        </w:tc>
        <w:tc>
          <w:tcPr>
            <w:tcW w:w="1232" w:type="dxa"/>
            <w:tcBorders>
              <w:top w:val="single" w:sz="8" w:space="0" w:color="D9D9D9"/>
              <w:left w:val="single" w:sz="8" w:space="0" w:color="D9D9D9"/>
              <w:bottom w:val="single" w:sz="8" w:space="0" w:color="D9D9D9"/>
              <w:right w:val="single" w:sz="8" w:space="0" w:color="D9D9D9"/>
            </w:tcBorders>
          </w:tcPr>
          <w:p>
            <w:pPr>
              <w:pStyle w:val="TableParagraph"/>
              <w:ind w:left="2" w:right="3"/>
              <w:jc w:val="center"/>
              <w:rPr>
                <w:rFonts w:ascii="Calibri"/>
                <w:sz w:val="20"/>
              </w:rPr>
            </w:pPr>
            <w:r>
              <w:rPr>
                <w:rFonts w:ascii="Calibri"/>
                <w:color w:val="1C242C"/>
                <w:spacing w:val="-4"/>
                <w:sz w:val="20"/>
              </w:rPr>
              <w:t>4.31</w:t>
            </w:r>
          </w:p>
        </w:tc>
        <w:tc>
          <w:tcPr>
            <w:tcW w:w="1271" w:type="dxa"/>
            <w:tcBorders>
              <w:top w:val="single" w:sz="8" w:space="0" w:color="D9D9D9"/>
              <w:left w:val="single" w:sz="8" w:space="0" w:color="D9D9D9"/>
              <w:bottom w:val="single" w:sz="8" w:space="0" w:color="D9D9D9"/>
              <w:right w:val="nil"/>
            </w:tcBorders>
          </w:tcPr>
          <w:p>
            <w:pPr>
              <w:pStyle w:val="TableParagraph"/>
              <w:ind w:right="51"/>
              <w:jc w:val="center"/>
              <w:rPr>
                <w:rFonts w:ascii="Calibri"/>
                <w:sz w:val="20"/>
              </w:rPr>
            </w:pPr>
            <w:r>
              <w:rPr>
                <w:rFonts w:ascii="Calibri"/>
                <w:color w:val="1C242C"/>
                <w:spacing w:val="-4"/>
                <w:sz w:val="20"/>
              </w:rPr>
              <w:t>5.66</w:t>
            </w:r>
          </w:p>
        </w:tc>
      </w:tr>
      <w:tr>
        <w:tblPrEx>
          <w:tblW w:w="0" w:type="auto"/>
          <w:jc w:val="left"/>
          <w:tblInd w:w="339" w:type="dxa"/>
          <w:tblLayout w:type="fixed"/>
          <w:tblCellMar>
            <w:top w:w="0" w:type="dxa"/>
            <w:left w:w="0" w:type="dxa"/>
            <w:bottom w:w="0" w:type="dxa"/>
            <w:right w:w="0" w:type="dxa"/>
          </w:tblCellMar>
          <w:tblLook w:val="01E0"/>
        </w:tblPrEx>
        <w:trPr>
          <w:trHeight w:val="301"/>
          <w:jc w:val="left"/>
        </w:trPr>
        <w:tc>
          <w:tcPr>
            <w:tcW w:w="9420" w:type="dxa"/>
            <w:gridSpan w:val="5"/>
            <w:tcBorders>
              <w:top w:val="single" w:sz="8" w:space="0" w:color="D9D9D9"/>
              <w:left w:val="nil"/>
              <w:bottom w:val="single" w:sz="8" w:space="0" w:color="D9D9D9"/>
              <w:right w:val="nil"/>
            </w:tcBorders>
            <w:shd w:val="clear" w:color="auto" w:fill="D1EDFB"/>
          </w:tcPr>
          <w:p>
            <w:pPr>
              <w:pStyle w:val="TableParagraph"/>
              <w:ind w:left="136"/>
              <w:rPr>
                <w:rFonts w:ascii="Calibri"/>
                <w:sz w:val="20"/>
              </w:rPr>
            </w:pPr>
            <w:r>
              <w:rPr>
                <w:rFonts w:ascii="Calibri"/>
                <w:b/>
                <w:color w:val="1C242C"/>
                <w:sz w:val="20"/>
              </w:rPr>
              <w:t>Written</w:t>
            </w:r>
            <w:r>
              <w:rPr>
                <w:rFonts w:ascii="Calibri"/>
                <w:b/>
                <w:color w:val="1C242C"/>
                <w:spacing w:val="-9"/>
                <w:sz w:val="20"/>
              </w:rPr>
              <w:t xml:space="preserve"> </w:t>
            </w:r>
            <w:r>
              <w:rPr>
                <w:rFonts w:ascii="Calibri"/>
                <w:b/>
                <w:color w:val="1C242C"/>
                <w:sz w:val="20"/>
              </w:rPr>
              <w:t>language</w:t>
            </w:r>
            <w:r>
              <w:rPr>
                <w:rFonts w:ascii="Calibri"/>
                <w:b/>
                <w:color w:val="1C242C"/>
                <w:spacing w:val="-8"/>
                <w:sz w:val="20"/>
              </w:rPr>
              <w:t xml:space="preserve"> </w:t>
            </w:r>
            <w:r>
              <w:rPr>
                <w:rFonts w:ascii="Calibri"/>
                <w:b/>
                <w:color w:val="1C242C"/>
                <w:sz w:val="20"/>
              </w:rPr>
              <w:t>preference</w:t>
            </w:r>
            <w:r>
              <w:rPr>
                <w:rFonts w:ascii="Calibri"/>
                <w:b/>
                <w:color w:val="1C242C"/>
                <w:spacing w:val="-4"/>
                <w:sz w:val="20"/>
              </w:rPr>
              <w:t xml:space="preserve"> </w:t>
            </w:r>
            <w:r>
              <w:rPr>
                <w:rFonts w:ascii="Calibri"/>
                <w:color w:val="1C242C"/>
                <w:sz w:val="20"/>
              </w:rPr>
              <w:t>(Ref:</w:t>
            </w:r>
            <w:r>
              <w:rPr>
                <w:rFonts w:ascii="Calibri"/>
                <w:color w:val="1C242C"/>
                <w:spacing w:val="-9"/>
                <w:sz w:val="20"/>
              </w:rPr>
              <w:t xml:space="preserve"> </w:t>
            </w:r>
            <w:r>
              <w:rPr>
                <w:rFonts w:ascii="Calibri"/>
                <w:color w:val="1C242C"/>
                <w:spacing w:val="-2"/>
                <w:sz w:val="20"/>
              </w:rPr>
              <w:t>English)</w:t>
            </w:r>
          </w:p>
        </w:tc>
      </w:tr>
      <w:tr>
        <w:tblPrEx>
          <w:tblW w:w="0" w:type="auto"/>
          <w:jc w:val="left"/>
          <w:tblInd w:w="339" w:type="dxa"/>
          <w:tblLayout w:type="fixed"/>
          <w:tblCellMar>
            <w:top w:w="0" w:type="dxa"/>
            <w:left w:w="0" w:type="dxa"/>
            <w:bottom w:w="0" w:type="dxa"/>
            <w:right w:w="0" w:type="dxa"/>
          </w:tblCellMar>
          <w:tblLook w:val="01E0"/>
        </w:tblPrEx>
        <w:trPr>
          <w:trHeight w:val="299"/>
          <w:jc w:val="left"/>
        </w:trPr>
        <w:tc>
          <w:tcPr>
            <w:tcW w:w="4848" w:type="dxa"/>
            <w:tcBorders>
              <w:top w:val="single" w:sz="8" w:space="0" w:color="D9D9D9"/>
              <w:left w:val="nil"/>
              <w:bottom w:val="single" w:sz="8" w:space="0" w:color="D9D9D9"/>
              <w:right w:val="single" w:sz="8" w:space="0" w:color="D9D9D9"/>
            </w:tcBorders>
          </w:tcPr>
          <w:p>
            <w:pPr>
              <w:pStyle w:val="TableParagraph"/>
              <w:spacing w:before="27"/>
              <w:ind w:left="136"/>
              <w:rPr>
                <w:rFonts w:ascii="Calibri"/>
                <w:sz w:val="20"/>
              </w:rPr>
            </w:pPr>
            <w:r>
              <w:rPr>
                <w:rFonts w:ascii="Calibri"/>
                <w:color w:val="1C242C"/>
                <w:spacing w:val="-2"/>
                <w:sz w:val="20"/>
              </w:rPr>
              <w:t>English</w:t>
            </w:r>
          </w:p>
        </w:tc>
        <w:tc>
          <w:tcPr>
            <w:tcW w:w="1042" w:type="dxa"/>
            <w:tcBorders>
              <w:top w:val="single" w:sz="8" w:space="0" w:color="D9D9D9"/>
              <w:left w:val="single" w:sz="8" w:space="0" w:color="D9D9D9"/>
              <w:bottom w:val="single" w:sz="8" w:space="0" w:color="D9D9D9"/>
              <w:right w:val="single" w:sz="8" w:space="0" w:color="D9D9D9"/>
            </w:tcBorders>
          </w:tcPr>
          <w:p>
            <w:pPr>
              <w:pStyle w:val="TableParagraph"/>
              <w:spacing w:before="27"/>
              <w:ind w:left="2" w:right="5"/>
              <w:jc w:val="center"/>
              <w:rPr>
                <w:rFonts w:ascii="Calibri"/>
                <w:sz w:val="20"/>
              </w:rPr>
            </w:pPr>
            <w:r>
              <w:rPr>
                <w:rFonts w:ascii="Calibri"/>
                <w:spacing w:val="-2"/>
                <w:sz w:val="20"/>
              </w:rPr>
              <w:t>255,533</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spacing w:before="27"/>
              <w:ind w:left="3" w:right="2"/>
              <w:jc w:val="center"/>
              <w:rPr>
                <w:rFonts w:ascii="Calibri"/>
                <w:sz w:val="20"/>
              </w:rPr>
            </w:pPr>
            <w:r>
              <w:rPr>
                <w:rFonts w:ascii="Calibri"/>
                <w:color w:val="1C242C"/>
                <w:spacing w:val="-5"/>
                <w:sz w:val="20"/>
              </w:rPr>
              <w:t>REF</w:t>
            </w:r>
          </w:p>
        </w:tc>
        <w:tc>
          <w:tcPr>
            <w:tcW w:w="1232" w:type="dxa"/>
            <w:tcBorders>
              <w:top w:val="single" w:sz="8" w:space="0" w:color="D9D9D9"/>
              <w:left w:val="single" w:sz="8" w:space="0" w:color="D9D9D9"/>
              <w:bottom w:val="single" w:sz="8" w:space="0" w:color="D9D9D9"/>
              <w:right w:val="single" w:sz="8" w:space="0" w:color="D9D9D9"/>
            </w:tcBorders>
          </w:tcPr>
          <w:p>
            <w:pPr>
              <w:pStyle w:val="TableParagraph"/>
              <w:spacing w:before="27"/>
              <w:ind w:left="2" w:right="3"/>
              <w:jc w:val="center"/>
              <w:rPr>
                <w:rFonts w:ascii="Calibri" w:hAnsi="Calibri"/>
                <w:sz w:val="20"/>
              </w:rPr>
            </w:pPr>
            <w:r>
              <w:rPr>
                <w:rFonts w:ascii="Calibri" w:hAnsi="Calibri"/>
                <w:color w:val="1C242C"/>
                <w:spacing w:val="-10"/>
                <w:sz w:val="20"/>
              </w:rPr>
              <w:t>–</w:t>
            </w:r>
          </w:p>
        </w:tc>
        <w:tc>
          <w:tcPr>
            <w:tcW w:w="1271" w:type="dxa"/>
            <w:tcBorders>
              <w:top w:val="single" w:sz="8" w:space="0" w:color="D9D9D9"/>
              <w:left w:val="single" w:sz="8" w:space="0" w:color="D9D9D9"/>
              <w:bottom w:val="single" w:sz="8" w:space="0" w:color="D9D9D9"/>
              <w:right w:val="nil"/>
            </w:tcBorders>
          </w:tcPr>
          <w:p>
            <w:pPr>
              <w:pStyle w:val="TableParagraph"/>
              <w:spacing w:before="27"/>
              <w:ind w:left="1" w:right="51"/>
              <w:jc w:val="center"/>
              <w:rPr>
                <w:rFonts w:ascii="Calibri" w:hAnsi="Calibri"/>
                <w:sz w:val="20"/>
              </w:rPr>
            </w:pPr>
            <w:r>
              <w:rPr>
                <w:rFonts w:ascii="Calibri" w:hAnsi="Calibri"/>
                <w:color w:val="1C242C"/>
                <w:spacing w:val="-10"/>
                <w:sz w:val="20"/>
              </w:rPr>
              <w:t>–</w:t>
            </w:r>
          </w:p>
        </w:tc>
      </w:tr>
      <w:tr>
        <w:tblPrEx>
          <w:tblW w:w="0" w:type="auto"/>
          <w:jc w:val="left"/>
          <w:tblInd w:w="339" w:type="dxa"/>
          <w:tblLayout w:type="fixed"/>
          <w:tblCellMar>
            <w:top w:w="0" w:type="dxa"/>
            <w:left w:w="0" w:type="dxa"/>
            <w:bottom w:w="0" w:type="dxa"/>
            <w:right w:w="0" w:type="dxa"/>
          </w:tblCellMar>
          <w:tblLook w:val="01E0"/>
        </w:tblPrEx>
        <w:trPr>
          <w:trHeight w:val="299"/>
          <w:jc w:val="left"/>
        </w:trPr>
        <w:tc>
          <w:tcPr>
            <w:tcW w:w="4848" w:type="dxa"/>
            <w:tcBorders>
              <w:top w:val="single" w:sz="8" w:space="0" w:color="D9D9D9"/>
              <w:left w:val="nil"/>
              <w:bottom w:val="single" w:sz="8" w:space="0" w:color="D9D9D9"/>
              <w:right w:val="single" w:sz="8" w:space="0" w:color="D9D9D9"/>
            </w:tcBorders>
          </w:tcPr>
          <w:p>
            <w:pPr>
              <w:pStyle w:val="TableParagraph"/>
              <w:ind w:left="136"/>
              <w:rPr>
                <w:rFonts w:ascii="Calibri"/>
                <w:sz w:val="20"/>
              </w:rPr>
            </w:pPr>
            <w:r>
              <w:rPr>
                <w:rFonts w:ascii="Calibri"/>
                <w:color w:val="1C242C"/>
                <w:spacing w:val="-2"/>
                <w:sz w:val="20"/>
              </w:rPr>
              <w:t>Spanish</w:t>
            </w:r>
          </w:p>
        </w:tc>
        <w:tc>
          <w:tcPr>
            <w:tcW w:w="1042" w:type="dxa"/>
            <w:tcBorders>
              <w:top w:val="single" w:sz="8" w:space="0" w:color="D9D9D9"/>
              <w:left w:val="single" w:sz="8" w:space="0" w:color="D9D9D9"/>
              <w:bottom w:val="single" w:sz="8" w:space="0" w:color="D9D9D9"/>
              <w:right w:val="single" w:sz="8" w:space="0" w:color="D9D9D9"/>
            </w:tcBorders>
          </w:tcPr>
          <w:p>
            <w:pPr>
              <w:pStyle w:val="TableParagraph"/>
              <w:ind w:left="2" w:right="5"/>
              <w:jc w:val="center"/>
              <w:rPr>
                <w:rFonts w:ascii="Calibri"/>
                <w:sz w:val="20"/>
              </w:rPr>
            </w:pPr>
            <w:r>
              <w:rPr>
                <w:rFonts w:ascii="Calibri"/>
                <w:color w:val="1C242C"/>
                <w:spacing w:val="-2"/>
                <w:sz w:val="20"/>
              </w:rPr>
              <w:t>21,102</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ind w:left="2" w:right="2"/>
              <w:jc w:val="center"/>
              <w:rPr>
                <w:rFonts w:ascii="Calibri"/>
                <w:sz w:val="20"/>
              </w:rPr>
            </w:pPr>
            <w:r>
              <w:rPr>
                <w:rFonts w:ascii="Calibri"/>
                <w:color w:val="1C242C"/>
                <w:spacing w:val="-2"/>
                <w:sz w:val="20"/>
              </w:rPr>
              <w:t>2.07*</w:t>
            </w:r>
          </w:p>
        </w:tc>
        <w:tc>
          <w:tcPr>
            <w:tcW w:w="1232" w:type="dxa"/>
            <w:tcBorders>
              <w:top w:val="single" w:sz="8" w:space="0" w:color="D9D9D9"/>
              <w:left w:val="single" w:sz="8" w:space="0" w:color="D9D9D9"/>
              <w:bottom w:val="single" w:sz="8" w:space="0" w:color="D9D9D9"/>
              <w:right w:val="single" w:sz="8" w:space="0" w:color="D9D9D9"/>
            </w:tcBorders>
          </w:tcPr>
          <w:p>
            <w:pPr>
              <w:pStyle w:val="TableParagraph"/>
              <w:ind w:left="2" w:right="3"/>
              <w:jc w:val="center"/>
              <w:rPr>
                <w:rFonts w:ascii="Calibri"/>
                <w:sz w:val="20"/>
              </w:rPr>
            </w:pPr>
            <w:r>
              <w:rPr>
                <w:rFonts w:ascii="Calibri"/>
                <w:color w:val="1C242C"/>
                <w:spacing w:val="-4"/>
                <w:sz w:val="20"/>
              </w:rPr>
              <w:t>1.77</w:t>
            </w:r>
          </w:p>
        </w:tc>
        <w:tc>
          <w:tcPr>
            <w:tcW w:w="1271" w:type="dxa"/>
            <w:tcBorders>
              <w:top w:val="single" w:sz="8" w:space="0" w:color="D9D9D9"/>
              <w:left w:val="single" w:sz="8" w:space="0" w:color="D9D9D9"/>
              <w:bottom w:val="single" w:sz="8" w:space="0" w:color="D9D9D9"/>
              <w:right w:val="nil"/>
            </w:tcBorders>
          </w:tcPr>
          <w:p>
            <w:pPr>
              <w:pStyle w:val="TableParagraph"/>
              <w:ind w:right="51"/>
              <w:jc w:val="center"/>
              <w:rPr>
                <w:rFonts w:ascii="Calibri"/>
                <w:sz w:val="20"/>
              </w:rPr>
            </w:pPr>
            <w:r>
              <w:rPr>
                <w:rFonts w:ascii="Calibri"/>
                <w:color w:val="1C242C"/>
                <w:spacing w:val="-4"/>
                <w:sz w:val="20"/>
              </w:rPr>
              <w:t>2.42</w:t>
            </w:r>
          </w:p>
        </w:tc>
      </w:tr>
      <w:tr>
        <w:tblPrEx>
          <w:tblW w:w="0" w:type="auto"/>
          <w:jc w:val="left"/>
          <w:tblInd w:w="339" w:type="dxa"/>
          <w:tblLayout w:type="fixed"/>
          <w:tblCellMar>
            <w:top w:w="0" w:type="dxa"/>
            <w:left w:w="0" w:type="dxa"/>
            <w:bottom w:w="0" w:type="dxa"/>
            <w:right w:w="0" w:type="dxa"/>
          </w:tblCellMar>
          <w:tblLook w:val="01E0"/>
        </w:tblPrEx>
        <w:trPr>
          <w:trHeight w:val="301"/>
          <w:jc w:val="left"/>
        </w:trPr>
        <w:tc>
          <w:tcPr>
            <w:tcW w:w="4848" w:type="dxa"/>
            <w:tcBorders>
              <w:top w:val="single" w:sz="8" w:space="0" w:color="D9D9D9"/>
              <w:left w:val="nil"/>
              <w:bottom w:val="single" w:sz="8" w:space="0" w:color="D9D9D9"/>
              <w:right w:val="single" w:sz="8" w:space="0" w:color="D9D9D9"/>
            </w:tcBorders>
          </w:tcPr>
          <w:p>
            <w:pPr>
              <w:pStyle w:val="TableParagraph"/>
              <w:ind w:left="136"/>
              <w:rPr>
                <w:rFonts w:ascii="Calibri"/>
                <w:sz w:val="20"/>
              </w:rPr>
            </w:pPr>
            <w:r>
              <w:rPr>
                <w:rFonts w:ascii="Calibri"/>
                <w:color w:val="1C242C"/>
                <w:spacing w:val="-2"/>
                <w:sz w:val="20"/>
              </w:rPr>
              <w:t>Chinese</w:t>
            </w:r>
          </w:p>
        </w:tc>
        <w:tc>
          <w:tcPr>
            <w:tcW w:w="1042" w:type="dxa"/>
            <w:tcBorders>
              <w:top w:val="single" w:sz="8" w:space="0" w:color="D9D9D9"/>
              <w:left w:val="single" w:sz="8" w:space="0" w:color="D9D9D9"/>
              <w:bottom w:val="single" w:sz="8" w:space="0" w:color="D9D9D9"/>
              <w:right w:val="single" w:sz="8" w:space="0" w:color="D9D9D9"/>
            </w:tcBorders>
          </w:tcPr>
          <w:p>
            <w:pPr>
              <w:pStyle w:val="TableParagraph"/>
              <w:ind w:left="2" w:right="5"/>
              <w:jc w:val="center"/>
              <w:rPr>
                <w:rFonts w:ascii="Calibri"/>
                <w:sz w:val="20"/>
              </w:rPr>
            </w:pPr>
            <w:r>
              <w:rPr>
                <w:rFonts w:ascii="Calibri"/>
                <w:color w:val="1C242C"/>
                <w:spacing w:val="-2"/>
                <w:sz w:val="20"/>
              </w:rPr>
              <w:t>2,316</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ind w:left="2" w:right="2"/>
              <w:jc w:val="center"/>
              <w:rPr>
                <w:rFonts w:ascii="Calibri"/>
                <w:sz w:val="20"/>
              </w:rPr>
            </w:pPr>
            <w:r>
              <w:rPr>
                <w:rFonts w:ascii="Calibri"/>
                <w:color w:val="1C242C"/>
                <w:spacing w:val="-4"/>
                <w:sz w:val="20"/>
              </w:rPr>
              <w:t>1.12</w:t>
            </w:r>
          </w:p>
        </w:tc>
        <w:tc>
          <w:tcPr>
            <w:tcW w:w="1232" w:type="dxa"/>
            <w:tcBorders>
              <w:top w:val="single" w:sz="8" w:space="0" w:color="D9D9D9"/>
              <w:left w:val="single" w:sz="8" w:space="0" w:color="D9D9D9"/>
              <w:bottom w:val="single" w:sz="8" w:space="0" w:color="D9D9D9"/>
              <w:right w:val="single" w:sz="8" w:space="0" w:color="D9D9D9"/>
            </w:tcBorders>
          </w:tcPr>
          <w:p>
            <w:pPr>
              <w:pStyle w:val="TableParagraph"/>
              <w:ind w:left="2" w:right="3"/>
              <w:jc w:val="center"/>
              <w:rPr>
                <w:rFonts w:ascii="Calibri"/>
                <w:sz w:val="20"/>
              </w:rPr>
            </w:pPr>
            <w:r>
              <w:rPr>
                <w:rFonts w:ascii="Calibri"/>
                <w:color w:val="1C242C"/>
                <w:spacing w:val="-4"/>
                <w:sz w:val="20"/>
              </w:rPr>
              <w:t>0.83</w:t>
            </w:r>
          </w:p>
        </w:tc>
        <w:tc>
          <w:tcPr>
            <w:tcW w:w="1271" w:type="dxa"/>
            <w:tcBorders>
              <w:top w:val="single" w:sz="8" w:space="0" w:color="D9D9D9"/>
              <w:left w:val="single" w:sz="8" w:space="0" w:color="D9D9D9"/>
              <w:bottom w:val="single" w:sz="8" w:space="0" w:color="D9D9D9"/>
              <w:right w:val="nil"/>
            </w:tcBorders>
          </w:tcPr>
          <w:p>
            <w:pPr>
              <w:pStyle w:val="TableParagraph"/>
              <w:ind w:right="51"/>
              <w:jc w:val="center"/>
              <w:rPr>
                <w:rFonts w:ascii="Calibri"/>
                <w:sz w:val="20"/>
              </w:rPr>
            </w:pPr>
            <w:r>
              <w:rPr>
                <w:rFonts w:ascii="Calibri"/>
                <w:color w:val="1C242C"/>
                <w:spacing w:val="-4"/>
                <w:sz w:val="20"/>
              </w:rPr>
              <w:t>1.53</w:t>
            </w:r>
          </w:p>
        </w:tc>
      </w:tr>
      <w:tr>
        <w:tblPrEx>
          <w:tblW w:w="0" w:type="auto"/>
          <w:jc w:val="left"/>
          <w:tblInd w:w="339" w:type="dxa"/>
          <w:tblLayout w:type="fixed"/>
          <w:tblCellMar>
            <w:top w:w="0" w:type="dxa"/>
            <w:left w:w="0" w:type="dxa"/>
            <w:bottom w:w="0" w:type="dxa"/>
            <w:right w:w="0" w:type="dxa"/>
          </w:tblCellMar>
          <w:tblLook w:val="01E0"/>
        </w:tblPrEx>
        <w:trPr>
          <w:trHeight w:val="299"/>
          <w:jc w:val="left"/>
        </w:trPr>
        <w:tc>
          <w:tcPr>
            <w:tcW w:w="4848" w:type="dxa"/>
            <w:tcBorders>
              <w:top w:val="single" w:sz="8" w:space="0" w:color="D9D9D9"/>
              <w:left w:val="nil"/>
              <w:bottom w:val="single" w:sz="8" w:space="0" w:color="D9D9D9"/>
              <w:right w:val="single" w:sz="8" w:space="0" w:color="D9D9D9"/>
            </w:tcBorders>
          </w:tcPr>
          <w:p>
            <w:pPr>
              <w:pStyle w:val="TableParagraph"/>
              <w:spacing w:before="28"/>
              <w:ind w:left="136"/>
              <w:rPr>
                <w:rFonts w:ascii="Calibri"/>
                <w:sz w:val="20"/>
              </w:rPr>
            </w:pPr>
            <w:r>
              <w:rPr>
                <w:rFonts w:ascii="Calibri"/>
                <w:color w:val="1C242C"/>
                <w:spacing w:val="-2"/>
                <w:sz w:val="20"/>
              </w:rPr>
              <w:t>Other</w:t>
            </w:r>
          </w:p>
        </w:tc>
        <w:tc>
          <w:tcPr>
            <w:tcW w:w="1042" w:type="dxa"/>
            <w:tcBorders>
              <w:top w:val="single" w:sz="8" w:space="0" w:color="D9D9D9"/>
              <w:left w:val="single" w:sz="8" w:space="0" w:color="D9D9D9"/>
              <w:bottom w:val="single" w:sz="8" w:space="0" w:color="D9D9D9"/>
              <w:right w:val="single" w:sz="8" w:space="0" w:color="D9D9D9"/>
            </w:tcBorders>
          </w:tcPr>
          <w:p>
            <w:pPr>
              <w:pStyle w:val="TableParagraph"/>
              <w:spacing w:before="28"/>
              <w:ind w:left="2" w:right="5"/>
              <w:jc w:val="center"/>
              <w:rPr>
                <w:rFonts w:ascii="Calibri"/>
                <w:sz w:val="20"/>
              </w:rPr>
            </w:pPr>
            <w:r>
              <w:rPr>
                <w:rFonts w:ascii="Calibri"/>
                <w:color w:val="1C242C"/>
                <w:spacing w:val="-2"/>
                <w:sz w:val="20"/>
              </w:rPr>
              <w:t>10,866</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spacing w:before="28"/>
              <w:ind w:left="2" w:right="2"/>
              <w:jc w:val="center"/>
              <w:rPr>
                <w:rFonts w:ascii="Calibri"/>
                <w:sz w:val="20"/>
              </w:rPr>
            </w:pPr>
            <w:r>
              <w:rPr>
                <w:rFonts w:ascii="Calibri"/>
                <w:color w:val="1C242C"/>
                <w:spacing w:val="-2"/>
                <w:sz w:val="20"/>
              </w:rPr>
              <w:t>0.84*</w:t>
            </w:r>
          </w:p>
        </w:tc>
        <w:tc>
          <w:tcPr>
            <w:tcW w:w="1232" w:type="dxa"/>
            <w:tcBorders>
              <w:top w:val="single" w:sz="8" w:space="0" w:color="D9D9D9"/>
              <w:left w:val="single" w:sz="8" w:space="0" w:color="D9D9D9"/>
              <w:bottom w:val="single" w:sz="8" w:space="0" w:color="D9D9D9"/>
              <w:right w:val="single" w:sz="8" w:space="0" w:color="D9D9D9"/>
            </w:tcBorders>
          </w:tcPr>
          <w:p>
            <w:pPr>
              <w:pStyle w:val="TableParagraph"/>
              <w:spacing w:before="28"/>
              <w:ind w:left="2" w:right="3"/>
              <w:jc w:val="center"/>
              <w:rPr>
                <w:rFonts w:ascii="Calibri"/>
                <w:sz w:val="20"/>
              </w:rPr>
            </w:pPr>
            <w:r>
              <w:rPr>
                <w:rFonts w:ascii="Calibri"/>
                <w:color w:val="1C242C"/>
                <w:spacing w:val="-4"/>
                <w:sz w:val="20"/>
              </w:rPr>
              <w:t>0.77</w:t>
            </w:r>
          </w:p>
        </w:tc>
        <w:tc>
          <w:tcPr>
            <w:tcW w:w="1271" w:type="dxa"/>
            <w:tcBorders>
              <w:top w:val="single" w:sz="8" w:space="0" w:color="D9D9D9"/>
              <w:left w:val="single" w:sz="8" w:space="0" w:color="D9D9D9"/>
              <w:bottom w:val="single" w:sz="8" w:space="0" w:color="D9D9D9"/>
              <w:right w:val="nil"/>
            </w:tcBorders>
          </w:tcPr>
          <w:p>
            <w:pPr>
              <w:pStyle w:val="TableParagraph"/>
              <w:spacing w:before="28"/>
              <w:ind w:right="51"/>
              <w:jc w:val="center"/>
              <w:rPr>
                <w:rFonts w:ascii="Calibri"/>
                <w:sz w:val="20"/>
              </w:rPr>
            </w:pPr>
            <w:r>
              <w:rPr>
                <w:rFonts w:ascii="Calibri"/>
                <w:color w:val="1C242C"/>
                <w:spacing w:val="-4"/>
                <w:sz w:val="20"/>
              </w:rPr>
              <w:t>0.92</w:t>
            </w:r>
          </w:p>
        </w:tc>
      </w:tr>
      <w:tr>
        <w:tblPrEx>
          <w:tblW w:w="0" w:type="auto"/>
          <w:jc w:val="left"/>
          <w:tblInd w:w="339" w:type="dxa"/>
          <w:tblLayout w:type="fixed"/>
          <w:tblCellMar>
            <w:top w:w="0" w:type="dxa"/>
            <w:left w:w="0" w:type="dxa"/>
            <w:bottom w:w="0" w:type="dxa"/>
            <w:right w:w="0" w:type="dxa"/>
          </w:tblCellMar>
          <w:tblLook w:val="01E0"/>
        </w:tblPrEx>
        <w:trPr>
          <w:trHeight w:val="299"/>
          <w:jc w:val="left"/>
        </w:trPr>
        <w:tc>
          <w:tcPr>
            <w:tcW w:w="4848" w:type="dxa"/>
            <w:tcBorders>
              <w:top w:val="single" w:sz="8" w:space="0" w:color="D9D9D9"/>
              <w:left w:val="nil"/>
              <w:bottom w:val="single" w:sz="8" w:space="0" w:color="D9D9D9"/>
              <w:right w:val="single" w:sz="8" w:space="0" w:color="D9D9D9"/>
            </w:tcBorders>
          </w:tcPr>
          <w:p>
            <w:pPr>
              <w:pStyle w:val="TableParagraph"/>
              <w:ind w:left="136"/>
              <w:rPr>
                <w:rFonts w:ascii="Calibri"/>
                <w:sz w:val="20"/>
              </w:rPr>
            </w:pPr>
            <w:r>
              <w:rPr>
                <w:rFonts w:ascii="Calibri"/>
                <w:color w:val="1C242C"/>
                <w:spacing w:val="-2"/>
                <w:sz w:val="20"/>
              </w:rPr>
              <w:t>Missing</w:t>
            </w:r>
          </w:p>
        </w:tc>
        <w:tc>
          <w:tcPr>
            <w:tcW w:w="1042" w:type="dxa"/>
            <w:tcBorders>
              <w:top w:val="single" w:sz="8" w:space="0" w:color="D9D9D9"/>
              <w:left w:val="single" w:sz="8" w:space="0" w:color="D9D9D9"/>
              <w:bottom w:val="single" w:sz="8" w:space="0" w:color="D9D9D9"/>
              <w:right w:val="single" w:sz="8" w:space="0" w:color="D9D9D9"/>
            </w:tcBorders>
          </w:tcPr>
          <w:p>
            <w:pPr>
              <w:pStyle w:val="TableParagraph"/>
              <w:ind w:left="2" w:right="5"/>
              <w:jc w:val="center"/>
              <w:rPr>
                <w:rFonts w:ascii="Calibri"/>
                <w:sz w:val="20"/>
              </w:rPr>
            </w:pPr>
            <w:r>
              <w:rPr>
                <w:rFonts w:ascii="Calibri"/>
                <w:color w:val="1C242C"/>
                <w:spacing w:val="-2"/>
                <w:sz w:val="20"/>
              </w:rPr>
              <w:t>310,351</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ind w:left="2" w:right="2"/>
              <w:jc w:val="center"/>
              <w:rPr>
                <w:rFonts w:ascii="Calibri"/>
                <w:sz w:val="20"/>
              </w:rPr>
            </w:pPr>
            <w:r>
              <w:rPr>
                <w:rFonts w:ascii="Calibri"/>
                <w:color w:val="1C242C"/>
                <w:spacing w:val="-2"/>
                <w:sz w:val="20"/>
              </w:rPr>
              <w:t>0.82*</w:t>
            </w:r>
          </w:p>
        </w:tc>
        <w:tc>
          <w:tcPr>
            <w:tcW w:w="1232" w:type="dxa"/>
            <w:tcBorders>
              <w:top w:val="single" w:sz="8" w:space="0" w:color="D9D9D9"/>
              <w:left w:val="single" w:sz="8" w:space="0" w:color="D9D9D9"/>
              <w:bottom w:val="single" w:sz="8" w:space="0" w:color="D9D9D9"/>
              <w:right w:val="single" w:sz="8" w:space="0" w:color="D9D9D9"/>
            </w:tcBorders>
          </w:tcPr>
          <w:p>
            <w:pPr>
              <w:pStyle w:val="TableParagraph"/>
              <w:ind w:left="2" w:right="3"/>
              <w:jc w:val="center"/>
              <w:rPr>
                <w:rFonts w:ascii="Calibri"/>
                <w:sz w:val="20"/>
              </w:rPr>
            </w:pPr>
            <w:r>
              <w:rPr>
                <w:rFonts w:ascii="Calibri"/>
                <w:color w:val="1C242C"/>
                <w:spacing w:val="-4"/>
                <w:sz w:val="20"/>
              </w:rPr>
              <w:t>0.80</w:t>
            </w:r>
          </w:p>
        </w:tc>
        <w:tc>
          <w:tcPr>
            <w:tcW w:w="1271" w:type="dxa"/>
            <w:tcBorders>
              <w:top w:val="single" w:sz="8" w:space="0" w:color="D9D9D9"/>
              <w:left w:val="single" w:sz="8" w:space="0" w:color="D9D9D9"/>
              <w:bottom w:val="single" w:sz="8" w:space="0" w:color="D9D9D9"/>
              <w:right w:val="nil"/>
            </w:tcBorders>
          </w:tcPr>
          <w:p>
            <w:pPr>
              <w:pStyle w:val="TableParagraph"/>
              <w:ind w:right="51"/>
              <w:jc w:val="center"/>
              <w:rPr>
                <w:rFonts w:ascii="Calibri"/>
                <w:sz w:val="20"/>
              </w:rPr>
            </w:pPr>
            <w:r>
              <w:rPr>
                <w:rFonts w:ascii="Calibri"/>
                <w:color w:val="1C242C"/>
                <w:spacing w:val="-4"/>
                <w:sz w:val="20"/>
              </w:rPr>
              <w:t>0.85</w:t>
            </w:r>
          </w:p>
        </w:tc>
      </w:tr>
      <w:tr>
        <w:tblPrEx>
          <w:tblW w:w="0" w:type="auto"/>
          <w:jc w:val="left"/>
          <w:tblInd w:w="339" w:type="dxa"/>
          <w:tblLayout w:type="fixed"/>
          <w:tblCellMar>
            <w:top w:w="0" w:type="dxa"/>
            <w:left w:w="0" w:type="dxa"/>
            <w:bottom w:w="0" w:type="dxa"/>
            <w:right w:w="0" w:type="dxa"/>
          </w:tblCellMar>
          <w:tblLook w:val="01E0"/>
        </w:tblPrEx>
        <w:trPr>
          <w:trHeight w:val="301"/>
          <w:jc w:val="left"/>
        </w:trPr>
        <w:tc>
          <w:tcPr>
            <w:tcW w:w="9420" w:type="dxa"/>
            <w:gridSpan w:val="5"/>
            <w:tcBorders>
              <w:top w:val="single" w:sz="8" w:space="0" w:color="D9D9D9"/>
              <w:left w:val="nil"/>
              <w:bottom w:val="single" w:sz="8" w:space="0" w:color="D9D9D9"/>
              <w:right w:val="nil"/>
            </w:tcBorders>
            <w:shd w:val="clear" w:color="auto" w:fill="D1EDFB"/>
          </w:tcPr>
          <w:p>
            <w:pPr>
              <w:pStyle w:val="TableParagraph"/>
              <w:ind w:left="136"/>
              <w:rPr>
                <w:rFonts w:ascii="Calibri"/>
                <w:sz w:val="20"/>
              </w:rPr>
            </w:pPr>
            <w:r>
              <w:rPr>
                <w:rFonts w:ascii="Calibri"/>
                <w:b/>
                <w:color w:val="1C242C"/>
                <w:sz w:val="20"/>
              </w:rPr>
              <w:t>Spoken</w:t>
            </w:r>
            <w:r>
              <w:rPr>
                <w:rFonts w:ascii="Calibri"/>
                <w:b/>
                <w:color w:val="1C242C"/>
                <w:spacing w:val="-9"/>
                <w:sz w:val="20"/>
              </w:rPr>
              <w:t xml:space="preserve"> </w:t>
            </w:r>
            <w:r>
              <w:rPr>
                <w:rFonts w:ascii="Calibri"/>
                <w:b/>
                <w:color w:val="1C242C"/>
                <w:sz w:val="20"/>
              </w:rPr>
              <w:t>language</w:t>
            </w:r>
            <w:r>
              <w:rPr>
                <w:rFonts w:ascii="Calibri"/>
                <w:b/>
                <w:color w:val="1C242C"/>
                <w:spacing w:val="-8"/>
                <w:sz w:val="20"/>
              </w:rPr>
              <w:t xml:space="preserve"> </w:t>
            </w:r>
            <w:r>
              <w:rPr>
                <w:rFonts w:ascii="Calibri"/>
                <w:b/>
                <w:color w:val="1C242C"/>
                <w:sz w:val="20"/>
              </w:rPr>
              <w:t>preference</w:t>
            </w:r>
            <w:r>
              <w:rPr>
                <w:rFonts w:ascii="Calibri"/>
                <w:b/>
                <w:color w:val="1C242C"/>
                <w:spacing w:val="-6"/>
                <w:sz w:val="20"/>
              </w:rPr>
              <w:t xml:space="preserve"> </w:t>
            </w:r>
            <w:r>
              <w:rPr>
                <w:rFonts w:ascii="Calibri"/>
                <w:color w:val="1C242C"/>
                <w:sz w:val="20"/>
              </w:rPr>
              <w:t>(Ref:</w:t>
            </w:r>
            <w:r>
              <w:rPr>
                <w:rFonts w:ascii="Calibri"/>
                <w:color w:val="1C242C"/>
                <w:spacing w:val="-9"/>
                <w:sz w:val="20"/>
              </w:rPr>
              <w:t xml:space="preserve"> </w:t>
            </w:r>
            <w:r>
              <w:rPr>
                <w:rFonts w:ascii="Calibri"/>
                <w:color w:val="1C242C"/>
                <w:spacing w:val="-2"/>
                <w:sz w:val="20"/>
              </w:rPr>
              <w:t>English)</w:t>
            </w:r>
          </w:p>
        </w:tc>
      </w:tr>
      <w:tr>
        <w:tblPrEx>
          <w:tblW w:w="0" w:type="auto"/>
          <w:jc w:val="left"/>
          <w:tblInd w:w="339" w:type="dxa"/>
          <w:tblLayout w:type="fixed"/>
          <w:tblCellMar>
            <w:top w:w="0" w:type="dxa"/>
            <w:left w:w="0" w:type="dxa"/>
            <w:bottom w:w="0" w:type="dxa"/>
            <w:right w:w="0" w:type="dxa"/>
          </w:tblCellMar>
          <w:tblLook w:val="01E0"/>
        </w:tblPrEx>
        <w:trPr>
          <w:trHeight w:val="299"/>
          <w:jc w:val="left"/>
        </w:trPr>
        <w:tc>
          <w:tcPr>
            <w:tcW w:w="4848" w:type="dxa"/>
            <w:tcBorders>
              <w:top w:val="single" w:sz="8" w:space="0" w:color="D9D9D9"/>
              <w:left w:val="nil"/>
              <w:bottom w:val="single" w:sz="8" w:space="0" w:color="D9D9D9"/>
              <w:right w:val="single" w:sz="8" w:space="0" w:color="D9D9D9"/>
            </w:tcBorders>
          </w:tcPr>
          <w:p>
            <w:pPr>
              <w:pStyle w:val="TableParagraph"/>
              <w:spacing w:before="27"/>
              <w:ind w:left="136"/>
              <w:rPr>
                <w:rFonts w:ascii="Calibri"/>
                <w:sz w:val="20"/>
              </w:rPr>
            </w:pPr>
            <w:r>
              <w:rPr>
                <w:rFonts w:ascii="Calibri"/>
                <w:color w:val="1C242C"/>
                <w:spacing w:val="-2"/>
                <w:sz w:val="20"/>
              </w:rPr>
              <w:t>English</w:t>
            </w:r>
          </w:p>
        </w:tc>
        <w:tc>
          <w:tcPr>
            <w:tcW w:w="1042" w:type="dxa"/>
            <w:tcBorders>
              <w:top w:val="single" w:sz="8" w:space="0" w:color="D9D9D9"/>
              <w:left w:val="single" w:sz="8" w:space="0" w:color="D9D9D9"/>
              <w:bottom w:val="single" w:sz="8" w:space="0" w:color="D9D9D9"/>
              <w:right w:val="single" w:sz="8" w:space="0" w:color="D9D9D9"/>
            </w:tcBorders>
          </w:tcPr>
          <w:p>
            <w:pPr>
              <w:pStyle w:val="TableParagraph"/>
              <w:spacing w:before="27"/>
              <w:ind w:left="2" w:right="5"/>
              <w:jc w:val="center"/>
              <w:rPr>
                <w:rFonts w:ascii="Calibri"/>
                <w:sz w:val="20"/>
              </w:rPr>
            </w:pPr>
            <w:r>
              <w:rPr>
                <w:rFonts w:ascii="Calibri"/>
                <w:spacing w:val="-2"/>
                <w:sz w:val="20"/>
              </w:rPr>
              <w:t>318,917</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spacing w:before="27"/>
              <w:ind w:left="3" w:right="2"/>
              <w:jc w:val="center"/>
              <w:rPr>
                <w:rFonts w:ascii="Calibri"/>
                <w:sz w:val="20"/>
              </w:rPr>
            </w:pPr>
            <w:r>
              <w:rPr>
                <w:rFonts w:ascii="Calibri"/>
                <w:spacing w:val="-5"/>
                <w:sz w:val="20"/>
              </w:rPr>
              <w:t>REF</w:t>
            </w:r>
          </w:p>
        </w:tc>
        <w:tc>
          <w:tcPr>
            <w:tcW w:w="1232" w:type="dxa"/>
            <w:tcBorders>
              <w:top w:val="single" w:sz="8" w:space="0" w:color="D9D9D9"/>
              <w:left w:val="single" w:sz="8" w:space="0" w:color="D9D9D9"/>
              <w:bottom w:val="single" w:sz="8" w:space="0" w:color="D9D9D9"/>
              <w:right w:val="single" w:sz="8" w:space="0" w:color="D9D9D9"/>
            </w:tcBorders>
          </w:tcPr>
          <w:p>
            <w:pPr>
              <w:pStyle w:val="TableParagraph"/>
              <w:spacing w:before="27"/>
              <w:ind w:left="2" w:right="3"/>
              <w:jc w:val="center"/>
              <w:rPr>
                <w:rFonts w:ascii="Calibri" w:hAnsi="Calibri"/>
                <w:sz w:val="20"/>
              </w:rPr>
            </w:pPr>
            <w:r>
              <w:rPr>
                <w:rFonts w:ascii="Calibri" w:hAnsi="Calibri"/>
                <w:color w:val="1C242C"/>
                <w:spacing w:val="-10"/>
                <w:sz w:val="20"/>
              </w:rPr>
              <w:t>–</w:t>
            </w:r>
          </w:p>
        </w:tc>
        <w:tc>
          <w:tcPr>
            <w:tcW w:w="1271" w:type="dxa"/>
            <w:tcBorders>
              <w:top w:val="single" w:sz="8" w:space="0" w:color="D9D9D9"/>
              <w:left w:val="single" w:sz="8" w:space="0" w:color="D9D9D9"/>
              <w:bottom w:val="single" w:sz="8" w:space="0" w:color="D9D9D9"/>
              <w:right w:val="nil"/>
            </w:tcBorders>
          </w:tcPr>
          <w:p>
            <w:pPr>
              <w:pStyle w:val="TableParagraph"/>
              <w:spacing w:before="27"/>
              <w:ind w:left="1" w:right="51"/>
              <w:jc w:val="center"/>
              <w:rPr>
                <w:rFonts w:ascii="Calibri" w:hAnsi="Calibri"/>
                <w:sz w:val="20"/>
              </w:rPr>
            </w:pPr>
            <w:r>
              <w:rPr>
                <w:rFonts w:ascii="Calibri" w:hAnsi="Calibri"/>
                <w:color w:val="1C242C"/>
                <w:spacing w:val="-10"/>
                <w:sz w:val="20"/>
              </w:rPr>
              <w:t>–</w:t>
            </w:r>
          </w:p>
        </w:tc>
      </w:tr>
      <w:tr>
        <w:tblPrEx>
          <w:tblW w:w="0" w:type="auto"/>
          <w:jc w:val="left"/>
          <w:tblInd w:w="339" w:type="dxa"/>
          <w:tblLayout w:type="fixed"/>
          <w:tblCellMar>
            <w:top w:w="0" w:type="dxa"/>
            <w:left w:w="0" w:type="dxa"/>
            <w:bottom w:w="0" w:type="dxa"/>
            <w:right w:w="0" w:type="dxa"/>
          </w:tblCellMar>
          <w:tblLook w:val="01E0"/>
        </w:tblPrEx>
        <w:trPr>
          <w:trHeight w:val="299"/>
          <w:jc w:val="left"/>
        </w:trPr>
        <w:tc>
          <w:tcPr>
            <w:tcW w:w="4848" w:type="dxa"/>
            <w:tcBorders>
              <w:top w:val="single" w:sz="8" w:space="0" w:color="D9D9D9"/>
              <w:left w:val="nil"/>
              <w:bottom w:val="single" w:sz="8" w:space="0" w:color="D9D9D9"/>
              <w:right w:val="single" w:sz="8" w:space="0" w:color="D9D9D9"/>
            </w:tcBorders>
          </w:tcPr>
          <w:p>
            <w:pPr>
              <w:pStyle w:val="TableParagraph"/>
              <w:ind w:left="136"/>
              <w:rPr>
                <w:rFonts w:ascii="Calibri"/>
                <w:sz w:val="20"/>
              </w:rPr>
            </w:pPr>
            <w:r>
              <w:rPr>
                <w:rFonts w:ascii="Calibri"/>
                <w:color w:val="1C242C"/>
                <w:spacing w:val="-2"/>
                <w:sz w:val="20"/>
              </w:rPr>
              <w:t>Spanish</w:t>
            </w:r>
          </w:p>
        </w:tc>
        <w:tc>
          <w:tcPr>
            <w:tcW w:w="1042" w:type="dxa"/>
            <w:tcBorders>
              <w:top w:val="single" w:sz="8" w:space="0" w:color="D9D9D9"/>
              <w:left w:val="single" w:sz="8" w:space="0" w:color="D9D9D9"/>
              <w:bottom w:val="single" w:sz="8" w:space="0" w:color="D9D9D9"/>
              <w:right w:val="single" w:sz="8" w:space="0" w:color="D9D9D9"/>
            </w:tcBorders>
          </w:tcPr>
          <w:p>
            <w:pPr>
              <w:pStyle w:val="TableParagraph"/>
              <w:ind w:left="2" w:right="5"/>
              <w:jc w:val="center"/>
              <w:rPr>
                <w:rFonts w:ascii="Calibri"/>
                <w:sz w:val="20"/>
              </w:rPr>
            </w:pPr>
            <w:r>
              <w:rPr>
                <w:rFonts w:ascii="Calibri"/>
                <w:color w:val="1C242C"/>
                <w:spacing w:val="-2"/>
                <w:sz w:val="20"/>
              </w:rPr>
              <w:t>24,292</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ind w:left="2" w:right="2"/>
              <w:jc w:val="center"/>
              <w:rPr>
                <w:rFonts w:ascii="Calibri"/>
                <w:sz w:val="20"/>
              </w:rPr>
            </w:pPr>
            <w:r>
              <w:rPr>
                <w:rFonts w:ascii="Calibri"/>
                <w:color w:val="1C242C"/>
                <w:spacing w:val="-2"/>
                <w:sz w:val="20"/>
              </w:rPr>
              <w:t>0.84*</w:t>
            </w:r>
          </w:p>
        </w:tc>
        <w:tc>
          <w:tcPr>
            <w:tcW w:w="1232" w:type="dxa"/>
            <w:tcBorders>
              <w:top w:val="single" w:sz="8" w:space="0" w:color="D9D9D9"/>
              <w:left w:val="single" w:sz="8" w:space="0" w:color="D9D9D9"/>
              <w:bottom w:val="single" w:sz="8" w:space="0" w:color="D9D9D9"/>
              <w:right w:val="single" w:sz="8" w:space="0" w:color="D9D9D9"/>
            </w:tcBorders>
          </w:tcPr>
          <w:p>
            <w:pPr>
              <w:pStyle w:val="TableParagraph"/>
              <w:ind w:left="2" w:right="3"/>
              <w:jc w:val="center"/>
              <w:rPr>
                <w:rFonts w:ascii="Calibri"/>
                <w:sz w:val="20"/>
              </w:rPr>
            </w:pPr>
            <w:r>
              <w:rPr>
                <w:rFonts w:ascii="Calibri"/>
                <w:color w:val="1C242C"/>
                <w:spacing w:val="-4"/>
                <w:sz w:val="20"/>
              </w:rPr>
              <w:t>0.73</w:t>
            </w:r>
          </w:p>
        </w:tc>
        <w:tc>
          <w:tcPr>
            <w:tcW w:w="1271" w:type="dxa"/>
            <w:tcBorders>
              <w:top w:val="single" w:sz="8" w:space="0" w:color="D9D9D9"/>
              <w:left w:val="single" w:sz="8" w:space="0" w:color="D9D9D9"/>
              <w:bottom w:val="single" w:sz="8" w:space="0" w:color="D9D9D9"/>
              <w:right w:val="nil"/>
            </w:tcBorders>
          </w:tcPr>
          <w:p>
            <w:pPr>
              <w:pStyle w:val="TableParagraph"/>
              <w:ind w:right="51"/>
              <w:jc w:val="center"/>
              <w:rPr>
                <w:rFonts w:ascii="Calibri"/>
                <w:sz w:val="20"/>
              </w:rPr>
            </w:pPr>
            <w:r>
              <w:rPr>
                <w:rFonts w:ascii="Calibri"/>
                <w:color w:val="1C242C"/>
                <w:spacing w:val="-4"/>
                <w:sz w:val="20"/>
              </w:rPr>
              <w:t>0.98</w:t>
            </w:r>
          </w:p>
        </w:tc>
      </w:tr>
      <w:tr>
        <w:tblPrEx>
          <w:tblW w:w="0" w:type="auto"/>
          <w:jc w:val="left"/>
          <w:tblInd w:w="339" w:type="dxa"/>
          <w:tblLayout w:type="fixed"/>
          <w:tblCellMar>
            <w:top w:w="0" w:type="dxa"/>
            <w:left w:w="0" w:type="dxa"/>
            <w:bottom w:w="0" w:type="dxa"/>
            <w:right w:w="0" w:type="dxa"/>
          </w:tblCellMar>
          <w:tblLook w:val="01E0"/>
        </w:tblPrEx>
        <w:trPr>
          <w:trHeight w:val="301"/>
          <w:jc w:val="left"/>
        </w:trPr>
        <w:tc>
          <w:tcPr>
            <w:tcW w:w="4848" w:type="dxa"/>
            <w:tcBorders>
              <w:top w:val="single" w:sz="8" w:space="0" w:color="D9D9D9"/>
              <w:left w:val="nil"/>
              <w:bottom w:val="single" w:sz="8" w:space="0" w:color="D9D9D9"/>
              <w:right w:val="single" w:sz="8" w:space="0" w:color="D9D9D9"/>
            </w:tcBorders>
          </w:tcPr>
          <w:p>
            <w:pPr>
              <w:pStyle w:val="TableParagraph"/>
              <w:ind w:left="136"/>
              <w:rPr>
                <w:rFonts w:ascii="Calibri"/>
                <w:sz w:val="20"/>
              </w:rPr>
            </w:pPr>
            <w:r>
              <w:rPr>
                <w:rFonts w:ascii="Calibri"/>
                <w:color w:val="1C242C"/>
                <w:spacing w:val="-2"/>
                <w:sz w:val="20"/>
              </w:rPr>
              <w:t>Chinese</w:t>
            </w:r>
          </w:p>
        </w:tc>
        <w:tc>
          <w:tcPr>
            <w:tcW w:w="1042" w:type="dxa"/>
            <w:tcBorders>
              <w:top w:val="single" w:sz="8" w:space="0" w:color="D9D9D9"/>
              <w:left w:val="single" w:sz="8" w:space="0" w:color="D9D9D9"/>
              <w:bottom w:val="single" w:sz="8" w:space="0" w:color="D9D9D9"/>
              <w:right w:val="single" w:sz="8" w:space="0" w:color="D9D9D9"/>
            </w:tcBorders>
          </w:tcPr>
          <w:p>
            <w:pPr>
              <w:pStyle w:val="TableParagraph"/>
              <w:ind w:left="2" w:right="5"/>
              <w:jc w:val="center"/>
              <w:rPr>
                <w:rFonts w:ascii="Calibri"/>
                <w:sz w:val="20"/>
              </w:rPr>
            </w:pPr>
            <w:r>
              <w:rPr>
                <w:rFonts w:ascii="Calibri"/>
                <w:color w:val="1C242C"/>
                <w:spacing w:val="-2"/>
                <w:sz w:val="20"/>
              </w:rPr>
              <w:t>2,752</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ind w:left="2" w:right="2"/>
              <w:jc w:val="center"/>
              <w:rPr>
                <w:rFonts w:ascii="Calibri"/>
                <w:sz w:val="20"/>
              </w:rPr>
            </w:pPr>
            <w:r>
              <w:rPr>
                <w:rFonts w:ascii="Calibri"/>
                <w:color w:val="1C242C"/>
                <w:spacing w:val="-4"/>
                <w:sz w:val="20"/>
              </w:rPr>
              <w:t>0.87</w:t>
            </w:r>
          </w:p>
        </w:tc>
        <w:tc>
          <w:tcPr>
            <w:tcW w:w="1232" w:type="dxa"/>
            <w:tcBorders>
              <w:top w:val="single" w:sz="8" w:space="0" w:color="D9D9D9"/>
              <w:left w:val="single" w:sz="8" w:space="0" w:color="D9D9D9"/>
              <w:bottom w:val="single" w:sz="8" w:space="0" w:color="D9D9D9"/>
              <w:right w:val="single" w:sz="8" w:space="0" w:color="D9D9D9"/>
            </w:tcBorders>
          </w:tcPr>
          <w:p>
            <w:pPr>
              <w:pStyle w:val="TableParagraph"/>
              <w:ind w:left="2" w:right="3"/>
              <w:jc w:val="center"/>
              <w:rPr>
                <w:rFonts w:ascii="Calibri"/>
                <w:sz w:val="20"/>
              </w:rPr>
            </w:pPr>
            <w:r>
              <w:rPr>
                <w:rFonts w:ascii="Calibri"/>
                <w:color w:val="1C242C"/>
                <w:spacing w:val="-4"/>
                <w:sz w:val="20"/>
              </w:rPr>
              <w:t>0.65</w:t>
            </w:r>
          </w:p>
        </w:tc>
        <w:tc>
          <w:tcPr>
            <w:tcW w:w="1271" w:type="dxa"/>
            <w:tcBorders>
              <w:top w:val="single" w:sz="8" w:space="0" w:color="D9D9D9"/>
              <w:left w:val="single" w:sz="8" w:space="0" w:color="D9D9D9"/>
              <w:bottom w:val="single" w:sz="8" w:space="0" w:color="D9D9D9"/>
              <w:right w:val="nil"/>
            </w:tcBorders>
          </w:tcPr>
          <w:p>
            <w:pPr>
              <w:pStyle w:val="TableParagraph"/>
              <w:ind w:right="51"/>
              <w:jc w:val="center"/>
              <w:rPr>
                <w:rFonts w:ascii="Calibri"/>
                <w:sz w:val="20"/>
              </w:rPr>
            </w:pPr>
            <w:r>
              <w:rPr>
                <w:rFonts w:ascii="Calibri"/>
                <w:color w:val="1C242C"/>
                <w:spacing w:val="-4"/>
                <w:sz w:val="20"/>
              </w:rPr>
              <w:t>1.15</w:t>
            </w:r>
          </w:p>
        </w:tc>
      </w:tr>
      <w:tr>
        <w:tblPrEx>
          <w:tblW w:w="0" w:type="auto"/>
          <w:jc w:val="left"/>
          <w:tblInd w:w="339" w:type="dxa"/>
          <w:tblLayout w:type="fixed"/>
          <w:tblCellMar>
            <w:top w:w="0" w:type="dxa"/>
            <w:left w:w="0" w:type="dxa"/>
            <w:bottom w:w="0" w:type="dxa"/>
            <w:right w:w="0" w:type="dxa"/>
          </w:tblCellMar>
          <w:tblLook w:val="01E0"/>
        </w:tblPrEx>
        <w:trPr>
          <w:trHeight w:val="299"/>
          <w:jc w:val="left"/>
        </w:trPr>
        <w:tc>
          <w:tcPr>
            <w:tcW w:w="4848" w:type="dxa"/>
            <w:tcBorders>
              <w:top w:val="single" w:sz="8" w:space="0" w:color="D9D9D9"/>
              <w:left w:val="nil"/>
              <w:bottom w:val="single" w:sz="8" w:space="0" w:color="D9D9D9"/>
              <w:right w:val="single" w:sz="8" w:space="0" w:color="D9D9D9"/>
            </w:tcBorders>
          </w:tcPr>
          <w:p>
            <w:pPr>
              <w:pStyle w:val="TableParagraph"/>
              <w:spacing w:before="27"/>
              <w:ind w:left="136"/>
              <w:rPr>
                <w:rFonts w:ascii="Calibri"/>
                <w:sz w:val="20"/>
              </w:rPr>
            </w:pPr>
            <w:r>
              <w:rPr>
                <w:rFonts w:ascii="Calibri"/>
                <w:color w:val="1C242C"/>
                <w:spacing w:val="-2"/>
                <w:sz w:val="20"/>
              </w:rPr>
              <w:t>Other</w:t>
            </w:r>
          </w:p>
        </w:tc>
        <w:tc>
          <w:tcPr>
            <w:tcW w:w="1042" w:type="dxa"/>
            <w:tcBorders>
              <w:top w:val="single" w:sz="8" w:space="0" w:color="D9D9D9"/>
              <w:left w:val="single" w:sz="8" w:space="0" w:color="D9D9D9"/>
              <w:bottom w:val="single" w:sz="8" w:space="0" w:color="D9D9D9"/>
              <w:right w:val="single" w:sz="8" w:space="0" w:color="D9D9D9"/>
            </w:tcBorders>
          </w:tcPr>
          <w:p>
            <w:pPr>
              <w:pStyle w:val="TableParagraph"/>
              <w:spacing w:before="27"/>
              <w:ind w:left="2" w:right="5"/>
              <w:jc w:val="center"/>
              <w:rPr>
                <w:rFonts w:ascii="Calibri"/>
                <w:sz w:val="20"/>
              </w:rPr>
            </w:pPr>
            <w:r>
              <w:rPr>
                <w:rFonts w:ascii="Calibri"/>
                <w:color w:val="1C242C"/>
                <w:spacing w:val="-2"/>
                <w:sz w:val="20"/>
              </w:rPr>
              <w:t>60,867</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spacing w:before="27"/>
              <w:ind w:left="2" w:right="2"/>
              <w:jc w:val="center"/>
              <w:rPr>
                <w:rFonts w:ascii="Calibri"/>
                <w:sz w:val="20"/>
              </w:rPr>
            </w:pPr>
            <w:r>
              <w:rPr>
                <w:rFonts w:ascii="Calibri"/>
                <w:color w:val="1C242C"/>
                <w:spacing w:val="-4"/>
                <w:sz w:val="20"/>
              </w:rPr>
              <w:t>0.97</w:t>
            </w:r>
          </w:p>
        </w:tc>
        <w:tc>
          <w:tcPr>
            <w:tcW w:w="1232" w:type="dxa"/>
            <w:tcBorders>
              <w:top w:val="single" w:sz="8" w:space="0" w:color="D9D9D9"/>
              <w:left w:val="single" w:sz="8" w:space="0" w:color="D9D9D9"/>
              <w:bottom w:val="single" w:sz="8" w:space="0" w:color="D9D9D9"/>
              <w:right w:val="single" w:sz="8" w:space="0" w:color="D9D9D9"/>
            </w:tcBorders>
          </w:tcPr>
          <w:p>
            <w:pPr>
              <w:pStyle w:val="TableParagraph"/>
              <w:spacing w:before="27"/>
              <w:ind w:left="2" w:right="3"/>
              <w:jc w:val="center"/>
              <w:rPr>
                <w:rFonts w:ascii="Calibri"/>
                <w:sz w:val="20"/>
              </w:rPr>
            </w:pPr>
            <w:r>
              <w:rPr>
                <w:rFonts w:ascii="Calibri"/>
                <w:color w:val="1C242C"/>
                <w:spacing w:val="-4"/>
                <w:sz w:val="20"/>
              </w:rPr>
              <w:t>0.93</w:t>
            </w:r>
          </w:p>
        </w:tc>
        <w:tc>
          <w:tcPr>
            <w:tcW w:w="1271" w:type="dxa"/>
            <w:tcBorders>
              <w:top w:val="single" w:sz="8" w:space="0" w:color="D9D9D9"/>
              <w:left w:val="single" w:sz="8" w:space="0" w:color="D9D9D9"/>
              <w:bottom w:val="single" w:sz="8" w:space="0" w:color="D9D9D9"/>
              <w:right w:val="nil"/>
            </w:tcBorders>
          </w:tcPr>
          <w:p>
            <w:pPr>
              <w:pStyle w:val="TableParagraph"/>
              <w:spacing w:before="27"/>
              <w:ind w:right="51"/>
              <w:jc w:val="center"/>
              <w:rPr>
                <w:rFonts w:ascii="Calibri"/>
                <w:sz w:val="20"/>
              </w:rPr>
            </w:pPr>
            <w:r>
              <w:rPr>
                <w:rFonts w:ascii="Calibri"/>
                <w:color w:val="1C242C"/>
                <w:spacing w:val="-4"/>
                <w:sz w:val="20"/>
              </w:rPr>
              <w:t>1.02</w:t>
            </w:r>
          </w:p>
        </w:tc>
      </w:tr>
      <w:tr>
        <w:tblPrEx>
          <w:tblW w:w="0" w:type="auto"/>
          <w:jc w:val="left"/>
          <w:tblInd w:w="339" w:type="dxa"/>
          <w:tblLayout w:type="fixed"/>
          <w:tblCellMar>
            <w:top w:w="0" w:type="dxa"/>
            <w:left w:w="0" w:type="dxa"/>
            <w:bottom w:w="0" w:type="dxa"/>
            <w:right w:w="0" w:type="dxa"/>
          </w:tblCellMar>
          <w:tblLook w:val="01E0"/>
        </w:tblPrEx>
        <w:trPr>
          <w:trHeight w:val="299"/>
          <w:jc w:val="left"/>
        </w:trPr>
        <w:tc>
          <w:tcPr>
            <w:tcW w:w="4848" w:type="dxa"/>
            <w:tcBorders>
              <w:top w:val="single" w:sz="8" w:space="0" w:color="D9D9D9"/>
              <w:left w:val="nil"/>
              <w:bottom w:val="single" w:sz="8" w:space="0" w:color="D9D9D9"/>
              <w:right w:val="single" w:sz="8" w:space="0" w:color="D9D9D9"/>
            </w:tcBorders>
          </w:tcPr>
          <w:p>
            <w:pPr>
              <w:pStyle w:val="TableParagraph"/>
              <w:ind w:left="136"/>
              <w:rPr>
                <w:rFonts w:ascii="Calibri"/>
                <w:sz w:val="20"/>
              </w:rPr>
            </w:pPr>
            <w:r>
              <w:rPr>
                <w:rFonts w:ascii="Calibri"/>
                <w:color w:val="1C242C"/>
                <w:spacing w:val="-2"/>
                <w:sz w:val="20"/>
              </w:rPr>
              <w:t>Missing</w:t>
            </w:r>
          </w:p>
        </w:tc>
        <w:tc>
          <w:tcPr>
            <w:tcW w:w="1042" w:type="dxa"/>
            <w:tcBorders>
              <w:top w:val="single" w:sz="8" w:space="0" w:color="D9D9D9"/>
              <w:left w:val="single" w:sz="8" w:space="0" w:color="D9D9D9"/>
              <w:bottom w:val="single" w:sz="8" w:space="0" w:color="D9D9D9"/>
              <w:right w:val="single" w:sz="8" w:space="0" w:color="D9D9D9"/>
            </w:tcBorders>
          </w:tcPr>
          <w:p>
            <w:pPr>
              <w:pStyle w:val="TableParagraph"/>
              <w:ind w:left="2" w:right="5"/>
              <w:jc w:val="center"/>
              <w:rPr>
                <w:rFonts w:ascii="Calibri"/>
                <w:sz w:val="20"/>
              </w:rPr>
            </w:pPr>
            <w:r>
              <w:rPr>
                <w:rFonts w:ascii="Calibri"/>
                <w:color w:val="1C242C"/>
                <w:spacing w:val="-2"/>
                <w:sz w:val="20"/>
              </w:rPr>
              <w:t>193,340</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ind w:left="2" w:right="2"/>
              <w:jc w:val="center"/>
              <w:rPr>
                <w:rFonts w:ascii="Calibri"/>
                <w:sz w:val="20"/>
              </w:rPr>
            </w:pPr>
            <w:r>
              <w:rPr>
                <w:rFonts w:ascii="Calibri"/>
                <w:color w:val="1C242C"/>
                <w:spacing w:val="-2"/>
                <w:sz w:val="20"/>
              </w:rPr>
              <w:t>1.09*</w:t>
            </w:r>
          </w:p>
        </w:tc>
        <w:tc>
          <w:tcPr>
            <w:tcW w:w="1232" w:type="dxa"/>
            <w:tcBorders>
              <w:top w:val="single" w:sz="8" w:space="0" w:color="D9D9D9"/>
              <w:left w:val="single" w:sz="8" w:space="0" w:color="D9D9D9"/>
              <w:bottom w:val="single" w:sz="8" w:space="0" w:color="D9D9D9"/>
              <w:right w:val="single" w:sz="8" w:space="0" w:color="D9D9D9"/>
            </w:tcBorders>
          </w:tcPr>
          <w:p>
            <w:pPr>
              <w:pStyle w:val="TableParagraph"/>
              <w:ind w:left="2" w:right="3"/>
              <w:jc w:val="center"/>
              <w:rPr>
                <w:rFonts w:ascii="Calibri"/>
                <w:sz w:val="20"/>
              </w:rPr>
            </w:pPr>
            <w:r>
              <w:rPr>
                <w:rFonts w:ascii="Calibri"/>
                <w:color w:val="1C242C"/>
                <w:spacing w:val="-4"/>
                <w:sz w:val="20"/>
              </w:rPr>
              <w:t>1.05</w:t>
            </w:r>
          </w:p>
        </w:tc>
        <w:tc>
          <w:tcPr>
            <w:tcW w:w="1271" w:type="dxa"/>
            <w:tcBorders>
              <w:top w:val="single" w:sz="8" w:space="0" w:color="D9D9D9"/>
              <w:left w:val="single" w:sz="8" w:space="0" w:color="D9D9D9"/>
              <w:bottom w:val="single" w:sz="8" w:space="0" w:color="D9D9D9"/>
              <w:right w:val="nil"/>
            </w:tcBorders>
          </w:tcPr>
          <w:p>
            <w:pPr>
              <w:pStyle w:val="TableParagraph"/>
              <w:ind w:right="51"/>
              <w:jc w:val="center"/>
              <w:rPr>
                <w:rFonts w:ascii="Calibri"/>
                <w:sz w:val="20"/>
              </w:rPr>
            </w:pPr>
            <w:r>
              <w:rPr>
                <w:rFonts w:ascii="Calibri"/>
                <w:color w:val="1C242C"/>
                <w:spacing w:val="-4"/>
                <w:sz w:val="20"/>
              </w:rPr>
              <w:t>1.13</w:t>
            </w:r>
          </w:p>
        </w:tc>
      </w:tr>
      <w:tr>
        <w:tblPrEx>
          <w:tblW w:w="0" w:type="auto"/>
          <w:jc w:val="left"/>
          <w:tblInd w:w="339" w:type="dxa"/>
          <w:tblLayout w:type="fixed"/>
          <w:tblCellMar>
            <w:top w:w="0" w:type="dxa"/>
            <w:left w:w="0" w:type="dxa"/>
            <w:bottom w:w="0" w:type="dxa"/>
            <w:right w:w="0" w:type="dxa"/>
          </w:tblCellMar>
          <w:tblLook w:val="01E0"/>
        </w:tblPrEx>
        <w:trPr>
          <w:trHeight w:val="301"/>
          <w:jc w:val="left"/>
        </w:trPr>
        <w:tc>
          <w:tcPr>
            <w:tcW w:w="9420" w:type="dxa"/>
            <w:gridSpan w:val="5"/>
            <w:tcBorders>
              <w:top w:val="single" w:sz="8" w:space="0" w:color="D9D9D9"/>
              <w:left w:val="nil"/>
              <w:bottom w:val="single" w:sz="8" w:space="0" w:color="D9D9D9"/>
              <w:right w:val="nil"/>
            </w:tcBorders>
            <w:shd w:val="clear" w:color="auto" w:fill="D1EDFB"/>
          </w:tcPr>
          <w:p>
            <w:pPr>
              <w:pStyle w:val="TableParagraph"/>
              <w:ind w:left="136"/>
              <w:rPr>
                <w:rFonts w:ascii="Calibri"/>
                <w:sz w:val="20"/>
              </w:rPr>
            </w:pPr>
            <w:r>
              <w:rPr>
                <w:rFonts w:ascii="Calibri"/>
                <w:b/>
                <w:color w:val="1C242C"/>
                <w:sz w:val="20"/>
              </w:rPr>
              <w:t>Census</w:t>
            </w:r>
            <w:r>
              <w:rPr>
                <w:rFonts w:ascii="Calibri"/>
                <w:b/>
                <w:color w:val="1C242C"/>
                <w:spacing w:val="-8"/>
                <w:sz w:val="20"/>
              </w:rPr>
              <w:t xml:space="preserve"> </w:t>
            </w:r>
            <w:r>
              <w:rPr>
                <w:rFonts w:ascii="Calibri"/>
                <w:b/>
                <w:color w:val="1C242C"/>
                <w:sz w:val="20"/>
              </w:rPr>
              <w:t>division</w:t>
            </w:r>
            <w:r>
              <w:rPr>
                <w:rFonts w:ascii="Calibri"/>
                <w:b/>
                <w:color w:val="1C242C"/>
                <w:spacing w:val="-5"/>
                <w:sz w:val="20"/>
              </w:rPr>
              <w:t xml:space="preserve"> </w:t>
            </w:r>
            <w:r>
              <w:rPr>
                <w:rFonts w:ascii="Calibri"/>
                <w:color w:val="1C242C"/>
                <w:sz w:val="20"/>
              </w:rPr>
              <w:t>(Ref:</w:t>
            </w:r>
            <w:r>
              <w:rPr>
                <w:rFonts w:ascii="Calibri"/>
                <w:color w:val="1C242C"/>
                <w:spacing w:val="-7"/>
                <w:sz w:val="20"/>
              </w:rPr>
              <w:t xml:space="preserve"> </w:t>
            </w:r>
            <w:r>
              <w:rPr>
                <w:rFonts w:ascii="Calibri"/>
                <w:color w:val="1C242C"/>
                <w:sz w:val="20"/>
              </w:rPr>
              <w:t>South</w:t>
            </w:r>
            <w:r>
              <w:rPr>
                <w:rFonts w:ascii="Calibri"/>
                <w:color w:val="1C242C"/>
                <w:spacing w:val="-6"/>
                <w:sz w:val="20"/>
              </w:rPr>
              <w:t xml:space="preserve"> </w:t>
            </w:r>
            <w:r>
              <w:rPr>
                <w:rFonts w:ascii="Calibri"/>
                <w:color w:val="1C242C"/>
                <w:spacing w:val="-2"/>
                <w:sz w:val="20"/>
              </w:rPr>
              <w:t>Atlantic)</w:t>
            </w:r>
          </w:p>
        </w:tc>
      </w:tr>
      <w:tr>
        <w:tblPrEx>
          <w:tblW w:w="0" w:type="auto"/>
          <w:jc w:val="left"/>
          <w:tblInd w:w="339" w:type="dxa"/>
          <w:tblLayout w:type="fixed"/>
          <w:tblCellMar>
            <w:top w:w="0" w:type="dxa"/>
            <w:left w:w="0" w:type="dxa"/>
            <w:bottom w:w="0" w:type="dxa"/>
            <w:right w:w="0" w:type="dxa"/>
          </w:tblCellMar>
          <w:tblLook w:val="01E0"/>
        </w:tblPrEx>
        <w:trPr>
          <w:trHeight w:val="421"/>
          <w:jc w:val="left"/>
        </w:trPr>
        <w:tc>
          <w:tcPr>
            <w:tcW w:w="4848" w:type="dxa"/>
            <w:tcBorders>
              <w:top w:val="single" w:sz="8" w:space="0" w:color="D9D9D9"/>
              <w:left w:val="nil"/>
              <w:bottom w:val="single" w:sz="8" w:space="0" w:color="D9D9D9"/>
              <w:right w:val="single" w:sz="8" w:space="0" w:color="D9D9D9"/>
            </w:tcBorders>
          </w:tcPr>
          <w:p>
            <w:pPr>
              <w:pStyle w:val="TableParagraph"/>
              <w:spacing w:before="90"/>
              <w:ind w:left="136"/>
              <w:rPr>
                <w:rFonts w:ascii="Calibri"/>
                <w:sz w:val="20"/>
              </w:rPr>
            </w:pPr>
            <w:r>
              <w:rPr>
                <w:rFonts w:ascii="Calibri"/>
                <w:color w:val="1C242C"/>
                <w:sz w:val="20"/>
              </w:rPr>
              <w:t>South</w:t>
            </w:r>
            <w:r>
              <w:rPr>
                <w:rFonts w:ascii="Calibri"/>
                <w:color w:val="1C242C"/>
                <w:spacing w:val="-5"/>
                <w:sz w:val="20"/>
              </w:rPr>
              <w:t xml:space="preserve"> </w:t>
            </w:r>
            <w:r>
              <w:rPr>
                <w:rFonts w:ascii="Calibri"/>
                <w:color w:val="1C242C"/>
                <w:sz w:val="20"/>
              </w:rPr>
              <w:t>Atlantic</w:t>
            </w:r>
            <w:r>
              <w:rPr>
                <w:rFonts w:ascii="Calibri"/>
                <w:color w:val="1C242C"/>
                <w:spacing w:val="-5"/>
                <w:sz w:val="20"/>
              </w:rPr>
              <w:t xml:space="preserve"> </w:t>
            </w:r>
            <w:r>
              <w:rPr>
                <w:rFonts w:ascii="Calibri"/>
                <w:color w:val="1C242C"/>
                <w:sz w:val="20"/>
              </w:rPr>
              <w:t>(DC,</w:t>
            </w:r>
            <w:r>
              <w:rPr>
                <w:rFonts w:ascii="Calibri"/>
                <w:color w:val="1C242C"/>
                <w:spacing w:val="-4"/>
                <w:sz w:val="20"/>
              </w:rPr>
              <w:t xml:space="preserve"> </w:t>
            </w:r>
            <w:r>
              <w:rPr>
                <w:rFonts w:ascii="Calibri"/>
                <w:color w:val="1C242C"/>
                <w:sz w:val="20"/>
              </w:rPr>
              <w:t>DE,</w:t>
            </w:r>
            <w:r>
              <w:rPr>
                <w:rFonts w:ascii="Calibri"/>
                <w:color w:val="1C242C"/>
                <w:spacing w:val="-4"/>
                <w:sz w:val="20"/>
              </w:rPr>
              <w:t xml:space="preserve"> </w:t>
            </w:r>
            <w:r>
              <w:rPr>
                <w:rFonts w:ascii="Calibri"/>
                <w:color w:val="1C242C"/>
                <w:sz w:val="20"/>
              </w:rPr>
              <w:t>FL,</w:t>
            </w:r>
            <w:r>
              <w:rPr>
                <w:rFonts w:ascii="Calibri"/>
                <w:color w:val="1C242C"/>
                <w:spacing w:val="-4"/>
                <w:sz w:val="20"/>
              </w:rPr>
              <w:t xml:space="preserve"> </w:t>
            </w:r>
            <w:r>
              <w:rPr>
                <w:rFonts w:ascii="Calibri"/>
                <w:color w:val="1C242C"/>
                <w:sz w:val="20"/>
              </w:rPr>
              <w:t>GA,</w:t>
            </w:r>
            <w:r>
              <w:rPr>
                <w:rFonts w:ascii="Calibri"/>
                <w:color w:val="1C242C"/>
                <w:spacing w:val="-4"/>
                <w:sz w:val="20"/>
              </w:rPr>
              <w:t xml:space="preserve"> </w:t>
            </w:r>
            <w:r>
              <w:rPr>
                <w:rFonts w:ascii="Calibri"/>
                <w:color w:val="1C242C"/>
                <w:sz w:val="20"/>
              </w:rPr>
              <w:t>MD,</w:t>
            </w:r>
            <w:r>
              <w:rPr>
                <w:rFonts w:ascii="Calibri"/>
                <w:color w:val="1C242C"/>
                <w:spacing w:val="-4"/>
                <w:sz w:val="20"/>
              </w:rPr>
              <w:t xml:space="preserve"> </w:t>
            </w:r>
            <w:r>
              <w:rPr>
                <w:rFonts w:ascii="Calibri"/>
                <w:color w:val="1C242C"/>
                <w:sz w:val="20"/>
              </w:rPr>
              <w:t>NC,</w:t>
            </w:r>
            <w:r>
              <w:rPr>
                <w:rFonts w:ascii="Calibri"/>
                <w:color w:val="1C242C"/>
                <w:spacing w:val="-4"/>
                <w:sz w:val="20"/>
              </w:rPr>
              <w:t xml:space="preserve"> </w:t>
            </w:r>
            <w:r>
              <w:rPr>
                <w:rFonts w:ascii="Calibri"/>
                <w:color w:val="1C242C"/>
                <w:sz w:val="20"/>
              </w:rPr>
              <w:t>SC,</w:t>
            </w:r>
            <w:r>
              <w:rPr>
                <w:rFonts w:ascii="Calibri"/>
                <w:color w:val="1C242C"/>
                <w:spacing w:val="-4"/>
                <w:sz w:val="20"/>
              </w:rPr>
              <w:t xml:space="preserve"> </w:t>
            </w:r>
            <w:r>
              <w:rPr>
                <w:rFonts w:ascii="Calibri"/>
                <w:color w:val="1C242C"/>
                <w:sz w:val="20"/>
              </w:rPr>
              <w:t>VA,</w:t>
            </w:r>
            <w:r>
              <w:rPr>
                <w:rFonts w:ascii="Calibri"/>
                <w:color w:val="1C242C"/>
                <w:spacing w:val="-4"/>
                <w:sz w:val="20"/>
              </w:rPr>
              <w:t xml:space="preserve"> </w:t>
            </w:r>
            <w:r>
              <w:rPr>
                <w:rFonts w:ascii="Calibri"/>
                <w:color w:val="1C242C"/>
                <w:spacing w:val="-5"/>
                <w:sz w:val="20"/>
              </w:rPr>
              <w:t>WV)</w:t>
            </w:r>
          </w:p>
        </w:tc>
        <w:tc>
          <w:tcPr>
            <w:tcW w:w="1042" w:type="dxa"/>
            <w:tcBorders>
              <w:top w:val="single" w:sz="8" w:space="0" w:color="D9D9D9"/>
              <w:left w:val="single" w:sz="8" w:space="0" w:color="D9D9D9"/>
              <w:bottom w:val="single" w:sz="8" w:space="0" w:color="D9D9D9"/>
              <w:right w:val="single" w:sz="8" w:space="0" w:color="D9D9D9"/>
            </w:tcBorders>
          </w:tcPr>
          <w:p>
            <w:pPr>
              <w:pStyle w:val="TableParagraph"/>
              <w:spacing w:before="90"/>
              <w:ind w:left="2" w:right="5"/>
              <w:jc w:val="center"/>
              <w:rPr>
                <w:rFonts w:ascii="Calibri"/>
                <w:sz w:val="20"/>
              </w:rPr>
            </w:pPr>
            <w:r>
              <w:rPr>
                <w:rFonts w:ascii="Calibri"/>
                <w:spacing w:val="-2"/>
                <w:sz w:val="20"/>
              </w:rPr>
              <w:t>131,343</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spacing w:before="90"/>
              <w:ind w:left="3" w:right="2"/>
              <w:jc w:val="center"/>
              <w:rPr>
                <w:rFonts w:ascii="Calibri"/>
                <w:sz w:val="20"/>
              </w:rPr>
            </w:pPr>
            <w:r>
              <w:rPr>
                <w:rFonts w:ascii="Calibri"/>
                <w:color w:val="1C242C"/>
                <w:spacing w:val="-5"/>
                <w:sz w:val="20"/>
              </w:rPr>
              <w:t>REF</w:t>
            </w:r>
          </w:p>
        </w:tc>
        <w:tc>
          <w:tcPr>
            <w:tcW w:w="1232" w:type="dxa"/>
            <w:tcBorders>
              <w:top w:val="single" w:sz="8" w:space="0" w:color="D9D9D9"/>
              <w:left w:val="single" w:sz="8" w:space="0" w:color="D9D9D9"/>
              <w:bottom w:val="single" w:sz="8" w:space="0" w:color="D9D9D9"/>
              <w:right w:val="single" w:sz="8" w:space="0" w:color="D9D9D9"/>
            </w:tcBorders>
          </w:tcPr>
          <w:p>
            <w:pPr>
              <w:pStyle w:val="TableParagraph"/>
              <w:spacing w:before="90"/>
              <w:ind w:left="2" w:right="3"/>
              <w:jc w:val="center"/>
              <w:rPr>
                <w:rFonts w:ascii="Calibri" w:hAnsi="Calibri"/>
                <w:sz w:val="20"/>
              </w:rPr>
            </w:pPr>
            <w:r>
              <w:rPr>
                <w:rFonts w:ascii="Calibri" w:hAnsi="Calibri"/>
                <w:color w:val="1C242C"/>
                <w:spacing w:val="-10"/>
                <w:sz w:val="20"/>
              </w:rPr>
              <w:t>–</w:t>
            </w:r>
          </w:p>
        </w:tc>
        <w:tc>
          <w:tcPr>
            <w:tcW w:w="1271" w:type="dxa"/>
            <w:tcBorders>
              <w:top w:val="single" w:sz="8" w:space="0" w:color="D9D9D9"/>
              <w:left w:val="single" w:sz="8" w:space="0" w:color="D9D9D9"/>
              <w:bottom w:val="single" w:sz="8" w:space="0" w:color="D9D9D9"/>
              <w:right w:val="nil"/>
            </w:tcBorders>
          </w:tcPr>
          <w:p>
            <w:pPr>
              <w:pStyle w:val="TableParagraph"/>
              <w:spacing w:before="90"/>
              <w:ind w:left="1" w:right="51"/>
              <w:jc w:val="center"/>
              <w:rPr>
                <w:rFonts w:ascii="Calibri" w:hAnsi="Calibri"/>
                <w:sz w:val="20"/>
              </w:rPr>
            </w:pPr>
            <w:r>
              <w:rPr>
                <w:rFonts w:ascii="Calibri" w:hAnsi="Calibri"/>
                <w:color w:val="1C242C"/>
                <w:spacing w:val="-10"/>
                <w:sz w:val="20"/>
              </w:rPr>
              <w:t>–</w:t>
            </w:r>
          </w:p>
        </w:tc>
      </w:tr>
      <w:tr>
        <w:tblPrEx>
          <w:tblW w:w="0" w:type="auto"/>
          <w:jc w:val="left"/>
          <w:tblInd w:w="339" w:type="dxa"/>
          <w:tblLayout w:type="fixed"/>
          <w:tblCellMar>
            <w:top w:w="0" w:type="dxa"/>
            <w:left w:w="0" w:type="dxa"/>
            <w:bottom w:w="0" w:type="dxa"/>
            <w:right w:w="0" w:type="dxa"/>
          </w:tblCellMar>
          <w:tblLook w:val="01E0"/>
        </w:tblPrEx>
        <w:trPr>
          <w:trHeight w:val="299"/>
          <w:jc w:val="left"/>
        </w:trPr>
        <w:tc>
          <w:tcPr>
            <w:tcW w:w="4848" w:type="dxa"/>
            <w:tcBorders>
              <w:top w:val="single" w:sz="8" w:space="0" w:color="D9D9D9"/>
              <w:left w:val="nil"/>
              <w:bottom w:val="single" w:sz="8" w:space="0" w:color="D9D9D9"/>
              <w:right w:val="single" w:sz="8" w:space="0" w:color="D9D9D9"/>
            </w:tcBorders>
          </w:tcPr>
          <w:p>
            <w:pPr>
              <w:pStyle w:val="TableParagraph"/>
              <w:spacing w:before="28"/>
              <w:ind w:left="136"/>
              <w:rPr>
                <w:rFonts w:ascii="Calibri"/>
                <w:sz w:val="20"/>
              </w:rPr>
            </w:pPr>
            <w:r>
              <w:rPr>
                <w:rFonts w:ascii="Calibri"/>
                <w:color w:val="1C242C"/>
                <w:sz w:val="20"/>
              </w:rPr>
              <w:t>East</w:t>
            </w:r>
            <w:r>
              <w:rPr>
                <w:rFonts w:ascii="Calibri"/>
                <w:color w:val="1C242C"/>
                <w:spacing w:val="-4"/>
                <w:sz w:val="20"/>
              </w:rPr>
              <w:t xml:space="preserve"> </w:t>
            </w:r>
            <w:r>
              <w:rPr>
                <w:rFonts w:ascii="Calibri"/>
                <w:color w:val="1C242C"/>
                <w:sz w:val="20"/>
              </w:rPr>
              <w:t>North</w:t>
            </w:r>
            <w:r>
              <w:rPr>
                <w:rFonts w:ascii="Calibri"/>
                <w:color w:val="1C242C"/>
                <w:spacing w:val="-4"/>
                <w:sz w:val="20"/>
              </w:rPr>
              <w:t xml:space="preserve"> </w:t>
            </w:r>
            <w:r>
              <w:rPr>
                <w:rFonts w:ascii="Calibri"/>
                <w:color w:val="1C242C"/>
                <w:sz w:val="20"/>
              </w:rPr>
              <w:t>Central</w:t>
            </w:r>
            <w:r>
              <w:rPr>
                <w:rFonts w:ascii="Calibri"/>
                <w:color w:val="1C242C"/>
                <w:spacing w:val="-5"/>
                <w:sz w:val="20"/>
              </w:rPr>
              <w:t xml:space="preserve"> </w:t>
            </w:r>
            <w:r>
              <w:rPr>
                <w:rFonts w:ascii="Calibri"/>
                <w:color w:val="1C242C"/>
                <w:sz w:val="20"/>
              </w:rPr>
              <w:t>(IL,</w:t>
            </w:r>
            <w:r>
              <w:rPr>
                <w:rFonts w:ascii="Calibri"/>
                <w:color w:val="1C242C"/>
                <w:spacing w:val="-4"/>
                <w:sz w:val="20"/>
              </w:rPr>
              <w:t xml:space="preserve"> </w:t>
            </w:r>
            <w:r>
              <w:rPr>
                <w:rFonts w:ascii="Calibri"/>
                <w:color w:val="1C242C"/>
                <w:sz w:val="20"/>
              </w:rPr>
              <w:t>IN,</w:t>
            </w:r>
            <w:r>
              <w:rPr>
                <w:rFonts w:ascii="Calibri"/>
                <w:color w:val="1C242C"/>
                <w:spacing w:val="-4"/>
                <w:sz w:val="20"/>
              </w:rPr>
              <w:t xml:space="preserve"> </w:t>
            </w:r>
            <w:r>
              <w:rPr>
                <w:rFonts w:ascii="Calibri"/>
                <w:color w:val="1C242C"/>
                <w:sz w:val="20"/>
              </w:rPr>
              <w:t>MI,</w:t>
            </w:r>
            <w:r>
              <w:rPr>
                <w:rFonts w:ascii="Calibri"/>
                <w:color w:val="1C242C"/>
                <w:spacing w:val="-5"/>
                <w:sz w:val="20"/>
              </w:rPr>
              <w:t xml:space="preserve"> </w:t>
            </w:r>
            <w:r>
              <w:rPr>
                <w:rFonts w:ascii="Calibri"/>
                <w:color w:val="1C242C"/>
                <w:sz w:val="20"/>
              </w:rPr>
              <w:t>OH,</w:t>
            </w:r>
            <w:r>
              <w:rPr>
                <w:rFonts w:ascii="Calibri"/>
                <w:color w:val="1C242C"/>
                <w:spacing w:val="-4"/>
                <w:sz w:val="20"/>
              </w:rPr>
              <w:t xml:space="preserve"> </w:t>
            </w:r>
            <w:r>
              <w:rPr>
                <w:rFonts w:ascii="Calibri"/>
                <w:color w:val="1C242C"/>
                <w:spacing w:val="-5"/>
                <w:sz w:val="20"/>
              </w:rPr>
              <w:t>WI)</w:t>
            </w:r>
          </w:p>
        </w:tc>
        <w:tc>
          <w:tcPr>
            <w:tcW w:w="1042" w:type="dxa"/>
            <w:tcBorders>
              <w:top w:val="single" w:sz="8" w:space="0" w:color="D9D9D9"/>
              <w:left w:val="single" w:sz="8" w:space="0" w:color="D9D9D9"/>
              <w:bottom w:val="single" w:sz="8" w:space="0" w:color="D9D9D9"/>
              <w:right w:val="single" w:sz="8" w:space="0" w:color="D9D9D9"/>
            </w:tcBorders>
          </w:tcPr>
          <w:p>
            <w:pPr>
              <w:pStyle w:val="TableParagraph"/>
              <w:spacing w:before="28"/>
              <w:ind w:left="2" w:right="5"/>
              <w:jc w:val="center"/>
              <w:rPr>
                <w:rFonts w:ascii="Calibri"/>
                <w:sz w:val="20"/>
              </w:rPr>
            </w:pPr>
            <w:r>
              <w:rPr>
                <w:rFonts w:ascii="Calibri"/>
                <w:spacing w:val="-2"/>
                <w:sz w:val="20"/>
              </w:rPr>
              <w:t>89,353</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spacing w:before="28"/>
              <w:ind w:left="2" w:right="2"/>
              <w:jc w:val="center"/>
              <w:rPr>
                <w:rFonts w:ascii="Calibri"/>
                <w:sz w:val="20"/>
              </w:rPr>
            </w:pPr>
            <w:r>
              <w:rPr>
                <w:rFonts w:ascii="Calibri"/>
                <w:color w:val="1C242C"/>
                <w:spacing w:val="-2"/>
                <w:sz w:val="20"/>
              </w:rPr>
              <w:t>1.44*</w:t>
            </w:r>
          </w:p>
        </w:tc>
        <w:tc>
          <w:tcPr>
            <w:tcW w:w="1232" w:type="dxa"/>
            <w:tcBorders>
              <w:top w:val="single" w:sz="8" w:space="0" w:color="D9D9D9"/>
              <w:left w:val="single" w:sz="8" w:space="0" w:color="D9D9D9"/>
              <w:bottom w:val="single" w:sz="8" w:space="0" w:color="D9D9D9"/>
              <w:right w:val="single" w:sz="8" w:space="0" w:color="D9D9D9"/>
            </w:tcBorders>
          </w:tcPr>
          <w:p>
            <w:pPr>
              <w:pStyle w:val="TableParagraph"/>
              <w:spacing w:before="28"/>
              <w:ind w:left="2" w:right="3"/>
              <w:jc w:val="center"/>
              <w:rPr>
                <w:rFonts w:ascii="Calibri"/>
                <w:sz w:val="20"/>
              </w:rPr>
            </w:pPr>
            <w:r>
              <w:rPr>
                <w:rFonts w:ascii="Calibri"/>
                <w:color w:val="1C242C"/>
                <w:spacing w:val="-4"/>
                <w:sz w:val="20"/>
              </w:rPr>
              <w:t>1.39</w:t>
            </w:r>
          </w:p>
        </w:tc>
        <w:tc>
          <w:tcPr>
            <w:tcW w:w="1271" w:type="dxa"/>
            <w:tcBorders>
              <w:top w:val="single" w:sz="8" w:space="0" w:color="D9D9D9"/>
              <w:left w:val="single" w:sz="8" w:space="0" w:color="D9D9D9"/>
              <w:bottom w:val="single" w:sz="8" w:space="0" w:color="D9D9D9"/>
              <w:right w:val="nil"/>
            </w:tcBorders>
          </w:tcPr>
          <w:p>
            <w:pPr>
              <w:pStyle w:val="TableParagraph"/>
              <w:spacing w:before="28"/>
              <w:ind w:right="51"/>
              <w:jc w:val="center"/>
              <w:rPr>
                <w:rFonts w:ascii="Calibri"/>
                <w:sz w:val="20"/>
              </w:rPr>
            </w:pPr>
            <w:r>
              <w:rPr>
                <w:rFonts w:ascii="Calibri"/>
                <w:color w:val="1C242C"/>
                <w:spacing w:val="-4"/>
                <w:sz w:val="20"/>
              </w:rPr>
              <w:t>1.48</w:t>
            </w:r>
          </w:p>
        </w:tc>
      </w:tr>
      <w:tr>
        <w:tblPrEx>
          <w:tblW w:w="0" w:type="auto"/>
          <w:jc w:val="left"/>
          <w:tblInd w:w="339" w:type="dxa"/>
          <w:tblLayout w:type="fixed"/>
          <w:tblCellMar>
            <w:top w:w="0" w:type="dxa"/>
            <w:left w:w="0" w:type="dxa"/>
            <w:bottom w:w="0" w:type="dxa"/>
            <w:right w:w="0" w:type="dxa"/>
          </w:tblCellMar>
          <w:tblLook w:val="01E0"/>
        </w:tblPrEx>
        <w:trPr>
          <w:trHeight w:val="299"/>
          <w:jc w:val="left"/>
        </w:trPr>
        <w:tc>
          <w:tcPr>
            <w:tcW w:w="4848" w:type="dxa"/>
            <w:tcBorders>
              <w:top w:val="single" w:sz="8" w:space="0" w:color="D9D9D9"/>
              <w:left w:val="nil"/>
              <w:bottom w:val="single" w:sz="8" w:space="0" w:color="D9D9D9"/>
              <w:right w:val="single" w:sz="8" w:space="0" w:color="D9D9D9"/>
            </w:tcBorders>
          </w:tcPr>
          <w:p>
            <w:pPr>
              <w:pStyle w:val="TableParagraph"/>
              <w:ind w:left="136"/>
              <w:rPr>
                <w:rFonts w:ascii="Calibri"/>
                <w:sz w:val="20"/>
              </w:rPr>
            </w:pPr>
            <w:r>
              <w:rPr>
                <w:rFonts w:ascii="Calibri"/>
                <w:color w:val="1C242C"/>
                <w:sz w:val="20"/>
              </w:rPr>
              <w:t>East</w:t>
            </w:r>
            <w:r>
              <w:rPr>
                <w:rFonts w:ascii="Calibri"/>
                <w:color w:val="1C242C"/>
                <w:spacing w:val="-5"/>
                <w:sz w:val="20"/>
              </w:rPr>
              <w:t xml:space="preserve"> </w:t>
            </w:r>
            <w:r>
              <w:rPr>
                <w:rFonts w:ascii="Calibri"/>
                <w:color w:val="1C242C"/>
                <w:sz w:val="20"/>
              </w:rPr>
              <w:t>South</w:t>
            </w:r>
            <w:r>
              <w:rPr>
                <w:rFonts w:ascii="Calibri"/>
                <w:color w:val="1C242C"/>
                <w:spacing w:val="-4"/>
                <w:sz w:val="20"/>
              </w:rPr>
              <w:t xml:space="preserve"> </w:t>
            </w:r>
            <w:r>
              <w:rPr>
                <w:rFonts w:ascii="Calibri"/>
                <w:color w:val="1C242C"/>
                <w:sz w:val="20"/>
              </w:rPr>
              <w:t>Central</w:t>
            </w:r>
            <w:r>
              <w:rPr>
                <w:rFonts w:ascii="Calibri"/>
                <w:color w:val="1C242C"/>
                <w:spacing w:val="-6"/>
                <w:sz w:val="20"/>
              </w:rPr>
              <w:t xml:space="preserve"> </w:t>
            </w:r>
            <w:r>
              <w:rPr>
                <w:rFonts w:ascii="Calibri"/>
                <w:color w:val="1C242C"/>
                <w:sz w:val="20"/>
              </w:rPr>
              <w:t>(AL,</w:t>
            </w:r>
            <w:r>
              <w:rPr>
                <w:rFonts w:ascii="Calibri"/>
                <w:color w:val="1C242C"/>
                <w:spacing w:val="-4"/>
                <w:sz w:val="20"/>
              </w:rPr>
              <w:t xml:space="preserve"> </w:t>
            </w:r>
            <w:r>
              <w:rPr>
                <w:rFonts w:ascii="Calibri"/>
                <w:color w:val="1C242C"/>
                <w:sz w:val="20"/>
              </w:rPr>
              <w:t>KY,</w:t>
            </w:r>
            <w:r>
              <w:rPr>
                <w:rFonts w:ascii="Calibri"/>
                <w:color w:val="1C242C"/>
                <w:spacing w:val="-5"/>
                <w:sz w:val="20"/>
              </w:rPr>
              <w:t xml:space="preserve"> </w:t>
            </w:r>
            <w:r>
              <w:rPr>
                <w:rFonts w:ascii="Calibri"/>
                <w:color w:val="1C242C"/>
                <w:sz w:val="20"/>
              </w:rPr>
              <w:t>MS,</w:t>
            </w:r>
            <w:r>
              <w:rPr>
                <w:rFonts w:ascii="Calibri"/>
                <w:color w:val="1C242C"/>
                <w:spacing w:val="-1"/>
                <w:sz w:val="20"/>
              </w:rPr>
              <w:t xml:space="preserve"> </w:t>
            </w:r>
            <w:r>
              <w:rPr>
                <w:rFonts w:ascii="Calibri"/>
                <w:color w:val="1C242C"/>
                <w:spacing w:val="-5"/>
                <w:sz w:val="20"/>
              </w:rPr>
              <w:t>TN)</w:t>
            </w:r>
          </w:p>
        </w:tc>
        <w:tc>
          <w:tcPr>
            <w:tcW w:w="1042" w:type="dxa"/>
            <w:tcBorders>
              <w:top w:val="single" w:sz="8" w:space="0" w:color="D9D9D9"/>
              <w:left w:val="single" w:sz="8" w:space="0" w:color="D9D9D9"/>
              <w:bottom w:val="single" w:sz="8" w:space="0" w:color="D9D9D9"/>
              <w:right w:val="single" w:sz="8" w:space="0" w:color="D9D9D9"/>
            </w:tcBorders>
          </w:tcPr>
          <w:p>
            <w:pPr>
              <w:pStyle w:val="TableParagraph"/>
              <w:ind w:left="2" w:right="5"/>
              <w:jc w:val="center"/>
              <w:rPr>
                <w:rFonts w:ascii="Calibri"/>
                <w:sz w:val="20"/>
              </w:rPr>
            </w:pPr>
            <w:r>
              <w:rPr>
                <w:rFonts w:ascii="Calibri"/>
                <w:spacing w:val="-2"/>
                <w:sz w:val="20"/>
              </w:rPr>
              <w:t>35,456</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ind w:left="2" w:right="2"/>
              <w:jc w:val="center"/>
              <w:rPr>
                <w:rFonts w:ascii="Calibri"/>
                <w:sz w:val="20"/>
              </w:rPr>
            </w:pPr>
            <w:r>
              <w:rPr>
                <w:rFonts w:ascii="Calibri"/>
                <w:color w:val="1C242C"/>
                <w:spacing w:val="-2"/>
                <w:sz w:val="20"/>
              </w:rPr>
              <w:t>1.21*</w:t>
            </w:r>
          </w:p>
        </w:tc>
        <w:tc>
          <w:tcPr>
            <w:tcW w:w="1232" w:type="dxa"/>
            <w:tcBorders>
              <w:top w:val="single" w:sz="8" w:space="0" w:color="D9D9D9"/>
              <w:left w:val="single" w:sz="8" w:space="0" w:color="D9D9D9"/>
              <w:bottom w:val="single" w:sz="8" w:space="0" w:color="D9D9D9"/>
              <w:right w:val="single" w:sz="8" w:space="0" w:color="D9D9D9"/>
            </w:tcBorders>
          </w:tcPr>
          <w:p>
            <w:pPr>
              <w:pStyle w:val="TableParagraph"/>
              <w:ind w:left="2" w:right="3"/>
              <w:jc w:val="center"/>
              <w:rPr>
                <w:rFonts w:ascii="Calibri"/>
                <w:sz w:val="20"/>
              </w:rPr>
            </w:pPr>
            <w:r>
              <w:rPr>
                <w:rFonts w:ascii="Calibri"/>
                <w:color w:val="1C242C"/>
                <w:spacing w:val="-4"/>
                <w:sz w:val="20"/>
              </w:rPr>
              <w:t>1.15</w:t>
            </w:r>
          </w:p>
        </w:tc>
        <w:tc>
          <w:tcPr>
            <w:tcW w:w="1271" w:type="dxa"/>
            <w:tcBorders>
              <w:top w:val="single" w:sz="8" w:space="0" w:color="D9D9D9"/>
              <w:left w:val="single" w:sz="8" w:space="0" w:color="D9D9D9"/>
              <w:bottom w:val="single" w:sz="8" w:space="0" w:color="D9D9D9"/>
              <w:right w:val="nil"/>
            </w:tcBorders>
          </w:tcPr>
          <w:p>
            <w:pPr>
              <w:pStyle w:val="TableParagraph"/>
              <w:ind w:right="51"/>
              <w:jc w:val="center"/>
              <w:rPr>
                <w:rFonts w:ascii="Calibri"/>
                <w:sz w:val="20"/>
              </w:rPr>
            </w:pPr>
            <w:r>
              <w:rPr>
                <w:rFonts w:ascii="Calibri"/>
                <w:color w:val="1C242C"/>
                <w:spacing w:val="-4"/>
                <w:sz w:val="20"/>
              </w:rPr>
              <w:t>1.26</w:t>
            </w:r>
          </w:p>
        </w:tc>
      </w:tr>
      <w:tr>
        <w:tblPrEx>
          <w:tblW w:w="0" w:type="auto"/>
          <w:jc w:val="left"/>
          <w:tblInd w:w="339" w:type="dxa"/>
          <w:tblLayout w:type="fixed"/>
          <w:tblCellMar>
            <w:top w:w="0" w:type="dxa"/>
            <w:left w:w="0" w:type="dxa"/>
            <w:bottom w:w="0" w:type="dxa"/>
            <w:right w:w="0" w:type="dxa"/>
          </w:tblCellMar>
          <w:tblLook w:val="01E0"/>
        </w:tblPrEx>
        <w:trPr>
          <w:trHeight w:val="366"/>
          <w:jc w:val="left"/>
        </w:trPr>
        <w:tc>
          <w:tcPr>
            <w:tcW w:w="4848" w:type="dxa"/>
            <w:tcBorders>
              <w:top w:val="single" w:sz="8" w:space="0" w:color="D9D9D9"/>
              <w:left w:val="nil"/>
              <w:bottom w:val="single" w:sz="8" w:space="0" w:color="D9D9D9"/>
              <w:right w:val="single" w:sz="8" w:space="0" w:color="D9D9D9"/>
            </w:tcBorders>
          </w:tcPr>
          <w:p>
            <w:pPr>
              <w:pStyle w:val="TableParagraph"/>
              <w:spacing w:before="63"/>
              <w:ind w:left="136"/>
              <w:rPr>
                <w:rFonts w:ascii="Calibri"/>
                <w:sz w:val="20"/>
              </w:rPr>
            </w:pPr>
            <w:r>
              <w:rPr>
                <w:rFonts w:ascii="Calibri"/>
                <w:color w:val="1C242C"/>
                <w:sz w:val="20"/>
              </w:rPr>
              <w:t>Mountain</w:t>
            </w:r>
            <w:r>
              <w:rPr>
                <w:rFonts w:ascii="Calibri"/>
                <w:color w:val="1C242C"/>
                <w:spacing w:val="-5"/>
                <w:sz w:val="20"/>
              </w:rPr>
              <w:t xml:space="preserve"> </w:t>
            </w:r>
            <w:r>
              <w:rPr>
                <w:rFonts w:ascii="Calibri"/>
                <w:color w:val="1C242C"/>
                <w:sz w:val="20"/>
              </w:rPr>
              <w:t>(AZ,</w:t>
            </w:r>
            <w:r>
              <w:rPr>
                <w:rFonts w:ascii="Calibri"/>
                <w:color w:val="1C242C"/>
                <w:spacing w:val="-4"/>
                <w:sz w:val="20"/>
              </w:rPr>
              <w:t xml:space="preserve"> </w:t>
            </w:r>
            <w:r>
              <w:rPr>
                <w:rFonts w:ascii="Calibri"/>
                <w:color w:val="1C242C"/>
                <w:sz w:val="20"/>
              </w:rPr>
              <w:t>CO,</w:t>
            </w:r>
            <w:r>
              <w:rPr>
                <w:rFonts w:ascii="Calibri"/>
                <w:color w:val="1C242C"/>
                <w:spacing w:val="-4"/>
                <w:sz w:val="20"/>
              </w:rPr>
              <w:t xml:space="preserve"> </w:t>
            </w:r>
            <w:r>
              <w:rPr>
                <w:rFonts w:ascii="Calibri"/>
                <w:color w:val="1C242C"/>
                <w:sz w:val="20"/>
              </w:rPr>
              <w:t>ID,</w:t>
            </w:r>
            <w:r>
              <w:rPr>
                <w:rFonts w:ascii="Calibri"/>
                <w:color w:val="1C242C"/>
                <w:spacing w:val="-5"/>
                <w:sz w:val="20"/>
              </w:rPr>
              <w:t xml:space="preserve"> </w:t>
            </w:r>
            <w:r>
              <w:rPr>
                <w:rFonts w:ascii="Calibri"/>
                <w:color w:val="1C242C"/>
                <w:sz w:val="20"/>
              </w:rPr>
              <w:t>MT,</w:t>
            </w:r>
            <w:r>
              <w:rPr>
                <w:rFonts w:ascii="Calibri"/>
                <w:color w:val="1C242C"/>
                <w:spacing w:val="-4"/>
                <w:sz w:val="20"/>
              </w:rPr>
              <w:t xml:space="preserve"> </w:t>
            </w:r>
            <w:r>
              <w:rPr>
                <w:rFonts w:ascii="Calibri"/>
                <w:color w:val="1C242C"/>
                <w:sz w:val="20"/>
              </w:rPr>
              <w:t>NM,</w:t>
            </w:r>
            <w:r>
              <w:rPr>
                <w:rFonts w:ascii="Calibri"/>
                <w:color w:val="1C242C"/>
                <w:spacing w:val="-5"/>
                <w:sz w:val="20"/>
              </w:rPr>
              <w:t xml:space="preserve"> </w:t>
            </w:r>
            <w:r>
              <w:rPr>
                <w:rFonts w:ascii="Calibri"/>
                <w:color w:val="1C242C"/>
                <w:sz w:val="20"/>
              </w:rPr>
              <w:t>NV,</w:t>
            </w:r>
            <w:r>
              <w:rPr>
                <w:rFonts w:ascii="Calibri"/>
                <w:color w:val="1C242C"/>
                <w:spacing w:val="-4"/>
                <w:sz w:val="20"/>
              </w:rPr>
              <w:t xml:space="preserve"> </w:t>
            </w:r>
            <w:r>
              <w:rPr>
                <w:rFonts w:ascii="Calibri"/>
                <w:color w:val="1C242C"/>
                <w:sz w:val="20"/>
              </w:rPr>
              <w:t>UT,</w:t>
            </w:r>
            <w:r>
              <w:rPr>
                <w:rFonts w:ascii="Calibri"/>
                <w:color w:val="1C242C"/>
                <w:spacing w:val="-4"/>
                <w:sz w:val="20"/>
              </w:rPr>
              <w:t xml:space="preserve"> </w:t>
            </w:r>
            <w:r>
              <w:rPr>
                <w:rFonts w:ascii="Calibri"/>
                <w:color w:val="1C242C"/>
                <w:spacing w:val="-5"/>
                <w:sz w:val="20"/>
              </w:rPr>
              <w:t>WY)</w:t>
            </w:r>
          </w:p>
        </w:tc>
        <w:tc>
          <w:tcPr>
            <w:tcW w:w="1042" w:type="dxa"/>
            <w:tcBorders>
              <w:top w:val="single" w:sz="8" w:space="0" w:color="D9D9D9"/>
              <w:left w:val="single" w:sz="8" w:space="0" w:color="D9D9D9"/>
              <w:bottom w:val="single" w:sz="8" w:space="0" w:color="D9D9D9"/>
              <w:right w:val="single" w:sz="8" w:space="0" w:color="D9D9D9"/>
            </w:tcBorders>
          </w:tcPr>
          <w:p>
            <w:pPr>
              <w:pStyle w:val="TableParagraph"/>
              <w:spacing w:before="63"/>
              <w:ind w:left="2" w:right="5"/>
              <w:jc w:val="center"/>
              <w:rPr>
                <w:rFonts w:ascii="Calibri"/>
                <w:sz w:val="20"/>
              </w:rPr>
            </w:pPr>
            <w:r>
              <w:rPr>
                <w:rFonts w:ascii="Calibri"/>
                <w:spacing w:val="-2"/>
                <w:sz w:val="20"/>
              </w:rPr>
              <w:t>68,261</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spacing w:before="63"/>
              <w:ind w:left="2" w:right="2"/>
              <w:jc w:val="center"/>
              <w:rPr>
                <w:rFonts w:ascii="Calibri"/>
                <w:sz w:val="20"/>
              </w:rPr>
            </w:pPr>
            <w:r>
              <w:rPr>
                <w:rFonts w:ascii="Calibri"/>
                <w:color w:val="1C242C"/>
                <w:spacing w:val="-2"/>
                <w:sz w:val="20"/>
              </w:rPr>
              <w:t>1.42*</w:t>
            </w:r>
          </w:p>
        </w:tc>
        <w:tc>
          <w:tcPr>
            <w:tcW w:w="1232" w:type="dxa"/>
            <w:tcBorders>
              <w:top w:val="single" w:sz="8" w:space="0" w:color="D9D9D9"/>
              <w:left w:val="single" w:sz="8" w:space="0" w:color="D9D9D9"/>
              <w:bottom w:val="single" w:sz="8" w:space="0" w:color="D9D9D9"/>
              <w:right w:val="single" w:sz="8" w:space="0" w:color="D9D9D9"/>
            </w:tcBorders>
          </w:tcPr>
          <w:p>
            <w:pPr>
              <w:pStyle w:val="TableParagraph"/>
              <w:spacing w:before="63"/>
              <w:ind w:left="2" w:right="3"/>
              <w:jc w:val="center"/>
              <w:rPr>
                <w:rFonts w:ascii="Calibri"/>
                <w:sz w:val="20"/>
              </w:rPr>
            </w:pPr>
            <w:r>
              <w:rPr>
                <w:rFonts w:ascii="Calibri"/>
                <w:color w:val="1C242C"/>
                <w:spacing w:val="-4"/>
                <w:sz w:val="20"/>
              </w:rPr>
              <w:t>1.37</w:t>
            </w:r>
          </w:p>
        </w:tc>
        <w:tc>
          <w:tcPr>
            <w:tcW w:w="1271" w:type="dxa"/>
            <w:tcBorders>
              <w:top w:val="single" w:sz="8" w:space="0" w:color="D9D9D9"/>
              <w:left w:val="single" w:sz="8" w:space="0" w:color="D9D9D9"/>
              <w:bottom w:val="single" w:sz="8" w:space="0" w:color="D9D9D9"/>
              <w:right w:val="nil"/>
            </w:tcBorders>
          </w:tcPr>
          <w:p>
            <w:pPr>
              <w:pStyle w:val="TableParagraph"/>
              <w:spacing w:before="63"/>
              <w:ind w:right="51"/>
              <w:jc w:val="center"/>
              <w:rPr>
                <w:rFonts w:ascii="Calibri"/>
                <w:sz w:val="20"/>
              </w:rPr>
            </w:pPr>
            <w:r>
              <w:rPr>
                <w:rFonts w:ascii="Calibri"/>
                <w:color w:val="1C242C"/>
                <w:spacing w:val="-4"/>
                <w:sz w:val="20"/>
              </w:rPr>
              <w:t>1.47</w:t>
            </w:r>
          </w:p>
        </w:tc>
      </w:tr>
      <w:tr>
        <w:tblPrEx>
          <w:tblW w:w="0" w:type="auto"/>
          <w:jc w:val="left"/>
          <w:tblInd w:w="339" w:type="dxa"/>
          <w:tblLayout w:type="fixed"/>
          <w:tblCellMar>
            <w:top w:w="0" w:type="dxa"/>
            <w:left w:w="0" w:type="dxa"/>
            <w:bottom w:w="0" w:type="dxa"/>
            <w:right w:w="0" w:type="dxa"/>
          </w:tblCellMar>
          <w:tblLook w:val="01E0"/>
        </w:tblPrEx>
        <w:trPr>
          <w:trHeight w:val="301"/>
          <w:jc w:val="left"/>
        </w:trPr>
        <w:tc>
          <w:tcPr>
            <w:tcW w:w="4848" w:type="dxa"/>
            <w:tcBorders>
              <w:top w:val="single" w:sz="8" w:space="0" w:color="D9D9D9"/>
              <w:left w:val="nil"/>
              <w:bottom w:val="single" w:sz="8" w:space="0" w:color="D9D9D9"/>
              <w:right w:val="single" w:sz="8" w:space="0" w:color="D9D9D9"/>
            </w:tcBorders>
          </w:tcPr>
          <w:p>
            <w:pPr>
              <w:pStyle w:val="TableParagraph"/>
              <w:ind w:left="136"/>
              <w:rPr>
                <w:rFonts w:ascii="Calibri"/>
                <w:sz w:val="20"/>
              </w:rPr>
            </w:pPr>
            <w:r>
              <w:rPr>
                <w:rFonts w:ascii="Calibri"/>
                <w:color w:val="1C242C"/>
                <w:sz w:val="20"/>
              </w:rPr>
              <w:t>New</w:t>
            </w:r>
            <w:r>
              <w:rPr>
                <w:rFonts w:ascii="Calibri"/>
                <w:color w:val="1C242C"/>
                <w:spacing w:val="-6"/>
                <w:sz w:val="20"/>
              </w:rPr>
              <w:t xml:space="preserve"> </w:t>
            </w:r>
            <w:r>
              <w:rPr>
                <w:rFonts w:ascii="Calibri"/>
                <w:color w:val="1C242C"/>
                <w:sz w:val="20"/>
              </w:rPr>
              <w:t>England</w:t>
            </w:r>
            <w:r>
              <w:rPr>
                <w:rFonts w:ascii="Calibri"/>
                <w:color w:val="1C242C"/>
                <w:spacing w:val="-5"/>
                <w:sz w:val="20"/>
              </w:rPr>
              <w:t xml:space="preserve"> </w:t>
            </w:r>
            <w:r>
              <w:rPr>
                <w:rFonts w:ascii="Calibri"/>
                <w:color w:val="1C242C"/>
                <w:sz w:val="20"/>
              </w:rPr>
              <w:t>(CT,</w:t>
            </w:r>
            <w:r>
              <w:rPr>
                <w:rFonts w:ascii="Calibri"/>
                <w:color w:val="1C242C"/>
                <w:spacing w:val="-4"/>
                <w:sz w:val="20"/>
              </w:rPr>
              <w:t xml:space="preserve"> </w:t>
            </w:r>
            <w:r>
              <w:rPr>
                <w:rFonts w:ascii="Calibri"/>
                <w:color w:val="1C242C"/>
                <w:sz w:val="20"/>
              </w:rPr>
              <w:t>MA,</w:t>
            </w:r>
            <w:r>
              <w:rPr>
                <w:rFonts w:ascii="Calibri"/>
                <w:color w:val="1C242C"/>
                <w:spacing w:val="-5"/>
                <w:sz w:val="20"/>
              </w:rPr>
              <w:t xml:space="preserve"> </w:t>
            </w:r>
            <w:r>
              <w:rPr>
                <w:rFonts w:ascii="Calibri"/>
                <w:color w:val="1C242C"/>
                <w:sz w:val="20"/>
              </w:rPr>
              <w:t>ME,</w:t>
            </w:r>
            <w:r>
              <w:rPr>
                <w:rFonts w:ascii="Calibri"/>
                <w:color w:val="1C242C"/>
                <w:spacing w:val="-4"/>
                <w:sz w:val="20"/>
              </w:rPr>
              <w:t xml:space="preserve"> </w:t>
            </w:r>
            <w:r>
              <w:rPr>
                <w:rFonts w:ascii="Calibri"/>
                <w:color w:val="1C242C"/>
                <w:sz w:val="20"/>
              </w:rPr>
              <w:t>NH,</w:t>
            </w:r>
            <w:r>
              <w:rPr>
                <w:rFonts w:ascii="Calibri"/>
                <w:color w:val="1C242C"/>
                <w:spacing w:val="-5"/>
                <w:sz w:val="20"/>
              </w:rPr>
              <w:t xml:space="preserve"> </w:t>
            </w:r>
            <w:r>
              <w:rPr>
                <w:rFonts w:ascii="Calibri"/>
                <w:color w:val="1C242C"/>
                <w:sz w:val="20"/>
              </w:rPr>
              <w:t>RI,</w:t>
            </w:r>
            <w:r>
              <w:rPr>
                <w:rFonts w:ascii="Calibri"/>
                <w:color w:val="1C242C"/>
                <w:spacing w:val="-5"/>
                <w:sz w:val="20"/>
              </w:rPr>
              <w:t xml:space="preserve"> VT)</w:t>
            </w:r>
          </w:p>
        </w:tc>
        <w:tc>
          <w:tcPr>
            <w:tcW w:w="1042" w:type="dxa"/>
            <w:tcBorders>
              <w:top w:val="single" w:sz="8" w:space="0" w:color="D9D9D9"/>
              <w:left w:val="single" w:sz="8" w:space="0" w:color="D9D9D9"/>
              <w:bottom w:val="single" w:sz="8" w:space="0" w:color="D9D9D9"/>
              <w:right w:val="single" w:sz="8" w:space="0" w:color="D9D9D9"/>
            </w:tcBorders>
          </w:tcPr>
          <w:p>
            <w:pPr>
              <w:pStyle w:val="TableParagraph"/>
              <w:ind w:left="2" w:right="5"/>
              <w:jc w:val="center"/>
              <w:rPr>
                <w:rFonts w:ascii="Calibri"/>
                <w:sz w:val="20"/>
              </w:rPr>
            </w:pPr>
            <w:r>
              <w:rPr>
                <w:rFonts w:ascii="Calibri"/>
                <w:spacing w:val="-2"/>
                <w:sz w:val="20"/>
              </w:rPr>
              <w:t>38,818</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ind w:left="2" w:right="2"/>
              <w:jc w:val="center"/>
              <w:rPr>
                <w:rFonts w:ascii="Calibri"/>
                <w:sz w:val="20"/>
              </w:rPr>
            </w:pPr>
            <w:r>
              <w:rPr>
                <w:rFonts w:ascii="Calibri"/>
                <w:color w:val="1C242C"/>
                <w:spacing w:val="-2"/>
                <w:sz w:val="20"/>
              </w:rPr>
              <w:t>1.33*</w:t>
            </w:r>
          </w:p>
        </w:tc>
        <w:tc>
          <w:tcPr>
            <w:tcW w:w="1232" w:type="dxa"/>
            <w:tcBorders>
              <w:top w:val="single" w:sz="8" w:space="0" w:color="D9D9D9"/>
              <w:left w:val="single" w:sz="8" w:space="0" w:color="D9D9D9"/>
              <w:bottom w:val="single" w:sz="8" w:space="0" w:color="D9D9D9"/>
              <w:right w:val="single" w:sz="8" w:space="0" w:color="D9D9D9"/>
            </w:tcBorders>
          </w:tcPr>
          <w:p>
            <w:pPr>
              <w:pStyle w:val="TableParagraph"/>
              <w:ind w:left="2" w:right="3"/>
              <w:jc w:val="center"/>
              <w:rPr>
                <w:rFonts w:ascii="Calibri"/>
                <w:sz w:val="20"/>
              </w:rPr>
            </w:pPr>
            <w:r>
              <w:rPr>
                <w:rFonts w:ascii="Calibri"/>
                <w:color w:val="1C242C"/>
                <w:spacing w:val="-4"/>
                <w:sz w:val="20"/>
              </w:rPr>
              <w:t>1.28</w:t>
            </w:r>
          </w:p>
        </w:tc>
        <w:tc>
          <w:tcPr>
            <w:tcW w:w="1271" w:type="dxa"/>
            <w:tcBorders>
              <w:top w:val="single" w:sz="8" w:space="0" w:color="D9D9D9"/>
              <w:left w:val="single" w:sz="8" w:space="0" w:color="D9D9D9"/>
              <w:bottom w:val="single" w:sz="8" w:space="0" w:color="D9D9D9"/>
              <w:right w:val="nil"/>
            </w:tcBorders>
          </w:tcPr>
          <w:p>
            <w:pPr>
              <w:pStyle w:val="TableParagraph"/>
              <w:ind w:right="51"/>
              <w:jc w:val="center"/>
              <w:rPr>
                <w:rFonts w:ascii="Calibri"/>
                <w:sz w:val="20"/>
              </w:rPr>
            </w:pPr>
            <w:r>
              <w:rPr>
                <w:rFonts w:ascii="Calibri"/>
                <w:color w:val="1C242C"/>
                <w:spacing w:val="-4"/>
                <w:sz w:val="20"/>
              </w:rPr>
              <w:t>1.39</w:t>
            </w:r>
          </w:p>
        </w:tc>
      </w:tr>
      <w:tr>
        <w:tblPrEx>
          <w:tblW w:w="0" w:type="auto"/>
          <w:jc w:val="left"/>
          <w:tblInd w:w="339" w:type="dxa"/>
          <w:tblLayout w:type="fixed"/>
          <w:tblCellMar>
            <w:top w:w="0" w:type="dxa"/>
            <w:left w:w="0" w:type="dxa"/>
            <w:bottom w:w="0" w:type="dxa"/>
            <w:right w:w="0" w:type="dxa"/>
          </w:tblCellMar>
          <w:tblLook w:val="01E0"/>
        </w:tblPrEx>
        <w:trPr>
          <w:trHeight w:val="299"/>
          <w:jc w:val="left"/>
        </w:trPr>
        <w:tc>
          <w:tcPr>
            <w:tcW w:w="4848" w:type="dxa"/>
            <w:tcBorders>
              <w:top w:val="single" w:sz="8" w:space="0" w:color="D9D9D9"/>
              <w:left w:val="nil"/>
              <w:bottom w:val="single" w:sz="8" w:space="0" w:color="D9D9D9"/>
              <w:right w:val="single" w:sz="8" w:space="0" w:color="D9D9D9"/>
            </w:tcBorders>
          </w:tcPr>
          <w:p>
            <w:pPr>
              <w:pStyle w:val="TableParagraph"/>
              <w:spacing w:before="27"/>
              <w:ind w:left="136"/>
              <w:rPr>
                <w:rFonts w:ascii="Calibri"/>
                <w:sz w:val="20"/>
              </w:rPr>
            </w:pPr>
            <w:r>
              <w:rPr>
                <w:rFonts w:ascii="Calibri"/>
                <w:color w:val="1C242C"/>
                <w:sz w:val="20"/>
              </w:rPr>
              <w:t>Pacific</w:t>
            </w:r>
            <w:r>
              <w:rPr>
                <w:rFonts w:ascii="Calibri"/>
                <w:color w:val="1C242C"/>
                <w:spacing w:val="-5"/>
                <w:sz w:val="20"/>
              </w:rPr>
              <w:t xml:space="preserve"> </w:t>
            </w:r>
            <w:r>
              <w:rPr>
                <w:rFonts w:ascii="Calibri"/>
                <w:color w:val="1C242C"/>
                <w:sz w:val="20"/>
              </w:rPr>
              <w:t>(AK,</w:t>
            </w:r>
            <w:r>
              <w:rPr>
                <w:rFonts w:ascii="Calibri"/>
                <w:color w:val="1C242C"/>
                <w:spacing w:val="-5"/>
                <w:sz w:val="20"/>
              </w:rPr>
              <w:t xml:space="preserve"> </w:t>
            </w:r>
            <w:r>
              <w:rPr>
                <w:rFonts w:ascii="Calibri"/>
                <w:color w:val="1C242C"/>
                <w:sz w:val="20"/>
              </w:rPr>
              <w:t>CA,</w:t>
            </w:r>
            <w:r>
              <w:rPr>
                <w:rFonts w:ascii="Calibri"/>
                <w:color w:val="1C242C"/>
                <w:spacing w:val="-4"/>
                <w:sz w:val="20"/>
              </w:rPr>
              <w:t xml:space="preserve"> </w:t>
            </w:r>
            <w:r>
              <w:rPr>
                <w:rFonts w:ascii="Calibri"/>
                <w:color w:val="1C242C"/>
                <w:sz w:val="20"/>
              </w:rPr>
              <w:t>HI,</w:t>
            </w:r>
            <w:r>
              <w:rPr>
                <w:rFonts w:ascii="Calibri"/>
                <w:color w:val="1C242C"/>
                <w:spacing w:val="-4"/>
                <w:sz w:val="20"/>
              </w:rPr>
              <w:t xml:space="preserve"> </w:t>
            </w:r>
            <w:r>
              <w:rPr>
                <w:rFonts w:ascii="Calibri"/>
                <w:color w:val="1C242C"/>
                <w:sz w:val="20"/>
              </w:rPr>
              <w:t>OR,</w:t>
            </w:r>
            <w:r>
              <w:rPr>
                <w:rFonts w:ascii="Calibri"/>
                <w:color w:val="1C242C"/>
                <w:spacing w:val="-4"/>
                <w:sz w:val="20"/>
              </w:rPr>
              <w:t xml:space="preserve"> </w:t>
            </w:r>
            <w:r>
              <w:rPr>
                <w:rFonts w:ascii="Calibri"/>
                <w:color w:val="1C242C"/>
                <w:spacing w:val="-5"/>
                <w:sz w:val="20"/>
              </w:rPr>
              <w:t>WA)</w:t>
            </w:r>
          </w:p>
        </w:tc>
        <w:tc>
          <w:tcPr>
            <w:tcW w:w="1042" w:type="dxa"/>
            <w:tcBorders>
              <w:top w:val="single" w:sz="8" w:space="0" w:color="D9D9D9"/>
              <w:left w:val="single" w:sz="8" w:space="0" w:color="D9D9D9"/>
              <w:bottom w:val="single" w:sz="8" w:space="0" w:color="D9D9D9"/>
              <w:right w:val="single" w:sz="8" w:space="0" w:color="D9D9D9"/>
            </w:tcBorders>
          </w:tcPr>
          <w:p>
            <w:pPr>
              <w:pStyle w:val="TableParagraph"/>
              <w:spacing w:before="27"/>
              <w:ind w:left="2" w:right="5"/>
              <w:jc w:val="center"/>
              <w:rPr>
                <w:rFonts w:ascii="Calibri"/>
                <w:sz w:val="20"/>
              </w:rPr>
            </w:pPr>
            <w:r>
              <w:rPr>
                <w:rFonts w:ascii="Calibri"/>
                <w:spacing w:val="-2"/>
                <w:sz w:val="20"/>
              </w:rPr>
              <w:t>59,549</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spacing w:before="27"/>
              <w:ind w:left="2" w:right="2"/>
              <w:jc w:val="center"/>
              <w:rPr>
                <w:rFonts w:ascii="Calibri"/>
                <w:sz w:val="20"/>
              </w:rPr>
            </w:pPr>
            <w:r>
              <w:rPr>
                <w:rFonts w:ascii="Calibri"/>
                <w:color w:val="1C242C"/>
                <w:spacing w:val="-2"/>
                <w:sz w:val="20"/>
              </w:rPr>
              <w:t>1.31*</w:t>
            </w:r>
          </w:p>
        </w:tc>
        <w:tc>
          <w:tcPr>
            <w:tcW w:w="1232" w:type="dxa"/>
            <w:tcBorders>
              <w:top w:val="single" w:sz="8" w:space="0" w:color="D9D9D9"/>
              <w:left w:val="single" w:sz="8" w:space="0" w:color="D9D9D9"/>
              <w:bottom w:val="single" w:sz="8" w:space="0" w:color="D9D9D9"/>
              <w:right w:val="single" w:sz="8" w:space="0" w:color="D9D9D9"/>
            </w:tcBorders>
          </w:tcPr>
          <w:p>
            <w:pPr>
              <w:pStyle w:val="TableParagraph"/>
              <w:spacing w:before="27"/>
              <w:ind w:left="2" w:right="3"/>
              <w:jc w:val="center"/>
              <w:rPr>
                <w:rFonts w:ascii="Calibri"/>
                <w:sz w:val="20"/>
              </w:rPr>
            </w:pPr>
            <w:r>
              <w:rPr>
                <w:rFonts w:ascii="Calibri"/>
                <w:color w:val="1C242C"/>
                <w:spacing w:val="-4"/>
                <w:sz w:val="20"/>
              </w:rPr>
              <w:t>1.26</w:t>
            </w:r>
          </w:p>
        </w:tc>
        <w:tc>
          <w:tcPr>
            <w:tcW w:w="1271" w:type="dxa"/>
            <w:tcBorders>
              <w:top w:val="single" w:sz="8" w:space="0" w:color="D9D9D9"/>
              <w:left w:val="single" w:sz="8" w:space="0" w:color="D9D9D9"/>
              <w:bottom w:val="single" w:sz="8" w:space="0" w:color="D9D9D9"/>
              <w:right w:val="nil"/>
            </w:tcBorders>
          </w:tcPr>
          <w:p>
            <w:pPr>
              <w:pStyle w:val="TableParagraph"/>
              <w:spacing w:before="27"/>
              <w:ind w:right="51"/>
              <w:jc w:val="center"/>
              <w:rPr>
                <w:rFonts w:ascii="Calibri"/>
                <w:sz w:val="20"/>
              </w:rPr>
            </w:pPr>
            <w:r>
              <w:rPr>
                <w:rFonts w:ascii="Calibri"/>
                <w:color w:val="1C242C"/>
                <w:spacing w:val="-4"/>
                <w:sz w:val="20"/>
              </w:rPr>
              <w:t>1.36</w:t>
            </w:r>
          </w:p>
        </w:tc>
      </w:tr>
      <w:tr>
        <w:tblPrEx>
          <w:tblW w:w="0" w:type="auto"/>
          <w:jc w:val="left"/>
          <w:tblInd w:w="339" w:type="dxa"/>
          <w:tblLayout w:type="fixed"/>
          <w:tblCellMar>
            <w:top w:w="0" w:type="dxa"/>
            <w:left w:w="0" w:type="dxa"/>
            <w:bottom w:w="0" w:type="dxa"/>
            <w:right w:w="0" w:type="dxa"/>
          </w:tblCellMar>
          <w:tblLook w:val="01E0"/>
        </w:tblPrEx>
        <w:trPr>
          <w:trHeight w:val="299"/>
          <w:jc w:val="left"/>
        </w:trPr>
        <w:tc>
          <w:tcPr>
            <w:tcW w:w="4848" w:type="dxa"/>
            <w:tcBorders>
              <w:top w:val="single" w:sz="8" w:space="0" w:color="D9D9D9"/>
              <w:left w:val="nil"/>
              <w:bottom w:val="single" w:sz="8" w:space="0" w:color="D9D9D9"/>
              <w:right w:val="single" w:sz="8" w:space="0" w:color="D9D9D9"/>
            </w:tcBorders>
          </w:tcPr>
          <w:p>
            <w:pPr>
              <w:pStyle w:val="TableParagraph"/>
              <w:ind w:left="136"/>
              <w:rPr>
                <w:rFonts w:ascii="Calibri"/>
                <w:sz w:val="20"/>
              </w:rPr>
            </w:pPr>
            <w:r>
              <w:rPr>
                <w:rFonts w:ascii="Calibri"/>
                <w:color w:val="1C242C"/>
                <w:sz w:val="20"/>
              </w:rPr>
              <w:t>Mid-Atlantic</w:t>
            </w:r>
            <w:r>
              <w:rPr>
                <w:rFonts w:ascii="Calibri"/>
                <w:color w:val="1C242C"/>
                <w:spacing w:val="-7"/>
                <w:sz w:val="20"/>
              </w:rPr>
              <w:t xml:space="preserve"> </w:t>
            </w:r>
            <w:r>
              <w:rPr>
                <w:rFonts w:ascii="Calibri"/>
                <w:color w:val="1C242C"/>
                <w:sz w:val="20"/>
              </w:rPr>
              <w:t>(PA,</w:t>
            </w:r>
            <w:r>
              <w:rPr>
                <w:rFonts w:ascii="Calibri"/>
                <w:color w:val="1C242C"/>
                <w:spacing w:val="-5"/>
                <w:sz w:val="20"/>
              </w:rPr>
              <w:t xml:space="preserve"> </w:t>
            </w:r>
            <w:r>
              <w:rPr>
                <w:rFonts w:ascii="Calibri"/>
                <w:color w:val="1C242C"/>
                <w:sz w:val="20"/>
              </w:rPr>
              <w:t>NJ,</w:t>
            </w:r>
            <w:r>
              <w:rPr>
                <w:rFonts w:ascii="Calibri"/>
                <w:color w:val="1C242C"/>
                <w:spacing w:val="-5"/>
                <w:sz w:val="20"/>
              </w:rPr>
              <w:t xml:space="preserve"> NY)</w:t>
            </w:r>
          </w:p>
        </w:tc>
        <w:tc>
          <w:tcPr>
            <w:tcW w:w="1042" w:type="dxa"/>
            <w:tcBorders>
              <w:top w:val="single" w:sz="8" w:space="0" w:color="D9D9D9"/>
              <w:left w:val="single" w:sz="8" w:space="0" w:color="D9D9D9"/>
              <w:bottom w:val="single" w:sz="8" w:space="0" w:color="D9D9D9"/>
              <w:right w:val="single" w:sz="8" w:space="0" w:color="D9D9D9"/>
            </w:tcBorders>
          </w:tcPr>
          <w:p>
            <w:pPr>
              <w:pStyle w:val="TableParagraph"/>
              <w:ind w:left="2" w:right="5"/>
              <w:jc w:val="center"/>
              <w:rPr>
                <w:rFonts w:ascii="Calibri"/>
                <w:sz w:val="20"/>
              </w:rPr>
            </w:pPr>
            <w:r>
              <w:rPr>
                <w:rFonts w:ascii="Calibri"/>
                <w:spacing w:val="-2"/>
                <w:sz w:val="20"/>
              </w:rPr>
              <w:t>51,190</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ind w:left="2" w:right="2"/>
              <w:jc w:val="center"/>
              <w:rPr>
                <w:rFonts w:ascii="Calibri"/>
                <w:sz w:val="20"/>
              </w:rPr>
            </w:pPr>
            <w:r>
              <w:rPr>
                <w:rFonts w:ascii="Calibri"/>
                <w:color w:val="1C242C"/>
                <w:spacing w:val="-2"/>
                <w:sz w:val="20"/>
              </w:rPr>
              <w:t>1.37*</w:t>
            </w:r>
          </w:p>
        </w:tc>
        <w:tc>
          <w:tcPr>
            <w:tcW w:w="1232" w:type="dxa"/>
            <w:tcBorders>
              <w:top w:val="single" w:sz="8" w:space="0" w:color="D9D9D9"/>
              <w:left w:val="single" w:sz="8" w:space="0" w:color="D9D9D9"/>
              <w:bottom w:val="single" w:sz="8" w:space="0" w:color="D9D9D9"/>
              <w:right w:val="single" w:sz="8" w:space="0" w:color="D9D9D9"/>
            </w:tcBorders>
          </w:tcPr>
          <w:p>
            <w:pPr>
              <w:pStyle w:val="TableParagraph"/>
              <w:ind w:left="2" w:right="3"/>
              <w:jc w:val="center"/>
              <w:rPr>
                <w:rFonts w:ascii="Calibri"/>
                <w:sz w:val="20"/>
              </w:rPr>
            </w:pPr>
            <w:r>
              <w:rPr>
                <w:rFonts w:ascii="Calibri"/>
                <w:color w:val="1C242C"/>
                <w:spacing w:val="-4"/>
                <w:sz w:val="20"/>
              </w:rPr>
              <w:t>1.31</w:t>
            </w:r>
          </w:p>
        </w:tc>
        <w:tc>
          <w:tcPr>
            <w:tcW w:w="1271" w:type="dxa"/>
            <w:tcBorders>
              <w:top w:val="single" w:sz="8" w:space="0" w:color="D9D9D9"/>
              <w:left w:val="single" w:sz="8" w:space="0" w:color="D9D9D9"/>
              <w:bottom w:val="single" w:sz="8" w:space="0" w:color="D9D9D9"/>
              <w:right w:val="nil"/>
            </w:tcBorders>
          </w:tcPr>
          <w:p>
            <w:pPr>
              <w:pStyle w:val="TableParagraph"/>
              <w:ind w:right="51"/>
              <w:jc w:val="center"/>
              <w:rPr>
                <w:rFonts w:ascii="Calibri"/>
                <w:sz w:val="20"/>
              </w:rPr>
            </w:pPr>
            <w:r>
              <w:rPr>
                <w:rFonts w:ascii="Calibri"/>
                <w:color w:val="1C242C"/>
                <w:spacing w:val="-4"/>
                <w:sz w:val="20"/>
              </w:rPr>
              <w:t>1.42</w:t>
            </w:r>
          </w:p>
        </w:tc>
      </w:tr>
      <w:tr>
        <w:tblPrEx>
          <w:tblW w:w="0" w:type="auto"/>
          <w:jc w:val="left"/>
          <w:tblInd w:w="339" w:type="dxa"/>
          <w:tblLayout w:type="fixed"/>
          <w:tblCellMar>
            <w:top w:w="0" w:type="dxa"/>
            <w:left w:w="0" w:type="dxa"/>
            <w:bottom w:w="0" w:type="dxa"/>
            <w:right w:w="0" w:type="dxa"/>
          </w:tblCellMar>
          <w:tblLook w:val="01E0"/>
        </w:tblPrEx>
        <w:trPr>
          <w:trHeight w:val="303"/>
          <w:jc w:val="left"/>
        </w:trPr>
        <w:tc>
          <w:tcPr>
            <w:tcW w:w="4848" w:type="dxa"/>
            <w:tcBorders>
              <w:top w:val="single" w:sz="8" w:space="0" w:color="D9D9D9"/>
              <w:left w:val="nil"/>
              <w:bottom w:val="single" w:sz="8" w:space="0" w:color="D9D9D9"/>
              <w:right w:val="single" w:sz="8" w:space="0" w:color="D9D9D9"/>
            </w:tcBorders>
          </w:tcPr>
          <w:p>
            <w:pPr>
              <w:pStyle w:val="TableParagraph"/>
              <w:spacing w:before="32"/>
              <w:ind w:left="136"/>
              <w:rPr>
                <w:rFonts w:ascii="Calibri"/>
                <w:sz w:val="20"/>
              </w:rPr>
            </w:pPr>
            <w:r>
              <w:rPr>
                <w:rFonts w:ascii="Calibri"/>
                <w:color w:val="1C242C"/>
                <w:sz w:val="20"/>
              </w:rPr>
              <w:t>West</w:t>
            </w:r>
            <w:r>
              <w:rPr>
                <w:rFonts w:ascii="Calibri"/>
                <w:color w:val="1C242C"/>
                <w:spacing w:val="-5"/>
                <w:sz w:val="20"/>
              </w:rPr>
              <w:t xml:space="preserve"> </w:t>
            </w:r>
            <w:r>
              <w:rPr>
                <w:rFonts w:ascii="Calibri"/>
                <w:color w:val="1C242C"/>
                <w:sz w:val="20"/>
              </w:rPr>
              <w:t>North</w:t>
            </w:r>
            <w:r>
              <w:rPr>
                <w:rFonts w:ascii="Calibri"/>
                <w:color w:val="1C242C"/>
                <w:spacing w:val="-3"/>
                <w:sz w:val="20"/>
              </w:rPr>
              <w:t xml:space="preserve"> </w:t>
            </w:r>
            <w:r>
              <w:rPr>
                <w:rFonts w:ascii="Calibri"/>
                <w:color w:val="1C242C"/>
                <w:sz w:val="20"/>
              </w:rPr>
              <w:t>Central</w:t>
            </w:r>
            <w:r>
              <w:rPr>
                <w:rFonts w:ascii="Calibri"/>
                <w:color w:val="1C242C"/>
                <w:spacing w:val="-5"/>
                <w:sz w:val="20"/>
              </w:rPr>
              <w:t xml:space="preserve"> </w:t>
            </w:r>
            <w:r>
              <w:rPr>
                <w:rFonts w:ascii="Calibri"/>
                <w:color w:val="1C242C"/>
                <w:sz w:val="20"/>
              </w:rPr>
              <w:t>(IA,</w:t>
            </w:r>
            <w:r>
              <w:rPr>
                <w:rFonts w:ascii="Calibri"/>
                <w:color w:val="1C242C"/>
                <w:spacing w:val="-4"/>
                <w:sz w:val="20"/>
              </w:rPr>
              <w:t xml:space="preserve"> </w:t>
            </w:r>
            <w:r>
              <w:rPr>
                <w:rFonts w:ascii="Calibri"/>
                <w:color w:val="1C242C"/>
                <w:sz w:val="20"/>
              </w:rPr>
              <w:t>KS,</w:t>
            </w:r>
            <w:r>
              <w:rPr>
                <w:rFonts w:ascii="Calibri"/>
                <w:color w:val="1C242C"/>
                <w:spacing w:val="-5"/>
                <w:sz w:val="20"/>
              </w:rPr>
              <w:t xml:space="preserve"> </w:t>
            </w:r>
            <w:r>
              <w:rPr>
                <w:rFonts w:ascii="Calibri"/>
                <w:color w:val="1C242C"/>
                <w:sz w:val="20"/>
              </w:rPr>
              <w:t>MN,</w:t>
            </w:r>
            <w:r>
              <w:rPr>
                <w:rFonts w:ascii="Calibri"/>
                <w:color w:val="1C242C"/>
                <w:spacing w:val="-4"/>
                <w:sz w:val="20"/>
              </w:rPr>
              <w:t xml:space="preserve"> </w:t>
            </w:r>
            <w:r>
              <w:rPr>
                <w:rFonts w:ascii="Calibri"/>
                <w:color w:val="1C242C"/>
                <w:sz w:val="20"/>
              </w:rPr>
              <w:t>MO,</w:t>
            </w:r>
            <w:r>
              <w:rPr>
                <w:rFonts w:ascii="Calibri"/>
                <w:color w:val="1C242C"/>
                <w:spacing w:val="-4"/>
                <w:sz w:val="20"/>
              </w:rPr>
              <w:t xml:space="preserve"> </w:t>
            </w:r>
            <w:r>
              <w:rPr>
                <w:rFonts w:ascii="Calibri"/>
                <w:color w:val="1C242C"/>
                <w:sz w:val="20"/>
              </w:rPr>
              <w:t>ND,</w:t>
            </w:r>
            <w:r>
              <w:rPr>
                <w:rFonts w:ascii="Calibri"/>
                <w:color w:val="1C242C"/>
                <w:spacing w:val="-4"/>
                <w:sz w:val="20"/>
              </w:rPr>
              <w:t xml:space="preserve"> </w:t>
            </w:r>
            <w:r>
              <w:rPr>
                <w:rFonts w:ascii="Calibri"/>
                <w:color w:val="1C242C"/>
                <w:sz w:val="20"/>
              </w:rPr>
              <w:t>NE,</w:t>
            </w:r>
            <w:r>
              <w:rPr>
                <w:rFonts w:ascii="Calibri"/>
                <w:color w:val="1C242C"/>
                <w:spacing w:val="-4"/>
                <w:sz w:val="20"/>
              </w:rPr>
              <w:t xml:space="preserve"> </w:t>
            </w:r>
            <w:r>
              <w:rPr>
                <w:rFonts w:ascii="Calibri"/>
                <w:color w:val="1C242C"/>
                <w:spacing w:val="-5"/>
                <w:sz w:val="20"/>
              </w:rPr>
              <w:t>SD)</w:t>
            </w:r>
          </w:p>
        </w:tc>
        <w:tc>
          <w:tcPr>
            <w:tcW w:w="1042" w:type="dxa"/>
            <w:tcBorders>
              <w:top w:val="single" w:sz="8" w:space="0" w:color="D9D9D9"/>
              <w:left w:val="single" w:sz="8" w:space="0" w:color="D9D9D9"/>
              <w:bottom w:val="single" w:sz="8" w:space="0" w:color="D9D9D9"/>
              <w:right w:val="single" w:sz="8" w:space="0" w:color="D9D9D9"/>
            </w:tcBorders>
          </w:tcPr>
          <w:p>
            <w:pPr>
              <w:pStyle w:val="TableParagraph"/>
              <w:spacing w:before="32"/>
              <w:ind w:left="2" w:right="5"/>
              <w:jc w:val="center"/>
              <w:rPr>
                <w:rFonts w:ascii="Calibri"/>
                <w:sz w:val="20"/>
              </w:rPr>
            </w:pPr>
            <w:r>
              <w:rPr>
                <w:rFonts w:ascii="Calibri"/>
                <w:spacing w:val="-2"/>
                <w:sz w:val="20"/>
              </w:rPr>
              <w:t>51,065</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spacing w:before="32"/>
              <w:ind w:left="2" w:right="2"/>
              <w:jc w:val="center"/>
              <w:rPr>
                <w:rFonts w:ascii="Calibri"/>
                <w:sz w:val="20"/>
              </w:rPr>
            </w:pPr>
            <w:r>
              <w:rPr>
                <w:rFonts w:ascii="Calibri"/>
                <w:color w:val="1C242C"/>
                <w:spacing w:val="-2"/>
                <w:sz w:val="20"/>
              </w:rPr>
              <w:t>1.38*</w:t>
            </w:r>
          </w:p>
        </w:tc>
        <w:tc>
          <w:tcPr>
            <w:tcW w:w="1232" w:type="dxa"/>
            <w:tcBorders>
              <w:top w:val="single" w:sz="8" w:space="0" w:color="D9D9D9"/>
              <w:left w:val="single" w:sz="8" w:space="0" w:color="D9D9D9"/>
              <w:bottom w:val="single" w:sz="8" w:space="0" w:color="D9D9D9"/>
              <w:right w:val="single" w:sz="8" w:space="0" w:color="D9D9D9"/>
            </w:tcBorders>
          </w:tcPr>
          <w:p>
            <w:pPr>
              <w:pStyle w:val="TableParagraph"/>
              <w:spacing w:before="32"/>
              <w:ind w:left="2" w:right="3"/>
              <w:jc w:val="center"/>
              <w:rPr>
                <w:rFonts w:ascii="Calibri"/>
                <w:sz w:val="20"/>
              </w:rPr>
            </w:pPr>
            <w:r>
              <w:rPr>
                <w:rFonts w:ascii="Calibri"/>
                <w:color w:val="1C242C"/>
                <w:spacing w:val="-4"/>
                <w:sz w:val="20"/>
              </w:rPr>
              <w:t>1.33</w:t>
            </w:r>
          </w:p>
        </w:tc>
        <w:tc>
          <w:tcPr>
            <w:tcW w:w="1271" w:type="dxa"/>
            <w:tcBorders>
              <w:top w:val="single" w:sz="8" w:space="0" w:color="D9D9D9"/>
              <w:left w:val="single" w:sz="8" w:space="0" w:color="D9D9D9"/>
              <w:bottom w:val="single" w:sz="8" w:space="0" w:color="D9D9D9"/>
              <w:right w:val="nil"/>
            </w:tcBorders>
          </w:tcPr>
          <w:p>
            <w:pPr>
              <w:pStyle w:val="TableParagraph"/>
              <w:spacing w:before="32"/>
              <w:ind w:right="51"/>
              <w:jc w:val="center"/>
              <w:rPr>
                <w:rFonts w:ascii="Calibri"/>
                <w:sz w:val="20"/>
              </w:rPr>
            </w:pPr>
            <w:r>
              <w:rPr>
                <w:rFonts w:ascii="Calibri"/>
                <w:color w:val="1C242C"/>
                <w:spacing w:val="-4"/>
                <w:sz w:val="20"/>
              </w:rPr>
              <w:t>1.44</w:t>
            </w:r>
          </w:p>
        </w:tc>
      </w:tr>
      <w:tr>
        <w:tblPrEx>
          <w:tblW w:w="0" w:type="auto"/>
          <w:jc w:val="left"/>
          <w:tblInd w:w="339" w:type="dxa"/>
          <w:tblLayout w:type="fixed"/>
          <w:tblCellMar>
            <w:top w:w="0" w:type="dxa"/>
            <w:left w:w="0" w:type="dxa"/>
            <w:bottom w:w="0" w:type="dxa"/>
            <w:right w:w="0" w:type="dxa"/>
          </w:tblCellMar>
          <w:tblLook w:val="01E0"/>
        </w:tblPrEx>
        <w:trPr>
          <w:trHeight w:val="299"/>
          <w:jc w:val="left"/>
        </w:trPr>
        <w:tc>
          <w:tcPr>
            <w:tcW w:w="4848" w:type="dxa"/>
            <w:tcBorders>
              <w:top w:val="single" w:sz="8" w:space="0" w:color="D9D9D9"/>
              <w:left w:val="nil"/>
              <w:bottom w:val="single" w:sz="8" w:space="0" w:color="D9D9D9"/>
              <w:right w:val="single" w:sz="8" w:space="0" w:color="D9D9D9"/>
            </w:tcBorders>
          </w:tcPr>
          <w:p>
            <w:pPr>
              <w:pStyle w:val="TableParagraph"/>
              <w:spacing w:before="27"/>
              <w:ind w:left="136"/>
              <w:rPr>
                <w:rFonts w:ascii="Calibri"/>
                <w:sz w:val="20"/>
              </w:rPr>
            </w:pPr>
            <w:r>
              <w:rPr>
                <w:rFonts w:ascii="Calibri"/>
                <w:color w:val="1C242C"/>
                <w:sz w:val="20"/>
              </w:rPr>
              <w:t>West</w:t>
            </w:r>
            <w:r>
              <w:rPr>
                <w:rFonts w:ascii="Calibri"/>
                <w:color w:val="1C242C"/>
                <w:spacing w:val="-5"/>
                <w:sz w:val="20"/>
              </w:rPr>
              <w:t xml:space="preserve"> </w:t>
            </w:r>
            <w:r>
              <w:rPr>
                <w:rFonts w:ascii="Calibri"/>
                <w:color w:val="1C242C"/>
                <w:sz w:val="20"/>
              </w:rPr>
              <w:t>South</w:t>
            </w:r>
            <w:r>
              <w:rPr>
                <w:rFonts w:ascii="Calibri"/>
                <w:color w:val="1C242C"/>
                <w:spacing w:val="-4"/>
                <w:sz w:val="20"/>
              </w:rPr>
              <w:t xml:space="preserve"> </w:t>
            </w:r>
            <w:r>
              <w:rPr>
                <w:rFonts w:ascii="Calibri"/>
                <w:color w:val="1C242C"/>
                <w:sz w:val="20"/>
              </w:rPr>
              <w:t>Central</w:t>
            </w:r>
            <w:r>
              <w:rPr>
                <w:rFonts w:ascii="Calibri"/>
                <w:color w:val="1C242C"/>
                <w:spacing w:val="-5"/>
                <w:sz w:val="20"/>
              </w:rPr>
              <w:t xml:space="preserve"> </w:t>
            </w:r>
            <w:r>
              <w:rPr>
                <w:rFonts w:ascii="Calibri"/>
                <w:color w:val="1C242C"/>
                <w:sz w:val="20"/>
              </w:rPr>
              <w:t>(AR,</w:t>
            </w:r>
            <w:r>
              <w:rPr>
                <w:rFonts w:ascii="Calibri"/>
                <w:color w:val="1C242C"/>
                <w:spacing w:val="-4"/>
                <w:sz w:val="20"/>
              </w:rPr>
              <w:t xml:space="preserve"> </w:t>
            </w:r>
            <w:r>
              <w:rPr>
                <w:rFonts w:ascii="Calibri"/>
                <w:color w:val="1C242C"/>
                <w:sz w:val="20"/>
              </w:rPr>
              <w:t>LA,</w:t>
            </w:r>
            <w:r>
              <w:rPr>
                <w:rFonts w:ascii="Calibri"/>
                <w:color w:val="1C242C"/>
                <w:spacing w:val="-5"/>
                <w:sz w:val="20"/>
              </w:rPr>
              <w:t xml:space="preserve"> </w:t>
            </w:r>
            <w:r>
              <w:rPr>
                <w:rFonts w:ascii="Calibri"/>
                <w:color w:val="1C242C"/>
                <w:sz w:val="20"/>
              </w:rPr>
              <w:t>OK,</w:t>
            </w:r>
            <w:r>
              <w:rPr>
                <w:rFonts w:ascii="Calibri"/>
                <w:color w:val="1C242C"/>
                <w:spacing w:val="-2"/>
                <w:sz w:val="20"/>
              </w:rPr>
              <w:t xml:space="preserve"> </w:t>
            </w:r>
            <w:r>
              <w:rPr>
                <w:rFonts w:ascii="Calibri"/>
                <w:color w:val="1C242C"/>
                <w:spacing w:val="-5"/>
                <w:sz w:val="20"/>
              </w:rPr>
              <w:t>TX)</w:t>
            </w:r>
          </w:p>
        </w:tc>
        <w:tc>
          <w:tcPr>
            <w:tcW w:w="1042" w:type="dxa"/>
            <w:tcBorders>
              <w:top w:val="single" w:sz="8" w:space="0" w:color="D9D9D9"/>
              <w:left w:val="single" w:sz="8" w:space="0" w:color="D9D9D9"/>
              <w:bottom w:val="single" w:sz="8" w:space="0" w:color="D9D9D9"/>
              <w:right w:val="single" w:sz="8" w:space="0" w:color="D9D9D9"/>
            </w:tcBorders>
          </w:tcPr>
          <w:p>
            <w:pPr>
              <w:pStyle w:val="TableParagraph"/>
              <w:spacing w:before="27"/>
              <w:ind w:left="2" w:right="5"/>
              <w:jc w:val="center"/>
              <w:rPr>
                <w:rFonts w:ascii="Calibri"/>
                <w:sz w:val="20"/>
              </w:rPr>
            </w:pPr>
            <w:r>
              <w:rPr>
                <w:rFonts w:ascii="Calibri"/>
                <w:spacing w:val="-2"/>
                <w:sz w:val="20"/>
              </w:rPr>
              <w:t>75,133</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spacing w:before="27"/>
              <w:ind w:left="2" w:right="2"/>
              <w:jc w:val="center"/>
              <w:rPr>
                <w:rFonts w:ascii="Calibri"/>
                <w:sz w:val="20"/>
              </w:rPr>
            </w:pPr>
            <w:r>
              <w:rPr>
                <w:rFonts w:ascii="Calibri"/>
                <w:color w:val="1C242C"/>
                <w:spacing w:val="-4"/>
                <w:sz w:val="20"/>
              </w:rPr>
              <w:t>1.01</w:t>
            </w:r>
          </w:p>
        </w:tc>
        <w:tc>
          <w:tcPr>
            <w:tcW w:w="1232" w:type="dxa"/>
            <w:tcBorders>
              <w:top w:val="single" w:sz="8" w:space="0" w:color="D9D9D9"/>
              <w:left w:val="single" w:sz="8" w:space="0" w:color="D9D9D9"/>
              <w:bottom w:val="single" w:sz="8" w:space="0" w:color="D9D9D9"/>
              <w:right w:val="single" w:sz="8" w:space="0" w:color="D9D9D9"/>
            </w:tcBorders>
          </w:tcPr>
          <w:p>
            <w:pPr>
              <w:pStyle w:val="TableParagraph"/>
              <w:spacing w:before="27"/>
              <w:ind w:left="2" w:right="3"/>
              <w:jc w:val="center"/>
              <w:rPr>
                <w:rFonts w:ascii="Calibri"/>
                <w:sz w:val="20"/>
              </w:rPr>
            </w:pPr>
            <w:r>
              <w:rPr>
                <w:rFonts w:ascii="Calibri"/>
                <w:color w:val="1C242C"/>
                <w:spacing w:val="-4"/>
                <w:sz w:val="20"/>
              </w:rPr>
              <w:t>0.98</w:t>
            </w:r>
          </w:p>
        </w:tc>
        <w:tc>
          <w:tcPr>
            <w:tcW w:w="1271" w:type="dxa"/>
            <w:tcBorders>
              <w:top w:val="single" w:sz="8" w:space="0" w:color="D9D9D9"/>
              <w:left w:val="single" w:sz="8" w:space="0" w:color="D9D9D9"/>
              <w:bottom w:val="single" w:sz="8" w:space="0" w:color="D9D9D9"/>
              <w:right w:val="nil"/>
            </w:tcBorders>
          </w:tcPr>
          <w:p>
            <w:pPr>
              <w:pStyle w:val="TableParagraph"/>
              <w:spacing w:before="27"/>
              <w:ind w:right="51"/>
              <w:jc w:val="center"/>
              <w:rPr>
                <w:rFonts w:ascii="Calibri"/>
                <w:sz w:val="20"/>
              </w:rPr>
            </w:pPr>
            <w:r>
              <w:rPr>
                <w:rFonts w:ascii="Calibri"/>
                <w:color w:val="1C242C"/>
                <w:spacing w:val="-4"/>
                <w:sz w:val="20"/>
              </w:rPr>
              <w:t>1.05</w:t>
            </w:r>
          </w:p>
        </w:tc>
      </w:tr>
      <w:tr>
        <w:tblPrEx>
          <w:tblW w:w="0" w:type="auto"/>
          <w:jc w:val="left"/>
          <w:tblInd w:w="339" w:type="dxa"/>
          <w:tblLayout w:type="fixed"/>
          <w:tblCellMar>
            <w:top w:w="0" w:type="dxa"/>
            <w:left w:w="0" w:type="dxa"/>
            <w:bottom w:w="0" w:type="dxa"/>
            <w:right w:w="0" w:type="dxa"/>
          </w:tblCellMar>
          <w:tblLook w:val="01E0"/>
        </w:tblPrEx>
        <w:trPr>
          <w:trHeight w:val="301"/>
          <w:jc w:val="left"/>
        </w:trPr>
        <w:tc>
          <w:tcPr>
            <w:tcW w:w="9420" w:type="dxa"/>
            <w:gridSpan w:val="5"/>
            <w:tcBorders>
              <w:top w:val="single" w:sz="8" w:space="0" w:color="D9D9D9"/>
              <w:left w:val="nil"/>
              <w:bottom w:val="single" w:sz="8" w:space="0" w:color="D9D9D9"/>
              <w:right w:val="nil"/>
            </w:tcBorders>
            <w:shd w:val="clear" w:color="auto" w:fill="D1EDFB"/>
          </w:tcPr>
          <w:p>
            <w:pPr>
              <w:pStyle w:val="TableParagraph"/>
              <w:ind w:left="136"/>
              <w:rPr>
                <w:rFonts w:ascii="Calibri"/>
                <w:sz w:val="20"/>
              </w:rPr>
            </w:pPr>
            <w:r>
              <w:rPr>
                <w:rFonts w:ascii="Calibri"/>
                <w:b/>
                <w:color w:val="1C242C"/>
                <w:sz w:val="20"/>
              </w:rPr>
              <w:t>Metal</w:t>
            </w:r>
            <w:r>
              <w:rPr>
                <w:rFonts w:ascii="Calibri"/>
                <w:b/>
                <w:color w:val="1C242C"/>
                <w:spacing w:val="-6"/>
                <w:sz w:val="20"/>
              </w:rPr>
              <w:t xml:space="preserve"> </w:t>
            </w:r>
            <w:r>
              <w:rPr>
                <w:rFonts w:ascii="Calibri"/>
                <w:b/>
                <w:color w:val="1C242C"/>
                <w:sz w:val="20"/>
              </w:rPr>
              <w:t>level</w:t>
            </w:r>
            <w:r>
              <w:rPr>
                <w:rFonts w:ascii="Calibri"/>
                <w:b/>
                <w:color w:val="1C242C"/>
                <w:spacing w:val="-3"/>
                <w:sz w:val="20"/>
              </w:rPr>
              <w:t xml:space="preserve"> </w:t>
            </w:r>
            <w:r>
              <w:rPr>
                <w:rFonts w:ascii="Calibri"/>
                <w:color w:val="1C242C"/>
                <w:sz w:val="20"/>
              </w:rPr>
              <w:t>(Ref:</w:t>
            </w:r>
            <w:r>
              <w:rPr>
                <w:rFonts w:ascii="Calibri"/>
                <w:color w:val="1C242C"/>
                <w:spacing w:val="-6"/>
                <w:sz w:val="20"/>
              </w:rPr>
              <w:t xml:space="preserve"> </w:t>
            </w:r>
            <w:r>
              <w:rPr>
                <w:rFonts w:ascii="Calibri"/>
                <w:color w:val="1C242C"/>
                <w:spacing w:val="-2"/>
                <w:sz w:val="20"/>
              </w:rPr>
              <w:t>Bronze)</w:t>
            </w:r>
          </w:p>
        </w:tc>
      </w:tr>
    </w:tbl>
    <w:p>
      <w:pPr>
        <w:pStyle w:val="TableParagraph"/>
        <w:spacing w:after="0"/>
        <w:rPr>
          <w:rFonts w:ascii="Calibri"/>
          <w:sz w:val="20"/>
        </w:rPr>
        <w:sectPr>
          <w:pgSz w:w="12240" w:h="15840"/>
          <w:pgMar w:top="1360" w:right="1080" w:bottom="940" w:left="1080" w:header="0" w:footer="748"/>
          <w:cols w:space="720"/>
        </w:sectPr>
      </w:pPr>
    </w:p>
    <w:p>
      <w:pPr>
        <w:pStyle w:val="BodyText"/>
        <w:spacing w:before="6"/>
        <w:ind w:left="0"/>
        <w:rPr>
          <w:rFonts w:ascii="Arial"/>
          <w:b/>
          <w:sz w:val="2"/>
        </w:rPr>
      </w:pPr>
    </w:p>
    <w:tbl>
      <w:tblPr>
        <w:tblStyle w:val="TableNormal"/>
        <w:tblW w:w="0" w:type="auto"/>
        <w:jc w:val="left"/>
        <w:tblInd w:w="339" w:type="dxa"/>
        <w:tblBorders>
          <w:top w:val="single" w:sz="12" w:space="0" w:color="009DD6"/>
          <w:left w:val="single" w:sz="12" w:space="0" w:color="009DD6"/>
          <w:bottom w:val="single" w:sz="12" w:space="0" w:color="009DD6"/>
          <w:right w:val="single" w:sz="12" w:space="0" w:color="009DD6"/>
          <w:insideH w:val="single" w:sz="12" w:space="0" w:color="009DD6"/>
          <w:insideV w:val="single" w:sz="12" w:space="0" w:color="009DD6"/>
        </w:tblBorders>
        <w:tblLayout w:type="fixed"/>
        <w:tblCellMar>
          <w:top w:w="0" w:type="dxa"/>
          <w:left w:w="0" w:type="dxa"/>
          <w:bottom w:w="0" w:type="dxa"/>
          <w:right w:w="0" w:type="dxa"/>
        </w:tblCellMar>
        <w:tblLook w:val="01E0"/>
      </w:tblPr>
      <w:tblGrid>
        <w:gridCol w:w="4849"/>
        <w:gridCol w:w="1042"/>
        <w:gridCol w:w="1027"/>
        <w:gridCol w:w="1232"/>
        <w:gridCol w:w="1270"/>
      </w:tblGrid>
      <w:tr>
        <w:tblPrEx>
          <w:tblW w:w="0" w:type="auto"/>
          <w:jc w:val="left"/>
          <w:tblInd w:w="339" w:type="dxa"/>
          <w:tblBorders>
            <w:top w:val="single" w:sz="12" w:space="0" w:color="009DD6"/>
            <w:left w:val="single" w:sz="12" w:space="0" w:color="009DD6"/>
            <w:bottom w:val="single" w:sz="12" w:space="0" w:color="009DD6"/>
            <w:right w:val="single" w:sz="12" w:space="0" w:color="009DD6"/>
            <w:insideH w:val="single" w:sz="12" w:space="0" w:color="009DD6"/>
            <w:insideV w:val="single" w:sz="12" w:space="0" w:color="009DD6"/>
          </w:tblBorders>
          <w:tblLayout w:type="fixed"/>
          <w:tblCellMar>
            <w:top w:w="0" w:type="dxa"/>
            <w:left w:w="0" w:type="dxa"/>
            <w:bottom w:w="0" w:type="dxa"/>
            <w:right w:w="0" w:type="dxa"/>
          </w:tblCellMar>
          <w:tblLook w:val="01E0"/>
        </w:tblPrEx>
        <w:trPr>
          <w:trHeight w:val="1221"/>
          <w:jc w:val="left"/>
        </w:trPr>
        <w:tc>
          <w:tcPr>
            <w:tcW w:w="4849" w:type="dxa"/>
            <w:tcBorders>
              <w:top w:val="nil"/>
              <w:left w:val="nil"/>
              <w:right w:val="nil"/>
            </w:tcBorders>
            <w:shd w:val="clear" w:color="auto" w:fill="00507E"/>
          </w:tcPr>
          <w:p>
            <w:pPr>
              <w:pStyle w:val="TableParagraph"/>
              <w:spacing w:before="0"/>
              <w:rPr>
                <w:rFonts w:ascii="Arial"/>
                <w:b/>
                <w:sz w:val="20"/>
              </w:rPr>
            </w:pPr>
          </w:p>
          <w:p>
            <w:pPr>
              <w:pStyle w:val="TableParagraph"/>
              <w:spacing w:before="0"/>
              <w:rPr>
                <w:rFonts w:ascii="Arial"/>
                <w:b/>
                <w:sz w:val="20"/>
              </w:rPr>
            </w:pPr>
          </w:p>
          <w:p>
            <w:pPr>
              <w:pStyle w:val="TableParagraph"/>
              <w:spacing w:before="0"/>
              <w:rPr>
                <w:rFonts w:ascii="Arial"/>
                <w:b/>
                <w:sz w:val="20"/>
              </w:rPr>
            </w:pPr>
          </w:p>
          <w:p>
            <w:pPr>
              <w:pStyle w:val="TableParagraph"/>
              <w:spacing w:before="58"/>
              <w:rPr>
                <w:rFonts w:ascii="Arial"/>
                <w:b/>
                <w:sz w:val="20"/>
              </w:rPr>
            </w:pPr>
          </w:p>
          <w:p>
            <w:pPr>
              <w:pStyle w:val="TableParagraph"/>
              <w:spacing w:before="1" w:line="223" w:lineRule="exact"/>
              <w:ind w:left="1475"/>
              <w:rPr>
                <w:rFonts w:ascii="Calibri"/>
                <w:b/>
                <w:sz w:val="20"/>
              </w:rPr>
            </w:pPr>
            <w:r>
              <w:rPr>
                <w:rFonts w:ascii="Calibri"/>
                <w:b/>
                <w:color w:val="FFFFFF"/>
                <w:sz w:val="20"/>
              </w:rPr>
              <w:t>Enrollee</w:t>
            </w:r>
            <w:r>
              <w:rPr>
                <w:rFonts w:ascii="Calibri"/>
                <w:b/>
                <w:color w:val="FFFFFF"/>
                <w:spacing w:val="-8"/>
                <w:sz w:val="20"/>
              </w:rPr>
              <w:t xml:space="preserve"> </w:t>
            </w:r>
            <w:r>
              <w:rPr>
                <w:rFonts w:ascii="Calibri"/>
                <w:b/>
                <w:color w:val="FFFFFF"/>
                <w:spacing w:val="-2"/>
                <w:sz w:val="20"/>
              </w:rPr>
              <w:t>characteristics</w:t>
            </w:r>
          </w:p>
        </w:tc>
        <w:tc>
          <w:tcPr>
            <w:tcW w:w="1042" w:type="dxa"/>
            <w:tcBorders>
              <w:top w:val="nil"/>
              <w:left w:val="nil"/>
              <w:right w:val="nil"/>
            </w:tcBorders>
            <w:shd w:val="clear" w:color="auto" w:fill="00507E"/>
          </w:tcPr>
          <w:p>
            <w:pPr>
              <w:pStyle w:val="TableParagraph"/>
              <w:spacing w:before="0"/>
              <w:rPr>
                <w:rFonts w:ascii="Arial"/>
                <w:b/>
                <w:sz w:val="20"/>
              </w:rPr>
            </w:pPr>
          </w:p>
          <w:p>
            <w:pPr>
              <w:pStyle w:val="TableParagraph"/>
              <w:spacing w:before="0"/>
              <w:rPr>
                <w:rFonts w:ascii="Arial"/>
                <w:b/>
                <w:sz w:val="20"/>
              </w:rPr>
            </w:pPr>
          </w:p>
          <w:p>
            <w:pPr>
              <w:pStyle w:val="TableParagraph"/>
              <w:spacing w:before="0"/>
              <w:rPr>
                <w:rFonts w:ascii="Arial"/>
                <w:b/>
                <w:sz w:val="20"/>
              </w:rPr>
            </w:pPr>
          </w:p>
          <w:p>
            <w:pPr>
              <w:pStyle w:val="TableParagraph"/>
              <w:spacing w:before="58"/>
              <w:rPr>
                <w:rFonts w:ascii="Arial"/>
                <w:b/>
                <w:sz w:val="20"/>
              </w:rPr>
            </w:pPr>
          </w:p>
          <w:p>
            <w:pPr>
              <w:pStyle w:val="TableParagraph"/>
              <w:spacing w:before="1" w:line="223" w:lineRule="exact"/>
              <w:ind w:right="3"/>
              <w:jc w:val="center"/>
              <w:rPr>
                <w:rFonts w:ascii="Calibri"/>
                <w:b/>
                <w:i/>
                <w:sz w:val="20"/>
              </w:rPr>
            </w:pPr>
            <w:r>
              <w:rPr>
                <w:rFonts w:ascii="Calibri"/>
                <w:b/>
                <w:i/>
                <w:color w:val="FFFFFF"/>
                <w:spacing w:val="-10"/>
                <w:sz w:val="20"/>
              </w:rPr>
              <w:t>n</w:t>
            </w:r>
          </w:p>
        </w:tc>
        <w:tc>
          <w:tcPr>
            <w:tcW w:w="1027" w:type="dxa"/>
            <w:tcBorders>
              <w:top w:val="nil"/>
              <w:left w:val="nil"/>
              <w:right w:val="nil"/>
            </w:tcBorders>
            <w:shd w:val="clear" w:color="auto" w:fill="00507E"/>
          </w:tcPr>
          <w:p>
            <w:pPr>
              <w:pStyle w:val="TableParagraph"/>
              <w:spacing w:before="0"/>
              <w:rPr>
                <w:rFonts w:ascii="Arial"/>
                <w:b/>
                <w:sz w:val="20"/>
              </w:rPr>
            </w:pPr>
          </w:p>
          <w:p>
            <w:pPr>
              <w:pStyle w:val="TableParagraph"/>
              <w:spacing w:before="0"/>
              <w:rPr>
                <w:rFonts w:ascii="Arial"/>
                <w:b/>
                <w:sz w:val="20"/>
              </w:rPr>
            </w:pPr>
          </w:p>
          <w:p>
            <w:pPr>
              <w:pStyle w:val="TableParagraph"/>
              <w:spacing w:before="23"/>
              <w:rPr>
                <w:rFonts w:ascii="Arial"/>
                <w:b/>
                <w:sz w:val="20"/>
              </w:rPr>
            </w:pPr>
          </w:p>
          <w:p>
            <w:pPr>
              <w:pStyle w:val="TableParagraph"/>
              <w:spacing w:before="0" w:line="240" w:lineRule="atLeast"/>
              <w:ind w:left="313" w:right="297" w:hanging="17"/>
              <w:rPr>
                <w:rFonts w:ascii="Calibri"/>
                <w:b/>
                <w:sz w:val="20"/>
              </w:rPr>
            </w:pPr>
            <w:r>
              <w:rPr>
                <w:rFonts w:ascii="Calibri"/>
                <w:b/>
                <w:color w:val="FFFFFF"/>
                <w:spacing w:val="-4"/>
                <w:sz w:val="20"/>
              </w:rPr>
              <w:t xml:space="preserve">Odds </w:t>
            </w:r>
            <w:r>
              <w:rPr>
                <w:rFonts w:ascii="Calibri"/>
                <w:b/>
                <w:color w:val="FFFFFF"/>
                <w:spacing w:val="-2"/>
                <w:sz w:val="20"/>
              </w:rPr>
              <w:t>ratio</w:t>
            </w:r>
          </w:p>
        </w:tc>
        <w:tc>
          <w:tcPr>
            <w:tcW w:w="1232" w:type="dxa"/>
            <w:tcBorders>
              <w:top w:val="nil"/>
              <w:left w:val="nil"/>
              <w:right w:val="nil"/>
            </w:tcBorders>
            <w:shd w:val="clear" w:color="auto" w:fill="00507E"/>
          </w:tcPr>
          <w:p>
            <w:pPr>
              <w:pStyle w:val="TableParagraph"/>
              <w:spacing w:before="2"/>
              <w:ind w:left="90" w:right="90"/>
              <w:jc w:val="center"/>
              <w:rPr>
                <w:rFonts w:ascii="Calibri"/>
                <w:b/>
                <w:sz w:val="20"/>
              </w:rPr>
            </w:pPr>
            <w:r>
              <w:rPr>
                <w:rFonts w:ascii="Calibri"/>
                <w:b/>
                <w:color w:val="FFFFFF"/>
                <w:spacing w:val="-5"/>
                <w:sz w:val="20"/>
              </w:rPr>
              <w:t>95%</w:t>
            </w:r>
          </w:p>
          <w:p>
            <w:pPr>
              <w:pStyle w:val="TableParagraph"/>
              <w:spacing w:before="0"/>
              <w:ind w:left="158" w:right="161"/>
              <w:jc w:val="center"/>
              <w:rPr>
                <w:rFonts w:ascii="Calibri"/>
                <w:b/>
                <w:sz w:val="20"/>
              </w:rPr>
            </w:pPr>
            <w:r>
              <w:rPr>
                <w:rFonts w:ascii="Calibri"/>
                <w:b/>
                <w:color w:val="FFFFFF"/>
                <w:spacing w:val="-2"/>
                <w:sz w:val="20"/>
              </w:rPr>
              <w:t>confidence interval lower</w:t>
            </w:r>
          </w:p>
          <w:p>
            <w:pPr>
              <w:pStyle w:val="TableParagraph"/>
              <w:spacing w:before="0" w:line="222" w:lineRule="exact"/>
              <w:ind w:left="89" w:right="90"/>
              <w:jc w:val="center"/>
              <w:rPr>
                <w:rFonts w:ascii="Calibri"/>
                <w:b/>
                <w:sz w:val="20"/>
              </w:rPr>
            </w:pPr>
            <w:r>
              <w:rPr>
                <w:rFonts w:ascii="Calibri"/>
                <w:b/>
                <w:color w:val="FFFFFF"/>
                <w:spacing w:val="-2"/>
                <w:sz w:val="20"/>
              </w:rPr>
              <w:t>bound</w:t>
            </w:r>
          </w:p>
        </w:tc>
        <w:tc>
          <w:tcPr>
            <w:tcW w:w="1270" w:type="dxa"/>
            <w:tcBorders>
              <w:top w:val="nil"/>
              <w:left w:val="nil"/>
              <w:right w:val="nil"/>
            </w:tcBorders>
            <w:shd w:val="clear" w:color="auto" w:fill="00507E"/>
          </w:tcPr>
          <w:p>
            <w:pPr>
              <w:pStyle w:val="TableParagraph"/>
              <w:spacing w:before="2"/>
              <w:ind w:left="84" w:right="122"/>
              <w:jc w:val="center"/>
              <w:rPr>
                <w:rFonts w:ascii="Calibri"/>
                <w:b/>
                <w:sz w:val="20"/>
              </w:rPr>
            </w:pPr>
            <w:r>
              <w:rPr>
                <w:rFonts w:ascii="Calibri"/>
                <w:b/>
                <w:color w:val="FFFFFF"/>
                <w:spacing w:val="-5"/>
                <w:sz w:val="20"/>
              </w:rPr>
              <w:t>95%</w:t>
            </w:r>
          </w:p>
          <w:p>
            <w:pPr>
              <w:pStyle w:val="TableParagraph"/>
              <w:spacing w:before="0"/>
              <w:ind w:left="80" w:right="122"/>
              <w:jc w:val="center"/>
              <w:rPr>
                <w:rFonts w:ascii="Calibri"/>
                <w:b/>
                <w:sz w:val="20"/>
              </w:rPr>
            </w:pPr>
            <w:r>
              <w:rPr>
                <w:rFonts w:ascii="Calibri"/>
                <w:b/>
                <w:color w:val="FFFFFF"/>
                <w:spacing w:val="-2"/>
                <w:sz w:val="20"/>
              </w:rPr>
              <w:t>confidence interval upper</w:t>
            </w:r>
          </w:p>
          <w:p>
            <w:pPr>
              <w:pStyle w:val="TableParagraph"/>
              <w:spacing w:before="0" w:line="222" w:lineRule="exact"/>
              <w:ind w:left="85" w:right="122"/>
              <w:jc w:val="center"/>
              <w:rPr>
                <w:rFonts w:ascii="Calibri"/>
                <w:b/>
                <w:sz w:val="20"/>
              </w:rPr>
            </w:pPr>
            <w:r>
              <w:rPr>
                <w:rFonts w:ascii="Calibri"/>
                <w:b/>
                <w:color w:val="FFFFFF"/>
                <w:spacing w:val="-2"/>
                <w:sz w:val="20"/>
              </w:rPr>
              <w:t>bound</w:t>
            </w:r>
          </w:p>
        </w:tc>
      </w:tr>
      <w:tr>
        <w:tblPrEx>
          <w:tblW w:w="0" w:type="auto"/>
          <w:jc w:val="left"/>
          <w:tblInd w:w="339" w:type="dxa"/>
          <w:tblLayout w:type="fixed"/>
          <w:tblCellMar>
            <w:top w:w="0" w:type="dxa"/>
            <w:left w:w="0" w:type="dxa"/>
            <w:bottom w:w="0" w:type="dxa"/>
            <w:right w:w="0" w:type="dxa"/>
          </w:tblCellMar>
          <w:tblLook w:val="01E0"/>
        </w:tblPrEx>
        <w:trPr>
          <w:trHeight w:val="289"/>
          <w:jc w:val="left"/>
        </w:trPr>
        <w:tc>
          <w:tcPr>
            <w:tcW w:w="4849" w:type="dxa"/>
            <w:tcBorders>
              <w:left w:val="nil"/>
              <w:bottom w:val="single" w:sz="8" w:space="0" w:color="D9D9D9"/>
              <w:right w:val="single" w:sz="8" w:space="0" w:color="D9D9D9"/>
            </w:tcBorders>
          </w:tcPr>
          <w:p>
            <w:pPr>
              <w:pStyle w:val="TableParagraph"/>
              <w:spacing w:before="20"/>
              <w:ind w:left="136"/>
              <w:rPr>
                <w:rFonts w:ascii="Calibri"/>
                <w:sz w:val="20"/>
              </w:rPr>
            </w:pPr>
            <w:r>
              <w:rPr>
                <w:rFonts w:ascii="Calibri"/>
                <w:sz w:val="20"/>
              </w:rPr>
              <mc:AlternateContent>
                <mc:Choice Requires="wpg">
                  <w:drawing>
                    <wp:anchor distT="0" distB="0" distL="0" distR="0" simplePos="0" relativeHeight="251658240" behindDoc="1" locked="0" layoutInCell="1" allowOverlap="1">
                      <wp:simplePos x="0" y="0"/>
                      <wp:positionH relativeFrom="column">
                        <wp:posOffset>18288</wp:posOffset>
                      </wp:positionH>
                      <wp:positionV relativeFrom="paragraph">
                        <wp:posOffset>-794797</wp:posOffset>
                      </wp:positionV>
                      <wp:extent cx="5940425" cy="776605"/>
                      <wp:effectExtent l="0" t="0" r="0" b="0"/>
                      <wp:wrapNone/>
                      <wp:docPr id="19" name="Group 19"/>
                      <wp:cNvGraphicFramePr/>
                      <a:graphic xmlns:a="http://schemas.openxmlformats.org/drawingml/2006/main">
                        <a:graphicData uri="http://schemas.microsoft.com/office/word/2010/wordprocessingGroup">
                          <wpg:wgp xmlns:wpg="http://schemas.microsoft.com/office/word/2010/wordprocessingGroup">
                            <wpg:cNvGrpSpPr/>
                            <wpg:grpSpPr>
                              <a:xfrm>
                                <a:off x="0" y="0"/>
                                <a:ext cx="5940425" cy="776605"/>
                                <a:chOff x="0" y="0"/>
                                <a:chExt cx="5940425" cy="776605"/>
                              </a:xfrm>
                            </wpg:grpSpPr>
                            <wps:wsp xmlns:wps="http://schemas.microsoft.com/office/word/2010/wordprocessingShape">
                              <wps:cNvPr id="20" name="Graphic 20"/>
                              <wps:cNvSpPr/>
                              <wps:spPr>
                                <a:xfrm>
                                  <a:off x="0" y="0"/>
                                  <a:ext cx="5940425" cy="776605"/>
                                </a:xfrm>
                                <a:custGeom>
                                  <a:avLst/>
                                  <a:gdLst/>
                                  <a:rect l="l" t="t" r="r" b="b"/>
                                  <a:pathLst>
                                    <a:path fill="norm" h="776605" w="5940425" stroke="1">
                                      <a:moveTo>
                                        <a:pt x="3054350" y="0"/>
                                      </a:moveTo>
                                      <a:lnTo>
                                        <a:pt x="0" y="0"/>
                                      </a:lnTo>
                                      <a:lnTo>
                                        <a:pt x="0" y="776020"/>
                                      </a:lnTo>
                                      <a:lnTo>
                                        <a:pt x="3054350" y="776020"/>
                                      </a:lnTo>
                                      <a:lnTo>
                                        <a:pt x="3054350" y="0"/>
                                      </a:lnTo>
                                      <a:close/>
                                    </a:path>
                                    <a:path fill="norm" h="776605" w="5940425" stroke="1">
                                      <a:moveTo>
                                        <a:pt x="3716147" y="0"/>
                                      </a:moveTo>
                                      <a:lnTo>
                                        <a:pt x="3060522" y="0"/>
                                      </a:lnTo>
                                      <a:lnTo>
                                        <a:pt x="3060522" y="776020"/>
                                      </a:lnTo>
                                      <a:lnTo>
                                        <a:pt x="3716147" y="776020"/>
                                      </a:lnTo>
                                      <a:lnTo>
                                        <a:pt x="3716147" y="0"/>
                                      </a:lnTo>
                                      <a:close/>
                                    </a:path>
                                    <a:path fill="norm" h="776605" w="5940425" stroke="1">
                                      <a:moveTo>
                                        <a:pt x="4368368" y="0"/>
                                      </a:moveTo>
                                      <a:lnTo>
                                        <a:pt x="3722192" y="0"/>
                                      </a:lnTo>
                                      <a:lnTo>
                                        <a:pt x="3722192" y="776020"/>
                                      </a:lnTo>
                                      <a:lnTo>
                                        <a:pt x="4368368" y="776020"/>
                                      </a:lnTo>
                                      <a:lnTo>
                                        <a:pt x="4368368" y="0"/>
                                      </a:lnTo>
                                      <a:close/>
                                    </a:path>
                                    <a:path fill="norm" h="776605" w="5940425" stroke="1">
                                      <a:moveTo>
                                        <a:pt x="5150485" y="0"/>
                                      </a:moveTo>
                                      <a:lnTo>
                                        <a:pt x="4374464" y="0"/>
                                      </a:lnTo>
                                      <a:lnTo>
                                        <a:pt x="4374464" y="776020"/>
                                      </a:lnTo>
                                      <a:lnTo>
                                        <a:pt x="5150485" y="776020"/>
                                      </a:lnTo>
                                      <a:lnTo>
                                        <a:pt x="5150485" y="0"/>
                                      </a:lnTo>
                                      <a:close/>
                                    </a:path>
                                    <a:path fill="norm" h="776605" w="5940425" stroke="1">
                                      <a:moveTo>
                                        <a:pt x="5939993" y="0"/>
                                      </a:moveTo>
                                      <a:lnTo>
                                        <a:pt x="5156657" y="0"/>
                                      </a:lnTo>
                                      <a:lnTo>
                                        <a:pt x="5156657" y="776020"/>
                                      </a:lnTo>
                                      <a:lnTo>
                                        <a:pt x="5939993" y="776020"/>
                                      </a:lnTo>
                                      <a:lnTo>
                                        <a:pt x="5939993" y="0"/>
                                      </a:lnTo>
                                      <a:close/>
                                    </a:path>
                                  </a:pathLst>
                                </a:custGeom>
                                <a:solidFill>
                                  <a:srgbClr val="00507E"/>
                                </a:solidFill>
                              </wps:spPr>
                              <wps:bodyPr wrap="square" lIns="0" tIns="0" rIns="0" bIns="0" rtlCol="0">
                                <a:prstTxWarp prst="textNoShape">
                                  <a:avLst/>
                                </a:prstTxWarp>
                              </wps:bodyPr>
                            </wps:wsp>
                          </wpg:wgp>
                        </a:graphicData>
                      </a:graphic>
                    </wp:anchor>
                  </w:drawing>
                </mc:Choice>
                <mc:Fallback>
                  <w:pict>
                    <v:group id="_x0000_s1032" style="width:467.75pt;height:61.15pt;margin-top:-62.58pt;margin-left:1.44pt;position:absolute;z-index:-251657216" coordorigin="29,-1252" coordsize="9355,1223">
                      <v:shape id="_x0000_s1033" style="width:9355;height:1223;left:28;position:absolute;top:-1252" coordorigin="29,-1252" coordsize="9355,1223" path="m4839,-1252l29,-1252,29,-30,4839,-30,4839,-1252xm5881,-1252l4849,-1252,4849,-30,5881,-30,5881,-1252xm6908,-1252l5891,-1252,5891,-30,6908,-30,6908,-1252xm8140,-1252l6918,-1252,6918,-30,8140,-30,8140,-1252xm9383,-1252l8150,-1252,8150,-30,9383,-30,9383,-1252xe" filled="t" fillcolor="#00507e" stroked="f">
                        <v:fill type="solid"/>
                        <v:path arrowok="t"/>
                      </v:shape>
                    </v:group>
                  </w:pict>
                </mc:Fallback>
              </mc:AlternateContent>
            </w:r>
            <w:r>
              <w:rPr>
                <w:rFonts w:ascii="Calibri"/>
                <w:color w:val="1C242C"/>
                <w:spacing w:val="-2"/>
                <w:sz w:val="20"/>
              </w:rPr>
              <w:t>Catastrophic</w:t>
            </w:r>
          </w:p>
        </w:tc>
        <w:tc>
          <w:tcPr>
            <w:tcW w:w="1042" w:type="dxa"/>
            <w:tcBorders>
              <w:left w:val="single" w:sz="8" w:space="0" w:color="D9D9D9"/>
              <w:bottom w:val="single" w:sz="8" w:space="0" w:color="D9D9D9"/>
              <w:right w:val="single" w:sz="8" w:space="0" w:color="D9D9D9"/>
            </w:tcBorders>
          </w:tcPr>
          <w:p>
            <w:pPr>
              <w:pStyle w:val="TableParagraph"/>
              <w:spacing w:before="20"/>
              <w:ind w:right="5"/>
              <w:jc w:val="center"/>
              <w:rPr>
                <w:rFonts w:ascii="Calibri"/>
                <w:sz w:val="20"/>
              </w:rPr>
            </w:pPr>
            <w:r>
              <w:rPr>
                <w:rFonts w:ascii="Calibri"/>
                <w:color w:val="1C242C"/>
                <w:spacing w:val="-2"/>
                <w:sz w:val="20"/>
              </w:rPr>
              <w:t>1,624</w:t>
            </w:r>
          </w:p>
        </w:tc>
        <w:tc>
          <w:tcPr>
            <w:tcW w:w="1027" w:type="dxa"/>
            <w:tcBorders>
              <w:left w:val="single" w:sz="8" w:space="0" w:color="D9D9D9"/>
              <w:bottom w:val="single" w:sz="8" w:space="0" w:color="D9D9D9"/>
              <w:right w:val="single" w:sz="8" w:space="0" w:color="D9D9D9"/>
            </w:tcBorders>
          </w:tcPr>
          <w:p>
            <w:pPr>
              <w:pStyle w:val="TableParagraph"/>
              <w:spacing w:before="20"/>
              <w:ind w:left="2" w:right="2"/>
              <w:jc w:val="center"/>
              <w:rPr>
                <w:rFonts w:ascii="Calibri"/>
                <w:sz w:val="20"/>
              </w:rPr>
            </w:pPr>
            <w:r>
              <w:rPr>
                <w:rFonts w:ascii="Calibri"/>
                <w:color w:val="1C242C"/>
                <w:spacing w:val="-4"/>
                <w:sz w:val="20"/>
              </w:rPr>
              <w:t>1.02</w:t>
            </w:r>
          </w:p>
        </w:tc>
        <w:tc>
          <w:tcPr>
            <w:tcW w:w="1232" w:type="dxa"/>
            <w:tcBorders>
              <w:left w:val="single" w:sz="8" w:space="0" w:color="D9D9D9"/>
              <w:bottom w:val="single" w:sz="8" w:space="0" w:color="D9D9D9"/>
              <w:right w:val="single" w:sz="8" w:space="0" w:color="D9D9D9"/>
            </w:tcBorders>
          </w:tcPr>
          <w:p>
            <w:pPr>
              <w:pStyle w:val="TableParagraph"/>
              <w:spacing w:before="20"/>
              <w:ind w:right="3"/>
              <w:jc w:val="center"/>
              <w:rPr>
                <w:rFonts w:ascii="Calibri"/>
                <w:sz w:val="20"/>
              </w:rPr>
            </w:pPr>
            <w:r>
              <w:rPr>
                <w:rFonts w:ascii="Calibri"/>
                <w:color w:val="1C242C"/>
                <w:spacing w:val="-4"/>
                <w:sz w:val="20"/>
              </w:rPr>
              <w:t>0.79</w:t>
            </w:r>
          </w:p>
        </w:tc>
        <w:tc>
          <w:tcPr>
            <w:tcW w:w="1270" w:type="dxa"/>
            <w:tcBorders>
              <w:left w:val="single" w:sz="8" w:space="0" w:color="D9D9D9"/>
              <w:bottom w:val="single" w:sz="8" w:space="0" w:color="D9D9D9"/>
              <w:right w:val="nil"/>
            </w:tcBorders>
          </w:tcPr>
          <w:p>
            <w:pPr>
              <w:pStyle w:val="TableParagraph"/>
              <w:spacing w:before="20"/>
              <w:ind w:right="52"/>
              <w:jc w:val="center"/>
              <w:rPr>
                <w:rFonts w:ascii="Calibri"/>
                <w:sz w:val="20"/>
              </w:rPr>
            </w:pPr>
            <w:r>
              <w:rPr>
                <w:rFonts w:ascii="Calibri"/>
                <w:color w:val="1C242C"/>
                <w:spacing w:val="-4"/>
                <w:sz w:val="20"/>
              </w:rPr>
              <w:t>1.32</w:t>
            </w:r>
          </w:p>
        </w:tc>
      </w:tr>
      <w:tr>
        <w:tblPrEx>
          <w:tblW w:w="0" w:type="auto"/>
          <w:jc w:val="left"/>
          <w:tblInd w:w="339" w:type="dxa"/>
          <w:tblLayout w:type="fixed"/>
          <w:tblCellMar>
            <w:top w:w="0" w:type="dxa"/>
            <w:left w:w="0" w:type="dxa"/>
            <w:bottom w:w="0" w:type="dxa"/>
            <w:right w:w="0" w:type="dxa"/>
          </w:tblCellMar>
          <w:tblLook w:val="01E0"/>
        </w:tblPrEx>
        <w:trPr>
          <w:trHeight w:val="301"/>
          <w:jc w:val="left"/>
        </w:trPr>
        <w:tc>
          <w:tcPr>
            <w:tcW w:w="4849" w:type="dxa"/>
            <w:tcBorders>
              <w:top w:val="single" w:sz="8" w:space="0" w:color="D9D9D9"/>
              <w:left w:val="nil"/>
              <w:bottom w:val="single" w:sz="8" w:space="0" w:color="D9D9D9"/>
              <w:right w:val="single" w:sz="8" w:space="0" w:color="D9D9D9"/>
            </w:tcBorders>
          </w:tcPr>
          <w:p>
            <w:pPr>
              <w:pStyle w:val="TableParagraph"/>
              <w:ind w:left="136"/>
              <w:rPr>
                <w:rFonts w:ascii="Calibri"/>
                <w:sz w:val="20"/>
              </w:rPr>
            </w:pPr>
            <w:r>
              <w:rPr>
                <w:rFonts w:ascii="Calibri"/>
                <w:color w:val="1C242C"/>
                <w:spacing w:val="-2"/>
                <w:sz w:val="20"/>
              </w:rPr>
              <w:t>Bronze</w:t>
            </w:r>
          </w:p>
        </w:tc>
        <w:tc>
          <w:tcPr>
            <w:tcW w:w="1042" w:type="dxa"/>
            <w:tcBorders>
              <w:top w:val="single" w:sz="8" w:space="0" w:color="D9D9D9"/>
              <w:left w:val="single" w:sz="8" w:space="0" w:color="D9D9D9"/>
              <w:bottom w:val="single" w:sz="8" w:space="0" w:color="D9D9D9"/>
              <w:right w:val="single" w:sz="8" w:space="0" w:color="D9D9D9"/>
            </w:tcBorders>
          </w:tcPr>
          <w:p>
            <w:pPr>
              <w:pStyle w:val="TableParagraph"/>
              <w:ind w:right="5"/>
              <w:jc w:val="center"/>
              <w:rPr>
                <w:rFonts w:ascii="Calibri"/>
                <w:sz w:val="20"/>
              </w:rPr>
            </w:pPr>
            <w:r>
              <w:rPr>
                <w:rFonts w:ascii="Calibri"/>
                <w:spacing w:val="-2"/>
                <w:sz w:val="20"/>
              </w:rPr>
              <w:t>162,414</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ind w:left="2" w:right="2"/>
              <w:jc w:val="center"/>
              <w:rPr>
                <w:rFonts w:ascii="Calibri"/>
                <w:sz w:val="20"/>
              </w:rPr>
            </w:pPr>
            <w:r>
              <w:rPr>
                <w:rFonts w:ascii="Calibri"/>
                <w:color w:val="1C242C"/>
                <w:spacing w:val="-5"/>
                <w:sz w:val="20"/>
              </w:rPr>
              <w:t>REF</w:t>
            </w:r>
          </w:p>
        </w:tc>
        <w:tc>
          <w:tcPr>
            <w:tcW w:w="1232" w:type="dxa"/>
            <w:tcBorders>
              <w:top w:val="single" w:sz="8" w:space="0" w:color="D9D9D9"/>
              <w:left w:val="single" w:sz="8" w:space="0" w:color="D9D9D9"/>
              <w:bottom w:val="single" w:sz="8" w:space="0" w:color="D9D9D9"/>
              <w:right w:val="single" w:sz="8" w:space="0" w:color="D9D9D9"/>
            </w:tcBorders>
          </w:tcPr>
          <w:p>
            <w:pPr>
              <w:pStyle w:val="TableParagraph"/>
              <w:ind w:right="3"/>
              <w:jc w:val="center"/>
              <w:rPr>
                <w:rFonts w:ascii="Calibri" w:hAnsi="Calibri"/>
                <w:sz w:val="20"/>
              </w:rPr>
            </w:pPr>
            <w:r>
              <w:rPr>
                <w:rFonts w:ascii="Calibri" w:hAnsi="Calibri"/>
                <w:color w:val="1C242C"/>
                <w:spacing w:val="-10"/>
                <w:sz w:val="20"/>
              </w:rPr>
              <w:t>–</w:t>
            </w:r>
          </w:p>
        </w:tc>
        <w:tc>
          <w:tcPr>
            <w:tcW w:w="1270" w:type="dxa"/>
            <w:tcBorders>
              <w:top w:val="single" w:sz="8" w:space="0" w:color="D9D9D9"/>
              <w:left w:val="single" w:sz="8" w:space="0" w:color="D9D9D9"/>
              <w:bottom w:val="single" w:sz="8" w:space="0" w:color="D9D9D9"/>
              <w:right w:val="nil"/>
            </w:tcBorders>
          </w:tcPr>
          <w:p>
            <w:pPr>
              <w:pStyle w:val="TableParagraph"/>
              <w:ind w:left="1" w:right="52"/>
              <w:jc w:val="center"/>
              <w:rPr>
                <w:rFonts w:ascii="Calibri" w:hAnsi="Calibri"/>
                <w:sz w:val="20"/>
              </w:rPr>
            </w:pPr>
            <w:r>
              <w:rPr>
                <w:rFonts w:ascii="Calibri" w:hAnsi="Calibri"/>
                <w:color w:val="1C242C"/>
                <w:spacing w:val="-10"/>
                <w:sz w:val="20"/>
              </w:rPr>
              <w:t>–</w:t>
            </w:r>
          </w:p>
        </w:tc>
      </w:tr>
      <w:tr>
        <w:tblPrEx>
          <w:tblW w:w="0" w:type="auto"/>
          <w:jc w:val="left"/>
          <w:tblInd w:w="339" w:type="dxa"/>
          <w:tblLayout w:type="fixed"/>
          <w:tblCellMar>
            <w:top w:w="0" w:type="dxa"/>
            <w:left w:w="0" w:type="dxa"/>
            <w:bottom w:w="0" w:type="dxa"/>
            <w:right w:w="0" w:type="dxa"/>
          </w:tblCellMar>
          <w:tblLook w:val="01E0"/>
        </w:tblPrEx>
        <w:trPr>
          <w:trHeight w:val="299"/>
          <w:jc w:val="left"/>
        </w:trPr>
        <w:tc>
          <w:tcPr>
            <w:tcW w:w="4849" w:type="dxa"/>
            <w:tcBorders>
              <w:top w:val="single" w:sz="8" w:space="0" w:color="D9D9D9"/>
              <w:left w:val="nil"/>
              <w:bottom w:val="single" w:sz="8" w:space="0" w:color="D9D9D9"/>
              <w:right w:val="single" w:sz="8" w:space="0" w:color="D9D9D9"/>
            </w:tcBorders>
          </w:tcPr>
          <w:p>
            <w:pPr>
              <w:pStyle w:val="TableParagraph"/>
              <w:spacing w:before="27"/>
              <w:ind w:left="136"/>
              <w:rPr>
                <w:rFonts w:ascii="Calibri"/>
                <w:sz w:val="20"/>
              </w:rPr>
            </w:pPr>
            <w:r>
              <w:rPr>
                <w:rFonts w:ascii="Calibri"/>
                <w:color w:val="1C242C"/>
                <w:sz w:val="20"/>
              </w:rPr>
              <w:t>Bronze</w:t>
            </w:r>
            <w:r>
              <w:rPr>
                <w:rFonts w:ascii="Calibri"/>
                <w:color w:val="1C242C"/>
                <w:spacing w:val="-9"/>
                <w:sz w:val="20"/>
              </w:rPr>
              <w:t xml:space="preserve"> </w:t>
            </w:r>
            <w:r>
              <w:rPr>
                <w:rFonts w:ascii="Calibri"/>
                <w:color w:val="1C242C"/>
                <w:spacing w:val="-2"/>
                <w:sz w:val="20"/>
              </w:rPr>
              <w:t>Expanded</w:t>
            </w:r>
          </w:p>
        </w:tc>
        <w:tc>
          <w:tcPr>
            <w:tcW w:w="1042" w:type="dxa"/>
            <w:tcBorders>
              <w:top w:val="single" w:sz="8" w:space="0" w:color="D9D9D9"/>
              <w:left w:val="single" w:sz="8" w:space="0" w:color="D9D9D9"/>
              <w:bottom w:val="single" w:sz="8" w:space="0" w:color="D9D9D9"/>
              <w:right w:val="single" w:sz="8" w:space="0" w:color="D9D9D9"/>
            </w:tcBorders>
          </w:tcPr>
          <w:p>
            <w:pPr>
              <w:pStyle w:val="TableParagraph"/>
              <w:spacing w:before="27"/>
              <w:ind w:right="5"/>
              <w:jc w:val="center"/>
              <w:rPr>
                <w:rFonts w:ascii="Calibri"/>
                <w:sz w:val="20"/>
              </w:rPr>
            </w:pPr>
            <w:r>
              <w:rPr>
                <w:rFonts w:ascii="Calibri"/>
                <w:color w:val="1C242C"/>
                <w:spacing w:val="-2"/>
                <w:sz w:val="20"/>
              </w:rPr>
              <w:t>30,484</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spacing w:before="27"/>
              <w:ind w:left="2" w:right="2"/>
              <w:jc w:val="center"/>
              <w:rPr>
                <w:rFonts w:ascii="Calibri"/>
                <w:sz w:val="20"/>
              </w:rPr>
            </w:pPr>
            <w:r>
              <w:rPr>
                <w:rFonts w:ascii="Calibri"/>
                <w:color w:val="1C242C"/>
                <w:spacing w:val="-4"/>
                <w:sz w:val="20"/>
              </w:rPr>
              <w:t>0.99</w:t>
            </w:r>
          </w:p>
        </w:tc>
        <w:tc>
          <w:tcPr>
            <w:tcW w:w="1232" w:type="dxa"/>
            <w:tcBorders>
              <w:top w:val="single" w:sz="8" w:space="0" w:color="D9D9D9"/>
              <w:left w:val="single" w:sz="8" w:space="0" w:color="D9D9D9"/>
              <w:bottom w:val="single" w:sz="8" w:space="0" w:color="D9D9D9"/>
              <w:right w:val="single" w:sz="8" w:space="0" w:color="D9D9D9"/>
            </w:tcBorders>
          </w:tcPr>
          <w:p>
            <w:pPr>
              <w:pStyle w:val="TableParagraph"/>
              <w:spacing w:before="27"/>
              <w:ind w:right="3"/>
              <w:jc w:val="center"/>
              <w:rPr>
                <w:rFonts w:ascii="Calibri"/>
                <w:sz w:val="20"/>
              </w:rPr>
            </w:pPr>
            <w:r>
              <w:rPr>
                <w:rFonts w:ascii="Calibri"/>
                <w:color w:val="1C242C"/>
                <w:spacing w:val="-4"/>
                <w:sz w:val="20"/>
              </w:rPr>
              <w:t>0.94</w:t>
            </w:r>
          </w:p>
        </w:tc>
        <w:tc>
          <w:tcPr>
            <w:tcW w:w="1270" w:type="dxa"/>
            <w:tcBorders>
              <w:top w:val="single" w:sz="8" w:space="0" w:color="D9D9D9"/>
              <w:left w:val="single" w:sz="8" w:space="0" w:color="D9D9D9"/>
              <w:bottom w:val="single" w:sz="8" w:space="0" w:color="D9D9D9"/>
              <w:right w:val="nil"/>
            </w:tcBorders>
          </w:tcPr>
          <w:p>
            <w:pPr>
              <w:pStyle w:val="TableParagraph"/>
              <w:spacing w:before="27"/>
              <w:ind w:right="52"/>
              <w:jc w:val="center"/>
              <w:rPr>
                <w:rFonts w:ascii="Calibri"/>
                <w:sz w:val="20"/>
              </w:rPr>
            </w:pPr>
            <w:r>
              <w:rPr>
                <w:rFonts w:ascii="Calibri"/>
                <w:color w:val="1C242C"/>
                <w:spacing w:val="-4"/>
                <w:sz w:val="20"/>
              </w:rPr>
              <w:t>0.96</w:t>
            </w:r>
          </w:p>
        </w:tc>
      </w:tr>
      <w:tr>
        <w:tblPrEx>
          <w:tblW w:w="0" w:type="auto"/>
          <w:jc w:val="left"/>
          <w:tblInd w:w="339" w:type="dxa"/>
          <w:tblLayout w:type="fixed"/>
          <w:tblCellMar>
            <w:top w:w="0" w:type="dxa"/>
            <w:left w:w="0" w:type="dxa"/>
            <w:bottom w:w="0" w:type="dxa"/>
            <w:right w:w="0" w:type="dxa"/>
          </w:tblCellMar>
          <w:tblLook w:val="01E0"/>
        </w:tblPrEx>
        <w:trPr>
          <w:trHeight w:val="299"/>
          <w:jc w:val="left"/>
        </w:trPr>
        <w:tc>
          <w:tcPr>
            <w:tcW w:w="4849" w:type="dxa"/>
            <w:tcBorders>
              <w:top w:val="single" w:sz="8" w:space="0" w:color="D9D9D9"/>
              <w:left w:val="nil"/>
              <w:bottom w:val="single" w:sz="8" w:space="0" w:color="D9D9D9"/>
              <w:right w:val="single" w:sz="8" w:space="0" w:color="D9D9D9"/>
            </w:tcBorders>
          </w:tcPr>
          <w:p>
            <w:pPr>
              <w:pStyle w:val="TableParagraph"/>
              <w:ind w:left="136"/>
              <w:rPr>
                <w:rFonts w:ascii="Calibri"/>
                <w:sz w:val="20"/>
              </w:rPr>
            </w:pPr>
            <w:r>
              <w:rPr>
                <w:rFonts w:ascii="Calibri"/>
                <w:color w:val="1C242C"/>
                <w:spacing w:val="-2"/>
                <w:sz w:val="20"/>
              </w:rPr>
              <w:t>Silver</w:t>
            </w:r>
          </w:p>
        </w:tc>
        <w:tc>
          <w:tcPr>
            <w:tcW w:w="1042" w:type="dxa"/>
            <w:tcBorders>
              <w:top w:val="single" w:sz="8" w:space="0" w:color="D9D9D9"/>
              <w:left w:val="single" w:sz="8" w:space="0" w:color="D9D9D9"/>
              <w:bottom w:val="single" w:sz="8" w:space="0" w:color="D9D9D9"/>
              <w:right w:val="single" w:sz="8" w:space="0" w:color="D9D9D9"/>
            </w:tcBorders>
          </w:tcPr>
          <w:p>
            <w:pPr>
              <w:pStyle w:val="TableParagraph"/>
              <w:ind w:right="5"/>
              <w:jc w:val="center"/>
              <w:rPr>
                <w:rFonts w:ascii="Calibri"/>
                <w:sz w:val="20"/>
              </w:rPr>
            </w:pPr>
            <w:r>
              <w:rPr>
                <w:rFonts w:ascii="Calibri"/>
                <w:color w:val="1C242C"/>
                <w:spacing w:val="-2"/>
                <w:sz w:val="20"/>
              </w:rPr>
              <w:t>279,020</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ind w:left="1" w:right="3"/>
              <w:jc w:val="center"/>
              <w:rPr>
                <w:rFonts w:ascii="Calibri"/>
                <w:sz w:val="20"/>
              </w:rPr>
            </w:pPr>
            <w:r>
              <w:rPr>
                <w:rFonts w:ascii="Calibri"/>
                <w:color w:val="1C242C"/>
                <w:spacing w:val="-2"/>
                <w:sz w:val="20"/>
              </w:rPr>
              <w:t>1.07*</w:t>
            </w:r>
          </w:p>
        </w:tc>
        <w:tc>
          <w:tcPr>
            <w:tcW w:w="1232" w:type="dxa"/>
            <w:tcBorders>
              <w:top w:val="single" w:sz="8" w:space="0" w:color="D9D9D9"/>
              <w:left w:val="single" w:sz="8" w:space="0" w:color="D9D9D9"/>
              <w:bottom w:val="single" w:sz="8" w:space="0" w:color="D9D9D9"/>
              <w:right w:val="single" w:sz="8" w:space="0" w:color="D9D9D9"/>
            </w:tcBorders>
          </w:tcPr>
          <w:p>
            <w:pPr>
              <w:pStyle w:val="TableParagraph"/>
              <w:ind w:right="3"/>
              <w:jc w:val="center"/>
              <w:rPr>
                <w:rFonts w:ascii="Calibri"/>
                <w:sz w:val="20"/>
              </w:rPr>
            </w:pPr>
            <w:r>
              <w:rPr>
                <w:rFonts w:ascii="Calibri"/>
                <w:color w:val="1C242C"/>
                <w:spacing w:val="-4"/>
                <w:sz w:val="20"/>
              </w:rPr>
              <w:t>1.04</w:t>
            </w:r>
          </w:p>
        </w:tc>
        <w:tc>
          <w:tcPr>
            <w:tcW w:w="1270" w:type="dxa"/>
            <w:tcBorders>
              <w:top w:val="single" w:sz="8" w:space="0" w:color="D9D9D9"/>
              <w:left w:val="single" w:sz="8" w:space="0" w:color="D9D9D9"/>
              <w:bottom w:val="single" w:sz="8" w:space="0" w:color="D9D9D9"/>
              <w:right w:val="nil"/>
            </w:tcBorders>
          </w:tcPr>
          <w:p>
            <w:pPr>
              <w:pStyle w:val="TableParagraph"/>
              <w:ind w:right="52"/>
              <w:jc w:val="center"/>
              <w:rPr>
                <w:rFonts w:ascii="Calibri"/>
                <w:sz w:val="20"/>
              </w:rPr>
            </w:pPr>
            <w:r>
              <w:rPr>
                <w:rFonts w:ascii="Calibri"/>
                <w:color w:val="1C242C"/>
                <w:spacing w:val="-4"/>
                <w:sz w:val="20"/>
              </w:rPr>
              <w:t>1.03</w:t>
            </w:r>
          </w:p>
        </w:tc>
      </w:tr>
      <w:tr>
        <w:tblPrEx>
          <w:tblW w:w="0" w:type="auto"/>
          <w:jc w:val="left"/>
          <w:tblInd w:w="339" w:type="dxa"/>
          <w:tblLayout w:type="fixed"/>
          <w:tblCellMar>
            <w:top w:w="0" w:type="dxa"/>
            <w:left w:w="0" w:type="dxa"/>
            <w:bottom w:w="0" w:type="dxa"/>
            <w:right w:w="0" w:type="dxa"/>
          </w:tblCellMar>
          <w:tblLook w:val="01E0"/>
        </w:tblPrEx>
        <w:trPr>
          <w:trHeight w:val="301"/>
          <w:jc w:val="left"/>
        </w:trPr>
        <w:tc>
          <w:tcPr>
            <w:tcW w:w="4849" w:type="dxa"/>
            <w:tcBorders>
              <w:top w:val="single" w:sz="8" w:space="0" w:color="D9D9D9"/>
              <w:left w:val="nil"/>
              <w:bottom w:val="single" w:sz="8" w:space="0" w:color="D9D9D9"/>
              <w:right w:val="single" w:sz="8" w:space="0" w:color="D9D9D9"/>
            </w:tcBorders>
          </w:tcPr>
          <w:p>
            <w:pPr>
              <w:pStyle w:val="TableParagraph"/>
              <w:ind w:left="136"/>
              <w:rPr>
                <w:rFonts w:ascii="Calibri"/>
                <w:sz w:val="20"/>
              </w:rPr>
            </w:pPr>
            <w:r>
              <w:rPr>
                <w:rFonts w:ascii="Calibri"/>
                <w:color w:val="1C242C"/>
                <w:spacing w:val="-4"/>
                <w:sz w:val="20"/>
              </w:rPr>
              <w:t>Gold</w:t>
            </w:r>
          </w:p>
        </w:tc>
        <w:tc>
          <w:tcPr>
            <w:tcW w:w="1042" w:type="dxa"/>
            <w:tcBorders>
              <w:top w:val="single" w:sz="8" w:space="0" w:color="D9D9D9"/>
              <w:left w:val="single" w:sz="8" w:space="0" w:color="D9D9D9"/>
              <w:bottom w:val="single" w:sz="8" w:space="0" w:color="D9D9D9"/>
              <w:right w:val="single" w:sz="8" w:space="0" w:color="D9D9D9"/>
            </w:tcBorders>
          </w:tcPr>
          <w:p>
            <w:pPr>
              <w:pStyle w:val="TableParagraph"/>
              <w:ind w:right="5"/>
              <w:jc w:val="center"/>
              <w:rPr>
                <w:rFonts w:ascii="Calibri"/>
                <w:sz w:val="20"/>
              </w:rPr>
            </w:pPr>
            <w:r>
              <w:rPr>
                <w:rFonts w:ascii="Calibri"/>
                <w:color w:val="1C242C"/>
                <w:spacing w:val="-2"/>
                <w:sz w:val="20"/>
              </w:rPr>
              <w:t>88,585</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ind w:left="1" w:right="3"/>
              <w:jc w:val="center"/>
              <w:rPr>
                <w:rFonts w:ascii="Calibri"/>
                <w:sz w:val="20"/>
              </w:rPr>
            </w:pPr>
            <w:r>
              <w:rPr>
                <w:rFonts w:ascii="Calibri"/>
                <w:color w:val="1C242C"/>
                <w:spacing w:val="-2"/>
                <w:sz w:val="20"/>
              </w:rPr>
              <w:t>1.10*</w:t>
            </w:r>
          </w:p>
        </w:tc>
        <w:tc>
          <w:tcPr>
            <w:tcW w:w="1232" w:type="dxa"/>
            <w:tcBorders>
              <w:top w:val="single" w:sz="8" w:space="0" w:color="D9D9D9"/>
              <w:left w:val="single" w:sz="8" w:space="0" w:color="D9D9D9"/>
              <w:bottom w:val="single" w:sz="8" w:space="0" w:color="D9D9D9"/>
              <w:right w:val="single" w:sz="8" w:space="0" w:color="D9D9D9"/>
            </w:tcBorders>
          </w:tcPr>
          <w:p>
            <w:pPr>
              <w:pStyle w:val="TableParagraph"/>
              <w:ind w:right="3"/>
              <w:jc w:val="center"/>
              <w:rPr>
                <w:rFonts w:ascii="Calibri"/>
                <w:sz w:val="20"/>
              </w:rPr>
            </w:pPr>
            <w:r>
              <w:rPr>
                <w:rFonts w:ascii="Calibri"/>
                <w:color w:val="1C242C"/>
                <w:spacing w:val="-4"/>
                <w:sz w:val="20"/>
              </w:rPr>
              <w:t>1.07</w:t>
            </w:r>
          </w:p>
        </w:tc>
        <w:tc>
          <w:tcPr>
            <w:tcW w:w="1270" w:type="dxa"/>
            <w:tcBorders>
              <w:top w:val="single" w:sz="8" w:space="0" w:color="D9D9D9"/>
              <w:left w:val="single" w:sz="8" w:space="0" w:color="D9D9D9"/>
              <w:bottom w:val="single" w:sz="8" w:space="0" w:color="D9D9D9"/>
              <w:right w:val="nil"/>
            </w:tcBorders>
          </w:tcPr>
          <w:p>
            <w:pPr>
              <w:pStyle w:val="TableParagraph"/>
              <w:ind w:right="52"/>
              <w:jc w:val="center"/>
              <w:rPr>
                <w:rFonts w:ascii="Calibri"/>
                <w:sz w:val="20"/>
              </w:rPr>
            </w:pPr>
            <w:r>
              <w:rPr>
                <w:rFonts w:ascii="Calibri"/>
                <w:color w:val="1C242C"/>
                <w:spacing w:val="-4"/>
                <w:sz w:val="20"/>
              </w:rPr>
              <w:t>1.12</w:t>
            </w:r>
          </w:p>
        </w:tc>
      </w:tr>
      <w:tr>
        <w:tblPrEx>
          <w:tblW w:w="0" w:type="auto"/>
          <w:jc w:val="left"/>
          <w:tblInd w:w="339" w:type="dxa"/>
          <w:tblLayout w:type="fixed"/>
          <w:tblCellMar>
            <w:top w:w="0" w:type="dxa"/>
            <w:left w:w="0" w:type="dxa"/>
            <w:bottom w:w="0" w:type="dxa"/>
            <w:right w:w="0" w:type="dxa"/>
          </w:tblCellMar>
          <w:tblLook w:val="01E0"/>
        </w:tblPrEx>
        <w:trPr>
          <w:trHeight w:val="299"/>
          <w:jc w:val="left"/>
        </w:trPr>
        <w:tc>
          <w:tcPr>
            <w:tcW w:w="4849" w:type="dxa"/>
            <w:tcBorders>
              <w:top w:val="single" w:sz="8" w:space="0" w:color="D9D9D9"/>
              <w:left w:val="nil"/>
              <w:bottom w:val="single" w:sz="8" w:space="0" w:color="D9D9D9"/>
              <w:right w:val="single" w:sz="8" w:space="0" w:color="D9D9D9"/>
            </w:tcBorders>
          </w:tcPr>
          <w:p>
            <w:pPr>
              <w:pStyle w:val="TableParagraph"/>
              <w:spacing w:before="27"/>
              <w:ind w:left="136"/>
              <w:rPr>
                <w:rFonts w:ascii="Calibri"/>
                <w:sz w:val="20"/>
              </w:rPr>
            </w:pPr>
            <w:r>
              <w:rPr>
                <w:rFonts w:ascii="Calibri"/>
                <w:color w:val="1C242C"/>
                <w:spacing w:val="-2"/>
                <w:sz w:val="20"/>
              </w:rPr>
              <w:t>Platinum</w:t>
            </w:r>
          </w:p>
        </w:tc>
        <w:tc>
          <w:tcPr>
            <w:tcW w:w="1042" w:type="dxa"/>
            <w:tcBorders>
              <w:top w:val="single" w:sz="8" w:space="0" w:color="D9D9D9"/>
              <w:left w:val="single" w:sz="8" w:space="0" w:color="D9D9D9"/>
              <w:bottom w:val="single" w:sz="8" w:space="0" w:color="D9D9D9"/>
              <w:right w:val="single" w:sz="8" w:space="0" w:color="D9D9D9"/>
            </w:tcBorders>
          </w:tcPr>
          <w:p>
            <w:pPr>
              <w:pStyle w:val="TableParagraph"/>
              <w:spacing w:before="27"/>
              <w:ind w:right="5"/>
              <w:jc w:val="center"/>
              <w:rPr>
                <w:rFonts w:ascii="Calibri"/>
                <w:sz w:val="20"/>
              </w:rPr>
            </w:pPr>
            <w:r>
              <w:rPr>
                <w:rFonts w:ascii="Calibri"/>
                <w:color w:val="1C242C"/>
                <w:spacing w:val="-2"/>
                <w:sz w:val="20"/>
              </w:rPr>
              <w:t>7,239</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spacing w:before="27"/>
              <w:ind w:left="1" w:right="3"/>
              <w:jc w:val="center"/>
              <w:rPr>
                <w:rFonts w:ascii="Calibri"/>
                <w:sz w:val="20"/>
              </w:rPr>
            </w:pPr>
            <w:r>
              <w:rPr>
                <w:rFonts w:ascii="Calibri"/>
                <w:color w:val="1C242C"/>
                <w:spacing w:val="-2"/>
                <w:sz w:val="20"/>
              </w:rPr>
              <w:t>1.19*</w:t>
            </w:r>
          </w:p>
        </w:tc>
        <w:tc>
          <w:tcPr>
            <w:tcW w:w="1232" w:type="dxa"/>
            <w:tcBorders>
              <w:top w:val="single" w:sz="8" w:space="0" w:color="D9D9D9"/>
              <w:left w:val="single" w:sz="8" w:space="0" w:color="D9D9D9"/>
              <w:bottom w:val="single" w:sz="8" w:space="0" w:color="D9D9D9"/>
              <w:right w:val="single" w:sz="8" w:space="0" w:color="D9D9D9"/>
            </w:tcBorders>
          </w:tcPr>
          <w:p>
            <w:pPr>
              <w:pStyle w:val="TableParagraph"/>
              <w:spacing w:before="27"/>
              <w:ind w:right="3"/>
              <w:jc w:val="center"/>
              <w:rPr>
                <w:rFonts w:ascii="Calibri"/>
                <w:sz w:val="20"/>
              </w:rPr>
            </w:pPr>
            <w:r>
              <w:rPr>
                <w:rFonts w:ascii="Calibri"/>
                <w:color w:val="1C242C"/>
                <w:spacing w:val="-4"/>
                <w:sz w:val="20"/>
              </w:rPr>
              <w:t>1.11</w:t>
            </w:r>
          </w:p>
        </w:tc>
        <w:tc>
          <w:tcPr>
            <w:tcW w:w="1270" w:type="dxa"/>
            <w:tcBorders>
              <w:top w:val="single" w:sz="8" w:space="0" w:color="D9D9D9"/>
              <w:left w:val="single" w:sz="8" w:space="0" w:color="D9D9D9"/>
              <w:bottom w:val="single" w:sz="8" w:space="0" w:color="D9D9D9"/>
              <w:right w:val="nil"/>
            </w:tcBorders>
          </w:tcPr>
          <w:p>
            <w:pPr>
              <w:pStyle w:val="TableParagraph"/>
              <w:spacing w:before="27"/>
              <w:ind w:right="52"/>
              <w:jc w:val="center"/>
              <w:rPr>
                <w:rFonts w:ascii="Calibri"/>
                <w:sz w:val="20"/>
              </w:rPr>
            </w:pPr>
            <w:r>
              <w:rPr>
                <w:rFonts w:ascii="Calibri"/>
                <w:color w:val="1C242C"/>
                <w:spacing w:val="-4"/>
                <w:sz w:val="20"/>
              </w:rPr>
              <w:t>1.18</w:t>
            </w:r>
          </w:p>
        </w:tc>
      </w:tr>
      <w:tr>
        <w:tblPrEx>
          <w:tblW w:w="0" w:type="auto"/>
          <w:jc w:val="left"/>
          <w:tblInd w:w="339" w:type="dxa"/>
          <w:tblLayout w:type="fixed"/>
          <w:tblCellMar>
            <w:top w:w="0" w:type="dxa"/>
            <w:left w:w="0" w:type="dxa"/>
            <w:bottom w:w="0" w:type="dxa"/>
            <w:right w:w="0" w:type="dxa"/>
          </w:tblCellMar>
          <w:tblLook w:val="01E0"/>
        </w:tblPrEx>
        <w:trPr>
          <w:trHeight w:val="299"/>
          <w:jc w:val="left"/>
        </w:trPr>
        <w:tc>
          <w:tcPr>
            <w:tcW w:w="4849" w:type="dxa"/>
            <w:tcBorders>
              <w:top w:val="single" w:sz="8" w:space="0" w:color="D9D9D9"/>
              <w:left w:val="nil"/>
              <w:bottom w:val="single" w:sz="8" w:space="0" w:color="D9D9D9"/>
              <w:right w:val="single" w:sz="8" w:space="0" w:color="D9D9D9"/>
            </w:tcBorders>
          </w:tcPr>
          <w:p>
            <w:pPr>
              <w:pStyle w:val="TableParagraph"/>
              <w:ind w:left="136"/>
              <w:rPr>
                <w:rFonts w:ascii="Calibri"/>
                <w:sz w:val="20"/>
              </w:rPr>
            </w:pPr>
            <w:r>
              <w:rPr>
                <w:rFonts w:ascii="Calibri"/>
                <w:color w:val="1C242C"/>
                <w:spacing w:val="-2"/>
                <w:sz w:val="20"/>
              </w:rPr>
              <w:t>Missing</w:t>
            </w:r>
          </w:p>
        </w:tc>
        <w:tc>
          <w:tcPr>
            <w:tcW w:w="1042" w:type="dxa"/>
            <w:tcBorders>
              <w:top w:val="single" w:sz="8" w:space="0" w:color="D9D9D9"/>
              <w:left w:val="single" w:sz="8" w:space="0" w:color="D9D9D9"/>
              <w:bottom w:val="single" w:sz="8" w:space="0" w:color="D9D9D9"/>
              <w:right w:val="single" w:sz="8" w:space="0" w:color="D9D9D9"/>
            </w:tcBorders>
          </w:tcPr>
          <w:p>
            <w:pPr>
              <w:pStyle w:val="TableParagraph"/>
              <w:ind w:right="5"/>
              <w:jc w:val="center"/>
              <w:rPr>
                <w:rFonts w:ascii="Calibri"/>
                <w:sz w:val="20"/>
              </w:rPr>
            </w:pPr>
            <w:r>
              <w:rPr>
                <w:rFonts w:ascii="Calibri"/>
                <w:color w:val="1C242C"/>
                <w:spacing w:val="-2"/>
                <w:sz w:val="20"/>
              </w:rPr>
              <w:t>30,802</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ind w:left="2" w:right="2"/>
              <w:jc w:val="center"/>
              <w:rPr>
                <w:rFonts w:ascii="Calibri"/>
                <w:sz w:val="20"/>
              </w:rPr>
            </w:pPr>
            <w:r>
              <w:rPr>
                <w:rFonts w:ascii="Calibri"/>
                <w:color w:val="1C242C"/>
                <w:spacing w:val="-4"/>
                <w:sz w:val="20"/>
              </w:rPr>
              <w:t>1.04</w:t>
            </w:r>
          </w:p>
        </w:tc>
        <w:tc>
          <w:tcPr>
            <w:tcW w:w="1232" w:type="dxa"/>
            <w:tcBorders>
              <w:top w:val="single" w:sz="8" w:space="0" w:color="D9D9D9"/>
              <w:left w:val="single" w:sz="8" w:space="0" w:color="D9D9D9"/>
              <w:bottom w:val="single" w:sz="8" w:space="0" w:color="D9D9D9"/>
              <w:right w:val="single" w:sz="8" w:space="0" w:color="D9D9D9"/>
            </w:tcBorders>
          </w:tcPr>
          <w:p>
            <w:pPr>
              <w:pStyle w:val="TableParagraph"/>
              <w:ind w:right="3"/>
              <w:jc w:val="center"/>
              <w:rPr>
                <w:rFonts w:ascii="Calibri"/>
                <w:sz w:val="20"/>
              </w:rPr>
            </w:pPr>
            <w:r>
              <w:rPr>
                <w:rFonts w:ascii="Calibri"/>
                <w:color w:val="1C242C"/>
                <w:spacing w:val="-4"/>
                <w:sz w:val="20"/>
              </w:rPr>
              <w:t>0.98</w:t>
            </w:r>
          </w:p>
        </w:tc>
        <w:tc>
          <w:tcPr>
            <w:tcW w:w="1270" w:type="dxa"/>
            <w:tcBorders>
              <w:top w:val="single" w:sz="8" w:space="0" w:color="D9D9D9"/>
              <w:left w:val="single" w:sz="8" w:space="0" w:color="D9D9D9"/>
              <w:bottom w:val="single" w:sz="8" w:space="0" w:color="D9D9D9"/>
              <w:right w:val="nil"/>
            </w:tcBorders>
          </w:tcPr>
          <w:p>
            <w:pPr>
              <w:pStyle w:val="TableParagraph"/>
              <w:ind w:right="52"/>
              <w:jc w:val="center"/>
              <w:rPr>
                <w:rFonts w:ascii="Calibri"/>
                <w:sz w:val="20"/>
              </w:rPr>
            </w:pPr>
            <w:r>
              <w:rPr>
                <w:rFonts w:ascii="Calibri"/>
                <w:color w:val="1C242C"/>
                <w:spacing w:val="-4"/>
                <w:sz w:val="20"/>
              </w:rPr>
              <w:t>1.09</w:t>
            </w:r>
          </w:p>
        </w:tc>
      </w:tr>
      <w:tr>
        <w:tblPrEx>
          <w:tblW w:w="0" w:type="auto"/>
          <w:jc w:val="left"/>
          <w:tblInd w:w="339" w:type="dxa"/>
          <w:tblLayout w:type="fixed"/>
          <w:tblCellMar>
            <w:top w:w="0" w:type="dxa"/>
            <w:left w:w="0" w:type="dxa"/>
            <w:bottom w:w="0" w:type="dxa"/>
            <w:right w:w="0" w:type="dxa"/>
          </w:tblCellMar>
          <w:tblLook w:val="01E0"/>
        </w:tblPrEx>
        <w:trPr>
          <w:trHeight w:val="301"/>
          <w:jc w:val="left"/>
        </w:trPr>
        <w:tc>
          <w:tcPr>
            <w:tcW w:w="9420" w:type="dxa"/>
            <w:gridSpan w:val="5"/>
            <w:tcBorders>
              <w:top w:val="single" w:sz="8" w:space="0" w:color="D9D9D9"/>
              <w:left w:val="nil"/>
              <w:bottom w:val="single" w:sz="8" w:space="0" w:color="D9D9D9"/>
              <w:right w:val="nil"/>
            </w:tcBorders>
            <w:shd w:val="clear" w:color="auto" w:fill="D1EDFB"/>
          </w:tcPr>
          <w:p>
            <w:pPr>
              <w:pStyle w:val="TableParagraph"/>
              <w:ind w:left="136"/>
              <w:rPr>
                <w:rFonts w:ascii="Calibri"/>
                <w:sz w:val="20"/>
              </w:rPr>
            </w:pPr>
            <w:r>
              <w:rPr>
                <w:rFonts w:ascii="Calibri"/>
                <w:b/>
                <w:color w:val="1C242C"/>
                <w:sz w:val="20"/>
              </w:rPr>
              <w:t>Product</w:t>
            </w:r>
            <w:r>
              <w:rPr>
                <w:rFonts w:ascii="Calibri"/>
                <w:b/>
                <w:color w:val="1C242C"/>
                <w:spacing w:val="-6"/>
                <w:sz w:val="20"/>
              </w:rPr>
              <w:t xml:space="preserve"> </w:t>
            </w:r>
            <w:r>
              <w:rPr>
                <w:rFonts w:ascii="Calibri"/>
                <w:b/>
                <w:color w:val="1C242C"/>
                <w:sz w:val="20"/>
              </w:rPr>
              <w:t>type</w:t>
            </w:r>
            <w:r>
              <w:rPr>
                <w:rFonts w:ascii="Calibri"/>
                <w:b/>
                <w:color w:val="1C242C"/>
                <w:spacing w:val="-5"/>
                <w:sz w:val="20"/>
              </w:rPr>
              <w:t xml:space="preserve"> </w:t>
            </w:r>
            <w:r>
              <w:rPr>
                <w:rFonts w:ascii="Calibri"/>
                <w:color w:val="1C242C"/>
                <w:sz w:val="20"/>
              </w:rPr>
              <w:t>(Ref:</w:t>
            </w:r>
            <w:r>
              <w:rPr>
                <w:rFonts w:ascii="Calibri"/>
                <w:color w:val="1C242C"/>
                <w:spacing w:val="-7"/>
                <w:sz w:val="20"/>
              </w:rPr>
              <w:t xml:space="preserve"> </w:t>
            </w:r>
            <w:r>
              <w:rPr>
                <w:rFonts w:ascii="Calibri"/>
                <w:color w:val="1C242C"/>
                <w:spacing w:val="-4"/>
                <w:sz w:val="20"/>
              </w:rPr>
              <w:t>EPO)</w:t>
            </w:r>
          </w:p>
        </w:tc>
      </w:tr>
      <w:tr>
        <w:tblPrEx>
          <w:tblW w:w="0" w:type="auto"/>
          <w:jc w:val="left"/>
          <w:tblInd w:w="339" w:type="dxa"/>
          <w:tblLayout w:type="fixed"/>
          <w:tblCellMar>
            <w:top w:w="0" w:type="dxa"/>
            <w:left w:w="0" w:type="dxa"/>
            <w:bottom w:w="0" w:type="dxa"/>
            <w:right w:w="0" w:type="dxa"/>
          </w:tblCellMar>
          <w:tblLook w:val="01E0"/>
        </w:tblPrEx>
        <w:trPr>
          <w:trHeight w:val="299"/>
          <w:jc w:val="left"/>
        </w:trPr>
        <w:tc>
          <w:tcPr>
            <w:tcW w:w="4849" w:type="dxa"/>
            <w:tcBorders>
              <w:top w:val="single" w:sz="8" w:space="0" w:color="D9D9D9"/>
              <w:left w:val="nil"/>
              <w:bottom w:val="single" w:sz="8" w:space="0" w:color="D9D9D9"/>
              <w:right w:val="single" w:sz="8" w:space="0" w:color="D9D9D9"/>
            </w:tcBorders>
          </w:tcPr>
          <w:p>
            <w:pPr>
              <w:pStyle w:val="TableParagraph"/>
              <w:spacing w:before="27"/>
              <w:ind w:left="136"/>
              <w:rPr>
                <w:rFonts w:ascii="Calibri"/>
                <w:sz w:val="20"/>
              </w:rPr>
            </w:pPr>
            <w:r>
              <w:rPr>
                <w:rFonts w:ascii="Calibri"/>
                <w:color w:val="1C242C"/>
                <w:spacing w:val="-5"/>
                <w:sz w:val="20"/>
              </w:rPr>
              <w:t>EPO</w:t>
            </w:r>
          </w:p>
        </w:tc>
        <w:tc>
          <w:tcPr>
            <w:tcW w:w="1042" w:type="dxa"/>
            <w:tcBorders>
              <w:top w:val="single" w:sz="8" w:space="0" w:color="D9D9D9"/>
              <w:left w:val="single" w:sz="8" w:space="0" w:color="D9D9D9"/>
              <w:bottom w:val="single" w:sz="8" w:space="0" w:color="D9D9D9"/>
              <w:right w:val="single" w:sz="8" w:space="0" w:color="D9D9D9"/>
            </w:tcBorders>
          </w:tcPr>
          <w:p>
            <w:pPr>
              <w:pStyle w:val="TableParagraph"/>
              <w:spacing w:before="27"/>
              <w:ind w:right="5"/>
              <w:jc w:val="center"/>
              <w:rPr>
                <w:rFonts w:ascii="Calibri"/>
                <w:sz w:val="20"/>
              </w:rPr>
            </w:pPr>
            <w:r>
              <w:rPr>
                <w:rFonts w:ascii="Calibri"/>
                <w:spacing w:val="-2"/>
                <w:sz w:val="20"/>
              </w:rPr>
              <w:t>142,463</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spacing w:before="27"/>
              <w:ind w:left="2" w:right="2"/>
              <w:jc w:val="center"/>
              <w:rPr>
                <w:rFonts w:ascii="Calibri"/>
                <w:sz w:val="20"/>
              </w:rPr>
            </w:pPr>
            <w:r>
              <w:rPr>
                <w:rFonts w:ascii="Calibri"/>
                <w:color w:val="1C242C"/>
                <w:spacing w:val="-5"/>
                <w:sz w:val="20"/>
              </w:rPr>
              <w:t>REF</w:t>
            </w:r>
          </w:p>
        </w:tc>
        <w:tc>
          <w:tcPr>
            <w:tcW w:w="1232" w:type="dxa"/>
            <w:tcBorders>
              <w:top w:val="single" w:sz="8" w:space="0" w:color="D9D9D9"/>
              <w:left w:val="single" w:sz="8" w:space="0" w:color="D9D9D9"/>
              <w:bottom w:val="single" w:sz="8" w:space="0" w:color="D9D9D9"/>
              <w:right w:val="single" w:sz="8" w:space="0" w:color="D9D9D9"/>
            </w:tcBorders>
          </w:tcPr>
          <w:p>
            <w:pPr>
              <w:pStyle w:val="TableParagraph"/>
              <w:spacing w:before="27"/>
              <w:ind w:right="3"/>
              <w:jc w:val="center"/>
              <w:rPr>
                <w:rFonts w:ascii="Calibri" w:hAnsi="Calibri"/>
                <w:sz w:val="20"/>
              </w:rPr>
            </w:pPr>
            <w:r>
              <w:rPr>
                <w:rFonts w:ascii="Calibri" w:hAnsi="Calibri"/>
                <w:color w:val="1C242C"/>
                <w:spacing w:val="-10"/>
                <w:sz w:val="20"/>
              </w:rPr>
              <w:t>–</w:t>
            </w:r>
          </w:p>
        </w:tc>
        <w:tc>
          <w:tcPr>
            <w:tcW w:w="1270" w:type="dxa"/>
            <w:tcBorders>
              <w:top w:val="single" w:sz="8" w:space="0" w:color="D9D9D9"/>
              <w:left w:val="single" w:sz="8" w:space="0" w:color="D9D9D9"/>
              <w:bottom w:val="single" w:sz="8" w:space="0" w:color="D9D9D9"/>
              <w:right w:val="nil"/>
            </w:tcBorders>
          </w:tcPr>
          <w:p>
            <w:pPr>
              <w:pStyle w:val="TableParagraph"/>
              <w:spacing w:before="27"/>
              <w:ind w:left="1" w:right="52"/>
              <w:jc w:val="center"/>
              <w:rPr>
                <w:rFonts w:ascii="Calibri" w:hAnsi="Calibri"/>
                <w:sz w:val="20"/>
              </w:rPr>
            </w:pPr>
            <w:r>
              <w:rPr>
                <w:rFonts w:ascii="Calibri" w:hAnsi="Calibri"/>
                <w:color w:val="1C242C"/>
                <w:spacing w:val="-10"/>
                <w:sz w:val="20"/>
              </w:rPr>
              <w:t>–</w:t>
            </w:r>
          </w:p>
        </w:tc>
      </w:tr>
      <w:tr>
        <w:tblPrEx>
          <w:tblW w:w="0" w:type="auto"/>
          <w:jc w:val="left"/>
          <w:tblInd w:w="339" w:type="dxa"/>
          <w:tblLayout w:type="fixed"/>
          <w:tblCellMar>
            <w:top w:w="0" w:type="dxa"/>
            <w:left w:w="0" w:type="dxa"/>
            <w:bottom w:w="0" w:type="dxa"/>
            <w:right w:w="0" w:type="dxa"/>
          </w:tblCellMar>
          <w:tblLook w:val="01E0"/>
        </w:tblPrEx>
        <w:trPr>
          <w:trHeight w:val="299"/>
          <w:jc w:val="left"/>
        </w:trPr>
        <w:tc>
          <w:tcPr>
            <w:tcW w:w="4849" w:type="dxa"/>
            <w:tcBorders>
              <w:top w:val="single" w:sz="8" w:space="0" w:color="D9D9D9"/>
              <w:left w:val="nil"/>
              <w:bottom w:val="single" w:sz="8" w:space="0" w:color="D9D9D9"/>
              <w:right w:val="single" w:sz="8" w:space="0" w:color="D9D9D9"/>
            </w:tcBorders>
          </w:tcPr>
          <w:p>
            <w:pPr>
              <w:pStyle w:val="TableParagraph"/>
              <w:ind w:left="136"/>
              <w:rPr>
                <w:rFonts w:ascii="Calibri"/>
                <w:sz w:val="20"/>
              </w:rPr>
            </w:pPr>
            <w:r>
              <w:rPr>
                <w:rFonts w:ascii="Calibri"/>
                <w:color w:val="1C242C"/>
                <w:spacing w:val="-5"/>
                <w:sz w:val="20"/>
              </w:rPr>
              <w:t>HMO</w:t>
            </w:r>
          </w:p>
        </w:tc>
        <w:tc>
          <w:tcPr>
            <w:tcW w:w="1042" w:type="dxa"/>
            <w:tcBorders>
              <w:top w:val="single" w:sz="8" w:space="0" w:color="D9D9D9"/>
              <w:left w:val="single" w:sz="8" w:space="0" w:color="D9D9D9"/>
              <w:bottom w:val="single" w:sz="8" w:space="0" w:color="D9D9D9"/>
              <w:right w:val="single" w:sz="8" w:space="0" w:color="D9D9D9"/>
            </w:tcBorders>
          </w:tcPr>
          <w:p>
            <w:pPr>
              <w:pStyle w:val="TableParagraph"/>
              <w:ind w:right="5"/>
              <w:jc w:val="center"/>
              <w:rPr>
                <w:rFonts w:ascii="Calibri"/>
                <w:sz w:val="20"/>
              </w:rPr>
            </w:pPr>
            <w:r>
              <w:rPr>
                <w:rFonts w:ascii="Calibri"/>
                <w:color w:val="1C242C"/>
                <w:spacing w:val="-2"/>
                <w:sz w:val="20"/>
              </w:rPr>
              <w:t>333,952</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ind w:left="2" w:right="2"/>
              <w:jc w:val="center"/>
              <w:rPr>
                <w:rFonts w:ascii="Calibri"/>
                <w:sz w:val="20"/>
              </w:rPr>
            </w:pPr>
            <w:r>
              <w:rPr>
                <w:rFonts w:ascii="Calibri"/>
                <w:color w:val="1C242C"/>
                <w:spacing w:val="-4"/>
                <w:sz w:val="20"/>
              </w:rPr>
              <w:t>0.99</w:t>
            </w:r>
          </w:p>
        </w:tc>
        <w:tc>
          <w:tcPr>
            <w:tcW w:w="1232" w:type="dxa"/>
            <w:tcBorders>
              <w:top w:val="single" w:sz="8" w:space="0" w:color="D9D9D9"/>
              <w:left w:val="single" w:sz="8" w:space="0" w:color="D9D9D9"/>
              <w:bottom w:val="single" w:sz="8" w:space="0" w:color="D9D9D9"/>
              <w:right w:val="single" w:sz="8" w:space="0" w:color="D9D9D9"/>
            </w:tcBorders>
          </w:tcPr>
          <w:p>
            <w:pPr>
              <w:pStyle w:val="TableParagraph"/>
              <w:ind w:right="3"/>
              <w:jc w:val="center"/>
              <w:rPr>
                <w:rFonts w:ascii="Calibri"/>
                <w:sz w:val="20"/>
              </w:rPr>
            </w:pPr>
            <w:r>
              <w:rPr>
                <w:rFonts w:ascii="Calibri"/>
                <w:color w:val="1C242C"/>
                <w:spacing w:val="-4"/>
                <w:sz w:val="20"/>
              </w:rPr>
              <w:t>0.97</w:t>
            </w:r>
          </w:p>
        </w:tc>
        <w:tc>
          <w:tcPr>
            <w:tcW w:w="1270" w:type="dxa"/>
            <w:tcBorders>
              <w:top w:val="single" w:sz="8" w:space="0" w:color="D9D9D9"/>
              <w:left w:val="single" w:sz="8" w:space="0" w:color="D9D9D9"/>
              <w:bottom w:val="single" w:sz="8" w:space="0" w:color="D9D9D9"/>
              <w:right w:val="nil"/>
            </w:tcBorders>
          </w:tcPr>
          <w:p>
            <w:pPr>
              <w:pStyle w:val="TableParagraph"/>
              <w:ind w:right="52"/>
              <w:jc w:val="center"/>
              <w:rPr>
                <w:rFonts w:ascii="Calibri"/>
                <w:sz w:val="20"/>
              </w:rPr>
            </w:pPr>
            <w:r>
              <w:rPr>
                <w:rFonts w:ascii="Calibri"/>
                <w:color w:val="1C242C"/>
                <w:spacing w:val="-4"/>
                <w:sz w:val="20"/>
              </w:rPr>
              <w:t>1.02</w:t>
            </w:r>
          </w:p>
        </w:tc>
      </w:tr>
      <w:tr>
        <w:tblPrEx>
          <w:tblW w:w="0" w:type="auto"/>
          <w:jc w:val="left"/>
          <w:tblInd w:w="339" w:type="dxa"/>
          <w:tblLayout w:type="fixed"/>
          <w:tblCellMar>
            <w:top w:w="0" w:type="dxa"/>
            <w:left w:w="0" w:type="dxa"/>
            <w:bottom w:w="0" w:type="dxa"/>
            <w:right w:w="0" w:type="dxa"/>
          </w:tblCellMar>
          <w:tblLook w:val="01E0"/>
        </w:tblPrEx>
        <w:trPr>
          <w:trHeight w:val="301"/>
          <w:jc w:val="left"/>
        </w:trPr>
        <w:tc>
          <w:tcPr>
            <w:tcW w:w="4849" w:type="dxa"/>
            <w:tcBorders>
              <w:top w:val="single" w:sz="8" w:space="0" w:color="D9D9D9"/>
              <w:left w:val="nil"/>
              <w:bottom w:val="single" w:sz="8" w:space="0" w:color="D9D9D9"/>
              <w:right w:val="single" w:sz="8" w:space="0" w:color="D9D9D9"/>
            </w:tcBorders>
          </w:tcPr>
          <w:p>
            <w:pPr>
              <w:pStyle w:val="TableParagraph"/>
              <w:ind w:left="136"/>
              <w:rPr>
                <w:rFonts w:ascii="Calibri"/>
                <w:sz w:val="20"/>
              </w:rPr>
            </w:pPr>
            <w:r>
              <w:rPr>
                <w:rFonts w:ascii="Calibri"/>
                <w:color w:val="1C242C"/>
                <w:spacing w:val="-5"/>
                <w:sz w:val="20"/>
              </w:rPr>
              <w:t>POS</w:t>
            </w:r>
          </w:p>
        </w:tc>
        <w:tc>
          <w:tcPr>
            <w:tcW w:w="1042" w:type="dxa"/>
            <w:tcBorders>
              <w:top w:val="single" w:sz="8" w:space="0" w:color="D9D9D9"/>
              <w:left w:val="single" w:sz="8" w:space="0" w:color="D9D9D9"/>
              <w:bottom w:val="single" w:sz="8" w:space="0" w:color="D9D9D9"/>
              <w:right w:val="single" w:sz="8" w:space="0" w:color="D9D9D9"/>
            </w:tcBorders>
          </w:tcPr>
          <w:p>
            <w:pPr>
              <w:pStyle w:val="TableParagraph"/>
              <w:ind w:right="5"/>
              <w:jc w:val="center"/>
              <w:rPr>
                <w:rFonts w:ascii="Calibri"/>
                <w:sz w:val="20"/>
              </w:rPr>
            </w:pPr>
            <w:r>
              <w:rPr>
                <w:rFonts w:ascii="Calibri"/>
                <w:color w:val="1C242C"/>
                <w:spacing w:val="-2"/>
                <w:sz w:val="20"/>
              </w:rPr>
              <w:t>37,366</w:t>
            </w:r>
          </w:p>
        </w:tc>
        <w:tc>
          <w:tcPr>
            <w:tcW w:w="1027" w:type="dxa"/>
            <w:tcBorders>
              <w:top w:val="single" w:sz="8" w:space="0" w:color="D9D9D9"/>
              <w:left w:val="single" w:sz="8" w:space="0" w:color="D9D9D9"/>
              <w:bottom w:val="single" w:sz="8" w:space="0" w:color="D9D9D9"/>
              <w:right w:val="single" w:sz="8" w:space="0" w:color="D9D9D9"/>
            </w:tcBorders>
          </w:tcPr>
          <w:p>
            <w:pPr>
              <w:pStyle w:val="TableParagraph"/>
              <w:ind w:left="1" w:right="3"/>
              <w:jc w:val="center"/>
              <w:rPr>
                <w:rFonts w:ascii="Calibri"/>
                <w:sz w:val="20"/>
              </w:rPr>
            </w:pPr>
            <w:r>
              <w:rPr>
                <w:rFonts w:ascii="Calibri"/>
                <w:color w:val="1C242C"/>
                <w:spacing w:val="-2"/>
                <w:sz w:val="20"/>
              </w:rPr>
              <w:t>1.11*</w:t>
            </w:r>
          </w:p>
        </w:tc>
        <w:tc>
          <w:tcPr>
            <w:tcW w:w="1232" w:type="dxa"/>
            <w:tcBorders>
              <w:top w:val="single" w:sz="8" w:space="0" w:color="D9D9D9"/>
              <w:left w:val="single" w:sz="8" w:space="0" w:color="D9D9D9"/>
              <w:bottom w:val="single" w:sz="8" w:space="0" w:color="D9D9D9"/>
              <w:right w:val="single" w:sz="8" w:space="0" w:color="D9D9D9"/>
            </w:tcBorders>
          </w:tcPr>
          <w:p>
            <w:pPr>
              <w:pStyle w:val="TableParagraph"/>
              <w:ind w:right="3"/>
              <w:jc w:val="center"/>
              <w:rPr>
                <w:rFonts w:ascii="Calibri"/>
                <w:sz w:val="20"/>
              </w:rPr>
            </w:pPr>
            <w:r>
              <w:rPr>
                <w:rFonts w:ascii="Calibri"/>
                <w:color w:val="1C242C"/>
                <w:spacing w:val="-4"/>
                <w:sz w:val="20"/>
              </w:rPr>
              <w:t>1.06</w:t>
            </w:r>
          </w:p>
        </w:tc>
        <w:tc>
          <w:tcPr>
            <w:tcW w:w="1270" w:type="dxa"/>
            <w:tcBorders>
              <w:top w:val="single" w:sz="8" w:space="0" w:color="D9D9D9"/>
              <w:left w:val="single" w:sz="8" w:space="0" w:color="D9D9D9"/>
              <w:bottom w:val="single" w:sz="8" w:space="0" w:color="D9D9D9"/>
              <w:right w:val="nil"/>
            </w:tcBorders>
          </w:tcPr>
          <w:p>
            <w:pPr>
              <w:pStyle w:val="TableParagraph"/>
              <w:ind w:right="52"/>
              <w:jc w:val="center"/>
              <w:rPr>
                <w:rFonts w:ascii="Calibri"/>
                <w:sz w:val="20"/>
              </w:rPr>
            </w:pPr>
            <w:r>
              <w:rPr>
                <w:rFonts w:ascii="Calibri"/>
                <w:color w:val="1C242C"/>
                <w:spacing w:val="-4"/>
                <w:sz w:val="20"/>
              </w:rPr>
              <w:t>1.16</w:t>
            </w:r>
          </w:p>
        </w:tc>
      </w:tr>
      <w:tr>
        <w:tblPrEx>
          <w:tblW w:w="0" w:type="auto"/>
          <w:jc w:val="left"/>
          <w:tblInd w:w="339" w:type="dxa"/>
          <w:tblLayout w:type="fixed"/>
          <w:tblCellMar>
            <w:top w:w="0" w:type="dxa"/>
            <w:left w:w="0" w:type="dxa"/>
            <w:bottom w:w="0" w:type="dxa"/>
            <w:right w:w="0" w:type="dxa"/>
          </w:tblCellMar>
          <w:tblLook w:val="01E0"/>
        </w:tblPrEx>
        <w:trPr>
          <w:trHeight w:val="299"/>
          <w:jc w:val="left"/>
        </w:trPr>
        <w:tc>
          <w:tcPr>
            <w:tcW w:w="4849" w:type="dxa"/>
            <w:tcBorders>
              <w:top w:val="single" w:sz="8" w:space="0" w:color="D9D9D9"/>
              <w:left w:val="nil"/>
              <w:bottom w:val="single" w:sz="8" w:space="0" w:color="00507E"/>
              <w:right w:val="single" w:sz="8" w:space="0" w:color="D9D9D9"/>
            </w:tcBorders>
          </w:tcPr>
          <w:p>
            <w:pPr>
              <w:pStyle w:val="TableParagraph"/>
              <w:spacing w:before="27"/>
              <w:ind w:left="136"/>
              <w:rPr>
                <w:rFonts w:ascii="Calibri"/>
                <w:sz w:val="20"/>
              </w:rPr>
            </w:pPr>
            <w:r>
              <w:rPr>
                <w:rFonts w:ascii="Calibri"/>
                <w:color w:val="1C242C"/>
                <w:spacing w:val="-5"/>
                <w:sz w:val="20"/>
              </w:rPr>
              <w:t>PPO</w:t>
            </w:r>
          </w:p>
        </w:tc>
        <w:tc>
          <w:tcPr>
            <w:tcW w:w="1042" w:type="dxa"/>
            <w:tcBorders>
              <w:top w:val="single" w:sz="8" w:space="0" w:color="D9D9D9"/>
              <w:left w:val="single" w:sz="8" w:space="0" w:color="D9D9D9"/>
              <w:bottom w:val="single" w:sz="8" w:space="0" w:color="00507E"/>
              <w:right w:val="single" w:sz="8" w:space="0" w:color="D9D9D9"/>
            </w:tcBorders>
          </w:tcPr>
          <w:p>
            <w:pPr>
              <w:pStyle w:val="TableParagraph"/>
              <w:spacing w:before="27"/>
              <w:ind w:right="5"/>
              <w:jc w:val="center"/>
              <w:rPr>
                <w:rFonts w:ascii="Calibri"/>
                <w:sz w:val="20"/>
              </w:rPr>
            </w:pPr>
            <w:r>
              <w:rPr>
                <w:rFonts w:ascii="Calibri"/>
                <w:color w:val="1C242C"/>
                <w:spacing w:val="-2"/>
                <w:sz w:val="20"/>
              </w:rPr>
              <w:t>86,387</w:t>
            </w:r>
          </w:p>
        </w:tc>
        <w:tc>
          <w:tcPr>
            <w:tcW w:w="1027" w:type="dxa"/>
            <w:tcBorders>
              <w:top w:val="single" w:sz="8" w:space="0" w:color="D9D9D9"/>
              <w:left w:val="single" w:sz="8" w:space="0" w:color="D9D9D9"/>
              <w:bottom w:val="single" w:sz="8" w:space="0" w:color="00507E"/>
              <w:right w:val="single" w:sz="8" w:space="0" w:color="D9D9D9"/>
            </w:tcBorders>
          </w:tcPr>
          <w:p>
            <w:pPr>
              <w:pStyle w:val="TableParagraph"/>
              <w:spacing w:before="27"/>
              <w:ind w:left="1" w:right="3"/>
              <w:jc w:val="center"/>
              <w:rPr>
                <w:rFonts w:ascii="Calibri"/>
                <w:sz w:val="20"/>
              </w:rPr>
            </w:pPr>
            <w:r>
              <w:rPr>
                <w:rFonts w:ascii="Calibri"/>
                <w:color w:val="1C242C"/>
                <w:spacing w:val="-2"/>
                <w:sz w:val="20"/>
              </w:rPr>
              <w:t>1.16*</w:t>
            </w:r>
          </w:p>
        </w:tc>
        <w:tc>
          <w:tcPr>
            <w:tcW w:w="1232" w:type="dxa"/>
            <w:tcBorders>
              <w:top w:val="single" w:sz="8" w:space="0" w:color="D9D9D9"/>
              <w:left w:val="single" w:sz="8" w:space="0" w:color="D9D9D9"/>
              <w:bottom w:val="single" w:sz="8" w:space="0" w:color="00507E"/>
              <w:right w:val="single" w:sz="8" w:space="0" w:color="D9D9D9"/>
            </w:tcBorders>
          </w:tcPr>
          <w:p>
            <w:pPr>
              <w:pStyle w:val="TableParagraph"/>
              <w:spacing w:before="27"/>
              <w:ind w:right="3"/>
              <w:jc w:val="center"/>
              <w:rPr>
                <w:rFonts w:ascii="Calibri"/>
                <w:sz w:val="20"/>
              </w:rPr>
            </w:pPr>
            <w:r>
              <w:rPr>
                <w:rFonts w:ascii="Calibri"/>
                <w:color w:val="1C242C"/>
                <w:spacing w:val="-4"/>
                <w:sz w:val="20"/>
              </w:rPr>
              <w:t>1.13</w:t>
            </w:r>
          </w:p>
        </w:tc>
        <w:tc>
          <w:tcPr>
            <w:tcW w:w="1270" w:type="dxa"/>
            <w:tcBorders>
              <w:top w:val="single" w:sz="8" w:space="0" w:color="D9D9D9"/>
              <w:left w:val="single" w:sz="8" w:space="0" w:color="D9D9D9"/>
              <w:bottom w:val="single" w:sz="8" w:space="0" w:color="00507E"/>
              <w:right w:val="nil"/>
            </w:tcBorders>
          </w:tcPr>
          <w:p>
            <w:pPr>
              <w:pStyle w:val="TableParagraph"/>
              <w:spacing w:before="27"/>
              <w:ind w:right="52"/>
              <w:jc w:val="center"/>
              <w:rPr>
                <w:rFonts w:ascii="Calibri"/>
                <w:sz w:val="20"/>
              </w:rPr>
            </w:pPr>
            <w:r>
              <w:rPr>
                <w:rFonts w:ascii="Calibri"/>
                <w:color w:val="1C242C"/>
                <w:spacing w:val="-4"/>
                <w:sz w:val="20"/>
              </w:rPr>
              <w:t>1.20</w:t>
            </w:r>
          </w:p>
        </w:tc>
      </w:tr>
    </w:tbl>
    <w:p>
      <w:pPr>
        <w:pStyle w:val="BodyText"/>
        <w:spacing w:before="122"/>
        <w:ind w:left="0"/>
        <w:rPr>
          <w:rFonts w:ascii="Arial"/>
          <w:b/>
          <w:sz w:val="20"/>
        </w:rPr>
      </w:pPr>
    </w:p>
    <w:p>
      <w:pPr>
        <w:spacing w:before="0"/>
        <w:ind w:left="360" w:right="0" w:firstLine="0"/>
        <w:jc w:val="left"/>
        <w:rPr>
          <w:rFonts w:ascii="Calibri"/>
          <w:sz w:val="20"/>
        </w:rPr>
      </w:pPr>
      <w:r>
        <w:rPr>
          <w:rFonts w:ascii="Calibri"/>
          <w:sz w:val="20"/>
        </w:rPr>
        <w:t>*Point</w:t>
      </w:r>
      <w:r>
        <w:rPr>
          <w:rFonts w:ascii="Calibri"/>
          <w:spacing w:val="-6"/>
          <w:sz w:val="20"/>
        </w:rPr>
        <w:t xml:space="preserve"> </w:t>
      </w:r>
      <w:r>
        <w:rPr>
          <w:rFonts w:ascii="Calibri"/>
          <w:sz w:val="20"/>
        </w:rPr>
        <w:t>estimates</w:t>
      </w:r>
      <w:r>
        <w:rPr>
          <w:rFonts w:ascii="Calibri"/>
          <w:spacing w:val="-6"/>
          <w:sz w:val="20"/>
        </w:rPr>
        <w:t xml:space="preserve"> </w:t>
      </w:r>
      <w:r>
        <w:rPr>
          <w:rFonts w:ascii="Calibri"/>
          <w:sz w:val="20"/>
        </w:rPr>
        <w:t>were</w:t>
      </w:r>
      <w:r>
        <w:rPr>
          <w:rFonts w:ascii="Calibri"/>
          <w:spacing w:val="-7"/>
          <w:sz w:val="20"/>
        </w:rPr>
        <w:t xml:space="preserve"> </w:t>
      </w:r>
      <w:r>
        <w:rPr>
          <w:rFonts w:ascii="Calibri"/>
          <w:sz w:val="20"/>
        </w:rPr>
        <w:t>statistically</w:t>
      </w:r>
      <w:r>
        <w:rPr>
          <w:rFonts w:ascii="Calibri"/>
          <w:spacing w:val="-6"/>
          <w:sz w:val="20"/>
        </w:rPr>
        <w:t xml:space="preserve"> </w:t>
      </w:r>
      <w:r>
        <w:rPr>
          <w:rFonts w:ascii="Calibri"/>
          <w:sz w:val="20"/>
        </w:rPr>
        <w:t>significant</w:t>
      </w:r>
      <w:r>
        <w:rPr>
          <w:rFonts w:ascii="Calibri"/>
          <w:spacing w:val="-6"/>
          <w:sz w:val="20"/>
        </w:rPr>
        <w:t xml:space="preserve"> </w:t>
      </w:r>
      <w:r>
        <w:rPr>
          <w:rFonts w:ascii="Calibri"/>
          <w:sz w:val="20"/>
        </w:rPr>
        <w:t>at</w:t>
      </w:r>
      <w:r>
        <w:rPr>
          <w:rFonts w:ascii="Calibri"/>
          <w:spacing w:val="-2"/>
          <w:sz w:val="20"/>
        </w:rPr>
        <w:t xml:space="preserve"> </w:t>
      </w:r>
      <w:r>
        <w:rPr>
          <w:rFonts w:ascii="Calibri"/>
          <w:i/>
          <w:sz w:val="20"/>
        </w:rPr>
        <w:t>p</w:t>
      </w:r>
      <w:r>
        <w:rPr>
          <w:rFonts w:ascii="Calibri"/>
          <w:i/>
          <w:spacing w:val="-5"/>
          <w:sz w:val="20"/>
        </w:rPr>
        <w:t xml:space="preserve"> </w:t>
      </w:r>
      <w:r>
        <w:rPr>
          <w:rFonts w:ascii="Calibri"/>
          <w:sz w:val="20"/>
        </w:rPr>
        <w:t>&lt;</w:t>
      </w:r>
      <w:r>
        <w:rPr>
          <w:rFonts w:ascii="Calibri"/>
          <w:spacing w:val="-7"/>
          <w:sz w:val="20"/>
        </w:rPr>
        <w:t xml:space="preserve"> </w:t>
      </w:r>
      <w:r>
        <w:rPr>
          <w:rFonts w:ascii="Calibri"/>
          <w:spacing w:val="-2"/>
          <w:sz w:val="20"/>
        </w:rPr>
        <w:t>0.05.</w:t>
      </w:r>
    </w:p>
    <w:p>
      <w:pPr>
        <w:pStyle w:val="BodyText"/>
        <w:spacing w:before="239"/>
        <w:ind w:right="385"/>
      </w:pPr>
      <w:r>
        <w:t>Multiple logistic regression results showed that enrollee characteristics were associated with differences in the likelihood of survey completion, controlling for the effects of other characteristics. Female enrollees had a 39 percent greater likelihood of completing the survey than male enrollees. Across age categories, the estimates suggest a trend such that older plan enrollees were more likely to complete the survey when compared with younger enrollees. For example, enrollees ages 55–64 were about 5.16 times more likely to complete the survey than enrollees ages 18–24. Compared to enrollees whose preferred written language was English, enrollees who preferred to write in a language other than Spanish or Chinese were less likely to complete the survey. Compared with individuals who preferred English as a written language, enrollees</w:t>
      </w:r>
      <w:r>
        <w:rPr>
          <w:spacing w:val="-3"/>
        </w:rPr>
        <w:t xml:space="preserve"> </w:t>
      </w:r>
      <w:r>
        <w:t>who</w:t>
      </w:r>
      <w:r>
        <w:rPr>
          <w:spacing w:val="-2"/>
        </w:rPr>
        <w:t xml:space="preserve"> </w:t>
      </w:r>
      <w:r>
        <w:t>preferred Spanish</w:t>
      </w:r>
      <w:r>
        <w:rPr>
          <w:spacing w:val="-2"/>
        </w:rPr>
        <w:t xml:space="preserve"> </w:t>
      </w:r>
      <w:r>
        <w:t>as</w:t>
      </w:r>
      <w:r>
        <w:rPr>
          <w:spacing w:val="-3"/>
        </w:rPr>
        <w:t xml:space="preserve"> </w:t>
      </w:r>
      <w:r>
        <w:t>a</w:t>
      </w:r>
      <w:r>
        <w:rPr>
          <w:spacing w:val="-3"/>
        </w:rPr>
        <w:t xml:space="preserve"> </w:t>
      </w:r>
      <w:r>
        <w:t>written</w:t>
      </w:r>
      <w:r>
        <w:rPr>
          <w:spacing w:val="-2"/>
        </w:rPr>
        <w:t xml:space="preserve"> </w:t>
      </w:r>
      <w:r>
        <w:t>language</w:t>
      </w:r>
      <w:r>
        <w:rPr>
          <w:spacing w:val="-3"/>
        </w:rPr>
        <w:t xml:space="preserve"> </w:t>
      </w:r>
      <w:r>
        <w:t>were</w:t>
      </w:r>
      <w:r>
        <w:rPr>
          <w:spacing w:val="-4"/>
        </w:rPr>
        <w:t xml:space="preserve"> </w:t>
      </w:r>
      <w:r>
        <w:t>2</w:t>
      </w:r>
      <w:r>
        <w:rPr>
          <w:spacing w:val="-2"/>
        </w:rPr>
        <w:t xml:space="preserve"> </w:t>
      </w:r>
      <w:r>
        <w:t>times</w:t>
      </w:r>
      <w:r>
        <w:rPr>
          <w:spacing w:val="-3"/>
        </w:rPr>
        <w:t xml:space="preserve"> </w:t>
      </w:r>
      <w:r>
        <w:t>more</w:t>
      </w:r>
      <w:r>
        <w:rPr>
          <w:spacing w:val="-4"/>
        </w:rPr>
        <w:t xml:space="preserve"> </w:t>
      </w:r>
      <w:r>
        <w:t>likely</w:t>
      </w:r>
      <w:r>
        <w:rPr>
          <w:spacing w:val="-2"/>
        </w:rPr>
        <w:t xml:space="preserve"> </w:t>
      </w:r>
      <w:r>
        <w:t>to</w:t>
      </w:r>
      <w:r>
        <w:rPr>
          <w:spacing w:val="-2"/>
        </w:rPr>
        <w:t xml:space="preserve"> </w:t>
      </w:r>
      <w:r>
        <w:t>respond</w:t>
      </w:r>
      <w:r>
        <w:rPr>
          <w:spacing w:val="-2"/>
        </w:rPr>
        <w:t xml:space="preserve"> </w:t>
      </w:r>
      <w:r>
        <w:t>to</w:t>
      </w:r>
      <w:r>
        <w:rPr>
          <w:spacing w:val="-2"/>
        </w:rPr>
        <w:t xml:space="preserve"> </w:t>
      </w:r>
      <w:r>
        <w:t>the survey and enrollees with a missing written language preference were 18 percent less likely to respond to the survey. Enrollees who preferred Chinese spoken language were 12 percent more likely</w:t>
      </w:r>
      <w:r>
        <w:rPr>
          <w:spacing w:val="-3"/>
        </w:rPr>
        <w:t xml:space="preserve"> </w:t>
      </w:r>
      <w:r>
        <w:t>to</w:t>
      </w:r>
      <w:r>
        <w:rPr>
          <w:spacing w:val="-3"/>
        </w:rPr>
        <w:t xml:space="preserve"> </w:t>
      </w:r>
      <w:r>
        <w:t>respond</w:t>
      </w:r>
      <w:r>
        <w:rPr>
          <w:spacing w:val="-3"/>
        </w:rPr>
        <w:t xml:space="preserve"> </w:t>
      </w:r>
      <w:r>
        <w:t>compared</w:t>
      </w:r>
      <w:r>
        <w:rPr>
          <w:spacing w:val="-3"/>
        </w:rPr>
        <w:t xml:space="preserve"> </w:t>
      </w:r>
      <w:r>
        <w:t>to</w:t>
      </w:r>
      <w:r>
        <w:rPr>
          <w:spacing w:val="-3"/>
        </w:rPr>
        <w:t xml:space="preserve"> </w:t>
      </w:r>
      <w:r>
        <w:t>enrollees</w:t>
      </w:r>
      <w:r>
        <w:rPr>
          <w:spacing w:val="-4"/>
        </w:rPr>
        <w:t xml:space="preserve"> </w:t>
      </w:r>
      <w:r>
        <w:t>who</w:t>
      </w:r>
      <w:r>
        <w:rPr>
          <w:spacing w:val="-3"/>
        </w:rPr>
        <w:t xml:space="preserve"> </w:t>
      </w:r>
      <w:r>
        <w:t>preferred</w:t>
      </w:r>
      <w:r>
        <w:rPr>
          <w:spacing w:val="-3"/>
        </w:rPr>
        <w:t xml:space="preserve"> </w:t>
      </w:r>
      <w:r>
        <w:t>English</w:t>
      </w:r>
      <w:r>
        <w:rPr>
          <w:spacing w:val="-3"/>
        </w:rPr>
        <w:t xml:space="preserve"> </w:t>
      </w:r>
      <w:r>
        <w:t>spoken</w:t>
      </w:r>
      <w:r>
        <w:rPr>
          <w:spacing w:val="-3"/>
        </w:rPr>
        <w:t xml:space="preserve"> </w:t>
      </w:r>
      <w:r>
        <w:t>language. There</w:t>
      </w:r>
      <w:r>
        <w:rPr>
          <w:spacing w:val="-5"/>
        </w:rPr>
        <w:t xml:space="preserve"> </w:t>
      </w:r>
      <w:r>
        <w:t>were</w:t>
      </w:r>
      <w:r>
        <w:rPr>
          <w:spacing w:val="-3"/>
        </w:rPr>
        <w:t xml:space="preserve"> </w:t>
      </w:r>
      <w:r>
        <w:t>also Census division differences in the estimated associations with survey completion. For example, enrollees who lived in the South Atlantic region had a substantially lower likelihood of completing the survey than enrollees who lived in the East North Central and Mountain regions.</w:t>
      </w:r>
    </w:p>
    <w:p>
      <w:pPr>
        <w:pStyle w:val="BodyText"/>
        <w:spacing w:after="0"/>
        <w:sectPr>
          <w:pgSz w:w="12240" w:h="15840"/>
          <w:pgMar w:top="1420" w:right="1080" w:bottom="940" w:left="1080" w:header="0" w:footer="748"/>
          <w:cols w:space="720"/>
        </w:sectPr>
      </w:pPr>
    </w:p>
    <w:p>
      <w:pPr>
        <w:pStyle w:val="Heading2"/>
        <w:ind w:left="360" w:firstLine="0"/>
      </w:pPr>
      <w:bookmarkStart w:id="39" w:name="Appendix B: 2025 QHP Enrollee Survey Cas"/>
      <w:bookmarkEnd w:id="39"/>
      <w:bookmarkStart w:id="40" w:name="_bookmark24"/>
      <w:bookmarkEnd w:id="40"/>
      <w:r>
        <w:t>Appendix</w:t>
      </w:r>
      <w:r>
        <w:rPr>
          <w:spacing w:val="-12"/>
        </w:rPr>
        <w:t xml:space="preserve"> </w:t>
      </w:r>
      <w:r>
        <w:t>B:</w:t>
      </w:r>
      <w:r>
        <w:rPr>
          <w:spacing w:val="-5"/>
        </w:rPr>
        <w:t xml:space="preserve"> </w:t>
      </w:r>
      <w:r>
        <w:t>2025</w:t>
      </w:r>
      <w:r>
        <w:rPr>
          <w:spacing w:val="-9"/>
        </w:rPr>
        <w:t xml:space="preserve"> </w:t>
      </w:r>
      <w:r>
        <w:t>QHP</w:t>
      </w:r>
      <w:r>
        <w:rPr>
          <w:spacing w:val="-7"/>
        </w:rPr>
        <w:t xml:space="preserve"> </w:t>
      </w:r>
      <w:r>
        <w:t>Enrollee</w:t>
      </w:r>
      <w:r>
        <w:rPr>
          <w:spacing w:val="-8"/>
        </w:rPr>
        <w:t xml:space="preserve"> </w:t>
      </w:r>
      <w:r>
        <w:t>Survey</w:t>
      </w:r>
      <w:r>
        <w:rPr>
          <w:spacing w:val="-4"/>
        </w:rPr>
        <w:t xml:space="preserve"> </w:t>
      </w:r>
      <w:r>
        <w:t>Case-Mix</w:t>
      </w:r>
      <w:r>
        <w:rPr>
          <w:spacing w:val="-5"/>
        </w:rPr>
        <w:t xml:space="preserve"> </w:t>
      </w:r>
      <w:r>
        <w:t>Adjusters</w:t>
      </w:r>
      <w:r>
        <w:rPr>
          <w:spacing w:val="-7"/>
        </w:rPr>
        <w:t xml:space="preserve"> </w:t>
      </w:r>
      <w:r>
        <w:rPr>
          <w:spacing w:val="-2"/>
        </w:rPr>
        <w:t>Variables</w:t>
      </w:r>
    </w:p>
    <w:p>
      <w:pPr>
        <w:pStyle w:val="BodyText"/>
      </w:pPr>
      <w:hyperlink w:anchor="_bookmark25" w:history="1">
        <w:r>
          <w:t>Exhibit</w:t>
        </w:r>
        <w:r>
          <w:rPr>
            <w:spacing w:val="-3"/>
          </w:rPr>
          <w:t xml:space="preserve"> </w:t>
        </w:r>
        <w:r>
          <w:t>B5</w:t>
        </w:r>
      </w:hyperlink>
      <w:r>
        <w:t xml:space="preserve"> provides</w:t>
      </w:r>
      <w:r>
        <w:rPr>
          <w:spacing w:val="-2"/>
        </w:rPr>
        <w:t xml:space="preserve"> </w:t>
      </w:r>
      <w:r>
        <w:t>a</w:t>
      </w:r>
      <w:r>
        <w:rPr>
          <w:spacing w:val="-1"/>
        </w:rPr>
        <w:t xml:space="preserve"> </w:t>
      </w:r>
      <w:r>
        <w:t>list</w:t>
      </w:r>
      <w:r>
        <w:rPr>
          <w:spacing w:val="-3"/>
        </w:rPr>
        <w:t xml:space="preserve"> </w:t>
      </w:r>
      <w:r>
        <w:t>of the</w:t>
      </w:r>
      <w:r>
        <w:rPr>
          <w:spacing w:val="-2"/>
        </w:rPr>
        <w:t xml:space="preserve"> </w:t>
      </w:r>
      <w:r>
        <w:t>2025</w:t>
      </w:r>
      <w:r>
        <w:rPr>
          <w:spacing w:val="-1"/>
        </w:rPr>
        <w:t xml:space="preserve"> </w:t>
      </w:r>
      <w:r>
        <w:t>QHP Enrollee</w:t>
      </w:r>
      <w:r>
        <w:rPr>
          <w:spacing w:val="-2"/>
        </w:rPr>
        <w:t xml:space="preserve"> </w:t>
      </w:r>
      <w:r>
        <w:t xml:space="preserve">Survey case-mix </w:t>
      </w:r>
      <w:r>
        <w:rPr>
          <w:spacing w:val="-2"/>
        </w:rPr>
        <w:t>adjusters.</w:t>
      </w:r>
    </w:p>
    <w:p>
      <w:pPr>
        <w:spacing w:before="120"/>
        <w:ind w:left="360" w:right="0" w:firstLine="0"/>
        <w:jc w:val="left"/>
        <w:rPr>
          <w:rFonts w:ascii="Arial"/>
          <w:b/>
          <w:sz w:val="20"/>
        </w:rPr>
      </w:pPr>
      <w:bookmarkStart w:id="41" w:name="_bookmark25"/>
      <w:bookmarkEnd w:id="41"/>
      <w:r>
        <w:rPr>
          <w:rFonts w:ascii="Arial"/>
          <w:b/>
          <w:sz w:val="20"/>
        </w:rPr>
        <w:t>Exhibit</w:t>
      </w:r>
      <w:r>
        <w:rPr>
          <w:rFonts w:ascii="Arial"/>
          <w:b/>
          <w:spacing w:val="-6"/>
          <w:sz w:val="20"/>
        </w:rPr>
        <w:t xml:space="preserve"> </w:t>
      </w:r>
      <w:r>
        <w:rPr>
          <w:rFonts w:ascii="Arial"/>
          <w:b/>
          <w:sz w:val="20"/>
        </w:rPr>
        <w:t>B5.</w:t>
      </w:r>
      <w:r>
        <w:rPr>
          <w:rFonts w:ascii="Arial"/>
          <w:b/>
          <w:spacing w:val="-7"/>
          <w:sz w:val="20"/>
        </w:rPr>
        <w:t xml:space="preserve"> </w:t>
      </w:r>
      <w:r>
        <w:rPr>
          <w:rFonts w:ascii="Arial"/>
          <w:b/>
          <w:sz w:val="20"/>
        </w:rPr>
        <w:t>Coding</w:t>
      </w:r>
      <w:r>
        <w:rPr>
          <w:rFonts w:ascii="Arial"/>
          <w:b/>
          <w:spacing w:val="-6"/>
          <w:sz w:val="20"/>
        </w:rPr>
        <w:t xml:space="preserve"> </w:t>
      </w:r>
      <w:r>
        <w:rPr>
          <w:rFonts w:ascii="Arial"/>
          <w:b/>
          <w:sz w:val="20"/>
        </w:rPr>
        <w:t>of</w:t>
      </w:r>
      <w:r>
        <w:rPr>
          <w:rFonts w:ascii="Arial"/>
          <w:b/>
          <w:spacing w:val="-5"/>
          <w:sz w:val="20"/>
        </w:rPr>
        <w:t xml:space="preserve"> </w:t>
      </w:r>
      <w:r>
        <w:rPr>
          <w:rFonts w:ascii="Arial"/>
          <w:b/>
          <w:sz w:val="20"/>
        </w:rPr>
        <w:t>Case-mix</w:t>
      </w:r>
      <w:r>
        <w:rPr>
          <w:rFonts w:ascii="Arial"/>
          <w:b/>
          <w:spacing w:val="-7"/>
          <w:sz w:val="20"/>
        </w:rPr>
        <w:t xml:space="preserve"> </w:t>
      </w:r>
      <w:r>
        <w:rPr>
          <w:rFonts w:ascii="Arial"/>
          <w:b/>
          <w:sz w:val="20"/>
        </w:rPr>
        <w:t>Adjusters</w:t>
      </w:r>
      <w:r>
        <w:rPr>
          <w:rFonts w:ascii="Arial"/>
          <w:b/>
          <w:spacing w:val="-5"/>
          <w:sz w:val="20"/>
        </w:rPr>
        <w:t xml:space="preserve"> </w:t>
      </w:r>
      <w:r>
        <w:rPr>
          <w:rFonts w:ascii="Arial"/>
          <w:b/>
          <w:spacing w:val="-2"/>
          <w:sz w:val="20"/>
        </w:rPr>
        <w:t>Variables</w:t>
      </w:r>
    </w:p>
    <w:p>
      <w:pPr>
        <w:pStyle w:val="BodyText"/>
        <w:spacing w:before="2"/>
        <w:ind w:left="0"/>
        <w:rPr>
          <w:rFonts w:ascii="Arial"/>
          <w:b/>
          <w:sz w:val="11"/>
        </w:rPr>
      </w:pPr>
    </w:p>
    <w:tbl>
      <w:tblPr>
        <w:tblStyle w:val="TableNormal"/>
        <w:tblW w:w="0" w:type="auto"/>
        <w:jc w:val="left"/>
        <w:tblInd w:w="339" w:type="dxa"/>
        <w:tblBorders>
          <w:top w:val="single" w:sz="24" w:space="0" w:color="009DD6"/>
          <w:left w:val="single" w:sz="24" w:space="0" w:color="009DD6"/>
          <w:bottom w:val="single" w:sz="24" w:space="0" w:color="009DD6"/>
          <w:right w:val="single" w:sz="24" w:space="0" w:color="009DD6"/>
          <w:insideH w:val="single" w:sz="24" w:space="0" w:color="009DD6"/>
          <w:insideV w:val="single" w:sz="24" w:space="0" w:color="009DD6"/>
        </w:tblBorders>
        <w:tblLayout w:type="fixed"/>
        <w:tblCellMar>
          <w:top w:w="0" w:type="dxa"/>
          <w:left w:w="0" w:type="dxa"/>
          <w:bottom w:w="0" w:type="dxa"/>
          <w:right w:w="0" w:type="dxa"/>
        </w:tblCellMar>
        <w:tblLook w:val="01E0"/>
      </w:tblPr>
      <w:tblGrid>
        <w:gridCol w:w="2785"/>
        <w:gridCol w:w="2686"/>
        <w:gridCol w:w="3948"/>
      </w:tblGrid>
      <w:tr>
        <w:tblPrEx>
          <w:tblW w:w="0" w:type="auto"/>
          <w:jc w:val="left"/>
          <w:tblInd w:w="339" w:type="dxa"/>
          <w:tblBorders>
            <w:top w:val="single" w:sz="24" w:space="0" w:color="009DD6"/>
            <w:left w:val="single" w:sz="24" w:space="0" w:color="009DD6"/>
            <w:bottom w:val="single" w:sz="24" w:space="0" w:color="009DD6"/>
            <w:right w:val="single" w:sz="24" w:space="0" w:color="009DD6"/>
            <w:insideH w:val="single" w:sz="24" w:space="0" w:color="009DD6"/>
            <w:insideV w:val="single" w:sz="24" w:space="0" w:color="009DD6"/>
          </w:tblBorders>
          <w:tblLayout w:type="fixed"/>
          <w:tblCellMar>
            <w:top w:w="0" w:type="dxa"/>
            <w:left w:w="0" w:type="dxa"/>
            <w:bottom w:w="0" w:type="dxa"/>
            <w:right w:w="0" w:type="dxa"/>
          </w:tblCellMar>
          <w:tblLook w:val="01E0"/>
        </w:tblPrEx>
        <w:trPr>
          <w:trHeight w:val="309"/>
          <w:jc w:val="left"/>
        </w:trPr>
        <w:tc>
          <w:tcPr>
            <w:tcW w:w="2785" w:type="dxa"/>
            <w:tcBorders>
              <w:top w:val="nil"/>
              <w:left w:val="nil"/>
              <w:right w:val="nil"/>
            </w:tcBorders>
            <w:shd w:val="clear" w:color="auto" w:fill="00507E"/>
          </w:tcPr>
          <w:p>
            <w:pPr>
              <w:pStyle w:val="TableParagraph"/>
              <w:spacing w:before="40"/>
              <w:ind w:left="698"/>
              <w:rPr>
                <w:b/>
                <w:sz w:val="20"/>
              </w:rPr>
            </w:pPr>
            <w:r>
              <w:rPr>
                <w:b/>
                <w:color w:val="FFFFFF"/>
                <w:sz w:val="20"/>
              </w:rPr>
              <w:t>Case-mix</w:t>
            </w:r>
            <w:r>
              <w:rPr>
                <w:b/>
                <w:color w:val="FFFFFF"/>
                <w:spacing w:val="-11"/>
                <w:sz w:val="20"/>
              </w:rPr>
              <w:t xml:space="preserve"> </w:t>
            </w:r>
            <w:r>
              <w:rPr>
                <w:b/>
                <w:color w:val="FFFFFF"/>
                <w:spacing w:val="-2"/>
                <w:sz w:val="20"/>
              </w:rPr>
              <w:t>Variable</w:t>
            </w:r>
          </w:p>
        </w:tc>
        <w:tc>
          <w:tcPr>
            <w:tcW w:w="2686" w:type="dxa"/>
            <w:tcBorders>
              <w:top w:val="nil"/>
              <w:left w:val="nil"/>
              <w:right w:val="nil"/>
            </w:tcBorders>
            <w:shd w:val="clear" w:color="auto" w:fill="00507E"/>
          </w:tcPr>
          <w:p>
            <w:pPr>
              <w:pStyle w:val="TableParagraph"/>
              <w:spacing w:before="40"/>
              <w:ind w:left="690"/>
              <w:rPr>
                <w:b/>
                <w:sz w:val="20"/>
              </w:rPr>
            </w:pPr>
            <w:r>
              <w:rPr>
                <w:b/>
                <w:color w:val="FFFFFF"/>
                <w:sz w:val="20"/>
              </w:rPr>
              <w:t>Survey</w:t>
            </w:r>
            <w:r>
              <w:rPr>
                <w:b/>
                <w:color w:val="FFFFFF"/>
                <w:spacing w:val="-8"/>
                <w:sz w:val="20"/>
              </w:rPr>
              <w:t xml:space="preserve"> </w:t>
            </w:r>
            <w:r>
              <w:rPr>
                <w:b/>
                <w:color w:val="FFFFFF"/>
                <w:spacing w:val="-2"/>
                <w:sz w:val="20"/>
              </w:rPr>
              <w:t>Question</w:t>
            </w:r>
          </w:p>
        </w:tc>
        <w:tc>
          <w:tcPr>
            <w:tcW w:w="3948" w:type="dxa"/>
            <w:tcBorders>
              <w:top w:val="nil"/>
              <w:left w:val="nil"/>
              <w:right w:val="nil"/>
            </w:tcBorders>
            <w:shd w:val="clear" w:color="auto" w:fill="00507E"/>
          </w:tcPr>
          <w:p>
            <w:pPr>
              <w:pStyle w:val="TableParagraph"/>
              <w:spacing w:before="40"/>
              <w:ind w:right="29"/>
              <w:jc w:val="center"/>
              <w:rPr>
                <w:b/>
                <w:sz w:val="20"/>
              </w:rPr>
            </w:pPr>
            <w:r>
              <w:rPr>
                <w:b/>
                <w:color w:val="FFFFFF"/>
                <w:sz w:val="20"/>
              </w:rPr>
              <w:t>Variable</w:t>
            </w:r>
            <w:r>
              <w:rPr>
                <w:b/>
                <w:color w:val="FFFFFF"/>
                <w:spacing w:val="-7"/>
                <w:sz w:val="20"/>
              </w:rPr>
              <w:t xml:space="preserve"> </w:t>
            </w:r>
            <w:r>
              <w:rPr>
                <w:b/>
                <w:color w:val="FFFFFF"/>
                <w:spacing w:val="-2"/>
                <w:sz w:val="20"/>
              </w:rPr>
              <w:t>Coding</w:t>
            </w:r>
          </w:p>
        </w:tc>
      </w:tr>
      <w:tr>
        <w:tblPrEx>
          <w:tblW w:w="0" w:type="auto"/>
          <w:jc w:val="left"/>
          <w:tblInd w:w="339" w:type="dxa"/>
          <w:tblLayout w:type="fixed"/>
          <w:tblCellMar>
            <w:top w:w="0" w:type="dxa"/>
            <w:left w:w="0" w:type="dxa"/>
            <w:bottom w:w="0" w:type="dxa"/>
            <w:right w:w="0" w:type="dxa"/>
          </w:tblCellMar>
          <w:tblLook w:val="01E0"/>
        </w:tblPrEx>
        <w:trPr>
          <w:trHeight w:val="1516"/>
          <w:jc w:val="left"/>
        </w:trPr>
        <w:tc>
          <w:tcPr>
            <w:tcW w:w="2785" w:type="dxa"/>
            <w:tcBorders>
              <w:left w:val="nil"/>
              <w:bottom w:val="single" w:sz="8" w:space="0" w:color="D9D9D9"/>
              <w:right w:val="single" w:sz="8" w:space="0" w:color="D9D9D9"/>
            </w:tcBorders>
          </w:tcPr>
          <w:p>
            <w:pPr>
              <w:pStyle w:val="TableParagraph"/>
              <w:spacing w:before="19"/>
              <w:ind w:left="136"/>
              <w:rPr>
                <w:sz w:val="20"/>
              </w:rPr>
            </w:pPr>
            <w:r>
              <w:rPr>
                <w:color w:val="1C242C"/>
                <w:spacing w:val="-2"/>
                <w:sz w:val="20"/>
              </w:rPr>
              <w:t>Education</w:t>
            </w:r>
          </w:p>
        </w:tc>
        <w:tc>
          <w:tcPr>
            <w:tcW w:w="2686" w:type="dxa"/>
            <w:tcBorders>
              <w:left w:val="single" w:sz="8" w:space="0" w:color="D9D9D9"/>
              <w:bottom w:val="single" w:sz="8" w:space="0" w:color="D9D9D9"/>
              <w:right w:val="single" w:sz="8" w:space="0" w:color="D9D9D9"/>
            </w:tcBorders>
          </w:tcPr>
          <w:p>
            <w:pPr>
              <w:pStyle w:val="TableParagraph"/>
              <w:spacing w:before="19"/>
              <w:ind w:left="97" w:right="76"/>
              <w:rPr>
                <w:sz w:val="20"/>
              </w:rPr>
            </w:pPr>
            <w:r>
              <w:rPr>
                <w:color w:val="1C242C"/>
                <w:sz w:val="20"/>
              </w:rPr>
              <w:t>What</w:t>
            </w:r>
            <w:r>
              <w:rPr>
                <w:color w:val="1C242C"/>
                <w:spacing w:val="-8"/>
                <w:sz w:val="20"/>
              </w:rPr>
              <w:t xml:space="preserve"> </w:t>
            </w:r>
            <w:r>
              <w:rPr>
                <w:color w:val="1C242C"/>
                <w:sz w:val="20"/>
              </w:rPr>
              <w:t>is</w:t>
            </w:r>
            <w:r>
              <w:rPr>
                <w:color w:val="1C242C"/>
                <w:spacing w:val="-8"/>
                <w:sz w:val="20"/>
              </w:rPr>
              <w:t xml:space="preserve"> </w:t>
            </w:r>
            <w:r>
              <w:rPr>
                <w:color w:val="1C242C"/>
                <w:sz w:val="20"/>
              </w:rPr>
              <w:t>the</w:t>
            </w:r>
            <w:r>
              <w:rPr>
                <w:color w:val="1C242C"/>
                <w:spacing w:val="-8"/>
                <w:sz w:val="20"/>
              </w:rPr>
              <w:t xml:space="preserve"> </w:t>
            </w:r>
            <w:r>
              <w:rPr>
                <w:color w:val="1C242C"/>
                <w:sz w:val="20"/>
              </w:rPr>
              <w:t>highest</w:t>
            </w:r>
            <w:r>
              <w:rPr>
                <w:color w:val="1C242C"/>
                <w:spacing w:val="-8"/>
                <w:sz w:val="20"/>
              </w:rPr>
              <w:t xml:space="preserve"> </w:t>
            </w:r>
            <w:r>
              <w:rPr>
                <w:color w:val="1C242C"/>
                <w:sz w:val="20"/>
              </w:rPr>
              <w:t>grade</w:t>
            </w:r>
            <w:r>
              <w:rPr>
                <w:color w:val="1C242C"/>
                <w:spacing w:val="-8"/>
                <w:sz w:val="20"/>
              </w:rPr>
              <w:t xml:space="preserve"> </w:t>
            </w:r>
            <w:r>
              <w:rPr>
                <w:color w:val="1C242C"/>
                <w:sz w:val="20"/>
              </w:rPr>
              <w:t>or</w:t>
            </w:r>
            <w:r>
              <w:rPr>
                <w:color w:val="1C242C"/>
                <w:spacing w:val="-7"/>
                <w:sz w:val="20"/>
              </w:rPr>
              <w:t xml:space="preserve"> </w:t>
            </w:r>
            <w:r>
              <w:rPr>
                <w:color w:val="1C242C"/>
                <w:sz w:val="20"/>
              </w:rPr>
              <w:t xml:space="preserve">level of school that you have </w:t>
            </w:r>
            <w:r>
              <w:rPr>
                <w:color w:val="1C242C"/>
                <w:spacing w:val="-2"/>
                <w:sz w:val="20"/>
              </w:rPr>
              <w:t>completed?</w:t>
            </w:r>
          </w:p>
        </w:tc>
        <w:tc>
          <w:tcPr>
            <w:tcW w:w="3948" w:type="dxa"/>
            <w:tcBorders>
              <w:left w:val="single" w:sz="8" w:space="0" w:color="D9D9D9"/>
              <w:bottom w:val="single" w:sz="8" w:space="0" w:color="D9D9D9"/>
              <w:right w:val="nil"/>
            </w:tcBorders>
          </w:tcPr>
          <w:p>
            <w:pPr>
              <w:pStyle w:val="TableParagraph"/>
              <w:numPr>
                <w:ilvl w:val="0"/>
                <w:numId w:val="6"/>
              </w:numPr>
              <w:tabs>
                <w:tab w:val="left" w:pos="287"/>
              </w:tabs>
              <w:spacing w:before="19" w:after="0" w:line="240" w:lineRule="auto"/>
              <w:ind w:left="287" w:right="0" w:hanging="190"/>
              <w:jc w:val="left"/>
              <w:rPr>
                <w:sz w:val="20"/>
              </w:rPr>
            </w:pPr>
            <w:r>
              <w:rPr>
                <w:color w:val="1C242C"/>
                <w:sz w:val="20"/>
              </w:rPr>
              <w:t>8th</w:t>
            </w:r>
            <w:r>
              <w:rPr>
                <w:color w:val="1C242C"/>
                <w:spacing w:val="-4"/>
                <w:sz w:val="20"/>
              </w:rPr>
              <w:t xml:space="preserve"> </w:t>
            </w:r>
            <w:r>
              <w:rPr>
                <w:color w:val="1C242C"/>
                <w:sz w:val="20"/>
              </w:rPr>
              <w:t>grade</w:t>
            </w:r>
            <w:r>
              <w:rPr>
                <w:color w:val="1C242C"/>
                <w:spacing w:val="-4"/>
                <w:sz w:val="20"/>
              </w:rPr>
              <w:t xml:space="preserve"> </w:t>
            </w:r>
            <w:r>
              <w:rPr>
                <w:color w:val="1C242C"/>
                <w:sz w:val="20"/>
              </w:rPr>
              <w:t>or</w:t>
            </w:r>
            <w:r>
              <w:rPr>
                <w:color w:val="1C242C"/>
                <w:spacing w:val="-3"/>
                <w:sz w:val="20"/>
              </w:rPr>
              <w:t xml:space="preserve"> </w:t>
            </w:r>
            <w:r>
              <w:rPr>
                <w:color w:val="1C242C"/>
                <w:spacing w:val="-4"/>
                <w:sz w:val="20"/>
              </w:rPr>
              <w:t>less</w:t>
            </w:r>
          </w:p>
          <w:p>
            <w:pPr>
              <w:pStyle w:val="TableParagraph"/>
              <w:numPr>
                <w:ilvl w:val="0"/>
                <w:numId w:val="6"/>
              </w:numPr>
              <w:tabs>
                <w:tab w:val="left" w:pos="287"/>
              </w:tabs>
              <w:spacing w:before="20" w:after="0" w:line="240" w:lineRule="auto"/>
              <w:ind w:left="287" w:right="0" w:hanging="190"/>
              <w:jc w:val="left"/>
              <w:rPr>
                <w:sz w:val="20"/>
              </w:rPr>
            </w:pPr>
            <w:r>
              <w:rPr>
                <w:color w:val="1C242C"/>
                <w:sz w:val="20"/>
              </w:rPr>
              <w:t>Some</w:t>
            </w:r>
            <w:r>
              <w:rPr>
                <w:color w:val="1C242C"/>
                <w:spacing w:val="-6"/>
                <w:sz w:val="20"/>
              </w:rPr>
              <w:t xml:space="preserve"> </w:t>
            </w:r>
            <w:r>
              <w:rPr>
                <w:color w:val="1C242C"/>
                <w:sz w:val="20"/>
              </w:rPr>
              <w:t>high</w:t>
            </w:r>
            <w:r>
              <w:rPr>
                <w:color w:val="1C242C"/>
                <w:spacing w:val="-5"/>
                <w:sz w:val="20"/>
              </w:rPr>
              <w:t xml:space="preserve"> </w:t>
            </w:r>
            <w:r>
              <w:rPr>
                <w:color w:val="1C242C"/>
                <w:sz w:val="20"/>
              </w:rPr>
              <w:t>school,</w:t>
            </w:r>
            <w:r>
              <w:rPr>
                <w:color w:val="1C242C"/>
                <w:spacing w:val="-6"/>
                <w:sz w:val="20"/>
              </w:rPr>
              <w:t xml:space="preserve"> </w:t>
            </w:r>
            <w:r>
              <w:rPr>
                <w:color w:val="1C242C"/>
                <w:sz w:val="20"/>
              </w:rPr>
              <w:t>but</w:t>
            </w:r>
            <w:r>
              <w:rPr>
                <w:color w:val="1C242C"/>
                <w:spacing w:val="-6"/>
                <w:sz w:val="20"/>
              </w:rPr>
              <w:t xml:space="preserve"> </w:t>
            </w:r>
            <w:r>
              <w:rPr>
                <w:color w:val="1C242C"/>
                <w:sz w:val="20"/>
              </w:rPr>
              <w:t>did</w:t>
            </w:r>
            <w:r>
              <w:rPr>
                <w:color w:val="1C242C"/>
                <w:spacing w:val="-6"/>
                <w:sz w:val="20"/>
              </w:rPr>
              <w:t xml:space="preserve"> </w:t>
            </w:r>
            <w:r>
              <w:rPr>
                <w:color w:val="1C242C"/>
                <w:sz w:val="20"/>
              </w:rPr>
              <w:t>not</w:t>
            </w:r>
            <w:r>
              <w:rPr>
                <w:color w:val="1C242C"/>
                <w:spacing w:val="-3"/>
                <w:sz w:val="20"/>
              </w:rPr>
              <w:t xml:space="preserve"> </w:t>
            </w:r>
            <w:r>
              <w:rPr>
                <w:color w:val="1C242C"/>
                <w:spacing w:val="-2"/>
                <w:sz w:val="20"/>
              </w:rPr>
              <w:t>graduate</w:t>
            </w:r>
          </w:p>
          <w:p>
            <w:pPr>
              <w:pStyle w:val="TableParagraph"/>
              <w:numPr>
                <w:ilvl w:val="0"/>
                <w:numId w:val="6"/>
              </w:numPr>
              <w:tabs>
                <w:tab w:val="left" w:pos="287"/>
              </w:tabs>
              <w:spacing w:before="20" w:after="0" w:line="240" w:lineRule="auto"/>
              <w:ind w:left="287" w:right="0" w:hanging="190"/>
              <w:jc w:val="left"/>
              <w:rPr>
                <w:sz w:val="20"/>
              </w:rPr>
            </w:pPr>
            <w:r>
              <w:rPr>
                <w:color w:val="1C242C"/>
                <w:sz w:val="20"/>
              </w:rPr>
              <w:t>High</w:t>
            </w:r>
            <w:r>
              <w:rPr>
                <w:color w:val="1C242C"/>
                <w:spacing w:val="-7"/>
                <w:sz w:val="20"/>
              </w:rPr>
              <w:t xml:space="preserve"> </w:t>
            </w:r>
            <w:r>
              <w:rPr>
                <w:color w:val="1C242C"/>
                <w:sz w:val="20"/>
              </w:rPr>
              <w:t>school</w:t>
            </w:r>
            <w:r>
              <w:rPr>
                <w:color w:val="1C242C"/>
                <w:spacing w:val="-7"/>
                <w:sz w:val="20"/>
              </w:rPr>
              <w:t xml:space="preserve"> </w:t>
            </w:r>
            <w:r>
              <w:rPr>
                <w:color w:val="1C242C"/>
                <w:sz w:val="20"/>
              </w:rPr>
              <w:t>graduate</w:t>
            </w:r>
            <w:r>
              <w:rPr>
                <w:color w:val="1C242C"/>
                <w:spacing w:val="-6"/>
                <w:sz w:val="20"/>
              </w:rPr>
              <w:t xml:space="preserve"> </w:t>
            </w:r>
            <w:r>
              <w:rPr>
                <w:color w:val="1C242C"/>
                <w:sz w:val="20"/>
              </w:rPr>
              <w:t>or</w:t>
            </w:r>
            <w:r>
              <w:rPr>
                <w:color w:val="1C242C"/>
                <w:spacing w:val="-5"/>
                <w:sz w:val="20"/>
              </w:rPr>
              <w:t xml:space="preserve"> </w:t>
            </w:r>
            <w:r>
              <w:rPr>
                <w:color w:val="1C242C"/>
                <w:sz w:val="20"/>
              </w:rPr>
              <w:t>GED</w:t>
            </w:r>
            <w:r>
              <w:rPr>
                <w:color w:val="1C242C"/>
                <w:spacing w:val="-7"/>
                <w:sz w:val="20"/>
              </w:rPr>
              <w:t xml:space="preserve"> </w:t>
            </w:r>
            <w:r>
              <w:rPr>
                <w:color w:val="1C242C"/>
                <w:spacing w:val="-2"/>
                <w:sz w:val="20"/>
              </w:rPr>
              <w:t>(REFERENCE)</w:t>
            </w:r>
          </w:p>
          <w:p>
            <w:pPr>
              <w:pStyle w:val="TableParagraph"/>
              <w:numPr>
                <w:ilvl w:val="0"/>
                <w:numId w:val="6"/>
              </w:numPr>
              <w:tabs>
                <w:tab w:val="left" w:pos="287"/>
              </w:tabs>
              <w:spacing w:before="20" w:after="0" w:line="240" w:lineRule="auto"/>
              <w:ind w:left="287" w:right="0" w:hanging="190"/>
              <w:jc w:val="left"/>
              <w:rPr>
                <w:sz w:val="20"/>
              </w:rPr>
            </w:pPr>
            <w:r>
              <w:rPr>
                <w:color w:val="1C242C"/>
                <w:sz w:val="20"/>
              </w:rPr>
              <w:t>Some</w:t>
            </w:r>
            <w:r>
              <w:rPr>
                <w:color w:val="1C242C"/>
                <w:spacing w:val="-7"/>
                <w:sz w:val="20"/>
              </w:rPr>
              <w:t xml:space="preserve"> </w:t>
            </w:r>
            <w:r>
              <w:rPr>
                <w:color w:val="1C242C"/>
                <w:sz w:val="20"/>
              </w:rPr>
              <w:t>college</w:t>
            </w:r>
            <w:r>
              <w:rPr>
                <w:color w:val="1C242C"/>
                <w:spacing w:val="-6"/>
                <w:sz w:val="20"/>
              </w:rPr>
              <w:t xml:space="preserve"> </w:t>
            </w:r>
            <w:r>
              <w:rPr>
                <w:color w:val="1C242C"/>
                <w:sz w:val="20"/>
              </w:rPr>
              <w:t>or</w:t>
            </w:r>
            <w:r>
              <w:rPr>
                <w:color w:val="1C242C"/>
                <w:spacing w:val="-6"/>
                <w:sz w:val="20"/>
              </w:rPr>
              <w:t xml:space="preserve"> </w:t>
            </w:r>
            <w:r>
              <w:rPr>
                <w:color w:val="1C242C"/>
                <w:sz w:val="20"/>
              </w:rPr>
              <w:t>2-year</w:t>
            </w:r>
            <w:r>
              <w:rPr>
                <w:color w:val="1C242C"/>
                <w:spacing w:val="-6"/>
                <w:sz w:val="20"/>
              </w:rPr>
              <w:t xml:space="preserve"> </w:t>
            </w:r>
            <w:r>
              <w:rPr>
                <w:color w:val="1C242C"/>
                <w:spacing w:val="-2"/>
                <w:sz w:val="20"/>
              </w:rPr>
              <w:t>degree</w:t>
            </w:r>
          </w:p>
          <w:p>
            <w:pPr>
              <w:pStyle w:val="TableParagraph"/>
              <w:numPr>
                <w:ilvl w:val="0"/>
                <w:numId w:val="6"/>
              </w:numPr>
              <w:tabs>
                <w:tab w:val="left" w:pos="287"/>
              </w:tabs>
              <w:spacing w:before="20" w:after="0" w:line="240" w:lineRule="auto"/>
              <w:ind w:left="287" w:right="0" w:hanging="190"/>
              <w:jc w:val="left"/>
              <w:rPr>
                <w:sz w:val="20"/>
              </w:rPr>
            </w:pPr>
            <w:r>
              <w:rPr>
                <w:color w:val="1C242C"/>
                <w:sz w:val="20"/>
              </w:rPr>
              <w:t>4-year</w:t>
            </w:r>
            <w:r>
              <w:rPr>
                <w:color w:val="1C242C"/>
                <w:spacing w:val="-9"/>
                <w:sz w:val="20"/>
              </w:rPr>
              <w:t xml:space="preserve"> </w:t>
            </w:r>
            <w:r>
              <w:rPr>
                <w:color w:val="1C242C"/>
                <w:sz w:val="20"/>
              </w:rPr>
              <w:t>college</w:t>
            </w:r>
            <w:r>
              <w:rPr>
                <w:color w:val="1C242C"/>
                <w:spacing w:val="-9"/>
                <w:sz w:val="20"/>
              </w:rPr>
              <w:t xml:space="preserve"> </w:t>
            </w:r>
            <w:r>
              <w:rPr>
                <w:color w:val="1C242C"/>
                <w:spacing w:val="-2"/>
                <w:sz w:val="20"/>
              </w:rPr>
              <w:t>graduate</w:t>
            </w:r>
          </w:p>
          <w:p>
            <w:pPr>
              <w:pStyle w:val="TableParagraph"/>
              <w:numPr>
                <w:ilvl w:val="0"/>
                <w:numId w:val="6"/>
              </w:numPr>
              <w:tabs>
                <w:tab w:val="left" w:pos="287"/>
              </w:tabs>
              <w:spacing w:before="20" w:after="0" w:line="240" w:lineRule="auto"/>
              <w:ind w:left="287" w:right="0" w:hanging="190"/>
              <w:jc w:val="left"/>
              <w:rPr>
                <w:sz w:val="20"/>
              </w:rPr>
            </w:pPr>
            <w:r>
              <w:rPr>
                <w:color w:val="1C242C"/>
                <w:sz w:val="20"/>
              </w:rPr>
              <w:t>More</w:t>
            </w:r>
            <w:r>
              <w:rPr>
                <w:color w:val="1C242C"/>
                <w:spacing w:val="-7"/>
                <w:sz w:val="20"/>
              </w:rPr>
              <w:t xml:space="preserve"> </w:t>
            </w:r>
            <w:r>
              <w:rPr>
                <w:color w:val="1C242C"/>
                <w:sz w:val="20"/>
              </w:rPr>
              <w:t>than</w:t>
            </w:r>
            <w:r>
              <w:rPr>
                <w:color w:val="1C242C"/>
                <w:spacing w:val="-7"/>
                <w:sz w:val="20"/>
              </w:rPr>
              <w:t xml:space="preserve"> </w:t>
            </w:r>
            <w:r>
              <w:rPr>
                <w:color w:val="1C242C"/>
                <w:sz w:val="20"/>
              </w:rPr>
              <w:t>4-year</w:t>
            </w:r>
            <w:r>
              <w:rPr>
                <w:color w:val="1C242C"/>
                <w:spacing w:val="-6"/>
                <w:sz w:val="20"/>
              </w:rPr>
              <w:t xml:space="preserve"> </w:t>
            </w:r>
            <w:r>
              <w:rPr>
                <w:color w:val="1C242C"/>
                <w:sz w:val="20"/>
              </w:rPr>
              <w:t>college</w:t>
            </w:r>
            <w:r>
              <w:rPr>
                <w:color w:val="1C242C"/>
                <w:spacing w:val="-6"/>
                <w:sz w:val="20"/>
              </w:rPr>
              <w:t xml:space="preserve"> </w:t>
            </w:r>
            <w:r>
              <w:rPr>
                <w:color w:val="1C242C"/>
                <w:spacing w:val="-2"/>
                <w:sz w:val="20"/>
              </w:rPr>
              <w:t>degree</w:t>
            </w:r>
          </w:p>
        </w:tc>
      </w:tr>
      <w:tr>
        <w:tblPrEx>
          <w:tblW w:w="0" w:type="auto"/>
          <w:jc w:val="left"/>
          <w:tblInd w:w="339" w:type="dxa"/>
          <w:tblLayout w:type="fixed"/>
          <w:tblCellMar>
            <w:top w:w="0" w:type="dxa"/>
            <w:left w:w="0" w:type="dxa"/>
            <w:bottom w:w="0" w:type="dxa"/>
            <w:right w:w="0" w:type="dxa"/>
          </w:tblCellMar>
          <w:tblLook w:val="01E0"/>
        </w:tblPrEx>
        <w:trPr>
          <w:trHeight w:val="1269"/>
          <w:jc w:val="left"/>
        </w:trPr>
        <w:tc>
          <w:tcPr>
            <w:tcW w:w="2785" w:type="dxa"/>
            <w:tcBorders>
              <w:top w:val="single" w:sz="8" w:space="0" w:color="D9D9D9"/>
              <w:left w:val="nil"/>
              <w:bottom w:val="single" w:sz="8" w:space="0" w:color="D9D9D9"/>
              <w:right w:val="single" w:sz="8" w:space="0" w:color="D9D9D9"/>
            </w:tcBorders>
            <w:shd w:val="clear" w:color="auto" w:fill="F3FAFF"/>
          </w:tcPr>
          <w:p>
            <w:pPr>
              <w:pStyle w:val="TableParagraph"/>
              <w:spacing w:before="21"/>
              <w:ind w:left="136"/>
              <w:rPr>
                <w:sz w:val="20"/>
              </w:rPr>
            </w:pPr>
            <w:r>
              <w:rPr>
                <w:color w:val="1C242C"/>
                <w:sz w:val="20"/>
              </w:rPr>
              <w:t>Overall</w:t>
            </w:r>
            <w:r>
              <w:rPr>
                <w:color w:val="1C242C"/>
                <w:spacing w:val="-9"/>
                <w:sz w:val="20"/>
              </w:rPr>
              <w:t xml:space="preserve"> </w:t>
            </w:r>
            <w:r>
              <w:rPr>
                <w:color w:val="1C242C"/>
                <w:sz w:val="20"/>
              </w:rPr>
              <w:t>Health</w:t>
            </w:r>
            <w:r>
              <w:rPr>
                <w:color w:val="1C242C"/>
                <w:spacing w:val="-8"/>
                <w:sz w:val="20"/>
              </w:rPr>
              <w:t xml:space="preserve"> </w:t>
            </w:r>
            <w:r>
              <w:rPr>
                <w:color w:val="1C242C"/>
                <w:spacing w:val="-2"/>
                <w:sz w:val="20"/>
              </w:rPr>
              <w:t>Rating</w:t>
            </w:r>
          </w:p>
        </w:tc>
        <w:tc>
          <w:tcPr>
            <w:tcW w:w="2686" w:type="dxa"/>
            <w:tcBorders>
              <w:top w:val="single" w:sz="8" w:space="0" w:color="D9D9D9"/>
              <w:left w:val="single" w:sz="8" w:space="0" w:color="D9D9D9"/>
              <w:bottom w:val="single" w:sz="8" w:space="0" w:color="D9D9D9"/>
              <w:right w:val="single" w:sz="8" w:space="0" w:color="D9D9D9"/>
            </w:tcBorders>
            <w:shd w:val="clear" w:color="auto" w:fill="F3FAFF"/>
          </w:tcPr>
          <w:p>
            <w:pPr>
              <w:pStyle w:val="TableParagraph"/>
              <w:spacing w:before="21"/>
              <w:ind w:left="97" w:right="76"/>
              <w:rPr>
                <w:sz w:val="20"/>
              </w:rPr>
            </w:pPr>
            <w:r>
              <w:rPr>
                <w:color w:val="1C242C"/>
                <w:sz w:val="20"/>
              </w:rPr>
              <w:t>In</w:t>
            </w:r>
            <w:r>
              <w:rPr>
                <w:color w:val="1C242C"/>
                <w:spacing w:val="-8"/>
                <w:sz w:val="20"/>
              </w:rPr>
              <w:t xml:space="preserve"> </w:t>
            </w:r>
            <w:r>
              <w:rPr>
                <w:color w:val="1C242C"/>
                <w:sz w:val="20"/>
              </w:rPr>
              <w:t>general,</w:t>
            </w:r>
            <w:r>
              <w:rPr>
                <w:color w:val="1C242C"/>
                <w:spacing w:val="-8"/>
                <w:sz w:val="20"/>
              </w:rPr>
              <w:t xml:space="preserve"> </w:t>
            </w:r>
            <w:r>
              <w:rPr>
                <w:color w:val="1C242C"/>
                <w:sz w:val="20"/>
              </w:rPr>
              <w:t>how</w:t>
            </w:r>
            <w:r>
              <w:rPr>
                <w:color w:val="1C242C"/>
                <w:spacing w:val="-8"/>
                <w:sz w:val="20"/>
              </w:rPr>
              <w:t xml:space="preserve"> </w:t>
            </w:r>
            <w:r>
              <w:rPr>
                <w:color w:val="1C242C"/>
                <w:sz w:val="20"/>
              </w:rPr>
              <w:t>would</w:t>
            </w:r>
            <w:r>
              <w:rPr>
                <w:color w:val="1C242C"/>
                <w:spacing w:val="-8"/>
                <w:sz w:val="20"/>
              </w:rPr>
              <w:t xml:space="preserve"> </w:t>
            </w:r>
            <w:r>
              <w:rPr>
                <w:color w:val="1C242C"/>
                <w:sz w:val="20"/>
              </w:rPr>
              <w:t>you</w:t>
            </w:r>
            <w:r>
              <w:rPr>
                <w:color w:val="1C242C"/>
                <w:spacing w:val="-8"/>
                <w:sz w:val="20"/>
              </w:rPr>
              <w:t xml:space="preserve"> </w:t>
            </w:r>
            <w:r>
              <w:rPr>
                <w:color w:val="1C242C"/>
                <w:sz w:val="20"/>
              </w:rPr>
              <w:t>rate your overall health?</w:t>
            </w:r>
          </w:p>
        </w:tc>
        <w:tc>
          <w:tcPr>
            <w:tcW w:w="3948" w:type="dxa"/>
            <w:tcBorders>
              <w:top w:val="single" w:sz="8" w:space="0" w:color="D9D9D9"/>
              <w:left w:val="single" w:sz="8" w:space="0" w:color="D9D9D9"/>
              <w:bottom w:val="single" w:sz="8" w:space="0" w:color="D9D9D9"/>
              <w:right w:val="nil"/>
            </w:tcBorders>
            <w:shd w:val="clear" w:color="auto" w:fill="F3FAFF"/>
          </w:tcPr>
          <w:p>
            <w:pPr>
              <w:pStyle w:val="TableParagraph"/>
              <w:numPr>
                <w:ilvl w:val="0"/>
                <w:numId w:val="5"/>
              </w:numPr>
              <w:tabs>
                <w:tab w:val="left" w:pos="287"/>
              </w:tabs>
              <w:spacing w:before="21" w:after="0" w:line="240" w:lineRule="auto"/>
              <w:ind w:left="287" w:right="0" w:hanging="190"/>
              <w:jc w:val="left"/>
              <w:rPr>
                <w:sz w:val="20"/>
              </w:rPr>
            </w:pPr>
            <w:r>
              <w:rPr>
                <w:color w:val="1C242C"/>
                <w:sz w:val="20"/>
              </w:rPr>
              <w:t>Excellent</w:t>
            </w:r>
            <w:r>
              <w:rPr>
                <w:color w:val="1C242C"/>
                <w:spacing w:val="-8"/>
                <w:sz w:val="20"/>
              </w:rPr>
              <w:t xml:space="preserve"> </w:t>
            </w:r>
            <w:r>
              <w:rPr>
                <w:color w:val="1C242C"/>
                <w:spacing w:val="-2"/>
                <w:sz w:val="20"/>
              </w:rPr>
              <w:t>(REFERENCE)</w:t>
            </w:r>
          </w:p>
          <w:p>
            <w:pPr>
              <w:pStyle w:val="TableParagraph"/>
              <w:numPr>
                <w:ilvl w:val="0"/>
                <w:numId w:val="5"/>
              </w:numPr>
              <w:tabs>
                <w:tab w:val="left" w:pos="287"/>
              </w:tabs>
              <w:spacing w:before="20" w:after="0" w:line="240" w:lineRule="auto"/>
              <w:ind w:left="287" w:right="0" w:hanging="190"/>
              <w:jc w:val="left"/>
              <w:rPr>
                <w:sz w:val="20"/>
              </w:rPr>
            </w:pPr>
            <w:r>
              <w:rPr>
                <w:color w:val="1C242C"/>
                <w:sz w:val="20"/>
              </w:rPr>
              <w:t>Very</w:t>
            </w:r>
            <w:r>
              <w:rPr>
                <w:color w:val="1C242C"/>
                <w:spacing w:val="-5"/>
                <w:sz w:val="20"/>
              </w:rPr>
              <w:t xml:space="preserve"> </w:t>
            </w:r>
            <w:r>
              <w:rPr>
                <w:color w:val="1C242C"/>
                <w:spacing w:val="-4"/>
                <w:sz w:val="20"/>
              </w:rPr>
              <w:t>good</w:t>
            </w:r>
          </w:p>
          <w:p>
            <w:pPr>
              <w:pStyle w:val="TableParagraph"/>
              <w:numPr>
                <w:ilvl w:val="0"/>
                <w:numId w:val="5"/>
              </w:numPr>
              <w:tabs>
                <w:tab w:val="left" w:pos="287"/>
              </w:tabs>
              <w:spacing w:before="21" w:after="0" w:line="240" w:lineRule="auto"/>
              <w:ind w:left="287" w:right="0" w:hanging="190"/>
              <w:jc w:val="left"/>
              <w:rPr>
                <w:sz w:val="20"/>
              </w:rPr>
            </w:pPr>
            <w:r>
              <w:rPr>
                <w:color w:val="1C242C"/>
                <w:spacing w:val="-4"/>
                <w:sz w:val="20"/>
              </w:rPr>
              <w:t>Good</w:t>
            </w:r>
          </w:p>
          <w:p>
            <w:pPr>
              <w:pStyle w:val="TableParagraph"/>
              <w:numPr>
                <w:ilvl w:val="0"/>
                <w:numId w:val="5"/>
              </w:numPr>
              <w:tabs>
                <w:tab w:val="left" w:pos="287"/>
              </w:tabs>
              <w:spacing w:before="20" w:after="0" w:line="240" w:lineRule="auto"/>
              <w:ind w:left="287" w:right="0" w:hanging="190"/>
              <w:jc w:val="left"/>
              <w:rPr>
                <w:sz w:val="20"/>
              </w:rPr>
            </w:pPr>
            <w:r>
              <w:rPr>
                <w:color w:val="1C242C"/>
                <w:spacing w:val="-4"/>
                <w:sz w:val="20"/>
              </w:rPr>
              <w:t>Fair</w:t>
            </w:r>
          </w:p>
          <w:p>
            <w:pPr>
              <w:pStyle w:val="TableParagraph"/>
              <w:numPr>
                <w:ilvl w:val="0"/>
                <w:numId w:val="5"/>
              </w:numPr>
              <w:tabs>
                <w:tab w:val="left" w:pos="287"/>
              </w:tabs>
              <w:spacing w:before="20" w:after="0" w:line="240" w:lineRule="auto"/>
              <w:ind w:left="287" w:right="0" w:hanging="190"/>
              <w:jc w:val="left"/>
              <w:rPr>
                <w:sz w:val="20"/>
              </w:rPr>
            </w:pPr>
            <w:r>
              <w:rPr>
                <w:color w:val="1C242C"/>
                <w:spacing w:val="-4"/>
                <w:sz w:val="20"/>
              </w:rPr>
              <w:t>Poor</w:t>
            </w:r>
          </w:p>
        </w:tc>
      </w:tr>
      <w:tr>
        <w:tblPrEx>
          <w:tblW w:w="0" w:type="auto"/>
          <w:jc w:val="left"/>
          <w:tblInd w:w="339" w:type="dxa"/>
          <w:tblLayout w:type="fixed"/>
          <w:tblCellMar>
            <w:top w:w="0" w:type="dxa"/>
            <w:left w:w="0" w:type="dxa"/>
            <w:bottom w:w="0" w:type="dxa"/>
            <w:right w:w="0" w:type="dxa"/>
          </w:tblCellMar>
          <w:tblLook w:val="01E0"/>
        </w:tblPrEx>
        <w:trPr>
          <w:trHeight w:val="1266"/>
          <w:jc w:val="left"/>
        </w:trPr>
        <w:tc>
          <w:tcPr>
            <w:tcW w:w="2785" w:type="dxa"/>
            <w:tcBorders>
              <w:top w:val="single" w:sz="8" w:space="0" w:color="D9D9D9"/>
              <w:left w:val="nil"/>
              <w:bottom w:val="single" w:sz="8" w:space="0" w:color="D9D9D9"/>
              <w:right w:val="single" w:sz="8" w:space="0" w:color="D9D9D9"/>
            </w:tcBorders>
          </w:tcPr>
          <w:p>
            <w:pPr>
              <w:pStyle w:val="TableParagraph"/>
              <w:spacing w:before="18"/>
              <w:ind w:left="136"/>
              <w:rPr>
                <w:sz w:val="20"/>
              </w:rPr>
            </w:pPr>
            <w:r>
              <w:rPr>
                <w:color w:val="1C242C"/>
                <w:sz w:val="20"/>
              </w:rPr>
              <w:t>Mental</w:t>
            </w:r>
            <w:r>
              <w:rPr>
                <w:color w:val="1C242C"/>
                <w:spacing w:val="-10"/>
                <w:sz w:val="20"/>
              </w:rPr>
              <w:t xml:space="preserve"> </w:t>
            </w:r>
            <w:r>
              <w:rPr>
                <w:color w:val="1C242C"/>
                <w:sz w:val="20"/>
              </w:rPr>
              <w:t>Health</w:t>
            </w:r>
            <w:r>
              <w:rPr>
                <w:color w:val="1C242C"/>
                <w:spacing w:val="-9"/>
                <w:sz w:val="20"/>
              </w:rPr>
              <w:t xml:space="preserve"> </w:t>
            </w:r>
            <w:r>
              <w:rPr>
                <w:color w:val="1C242C"/>
                <w:spacing w:val="-2"/>
                <w:sz w:val="20"/>
              </w:rPr>
              <w:t>Rating</w:t>
            </w:r>
          </w:p>
        </w:tc>
        <w:tc>
          <w:tcPr>
            <w:tcW w:w="2686" w:type="dxa"/>
            <w:tcBorders>
              <w:top w:val="single" w:sz="8" w:space="0" w:color="D9D9D9"/>
              <w:left w:val="single" w:sz="8" w:space="0" w:color="D9D9D9"/>
              <w:bottom w:val="single" w:sz="8" w:space="0" w:color="D9D9D9"/>
              <w:right w:val="single" w:sz="8" w:space="0" w:color="D9D9D9"/>
            </w:tcBorders>
          </w:tcPr>
          <w:p>
            <w:pPr>
              <w:pStyle w:val="TableParagraph"/>
              <w:spacing w:before="18"/>
              <w:ind w:left="97" w:right="76"/>
              <w:rPr>
                <w:sz w:val="20"/>
              </w:rPr>
            </w:pPr>
            <w:r>
              <w:rPr>
                <w:color w:val="1C242C"/>
                <w:sz w:val="20"/>
              </w:rPr>
              <w:t>In general, how would you rate your</w:t>
            </w:r>
            <w:r>
              <w:rPr>
                <w:color w:val="1C242C"/>
                <w:spacing w:val="-10"/>
                <w:sz w:val="20"/>
              </w:rPr>
              <w:t xml:space="preserve"> </w:t>
            </w:r>
            <w:r>
              <w:rPr>
                <w:color w:val="1C242C"/>
                <w:sz w:val="20"/>
              </w:rPr>
              <w:t>overall</w:t>
            </w:r>
            <w:r>
              <w:rPr>
                <w:color w:val="1C242C"/>
                <w:spacing w:val="-11"/>
                <w:sz w:val="20"/>
              </w:rPr>
              <w:t xml:space="preserve"> </w:t>
            </w:r>
            <w:r>
              <w:rPr>
                <w:color w:val="1C242C"/>
                <w:sz w:val="20"/>
              </w:rPr>
              <w:t>mental</w:t>
            </w:r>
            <w:r>
              <w:rPr>
                <w:color w:val="1C242C"/>
                <w:spacing w:val="-11"/>
                <w:sz w:val="20"/>
              </w:rPr>
              <w:t xml:space="preserve"> </w:t>
            </w:r>
            <w:r>
              <w:rPr>
                <w:color w:val="1C242C"/>
                <w:sz w:val="20"/>
              </w:rPr>
              <w:t>or</w:t>
            </w:r>
            <w:r>
              <w:rPr>
                <w:color w:val="1C242C"/>
                <w:spacing w:val="-10"/>
                <w:sz w:val="20"/>
              </w:rPr>
              <w:t xml:space="preserve"> </w:t>
            </w:r>
            <w:r>
              <w:rPr>
                <w:color w:val="1C242C"/>
                <w:sz w:val="20"/>
              </w:rPr>
              <w:t xml:space="preserve">emotional </w:t>
            </w:r>
            <w:r>
              <w:rPr>
                <w:color w:val="1C242C"/>
                <w:spacing w:val="-2"/>
                <w:sz w:val="20"/>
              </w:rPr>
              <w:t>health?</w:t>
            </w:r>
          </w:p>
        </w:tc>
        <w:tc>
          <w:tcPr>
            <w:tcW w:w="3948" w:type="dxa"/>
            <w:tcBorders>
              <w:top w:val="single" w:sz="8" w:space="0" w:color="D9D9D9"/>
              <w:left w:val="single" w:sz="8" w:space="0" w:color="D9D9D9"/>
              <w:bottom w:val="single" w:sz="8" w:space="0" w:color="D9D9D9"/>
              <w:right w:val="nil"/>
            </w:tcBorders>
          </w:tcPr>
          <w:p>
            <w:pPr>
              <w:pStyle w:val="TableParagraph"/>
              <w:numPr>
                <w:ilvl w:val="0"/>
                <w:numId w:val="4"/>
              </w:numPr>
              <w:tabs>
                <w:tab w:val="left" w:pos="287"/>
              </w:tabs>
              <w:spacing w:before="18" w:after="0" w:line="240" w:lineRule="auto"/>
              <w:ind w:left="287" w:right="0" w:hanging="190"/>
              <w:jc w:val="left"/>
              <w:rPr>
                <w:sz w:val="20"/>
              </w:rPr>
            </w:pPr>
            <w:r>
              <w:rPr>
                <w:color w:val="1C242C"/>
                <w:sz w:val="20"/>
              </w:rPr>
              <w:t>Excellent</w:t>
            </w:r>
            <w:r>
              <w:rPr>
                <w:color w:val="1C242C"/>
                <w:spacing w:val="-8"/>
                <w:sz w:val="20"/>
              </w:rPr>
              <w:t xml:space="preserve"> </w:t>
            </w:r>
            <w:r>
              <w:rPr>
                <w:color w:val="1C242C"/>
                <w:spacing w:val="-2"/>
                <w:sz w:val="20"/>
              </w:rPr>
              <w:t>(REFERENCE)</w:t>
            </w:r>
          </w:p>
          <w:p>
            <w:pPr>
              <w:pStyle w:val="TableParagraph"/>
              <w:numPr>
                <w:ilvl w:val="0"/>
                <w:numId w:val="4"/>
              </w:numPr>
              <w:tabs>
                <w:tab w:val="left" w:pos="287"/>
              </w:tabs>
              <w:spacing w:before="20" w:after="0" w:line="240" w:lineRule="auto"/>
              <w:ind w:left="287" w:right="0" w:hanging="190"/>
              <w:jc w:val="left"/>
              <w:rPr>
                <w:sz w:val="20"/>
              </w:rPr>
            </w:pPr>
            <w:r>
              <w:rPr>
                <w:color w:val="1C242C"/>
                <w:sz w:val="20"/>
              </w:rPr>
              <w:t>Very</w:t>
            </w:r>
            <w:r>
              <w:rPr>
                <w:color w:val="1C242C"/>
                <w:spacing w:val="-5"/>
                <w:sz w:val="20"/>
              </w:rPr>
              <w:t xml:space="preserve"> </w:t>
            </w:r>
            <w:r>
              <w:rPr>
                <w:color w:val="1C242C"/>
                <w:spacing w:val="-4"/>
                <w:sz w:val="20"/>
              </w:rPr>
              <w:t>good</w:t>
            </w:r>
          </w:p>
          <w:p>
            <w:pPr>
              <w:pStyle w:val="TableParagraph"/>
              <w:numPr>
                <w:ilvl w:val="0"/>
                <w:numId w:val="4"/>
              </w:numPr>
              <w:tabs>
                <w:tab w:val="left" w:pos="287"/>
              </w:tabs>
              <w:spacing w:before="21" w:after="0" w:line="240" w:lineRule="auto"/>
              <w:ind w:left="287" w:right="0" w:hanging="190"/>
              <w:jc w:val="left"/>
              <w:rPr>
                <w:sz w:val="20"/>
              </w:rPr>
            </w:pPr>
            <w:r>
              <w:rPr>
                <w:color w:val="1C242C"/>
                <w:spacing w:val="-4"/>
                <w:sz w:val="20"/>
              </w:rPr>
              <w:t>Good</w:t>
            </w:r>
          </w:p>
          <w:p>
            <w:pPr>
              <w:pStyle w:val="TableParagraph"/>
              <w:numPr>
                <w:ilvl w:val="0"/>
                <w:numId w:val="4"/>
              </w:numPr>
              <w:tabs>
                <w:tab w:val="left" w:pos="287"/>
              </w:tabs>
              <w:spacing w:before="20" w:after="0" w:line="240" w:lineRule="auto"/>
              <w:ind w:left="287" w:right="0" w:hanging="190"/>
              <w:jc w:val="left"/>
              <w:rPr>
                <w:sz w:val="20"/>
              </w:rPr>
            </w:pPr>
            <w:r>
              <w:rPr>
                <w:color w:val="1C242C"/>
                <w:spacing w:val="-4"/>
                <w:sz w:val="20"/>
              </w:rPr>
              <w:t>Fair</w:t>
            </w:r>
          </w:p>
          <w:p>
            <w:pPr>
              <w:pStyle w:val="TableParagraph"/>
              <w:numPr>
                <w:ilvl w:val="0"/>
                <w:numId w:val="4"/>
              </w:numPr>
              <w:tabs>
                <w:tab w:val="left" w:pos="287"/>
              </w:tabs>
              <w:spacing w:before="20" w:after="0" w:line="240" w:lineRule="auto"/>
              <w:ind w:left="287" w:right="0" w:hanging="190"/>
              <w:jc w:val="left"/>
              <w:rPr>
                <w:sz w:val="20"/>
              </w:rPr>
            </w:pPr>
            <w:r>
              <w:rPr>
                <w:color w:val="1C242C"/>
                <w:spacing w:val="-4"/>
                <w:sz w:val="20"/>
              </w:rPr>
              <w:t>Poor</w:t>
            </w:r>
          </w:p>
        </w:tc>
      </w:tr>
      <w:tr>
        <w:tblPrEx>
          <w:tblW w:w="0" w:type="auto"/>
          <w:jc w:val="left"/>
          <w:tblInd w:w="339" w:type="dxa"/>
          <w:tblLayout w:type="fixed"/>
          <w:tblCellMar>
            <w:top w:w="0" w:type="dxa"/>
            <w:left w:w="0" w:type="dxa"/>
            <w:bottom w:w="0" w:type="dxa"/>
            <w:right w:w="0" w:type="dxa"/>
          </w:tblCellMar>
          <w:tblLook w:val="01E0"/>
        </w:tblPrEx>
        <w:trPr>
          <w:trHeight w:val="1765"/>
          <w:jc w:val="left"/>
        </w:trPr>
        <w:tc>
          <w:tcPr>
            <w:tcW w:w="2785" w:type="dxa"/>
            <w:tcBorders>
              <w:top w:val="single" w:sz="8" w:space="0" w:color="D9D9D9"/>
              <w:left w:val="nil"/>
              <w:bottom w:val="single" w:sz="8" w:space="0" w:color="D9D9D9"/>
              <w:right w:val="single" w:sz="8" w:space="0" w:color="D9D9D9"/>
            </w:tcBorders>
            <w:shd w:val="clear" w:color="auto" w:fill="F3FAFF"/>
          </w:tcPr>
          <w:p>
            <w:pPr>
              <w:pStyle w:val="TableParagraph"/>
              <w:spacing w:before="18"/>
              <w:ind w:left="136"/>
              <w:rPr>
                <w:sz w:val="20"/>
              </w:rPr>
            </w:pPr>
            <w:r>
              <w:rPr>
                <w:color w:val="1C242C"/>
                <w:spacing w:val="-5"/>
                <w:sz w:val="20"/>
              </w:rPr>
              <w:t>Age</w:t>
            </w:r>
          </w:p>
        </w:tc>
        <w:tc>
          <w:tcPr>
            <w:tcW w:w="2686" w:type="dxa"/>
            <w:tcBorders>
              <w:top w:val="single" w:sz="8" w:space="0" w:color="D9D9D9"/>
              <w:left w:val="single" w:sz="8" w:space="0" w:color="D9D9D9"/>
              <w:bottom w:val="single" w:sz="8" w:space="0" w:color="D9D9D9"/>
              <w:right w:val="single" w:sz="8" w:space="0" w:color="D9D9D9"/>
            </w:tcBorders>
            <w:shd w:val="clear" w:color="auto" w:fill="F3FAFF"/>
          </w:tcPr>
          <w:p>
            <w:pPr>
              <w:pStyle w:val="TableParagraph"/>
              <w:spacing w:before="18"/>
              <w:ind w:left="97"/>
              <w:rPr>
                <w:sz w:val="20"/>
              </w:rPr>
            </w:pPr>
            <w:r>
              <w:rPr>
                <w:color w:val="1C242C"/>
                <w:sz w:val="20"/>
              </w:rPr>
              <w:t>What</w:t>
            </w:r>
            <w:r>
              <w:rPr>
                <w:color w:val="1C242C"/>
                <w:spacing w:val="-5"/>
                <w:sz w:val="20"/>
              </w:rPr>
              <w:t xml:space="preserve"> </w:t>
            </w:r>
            <w:r>
              <w:rPr>
                <w:color w:val="1C242C"/>
                <w:sz w:val="20"/>
              </w:rPr>
              <w:t>is</w:t>
            </w:r>
            <w:r>
              <w:rPr>
                <w:color w:val="1C242C"/>
                <w:spacing w:val="-4"/>
                <w:sz w:val="20"/>
              </w:rPr>
              <w:t xml:space="preserve"> </w:t>
            </w:r>
            <w:r>
              <w:rPr>
                <w:color w:val="1C242C"/>
                <w:sz w:val="20"/>
              </w:rPr>
              <w:t>your</w:t>
            </w:r>
            <w:r>
              <w:rPr>
                <w:color w:val="1C242C"/>
                <w:spacing w:val="-4"/>
                <w:sz w:val="20"/>
              </w:rPr>
              <w:t xml:space="preserve"> age?</w:t>
            </w:r>
          </w:p>
        </w:tc>
        <w:tc>
          <w:tcPr>
            <w:tcW w:w="3948" w:type="dxa"/>
            <w:tcBorders>
              <w:top w:val="single" w:sz="8" w:space="0" w:color="D9D9D9"/>
              <w:left w:val="single" w:sz="8" w:space="0" w:color="D9D9D9"/>
              <w:bottom w:val="single" w:sz="8" w:space="0" w:color="D9D9D9"/>
              <w:right w:val="nil"/>
            </w:tcBorders>
            <w:shd w:val="clear" w:color="auto" w:fill="F3FAFF"/>
          </w:tcPr>
          <w:p>
            <w:pPr>
              <w:pStyle w:val="TableParagraph"/>
              <w:numPr>
                <w:ilvl w:val="0"/>
                <w:numId w:val="3"/>
              </w:numPr>
              <w:tabs>
                <w:tab w:val="left" w:pos="287"/>
              </w:tabs>
              <w:spacing w:before="18" w:after="0" w:line="240" w:lineRule="auto"/>
              <w:ind w:left="287" w:right="0" w:hanging="190"/>
              <w:jc w:val="left"/>
              <w:rPr>
                <w:sz w:val="20"/>
              </w:rPr>
            </w:pPr>
            <w:r>
              <w:rPr>
                <w:color w:val="1C242C"/>
                <w:sz w:val="20"/>
              </w:rPr>
              <w:t>18</w:t>
            </w:r>
            <w:r>
              <w:rPr>
                <w:color w:val="1C242C"/>
                <w:spacing w:val="-3"/>
                <w:sz w:val="20"/>
              </w:rPr>
              <w:t xml:space="preserve"> </w:t>
            </w:r>
            <w:r>
              <w:rPr>
                <w:color w:val="1C242C"/>
                <w:sz w:val="20"/>
              </w:rPr>
              <w:t>to</w:t>
            </w:r>
            <w:r>
              <w:rPr>
                <w:color w:val="1C242C"/>
                <w:spacing w:val="-3"/>
                <w:sz w:val="20"/>
              </w:rPr>
              <w:t xml:space="preserve"> </w:t>
            </w:r>
            <w:r>
              <w:rPr>
                <w:color w:val="1C242C"/>
                <w:spacing w:val="-5"/>
                <w:sz w:val="20"/>
              </w:rPr>
              <w:t>24</w:t>
            </w:r>
          </w:p>
          <w:p>
            <w:pPr>
              <w:pStyle w:val="TableParagraph"/>
              <w:numPr>
                <w:ilvl w:val="0"/>
                <w:numId w:val="3"/>
              </w:numPr>
              <w:tabs>
                <w:tab w:val="left" w:pos="287"/>
              </w:tabs>
              <w:spacing w:before="23" w:after="0" w:line="240" w:lineRule="auto"/>
              <w:ind w:left="287" w:right="0" w:hanging="190"/>
              <w:jc w:val="left"/>
              <w:rPr>
                <w:sz w:val="20"/>
              </w:rPr>
            </w:pPr>
            <w:r>
              <w:rPr>
                <w:color w:val="1C242C"/>
                <w:sz w:val="20"/>
              </w:rPr>
              <w:t>25</w:t>
            </w:r>
            <w:r>
              <w:rPr>
                <w:color w:val="1C242C"/>
                <w:spacing w:val="-3"/>
                <w:sz w:val="20"/>
              </w:rPr>
              <w:t xml:space="preserve"> </w:t>
            </w:r>
            <w:r>
              <w:rPr>
                <w:color w:val="1C242C"/>
                <w:sz w:val="20"/>
              </w:rPr>
              <w:t>to</w:t>
            </w:r>
            <w:r>
              <w:rPr>
                <w:color w:val="1C242C"/>
                <w:spacing w:val="-3"/>
                <w:sz w:val="20"/>
              </w:rPr>
              <w:t xml:space="preserve"> </w:t>
            </w:r>
            <w:r>
              <w:rPr>
                <w:color w:val="1C242C"/>
                <w:sz w:val="20"/>
              </w:rPr>
              <w:t>34</w:t>
            </w:r>
            <w:r>
              <w:rPr>
                <w:color w:val="1C242C"/>
                <w:spacing w:val="-3"/>
                <w:sz w:val="20"/>
              </w:rPr>
              <w:t xml:space="preserve"> </w:t>
            </w:r>
            <w:r>
              <w:rPr>
                <w:color w:val="1C242C"/>
                <w:spacing w:val="-2"/>
                <w:sz w:val="20"/>
              </w:rPr>
              <w:t>(REFERENCE)</w:t>
            </w:r>
          </w:p>
          <w:p>
            <w:pPr>
              <w:pStyle w:val="TableParagraph"/>
              <w:numPr>
                <w:ilvl w:val="0"/>
                <w:numId w:val="3"/>
              </w:numPr>
              <w:tabs>
                <w:tab w:val="left" w:pos="287"/>
              </w:tabs>
              <w:spacing w:before="20" w:after="0" w:line="240" w:lineRule="auto"/>
              <w:ind w:left="287" w:right="0" w:hanging="190"/>
              <w:jc w:val="left"/>
              <w:rPr>
                <w:sz w:val="20"/>
              </w:rPr>
            </w:pPr>
            <w:r>
              <w:rPr>
                <w:color w:val="1C242C"/>
                <w:sz w:val="20"/>
              </w:rPr>
              <w:t>35</w:t>
            </w:r>
            <w:r>
              <w:rPr>
                <w:color w:val="1C242C"/>
                <w:spacing w:val="-3"/>
                <w:sz w:val="20"/>
              </w:rPr>
              <w:t xml:space="preserve"> </w:t>
            </w:r>
            <w:r>
              <w:rPr>
                <w:color w:val="1C242C"/>
                <w:sz w:val="20"/>
              </w:rPr>
              <w:t>to</w:t>
            </w:r>
            <w:r>
              <w:rPr>
                <w:color w:val="1C242C"/>
                <w:spacing w:val="-3"/>
                <w:sz w:val="20"/>
              </w:rPr>
              <w:t xml:space="preserve"> </w:t>
            </w:r>
            <w:r>
              <w:rPr>
                <w:color w:val="1C242C"/>
                <w:spacing w:val="-5"/>
                <w:sz w:val="20"/>
              </w:rPr>
              <w:t>44</w:t>
            </w:r>
          </w:p>
          <w:p>
            <w:pPr>
              <w:pStyle w:val="TableParagraph"/>
              <w:numPr>
                <w:ilvl w:val="0"/>
                <w:numId w:val="3"/>
              </w:numPr>
              <w:tabs>
                <w:tab w:val="left" w:pos="287"/>
              </w:tabs>
              <w:spacing w:before="20" w:after="0" w:line="240" w:lineRule="auto"/>
              <w:ind w:left="287" w:right="0" w:hanging="190"/>
              <w:jc w:val="left"/>
              <w:rPr>
                <w:sz w:val="20"/>
              </w:rPr>
            </w:pPr>
            <w:r>
              <w:rPr>
                <w:color w:val="1C242C"/>
                <w:sz w:val="20"/>
              </w:rPr>
              <w:t>45</w:t>
            </w:r>
            <w:r>
              <w:rPr>
                <w:color w:val="1C242C"/>
                <w:spacing w:val="-3"/>
                <w:sz w:val="20"/>
              </w:rPr>
              <w:t xml:space="preserve"> </w:t>
            </w:r>
            <w:r>
              <w:rPr>
                <w:color w:val="1C242C"/>
                <w:sz w:val="20"/>
              </w:rPr>
              <w:t>to</w:t>
            </w:r>
            <w:r>
              <w:rPr>
                <w:color w:val="1C242C"/>
                <w:spacing w:val="-3"/>
                <w:sz w:val="20"/>
              </w:rPr>
              <w:t xml:space="preserve"> </w:t>
            </w:r>
            <w:r>
              <w:rPr>
                <w:color w:val="1C242C"/>
                <w:spacing w:val="-5"/>
                <w:sz w:val="20"/>
              </w:rPr>
              <w:t>54</w:t>
            </w:r>
          </w:p>
          <w:p>
            <w:pPr>
              <w:pStyle w:val="TableParagraph"/>
              <w:numPr>
                <w:ilvl w:val="0"/>
                <w:numId w:val="3"/>
              </w:numPr>
              <w:tabs>
                <w:tab w:val="left" w:pos="287"/>
              </w:tabs>
              <w:spacing w:before="21" w:after="0" w:line="240" w:lineRule="auto"/>
              <w:ind w:left="287" w:right="0" w:hanging="190"/>
              <w:jc w:val="left"/>
              <w:rPr>
                <w:sz w:val="20"/>
              </w:rPr>
            </w:pPr>
            <w:r>
              <w:rPr>
                <w:color w:val="1C242C"/>
                <w:sz w:val="20"/>
              </w:rPr>
              <w:t>55</w:t>
            </w:r>
            <w:r>
              <w:rPr>
                <w:color w:val="1C242C"/>
                <w:spacing w:val="-3"/>
                <w:sz w:val="20"/>
              </w:rPr>
              <w:t xml:space="preserve"> </w:t>
            </w:r>
            <w:r>
              <w:rPr>
                <w:color w:val="1C242C"/>
                <w:sz w:val="20"/>
              </w:rPr>
              <w:t>to</w:t>
            </w:r>
            <w:r>
              <w:rPr>
                <w:color w:val="1C242C"/>
                <w:spacing w:val="-3"/>
                <w:sz w:val="20"/>
              </w:rPr>
              <w:t xml:space="preserve"> </w:t>
            </w:r>
            <w:r>
              <w:rPr>
                <w:color w:val="1C242C"/>
                <w:spacing w:val="-5"/>
                <w:sz w:val="20"/>
              </w:rPr>
              <w:t>64</w:t>
            </w:r>
          </w:p>
          <w:p>
            <w:pPr>
              <w:pStyle w:val="TableParagraph"/>
              <w:numPr>
                <w:ilvl w:val="0"/>
                <w:numId w:val="3"/>
              </w:numPr>
              <w:tabs>
                <w:tab w:val="left" w:pos="287"/>
              </w:tabs>
              <w:spacing w:before="20" w:after="0" w:line="240" w:lineRule="auto"/>
              <w:ind w:left="287" w:right="0" w:hanging="190"/>
              <w:jc w:val="left"/>
              <w:rPr>
                <w:sz w:val="20"/>
              </w:rPr>
            </w:pPr>
            <w:r>
              <w:rPr>
                <w:color w:val="1C242C"/>
                <w:sz w:val="20"/>
              </w:rPr>
              <w:t>65</w:t>
            </w:r>
            <w:r>
              <w:rPr>
                <w:color w:val="1C242C"/>
                <w:spacing w:val="-3"/>
                <w:sz w:val="20"/>
              </w:rPr>
              <w:t xml:space="preserve"> </w:t>
            </w:r>
            <w:r>
              <w:rPr>
                <w:color w:val="1C242C"/>
                <w:sz w:val="20"/>
              </w:rPr>
              <w:t>to</w:t>
            </w:r>
            <w:r>
              <w:rPr>
                <w:color w:val="1C242C"/>
                <w:spacing w:val="-3"/>
                <w:sz w:val="20"/>
              </w:rPr>
              <w:t xml:space="preserve"> </w:t>
            </w:r>
            <w:r>
              <w:rPr>
                <w:color w:val="1C242C"/>
                <w:spacing w:val="-5"/>
                <w:sz w:val="20"/>
              </w:rPr>
              <w:t>74</w:t>
            </w:r>
          </w:p>
          <w:p>
            <w:pPr>
              <w:pStyle w:val="TableParagraph"/>
              <w:numPr>
                <w:ilvl w:val="0"/>
                <w:numId w:val="3"/>
              </w:numPr>
              <w:tabs>
                <w:tab w:val="left" w:pos="287"/>
              </w:tabs>
              <w:spacing w:before="20" w:after="0" w:line="227" w:lineRule="exact"/>
              <w:ind w:left="287" w:right="0" w:hanging="190"/>
              <w:jc w:val="left"/>
              <w:rPr>
                <w:sz w:val="20"/>
              </w:rPr>
            </w:pPr>
            <w:r>
              <w:rPr>
                <w:color w:val="1C242C"/>
                <w:sz w:val="20"/>
              </w:rPr>
              <w:t>75</w:t>
            </w:r>
            <w:r>
              <w:rPr>
                <w:color w:val="1C242C"/>
                <w:spacing w:val="-3"/>
                <w:sz w:val="20"/>
              </w:rPr>
              <w:t xml:space="preserve"> </w:t>
            </w:r>
            <w:r>
              <w:rPr>
                <w:color w:val="1C242C"/>
                <w:sz w:val="20"/>
              </w:rPr>
              <w:t>or</w:t>
            </w:r>
            <w:r>
              <w:rPr>
                <w:color w:val="1C242C"/>
                <w:spacing w:val="-2"/>
                <w:sz w:val="20"/>
              </w:rPr>
              <w:t xml:space="preserve"> older</w:t>
            </w:r>
          </w:p>
        </w:tc>
      </w:tr>
      <w:tr>
        <w:tblPrEx>
          <w:tblW w:w="0" w:type="auto"/>
          <w:jc w:val="left"/>
          <w:tblInd w:w="339" w:type="dxa"/>
          <w:tblLayout w:type="fixed"/>
          <w:tblCellMar>
            <w:top w:w="0" w:type="dxa"/>
            <w:left w:w="0" w:type="dxa"/>
            <w:bottom w:w="0" w:type="dxa"/>
            <w:right w:w="0" w:type="dxa"/>
          </w:tblCellMar>
          <w:tblLook w:val="01E0"/>
        </w:tblPrEx>
        <w:trPr>
          <w:trHeight w:val="769"/>
          <w:jc w:val="left"/>
        </w:trPr>
        <w:tc>
          <w:tcPr>
            <w:tcW w:w="2785" w:type="dxa"/>
            <w:tcBorders>
              <w:top w:val="single" w:sz="8" w:space="0" w:color="D9D9D9"/>
              <w:left w:val="nil"/>
              <w:bottom w:val="single" w:sz="8" w:space="0" w:color="D9D9D9"/>
              <w:right w:val="single" w:sz="8" w:space="0" w:color="D9D9D9"/>
            </w:tcBorders>
          </w:tcPr>
          <w:p>
            <w:pPr>
              <w:pStyle w:val="TableParagraph"/>
              <w:spacing w:before="21"/>
              <w:ind w:left="136"/>
              <w:rPr>
                <w:sz w:val="20"/>
              </w:rPr>
            </w:pPr>
            <w:r>
              <w:rPr>
                <w:color w:val="1C242C"/>
                <w:sz w:val="20"/>
              </w:rPr>
              <w:t>Survey</w:t>
            </w:r>
            <w:r>
              <w:rPr>
                <w:color w:val="1C242C"/>
                <w:spacing w:val="-9"/>
                <w:sz w:val="20"/>
              </w:rPr>
              <w:t xml:space="preserve"> </w:t>
            </w:r>
            <w:r>
              <w:rPr>
                <w:color w:val="1C242C"/>
                <w:spacing w:val="-2"/>
                <w:sz w:val="20"/>
              </w:rPr>
              <w:t>Language</w:t>
            </w:r>
          </w:p>
        </w:tc>
        <w:tc>
          <w:tcPr>
            <w:tcW w:w="2686" w:type="dxa"/>
            <w:tcBorders>
              <w:top w:val="single" w:sz="8" w:space="0" w:color="D9D9D9"/>
              <w:left w:val="single" w:sz="8" w:space="0" w:color="D9D9D9"/>
              <w:bottom w:val="single" w:sz="8" w:space="0" w:color="D9D9D9"/>
              <w:right w:val="single" w:sz="8" w:space="0" w:color="D9D9D9"/>
            </w:tcBorders>
          </w:tcPr>
          <w:p>
            <w:pPr>
              <w:pStyle w:val="TableParagraph"/>
              <w:spacing w:before="21"/>
              <w:ind w:left="97"/>
              <w:rPr>
                <w:sz w:val="20"/>
              </w:rPr>
            </w:pPr>
            <w:r>
              <w:rPr>
                <w:color w:val="1C242C"/>
                <w:sz w:val="20"/>
              </w:rPr>
              <w:t>From</w:t>
            </w:r>
            <w:r>
              <w:rPr>
                <w:color w:val="1C242C"/>
                <w:spacing w:val="-9"/>
                <w:sz w:val="20"/>
              </w:rPr>
              <w:t xml:space="preserve"> </w:t>
            </w:r>
            <w:r>
              <w:rPr>
                <w:color w:val="1C242C"/>
                <w:sz w:val="20"/>
              </w:rPr>
              <w:t>data</w:t>
            </w:r>
            <w:r>
              <w:rPr>
                <w:color w:val="1C242C"/>
                <w:spacing w:val="-9"/>
                <w:sz w:val="20"/>
              </w:rPr>
              <w:t xml:space="preserve"> </w:t>
            </w:r>
            <w:r>
              <w:rPr>
                <w:color w:val="1C242C"/>
                <w:sz w:val="20"/>
              </w:rPr>
              <w:t>collection</w:t>
            </w:r>
            <w:r>
              <w:rPr>
                <w:color w:val="1C242C"/>
                <w:spacing w:val="-8"/>
                <w:sz w:val="20"/>
              </w:rPr>
              <w:t xml:space="preserve"> </w:t>
            </w:r>
            <w:r>
              <w:rPr>
                <w:color w:val="1C242C"/>
                <w:spacing w:val="-2"/>
                <w:sz w:val="20"/>
              </w:rPr>
              <w:t>vendor</w:t>
            </w:r>
          </w:p>
        </w:tc>
        <w:tc>
          <w:tcPr>
            <w:tcW w:w="3948" w:type="dxa"/>
            <w:tcBorders>
              <w:top w:val="single" w:sz="8" w:space="0" w:color="D9D9D9"/>
              <w:left w:val="single" w:sz="8" w:space="0" w:color="D9D9D9"/>
              <w:bottom w:val="single" w:sz="8" w:space="0" w:color="D9D9D9"/>
              <w:right w:val="nil"/>
            </w:tcBorders>
          </w:tcPr>
          <w:p>
            <w:pPr>
              <w:pStyle w:val="TableParagraph"/>
              <w:spacing w:before="21" w:line="261" w:lineRule="auto"/>
              <w:ind w:left="97" w:right="1891"/>
              <w:rPr>
                <w:sz w:val="20"/>
              </w:rPr>
            </w:pPr>
            <w:r>
              <w:rPr>
                <w:color w:val="1C242C"/>
                <w:spacing w:val="-2"/>
                <w:sz w:val="20"/>
              </w:rPr>
              <w:t>English</w:t>
            </w:r>
            <w:r>
              <w:rPr>
                <w:color w:val="1C242C"/>
                <w:spacing w:val="-8"/>
                <w:sz w:val="20"/>
              </w:rPr>
              <w:t xml:space="preserve"> </w:t>
            </w:r>
            <w:r>
              <w:rPr>
                <w:color w:val="1C242C"/>
                <w:spacing w:val="-2"/>
                <w:sz w:val="20"/>
              </w:rPr>
              <w:t>(REFERENCE) Spanish</w:t>
            </w:r>
          </w:p>
          <w:p>
            <w:pPr>
              <w:pStyle w:val="TableParagraph"/>
              <w:spacing w:before="0" w:line="228" w:lineRule="exact"/>
              <w:ind w:left="97"/>
              <w:rPr>
                <w:sz w:val="20"/>
              </w:rPr>
            </w:pPr>
            <w:r>
              <w:rPr>
                <w:color w:val="1C242C"/>
                <w:spacing w:val="-2"/>
                <w:sz w:val="20"/>
              </w:rPr>
              <w:t>Chinese</w:t>
            </w:r>
          </w:p>
        </w:tc>
      </w:tr>
      <w:tr>
        <w:tblPrEx>
          <w:tblW w:w="0" w:type="auto"/>
          <w:jc w:val="left"/>
          <w:tblInd w:w="339" w:type="dxa"/>
          <w:tblLayout w:type="fixed"/>
          <w:tblCellMar>
            <w:top w:w="0" w:type="dxa"/>
            <w:left w:w="0" w:type="dxa"/>
            <w:bottom w:w="0" w:type="dxa"/>
            <w:right w:w="0" w:type="dxa"/>
          </w:tblCellMar>
          <w:tblLook w:val="01E0"/>
        </w:tblPrEx>
        <w:trPr>
          <w:trHeight w:val="769"/>
          <w:jc w:val="left"/>
        </w:trPr>
        <w:tc>
          <w:tcPr>
            <w:tcW w:w="2785" w:type="dxa"/>
            <w:tcBorders>
              <w:top w:val="single" w:sz="8" w:space="0" w:color="D9D9D9"/>
              <w:left w:val="nil"/>
              <w:bottom w:val="single" w:sz="8" w:space="0" w:color="D9D9D9"/>
              <w:right w:val="single" w:sz="8" w:space="0" w:color="D9D9D9"/>
            </w:tcBorders>
            <w:shd w:val="clear" w:color="auto" w:fill="F3FAFF"/>
          </w:tcPr>
          <w:p>
            <w:pPr>
              <w:pStyle w:val="TableParagraph"/>
              <w:spacing w:before="18"/>
              <w:ind w:left="136"/>
              <w:rPr>
                <w:sz w:val="20"/>
              </w:rPr>
            </w:pPr>
            <w:r>
              <w:rPr>
                <w:color w:val="1C242C"/>
                <w:sz w:val="20"/>
              </w:rPr>
              <w:t>Survey</w:t>
            </w:r>
            <w:r>
              <w:rPr>
                <w:color w:val="1C242C"/>
                <w:spacing w:val="-9"/>
                <w:sz w:val="20"/>
              </w:rPr>
              <w:t xml:space="preserve"> </w:t>
            </w:r>
            <w:r>
              <w:rPr>
                <w:color w:val="1C242C"/>
                <w:spacing w:val="-4"/>
                <w:sz w:val="20"/>
              </w:rPr>
              <w:t>Mode</w:t>
            </w:r>
          </w:p>
        </w:tc>
        <w:tc>
          <w:tcPr>
            <w:tcW w:w="2686" w:type="dxa"/>
            <w:tcBorders>
              <w:top w:val="single" w:sz="8" w:space="0" w:color="D9D9D9"/>
              <w:left w:val="single" w:sz="8" w:space="0" w:color="D9D9D9"/>
              <w:bottom w:val="single" w:sz="8" w:space="0" w:color="D9D9D9"/>
              <w:right w:val="single" w:sz="8" w:space="0" w:color="D9D9D9"/>
            </w:tcBorders>
            <w:shd w:val="clear" w:color="auto" w:fill="F3FAFF"/>
          </w:tcPr>
          <w:p>
            <w:pPr>
              <w:pStyle w:val="TableParagraph"/>
              <w:spacing w:before="18"/>
              <w:ind w:left="97"/>
              <w:rPr>
                <w:sz w:val="20"/>
              </w:rPr>
            </w:pPr>
            <w:r>
              <w:rPr>
                <w:color w:val="1C242C"/>
                <w:sz w:val="20"/>
              </w:rPr>
              <w:t>From</w:t>
            </w:r>
            <w:r>
              <w:rPr>
                <w:color w:val="1C242C"/>
                <w:spacing w:val="-9"/>
                <w:sz w:val="20"/>
              </w:rPr>
              <w:t xml:space="preserve"> </w:t>
            </w:r>
            <w:r>
              <w:rPr>
                <w:color w:val="1C242C"/>
                <w:sz w:val="20"/>
              </w:rPr>
              <w:t>data</w:t>
            </w:r>
            <w:r>
              <w:rPr>
                <w:color w:val="1C242C"/>
                <w:spacing w:val="-9"/>
                <w:sz w:val="20"/>
              </w:rPr>
              <w:t xml:space="preserve"> </w:t>
            </w:r>
            <w:r>
              <w:rPr>
                <w:color w:val="1C242C"/>
                <w:sz w:val="20"/>
              </w:rPr>
              <w:t>collection</w:t>
            </w:r>
            <w:r>
              <w:rPr>
                <w:color w:val="1C242C"/>
                <w:spacing w:val="-8"/>
                <w:sz w:val="20"/>
              </w:rPr>
              <w:t xml:space="preserve"> </w:t>
            </w:r>
            <w:r>
              <w:rPr>
                <w:color w:val="1C242C"/>
                <w:spacing w:val="-2"/>
                <w:sz w:val="20"/>
              </w:rPr>
              <w:t>vendor</w:t>
            </w:r>
          </w:p>
        </w:tc>
        <w:tc>
          <w:tcPr>
            <w:tcW w:w="3948" w:type="dxa"/>
            <w:tcBorders>
              <w:top w:val="single" w:sz="8" w:space="0" w:color="D9D9D9"/>
              <w:left w:val="single" w:sz="8" w:space="0" w:color="D9D9D9"/>
              <w:bottom w:val="single" w:sz="8" w:space="0" w:color="D9D9D9"/>
              <w:right w:val="nil"/>
            </w:tcBorders>
            <w:shd w:val="clear" w:color="auto" w:fill="F3FAFF"/>
          </w:tcPr>
          <w:p>
            <w:pPr>
              <w:pStyle w:val="TableParagraph"/>
              <w:spacing w:before="18"/>
              <w:ind w:left="97"/>
              <w:rPr>
                <w:sz w:val="20"/>
              </w:rPr>
            </w:pPr>
            <w:r>
              <w:rPr>
                <w:color w:val="1C242C"/>
                <w:spacing w:val="-4"/>
                <w:sz w:val="20"/>
              </w:rPr>
              <w:t>Mail</w:t>
            </w:r>
          </w:p>
          <w:p>
            <w:pPr>
              <w:pStyle w:val="TableParagraph"/>
              <w:spacing w:before="2" w:line="250" w:lineRule="atLeast"/>
              <w:ind w:left="97" w:right="1891"/>
              <w:rPr>
                <w:sz w:val="20"/>
              </w:rPr>
            </w:pPr>
            <w:r>
              <w:rPr>
                <w:color w:val="1C242C"/>
                <w:sz w:val="20"/>
              </w:rPr>
              <w:t>Telephone</w:t>
            </w:r>
            <w:r>
              <w:rPr>
                <w:color w:val="1C242C"/>
                <w:spacing w:val="-12"/>
                <w:sz w:val="20"/>
              </w:rPr>
              <w:t xml:space="preserve"> </w:t>
            </w:r>
            <w:r>
              <w:rPr>
                <w:color w:val="1C242C"/>
                <w:sz w:val="20"/>
              </w:rPr>
              <w:t xml:space="preserve">(REFERENCE) </w:t>
            </w:r>
            <w:r>
              <w:rPr>
                <w:color w:val="1C242C"/>
                <w:spacing w:val="-4"/>
                <w:sz w:val="20"/>
              </w:rPr>
              <w:t>Web</w:t>
            </w:r>
          </w:p>
        </w:tc>
      </w:tr>
      <w:tr>
        <w:tblPrEx>
          <w:tblW w:w="0" w:type="auto"/>
          <w:jc w:val="left"/>
          <w:tblInd w:w="339" w:type="dxa"/>
          <w:tblLayout w:type="fixed"/>
          <w:tblCellMar>
            <w:top w:w="0" w:type="dxa"/>
            <w:left w:w="0" w:type="dxa"/>
            <w:bottom w:w="0" w:type="dxa"/>
            <w:right w:w="0" w:type="dxa"/>
          </w:tblCellMar>
          <w:tblLook w:val="01E0"/>
        </w:tblPrEx>
        <w:trPr>
          <w:trHeight w:val="2853"/>
          <w:jc w:val="left"/>
        </w:trPr>
        <w:tc>
          <w:tcPr>
            <w:tcW w:w="2785" w:type="dxa"/>
            <w:tcBorders>
              <w:top w:val="single" w:sz="8" w:space="0" w:color="D9D9D9"/>
              <w:left w:val="nil"/>
              <w:bottom w:val="single" w:sz="8" w:space="0" w:color="D9D9D9"/>
              <w:right w:val="single" w:sz="8" w:space="0" w:color="D9D9D9"/>
            </w:tcBorders>
          </w:tcPr>
          <w:p>
            <w:pPr>
              <w:pStyle w:val="TableParagraph"/>
              <w:spacing w:before="18"/>
              <w:ind w:left="136" w:right="124"/>
              <w:rPr>
                <w:sz w:val="20"/>
              </w:rPr>
            </w:pPr>
            <w:r>
              <w:rPr>
                <w:color w:val="1C242C"/>
                <w:sz w:val="20"/>
              </w:rPr>
              <w:t>Chronic</w:t>
            </w:r>
            <w:r>
              <w:rPr>
                <w:color w:val="1C242C"/>
                <w:spacing w:val="-12"/>
                <w:sz w:val="20"/>
              </w:rPr>
              <w:t xml:space="preserve"> </w:t>
            </w:r>
            <w:r>
              <w:rPr>
                <w:color w:val="1C242C"/>
                <w:sz w:val="20"/>
              </w:rPr>
              <w:t>Conditions</w:t>
            </w:r>
            <w:r>
              <w:rPr>
                <w:color w:val="1C242C"/>
                <w:spacing w:val="-11"/>
                <w:sz w:val="20"/>
              </w:rPr>
              <w:t xml:space="preserve"> </w:t>
            </w:r>
            <w:r>
              <w:rPr>
                <w:color w:val="1C242C"/>
                <w:sz w:val="20"/>
              </w:rPr>
              <w:t xml:space="preserve">and </w:t>
            </w:r>
            <w:r>
              <w:rPr>
                <w:color w:val="1C242C"/>
                <w:spacing w:val="-2"/>
                <w:sz w:val="20"/>
              </w:rPr>
              <w:t>Medications</w:t>
            </w:r>
          </w:p>
        </w:tc>
        <w:tc>
          <w:tcPr>
            <w:tcW w:w="2686" w:type="dxa"/>
            <w:tcBorders>
              <w:top w:val="single" w:sz="8" w:space="0" w:color="D9D9D9"/>
              <w:left w:val="single" w:sz="8" w:space="0" w:color="D9D9D9"/>
              <w:bottom w:val="single" w:sz="8" w:space="0" w:color="D9D9D9"/>
              <w:right w:val="single" w:sz="8" w:space="0" w:color="D9D9D9"/>
            </w:tcBorders>
          </w:tcPr>
          <w:p>
            <w:pPr>
              <w:pStyle w:val="TableParagraph"/>
              <w:spacing w:before="18"/>
              <w:ind w:left="97" w:right="76"/>
              <w:rPr>
                <w:sz w:val="20"/>
              </w:rPr>
            </w:pPr>
            <w:r>
              <w:rPr>
                <w:color w:val="1C242C"/>
                <w:sz w:val="20"/>
                <w:u w:val="single" w:color="1C242C"/>
              </w:rPr>
              <w:t>Question 50</w:t>
            </w:r>
            <w:r>
              <w:rPr>
                <w:color w:val="1C242C"/>
                <w:sz w:val="20"/>
                <w:u w:val="none"/>
              </w:rPr>
              <w:t>: Did you get health care</w:t>
            </w:r>
            <w:r>
              <w:rPr>
                <w:color w:val="1C242C"/>
                <w:spacing w:val="-7"/>
                <w:sz w:val="20"/>
                <w:u w:val="none"/>
              </w:rPr>
              <w:t xml:space="preserve"> </w:t>
            </w:r>
            <w:r>
              <w:rPr>
                <w:color w:val="1C242C"/>
                <w:sz w:val="20"/>
                <w:u w:val="none"/>
              </w:rPr>
              <w:t>3</w:t>
            </w:r>
            <w:r>
              <w:rPr>
                <w:color w:val="1C242C"/>
                <w:spacing w:val="-6"/>
                <w:sz w:val="20"/>
                <w:u w:val="none"/>
              </w:rPr>
              <w:t xml:space="preserve"> </w:t>
            </w:r>
            <w:r>
              <w:rPr>
                <w:color w:val="1C242C"/>
                <w:sz w:val="20"/>
                <w:u w:val="none"/>
              </w:rPr>
              <w:t>or</w:t>
            </w:r>
            <w:r>
              <w:rPr>
                <w:color w:val="1C242C"/>
                <w:spacing w:val="-5"/>
                <w:sz w:val="20"/>
                <w:u w:val="none"/>
              </w:rPr>
              <w:t xml:space="preserve"> </w:t>
            </w:r>
            <w:r>
              <w:rPr>
                <w:color w:val="1C242C"/>
                <w:sz w:val="20"/>
                <w:u w:val="none"/>
              </w:rPr>
              <w:t>more</w:t>
            </w:r>
            <w:r>
              <w:rPr>
                <w:color w:val="1C242C"/>
                <w:spacing w:val="-7"/>
                <w:sz w:val="20"/>
                <w:u w:val="none"/>
              </w:rPr>
              <w:t xml:space="preserve"> </w:t>
            </w:r>
            <w:r>
              <w:rPr>
                <w:color w:val="1C242C"/>
                <w:sz w:val="20"/>
                <w:u w:val="none"/>
              </w:rPr>
              <w:t>times</w:t>
            </w:r>
            <w:r>
              <w:rPr>
                <w:color w:val="1C242C"/>
                <w:spacing w:val="-7"/>
                <w:sz w:val="20"/>
                <w:u w:val="none"/>
              </w:rPr>
              <w:t xml:space="preserve"> </w:t>
            </w:r>
            <w:r>
              <w:rPr>
                <w:color w:val="1C242C"/>
                <w:sz w:val="20"/>
                <w:u w:val="none"/>
              </w:rPr>
              <w:t>for</w:t>
            </w:r>
            <w:r>
              <w:rPr>
                <w:color w:val="1C242C"/>
                <w:spacing w:val="-6"/>
                <w:sz w:val="20"/>
                <w:u w:val="none"/>
              </w:rPr>
              <w:t xml:space="preserve"> </w:t>
            </w:r>
            <w:r>
              <w:rPr>
                <w:color w:val="1C242C"/>
                <w:sz w:val="20"/>
                <w:u w:val="none"/>
              </w:rPr>
              <w:t>the</w:t>
            </w:r>
            <w:r>
              <w:rPr>
                <w:color w:val="1C242C"/>
                <w:spacing w:val="-7"/>
                <w:sz w:val="20"/>
                <w:u w:val="none"/>
              </w:rPr>
              <w:t xml:space="preserve"> </w:t>
            </w:r>
            <w:r>
              <w:rPr>
                <w:color w:val="1C242C"/>
                <w:sz w:val="20"/>
                <w:u w:val="none"/>
              </w:rPr>
              <w:t>same condition or problem?</w:t>
            </w:r>
          </w:p>
          <w:p>
            <w:pPr>
              <w:pStyle w:val="TableParagraph"/>
              <w:spacing w:before="20"/>
              <w:ind w:left="97" w:right="118"/>
              <w:rPr>
                <w:sz w:val="20"/>
              </w:rPr>
            </w:pPr>
            <w:r>
              <w:rPr>
                <w:color w:val="1C242C"/>
                <w:sz w:val="20"/>
                <w:u w:val="single" w:color="1C242C"/>
              </w:rPr>
              <w:t>Question</w:t>
            </w:r>
            <w:r>
              <w:rPr>
                <w:color w:val="1C242C"/>
                <w:spacing w:val="-7"/>
                <w:sz w:val="20"/>
                <w:u w:val="single" w:color="1C242C"/>
              </w:rPr>
              <w:t xml:space="preserve"> </w:t>
            </w:r>
            <w:r>
              <w:rPr>
                <w:color w:val="1C242C"/>
                <w:sz w:val="20"/>
                <w:u w:val="single" w:color="1C242C"/>
              </w:rPr>
              <w:t>51</w:t>
            </w:r>
            <w:r>
              <w:rPr>
                <w:color w:val="1C242C"/>
                <w:sz w:val="20"/>
                <w:u w:val="none"/>
              </w:rPr>
              <w:t>:</w:t>
            </w:r>
            <w:r>
              <w:rPr>
                <w:color w:val="1C242C"/>
                <w:spacing w:val="-8"/>
                <w:sz w:val="20"/>
                <w:u w:val="none"/>
              </w:rPr>
              <w:t xml:space="preserve"> </w:t>
            </w:r>
            <w:r>
              <w:rPr>
                <w:color w:val="1C242C"/>
                <w:sz w:val="20"/>
                <w:u w:val="none"/>
              </w:rPr>
              <w:t>Is</w:t>
            </w:r>
            <w:r>
              <w:rPr>
                <w:color w:val="1C242C"/>
                <w:spacing w:val="-7"/>
                <w:sz w:val="20"/>
                <w:u w:val="none"/>
              </w:rPr>
              <w:t xml:space="preserve"> </w:t>
            </w:r>
            <w:r>
              <w:rPr>
                <w:color w:val="1C242C"/>
                <w:sz w:val="20"/>
                <w:u w:val="none"/>
              </w:rPr>
              <w:t>this</w:t>
            </w:r>
            <w:r>
              <w:rPr>
                <w:color w:val="1C242C"/>
                <w:spacing w:val="-8"/>
                <w:sz w:val="20"/>
                <w:u w:val="none"/>
              </w:rPr>
              <w:t xml:space="preserve"> </w:t>
            </w:r>
            <w:r>
              <w:rPr>
                <w:color w:val="1C242C"/>
                <w:sz w:val="20"/>
                <w:u w:val="none"/>
              </w:rPr>
              <w:t>a</w:t>
            </w:r>
            <w:r>
              <w:rPr>
                <w:color w:val="1C242C"/>
                <w:spacing w:val="-7"/>
                <w:sz w:val="20"/>
                <w:u w:val="none"/>
              </w:rPr>
              <w:t xml:space="preserve"> </w:t>
            </w:r>
            <w:r>
              <w:rPr>
                <w:color w:val="1C242C"/>
                <w:sz w:val="20"/>
                <w:u w:val="none"/>
              </w:rPr>
              <w:t>condition</w:t>
            </w:r>
            <w:r>
              <w:rPr>
                <w:color w:val="1C242C"/>
                <w:spacing w:val="-8"/>
                <w:sz w:val="20"/>
                <w:u w:val="none"/>
              </w:rPr>
              <w:t xml:space="preserve"> </w:t>
            </w:r>
            <w:r>
              <w:rPr>
                <w:color w:val="1C242C"/>
                <w:sz w:val="20"/>
                <w:u w:val="none"/>
              </w:rPr>
              <w:t>or problem that has lasted for at least 3 months?</w:t>
            </w:r>
          </w:p>
          <w:p>
            <w:pPr>
              <w:pStyle w:val="TableParagraph"/>
              <w:spacing w:before="20"/>
              <w:ind w:left="97" w:right="76"/>
              <w:rPr>
                <w:sz w:val="20"/>
              </w:rPr>
            </w:pPr>
            <w:r>
              <w:rPr>
                <w:color w:val="1C242C"/>
                <w:sz w:val="20"/>
                <w:u w:val="single" w:color="1C242C"/>
              </w:rPr>
              <w:t>Question</w:t>
            </w:r>
            <w:r>
              <w:rPr>
                <w:color w:val="1C242C"/>
                <w:spacing w:val="-7"/>
                <w:sz w:val="20"/>
                <w:u w:val="single" w:color="1C242C"/>
              </w:rPr>
              <w:t xml:space="preserve"> </w:t>
            </w:r>
            <w:r>
              <w:rPr>
                <w:color w:val="1C242C"/>
                <w:sz w:val="20"/>
                <w:u w:val="single" w:color="1C242C"/>
              </w:rPr>
              <w:t>52</w:t>
            </w:r>
            <w:r>
              <w:rPr>
                <w:color w:val="1C242C"/>
                <w:sz w:val="20"/>
                <w:u w:val="none"/>
              </w:rPr>
              <w:t>:</w:t>
            </w:r>
            <w:r>
              <w:rPr>
                <w:color w:val="1C242C"/>
                <w:spacing w:val="-7"/>
                <w:sz w:val="20"/>
                <w:u w:val="none"/>
              </w:rPr>
              <w:t xml:space="preserve"> </w:t>
            </w:r>
            <w:r>
              <w:rPr>
                <w:color w:val="1C242C"/>
                <w:sz w:val="20"/>
                <w:u w:val="none"/>
              </w:rPr>
              <w:t>Do</w:t>
            </w:r>
            <w:r>
              <w:rPr>
                <w:color w:val="1C242C"/>
                <w:spacing w:val="-7"/>
                <w:sz w:val="20"/>
                <w:u w:val="none"/>
              </w:rPr>
              <w:t xml:space="preserve"> </w:t>
            </w:r>
            <w:r>
              <w:rPr>
                <w:color w:val="1C242C"/>
                <w:sz w:val="20"/>
                <w:u w:val="none"/>
              </w:rPr>
              <w:t>you</w:t>
            </w:r>
            <w:r>
              <w:rPr>
                <w:color w:val="1C242C"/>
                <w:spacing w:val="-7"/>
                <w:sz w:val="20"/>
                <w:u w:val="none"/>
              </w:rPr>
              <w:t xml:space="preserve"> </w:t>
            </w:r>
            <w:r>
              <w:rPr>
                <w:color w:val="1C242C"/>
                <w:sz w:val="20"/>
                <w:u w:val="none"/>
              </w:rPr>
              <w:t>now</w:t>
            </w:r>
            <w:r>
              <w:rPr>
                <w:color w:val="1C242C"/>
                <w:spacing w:val="-7"/>
                <w:sz w:val="20"/>
                <w:u w:val="none"/>
              </w:rPr>
              <w:t xml:space="preserve"> </w:t>
            </w:r>
            <w:r>
              <w:rPr>
                <w:color w:val="1C242C"/>
                <w:sz w:val="20"/>
                <w:u w:val="none"/>
              </w:rPr>
              <w:t>need</w:t>
            </w:r>
            <w:r>
              <w:rPr>
                <w:color w:val="1C242C"/>
                <w:spacing w:val="-7"/>
                <w:sz w:val="20"/>
                <w:u w:val="none"/>
              </w:rPr>
              <w:t xml:space="preserve"> </w:t>
            </w:r>
            <w:r>
              <w:rPr>
                <w:color w:val="1C242C"/>
                <w:sz w:val="20"/>
                <w:u w:val="none"/>
              </w:rPr>
              <w:t xml:space="preserve">or take medicine prescribed by a </w:t>
            </w:r>
            <w:r>
              <w:rPr>
                <w:color w:val="1C242C"/>
                <w:spacing w:val="-2"/>
                <w:sz w:val="20"/>
                <w:u w:val="none"/>
              </w:rPr>
              <w:t>doctor?</w:t>
            </w:r>
          </w:p>
          <w:p>
            <w:pPr>
              <w:pStyle w:val="TableParagraph"/>
              <w:spacing w:before="19"/>
              <w:ind w:left="97" w:right="280"/>
              <w:jc w:val="both"/>
              <w:rPr>
                <w:sz w:val="20"/>
              </w:rPr>
            </w:pPr>
            <w:r>
              <w:rPr>
                <w:color w:val="1C242C"/>
                <w:sz w:val="20"/>
                <w:u w:val="single" w:color="1C242C"/>
              </w:rPr>
              <w:t>Question</w:t>
            </w:r>
            <w:r>
              <w:rPr>
                <w:color w:val="1C242C"/>
                <w:spacing w:val="-8"/>
                <w:sz w:val="20"/>
                <w:u w:val="single" w:color="1C242C"/>
              </w:rPr>
              <w:t xml:space="preserve"> </w:t>
            </w:r>
            <w:r>
              <w:rPr>
                <w:color w:val="1C242C"/>
                <w:sz w:val="20"/>
                <w:u w:val="single" w:color="1C242C"/>
              </w:rPr>
              <w:t>53</w:t>
            </w:r>
            <w:r>
              <w:rPr>
                <w:color w:val="1C242C"/>
                <w:sz w:val="20"/>
                <w:u w:val="none"/>
              </w:rPr>
              <w:t>:</w:t>
            </w:r>
            <w:r>
              <w:rPr>
                <w:color w:val="1C242C"/>
                <w:spacing w:val="-9"/>
                <w:sz w:val="20"/>
                <w:u w:val="none"/>
              </w:rPr>
              <w:t xml:space="preserve"> </w:t>
            </w:r>
            <w:r>
              <w:rPr>
                <w:color w:val="1C242C"/>
                <w:sz w:val="20"/>
                <w:u w:val="none"/>
              </w:rPr>
              <w:t>Is</w:t>
            </w:r>
            <w:r>
              <w:rPr>
                <w:color w:val="1C242C"/>
                <w:spacing w:val="-8"/>
                <w:sz w:val="20"/>
                <w:u w:val="none"/>
              </w:rPr>
              <w:t xml:space="preserve"> </w:t>
            </w:r>
            <w:r>
              <w:rPr>
                <w:color w:val="1C242C"/>
                <w:sz w:val="20"/>
                <w:u w:val="none"/>
              </w:rPr>
              <w:t>this</w:t>
            </w:r>
            <w:r>
              <w:rPr>
                <w:color w:val="1C242C"/>
                <w:spacing w:val="-9"/>
                <w:sz w:val="20"/>
                <w:u w:val="none"/>
              </w:rPr>
              <w:t xml:space="preserve"> </w:t>
            </w:r>
            <w:r>
              <w:rPr>
                <w:color w:val="1C242C"/>
                <w:sz w:val="20"/>
                <w:u w:val="none"/>
              </w:rPr>
              <w:t>medicine</w:t>
            </w:r>
            <w:r>
              <w:rPr>
                <w:color w:val="1C242C"/>
                <w:spacing w:val="-8"/>
                <w:sz w:val="20"/>
                <w:u w:val="none"/>
              </w:rPr>
              <w:t xml:space="preserve"> </w:t>
            </w:r>
            <w:r>
              <w:rPr>
                <w:color w:val="1C242C"/>
                <w:sz w:val="20"/>
                <w:u w:val="none"/>
              </w:rPr>
              <w:t>to treat</w:t>
            </w:r>
            <w:r>
              <w:rPr>
                <w:color w:val="1C242C"/>
                <w:spacing w:val="-7"/>
                <w:sz w:val="20"/>
                <w:u w:val="none"/>
              </w:rPr>
              <w:t xml:space="preserve"> </w:t>
            </w:r>
            <w:r>
              <w:rPr>
                <w:color w:val="1C242C"/>
                <w:sz w:val="20"/>
                <w:u w:val="none"/>
              </w:rPr>
              <w:t>a</w:t>
            </w:r>
            <w:r>
              <w:rPr>
                <w:color w:val="1C242C"/>
                <w:spacing w:val="-6"/>
                <w:sz w:val="20"/>
                <w:u w:val="none"/>
              </w:rPr>
              <w:t xml:space="preserve"> </w:t>
            </w:r>
            <w:r>
              <w:rPr>
                <w:color w:val="1C242C"/>
                <w:sz w:val="20"/>
                <w:u w:val="none"/>
              </w:rPr>
              <w:t>condition</w:t>
            </w:r>
            <w:r>
              <w:rPr>
                <w:color w:val="1C242C"/>
                <w:spacing w:val="-6"/>
                <w:sz w:val="20"/>
                <w:u w:val="none"/>
              </w:rPr>
              <w:t xml:space="preserve"> </w:t>
            </w:r>
            <w:r>
              <w:rPr>
                <w:color w:val="1C242C"/>
                <w:sz w:val="20"/>
                <w:u w:val="none"/>
              </w:rPr>
              <w:t>that</w:t>
            </w:r>
            <w:r>
              <w:rPr>
                <w:color w:val="1C242C"/>
                <w:spacing w:val="-6"/>
                <w:sz w:val="20"/>
                <w:u w:val="none"/>
              </w:rPr>
              <w:t xml:space="preserve"> </w:t>
            </w:r>
            <w:r>
              <w:rPr>
                <w:color w:val="1C242C"/>
                <w:sz w:val="20"/>
                <w:u w:val="none"/>
              </w:rPr>
              <w:t>has</w:t>
            </w:r>
            <w:r>
              <w:rPr>
                <w:color w:val="1C242C"/>
                <w:spacing w:val="-7"/>
                <w:sz w:val="20"/>
                <w:u w:val="none"/>
              </w:rPr>
              <w:t xml:space="preserve"> </w:t>
            </w:r>
            <w:r>
              <w:rPr>
                <w:color w:val="1C242C"/>
                <w:sz w:val="20"/>
                <w:u w:val="none"/>
              </w:rPr>
              <w:t>lasted for at least 3 months?</w:t>
            </w:r>
          </w:p>
        </w:tc>
        <w:tc>
          <w:tcPr>
            <w:tcW w:w="3948" w:type="dxa"/>
            <w:tcBorders>
              <w:top w:val="single" w:sz="8" w:space="0" w:color="D9D9D9"/>
              <w:left w:val="single" w:sz="8" w:space="0" w:color="D9D9D9"/>
              <w:bottom w:val="single" w:sz="8" w:space="0" w:color="D9D9D9"/>
              <w:right w:val="nil"/>
            </w:tcBorders>
          </w:tcPr>
          <w:p>
            <w:pPr>
              <w:pStyle w:val="TableParagraph"/>
              <w:numPr>
                <w:ilvl w:val="0"/>
                <w:numId w:val="2"/>
              </w:numPr>
              <w:tabs>
                <w:tab w:val="left" w:pos="284"/>
                <w:tab w:val="left" w:pos="286"/>
              </w:tabs>
              <w:spacing w:before="18" w:after="0" w:line="240" w:lineRule="auto"/>
              <w:ind w:left="284" w:right="488" w:hanging="188"/>
              <w:jc w:val="left"/>
              <w:rPr>
                <w:i/>
                <w:sz w:val="20"/>
              </w:rPr>
            </w:pPr>
            <w:r>
              <w:rPr>
                <w:color w:val="1C242C"/>
                <w:sz w:val="20"/>
              </w:rPr>
              <w:t>No</w:t>
            </w:r>
            <w:r>
              <w:rPr>
                <w:color w:val="1C242C"/>
                <w:spacing w:val="-5"/>
                <w:sz w:val="20"/>
              </w:rPr>
              <w:t xml:space="preserve"> </w:t>
            </w:r>
            <w:r>
              <w:rPr>
                <w:color w:val="1C242C"/>
                <w:sz w:val="20"/>
              </w:rPr>
              <w:t>care</w:t>
            </w:r>
            <w:r>
              <w:rPr>
                <w:color w:val="1C242C"/>
                <w:spacing w:val="-6"/>
                <w:sz w:val="20"/>
              </w:rPr>
              <w:t xml:space="preserve"> </w:t>
            </w:r>
            <w:r>
              <w:rPr>
                <w:color w:val="1C242C"/>
                <w:sz w:val="20"/>
              </w:rPr>
              <w:t>and</w:t>
            </w:r>
            <w:r>
              <w:rPr>
                <w:color w:val="1C242C"/>
                <w:spacing w:val="-5"/>
                <w:sz w:val="20"/>
              </w:rPr>
              <w:t xml:space="preserve"> </w:t>
            </w:r>
            <w:r>
              <w:rPr>
                <w:color w:val="1C242C"/>
                <w:sz w:val="20"/>
              </w:rPr>
              <w:t>No</w:t>
            </w:r>
            <w:r>
              <w:rPr>
                <w:color w:val="1C242C"/>
                <w:spacing w:val="-6"/>
                <w:sz w:val="20"/>
              </w:rPr>
              <w:t xml:space="preserve"> </w:t>
            </w:r>
            <w:r>
              <w:rPr>
                <w:color w:val="1C242C"/>
                <w:sz w:val="20"/>
              </w:rPr>
              <w:t>medications;</w:t>
            </w:r>
            <w:r>
              <w:rPr>
                <w:color w:val="1C242C"/>
                <w:spacing w:val="-1"/>
                <w:sz w:val="20"/>
              </w:rPr>
              <w:t xml:space="preserve"> </w:t>
            </w:r>
            <w:r>
              <w:rPr>
                <w:i/>
                <w:color w:val="1C242C"/>
                <w:sz w:val="20"/>
              </w:rPr>
              <w:t>Q50</w:t>
            </w:r>
            <w:r>
              <w:rPr>
                <w:i/>
                <w:color w:val="1C242C"/>
                <w:spacing w:val="-5"/>
                <w:sz w:val="20"/>
              </w:rPr>
              <w:t xml:space="preserve"> </w:t>
            </w:r>
            <w:r>
              <w:rPr>
                <w:i/>
                <w:color w:val="1C242C"/>
                <w:sz w:val="20"/>
              </w:rPr>
              <w:t>=</w:t>
            </w:r>
            <w:r>
              <w:rPr>
                <w:i/>
                <w:color w:val="1C242C"/>
                <w:spacing w:val="-5"/>
                <w:sz w:val="20"/>
              </w:rPr>
              <w:t xml:space="preserve"> </w:t>
            </w:r>
            <w:r>
              <w:rPr>
                <w:i/>
                <w:color w:val="1C242C"/>
                <w:sz w:val="20"/>
              </w:rPr>
              <w:t>no</w:t>
            </w:r>
            <w:r>
              <w:rPr>
                <w:i/>
                <w:color w:val="1C242C"/>
                <w:spacing w:val="-5"/>
                <w:sz w:val="20"/>
              </w:rPr>
              <w:t xml:space="preserve"> </w:t>
            </w:r>
            <w:r>
              <w:rPr>
                <w:i/>
                <w:color w:val="1C242C"/>
                <w:sz w:val="20"/>
              </w:rPr>
              <w:t>and</w:t>
            </w:r>
            <w:r>
              <w:rPr>
                <w:i/>
                <w:color w:val="1C242C"/>
                <w:sz w:val="20"/>
              </w:rPr>
              <w:t xml:space="preserve"> Q52 = no</w:t>
            </w:r>
          </w:p>
          <w:p>
            <w:pPr>
              <w:pStyle w:val="TableParagraph"/>
              <w:numPr>
                <w:ilvl w:val="0"/>
                <w:numId w:val="2"/>
              </w:numPr>
              <w:tabs>
                <w:tab w:val="left" w:pos="284"/>
                <w:tab w:val="left" w:pos="286"/>
              </w:tabs>
              <w:spacing w:before="19" w:after="0" w:line="240" w:lineRule="auto"/>
              <w:ind w:left="284" w:right="425" w:hanging="188"/>
              <w:jc w:val="left"/>
              <w:rPr>
                <w:i/>
                <w:sz w:val="20"/>
              </w:rPr>
            </w:pPr>
            <w:r>
              <w:rPr>
                <w:color w:val="1C242C"/>
                <w:sz w:val="20"/>
              </w:rPr>
              <w:t>Acute</w:t>
            </w:r>
            <w:r>
              <w:rPr>
                <w:color w:val="1C242C"/>
                <w:spacing w:val="-6"/>
                <w:sz w:val="20"/>
              </w:rPr>
              <w:t xml:space="preserve"> </w:t>
            </w:r>
            <w:r>
              <w:rPr>
                <w:color w:val="1C242C"/>
                <w:sz w:val="20"/>
              </w:rPr>
              <w:t>care</w:t>
            </w:r>
            <w:r>
              <w:rPr>
                <w:color w:val="1C242C"/>
                <w:spacing w:val="-8"/>
                <w:sz w:val="20"/>
              </w:rPr>
              <w:t xml:space="preserve"> </w:t>
            </w:r>
            <w:r>
              <w:rPr>
                <w:color w:val="1C242C"/>
                <w:sz w:val="20"/>
              </w:rPr>
              <w:t>and/or</w:t>
            </w:r>
            <w:r>
              <w:rPr>
                <w:color w:val="1C242C"/>
                <w:spacing w:val="-6"/>
                <w:sz w:val="20"/>
              </w:rPr>
              <w:t xml:space="preserve"> </w:t>
            </w:r>
            <w:r>
              <w:rPr>
                <w:color w:val="1C242C"/>
                <w:sz w:val="20"/>
              </w:rPr>
              <w:t>Acute</w:t>
            </w:r>
            <w:r>
              <w:rPr>
                <w:color w:val="1C242C"/>
                <w:spacing w:val="-7"/>
                <w:sz w:val="20"/>
              </w:rPr>
              <w:t xml:space="preserve"> </w:t>
            </w:r>
            <w:r>
              <w:rPr>
                <w:color w:val="1C242C"/>
                <w:sz w:val="20"/>
              </w:rPr>
              <w:t>medications;</w:t>
            </w:r>
            <w:r>
              <w:rPr>
                <w:color w:val="1C242C"/>
                <w:spacing w:val="-4"/>
                <w:sz w:val="20"/>
              </w:rPr>
              <w:t xml:space="preserve"> </w:t>
            </w:r>
            <w:r>
              <w:rPr>
                <w:i/>
                <w:color w:val="1C242C"/>
                <w:sz w:val="20"/>
              </w:rPr>
              <w:t>Q50</w:t>
            </w:r>
            <w:r>
              <w:rPr>
                <w:i/>
                <w:color w:val="1C242C"/>
                <w:spacing w:val="-7"/>
                <w:sz w:val="20"/>
              </w:rPr>
              <w:t xml:space="preserve"> </w:t>
            </w:r>
            <w:r>
              <w:rPr>
                <w:i/>
                <w:color w:val="1C242C"/>
                <w:sz w:val="20"/>
              </w:rPr>
              <w:t>=</w:t>
            </w:r>
            <w:r>
              <w:rPr>
                <w:i/>
                <w:color w:val="1C242C"/>
                <w:sz w:val="20"/>
              </w:rPr>
              <w:t xml:space="preserve"> yes and/or Q52 = yes.</w:t>
            </w:r>
          </w:p>
          <w:p>
            <w:pPr>
              <w:pStyle w:val="TableParagraph"/>
              <w:numPr>
                <w:ilvl w:val="0"/>
                <w:numId w:val="2"/>
              </w:numPr>
              <w:tabs>
                <w:tab w:val="left" w:pos="284"/>
                <w:tab w:val="left" w:pos="286"/>
              </w:tabs>
              <w:spacing w:before="22" w:after="0" w:line="240" w:lineRule="auto"/>
              <w:ind w:left="284" w:right="264" w:hanging="188"/>
              <w:jc w:val="left"/>
              <w:rPr>
                <w:i/>
                <w:sz w:val="20"/>
              </w:rPr>
            </w:pPr>
            <w:r>
              <w:rPr>
                <w:color w:val="1C242C"/>
                <w:sz w:val="20"/>
              </w:rPr>
              <w:t>Chronic</w:t>
            </w:r>
            <w:r>
              <w:rPr>
                <w:color w:val="1C242C"/>
                <w:sz w:val="20"/>
              </w:rPr>
              <w:t xml:space="preserve"> care or chronic medications; </w:t>
            </w:r>
            <w:r>
              <w:rPr>
                <w:i/>
                <w:color w:val="1C242C"/>
                <w:sz w:val="20"/>
              </w:rPr>
              <w:t>(Q50 =</w:t>
            </w:r>
            <w:r>
              <w:rPr>
                <w:i/>
                <w:color w:val="1C242C"/>
                <w:sz w:val="20"/>
              </w:rPr>
              <w:t xml:space="preserve"> yes</w:t>
            </w:r>
            <w:r>
              <w:rPr>
                <w:i/>
                <w:color w:val="1C242C"/>
                <w:spacing w:val="-5"/>
                <w:sz w:val="20"/>
              </w:rPr>
              <w:t xml:space="preserve"> </w:t>
            </w:r>
            <w:r>
              <w:rPr>
                <w:i/>
                <w:color w:val="1C242C"/>
                <w:sz w:val="20"/>
              </w:rPr>
              <w:t>and</w:t>
            </w:r>
            <w:r>
              <w:rPr>
                <w:i/>
                <w:color w:val="1C242C"/>
                <w:spacing w:val="-4"/>
                <w:sz w:val="20"/>
              </w:rPr>
              <w:t xml:space="preserve"> </w:t>
            </w:r>
            <w:r>
              <w:rPr>
                <w:i/>
                <w:color w:val="1C242C"/>
                <w:sz w:val="20"/>
              </w:rPr>
              <w:t>Q51</w:t>
            </w:r>
            <w:r>
              <w:rPr>
                <w:i/>
                <w:color w:val="1C242C"/>
                <w:spacing w:val="-4"/>
                <w:sz w:val="20"/>
              </w:rPr>
              <w:t xml:space="preserve"> </w:t>
            </w:r>
            <w:r>
              <w:rPr>
                <w:i/>
                <w:color w:val="1C242C"/>
                <w:sz w:val="20"/>
              </w:rPr>
              <w:t>=</w:t>
            </w:r>
            <w:r>
              <w:rPr>
                <w:i/>
                <w:color w:val="1C242C"/>
                <w:spacing w:val="-4"/>
                <w:sz w:val="20"/>
              </w:rPr>
              <w:t xml:space="preserve"> </w:t>
            </w:r>
            <w:r>
              <w:rPr>
                <w:i/>
                <w:color w:val="1C242C"/>
                <w:sz w:val="20"/>
              </w:rPr>
              <w:t>yes)</w:t>
            </w:r>
            <w:r>
              <w:rPr>
                <w:i/>
                <w:color w:val="1C242C"/>
                <w:spacing w:val="-4"/>
                <w:sz w:val="20"/>
              </w:rPr>
              <w:t xml:space="preserve"> </w:t>
            </w:r>
            <w:r>
              <w:rPr>
                <w:i/>
                <w:color w:val="1C242C"/>
                <w:sz w:val="20"/>
              </w:rPr>
              <w:t>OR</w:t>
            </w:r>
            <w:r>
              <w:rPr>
                <w:i/>
                <w:color w:val="1C242C"/>
                <w:spacing w:val="-5"/>
                <w:sz w:val="20"/>
              </w:rPr>
              <w:t xml:space="preserve"> </w:t>
            </w:r>
            <w:r>
              <w:rPr>
                <w:i/>
                <w:color w:val="1C242C"/>
                <w:sz w:val="20"/>
              </w:rPr>
              <w:t>(Q52</w:t>
            </w:r>
            <w:r>
              <w:rPr>
                <w:i/>
                <w:color w:val="1C242C"/>
                <w:spacing w:val="-4"/>
                <w:sz w:val="20"/>
              </w:rPr>
              <w:t xml:space="preserve"> </w:t>
            </w:r>
            <w:r>
              <w:rPr>
                <w:i/>
                <w:color w:val="1C242C"/>
                <w:sz w:val="20"/>
              </w:rPr>
              <w:t>=</w:t>
            </w:r>
            <w:r>
              <w:rPr>
                <w:i/>
                <w:color w:val="1C242C"/>
                <w:spacing w:val="-4"/>
                <w:sz w:val="20"/>
              </w:rPr>
              <w:t xml:space="preserve"> </w:t>
            </w:r>
            <w:r>
              <w:rPr>
                <w:i/>
                <w:color w:val="1C242C"/>
                <w:sz w:val="20"/>
              </w:rPr>
              <w:t>yes</w:t>
            </w:r>
            <w:r>
              <w:rPr>
                <w:i/>
                <w:color w:val="1C242C"/>
                <w:spacing w:val="-5"/>
                <w:sz w:val="20"/>
              </w:rPr>
              <w:t xml:space="preserve"> </w:t>
            </w:r>
            <w:r>
              <w:rPr>
                <w:i/>
                <w:color w:val="1C242C"/>
                <w:sz w:val="20"/>
              </w:rPr>
              <w:t>and</w:t>
            </w:r>
            <w:r>
              <w:rPr>
                <w:i/>
                <w:color w:val="1C242C"/>
                <w:spacing w:val="-4"/>
                <w:sz w:val="20"/>
              </w:rPr>
              <w:t xml:space="preserve"> </w:t>
            </w:r>
            <w:r>
              <w:rPr>
                <w:i/>
                <w:color w:val="1C242C"/>
                <w:sz w:val="20"/>
              </w:rPr>
              <w:t>Q53</w:t>
            </w:r>
            <w:r>
              <w:rPr>
                <w:i/>
                <w:color w:val="1C242C"/>
                <w:spacing w:val="-4"/>
                <w:sz w:val="20"/>
              </w:rPr>
              <w:t xml:space="preserve"> </w:t>
            </w:r>
            <w:r>
              <w:rPr>
                <w:i/>
                <w:color w:val="1C242C"/>
                <w:sz w:val="20"/>
              </w:rPr>
              <w:t xml:space="preserve">= </w:t>
            </w:r>
            <w:r>
              <w:rPr>
                <w:i/>
                <w:color w:val="1C242C"/>
                <w:spacing w:val="-4"/>
                <w:sz w:val="20"/>
              </w:rPr>
              <w:t>yes)</w:t>
            </w:r>
          </w:p>
          <w:p>
            <w:pPr>
              <w:pStyle w:val="TableParagraph"/>
              <w:numPr>
                <w:ilvl w:val="0"/>
                <w:numId w:val="2"/>
              </w:numPr>
              <w:tabs>
                <w:tab w:val="left" w:pos="284"/>
                <w:tab w:val="left" w:pos="286"/>
              </w:tabs>
              <w:spacing w:before="19" w:after="0" w:line="240" w:lineRule="auto"/>
              <w:ind w:left="284" w:right="638" w:hanging="188"/>
              <w:jc w:val="left"/>
              <w:rPr>
                <w:i/>
                <w:sz w:val="20"/>
              </w:rPr>
            </w:pPr>
            <w:r>
              <w:rPr>
                <w:color w:val="1C242C"/>
                <w:sz w:val="20"/>
              </w:rPr>
              <w:t>Chronic</w:t>
            </w:r>
            <w:r>
              <w:rPr>
                <w:color w:val="1C242C"/>
                <w:spacing w:val="-7"/>
                <w:sz w:val="20"/>
              </w:rPr>
              <w:t xml:space="preserve"> </w:t>
            </w:r>
            <w:r>
              <w:rPr>
                <w:color w:val="1C242C"/>
                <w:sz w:val="20"/>
              </w:rPr>
              <w:t>care</w:t>
            </w:r>
            <w:r>
              <w:rPr>
                <w:color w:val="1C242C"/>
                <w:spacing w:val="-8"/>
                <w:sz w:val="20"/>
              </w:rPr>
              <w:t xml:space="preserve"> </w:t>
            </w:r>
            <w:r>
              <w:rPr>
                <w:color w:val="1C242C"/>
                <w:sz w:val="20"/>
              </w:rPr>
              <w:t>and</w:t>
            </w:r>
            <w:r>
              <w:rPr>
                <w:color w:val="1C242C"/>
                <w:spacing w:val="-7"/>
                <w:sz w:val="20"/>
              </w:rPr>
              <w:t xml:space="preserve"> </w:t>
            </w:r>
            <w:r>
              <w:rPr>
                <w:color w:val="1C242C"/>
                <w:sz w:val="20"/>
              </w:rPr>
              <w:t>chronic</w:t>
            </w:r>
            <w:r>
              <w:rPr>
                <w:color w:val="1C242C"/>
                <w:spacing w:val="-8"/>
                <w:sz w:val="20"/>
              </w:rPr>
              <w:t xml:space="preserve"> </w:t>
            </w:r>
            <w:r>
              <w:rPr>
                <w:color w:val="1C242C"/>
                <w:sz w:val="20"/>
              </w:rPr>
              <w:t>medications</w:t>
            </w:r>
            <w:r>
              <w:rPr>
                <w:color w:val="1C242C"/>
                <w:spacing w:val="-5"/>
                <w:sz w:val="20"/>
              </w:rPr>
              <w:t xml:space="preserve"> </w:t>
            </w:r>
            <w:r>
              <w:rPr>
                <w:i/>
                <w:color w:val="1C242C"/>
                <w:sz w:val="20"/>
              </w:rPr>
              <w:t>(all</w:t>
            </w:r>
            <w:r>
              <w:rPr>
                <w:i/>
                <w:color w:val="1C242C"/>
                <w:sz w:val="20"/>
              </w:rPr>
              <w:t xml:space="preserve"> 4 questions = yes)</w:t>
            </w:r>
          </w:p>
        </w:tc>
      </w:tr>
      <w:tr>
        <w:tblPrEx>
          <w:tblW w:w="0" w:type="auto"/>
          <w:jc w:val="left"/>
          <w:tblInd w:w="339" w:type="dxa"/>
          <w:tblLayout w:type="fixed"/>
          <w:tblCellMar>
            <w:top w:w="0" w:type="dxa"/>
            <w:left w:w="0" w:type="dxa"/>
            <w:bottom w:w="0" w:type="dxa"/>
            <w:right w:w="0" w:type="dxa"/>
          </w:tblCellMar>
          <w:tblLook w:val="01E0"/>
        </w:tblPrEx>
        <w:trPr>
          <w:trHeight w:val="520"/>
          <w:jc w:val="left"/>
        </w:trPr>
        <w:tc>
          <w:tcPr>
            <w:tcW w:w="2785" w:type="dxa"/>
            <w:tcBorders>
              <w:top w:val="single" w:sz="8" w:space="0" w:color="D9D9D9"/>
              <w:left w:val="nil"/>
              <w:bottom w:val="single" w:sz="6" w:space="0" w:color="00507E"/>
              <w:right w:val="single" w:sz="8" w:space="0" w:color="D9D9D9"/>
            </w:tcBorders>
            <w:shd w:val="clear" w:color="auto" w:fill="F3FAFF"/>
          </w:tcPr>
          <w:p>
            <w:pPr>
              <w:pStyle w:val="TableParagraph"/>
              <w:spacing w:before="18"/>
              <w:ind w:left="136"/>
              <w:rPr>
                <w:sz w:val="20"/>
              </w:rPr>
            </w:pPr>
            <w:r>
              <w:rPr>
                <w:color w:val="1C242C"/>
                <w:sz w:val="20"/>
              </w:rPr>
              <w:t>Received</w:t>
            </w:r>
            <w:r>
              <w:rPr>
                <w:color w:val="1C242C"/>
                <w:spacing w:val="-10"/>
                <w:sz w:val="20"/>
              </w:rPr>
              <w:t xml:space="preserve"> </w:t>
            </w:r>
            <w:r>
              <w:rPr>
                <w:color w:val="1C242C"/>
                <w:sz w:val="20"/>
              </w:rPr>
              <w:t>Help</w:t>
            </w:r>
            <w:r>
              <w:rPr>
                <w:color w:val="1C242C"/>
                <w:spacing w:val="-9"/>
                <w:sz w:val="20"/>
              </w:rPr>
              <w:t xml:space="preserve"> </w:t>
            </w:r>
            <w:r>
              <w:rPr>
                <w:color w:val="1C242C"/>
                <w:spacing w:val="-2"/>
                <w:sz w:val="20"/>
              </w:rPr>
              <w:t>Responding</w:t>
            </w:r>
          </w:p>
        </w:tc>
        <w:tc>
          <w:tcPr>
            <w:tcW w:w="2686" w:type="dxa"/>
            <w:tcBorders>
              <w:top w:val="single" w:sz="8" w:space="0" w:color="D9D9D9"/>
              <w:left w:val="single" w:sz="8" w:space="0" w:color="D9D9D9"/>
              <w:bottom w:val="single" w:sz="6" w:space="0" w:color="00507E"/>
              <w:right w:val="single" w:sz="8" w:space="0" w:color="D9D9D9"/>
            </w:tcBorders>
            <w:shd w:val="clear" w:color="auto" w:fill="F3FAFF"/>
          </w:tcPr>
          <w:p>
            <w:pPr>
              <w:pStyle w:val="TableParagraph"/>
              <w:spacing w:before="18"/>
              <w:ind w:left="97" w:right="76"/>
              <w:rPr>
                <w:sz w:val="20"/>
              </w:rPr>
            </w:pPr>
            <w:r>
              <w:rPr>
                <w:color w:val="1C242C"/>
                <w:sz w:val="20"/>
              </w:rPr>
              <w:t>Did</w:t>
            </w:r>
            <w:r>
              <w:rPr>
                <w:color w:val="1C242C"/>
                <w:spacing w:val="-11"/>
                <w:sz w:val="20"/>
              </w:rPr>
              <w:t xml:space="preserve"> </w:t>
            </w:r>
            <w:r>
              <w:rPr>
                <w:color w:val="1C242C"/>
                <w:sz w:val="20"/>
              </w:rPr>
              <w:t>someone</w:t>
            </w:r>
            <w:r>
              <w:rPr>
                <w:color w:val="1C242C"/>
                <w:spacing w:val="-11"/>
                <w:sz w:val="20"/>
              </w:rPr>
              <w:t xml:space="preserve"> </w:t>
            </w:r>
            <w:r>
              <w:rPr>
                <w:color w:val="1C242C"/>
                <w:sz w:val="20"/>
              </w:rPr>
              <w:t>help</w:t>
            </w:r>
            <w:r>
              <w:rPr>
                <w:color w:val="1C242C"/>
                <w:spacing w:val="-11"/>
                <w:sz w:val="20"/>
              </w:rPr>
              <w:t xml:space="preserve"> </w:t>
            </w:r>
            <w:r>
              <w:rPr>
                <w:color w:val="1C242C"/>
                <w:sz w:val="20"/>
              </w:rPr>
              <w:t>you</w:t>
            </w:r>
            <w:r>
              <w:rPr>
                <w:color w:val="1C242C"/>
                <w:spacing w:val="-11"/>
                <w:sz w:val="20"/>
              </w:rPr>
              <w:t xml:space="preserve"> </w:t>
            </w:r>
            <w:r>
              <w:rPr>
                <w:color w:val="1C242C"/>
                <w:sz w:val="20"/>
              </w:rPr>
              <w:t>complete this survey?</w:t>
            </w:r>
          </w:p>
        </w:tc>
        <w:tc>
          <w:tcPr>
            <w:tcW w:w="3948" w:type="dxa"/>
            <w:tcBorders>
              <w:top w:val="single" w:sz="8" w:space="0" w:color="D9D9D9"/>
              <w:left w:val="single" w:sz="8" w:space="0" w:color="D9D9D9"/>
              <w:bottom w:val="single" w:sz="6" w:space="0" w:color="00507E"/>
              <w:right w:val="nil"/>
            </w:tcBorders>
            <w:shd w:val="clear" w:color="auto" w:fill="F3FAFF"/>
          </w:tcPr>
          <w:p>
            <w:pPr>
              <w:pStyle w:val="TableParagraph"/>
              <w:numPr>
                <w:ilvl w:val="0"/>
                <w:numId w:val="1"/>
              </w:numPr>
              <w:tabs>
                <w:tab w:val="left" w:pos="287"/>
              </w:tabs>
              <w:spacing w:before="18" w:after="0" w:line="240" w:lineRule="auto"/>
              <w:ind w:left="287" w:right="0" w:hanging="190"/>
              <w:jc w:val="left"/>
              <w:rPr>
                <w:sz w:val="20"/>
              </w:rPr>
            </w:pPr>
            <w:r>
              <w:rPr>
                <w:color w:val="1C242C"/>
                <w:spacing w:val="-5"/>
                <w:sz w:val="20"/>
              </w:rPr>
              <w:t>Yes</w:t>
            </w:r>
          </w:p>
          <w:p>
            <w:pPr>
              <w:pStyle w:val="TableParagraph"/>
              <w:spacing w:before="23"/>
              <w:ind w:left="97"/>
              <w:rPr>
                <w:sz w:val="20"/>
              </w:rPr>
            </w:pPr>
            <w:r>
              <w:rPr>
                <w:color w:val="1C242C"/>
                <w:sz w:val="20"/>
              </w:rPr>
              <w:t>0)</w:t>
            </w:r>
            <w:r>
              <w:rPr>
                <w:color w:val="1C242C"/>
                <w:spacing w:val="-3"/>
                <w:sz w:val="20"/>
              </w:rPr>
              <w:t xml:space="preserve"> </w:t>
            </w:r>
            <w:r>
              <w:rPr>
                <w:color w:val="1C242C"/>
                <w:sz w:val="20"/>
              </w:rPr>
              <w:t>No</w:t>
            </w:r>
            <w:r>
              <w:rPr>
                <w:color w:val="1C242C"/>
                <w:spacing w:val="-3"/>
                <w:sz w:val="20"/>
              </w:rPr>
              <w:t xml:space="preserve"> </w:t>
            </w:r>
            <w:r>
              <w:rPr>
                <w:color w:val="1C242C"/>
                <w:spacing w:val="-2"/>
                <w:sz w:val="20"/>
              </w:rPr>
              <w:t>(REFERENCE)</w:t>
            </w:r>
          </w:p>
        </w:tc>
      </w:tr>
    </w:tbl>
    <w:p/>
    <w:sectPr>
      <w:pgSz w:w="12240" w:h="15840"/>
      <w:pgMar w:top="1360" w:right="1080" w:bottom="940" w:left="1080" w:header="0" w:footer="748"/>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0"/>
    <w:family w:val="roman"/>
    <w:pitch w:val="variable"/>
  </w:font>
  <w:font w:name="Arial">
    <w:altName w:val="Arial"/>
    <w:charset w:val="00"/>
    <w:family w:val="swiss"/>
    <w:pitch w:val="variable"/>
  </w:font>
  <w:font w:name="Arial Narrow">
    <w:altName w:val="Arial Narrow"/>
    <w:charset w:val="00"/>
    <w:family w:val="swiss"/>
    <w:pitch w:val="variable"/>
  </w:font>
  <w:font w:name="Calibri">
    <w:altName w:val="Calibri"/>
    <w:charset w:val="00"/>
    <w:family w:val="swiss"/>
    <w:pitch w:val="variable"/>
  </w:font>
  <w:font w:name="Symbol">
    <w:altName w:val="Symbol"/>
    <w:charset w:val="02"/>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w:rPr>
        <w:sz w:val="20"/>
      </w:rPr>
      <mc:AlternateContent>
        <mc:Choice Requires="wps">
          <w:drawing>
            <wp:anchor distT="0" distB="0" distL="0" distR="0" simplePos="0" relativeHeight="251658240" behindDoc="1" locked="0" layoutInCell="1" allowOverlap="1">
              <wp:simplePos x="0" y="0"/>
              <wp:positionH relativeFrom="page">
                <wp:posOffset>896416</wp:posOffset>
              </wp:positionH>
              <wp:positionV relativeFrom="page">
                <wp:posOffset>9405823</wp:posOffset>
              </wp:positionV>
              <wp:extent cx="5981065" cy="6350"/>
              <wp:effectExtent l="0" t="0" r="0" b="0"/>
              <wp:wrapNone/>
              <wp:docPr id="1" name="Graphic 1"/>
              <wp:cNvGraphicFramePr/>
              <a:graphic xmlns:a="http://schemas.openxmlformats.org/drawingml/2006/main">
                <a:graphicData uri="http://schemas.microsoft.com/office/word/2010/wordprocessingShape">
                  <wps:wsp xmlns:wps="http://schemas.microsoft.com/office/word/2010/wordprocessingShape">
                    <wps:cNvSpPr/>
                    <wps:spPr>
                      <a:xfrm>
                        <a:off x="0" y="0"/>
                        <a:ext cx="5981065" cy="6350"/>
                      </a:xfrm>
                      <a:custGeom>
                        <a:avLst/>
                        <a:gdLst/>
                        <a:rect l="l" t="t" r="r" b="b"/>
                        <a:pathLst>
                          <a:path fill="norm" h="6350" w="5981065" stroke="1">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wps:bodyPr>
                  </wps:wsp>
                </a:graphicData>
              </a:graphic>
            </wp:anchor>
          </w:drawing>
        </mc:Choice>
        <mc:Fallback>
          <w:pict>
            <v:rect id="_x0000_s2049" style="width:470.95pt;height:0.48pt;margin-top:740.62pt;margin-left:70.58pt;mso-position-horizontal-relative:page;mso-position-vertical-relative:page;position:absolute;z-index:-251657216" filled="t" fillcolor="black" stroked="f">
              <v:fill type="solid"/>
            </v:rect>
          </w:pict>
        </mc:Fallback>
      </mc:AlternateContent>
    </w:r>
    <w:r>
      <w:rPr>
        <w:sz w:val="20"/>
      </w:rPr>
      <mc:AlternateContent>
        <mc:Choice Requires="wps">
          <w:drawing>
            <wp:anchor distT="0" distB="0" distL="0" distR="0" simplePos="0" relativeHeight="251660288" behindDoc="1" locked="0" layoutInCell="1" allowOverlap="1">
              <wp:simplePos x="0" y="0"/>
              <wp:positionH relativeFrom="page">
                <wp:posOffset>3852798</wp:posOffset>
              </wp:positionH>
              <wp:positionV relativeFrom="page">
                <wp:posOffset>9423737</wp:posOffset>
              </wp:positionV>
              <wp:extent cx="67945" cy="194310"/>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67945" cy="194310"/>
                      </a:xfrm>
                      <a:prstGeom prst="rect">
                        <a:avLst/>
                      </a:prstGeom>
                    </wps:spPr>
                    <wps:txbx>
                      <w:txbxContent>
                        <w:p>
                          <w:pPr>
                            <w:pStyle w:val="BodyText"/>
                            <w:spacing w:before="10"/>
                            <w:ind w:left="20"/>
                          </w:pPr>
                          <w:r>
                            <w:rPr>
                              <w:spacing w:val="-10"/>
                            </w:rPr>
                            <w:t>i</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0" type="#_x0000_t202" style="width:5.35pt;height:15.3pt;margin-top:742.03pt;margin-left:303.37pt;mso-position-horizontal-relative:page;mso-position-vertical-relative:page;position:absolute;z-index:-251655168" filled="f" stroked="f">
              <v:textbox inset="0,0,0,0">
                <w:txbxContent>
                  <w:p>
                    <w:pPr>
                      <w:pStyle w:val="BodyText"/>
                      <w:spacing w:before="10"/>
                      <w:ind w:left="20"/>
                    </w:pPr>
                    <w:r>
                      <w:rPr>
                        <w:spacing w:val="-10"/>
                      </w:rPr>
                      <w:t>i</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w:rPr>
        <w:sz w:val="20"/>
      </w:rPr>
      <mc:AlternateContent>
        <mc:Choice Requires="wps">
          <w:drawing>
            <wp:anchor distT="0" distB="0" distL="0" distR="0" simplePos="0" relativeHeight="251662336" behindDoc="1" locked="0" layoutInCell="1" allowOverlap="1">
              <wp:simplePos x="0" y="0"/>
              <wp:positionH relativeFrom="page">
                <wp:posOffset>896416</wp:posOffset>
              </wp:positionH>
              <wp:positionV relativeFrom="page">
                <wp:posOffset>9405823</wp:posOffset>
              </wp:positionV>
              <wp:extent cx="5981065" cy="6350"/>
              <wp:effectExtent l="0" t="0" r="0" b="0"/>
              <wp:wrapNone/>
              <wp:docPr id="5" name="Graphic 5"/>
              <wp:cNvGraphicFramePr/>
              <a:graphic xmlns:a="http://schemas.openxmlformats.org/drawingml/2006/main">
                <a:graphicData uri="http://schemas.microsoft.com/office/word/2010/wordprocessingShape">
                  <wps:wsp xmlns:wps="http://schemas.microsoft.com/office/word/2010/wordprocessingShape">
                    <wps:cNvSpPr/>
                    <wps:spPr>
                      <a:xfrm>
                        <a:off x="0" y="0"/>
                        <a:ext cx="5981065" cy="6350"/>
                      </a:xfrm>
                      <a:custGeom>
                        <a:avLst/>
                        <a:gdLst/>
                        <a:rect l="l" t="t" r="r" b="b"/>
                        <a:pathLst>
                          <a:path fill="norm" h="6350" w="5981065" stroke="1">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wps:bodyPr>
                  </wps:wsp>
                </a:graphicData>
              </a:graphic>
            </wp:anchor>
          </w:drawing>
        </mc:Choice>
        <mc:Fallback>
          <w:pict>
            <v:rect id="_x0000_s2051" style="width:470.95pt;height:0.48pt;margin-top:740.62pt;margin-left:70.58pt;mso-position-horizontal-relative:page;mso-position-vertical-relative:page;position:absolute;z-index:-251653120" filled="t" fillcolor="black" stroked="f">
              <v:fill type="solid"/>
            </v:rect>
          </w:pict>
        </mc:Fallback>
      </mc:AlternateContent>
    </w:r>
    <w:r>
      <w:rPr>
        <w:sz w:val="20"/>
      </w:rPr>
      <mc:AlternateContent>
        <mc:Choice Requires="wps">
          <w:drawing>
            <wp:anchor distT="0" distB="0" distL="0" distR="0" simplePos="0" relativeHeight="251664384" behindDoc="1" locked="0" layoutInCell="1" allowOverlap="1">
              <wp:simplePos x="0" y="0"/>
              <wp:positionH relativeFrom="page">
                <wp:posOffset>3797934</wp:posOffset>
              </wp:positionH>
              <wp:positionV relativeFrom="page">
                <wp:posOffset>9423737</wp:posOffset>
              </wp:positionV>
              <wp:extent cx="177800" cy="194310"/>
              <wp:effectExtent l="0" t="0" r="0" b="0"/>
              <wp:wrapNone/>
              <wp:docPr id="6" name="Text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77800" cy="194310"/>
                      </a:xfrm>
                      <a:prstGeom prst="rect">
                        <a:avLst/>
                      </a:prstGeom>
                    </wps:spPr>
                    <wps:txbx>
                      <w:txbxContent>
                        <w:p>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2" type="#_x0000_t202" style="width:14pt;height:15.3pt;margin-top:742.03pt;margin-left:299.05pt;mso-position-horizontal-relative:page;mso-position-vertical-relative:page;position:absolute;z-index:-251651072" filled="f" stroked="f">
              <v:textbox inset="0,0,0,0">
                <w:txbxContent>
                  <w:p>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4F5771"/>
    <w:multiLevelType w:val="hybridMultilevel"/>
    <w:tmpl w:val="00000000"/>
    <w:lvl w:ilvl="0">
      <w:start w:val="0"/>
      <w:numFmt w:val="bullet"/>
      <w:lvlText w:val=""/>
      <w:lvlJc w:val="left"/>
      <w:pPr>
        <w:ind w:left="496" w:hanging="360"/>
      </w:pPr>
      <w:rPr>
        <w:rFonts w:ascii="Symbol" w:eastAsia="Symbol" w:hAnsi="Symbol" w:cs="Symbol" w:hint="default"/>
        <w:b w:val="0"/>
        <w:bCs w:val="0"/>
        <w:i w:val="0"/>
        <w:iCs w:val="0"/>
        <w:spacing w:val="0"/>
        <w:w w:val="100"/>
        <w:sz w:val="18"/>
        <w:szCs w:val="18"/>
        <w:lang w:val="en-US" w:eastAsia="en-US" w:bidi="ar-SA"/>
      </w:rPr>
    </w:lvl>
    <w:lvl w:ilvl="1">
      <w:start w:val="0"/>
      <w:numFmt w:val="bullet"/>
      <w:lvlText w:val="•"/>
      <w:lvlJc w:val="left"/>
      <w:pPr>
        <w:ind w:left="1162" w:hanging="360"/>
      </w:pPr>
      <w:rPr>
        <w:rFonts w:hint="default"/>
        <w:lang w:val="en-US" w:eastAsia="en-US" w:bidi="ar-SA"/>
      </w:rPr>
    </w:lvl>
    <w:lvl w:ilvl="2">
      <w:start w:val="0"/>
      <w:numFmt w:val="bullet"/>
      <w:lvlText w:val="•"/>
      <w:lvlJc w:val="left"/>
      <w:pPr>
        <w:ind w:left="1824" w:hanging="360"/>
      </w:pPr>
      <w:rPr>
        <w:rFonts w:hint="default"/>
        <w:lang w:val="en-US" w:eastAsia="en-US" w:bidi="ar-SA"/>
      </w:rPr>
    </w:lvl>
    <w:lvl w:ilvl="3">
      <w:start w:val="0"/>
      <w:numFmt w:val="bullet"/>
      <w:lvlText w:val="•"/>
      <w:lvlJc w:val="left"/>
      <w:pPr>
        <w:ind w:left="2487" w:hanging="360"/>
      </w:pPr>
      <w:rPr>
        <w:rFonts w:hint="default"/>
        <w:lang w:val="en-US" w:eastAsia="en-US" w:bidi="ar-SA"/>
      </w:rPr>
    </w:lvl>
    <w:lvl w:ilvl="4">
      <w:start w:val="0"/>
      <w:numFmt w:val="bullet"/>
      <w:lvlText w:val="•"/>
      <w:lvlJc w:val="left"/>
      <w:pPr>
        <w:ind w:left="3149" w:hanging="360"/>
      </w:pPr>
      <w:rPr>
        <w:rFonts w:hint="default"/>
        <w:lang w:val="en-US" w:eastAsia="en-US" w:bidi="ar-SA"/>
      </w:rPr>
    </w:lvl>
    <w:lvl w:ilvl="5">
      <w:start w:val="0"/>
      <w:numFmt w:val="bullet"/>
      <w:lvlText w:val="•"/>
      <w:lvlJc w:val="left"/>
      <w:pPr>
        <w:ind w:left="3812" w:hanging="360"/>
      </w:pPr>
      <w:rPr>
        <w:rFonts w:hint="default"/>
        <w:lang w:val="en-US" w:eastAsia="en-US" w:bidi="ar-SA"/>
      </w:rPr>
    </w:lvl>
    <w:lvl w:ilvl="6">
      <w:start w:val="0"/>
      <w:numFmt w:val="bullet"/>
      <w:lvlText w:val="•"/>
      <w:lvlJc w:val="left"/>
      <w:pPr>
        <w:ind w:left="4474" w:hanging="360"/>
      </w:pPr>
      <w:rPr>
        <w:rFonts w:hint="default"/>
        <w:lang w:val="en-US" w:eastAsia="en-US" w:bidi="ar-SA"/>
      </w:rPr>
    </w:lvl>
    <w:lvl w:ilvl="7">
      <w:start w:val="0"/>
      <w:numFmt w:val="bullet"/>
      <w:lvlText w:val="•"/>
      <w:lvlJc w:val="left"/>
      <w:pPr>
        <w:ind w:left="5136" w:hanging="360"/>
      </w:pPr>
      <w:rPr>
        <w:rFonts w:hint="default"/>
        <w:lang w:val="en-US" w:eastAsia="en-US" w:bidi="ar-SA"/>
      </w:rPr>
    </w:lvl>
    <w:lvl w:ilvl="8">
      <w:start w:val="0"/>
      <w:numFmt w:val="bullet"/>
      <w:lvlText w:val="•"/>
      <w:lvlJc w:val="left"/>
      <w:pPr>
        <w:ind w:left="5799" w:hanging="360"/>
      </w:pPr>
      <w:rPr>
        <w:rFonts w:hint="default"/>
        <w:lang w:val="en-US" w:eastAsia="en-US" w:bidi="ar-SA"/>
      </w:rPr>
    </w:lvl>
  </w:abstractNum>
  <w:abstractNum w:abstractNumId="1">
    <w:nsid w:val="0B040D20"/>
    <w:multiLevelType w:val="hybridMultilevel"/>
    <w:tmpl w:val="00000000"/>
    <w:lvl w:ilvl="0">
      <w:start w:val="1"/>
      <w:numFmt w:val="decimal"/>
      <w:lvlText w:val="%1)"/>
      <w:lvlJc w:val="left"/>
      <w:pPr>
        <w:ind w:left="284" w:hanging="192"/>
        <w:jc w:val="left"/>
      </w:pPr>
      <w:rPr>
        <w:rFonts w:ascii="Arial Narrow" w:eastAsia="Arial Narrow" w:hAnsi="Arial Narrow" w:cs="Arial Narrow" w:hint="default"/>
        <w:b w:val="0"/>
        <w:bCs w:val="0"/>
        <w:i w:val="0"/>
        <w:iCs w:val="0"/>
        <w:color w:val="1C242C"/>
        <w:spacing w:val="0"/>
        <w:w w:val="99"/>
        <w:sz w:val="20"/>
        <w:szCs w:val="20"/>
        <w:lang w:val="en-US" w:eastAsia="en-US" w:bidi="ar-SA"/>
      </w:rPr>
    </w:lvl>
    <w:lvl w:ilvl="1">
      <w:start w:val="0"/>
      <w:numFmt w:val="bullet"/>
      <w:lvlText w:val="•"/>
      <w:lvlJc w:val="left"/>
      <w:pPr>
        <w:ind w:left="645" w:hanging="192"/>
      </w:pPr>
      <w:rPr>
        <w:rFonts w:hint="default"/>
        <w:lang w:val="en-US" w:eastAsia="en-US" w:bidi="ar-SA"/>
      </w:rPr>
    </w:lvl>
    <w:lvl w:ilvl="2">
      <w:start w:val="0"/>
      <w:numFmt w:val="bullet"/>
      <w:lvlText w:val="•"/>
      <w:lvlJc w:val="left"/>
      <w:pPr>
        <w:ind w:left="1011" w:hanging="192"/>
      </w:pPr>
      <w:rPr>
        <w:rFonts w:hint="default"/>
        <w:lang w:val="en-US" w:eastAsia="en-US" w:bidi="ar-SA"/>
      </w:rPr>
    </w:lvl>
    <w:lvl w:ilvl="3">
      <w:start w:val="0"/>
      <w:numFmt w:val="bullet"/>
      <w:lvlText w:val="•"/>
      <w:lvlJc w:val="left"/>
      <w:pPr>
        <w:ind w:left="1377" w:hanging="192"/>
      </w:pPr>
      <w:rPr>
        <w:rFonts w:hint="default"/>
        <w:lang w:val="en-US" w:eastAsia="en-US" w:bidi="ar-SA"/>
      </w:rPr>
    </w:lvl>
    <w:lvl w:ilvl="4">
      <w:start w:val="0"/>
      <w:numFmt w:val="bullet"/>
      <w:lvlText w:val="•"/>
      <w:lvlJc w:val="left"/>
      <w:pPr>
        <w:ind w:left="1743" w:hanging="192"/>
      </w:pPr>
      <w:rPr>
        <w:rFonts w:hint="default"/>
        <w:lang w:val="en-US" w:eastAsia="en-US" w:bidi="ar-SA"/>
      </w:rPr>
    </w:lvl>
    <w:lvl w:ilvl="5">
      <w:start w:val="0"/>
      <w:numFmt w:val="bullet"/>
      <w:lvlText w:val="•"/>
      <w:lvlJc w:val="left"/>
      <w:pPr>
        <w:ind w:left="2109" w:hanging="192"/>
      </w:pPr>
      <w:rPr>
        <w:rFonts w:hint="default"/>
        <w:lang w:val="en-US" w:eastAsia="en-US" w:bidi="ar-SA"/>
      </w:rPr>
    </w:lvl>
    <w:lvl w:ilvl="6">
      <w:start w:val="0"/>
      <w:numFmt w:val="bullet"/>
      <w:lvlText w:val="•"/>
      <w:lvlJc w:val="left"/>
      <w:pPr>
        <w:ind w:left="2474" w:hanging="192"/>
      </w:pPr>
      <w:rPr>
        <w:rFonts w:hint="default"/>
        <w:lang w:val="en-US" w:eastAsia="en-US" w:bidi="ar-SA"/>
      </w:rPr>
    </w:lvl>
    <w:lvl w:ilvl="7">
      <w:start w:val="0"/>
      <w:numFmt w:val="bullet"/>
      <w:lvlText w:val="•"/>
      <w:lvlJc w:val="left"/>
      <w:pPr>
        <w:ind w:left="2840" w:hanging="192"/>
      </w:pPr>
      <w:rPr>
        <w:rFonts w:hint="default"/>
        <w:lang w:val="en-US" w:eastAsia="en-US" w:bidi="ar-SA"/>
      </w:rPr>
    </w:lvl>
    <w:lvl w:ilvl="8">
      <w:start w:val="0"/>
      <w:numFmt w:val="bullet"/>
      <w:lvlText w:val="•"/>
      <w:lvlJc w:val="left"/>
      <w:pPr>
        <w:ind w:left="3206" w:hanging="192"/>
      </w:pPr>
      <w:rPr>
        <w:rFonts w:hint="default"/>
        <w:lang w:val="en-US" w:eastAsia="en-US" w:bidi="ar-SA"/>
      </w:rPr>
    </w:lvl>
  </w:abstractNum>
  <w:abstractNum w:abstractNumId="2">
    <w:nsid w:val="1191685F"/>
    <w:multiLevelType w:val="hybridMultilevel"/>
    <w:tmpl w:val="00000000"/>
    <w:lvl w:ilvl="0">
      <w:start w:val="1"/>
      <w:numFmt w:val="decimal"/>
      <w:lvlText w:val="%1."/>
      <w:lvlJc w:val="left"/>
      <w:pPr>
        <w:ind w:left="7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decimal"/>
      <w:lvlText w:val="%2."/>
      <w:lvlJc w:val="left"/>
      <w:pPr>
        <w:ind w:left="7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2592" w:hanging="360"/>
      </w:pPr>
      <w:rPr>
        <w:rFonts w:hint="default"/>
        <w:lang w:val="en-US" w:eastAsia="en-US" w:bidi="ar-SA"/>
      </w:rPr>
    </w:lvl>
    <w:lvl w:ilvl="3">
      <w:start w:val="0"/>
      <w:numFmt w:val="bullet"/>
      <w:lvlText w:val="•"/>
      <w:lvlJc w:val="left"/>
      <w:pPr>
        <w:ind w:left="3528" w:hanging="360"/>
      </w:pPr>
      <w:rPr>
        <w:rFonts w:hint="default"/>
        <w:lang w:val="en-US" w:eastAsia="en-US" w:bidi="ar-SA"/>
      </w:rPr>
    </w:lvl>
    <w:lvl w:ilvl="4">
      <w:start w:val="0"/>
      <w:numFmt w:val="bullet"/>
      <w:lvlText w:val="•"/>
      <w:lvlJc w:val="left"/>
      <w:pPr>
        <w:ind w:left="4464" w:hanging="360"/>
      </w:pPr>
      <w:rPr>
        <w:rFonts w:hint="default"/>
        <w:lang w:val="en-US" w:eastAsia="en-US" w:bidi="ar-SA"/>
      </w:rPr>
    </w:lvl>
    <w:lvl w:ilvl="5">
      <w:start w:val="0"/>
      <w:numFmt w:val="bullet"/>
      <w:lvlText w:val="•"/>
      <w:lvlJc w:val="left"/>
      <w:pPr>
        <w:ind w:left="5400" w:hanging="360"/>
      </w:pPr>
      <w:rPr>
        <w:rFonts w:hint="default"/>
        <w:lang w:val="en-US" w:eastAsia="en-US" w:bidi="ar-SA"/>
      </w:rPr>
    </w:lvl>
    <w:lvl w:ilvl="6">
      <w:start w:val="0"/>
      <w:numFmt w:val="bullet"/>
      <w:lvlText w:val="•"/>
      <w:lvlJc w:val="left"/>
      <w:pPr>
        <w:ind w:left="6336" w:hanging="360"/>
      </w:pPr>
      <w:rPr>
        <w:rFonts w:hint="default"/>
        <w:lang w:val="en-US" w:eastAsia="en-US" w:bidi="ar-SA"/>
      </w:rPr>
    </w:lvl>
    <w:lvl w:ilvl="7">
      <w:start w:val="0"/>
      <w:numFmt w:val="bullet"/>
      <w:lvlText w:val="•"/>
      <w:lvlJc w:val="left"/>
      <w:pPr>
        <w:ind w:left="7272" w:hanging="360"/>
      </w:pPr>
      <w:rPr>
        <w:rFonts w:hint="default"/>
        <w:lang w:val="en-US" w:eastAsia="en-US" w:bidi="ar-SA"/>
      </w:rPr>
    </w:lvl>
    <w:lvl w:ilvl="8">
      <w:start w:val="0"/>
      <w:numFmt w:val="bullet"/>
      <w:lvlText w:val="•"/>
      <w:lvlJc w:val="left"/>
      <w:pPr>
        <w:ind w:left="8208" w:hanging="360"/>
      </w:pPr>
      <w:rPr>
        <w:rFonts w:hint="default"/>
        <w:lang w:val="en-US" w:eastAsia="en-US" w:bidi="ar-SA"/>
      </w:rPr>
    </w:lvl>
  </w:abstractNum>
  <w:abstractNum w:abstractNumId="3">
    <w:nsid w:val="24112EB8"/>
    <w:multiLevelType w:val="hybridMultilevel"/>
    <w:tmpl w:val="00000000"/>
    <w:lvl w:ilvl="0">
      <w:start w:val="1"/>
      <w:numFmt w:val="decimal"/>
      <w:lvlText w:val="%1."/>
      <w:lvlJc w:val="left"/>
      <w:pPr>
        <w:ind w:left="7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lowerLetter"/>
      <w:lvlText w:val="%2."/>
      <w:lvlJc w:val="left"/>
      <w:pPr>
        <w:ind w:left="1351"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0"/>
      <w:numFmt w:val="bullet"/>
      <w:lvlText w:val="•"/>
      <w:lvlJc w:val="left"/>
      <w:pPr>
        <w:ind w:left="2328" w:hanging="360"/>
      </w:pPr>
      <w:rPr>
        <w:rFonts w:hint="default"/>
        <w:lang w:val="en-US" w:eastAsia="en-US" w:bidi="ar-SA"/>
      </w:rPr>
    </w:lvl>
    <w:lvl w:ilvl="3">
      <w:start w:val="0"/>
      <w:numFmt w:val="bullet"/>
      <w:lvlText w:val="•"/>
      <w:lvlJc w:val="left"/>
      <w:pPr>
        <w:ind w:left="3297" w:hanging="360"/>
      </w:pPr>
      <w:rPr>
        <w:rFonts w:hint="default"/>
        <w:lang w:val="en-US" w:eastAsia="en-US" w:bidi="ar-SA"/>
      </w:rPr>
    </w:lvl>
    <w:lvl w:ilvl="4">
      <w:start w:val="0"/>
      <w:numFmt w:val="bullet"/>
      <w:lvlText w:val="•"/>
      <w:lvlJc w:val="left"/>
      <w:pPr>
        <w:ind w:left="4266" w:hanging="360"/>
      </w:pPr>
      <w:rPr>
        <w:rFonts w:hint="default"/>
        <w:lang w:val="en-US" w:eastAsia="en-US" w:bidi="ar-SA"/>
      </w:rPr>
    </w:lvl>
    <w:lvl w:ilvl="5">
      <w:start w:val="0"/>
      <w:numFmt w:val="bullet"/>
      <w:lvlText w:val="•"/>
      <w:lvlJc w:val="left"/>
      <w:pPr>
        <w:ind w:left="5235" w:hanging="360"/>
      </w:pPr>
      <w:rPr>
        <w:rFonts w:hint="default"/>
        <w:lang w:val="en-US" w:eastAsia="en-US" w:bidi="ar-SA"/>
      </w:rPr>
    </w:lvl>
    <w:lvl w:ilvl="6">
      <w:start w:val="0"/>
      <w:numFmt w:val="bullet"/>
      <w:lvlText w:val="•"/>
      <w:lvlJc w:val="left"/>
      <w:pPr>
        <w:ind w:left="6204" w:hanging="360"/>
      </w:pPr>
      <w:rPr>
        <w:rFonts w:hint="default"/>
        <w:lang w:val="en-US" w:eastAsia="en-US" w:bidi="ar-SA"/>
      </w:rPr>
    </w:lvl>
    <w:lvl w:ilvl="7">
      <w:start w:val="0"/>
      <w:numFmt w:val="bullet"/>
      <w:lvlText w:val="•"/>
      <w:lvlJc w:val="left"/>
      <w:pPr>
        <w:ind w:left="7173" w:hanging="360"/>
      </w:pPr>
      <w:rPr>
        <w:rFonts w:hint="default"/>
        <w:lang w:val="en-US" w:eastAsia="en-US" w:bidi="ar-SA"/>
      </w:rPr>
    </w:lvl>
    <w:lvl w:ilvl="8">
      <w:start w:val="0"/>
      <w:numFmt w:val="bullet"/>
      <w:lvlText w:val="•"/>
      <w:lvlJc w:val="left"/>
      <w:pPr>
        <w:ind w:left="8142" w:hanging="360"/>
      </w:pPr>
      <w:rPr>
        <w:rFonts w:hint="default"/>
        <w:lang w:val="en-US" w:eastAsia="en-US" w:bidi="ar-SA"/>
      </w:rPr>
    </w:lvl>
  </w:abstractNum>
  <w:abstractNum w:abstractNumId="4">
    <w:nsid w:val="27E04133"/>
    <w:multiLevelType w:val="hybridMultilevel"/>
    <w:tmpl w:val="00000000"/>
    <w:lvl w:ilvl="0">
      <w:start w:val="0"/>
      <w:numFmt w:val="bullet"/>
      <w:lvlText w:val=""/>
      <w:lvlJc w:val="left"/>
      <w:pPr>
        <w:ind w:left="496" w:hanging="360"/>
      </w:pPr>
      <w:rPr>
        <w:rFonts w:ascii="Symbol" w:eastAsia="Symbol" w:hAnsi="Symbol" w:cs="Symbol" w:hint="default"/>
        <w:b w:val="0"/>
        <w:bCs w:val="0"/>
        <w:i w:val="0"/>
        <w:iCs w:val="0"/>
        <w:spacing w:val="0"/>
        <w:w w:val="100"/>
        <w:sz w:val="18"/>
        <w:szCs w:val="18"/>
        <w:lang w:val="en-US" w:eastAsia="en-US" w:bidi="ar-SA"/>
      </w:rPr>
    </w:lvl>
    <w:lvl w:ilvl="1">
      <w:start w:val="0"/>
      <w:numFmt w:val="bullet"/>
      <w:lvlText w:val="•"/>
      <w:lvlJc w:val="left"/>
      <w:pPr>
        <w:ind w:left="1162" w:hanging="360"/>
      </w:pPr>
      <w:rPr>
        <w:rFonts w:hint="default"/>
        <w:lang w:val="en-US" w:eastAsia="en-US" w:bidi="ar-SA"/>
      </w:rPr>
    </w:lvl>
    <w:lvl w:ilvl="2">
      <w:start w:val="0"/>
      <w:numFmt w:val="bullet"/>
      <w:lvlText w:val="•"/>
      <w:lvlJc w:val="left"/>
      <w:pPr>
        <w:ind w:left="1824" w:hanging="360"/>
      </w:pPr>
      <w:rPr>
        <w:rFonts w:hint="default"/>
        <w:lang w:val="en-US" w:eastAsia="en-US" w:bidi="ar-SA"/>
      </w:rPr>
    </w:lvl>
    <w:lvl w:ilvl="3">
      <w:start w:val="0"/>
      <w:numFmt w:val="bullet"/>
      <w:lvlText w:val="•"/>
      <w:lvlJc w:val="left"/>
      <w:pPr>
        <w:ind w:left="2487" w:hanging="360"/>
      </w:pPr>
      <w:rPr>
        <w:rFonts w:hint="default"/>
        <w:lang w:val="en-US" w:eastAsia="en-US" w:bidi="ar-SA"/>
      </w:rPr>
    </w:lvl>
    <w:lvl w:ilvl="4">
      <w:start w:val="0"/>
      <w:numFmt w:val="bullet"/>
      <w:lvlText w:val="•"/>
      <w:lvlJc w:val="left"/>
      <w:pPr>
        <w:ind w:left="3149" w:hanging="360"/>
      </w:pPr>
      <w:rPr>
        <w:rFonts w:hint="default"/>
        <w:lang w:val="en-US" w:eastAsia="en-US" w:bidi="ar-SA"/>
      </w:rPr>
    </w:lvl>
    <w:lvl w:ilvl="5">
      <w:start w:val="0"/>
      <w:numFmt w:val="bullet"/>
      <w:lvlText w:val="•"/>
      <w:lvlJc w:val="left"/>
      <w:pPr>
        <w:ind w:left="3812" w:hanging="360"/>
      </w:pPr>
      <w:rPr>
        <w:rFonts w:hint="default"/>
        <w:lang w:val="en-US" w:eastAsia="en-US" w:bidi="ar-SA"/>
      </w:rPr>
    </w:lvl>
    <w:lvl w:ilvl="6">
      <w:start w:val="0"/>
      <w:numFmt w:val="bullet"/>
      <w:lvlText w:val="•"/>
      <w:lvlJc w:val="left"/>
      <w:pPr>
        <w:ind w:left="4474" w:hanging="360"/>
      </w:pPr>
      <w:rPr>
        <w:rFonts w:hint="default"/>
        <w:lang w:val="en-US" w:eastAsia="en-US" w:bidi="ar-SA"/>
      </w:rPr>
    </w:lvl>
    <w:lvl w:ilvl="7">
      <w:start w:val="0"/>
      <w:numFmt w:val="bullet"/>
      <w:lvlText w:val="•"/>
      <w:lvlJc w:val="left"/>
      <w:pPr>
        <w:ind w:left="5136" w:hanging="360"/>
      </w:pPr>
      <w:rPr>
        <w:rFonts w:hint="default"/>
        <w:lang w:val="en-US" w:eastAsia="en-US" w:bidi="ar-SA"/>
      </w:rPr>
    </w:lvl>
    <w:lvl w:ilvl="8">
      <w:start w:val="0"/>
      <w:numFmt w:val="bullet"/>
      <w:lvlText w:val="•"/>
      <w:lvlJc w:val="left"/>
      <w:pPr>
        <w:ind w:left="5799" w:hanging="360"/>
      </w:pPr>
      <w:rPr>
        <w:rFonts w:hint="default"/>
        <w:lang w:val="en-US" w:eastAsia="en-US" w:bidi="ar-SA"/>
      </w:rPr>
    </w:lvl>
  </w:abstractNum>
  <w:abstractNum w:abstractNumId="5">
    <w:nsid w:val="2A6C306B"/>
    <w:multiLevelType w:val="hybridMultilevel"/>
    <w:tmpl w:val="00000000"/>
    <w:lvl w:ilvl="0">
      <w:start w:val="1"/>
      <w:numFmt w:val="decimal"/>
      <w:lvlText w:val="%1."/>
      <w:lvlJc w:val="left"/>
      <w:pPr>
        <w:ind w:left="7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1656" w:hanging="360"/>
      </w:pPr>
      <w:rPr>
        <w:rFonts w:hint="default"/>
        <w:lang w:val="en-US" w:eastAsia="en-US" w:bidi="ar-SA"/>
      </w:rPr>
    </w:lvl>
    <w:lvl w:ilvl="2">
      <w:start w:val="0"/>
      <w:numFmt w:val="bullet"/>
      <w:lvlText w:val="•"/>
      <w:lvlJc w:val="left"/>
      <w:pPr>
        <w:ind w:left="2592" w:hanging="360"/>
      </w:pPr>
      <w:rPr>
        <w:rFonts w:hint="default"/>
        <w:lang w:val="en-US" w:eastAsia="en-US" w:bidi="ar-SA"/>
      </w:rPr>
    </w:lvl>
    <w:lvl w:ilvl="3">
      <w:start w:val="0"/>
      <w:numFmt w:val="bullet"/>
      <w:lvlText w:val="•"/>
      <w:lvlJc w:val="left"/>
      <w:pPr>
        <w:ind w:left="3528" w:hanging="360"/>
      </w:pPr>
      <w:rPr>
        <w:rFonts w:hint="default"/>
        <w:lang w:val="en-US" w:eastAsia="en-US" w:bidi="ar-SA"/>
      </w:rPr>
    </w:lvl>
    <w:lvl w:ilvl="4">
      <w:start w:val="0"/>
      <w:numFmt w:val="bullet"/>
      <w:lvlText w:val="•"/>
      <w:lvlJc w:val="left"/>
      <w:pPr>
        <w:ind w:left="4464" w:hanging="360"/>
      </w:pPr>
      <w:rPr>
        <w:rFonts w:hint="default"/>
        <w:lang w:val="en-US" w:eastAsia="en-US" w:bidi="ar-SA"/>
      </w:rPr>
    </w:lvl>
    <w:lvl w:ilvl="5">
      <w:start w:val="0"/>
      <w:numFmt w:val="bullet"/>
      <w:lvlText w:val="•"/>
      <w:lvlJc w:val="left"/>
      <w:pPr>
        <w:ind w:left="5400" w:hanging="360"/>
      </w:pPr>
      <w:rPr>
        <w:rFonts w:hint="default"/>
        <w:lang w:val="en-US" w:eastAsia="en-US" w:bidi="ar-SA"/>
      </w:rPr>
    </w:lvl>
    <w:lvl w:ilvl="6">
      <w:start w:val="0"/>
      <w:numFmt w:val="bullet"/>
      <w:lvlText w:val="•"/>
      <w:lvlJc w:val="left"/>
      <w:pPr>
        <w:ind w:left="6336" w:hanging="360"/>
      </w:pPr>
      <w:rPr>
        <w:rFonts w:hint="default"/>
        <w:lang w:val="en-US" w:eastAsia="en-US" w:bidi="ar-SA"/>
      </w:rPr>
    </w:lvl>
    <w:lvl w:ilvl="7">
      <w:start w:val="0"/>
      <w:numFmt w:val="bullet"/>
      <w:lvlText w:val="•"/>
      <w:lvlJc w:val="left"/>
      <w:pPr>
        <w:ind w:left="7272" w:hanging="360"/>
      </w:pPr>
      <w:rPr>
        <w:rFonts w:hint="default"/>
        <w:lang w:val="en-US" w:eastAsia="en-US" w:bidi="ar-SA"/>
      </w:rPr>
    </w:lvl>
    <w:lvl w:ilvl="8">
      <w:start w:val="0"/>
      <w:numFmt w:val="bullet"/>
      <w:lvlText w:val="•"/>
      <w:lvlJc w:val="left"/>
      <w:pPr>
        <w:ind w:left="8208" w:hanging="360"/>
      </w:pPr>
      <w:rPr>
        <w:rFonts w:hint="default"/>
        <w:lang w:val="en-US" w:eastAsia="en-US" w:bidi="ar-SA"/>
      </w:rPr>
    </w:lvl>
  </w:abstractNum>
  <w:abstractNum w:abstractNumId="6">
    <w:nsid w:val="30AC827D"/>
    <w:multiLevelType w:val="hybridMultilevel"/>
    <w:tmpl w:val="00000000"/>
    <w:lvl w:ilvl="0">
      <w:start w:val="0"/>
      <w:numFmt w:val="bullet"/>
      <w:lvlText w:val=""/>
      <w:lvlJc w:val="left"/>
      <w:pPr>
        <w:ind w:left="496" w:hanging="360"/>
      </w:pPr>
      <w:rPr>
        <w:rFonts w:ascii="Symbol" w:eastAsia="Symbol" w:hAnsi="Symbol" w:cs="Symbol" w:hint="default"/>
        <w:b w:val="0"/>
        <w:bCs w:val="0"/>
        <w:i w:val="0"/>
        <w:iCs w:val="0"/>
        <w:spacing w:val="0"/>
        <w:w w:val="100"/>
        <w:sz w:val="18"/>
        <w:szCs w:val="18"/>
        <w:lang w:val="en-US" w:eastAsia="en-US" w:bidi="ar-SA"/>
      </w:rPr>
    </w:lvl>
    <w:lvl w:ilvl="1">
      <w:start w:val="0"/>
      <w:numFmt w:val="bullet"/>
      <w:lvlText w:val="•"/>
      <w:lvlJc w:val="left"/>
      <w:pPr>
        <w:ind w:left="1162" w:hanging="360"/>
      </w:pPr>
      <w:rPr>
        <w:rFonts w:hint="default"/>
        <w:lang w:val="en-US" w:eastAsia="en-US" w:bidi="ar-SA"/>
      </w:rPr>
    </w:lvl>
    <w:lvl w:ilvl="2">
      <w:start w:val="0"/>
      <w:numFmt w:val="bullet"/>
      <w:lvlText w:val="•"/>
      <w:lvlJc w:val="left"/>
      <w:pPr>
        <w:ind w:left="1824" w:hanging="360"/>
      </w:pPr>
      <w:rPr>
        <w:rFonts w:hint="default"/>
        <w:lang w:val="en-US" w:eastAsia="en-US" w:bidi="ar-SA"/>
      </w:rPr>
    </w:lvl>
    <w:lvl w:ilvl="3">
      <w:start w:val="0"/>
      <w:numFmt w:val="bullet"/>
      <w:lvlText w:val="•"/>
      <w:lvlJc w:val="left"/>
      <w:pPr>
        <w:ind w:left="2487" w:hanging="360"/>
      </w:pPr>
      <w:rPr>
        <w:rFonts w:hint="default"/>
        <w:lang w:val="en-US" w:eastAsia="en-US" w:bidi="ar-SA"/>
      </w:rPr>
    </w:lvl>
    <w:lvl w:ilvl="4">
      <w:start w:val="0"/>
      <w:numFmt w:val="bullet"/>
      <w:lvlText w:val="•"/>
      <w:lvlJc w:val="left"/>
      <w:pPr>
        <w:ind w:left="3149" w:hanging="360"/>
      </w:pPr>
      <w:rPr>
        <w:rFonts w:hint="default"/>
        <w:lang w:val="en-US" w:eastAsia="en-US" w:bidi="ar-SA"/>
      </w:rPr>
    </w:lvl>
    <w:lvl w:ilvl="5">
      <w:start w:val="0"/>
      <w:numFmt w:val="bullet"/>
      <w:lvlText w:val="•"/>
      <w:lvlJc w:val="left"/>
      <w:pPr>
        <w:ind w:left="3812" w:hanging="360"/>
      </w:pPr>
      <w:rPr>
        <w:rFonts w:hint="default"/>
        <w:lang w:val="en-US" w:eastAsia="en-US" w:bidi="ar-SA"/>
      </w:rPr>
    </w:lvl>
    <w:lvl w:ilvl="6">
      <w:start w:val="0"/>
      <w:numFmt w:val="bullet"/>
      <w:lvlText w:val="•"/>
      <w:lvlJc w:val="left"/>
      <w:pPr>
        <w:ind w:left="4474" w:hanging="360"/>
      </w:pPr>
      <w:rPr>
        <w:rFonts w:hint="default"/>
        <w:lang w:val="en-US" w:eastAsia="en-US" w:bidi="ar-SA"/>
      </w:rPr>
    </w:lvl>
    <w:lvl w:ilvl="7">
      <w:start w:val="0"/>
      <w:numFmt w:val="bullet"/>
      <w:lvlText w:val="•"/>
      <w:lvlJc w:val="left"/>
      <w:pPr>
        <w:ind w:left="5136" w:hanging="360"/>
      </w:pPr>
      <w:rPr>
        <w:rFonts w:hint="default"/>
        <w:lang w:val="en-US" w:eastAsia="en-US" w:bidi="ar-SA"/>
      </w:rPr>
    </w:lvl>
    <w:lvl w:ilvl="8">
      <w:start w:val="0"/>
      <w:numFmt w:val="bullet"/>
      <w:lvlText w:val="•"/>
      <w:lvlJc w:val="left"/>
      <w:pPr>
        <w:ind w:left="5799" w:hanging="360"/>
      </w:pPr>
      <w:rPr>
        <w:rFonts w:hint="default"/>
        <w:lang w:val="en-US" w:eastAsia="en-US" w:bidi="ar-SA"/>
      </w:rPr>
    </w:lvl>
  </w:abstractNum>
  <w:abstractNum w:abstractNumId="7">
    <w:nsid w:val="36BCE8A5"/>
    <w:multiLevelType w:val="hybridMultilevel"/>
    <w:tmpl w:val="00000000"/>
    <w:lvl w:ilvl="0">
      <w:start w:val="1"/>
      <w:numFmt w:val="decimal"/>
      <w:lvlText w:val="%1)"/>
      <w:lvlJc w:val="left"/>
      <w:pPr>
        <w:ind w:left="289" w:hanging="192"/>
        <w:jc w:val="left"/>
      </w:pPr>
      <w:rPr>
        <w:rFonts w:ascii="Arial Narrow" w:eastAsia="Arial Narrow" w:hAnsi="Arial Narrow" w:cs="Arial Narrow" w:hint="default"/>
        <w:b w:val="0"/>
        <w:bCs w:val="0"/>
        <w:i w:val="0"/>
        <w:iCs w:val="0"/>
        <w:color w:val="1C242C"/>
        <w:spacing w:val="0"/>
        <w:w w:val="99"/>
        <w:sz w:val="20"/>
        <w:szCs w:val="20"/>
        <w:lang w:val="en-US" w:eastAsia="en-US" w:bidi="ar-SA"/>
      </w:rPr>
    </w:lvl>
    <w:lvl w:ilvl="1">
      <w:start w:val="0"/>
      <w:numFmt w:val="bullet"/>
      <w:lvlText w:val="•"/>
      <w:lvlJc w:val="left"/>
      <w:pPr>
        <w:ind w:left="645" w:hanging="192"/>
      </w:pPr>
      <w:rPr>
        <w:rFonts w:hint="default"/>
        <w:lang w:val="en-US" w:eastAsia="en-US" w:bidi="ar-SA"/>
      </w:rPr>
    </w:lvl>
    <w:lvl w:ilvl="2">
      <w:start w:val="0"/>
      <w:numFmt w:val="bullet"/>
      <w:lvlText w:val="•"/>
      <w:lvlJc w:val="left"/>
      <w:pPr>
        <w:ind w:left="1011" w:hanging="192"/>
      </w:pPr>
      <w:rPr>
        <w:rFonts w:hint="default"/>
        <w:lang w:val="en-US" w:eastAsia="en-US" w:bidi="ar-SA"/>
      </w:rPr>
    </w:lvl>
    <w:lvl w:ilvl="3">
      <w:start w:val="0"/>
      <w:numFmt w:val="bullet"/>
      <w:lvlText w:val="•"/>
      <w:lvlJc w:val="left"/>
      <w:pPr>
        <w:ind w:left="1377" w:hanging="192"/>
      </w:pPr>
      <w:rPr>
        <w:rFonts w:hint="default"/>
        <w:lang w:val="en-US" w:eastAsia="en-US" w:bidi="ar-SA"/>
      </w:rPr>
    </w:lvl>
    <w:lvl w:ilvl="4">
      <w:start w:val="0"/>
      <w:numFmt w:val="bullet"/>
      <w:lvlText w:val="•"/>
      <w:lvlJc w:val="left"/>
      <w:pPr>
        <w:ind w:left="1743" w:hanging="192"/>
      </w:pPr>
      <w:rPr>
        <w:rFonts w:hint="default"/>
        <w:lang w:val="en-US" w:eastAsia="en-US" w:bidi="ar-SA"/>
      </w:rPr>
    </w:lvl>
    <w:lvl w:ilvl="5">
      <w:start w:val="0"/>
      <w:numFmt w:val="bullet"/>
      <w:lvlText w:val="•"/>
      <w:lvlJc w:val="left"/>
      <w:pPr>
        <w:ind w:left="2109" w:hanging="192"/>
      </w:pPr>
      <w:rPr>
        <w:rFonts w:hint="default"/>
        <w:lang w:val="en-US" w:eastAsia="en-US" w:bidi="ar-SA"/>
      </w:rPr>
    </w:lvl>
    <w:lvl w:ilvl="6">
      <w:start w:val="0"/>
      <w:numFmt w:val="bullet"/>
      <w:lvlText w:val="•"/>
      <w:lvlJc w:val="left"/>
      <w:pPr>
        <w:ind w:left="2474" w:hanging="192"/>
      </w:pPr>
      <w:rPr>
        <w:rFonts w:hint="default"/>
        <w:lang w:val="en-US" w:eastAsia="en-US" w:bidi="ar-SA"/>
      </w:rPr>
    </w:lvl>
    <w:lvl w:ilvl="7">
      <w:start w:val="0"/>
      <w:numFmt w:val="bullet"/>
      <w:lvlText w:val="•"/>
      <w:lvlJc w:val="left"/>
      <w:pPr>
        <w:ind w:left="2840" w:hanging="192"/>
      </w:pPr>
      <w:rPr>
        <w:rFonts w:hint="default"/>
        <w:lang w:val="en-US" w:eastAsia="en-US" w:bidi="ar-SA"/>
      </w:rPr>
    </w:lvl>
    <w:lvl w:ilvl="8">
      <w:start w:val="0"/>
      <w:numFmt w:val="bullet"/>
      <w:lvlText w:val="•"/>
      <w:lvlJc w:val="left"/>
      <w:pPr>
        <w:ind w:left="3206" w:hanging="192"/>
      </w:pPr>
      <w:rPr>
        <w:rFonts w:hint="default"/>
        <w:lang w:val="en-US" w:eastAsia="en-US" w:bidi="ar-SA"/>
      </w:rPr>
    </w:lvl>
  </w:abstractNum>
  <w:abstractNum w:abstractNumId="8">
    <w:nsid w:val="3B8268E0"/>
    <w:multiLevelType w:val="hybridMultilevel"/>
    <w:tmpl w:val="00000000"/>
    <w:lvl w:ilvl="0">
      <w:start w:val="0"/>
      <w:numFmt w:val="bullet"/>
      <w:lvlText w:val=""/>
      <w:lvlJc w:val="left"/>
      <w:pPr>
        <w:ind w:left="496" w:hanging="360"/>
      </w:pPr>
      <w:rPr>
        <w:rFonts w:ascii="Symbol" w:eastAsia="Symbol" w:hAnsi="Symbol" w:cs="Symbol" w:hint="default"/>
        <w:b w:val="0"/>
        <w:bCs w:val="0"/>
        <w:i w:val="0"/>
        <w:iCs w:val="0"/>
        <w:spacing w:val="0"/>
        <w:w w:val="100"/>
        <w:sz w:val="18"/>
        <w:szCs w:val="18"/>
        <w:lang w:val="en-US" w:eastAsia="en-US" w:bidi="ar-SA"/>
      </w:rPr>
    </w:lvl>
    <w:lvl w:ilvl="1">
      <w:start w:val="0"/>
      <w:numFmt w:val="bullet"/>
      <w:lvlText w:val="•"/>
      <w:lvlJc w:val="left"/>
      <w:pPr>
        <w:ind w:left="1162" w:hanging="360"/>
      </w:pPr>
      <w:rPr>
        <w:rFonts w:hint="default"/>
        <w:lang w:val="en-US" w:eastAsia="en-US" w:bidi="ar-SA"/>
      </w:rPr>
    </w:lvl>
    <w:lvl w:ilvl="2">
      <w:start w:val="0"/>
      <w:numFmt w:val="bullet"/>
      <w:lvlText w:val="•"/>
      <w:lvlJc w:val="left"/>
      <w:pPr>
        <w:ind w:left="1824" w:hanging="360"/>
      </w:pPr>
      <w:rPr>
        <w:rFonts w:hint="default"/>
        <w:lang w:val="en-US" w:eastAsia="en-US" w:bidi="ar-SA"/>
      </w:rPr>
    </w:lvl>
    <w:lvl w:ilvl="3">
      <w:start w:val="0"/>
      <w:numFmt w:val="bullet"/>
      <w:lvlText w:val="•"/>
      <w:lvlJc w:val="left"/>
      <w:pPr>
        <w:ind w:left="2487" w:hanging="360"/>
      </w:pPr>
      <w:rPr>
        <w:rFonts w:hint="default"/>
        <w:lang w:val="en-US" w:eastAsia="en-US" w:bidi="ar-SA"/>
      </w:rPr>
    </w:lvl>
    <w:lvl w:ilvl="4">
      <w:start w:val="0"/>
      <w:numFmt w:val="bullet"/>
      <w:lvlText w:val="•"/>
      <w:lvlJc w:val="left"/>
      <w:pPr>
        <w:ind w:left="3149" w:hanging="360"/>
      </w:pPr>
      <w:rPr>
        <w:rFonts w:hint="default"/>
        <w:lang w:val="en-US" w:eastAsia="en-US" w:bidi="ar-SA"/>
      </w:rPr>
    </w:lvl>
    <w:lvl w:ilvl="5">
      <w:start w:val="0"/>
      <w:numFmt w:val="bullet"/>
      <w:lvlText w:val="•"/>
      <w:lvlJc w:val="left"/>
      <w:pPr>
        <w:ind w:left="3812" w:hanging="360"/>
      </w:pPr>
      <w:rPr>
        <w:rFonts w:hint="default"/>
        <w:lang w:val="en-US" w:eastAsia="en-US" w:bidi="ar-SA"/>
      </w:rPr>
    </w:lvl>
    <w:lvl w:ilvl="6">
      <w:start w:val="0"/>
      <w:numFmt w:val="bullet"/>
      <w:lvlText w:val="•"/>
      <w:lvlJc w:val="left"/>
      <w:pPr>
        <w:ind w:left="4474" w:hanging="360"/>
      </w:pPr>
      <w:rPr>
        <w:rFonts w:hint="default"/>
        <w:lang w:val="en-US" w:eastAsia="en-US" w:bidi="ar-SA"/>
      </w:rPr>
    </w:lvl>
    <w:lvl w:ilvl="7">
      <w:start w:val="0"/>
      <w:numFmt w:val="bullet"/>
      <w:lvlText w:val="•"/>
      <w:lvlJc w:val="left"/>
      <w:pPr>
        <w:ind w:left="5136" w:hanging="360"/>
      </w:pPr>
      <w:rPr>
        <w:rFonts w:hint="default"/>
        <w:lang w:val="en-US" w:eastAsia="en-US" w:bidi="ar-SA"/>
      </w:rPr>
    </w:lvl>
    <w:lvl w:ilvl="8">
      <w:start w:val="0"/>
      <w:numFmt w:val="bullet"/>
      <w:lvlText w:val="•"/>
      <w:lvlJc w:val="left"/>
      <w:pPr>
        <w:ind w:left="5799" w:hanging="360"/>
      </w:pPr>
      <w:rPr>
        <w:rFonts w:hint="default"/>
        <w:lang w:val="en-US" w:eastAsia="en-US" w:bidi="ar-SA"/>
      </w:rPr>
    </w:lvl>
  </w:abstractNum>
  <w:abstractNum w:abstractNumId="9">
    <w:nsid w:val="3F8E9943"/>
    <w:multiLevelType w:val="hybridMultilevel"/>
    <w:tmpl w:val="00000000"/>
    <w:lvl w:ilvl="0">
      <w:start w:val="1"/>
      <w:numFmt w:val="decimal"/>
      <w:lvlText w:val="%1)"/>
      <w:lvlJc w:val="left"/>
      <w:pPr>
        <w:ind w:left="289" w:hanging="192"/>
        <w:jc w:val="left"/>
      </w:pPr>
      <w:rPr>
        <w:rFonts w:ascii="Arial Narrow" w:eastAsia="Arial Narrow" w:hAnsi="Arial Narrow" w:cs="Arial Narrow" w:hint="default"/>
        <w:b w:val="0"/>
        <w:bCs w:val="0"/>
        <w:i w:val="0"/>
        <w:iCs w:val="0"/>
        <w:color w:val="1C242C"/>
        <w:spacing w:val="0"/>
        <w:w w:val="99"/>
        <w:sz w:val="20"/>
        <w:szCs w:val="20"/>
        <w:lang w:val="en-US" w:eastAsia="en-US" w:bidi="ar-SA"/>
      </w:rPr>
    </w:lvl>
    <w:lvl w:ilvl="1">
      <w:start w:val="0"/>
      <w:numFmt w:val="bullet"/>
      <w:lvlText w:val="•"/>
      <w:lvlJc w:val="left"/>
      <w:pPr>
        <w:ind w:left="645" w:hanging="192"/>
      </w:pPr>
      <w:rPr>
        <w:rFonts w:hint="default"/>
        <w:lang w:val="en-US" w:eastAsia="en-US" w:bidi="ar-SA"/>
      </w:rPr>
    </w:lvl>
    <w:lvl w:ilvl="2">
      <w:start w:val="0"/>
      <w:numFmt w:val="bullet"/>
      <w:lvlText w:val="•"/>
      <w:lvlJc w:val="left"/>
      <w:pPr>
        <w:ind w:left="1011" w:hanging="192"/>
      </w:pPr>
      <w:rPr>
        <w:rFonts w:hint="default"/>
        <w:lang w:val="en-US" w:eastAsia="en-US" w:bidi="ar-SA"/>
      </w:rPr>
    </w:lvl>
    <w:lvl w:ilvl="3">
      <w:start w:val="0"/>
      <w:numFmt w:val="bullet"/>
      <w:lvlText w:val="•"/>
      <w:lvlJc w:val="left"/>
      <w:pPr>
        <w:ind w:left="1377" w:hanging="192"/>
      </w:pPr>
      <w:rPr>
        <w:rFonts w:hint="default"/>
        <w:lang w:val="en-US" w:eastAsia="en-US" w:bidi="ar-SA"/>
      </w:rPr>
    </w:lvl>
    <w:lvl w:ilvl="4">
      <w:start w:val="0"/>
      <w:numFmt w:val="bullet"/>
      <w:lvlText w:val="•"/>
      <w:lvlJc w:val="left"/>
      <w:pPr>
        <w:ind w:left="1743" w:hanging="192"/>
      </w:pPr>
      <w:rPr>
        <w:rFonts w:hint="default"/>
        <w:lang w:val="en-US" w:eastAsia="en-US" w:bidi="ar-SA"/>
      </w:rPr>
    </w:lvl>
    <w:lvl w:ilvl="5">
      <w:start w:val="0"/>
      <w:numFmt w:val="bullet"/>
      <w:lvlText w:val="•"/>
      <w:lvlJc w:val="left"/>
      <w:pPr>
        <w:ind w:left="2109" w:hanging="192"/>
      </w:pPr>
      <w:rPr>
        <w:rFonts w:hint="default"/>
        <w:lang w:val="en-US" w:eastAsia="en-US" w:bidi="ar-SA"/>
      </w:rPr>
    </w:lvl>
    <w:lvl w:ilvl="6">
      <w:start w:val="0"/>
      <w:numFmt w:val="bullet"/>
      <w:lvlText w:val="•"/>
      <w:lvlJc w:val="left"/>
      <w:pPr>
        <w:ind w:left="2474" w:hanging="192"/>
      </w:pPr>
      <w:rPr>
        <w:rFonts w:hint="default"/>
        <w:lang w:val="en-US" w:eastAsia="en-US" w:bidi="ar-SA"/>
      </w:rPr>
    </w:lvl>
    <w:lvl w:ilvl="7">
      <w:start w:val="0"/>
      <w:numFmt w:val="bullet"/>
      <w:lvlText w:val="•"/>
      <w:lvlJc w:val="left"/>
      <w:pPr>
        <w:ind w:left="2840" w:hanging="192"/>
      </w:pPr>
      <w:rPr>
        <w:rFonts w:hint="default"/>
        <w:lang w:val="en-US" w:eastAsia="en-US" w:bidi="ar-SA"/>
      </w:rPr>
    </w:lvl>
    <w:lvl w:ilvl="8">
      <w:start w:val="0"/>
      <w:numFmt w:val="bullet"/>
      <w:lvlText w:val="•"/>
      <w:lvlJc w:val="left"/>
      <w:pPr>
        <w:ind w:left="3206" w:hanging="192"/>
      </w:pPr>
      <w:rPr>
        <w:rFonts w:hint="default"/>
        <w:lang w:val="en-US" w:eastAsia="en-US" w:bidi="ar-SA"/>
      </w:rPr>
    </w:lvl>
  </w:abstractNum>
  <w:abstractNum w:abstractNumId="10">
    <w:nsid w:val="423A439D"/>
    <w:multiLevelType w:val="hybridMultilevel"/>
    <w:tmpl w:val="00000000"/>
    <w:lvl w:ilvl="0">
      <w:start w:val="1"/>
      <w:numFmt w:val="decimal"/>
      <w:lvlText w:val="%1."/>
      <w:lvlJc w:val="left"/>
      <w:pPr>
        <w:ind w:left="720"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10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2080"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4080" w:hanging="360"/>
      </w:pPr>
      <w:rPr>
        <w:rFonts w:hint="default"/>
        <w:lang w:val="en-US" w:eastAsia="en-US" w:bidi="ar-SA"/>
      </w:rPr>
    </w:lvl>
    <w:lvl w:ilvl="5">
      <w:start w:val="0"/>
      <w:numFmt w:val="bullet"/>
      <w:lvlText w:val="•"/>
      <w:lvlJc w:val="left"/>
      <w:pPr>
        <w:ind w:left="5080" w:hanging="360"/>
      </w:pPr>
      <w:rPr>
        <w:rFonts w:hint="default"/>
        <w:lang w:val="en-US" w:eastAsia="en-US" w:bidi="ar-SA"/>
      </w:rPr>
    </w:lvl>
    <w:lvl w:ilvl="6">
      <w:start w:val="0"/>
      <w:numFmt w:val="bullet"/>
      <w:lvlText w:val="•"/>
      <w:lvlJc w:val="left"/>
      <w:pPr>
        <w:ind w:left="6080" w:hanging="360"/>
      </w:pPr>
      <w:rPr>
        <w:rFonts w:hint="default"/>
        <w:lang w:val="en-US" w:eastAsia="en-US" w:bidi="ar-SA"/>
      </w:rPr>
    </w:lvl>
    <w:lvl w:ilvl="7">
      <w:start w:val="0"/>
      <w:numFmt w:val="bullet"/>
      <w:lvlText w:val="•"/>
      <w:lvlJc w:val="left"/>
      <w:pPr>
        <w:ind w:left="7080"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11">
    <w:nsid w:val="42B48494"/>
    <w:multiLevelType w:val="hybridMultilevel"/>
    <w:tmpl w:val="00000000"/>
    <w:lvl w:ilvl="0">
      <w:start w:val="0"/>
      <w:numFmt w:val="bullet"/>
      <w:lvlText w:val=""/>
      <w:lvlJc w:val="left"/>
      <w:pPr>
        <w:ind w:left="496" w:hanging="360"/>
      </w:pPr>
      <w:rPr>
        <w:rFonts w:ascii="Symbol" w:eastAsia="Symbol" w:hAnsi="Symbol" w:cs="Symbol" w:hint="default"/>
        <w:b w:val="0"/>
        <w:bCs w:val="0"/>
        <w:i w:val="0"/>
        <w:iCs w:val="0"/>
        <w:spacing w:val="0"/>
        <w:w w:val="100"/>
        <w:sz w:val="18"/>
        <w:szCs w:val="18"/>
        <w:lang w:val="en-US" w:eastAsia="en-US" w:bidi="ar-SA"/>
      </w:rPr>
    </w:lvl>
    <w:lvl w:ilvl="1">
      <w:start w:val="0"/>
      <w:numFmt w:val="bullet"/>
      <w:lvlText w:val="•"/>
      <w:lvlJc w:val="left"/>
      <w:pPr>
        <w:ind w:left="1162" w:hanging="360"/>
      </w:pPr>
      <w:rPr>
        <w:rFonts w:hint="default"/>
        <w:lang w:val="en-US" w:eastAsia="en-US" w:bidi="ar-SA"/>
      </w:rPr>
    </w:lvl>
    <w:lvl w:ilvl="2">
      <w:start w:val="0"/>
      <w:numFmt w:val="bullet"/>
      <w:lvlText w:val="•"/>
      <w:lvlJc w:val="left"/>
      <w:pPr>
        <w:ind w:left="1824" w:hanging="360"/>
      </w:pPr>
      <w:rPr>
        <w:rFonts w:hint="default"/>
        <w:lang w:val="en-US" w:eastAsia="en-US" w:bidi="ar-SA"/>
      </w:rPr>
    </w:lvl>
    <w:lvl w:ilvl="3">
      <w:start w:val="0"/>
      <w:numFmt w:val="bullet"/>
      <w:lvlText w:val="•"/>
      <w:lvlJc w:val="left"/>
      <w:pPr>
        <w:ind w:left="2487" w:hanging="360"/>
      </w:pPr>
      <w:rPr>
        <w:rFonts w:hint="default"/>
        <w:lang w:val="en-US" w:eastAsia="en-US" w:bidi="ar-SA"/>
      </w:rPr>
    </w:lvl>
    <w:lvl w:ilvl="4">
      <w:start w:val="0"/>
      <w:numFmt w:val="bullet"/>
      <w:lvlText w:val="•"/>
      <w:lvlJc w:val="left"/>
      <w:pPr>
        <w:ind w:left="3149" w:hanging="360"/>
      </w:pPr>
      <w:rPr>
        <w:rFonts w:hint="default"/>
        <w:lang w:val="en-US" w:eastAsia="en-US" w:bidi="ar-SA"/>
      </w:rPr>
    </w:lvl>
    <w:lvl w:ilvl="5">
      <w:start w:val="0"/>
      <w:numFmt w:val="bullet"/>
      <w:lvlText w:val="•"/>
      <w:lvlJc w:val="left"/>
      <w:pPr>
        <w:ind w:left="3812" w:hanging="360"/>
      </w:pPr>
      <w:rPr>
        <w:rFonts w:hint="default"/>
        <w:lang w:val="en-US" w:eastAsia="en-US" w:bidi="ar-SA"/>
      </w:rPr>
    </w:lvl>
    <w:lvl w:ilvl="6">
      <w:start w:val="0"/>
      <w:numFmt w:val="bullet"/>
      <w:lvlText w:val="•"/>
      <w:lvlJc w:val="left"/>
      <w:pPr>
        <w:ind w:left="4474" w:hanging="360"/>
      </w:pPr>
      <w:rPr>
        <w:rFonts w:hint="default"/>
        <w:lang w:val="en-US" w:eastAsia="en-US" w:bidi="ar-SA"/>
      </w:rPr>
    </w:lvl>
    <w:lvl w:ilvl="7">
      <w:start w:val="0"/>
      <w:numFmt w:val="bullet"/>
      <w:lvlText w:val="•"/>
      <w:lvlJc w:val="left"/>
      <w:pPr>
        <w:ind w:left="5136" w:hanging="360"/>
      </w:pPr>
      <w:rPr>
        <w:rFonts w:hint="default"/>
        <w:lang w:val="en-US" w:eastAsia="en-US" w:bidi="ar-SA"/>
      </w:rPr>
    </w:lvl>
    <w:lvl w:ilvl="8">
      <w:start w:val="0"/>
      <w:numFmt w:val="bullet"/>
      <w:lvlText w:val="•"/>
      <w:lvlJc w:val="left"/>
      <w:pPr>
        <w:ind w:left="5799" w:hanging="360"/>
      </w:pPr>
      <w:rPr>
        <w:rFonts w:hint="default"/>
        <w:lang w:val="en-US" w:eastAsia="en-US" w:bidi="ar-SA"/>
      </w:rPr>
    </w:lvl>
  </w:abstractNum>
  <w:abstractNum w:abstractNumId="12">
    <w:nsid w:val="44A8DD7B"/>
    <w:multiLevelType w:val="hybridMultilevel"/>
    <w:tmpl w:val="00000000"/>
    <w:lvl w:ilvl="0">
      <w:start w:val="1"/>
      <w:numFmt w:val="decimal"/>
      <w:lvlText w:val="%1)"/>
      <w:lvlJc w:val="left"/>
      <w:pPr>
        <w:ind w:left="289" w:hanging="192"/>
        <w:jc w:val="left"/>
      </w:pPr>
      <w:rPr>
        <w:rFonts w:ascii="Arial Narrow" w:eastAsia="Arial Narrow" w:hAnsi="Arial Narrow" w:cs="Arial Narrow" w:hint="default"/>
        <w:b w:val="0"/>
        <w:bCs w:val="0"/>
        <w:i w:val="0"/>
        <w:iCs w:val="0"/>
        <w:color w:val="1C242C"/>
        <w:spacing w:val="0"/>
        <w:w w:val="99"/>
        <w:sz w:val="20"/>
        <w:szCs w:val="20"/>
        <w:lang w:val="en-US" w:eastAsia="en-US" w:bidi="ar-SA"/>
      </w:rPr>
    </w:lvl>
    <w:lvl w:ilvl="1">
      <w:start w:val="0"/>
      <w:numFmt w:val="bullet"/>
      <w:lvlText w:val="•"/>
      <w:lvlJc w:val="left"/>
      <w:pPr>
        <w:ind w:left="645" w:hanging="192"/>
      </w:pPr>
      <w:rPr>
        <w:rFonts w:hint="default"/>
        <w:lang w:val="en-US" w:eastAsia="en-US" w:bidi="ar-SA"/>
      </w:rPr>
    </w:lvl>
    <w:lvl w:ilvl="2">
      <w:start w:val="0"/>
      <w:numFmt w:val="bullet"/>
      <w:lvlText w:val="•"/>
      <w:lvlJc w:val="left"/>
      <w:pPr>
        <w:ind w:left="1011" w:hanging="192"/>
      </w:pPr>
      <w:rPr>
        <w:rFonts w:hint="default"/>
        <w:lang w:val="en-US" w:eastAsia="en-US" w:bidi="ar-SA"/>
      </w:rPr>
    </w:lvl>
    <w:lvl w:ilvl="3">
      <w:start w:val="0"/>
      <w:numFmt w:val="bullet"/>
      <w:lvlText w:val="•"/>
      <w:lvlJc w:val="left"/>
      <w:pPr>
        <w:ind w:left="1377" w:hanging="192"/>
      </w:pPr>
      <w:rPr>
        <w:rFonts w:hint="default"/>
        <w:lang w:val="en-US" w:eastAsia="en-US" w:bidi="ar-SA"/>
      </w:rPr>
    </w:lvl>
    <w:lvl w:ilvl="4">
      <w:start w:val="0"/>
      <w:numFmt w:val="bullet"/>
      <w:lvlText w:val="•"/>
      <w:lvlJc w:val="left"/>
      <w:pPr>
        <w:ind w:left="1743" w:hanging="192"/>
      </w:pPr>
      <w:rPr>
        <w:rFonts w:hint="default"/>
        <w:lang w:val="en-US" w:eastAsia="en-US" w:bidi="ar-SA"/>
      </w:rPr>
    </w:lvl>
    <w:lvl w:ilvl="5">
      <w:start w:val="0"/>
      <w:numFmt w:val="bullet"/>
      <w:lvlText w:val="•"/>
      <w:lvlJc w:val="left"/>
      <w:pPr>
        <w:ind w:left="2109" w:hanging="192"/>
      </w:pPr>
      <w:rPr>
        <w:rFonts w:hint="default"/>
        <w:lang w:val="en-US" w:eastAsia="en-US" w:bidi="ar-SA"/>
      </w:rPr>
    </w:lvl>
    <w:lvl w:ilvl="6">
      <w:start w:val="0"/>
      <w:numFmt w:val="bullet"/>
      <w:lvlText w:val="•"/>
      <w:lvlJc w:val="left"/>
      <w:pPr>
        <w:ind w:left="2474" w:hanging="192"/>
      </w:pPr>
      <w:rPr>
        <w:rFonts w:hint="default"/>
        <w:lang w:val="en-US" w:eastAsia="en-US" w:bidi="ar-SA"/>
      </w:rPr>
    </w:lvl>
    <w:lvl w:ilvl="7">
      <w:start w:val="0"/>
      <w:numFmt w:val="bullet"/>
      <w:lvlText w:val="•"/>
      <w:lvlJc w:val="left"/>
      <w:pPr>
        <w:ind w:left="2840" w:hanging="192"/>
      </w:pPr>
      <w:rPr>
        <w:rFonts w:hint="default"/>
        <w:lang w:val="en-US" w:eastAsia="en-US" w:bidi="ar-SA"/>
      </w:rPr>
    </w:lvl>
    <w:lvl w:ilvl="8">
      <w:start w:val="0"/>
      <w:numFmt w:val="bullet"/>
      <w:lvlText w:val="•"/>
      <w:lvlJc w:val="left"/>
      <w:pPr>
        <w:ind w:left="3206" w:hanging="192"/>
      </w:pPr>
      <w:rPr>
        <w:rFonts w:hint="default"/>
        <w:lang w:val="en-US" w:eastAsia="en-US" w:bidi="ar-SA"/>
      </w:rPr>
    </w:lvl>
  </w:abstractNum>
  <w:abstractNum w:abstractNumId="13">
    <w:nsid w:val="4A9BB929"/>
    <w:multiLevelType w:val="hybridMultilevel"/>
    <w:tmpl w:val="00000000"/>
    <w:lvl w:ilvl="0">
      <w:start w:val="0"/>
      <w:numFmt w:val="bullet"/>
      <w:lvlText w:val=""/>
      <w:lvlJc w:val="left"/>
      <w:pPr>
        <w:ind w:left="496" w:hanging="360"/>
      </w:pPr>
      <w:rPr>
        <w:rFonts w:ascii="Symbol" w:eastAsia="Symbol" w:hAnsi="Symbol" w:cs="Symbol" w:hint="default"/>
        <w:b w:val="0"/>
        <w:bCs w:val="0"/>
        <w:i w:val="0"/>
        <w:iCs w:val="0"/>
        <w:spacing w:val="0"/>
        <w:w w:val="100"/>
        <w:sz w:val="18"/>
        <w:szCs w:val="18"/>
        <w:lang w:val="en-US" w:eastAsia="en-US" w:bidi="ar-SA"/>
      </w:rPr>
    </w:lvl>
    <w:lvl w:ilvl="1">
      <w:start w:val="0"/>
      <w:numFmt w:val="bullet"/>
      <w:lvlText w:val="•"/>
      <w:lvlJc w:val="left"/>
      <w:pPr>
        <w:ind w:left="1162" w:hanging="360"/>
      </w:pPr>
      <w:rPr>
        <w:rFonts w:hint="default"/>
        <w:lang w:val="en-US" w:eastAsia="en-US" w:bidi="ar-SA"/>
      </w:rPr>
    </w:lvl>
    <w:lvl w:ilvl="2">
      <w:start w:val="0"/>
      <w:numFmt w:val="bullet"/>
      <w:lvlText w:val="•"/>
      <w:lvlJc w:val="left"/>
      <w:pPr>
        <w:ind w:left="1824" w:hanging="360"/>
      </w:pPr>
      <w:rPr>
        <w:rFonts w:hint="default"/>
        <w:lang w:val="en-US" w:eastAsia="en-US" w:bidi="ar-SA"/>
      </w:rPr>
    </w:lvl>
    <w:lvl w:ilvl="3">
      <w:start w:val="0"/>
      <w:numFmt w:val="bullet"/>
      <w:lvlText w:val="•"/>
      <w:lvlJc w:val="left"/>
      <w:pPr>
        <w:ind w:left="2487" w:hanging="360"/>
      </w:pPr>
      <w:rPr>
        <w:rFonts w:hint="default"/>
        <w:lang w:val="en-US" w:eastAsia="en-US" w:bidi="ar-SA"/>
      </w:rPr>
    </w:lvl>
    <w:lvl w:ilvl="4">
      <w:start w:val="0"/>
      <w:numFmt w:val="bullet"/>
      <w:lvlText w:val="•"/>
      <w:lvlJc w:val="left"/>
      <w:pPr>
        <w:ind w:left="3149" w:hanging="360"/>
      </w:pPr>
      <w:rPr>
        <w:rFonts w:hint="default"/>
        <w:lang w:val="en-US" w:eastAsia="en-US" w:bidi="ar-SA"/>
      </w:rPr>
    </w:lvl>
    <w:lvl w:ilvl="5">
      <w:start w:val="0"/>
      <w:numFmt w:val="bullet"/>
      <w:lvlText w:val="•"/>
      <w:lvlJc w:val="left"/>
      <w:pPr>
        <w:ind w:left="3812" w:hanging="360"/>
      </w:pPr>
      <w:rPr>
        <w:rFonts w:hint="default"/>
        <w:lang w:val="en-US" w:eastAsia="en-US" w:bidi="ar-SA"/>
      </w:rPr>
    </w:lvl>
    <w:lvl w:ilvl="6">
      <w:start w:val="0"/>
      <w:numFmt w:val="bullet"/>
      <w:lvlText w:val="•"/>
      <w:lvlJc w:val="left"/>
      <w:pPr>
        <w:ind w:left="4474" w:hanging="360"/>
      </w:pPr>
      <w:rPr>
        <w:rFonts w:hint="default"/>
        <w:lang w:val="en-US" w:eastAsia="en-US" w:bidi="ar-SA"/>
      </w:rPr>
    </w:lvl>
    <w:lvl w:ilvl="7">
      <w:start w:val="0"/>
      <w:numFmt w:val="bullet"/>
      <w:lvlText w:val="•"/>
      <w:lvlJc w:val="left"/>
      <w:pPr>
        <w:ind w:left="5136" w:hanging="360"/>
      </w:pPr>
      <w:rPr>
        <w:rFonts w:hint="default"/>
        <w:lang w:val="en-US" w:eastAsia="en-US" w:bidi="ar-SA"/>
      </w:rPr>
    </w:lvl>
    <w:lvl w:ilvl="8">
      <w:start w:val="0"/>
      <w:numFmt w:val="bullet"/>
      <w:lvlText w:val="•"/>
      <w:lvlJc w:val="left"/>
      <w:pPr>
        <w:ind w:left="5799" w:hanging="360"/>
      </w:pPr>
      <w:rPr>
        <w:rFonts w:hint="default"/>
        <w:lang w:val="en-US" w:eastAsia="en-US" w:bidi="ar-SA"/>
      </w:rPr>
    </w:lvl>
  </w:abstractNum>
  <w:abstractNum w:abstractNumId="14">
    <w:nsid w:val="4D2BCD29"/>
    <w:multiLevelType w:val="hybridMultilevel"/>
    <w:tmpl w:val="00000000"/>
    <w:lvl w:ilvl="0">
      <w:start w:val="1"/>
      <w:numFmt w:val="decimal"/>
      <w:lvlText w:val="%1."/>
      <w:lvlJc w:val="left"/>
      <w:pPr>
        <w:ind w:left="720" w:hanging="360"/>
        <w:jc w:val="left"/>
      </w:pPr>
      <w:rPr>
        <w:rFonts w:ascii="Arial" w:eastAsia="Arial" w:hAnsi="Arial" w:cs="Arial" w:hint="default"/>
        <w:b/>
        <w:bCs/>
        <w:i w:val="0"/>
        <w:iCs w:val="0"/>
        <w:spacing w:val="-1"/>
        <w:w w:val="100"/>
        <w:sz w:val="28"/>
        <w:szCs w:val="28"/>
        <w:lang w:val="en-US" w:eastAsia="en-US" w:bidi="ar-SA"/>
      </w:rPr>
    </w:lvl>
    <w:lvl w:ilvl="1">
      <w:start w:val="1"/>
      <w:numFmt w:val="decimal"/>
      <w:lvlText w:val="%1.%2"/>
      <w:lvlJc w:val="left"/>
      <w:pPr>
        <w:ind w:left="762" w:hanging="403"/>
        <w:jc w:val="left"/>
      </w:pPr>
      <w:rPr>
        <w:rFonts w:ascii="Arial" w:eastAsia="Arial" w:hAnsi="Arial" w:cs="Arial" w:hint="default"/>
        <w:b/>
        <w:bCs/>
        <w:i/>
        <w:iCs/>
        <w:spacing w:val="-1"/>
        <w:w w:val="100"/>
        <w:sz w:val="24"/>
        <w:szCs w:val="24"/>
        <w:lang w:val="en-US" w:eastAsia="en-US" w:bidi="ar-SA"/>
      </w:rPr>
    </w:lvl>
    <w:lvl w:ilvl="2">
      <w:start w:val="0"/>
      <w:numFmt w:val="bullet"/>
      <w:lvlText w:val="•"/>
      <w:lvlJc w:val="left"/>
      <w:pPr>
        <w:ind w:left="1795" w:hanging="403"/>
      </w:pPr>
      <w:rPr>
        <w:rFonts w:hint="default"/>
        <w:lang w:val="en-US" w:eastAsia="en-US" w:bidi="ar-SA"/>
      </w:rPr>
    </w:lvl>
    <w:lvl w:ilvl="3">
      <w:start w:val="0"/>
      <w:numFmt w:val="bullet"/>
      <w:lvlText w:val="•"/>
      <w:lvlJc w:val="left"/>
      <w:pPr>
        <w:ind w:left="2831" w:hanging="403"/>
      </w:pPr>
      <w:rPr>
        <w:rFonts w:hint="default"/>
        <w:lang w:val="en-US" w:eastAsia="en-US" w:bidi="ar-SA"/>
      </w:rPr>
    </w:lvl>
    <w:lvl w:ilvl="4">
      <w:start w:val="0"/>
      <w:numFmt w:val="bullet"/>
      <w:lvlText w:val="•"/>
      <w:lvlJc w:val="left"/>
      <w:pPr>
        <w:ind w:left="3866" w:hanging="403"/>
      </w:pPr>
      <w:rPr>
        <w:rFonts w:hint="default"/>
        <w:lang w:val="en-US" w:eastAsia="en-US" w:bidi="ar-SA"/>
      </w:rPr>
    </w:lvl>
    <w:lvl w:ilvl="5">
      <w:start w:val="0"/>
      <w:numFmt w:val="bullet"/>
      <w:lvlText w:val="•"/>
      <w:lvlJc w:val="left"/>
      <w:pPr>
        <w:ind w:left="4902" w:hanging="403"/>
      </w:pPr>
      <w:rPr>
        <w:rFonts w:hint="default"/>
        <w:lang w:val="en-US" w:eastAsia="en-US" w:bidi="ar-SA"/>
      </w:rPr>
    </w:lvl>
    <w:lvl w:ilvl="6">
      <w:start w:val="0"/>
      <w:numFmt w:val="bullet"/>
      <w:lvlText w:val="•"/>
      <w:lvlJc w:val="left"/>
      <w:pPr>
        <w:ind w:left="5937" w:hanging="403"/>
      </w:pPr>
      <w:rPr>
        <w:rFonts w:hint="default"/>
        <w:lang w:val="en-US" w:eastAsia="en-US" w:bidi="ar-SA"/>
      </w:rPr>
    </w:lvl>
    <w:lvl w:ilvl="7">
      <w:start w:val="0"/>
      <w:numFmt w:val="bullet"/>
      <w:lvlText w:val="•"/>
      <w:lvlJc w:val="left"/>
      <w:pPr>
        <w:ind w:left="6973" w:hanging="403"/>
      </w:pPr>
      <w:rPr>
        <w:rFonts w:hint="default"/>
        <w:lang w:val="en-US" w:eastAsia="en-US" w:bidi="ar-SA"/>
      </w:rPr>
    </w:lvl>
    <w:lvl w:ilvl="8">
      <w:start w:val="0"/>
      <w:numFmt w:val="bullet"/>
      <w:lvlText w:val="•"/>
      <w:lvlJc w:val="left"/>
      <w:pPr>
        <w:ind w:left="8008" w:hanging="403"/>
      </w:pPr>
      <w:rPr>
        <w:rFonts w:hint="default"/>
        <w:lang w:val="en-US" w:eastAsia="en-US" w:bidi="ar-SA"/>
      </w:rPr>
    </w:lvl>
  </w:abstractNum>
  <w:abstractNum w:abstractNumId="15">
    <w:nsid w:val="5AC21850"/>
    <w:multiLevelType w:val="hybridMultilevel"/>
    <w:tmpl w:val="00000000"/>
    <w:lvl w:ilvl="0">
      <w:start w:val="1"/>
      <w:numFmt w:val="decimal"/>
      <w:lvlText w:val="%1)"/>
      <w:lvlJc w:val="left"/>
      <w:pPr>
        <w:ind w:left="289" w:hanging="192"/>
        <w:jc w:val="left"/>
      </w:pPr>
      <w:rPr>
        <w:rFonts w:ascii="Arial Narrow" w:eastAsia="Arial Narrow" w:hAnsi="Arial Narrow" w:cs="Arial Narrow" w:hint="default"/>
        <w:b w:val="0"/>
        <w:bCs w:val="0"/>
        <w:i w:val="0"/>
        <w:iCs w:val="0"/>
        <w:color w:val="1C242C"/>
        <w:spacing w:val="0"/>
        <w:w w:val="99"/>
        <w:sz w:val="20"/>
        <w:szCs w:val="20"/>
        <w:lang w:val="en-US" w:eastAsia="en-US" w:bidi="ar-SA"/>
      </w:rPr>
    </w:lvl>
    <w:lvl w:ilvl="1">
      <w:start w:val="0"/>
      <w:numFmt w:val="bullet"/>
      <w:lvlText w:val="•"/>
      <w:lvlJc w:val="left"/>
      <w:pPr>
        <w:ind w:left="645" w:hanging="192"/>
      </w:pPr>
      <w:rPr>
        <w:rFonts w:hint="default"/>
        <w:lang w:val="en-US" w:eastAsia="en-US" w:bidi="ar-SA"/>
      </w:rPr>
    </w:lvl>
    <w:lvl w:ilvl="2">
      <w:start w:val="0"/>
      <w:numFmt w:val="bullet"/>
      <w:lvlText w:val="•"/>
      <w:lvlJc w:val="left"/>
      <w:pPr>
        <w:ind w:left="1011" w:hanging="192"/>
      </w:pPr>
      <w:rPr>
        <w:rFonts w:hint="default"/>
        <w:lang w:val="en-US" w:eastAsia="en-US" w:bidi="ar-SA"/>
      </w:rPr>
    </w:lvl>
    <w:lvl w:ilvl="3">
      <w:start w:val="0"/>
      <w:numFmt w:val="bullet"/>
      <w:lvlText w:val="•"/>
      <w:lvlJc w:val="left"/>
      <w:pPr>
        <w:ind w:left="1377" w:hanging="192"/>
      </w:pPr>
      <w:rPr>
        <w:rFonts w:hint="default"/>
        <w:lang w:val="en-US" w:eastAsia="en-US" w:bidi="ar-SA"/>
      </w:rPr>
    </w:lvl>
    <w:lvl w:ilvl="4">
      <w:start w:val="0"/>
      <w:numFmt w:val="bullet"/>
      <w:lvlText w:val="•"/>
      <w:lvlJc w:val="left"/>
      <w:pPr>
        <w:ind w:left="1743" w:hanging="192"/>
      </w:pPr>
      <w:rPr>
        <w:rFonts w:hint="default"/>
        <w:lang w:val="en-US" w:eastAsia="en-US" w:bidi="ar-SA"/>
      </w:rPr>
    </w:lvl>
    <w:lvl w:ilvl="5">
      <w:start w:val="0"/>
      <w:numFmt w:val="bullet"/>
      <w:lvlText w:val="•"/>
      <w:lvlJc w:val="left"/>
      <w:pPr>
        <w:ind w:left="2109" w:hanging="192"/>
      </w:pPr>
      <w:rPr>
        <w:rFonts w:hint="default"/>
        <w:lang w:val="en-US" w:eastAsia="en-US" w:bidi="ar-SA"/>
      </w:rPr>
    </w:lvl>
    <w:lvl w:ilvl="6">
      <w:start w:val="0"/>
      <w:numFmt w:val="bullet"/>
      <w:lvlText w:val="•"/>
      <w:lvlJc w:val="left"/>
      <w:pPr>
        <w:ind w:left="2474" w:hanging="192"/>
      </w:pPr>
      <w:rPr>
        <w:rFonts w:hint="default"/>
        <w:lang w:val="en-US" w:eastAsia="en-US" w:bidi="ar-SA"/>
      </w:rPr>
    </w:lvl>
    <w:lvl w:ilvl="7">
      <w:start w:val="0"/>
      <w:numFmt w:val="bullet"/>
      <w:lvlText w:val="•"/>
      <w:lvlJc w:val="left"/>
      <w:pPr>
        <w:ind w:left="2840" w:hanging="192"/>
      </w:pPr>
      <w:rPr>
        <w:rFonts w:hint="default"/>
        <w:lang w:val="en-US" w:eastAsia="en-US" w:bidi="ar-SA"/>
      </w:rPr>
    </w:lvl>
    <w:lvl w:ilvl="8">
      <w:start w:val="0"/>
      <w:numFmt w:val="bullet"/>
      <w:lvlText w:val="•"/>
      <w:lvlJc w:val="left"/>
      <w:pPr>
        <w:ind w:left="3206" w:hanging="192"/>
      </w:pPr>
      <w:rPr>
        <w:rFonts w:hint="default"/>
        <w:lang w:val="en-US" w:eastAsia="en-US" w:bidi="ar-SA"/>
      </w:rPr>
    </w:lvl>
  </w:abstractNum>
  <w:abstractNum w:abstractNumId="16">
    <w:nsid w:val="65EC782A"/>
    <w:multiLevelType w:val="hybridMultilevel"/>
    <w:tmpl w:val="00000000"/>
    <w:lvl w:ilvl="0">
      <w:start w:val="0"/>
      <w:numFmt w:val="bullet"/>
      <w:lvlText w:val=""/>
      <w:lvlJc w:val="left"/>
      <w:pPr>
        <w:ind w:left="496" w:hanging="360"/>
      </w:pPr>
      <w:rPr>
        <w:rFonts w:ascii="Symbol" w:eastAsia="Symbol" w:hAnsi="Symbol" w:cs="Symbol" w:hint="default"/>
        <w:b w:val="0"/>
        <w:bCs w:val="0"/>
        <w:i w:val="0"/>
        <w:iCs w:val="0"/>
        <w:spacing w:val="0"/>
        <w:w w:val="100"/>
        <w:sz w:val="18"/>
        <w:szCs w:val="18"/>
        <w:lang w:val="en-US" w:eastAsia="en-US" w:bidi="ar-SA"/>
      </w:rPr>
    </w:lvl>
    <w:lvl w:ilvl="1">
      <w:start w:val="0"/>
      <w:numFmt w:val="bullet"/>
      <w:lvlText w:val="•"/>
      <w:lvlJc w:val="left"/>
      <w:pPr>
        <w:ind w:left="1162" w:hanging="360"/>
      </w:pPr>
      <w:rPr>
        <w:rFonts w:hint="default"/>
        <w:lang w:val="en-US" w:eastAsia="en-US" w:bidi="ar-SA"/>
      </w:rPr>
    </w:lvl>
    <w:lvl w:ilvl="2">
      <w:start w:val="0"/>
      <w:numFmt w:val="bullet"/>
      <w:lvlText w:val="•"/>
      <w:lvlJc w:val="left"/>
      <w:pPr>
        <w:ind w:left="1824" w:hanging="360"/>
      </w:pPr>
      <w:rPr>
        <w:rFonts w:hint="default"/>
        <w:lang w:val="en-US" w:eastAsia="en-US" w:bidi="ar-SA"/>
      </w:rPr>
    </w:lvl>
    <w:lvl w:ilvl="3">
      <w:start w:val="0"/>
      <w:numFmt w:val="bullet"/>
      <w:lvlText w:val="•"/>
      <w:lvlJc w:val="left"/>
      <w:pPr>
        <w:ind w:left="2487" w:hanging="360"/>
      </w:pPr>
      <w:rPr>
        <w:rFonts w:hint="default"/>
        <w:lang w:val="en-US" w:eastAsia="en-US" w:bidi="ar-SA"/>
      </w:rPr>
    </w:lvl>
    <w:lvl w:ilvl="4">
      <w:start w:val="0"/>
      <w:numFmt w:val="bullet"/>
      <w:lvlText w:val="•"/>
      <w:lvlJc w:val="left"/>
      <w:pPr>
        <w:ind w:left="3149" w:hanging="360"/>
      </w:pPr>
      <w:rPr>
        <w:rFonts w:hint="default"/>
        <w:lang w:val="en-US" w:eastAsia="en-US" w:bidi="ar-SA"/>
      </w:rPr>
    </w:lvl>
    <w:lvl w:ilvl="5">
      <w:start w:val="0"/>
      <w:numFmt w:val="bullet"/>
      <w:lvlText w:val="•"/>
      <w:lvlJc w:val="left"/>
      <w:pPr>
        <w:ind w:left="3812" w:hanging="360"/>
      </w:pPr>
      <w:rPr>
        <w:rFonts w:hint="default"/>
        <w:lang w:val="en-US" w:eastAsia="en-US" w:bidi="ar-SA"/>
      </w:rPr>
    </w:lvl>
    <w:lvl w:ilvl="6">
      <w:start w:val="0"/>
      <w:numFmt w:val="bullet"/>
      <w:lvlText w:val="•"/>
      <w:lvlJc w:val="left"/>
      <w:pPr>
        <w:ind w:left="4474" w:hanging="360"/>
      </w:pPr>
      <w:rPr>
        <w:rFonts w:hint="default"/>
        <w:lang w:val="en-US" w:eastAsia="en-US" w:bidi="ar-SA"/>
      </w:rPr>
    </w:lvl>
    <w:lvl w:ilvl="7">
      <w:start w:val="0"/>
      <w:numFmt w:val="bullet"/>
      <w:lvlText w:val="•"/>
      <w:lvlJc w:val="left"/>
      <w:pPr>
        <w:ind w:left="5136" w:hanging="360"/>
      </w:pPr>
      <w:rPr>
        <w:rFonts w:hint="default"/>
        <w:lang w:val="en-US" w:eastAsia="en-US" w:bidi="ar-SA"/>
      </w:rPr>
    </w:lvl>
    <w:lvl w:ilvl="8">
      <w:start w:val="0"/>
      <w:numFmt w:val="bullet"/>
      <w:lvlText w:val="•"/>
      <w:lvlJc w:val="left"/>
      <w:pPr>
        <w:ind w:left="5799" w:hanging="360"/>
      </w:pPr>
      <w:rPr>
        <w:rFonts w:hint="default"/>
        <w:lang w:val="en-US" w:eastAsia="en-US" w:bidi="ar-SA"/>
      </w:rPr>
    </w:lvl>
  </w:abstractNum>
  <w:abstractNum w:abstractNumId="17">
    <w:nsid w:val="71A587EF"/>
    <w:multiLevelType w:val="hybridMultilevel"/>
    <w:tmpl w:val="00000000"/>
    <w:lvl w:ilvl="0">
      <w:start w:val="1"/>
      <w:numFmt w:val="decimal"/>
      <w:lvlText w:val="%1)"/>
      <w:lvlJc w:val="left"/>
      <w:pPr>
        <w:ind w:left="289" w:hanging="192"/>
        <w:jc w:val="left"/>
      </w:pPr>
      <w:rPr>
        <w:rFonts w:ascii="Arial Narrow" w:eastAsia="Arial Narrow" w:hAnsi="Arial Narrow" w:cs="Arial Narrow" w:hint="default"/>
        <w:b w:val="0"/>
        <w:bCs w:val="0"/>
        <w:i w:val="0"/>
        <w:iCs w:val="0"/>
        <w:color w:val="1C242C"/>
        <w:spacing w:val="0"/>
        <w:w w:val="99"/>
        <w:sz w:val="20"/>
        <w:szCs w:val="20"/>
        <w:lang w:val="en-US" w:eastAsia="en-US" w:bidi="ar-SA"/>
      </w:rPr>
    </w:lvl>
    <w:lvl w:ilvl="1">
      <w:start w:val="0"/>
      <w:numFmt w:val="bullet"/>
      <w:lvlText w:val="•"/>
      <w:lvlJc w:val="left"/>
      <w:pPr>
        <w:ind w:left="645" w:hanging="192"/>
      </w:pPr>
      <w:rPr>
        <w:rFonts w:hint="default"/>
        <w:lang w:val="en-US" w:eastAsia="en-US" w:bidi="ar-SA"/>
      </w:rPr>
    </w:lvl>
    <w:lvl w:ilvl="2">
      <w:start w:val="0"/>
      <w:numFmt w:val="bullet"/>
      <w:lvlText w:val="•"/>
      <w:lvlJc w:val="left"/>
      <w:pPr>
        <w:ind w:left="1011" w:hanging="192"/>
      </w:pPr>
      <w:rPr>
        <w:rFonts w:hint="default"/>
        <w:lang w:val="en-US" w:eastAsia="en-US" w:bidi="ar-SA"/>
      </w:rPr>
    </w:lvl>
    <w:lvl w:ilvl="3">
      <w:start w:val="0"/>
      <w:numFmt w:val="bullet"/>
      <w:lvlText w:val="•"/>
      <w:lvlJc w:val="left"/>
      <w:pPr>
        <w:ind w:left="1377" w:hanging="192"/>
      </w:pPr>
      <w:rPr>
        <w:rFonts w:hint="default"/>
        <w:lang w:val="en-US" w:eastAsia="en-US" w:bidi="ar-SA"/>
      </w:rPr>
    </w:lvl>
    <w:lvl w:ilvl="4">
      <w:start w:val="0"/>
      <w:numFmt w:val="bullet"/>
      <w:lvlText w:val="•"/>
      <w:lvlJc w:val="left"/>
      <w:pPr>
        <w:ind w:left="1743" w:hanging="192"/>
      </w:pPr>
      <w:rPr>
        <w:rFonts w:hint="default"/>
        <w:lang w:val="en-US" w:eastAsia="en-US" w:bidi="ar-SA"/>
      </w:rPr>
    </w:lvl>
    <w:lvl w:ilvl="5">
      <w:start w:val="0"/>
      <w:numFmt w:val="bullet"/>
      <w:lvlText w:val="•"/>
      <w:lvlJc w:val="left"/>
      <w:pPr>
        <w:ind w:left="2109" w:hanging="192"/>
      </w:pPr>
      <w:rPr>
        <w:rFonts w:hint="default"/>
        <w:lang w:val="en-US" w:eastAsia="en-US" w:bidi="ar-SA"/>
      </w:rPr>
    </w:lvl>
    <w:lvl w:ilvl="6">
      <w:start w:val="0"/>
      <w:numFmt w:val="bullet"/>
      <w:lvlText w:val="•"/>
      <w:lvlJc w:val="left"/>
      <w:pPr>
        <w:ind w:left="2474" w:hanging="192"/>
      </w:pPr>
      <w:rPr>
        <w:rFonts w:hint="default"/>
        <w:lang w:val="en-US" w:eastAsia="en-US" w:bidi="ar-SA"/>
      </w:rPr>
    </w:lvl>
    <w:lvl w:ilvl="7">
      <w:start w:val="0"/>
      <w:numFmt w:val="bullet"/>
      <w:lvlText w:val="•"/>
      <w:lvlJc w:val="left"/>
      <w:pPr>
        <w:ind w:left="2840" w:hanging="192"/>
      </w:pPr>
      <w:rPr>
        <w:rFonts w:hint="default"/>
        <w:lang w:val="en-US" w:eastAsia="en-US" w:bidi="ar-SA"/>
      </w:rPr>
    </w:lvl>
    <w:lvl w:ilvl="8">
      <w:start w:val="0"/>
      <w:numFmt w:val="bullet"/>
      <w:lvlText w:val="•"/>
      <w:lvlJc w:val="left"/>
      <w:pPr>
        <w:ind w:left="3206" w:hanging="192"/>
      </w:pPr>
      <w:rPr>
        <w:rFonts w:hint="default"/>
        <w:lang w:val="en-US" w:eastAsia="en-US" w:bidi="ar-SA"/>
      </w:rPr>
    </w:lvl>
  </w:abstractNum>
  <w:abstractNum w:abstractNumId="18">
    <w:nsid w:val="74985C9A"/>
    <w:multiLevelType w:val="hybridMultilevel"/>
    <w:tmpl w:val="00000000"/>
    <w:lvl w:ilvl="0">
      <w:start w:val="0"/>
      <w:numFmt w:val="bullet"/>
      <w:lvlText w:val=""/>
      <w:lvlJc w:val="left"/>
      <w:pPr>
        <w:ind w:left="496" w:hanging="360"/>
      </w:pPr>
      <w:rPr>
        <w:rFonts w:ascii="Symbol" w:eastAsia="Symbol" w:hAnsi="Symbol" w:cs="Symbol" w:hint="default"/>
        <w:b w:val="0"/>
        <w:bCs w:val="0"/>
        <w:i w:val="0"/>
        <w:iCs w:val="0"/>
        <w:spacing w:val="0"/>
        <w:w w:val="100"/>
        <w:sz w:val="18"/>
        <w:szCs w:val="18"/>
        <w:lang w:val="en-US" w:eastAsia="en-US" w:bidi="ar-SA"/>
      </w:rPr>
    </w:lvl>
    <w:lvl w:ilvl="1">
      <w:start w:val="0"/>
      <w:numFmt w:val="bullet"/>
      <w:lvlText w:val="•"/>
      <w:lvlJc w:val="left"/>
      <w:pPr>
        <w:ind w:left="1162" w:hanging="360"/>
      </w:pPr>
      <w:rPr>
        <w:rFonts w:hint="default"/>
        <w:lang w:val="en-US" w:eastAsia="en-US" w:bidi="ar-SA"/>
      </w:rPr>
    </w:lvl>
    <w:lvl w:ilvl="2">
      <w:start w:val="0"/>
      <w:numFmt w:val="bullet"/>
      <w:lvlText w:val="•"/>
      <w:lvlJc w:val="left"/>
      <w:pPr>
        <w:ind w:left="1824" w:hanging="360"/>
      </w:pPr>
      <w:rPr>
        <w:rFonts w:hint="default"/>
        <w:lang w:val="en-US" w:eastAsia="en-US" w:bidi="ar-SA"/>
      </w:rPr>
    </w:lvl>
    <w:lvl w:ilvl="3">
      <w:start w:val="0"/>
      <w:numFmt w:val="bullet"/>
      <w:lvlText w:val="•"/>
      <w:lvlJc w:val="left"/>
      <w:pPr>
        <w:ind w:left="2487" w:hanging="360"/>
      </w:pPr>
      <w:rPr>
        <w:rFonts w:hint="default"/>
        <w:lang w:val="en-US" w:eastAsia="en-US" w:bidi="ar-SA"/>
      </w:rPr>
    </w:lvl>
    <w:lvl w:ilvl="4">
      <w:start w:val="0"/>
      <w:numFmt w:val="bullet"/>
      <w:lvlText w:val="•"/>
      <w:lvlJc w:val="left"/>
      <w:pPr>
        <w:ind w:left="3149" w:hanging="360"/>
      </w:pPr>
      <w:rPr>
        <w:rFonts w:hint="default"/>
        <w:lang w:val="en-US" w:eastAsia="en-US" w:bidi="ar-SA"/>
      </w:rPr>
    </w:lvl>
    <w:lvl w:ilvl="5">
      <w:start w:val="0"/>
      <w:numFmt w:val="bullet"/>
      <w:lvlText w:val="•"/>
      <w:lvlJc w:val="left"/>
      <w:pPr>
        <w:ind w:left="3812" w:hanging="360"/>
      </w:pPr>
      <w:rPr>
        <w:rFonts w:hint="default"/>
        <w:lang w:val="en-US" w:eastAsia="en-US" w:bidi="ar-SA"/>
      </w:rPr>
    </w:lvl>
    <w:lvl w:ilvl="6">
      <w:start w:val="0"/>
      <w:numFmt w:val="bullet"/>
      <w:lvlText w:val="•"/>
      <w:lvlJc w:val="left"/>
      <w:pPr>
        <w:ind w:left="4474" w:hanging="360"/>
      </w:pPr>
      <w:rPr>
        <w:rFonts w:hint="default"/>
        <w:lang w:val="en-US" w:eastAsia="en-US" w:bidi="ar-SA"/>
      </w:rPr>
    </w:lvl>
    <w:lvl w:ilvl="7">
      <w:start w:val="0"/>
      <w:numFmt w:val="bullet"/>
      <w:lvlText w:val="•"/>
      <w:lvlJc w:val="left"/>
      <w:pPr>
        <w:ind w:left="5136" w:hanging="360"/>
      </w:pPr>
      <w:rPr>
        <w:rFonts w:hint="default"/>
        <w:lang w:val="en-US" w:eastAsia="en-US" w:bidi="ar-SA"/>
      </w:rPr>
    </w:lvl>
    <w:lvl w:ilvl="8">
      <w:start w:val="0"/>
      <w:numFmt w:val="bullet"/>
      <w:lvlText w:val="•"/>
      <w:lvlJc w:val="left"/>
      <w:pPr>
        <w:ind w:left="5799" w:hanging="360"/>
      </w:pPr>
      <w:rPr>
        <w:rFonts w:hint="default"/>
        <w:lang w:val="en-US" w:eastAsia="en-US" w:bidi="ar-SA"/>
      </w:rPr>
    </w:lvl>
  </w:abstractNum>
  <w:abstractNum w:abstractNumId="19">
    <w:nsid w:val="7D438405"/>
    <w:multiLevelType w:val="hybridMultilevel"/>
    <w:tmpl w:val="00000000"/>
    <w:lvl w:ilvl="0">
      <w:start w:val="0"/>
      <w:numFmt w:val="bullet"/>
      <w:lvlText w:val=""/>
      <w:lvlJc w:val="left"/>
      <w:pPr>
        <w:ind w:left="496" w:hanging="360"/>
      </w:pPr>
      <w:rPr>
        <w:rFonts w:ascii="Symbol" w:eastAsia="Symbol" w:hAnsi="Symbol" w:cs="Symbol" w:hint="default"/>
        <w:b w:val="0"/>
        <w:bCs w:val="0"/>
        <w:i w:val="0"/>
        <w:iCs w:val="0"/>
        <w:spacing w:val="0"/>
        <w:w w:val="100"/>
        <w:sz w:val="18"/>
        <w:szCs w:val="18"/>
        <w:lang w:val="en-US" w:eastAsia="en-US" w:bidi="ar-SA"/>
      </w:rPr>
    </w:lvl>
    <w:lvl w:ilvl="1">
      <w:start w:val="0"/>
      <w:numFmt w:val="bullet"/>
      <w:lvlText w:val="•"/>
      <w:lvlJc w:val="left"/>
      <w:pPr>
        <w:ind w:left="1162" w:hanging="360"/>
      </w:pPr>
      <w:rPr>
        <w:rFonts w:hint="default"/>
        <w:lang w:val="en-US" w:eastAsia="en-US" w:bidi="ar-SA"/>
      </w:rPr>
    </w:lvl>
    <w:lvl w:ilvl="2">
      <w:start w:val="0"/>
      <w:numFmt w:val="bullet"/>
      <w:lvlText w:val="•"/>
      <w:lvlJc w:val="left"/>
      <w:pPr>
        <w:ind w:left="1824" w:hanging="360"/>
      </w:pPr>
      <w:rPr>
        <w:rFonts w:hint="default"/>
        <w:lang w:val="en-US" w:eastAsia="en-US" w:bidi="ar-SA"/>
      </w:rPr>
    </w:lvl>
    <w:lvl w:ilvl="3">
      <w:start w:val="0"/>
      <w:numFmt w:val="bullet"/>
      <w:lvlText w:val="•"/>
      <w:lvlJc w:val="left"/>
      <w:pPr>
        <w:ind w:left="2487" w:hanging="360"/>
      </w:pPr>
      <w:rPr>
        <w:rFonts w:hint="default"/>
        <w:lang w:val="en-US" w:eastAsia="en-US" w:bidi="ar-SA"/>
      </w:rPr>
    </w:lvl>
    <w:lvl w:ilvl="4">
      <w:start w:val="0"/>
      <w:numFmt w:val="bullet"/>
      <w:lvlText w:val="•"/>
      <w:lvlJc w:val="left"/>
      <w:pPr>
        <w:ind w:left="3149" w:hanging="360"/>
      </w:pPr>
      <w:rPr>
        <w:rFonts w:hint="default"/>
        <w:lang w:val="en-US" w:eastAsia="en-US" w:bidi="ar-SA"/>
      </w:rPr>
    </w:lvl>
    <w:lvl w:ilvl="5">
      <w:start w:val="0"/>
      <w:numFmt w:val="bullet"/>
      <w:lvlText w:val="•"/>
      <w:lvlJc w:val="left"/>
      <w:pPr>
        <w:ind w:left="3812" w:hanging="360"/>
      </w:pPr>
      <w:rPr>
        <w:rFonts w:hint="default"/>
        <w:lang w:val="en-US" w:eastAsia="en-US" w:bidi="ar-SA"/>
      </w:rPr>
    </w:lvl>
    <w:lvl w:ilvl="6">
      <w:start w:val="0"/>
      <w:numFmt w:val="bullet"/>
      <w:lvlText w:val="•"/>
      <w:lvlJc w:val="left"/>
      <w:pPr>
        <w:ind w:left="4474" w:hanging="360"/>
      </w:pPr>
      <w:rPr>
        <w:rFonts w:hint="default"/>
        <w:lang w:val="en-US" w:eastAsia="en-US" w:bidi="ar-SA"/>
      </w:rPr>
    </w:lvl>
    <w:lvl w:ilvl="7">
      <w:start w:val="0"/>
      <w:numFmt w:val="bullet"/>
      <w:lvlText w:val="•"/>
      <w:lvlJc w:val="left"/>
      <w:pPr>
        <w:ind w:left="5136" w:hanging="360"/>
      </w:pPr>
      <w:rPr>
        <w:rFonts w:hint="default"/>
        <w:lang w:val="en-US" w:eastAsia="en-US" w:bidi="ar-SA"/>
      </w:rPr>
    </w:lvl>
    <w:lvl w:ilvl="8">
      <w:start w:val="0"/>
      <w:numFmt w:val="bullet"/>
      <w:lvlText w:val="•"/>
      <w:lvlJc w:val="left"/>
      <w:pPr>
        <w:ind w:left="5799" w:hanging="360"/>
      </w:pPr>
      <w:rPr>
        <w:rFonts w:hint="default"/>
        <w:lang w:val="en-US" w:eastAsia="en-US" w:bidi="ar-SA"/>
      </w:rPr>
    </w:lvl>
  </w:abstractNum>
  <w:num w:numId="1">
    <w:abstractNumId w:val="12"/>
  </w:num>
  <w:num w:numId="2">
    <w:abstractNumId w:val="1"/>
  </w:num>
  <w:num w:numId="3">
    <w:abstractNumId w:val="7"/>
  </w:num>
  <w:num w:numId="4">
    <w:abstractNumId w:val="17"/>
  </w:num>
  <w:num w:numId="5">
    <w:abstractNumId w:val="9"/>
  </w:num>
  <w:num w:numId="6">
    <w:abstractNumId w:val="15"/>
  </w:num>
  <w:num w:numId="7">
    <w:abstractNumId w:val="5"/>
  </w:num>
  <w:num w:numId="8">
    <w:abstractNumId w:val="4"/>
  </w:num>
  <w:num w:numId="9">
    <w:abstractNumId w:val="6"/>
  </w:num>
  <w:num w:numId="10">
    <w:abstractNumId w:val="8"/>
  </w:num>
  <w:num w:numId="11">
    <w:abstractNumId w:val="11"/>
  </w:num>
  <w:num w:numId="12">
    <w:abstractNumId w:val="19"/>
  </w:num>
  <w:num w:numId="13">
    <w:abstractNumId w:val="16"/>
  </w:num>
  <w:num w:numId="14">
    <w:abstractNumId w:val="18"/>
  </w:num>
  <w:num w:numId="15">
    <w:abstractNumId w:val="0"/>
  </w:num>
  <w:num w:numId="16">
    <w:abstractNumId w:val="13"/>
  </w:num>
  <w:num w:numId="17">
    <w:abstractNumId w:val="2"/>
  </w:num>
  <w:num w:numId="18">
    <w:abstractNumId w:val="3"/>
  </w:num>
  <w:num w:numId="19">
    <w:abstractNumId w:val="14"/>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en-US" w:eastAsia="en-US" w:bidi="ar-SA"/>
    </w:rPr>
  </w:style>
  <w:style w:type="paragraph" w:styleId="Heading1">
    <w:name w:val="heading 1"/>
    <w:basedOn w:val="Normal"/>
    <w:uiPriority w:val="1"/>
    <w:qFormat/>
    <w:pPr>
      <w:ind w:left="778" w:right="859" w:hanging="8"/>
      <w:jc w:val="center"/>
      <w:outlineLvl w:val="0"/>
    </w:pPr>
    <w:rPr>
      <w:rFonts w:ascii="Arial" w:eastAsia="Arial" w:hAnsi="Arial" w:cs="Arial"/>
      <w:b/>
      <w:bCs/>
      <w:sz w:val="56"/>
      <w:szCs w:val="56"/>
      <w:lang w:val="en-US" w:eastAsia="en-US" w:bidi="ar-SA"/>
    </w:rPr>
  </w:style>
  <w:style w:type="paragraph" w:styleId="Heading2">
    <w:name w:val="heading 2"/>
    <w:basedOn w:val="Normal"/>
    <w:uiPriority w:val="1"/>
    <w:qFormat/>
    <w:pPr>
      <w:spacing w:before="79"/>
      <w:ind w:left="718" w:hanging="358"/>
      <w:outlineLvl w:val="1"/>
    </w:pPr>
    <w:rPr>
      <w:rFonts w:ascii="Arial" w:eastAsia="Arial" w:hAnsi="Arial" w:cs="Arial"/>
      <w:b/>
      <w:bCs/>
      <w:sz w:val="28"/>
      <w:szCs w:val="28"/>
      <w:lang w:val="en-US" w:eastAsia="en-US" w:bidi="ar-SA"/>
    </w:rPr>
  </w:style>
  <w:style w:type="paragraph" w:styleId="Heading3">
    <w:name w:val="heading 3"/>
    <w:basedOn w:val="Normal"/>
    <w:uiPriority w:val="1"/>
    <w:qFormat/>
    <w:pPr>
      <w:spacing w:before="242"/>
      <w:ind w:left="760" w:hanging="401"/>
      <w:outlineLvl w:val="2"/>
    </w:pPr>
    <w:rPr>
      <w:rFonts w:ascii="Arial" w:eastAsia="Arial" w:hAnsi="Arial" w:cs="Arial"/>
      <w:b/>
      <w:bCs/>
      <w:i/>
      <w:iCs/>
      <w:sz w:val="24"/>
      <w:szCs w:val="24"/>
      <w:lang w:val="en-US" w:eastAsia="en-US"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720"/>
      <w:ind w:left="90" w:right="88"/>
      <w:jc w:val="center"/>
    </w:pPr>
    <w:rPr>
      <w:rFonts w:ascii="Arial" w:eastAsia="Arial" w:hAnsi="Arial" w:cs="Arial"/>
      <w:b/>
      <w:bCs/>
      <w:sz w:val="28"/>
      <w:szCs w:val="28"/>
      <w:lang w:val="en-US" w:eastAsia="en-US" w:bidi="ar-SA"/>
    </w:rPr>
  </w:style>
  <w:style w:type="paragraph" w:styleId="TOC2">
    <w:name w:val="toc 2"/>
    <w:basedOn w:val="Normal"/>
    <w:uiPriority w:val="1"/>
    <w:qFormat/>
    <w:pPr>
      <w:spacing w:before="120"/>
      <w:ind w:left="720" w:hanging="360"/>
    </w:pPr>
    <w:rPr>
      <w:rFonts w:ascii="Times New Roman" w:eastAsia="Times New Roman" w:hAnsi="Times New Roman" w:cs="Times New Roman"/>
      <w:b/>
      <w:bCs/>
      <w:sz w:val="24"/>
      <w:szCs w:val="24"/>
      <w:lang w:val="en-US" w:eastAsia="en-US" w:bidi="ar-SA"/>
    </w:rPr>
  </w:style>
  <w:style w:type="paragraph" w:styleId="TOC3">
    <w:name w:val="toc 3"/>
    <w:basedOn w:val="Normal"/>
    <w:uiPriority w:val="1"/>
    <w:qFormat/>
    <w:pPr>
      <w:spacing w:before="120"/>
      <w:ind w:left="360"/>
    </w:pPr>
    <w:rPr>
      <w:rFonts w:ascii="Times New Roman" w:eastAsia="Times New Roman" w:hAnsi="Times New Roman" w:cs="Times New Roman"/>
      <w:sz w:val="24"/>
      <w:szCs w:val="24"/>
      <w:lang w:val="en-US" w:eastAsia="en-US" w:bidi="ar-SA"/>
    </w:rPr>
  </w:style>
  <w:style w:type="paragraph" w:styleId="TOC4">
    <w:name w:val="toc 4"/>
    <w:basedOn w:val="Normal"/>
    <w:uiPriority w:val="1"/>
    <w:qFormat/>
    <w:pPr>
      <w:ind w:left="1080" w:hanging="360"/>
    </w:pPr>
    <w:rPr>
      <w:rFonts w:ascii="Times New Roman" w:eastAsia="Times New Roman" w:hAnsi="Times New Roman" w:cs="Times New Roman"/>
      <w:sz w:val="24"/>
      <w:szCs w:val="24"/>
      <w:lang w:val="en-US" w:eastAsia="en-US" w:bidi="ar-SA"/>
    </w:rPr>
  </w:style>
  <w:style w:type="paragraph" w:styleId="BodyText">
    <w:name w:val="Body Text"/>
    <w:basedOn w:val="Normal"/>
    <w:uiPriority w:val="1"/>
    <w:qFormat/>
    <w:pPr>
      <w:spacing w:before="120"/>
      <w:ind w:left="360"/>
    </w:pPr>
    <w:rPr>
      <w:rFonts w:ascii="Times New Roman" w:eastAsia="Times New Roman" w:hAnsi="Times New Roman" w:cs="Times New Roman"/>
      <w:sz w:val="24"/>
      <w:szCs w:val="24"/>
      <w:lang w:val="en-US" w:eastAsia="en-US" w:bidi="ar-SA"/>
    </w:rPr>
  </w:style>
  <w:style w:type="paragraph" w:styleId="ListParagraph">
    <w:name w:val="List Paragraph"/>
    <w:basedOn w:val="Normal"/>
    <w:uiPriority w:val="1"/>
    <w:qFormat/>
    <w:pPr>
      <w:spacing w:before="120"/>
      <w:ind w:left="720" w:hanging="360"/>
    </w:pPr>
    <w:rPr>
      <w:rFonts w:ascii="Times New Roman" w:eastAsia="Times New Roman" w:hAnsi="Times New Roman" w:cs="Times New Roman"/>
      <w:lang w:val="en-US" w:eastAsia="en-US" w:bidi="ar-SA"/>
    </w:rPr>
  </w:style>
  <w:style w:type="paragraph" w:customStyle="1" w:styleId="TableParagraph">
    <w:name w:val="Table Paragraph"/>
    <w:basedOn w:val="Normal"/>
    <w:uiPriority w:val="1"/>
    <w:qFormat/>
    <w:pPr>
      <w:spacing w:before="30"/>
    </w:pPr>
    <w:rPr>
      <w:rFonts w:ascii="Arial Narrow" w:eastAsia="Arial Narrow" w:hAnsi="Arial Narrow" w:cs="Arial Narrow"/>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jpeg" /><Relationship Id="rId11" Type="http://schemas.openxmlformats.org/officeDocument/2006/relationships/image" Target="media/image5.jpeg" /><Relationship Id="rId12" Type="http://schemas.openxmlformats.org/officeDocument/2006/relationships/image" Target="media/image6.jpeg" /><Relationship Id="rId13" Type="http://schemas.openxmlformats.org/officeDocument/2006/relationships/image" Target="media/image7.jpeg" /><Relationship Id="rId14" Type="http://schemas.openxmlformats.org/officeDocument/2006/relationships/hyperlink" Target="mailto:cevensen@air.org" TargetMode="External" /><Relationship Id="rId15" Type="http://schemas.openxmlformats.org/officeDocument/2006/relationships/hyperlink" Target="mailto:cpugliese@air.org" TargetMode="External" /><Relationship Id="rId16" Type="http://schemas.openxmlformats.org/officeDocument/2006/relationships/hyperlink" Target="mailto:bmartin@air.org" TargetMode="External" /><Relationship Id="rId17" Type="http://schemas.openxmlformats.org/officeDocument/2006/relationships/hyperlink" Target="mailto:clankford@air.org" TargetMode="Externa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hyperlink" Target="http://www.ma-pdpcahps.org/" TargetMode="External" /><Relationship Id="rId7" Type="http://schemas.openxmlformats.org/officeDocument/2006/relationships/image" Target="media/image1.png" /><Relationship Id="rId8" Type="http://schemas.openxmlformats.org/officeDocument/2006/relationships/image" Target="media/image2.jpeg" /><Relationship Id="rId9" Type="http://schemas.openxmlformats.org/officeDocument/2006/relationships/image" Target="media/image3.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Insurance Exchange Consumer Experience Surveys: Qualified Health Plan Enrollee Experience Survey</dc:title>
  <dc:subject>Health Insurance Exchange Consumer Experience Surveys: Qualified Health Plan Enrollee Experience Survey</dc:subject>
  <dc:creator>Centers for Medicare &amp; Medicaid Services</dc:creator>
  <cp:revision>0</cp:revision>
  <dcterms:created xsi:type="dcterms:W3CDTF">2026-08-10T16:35:02Z</dcterms:created>
  <dcterms:modified xsi:type="dcterms:W3CDTF">2026-08-10T16:35:02Z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2025-12-29T00:00:00Z</vt:filetime>
  </property>
  <property fmtid="{D5CDD505-2E9C-101B-9397-08002B2CF9AE}" pid="3" name="Creator">
    <vt:lpwstr>Microsoft® Word for Microsoft 365</vt:lpwstr>
  </property>
  <property fmtid="{D5CDD505-2E9C-101B-9397-08002B2CF9AE}" pid="4" name="LastSaved">
    <vt:filetime>2026-08-10T00:00:00Z</vt:filetime>
  </property>
  <property fmtid="{D5CDD505-2E9C-101B-9397-08002B2CF9AE}" pid="5" name="NCCL_App">
    <vt:lpwstr>PDF</vt:lpwstr>
  </property>
  <property fmtid="{D5CDD505-2E9C-101B-9397-08002B2CF9AE}" pid="6" name="NCCL_Standard">
    <vt:lpwstr>WCAG 2.2 AA;</vt:lpwstr>
  </property>
  <property fmtid="{D5CDD505-2E9C-101B-9397-08002B2CF9AE}" pid="7" name="NCCL_Status">
    <vt:lpwstr>Passed</vt:lpwstr>
  </property>
  <property fmtid="{D5CDD505-2E9C-101B-9397-08002B2CF9AE}" pid="8" name="Producer">
    <vt:lpwstr>Microsoft® Word for Microsoft 365</vt:lpwstr>
  </property>
</Properties>
</file>