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7469F" w:rsidRPr="006828FA" w:rsidP="00076170" w14:paraId="5659206D" w14:textId="077A5EF3">
      <w:pPr>
        <w:ind w:left="208" w:right="208"/>
        <w:jc w:val="center"/>
        <w:rPr>
          <w:b/>
          <w:bCs/>
          <w:sz w:val="24"/>
        </w:rPr>
      </w:pPr>
      <w:r w:rsidRPr="006828FA">
        <w:rPr>
          <w:b/>
          <w:bCs/>
          <w:sz w:val="24"/>
        </w:rPr>
        <w:t xml:space="preserve">Supporting Statement </w:t>
      </w:r>
      <w:r w:rsidRPr="006828FA" w:rsidR="006828FA">
        <w:rPr>
          <w:b/>
          <w:bCs/>
          <w:sz w:val="24"/>
        </w:rPr>
        <w:t xml:space="preserve">– Part </w:t>
      </w:r>
      <w:r w:rsidRPr="006828FA">
        <w:rPr>
          <w:b/>
          <w:bCs/>
          <w:sz w:val="24"/>
        </w:rPr>
        <w:t>A</w:t>
      </w:r>
    </w:p>
    <w:p w:rsidR="005E41F1" w:rsidRPr="00A01917" w:rsidP="00076170" w14:paraId="4134F9E7" w14:textId="5AB9F866">
      <w:pPr>
        <w:ind w:left="208" w:right="208"/>
        <w:jc w:val="center"/>
        <w:rPr>
          <w:b/>
          <w:bCs/>
          <w:sz w:val="24"/>
        </w:rPr>
      </w:pPr>
      <w:r w:rsidRPr="00A01917">
        <w:rPr>
          <w:b/>
          <w:bCs/>
          <w:sz w:val="24"/>
        </w:rPr>
        <w:t>Inpatient Psychiatric Facilit</w:t>
      </w:r>
      <w:r w:rsidR="00BE17B5">
        <w:rPr>
          <w:b/>
          <w:bCs/>
          <w:sz w:val="24"/>
        </w:rPr>
        <w:t>ies</w:t>
      </w:r>
      <w:r w:rsidR="002A1A3D">
        <w:rPr>
          <w:b/>
          <w:bCs/>
          <w:sz w:val="24"/>
        </w:rPr>
        <w:t xml:space="preserve"> </w:t>
      </w:r>
      <w:r w:rsidRPr="00A01917" w:rsidR="00090CD9">
        <w:rPr>
          <w:b/>
          <w:bCs/>
          <w:sz w:val="24"/>
        </w:rPr>
        <w:t>Patient Assessment Instrument</w:t>
      </w:r>
      <w:r w:rsidR="00E42EA3">
        <w:rPr>
          <w:b/>
          <w:bCs/>
          <w:sz w:val="24"/>
        </w:rPr>
        <w:t xml:space="preserve"> under the Inpatient Psychiatric Facility Quality Reporting Program</w:t>
      </w:r>
      <w:r w:rsidR="00297C10">
        <w:rPr>
          <w:b/>
          <w:bCs/>
          <w:sz w:val="24"/>
        </w:rPr>
        <w:t>:</w:t>
      </w:r>
    </w:p>
    <w:p w:rsidR="005E41F1" w:rsidRPr="00A01917" w14:paraId="2863FC6B" w14:textId="3B7908E3">
      <w:pPr>
        <w:ind w:left="208" w:right="208"/>
        <w:jc w:val="center"/>
        <w:rPr>
          <w:b/>
          <w:bCs/>
          <w:sz w:val="24"/>
        </w:rPr>
      </w:pPr>
      <w:r w:rsidRPr="00A01917">
        <w:rPr>
          <w:b/>
          <w:bCs/>
          <w:sz w:val="24"/>
        </w:rPr>
        <w:t>(OMB 0938-</w:t>
      </w:r>
      <w:r w:rsidRPr="002849BE" w:rsidR="002849BE">
        <w:rPr>
          <w:b/>
          <w:bCs/>
          <w:sz w:val="24"/>
          <w:highlight w:val="none"/>
        </w:rPr>
        <w:t>1496</w:t>
      </w:r>
      <w:r w:rsidRPr="002849BE">
        <w:rPr>
          <w:b/>
          <w:bCs/>
          <w:sz w:val="24"/>
        </w:rPr>
        <w:t>,</w:t>
      </w:r>
      <w:r w:rsidRPr="00A01917">
        <w:rPr>
          <w:b/>
          <w:bCs/>
          <w:sz w:val="24"/>
        </w:rPr>
        <w:t xml:space="preserve"> </w:t>
      </w:r>
      <w:r w:rsidRPr="00A01917" w:rsidR="004D37AE">
        <w:rPr>
          <w:b/>
          <w:bCs/>
          <w:sz w:val="24"/>
        </w:rPr>
        <w:t>CMS-</w:t>
      </w:r>
      <w:r w:rsidR="00EE37A8">
        <w:rPr>
          <w:b/>
          <w:bCs/>
          <w:sz w:val="24"/>
        </w:rPr>
        <w:t>10954</w:t>
      </w:r>
      <w:r w:rsidRPr="00A01917">
        <w:rPr>
          <w:b/>
          <w:bCs/>
          <w:sz w:val="24"/>
        </w:rPr>
        <w:t>)</w:t>
      </w:r>
    </w:p>
    <w:p w:rsidR="005E41F1" w:rsidRPr="00FF06DD" w:rsidP="000400CC" w14:paraId="1E4BE5C5" w14:textId="77777777">
      <w:pPr>
        <w:pStyle w:val="Heading1"/>
        <w:keepNext/>
        <w:widowControl/>
        <w:numPr>
          <w:ilvl w:val="0"/>
          <w:numId w:val="0"/>
        </w:numPr>
        <w:tabs>
          <w:tab w:val="clear" w:pos="481"/>
        </w:tabs>
        <w:autoSpaceDE/>
        <w:autoSpaceDN/>
        <w:spacing w:after="0"/>
        <w:ind w:left="360"/>
        <w:rPr>
          <w:sz w:val="24"/>
          <w:szCs w:val="24"/>
        </w:rPr>
      </w:pPr>
      <w:bookmarkStart w:id="0" w:name="Background"/>
      <w:bookmarkEnd w:id="0"/>
    </w:p>
    <w:p w:rsidR="005E41F1" w:rsidRPr="00076170" w:rsidP="00FF06DD" w14:paraId="6D153C0D" w14:textId="2E06CC9E">
      <w:pPr>
        <w:pStyle w:val="Heading1"/>
        <w:numPr>
          <w:ilvl w:val="0"/>
          <w:numId w:val="28"/>
        </w:numPr>
        <w:tabs>
          <w:tab w:val="clear" w:pos="481"/>
          <w:tab w:val="left" w:pos="900"/>
        </w:tabs>
        <w:ind w:left="720" w:hanging="630"/>
      </w:pPr>
      <w:r w:rsidRPr="00C06847">
        <w:t>Background</w:t>
      </w:r>
    </w:p>
    <w:p w:rsidR="00203600" w:rsidP="00E9146E" w14:paraId="3C524643" w14:textId="2B0FBE02">
      <w:pPr>
        <w:pStyle w:val="BodyText"/>
      </w:pPr>
      <w:r>
        <w:t xml:space="preserve">The </w:t>
      </w:r>
      <w:r w:rsidR="00522B12">
        <w:t xml:space="preserve">requirements of the </w:t>
      </w:r>
      <w:r>
        <w:t xml:space="preserve">Inpatient Psychiatric Facility </w:t>
      </w:r>
      <w:r w:rsidR="00C100ED">
        <w:t>(IPF</w:t>
      </w:r>
      <w:r w:rsidR="00EF544E">
        <w:t xml:space="preserve">) </w:t>
      </w:r>
      <w:r>
        <w:t xml:space="preserve">Quality Reporting Program </w:t>
      </w:r>
      <w:r w:rsidR="00522B12">
        <w:t>are set forth</w:t>
      </w:r>
      <w:r>
        <w:t xml:space="preserve"> under</w:t>
      </w:r>
      <w:r w:rsidR="00223ADF">
        <w:t xml:space="preserve"> section 1886(s)(4) of the Social Security Act</w:t>
      </w:r>
      <w:r>
        <w:t>.</w:t>
      </w:r>
      <w:r w:rsidR="00223ADF">
        <w:t xml:space="preserve"> </w:t>
      </w:r>
      <w:r>
        <w:t>Under the IPF</w:t>
      </w:r>
      <w:r w:rsidR="00EF544E">
        <w:t xml:space="preserve"> </w:t>
      </w:r>
      <w:r>
        <w:t>Q</w:t>
      </w:r>
      <w:r w:rsidR="00EF544E">
        <w:t xml:space="preserve">uality </w:t>
      </w:r>
      <w:r>
        <w:t>R</w:t>
      </w:r>
      <w:r w:rsidR="00EF544E">
        <w:t>eporting</w:t>
      </w:r>
      <w:r>
        <w:t xml:space="preserve"> Program</w:t>
      </w:r>
      <w:r w:rsidR="761CACA0">
        <w:t>,</w:t>
      </w:r>
      <w:r>
        <w:t xml:space="preserve"> </w:t>
      </w:r>
      <w:r w:rsidR="00223ADF">
        <w:t>starting in fiscal year (FY) 2014, IPF</w:t>
      </w:r>
      <w:r w:rsidR="00E22119">
        <w:t>s</w:t>
      </w:r>
      <w:r w:rsidR="00223ADF">
        <w:t xml:space="preserve"> </w:t>
      </w:r>
      <w:r w:rsidR="001051A4">
        <w:t xml:space="preserve">must </w:t>
      </w:r>
      <w:r w:rsidR="00223ADF">
        <w:t xml:space="preserve">submit pre-defined quality measures to the Centers for Medicare &amp; Medicaid Services (CMS). IPFs that </w:t>
      </w:r>
      <w:r w:rsidR="002D6383">
        <w:t>do not</w:t>
      </w:r>
      <w:r w:rsidR="00223ADF">
        <w:t xml:space="preserve"> report on the selected quality measures and comply with other </w:t>
      </w:r>
      <w:r w:rsidR="00112634">
        <w:t xml:space="preserve">program </w:t>
      </w:r>
      <w:r w:rsidR="00223ADF">
        <w:t>requirements will have their IPF prospective payment system (PPS) payment updates reduced by 2.0 percentage points.</w:t>
      </w:r>
      <w:r w:rsidR="00ED2EC0">
        <w:t xml:space="preserve"> </w:t>
      </w:r>
      <w:r w:rsidR="00807F42">
        <w:t>Burden associated with s</w:t>
      </w:r>
      <w:r w:rsidR="00ED2EC0">
        <w:t xml:space="preserve">ubmission of </w:t>
      </w:r>
      <w:r w:rsidR="00807F42">
        <w:t xml:space="preserve">quality measure data is covered </w:t>
      </w:r>
      <w:r w:rsidR="00780CC3">
        <w:t xml:space="preserve">under OMB control number 0938-1171 (expiration date </w:t>
      </w:r>
      <w:r w:rsidRPr="003F188A" w:rsidR="001768EF">
        <w:t>February 2</w:t>
      </w:r>
      <w:r w:rsidRPr="003F188A" w:rsidR="00BB5BE4">
        <w:t>9</w:t>
      </w:r>
      <w:r w:rsidRPr="003F188A" w:rsidR="001768EF">
        <w:t>, 2028).</w:t>
      </w:r>
    </w:p>
    <w:p w:rsidR="00090CD9" w:rsidRPr="002E3733" w:rsidP="00E9146E" w14:paraId="703AFAF8" w14:textId="30FCF1DF">
      <w:pPr>
        <w:pStyle w:val="BodyText"/>
      </w:pPr>
      <w:r w:rsidRPr="0081376F">
        <w:t xml:space="preserve">Section 4125(b)(1) of the </w:t>
      </w:r>
      <w:r w:rsidR="00A13540">
        <w:t>Consolidated Appropriations Act (</w:t>
      </w:r>
      <w:r w:rsidR="00573D0F">
        <w:t>CAA</w:t>
      </w:r>
      <w:r w:rsidR="00A13540">
        <w:t>)</w:t>
      </w:r>
      <w:r w:rsidR="00573D0F">
        <w:t>,</w:t>
      </w:r>
      <w:r w:rsidRPr="0081376F">
        <w:t xml:space="preserve"> 2023</w:t>
      </w:r>
      <w:r w:rsidR="00457219">
        <w:t>,</w:t>
      </w:r>
      <w:r w:rsidRPr="0081376F">
        <w:t xml:space="preserve"> amended section 1886(s)(4) of the </w:t>
      </w:r>
      <w:r>
        <w:t xml:space="preserve">Social Security </w:t>
      </w:r>
      <w:r w:rsidRPr="0081376F">
        <w:t xml:space="preserve">Act to require IPFs participating in the </w:t>
      </w:r>
      <w:r>
        <w:t>IPF</w:t>
      </w:r>
      <w:r w:rsidR="00EF544E">
        <w:t xml:space="preserve"> </w:t>
      </w:r>
      <w:r>
        <w:t>Q</w:t>
      </w:r>
      <w:r w:rsidR="00EF544E">
        <w:t xml:space="preserve">uality </w:t>
      </w:r>
      <w:r>
        <w:t>R</w:t>
      </w:r>
      <w:r w:rsidR="00EF544E">
        <w:t>eporting</w:t>
      </w:r>
      <w:r w:rsidRPr="0081376F">
        <w:t xml:space="preserve"> Program to collect and submit to the Secretary certain patient assessment data using a standardized patient assessment instrument (PAI)</w:t>
      </w:r>
      <w:r w:rsidR="00457219">
        <w:t>,</w:t>
      </w:r>
      <w:r w:rsidRPr="0081376F">
        <w:t xml:space="preserve"> for </w:t>
      </w:r>
      <w:r w:rsidR="00EE6BDC">
        <w:t>r</w:t>
      </w:r>
      <w:r>
        <w:t xml:space="preserve">ate </w:t>
      </w:r>
      <w:r w:rsidR="00EE6BDC">
        <w:t>y</w:t>
      </w:r>
      <w:r>
        <w:t>ear (</w:t>
      </w:r>
      <w:r w:rsidRPr="0081376F">
        <w:t>RY</w:t>
      </w:r>
      <w:r>
        <w:t>)</w:t>
      </w:r>
      <w:r w:rsidRPr="0081376F">
        <w:t xml:space="preserve"> 2028 (FY 2028) and each subsequent </w:t>
      </w:r>
      <w:r>
        <w:t>RY</w:t>
      </w:r>
      <w:r w:rsidR="00A900AC">
        <w:t>.</w:t>
      </w:r>
      <w:r>
        <w:rPr>
          <w:vertAlign w:val="superscript"/>
        </w:rPr>
        <w:footnoteReference w:id="3"/>
      </w:r>
      <w:r w:rsidRPr="0081376F">
        <w:t xml:space="preserve"> </w:t>
      </w:r>
    </w:p>
    <w:p w:rsidR="005E41F1" w:rsidRPr="00F9747F" w:rsidP="00DD79CA" w14:paraId="62ADA778" w14:textId="6A5A3B21">
      <w:pPr>
        <w:pStyle w:val="BodyText"/>
      </w:pPr>
      <w:r>
        <w:t>This is a new information collection request</w:t>
      </w:r>
      <w:r w:rsidR="00B01C0A">
        <w:t xml:space="preserve"> to address the amended requirements</w:t>
      </w:r>
      <w:r w:rsidR="00AA5B1B">
        <w:t xml:space="preserve"> per CAA, 2023</w:t>
      </w:r>
      <w:r w:rsidR="00B01C0A">
        <w:t xml:space="preserve"> under section 1886(s)(4) of the Social Security Act</w:t>
      </w:r>
      <w:r>
        <w:t>.</w:t>
      </w:r>
    </w:p>
    <w:p w:rsidR="005E41F1" w:rsidRPr="00C06847" w:rsidP="00FF06DD" w14:paraId="4E50E28B" w14:textId="4A28A2F4">
      <w:pPr>
        <w:pStyle w:val="Heading1"/>
        <w:numPr>
          <w:ilvl w:val="0"/>
          <w:numId w:val="28"/>
        </w:numPr>
        <w:tabs>
          <w:tab w:val="clear" w:pos="481"/>
          <w:tab w:val="left" w:pos="900"/>
        </w:tabs>
        <w:ind w:left="720" w:hanging="630"/>
      </w:pPr>
      <w:bookmarkStart w:id="1" w:name="A._Justification"/>
      <w:bookmarkStart w:id="2" w:name="1._Need_and_Legal_Basis"/>
      <w:bookmarkEnd w:id="1"/>
      <w:bookmarkEnd w:id="2"/>
      <w:r w:rsidRPr="00C06847">
        <w:t>Justification</w:t>
      </w:r>
    </w:p>
    <w:p w:rsidR="005E41F1" w:rsidRPr="00FF06DD" w:rsidP="00FF06DD" w14:paraId="100FD719" w14:textId="1B13FEC8">
      <w:pPr>
        <w:pStyle w:val="Heading2"/>
        <w:numPr>
          <w:ilvl w:val="0"/>
          <w:numId w:val="30"/>
        </w:numPr>
        <w:tabs>
          <w:tab w:val="clear" w:pos="481"/>
          <w:tab w:val="left" w:pos="810"/>
        </w:tabs>
        <w:ind w:left="720" w:hanging="630"/>
        <w:rPr>
          <w:i w:val="0"/>
          <w:iCs w:val="0"/>
        </w:rPr>
      </w:pPr>
      <w:r w:rsidRPr="00FF06DD">
        <w:rPr>
          <w:i w:val="0"/>
          <w:iCs w:val="0"/>
        </w:rPr>
        <w:t>Need and Legal Basis</w:t>
      </w:r>
    </w:p>
    <w:p w:rsidR="0081376F" w:rsidP="00E9146E" w14:paraId="5681C38C" w14:textId="5F68F871">
      <w:pPr>
        <w:pStyle w:val="BodyText"/>
      </w:pPr>
      <w:r>
        <w:t>Section 1886(s)(4)(E) of the Social Security Act</w:t>
      </w:r>
      <w:r w:rsidR="00723187">
        <w:t>,</w:t>
      </w:r>
      <w:r>
        <w:t xml:space="preserve"> </w:t>
      </w:r>
      <w:r w:rsidR="004B44D4">
        <w:t>as amended</w:t>
      </w:r>
      <w:r w:rsidR="00723187">
        <w:t>,</w:t>
      </w:r>
      <w:r w:rsidR="004B44D4">
        <w:t xml:space="preserve"> </w:t>
      </w:r>
      <w:r>
        <w:t xml:space="preserve">requires that </w:t>
      </w:r>
      <w:r w:rsidRPr="0081376F">
        <w:t xml:space="preserve">IPFs must submit </w:t>
      </w:r>
      <w:r w:rsidR="00CE6073">
        <w:t>patient assessment</w:t>
      </w:r>
      <w:r w:rsidRPr="0081376F">
        <w:t xml:space="preserve"> data with respect to admission and discharge of an individual, and more frequently as the Secretary determines appropriate. For IPFs to meet this new data collection and reporting requirement for FY 2028 and each subsequent year, the Secretary must implement a standardized PAI that collects data with respect to the following categories</w:t>
      </w:r>
      <w:r w:rsidR="0027422E">
        <w:t xml:space="preserve">, as required by section </w:t>
      </w:r>
      <w:r w:rsidRPr="0027422E" w:rsidR="0027422E">
        <w:t>1886(s)(4)(E)(ii)</w:t>
      </w:r>
      <w:r w:rsidR="0027422E">
        <w:t xml:space="preserve"> of the Social Security Act</w:t>
      </w:r>
      <w:r w:rsidRPr="0081376F">
        <w:t xml:space="preserve">: functional status; cognitive function and mental status; special services, treatments, and interventions for psychiatric conditions; medical conditions and comorbidities; impairments; and other categories as </w:t>
      </w:r>
      <w:r w:rsidRPr="0081376F">
        <w:t>determined appropriate by the Secretary. To enable meaningful comparison of the patient assessment data across all IPFs submitting data, the IPF-PAI must be standardized. Each IPF must administer the same assessment instrument with identical questions, response options, standards</w:t>
      </w:r>
      <w:r w:rsidR="00723187">
        <w:t>,</w:t>
      </w:r>
      <w:r w:rsidRPr="0081376F">
        <w:t xml:space="preserve"> and definitions.</w:t>
      </w:r>
    </w:p>
    <w:p w:rsidR="002B4E9C" w:rsidP="002B4E9C" w14:paraId="2DAEBE5F" w14:textId="78C32C87">
      <w:pPr>
        <w:pStyle w:val="BodyText"/>
      </w:pPr>
      <w:r>
        <w:t xml:space="preserve">In the FY 2027 IPF PPS </w:t>
      </w:r>
      <w:r w:rsidR="00C00906">
        <w:t>final</w:t>
      </w:r>
      <w:r>
        <w:t xml:space="preserve"> rule, we </w:t>
      </w:r>
      <w:r w:rsidRPr="00940D27">
        <w:rPr>
          <w:rFonts w:eastAsia="Aptos"/>
          <w:kern w:val="2"/>
          <w14:ligatures w14:val="standardContextual"/>
        </w:rPr>
        <w:t>implement</w:t>
      </w:r>
      <w:r w:rsidR="00C00906">
        <w:rPr>
          <w:rFonts w:eastAsia="Aptos"/>
          <w:kern w:val="2"/>
          <w14:ligatures w14:val="standardContextual"/>
        </w:rPr>
        <w:t>ed</w:t>
      </w:r>
      <w:r w:rsidRPr="00940D27">
        <w:rPr>
          <w:rFonts w:eastAsia="Aptos"/>
          <w:kern w:val="2"/>
          <w14:ligatures w14:val="standardContextual"/>
        </w:rPr>
        <w:t xml:space="preserve"> the IPF-PAI as the assessment instrument for the submission of standardized patient assessment data as required by section</w:t>
      </w:r>
      <w:r w:rsidR="005474D5">
        <w:rPr>
          <w:rFonts w:eastAsia="Aptos"/>
          <w:kern w:val="2"/>
          <w14:ligatures w14:val="standardContextual"/>
        </w:rPr>
        <w:t>s</w:t>
      </w:r>
      <w:r w:rsidRPr="00940D27">
        <w:rPr>
          <w:rFonts w:eastAsia="Aptos"/>
          <w:kern w:val="2"/>
          <w14:ligatures w14:val="standardContextual"/>
        </w:rPr>
        <w:t xml:space="preserve"> 1886(s)(4)</w:t>
      </w:r>
      <w:r w:rsidR="009833CD">
        <w:rPr>
          <w:rFonts w:eastAsia="Aptos"/>
          <w:kern w:val="2"/>
          <w14:ligatures w14:val="standardContextual"/>
        </w:rPr>
        <w:t xml:space="preserve">(A) and </w:t>
      </w:r>
      <w:r w:rsidRPr="00940D27">
        <w:rPr>
          <w:rFonts w:eastAsia="Aptos"/>
          <w:kern w:val="2"/>
          <w14:ligatures w14:val="standardContextual"/>
        </w:rPr>
        <w:t xml:space="preserve">(E) of the </w:t>
      </w:r>
      <w:r w:rsidR="003D29DB">
        <w:rPr>
          <w:rFonts w:eastAsia="Aptos"/>
          <w:kern w:val="2"/>
          <w14:ligatures w14:val="standardContextual"/>
        </w:rPr>
        <w:t xml:space="preserve">Social Security </w:t>
      </w:r>
      <w:r w:rsidRPr="00940D27">
        <w:rPr>
          <w:rFonts w:eastAsia="Aptos"/>
          <w:kern w:val="2"/>
          <w14:ligatures w14:val="standardContextual"/>
        </w:rPr>
        <w:t>Act for all patients aged 1</w:t>
      </w:r>
      <w:r w:rsidR="003774E7">
        <w:rPr>
          <w:rFonts w:eastAsia="Aptos"/>
          <w:kern w:val="2"/>
          <w14:ligatures w14:val="standardContextual"/>
        </w:rPr>
        <w:t>8</w:t>
      </w:r>
      <w:r w:rsidRPr="00940D27">
        <w:rPr>
          <w:rFonts w:eastAsia="Aptos"/>
          <w:kern w:val="2"/>
          <w14:ligatures w14:val="standardContextual"/>
        </w:rPr>
        <w:t xml:space="preserve"> and old</w:t>
      </w:r>
      <w:r w:rsidR="00573D0F">
        <w:rPr>
          <w:rFonts w:eastAsia="Aptos"/>
          <w:kern w:val="2"/>
          <w14:ligatures w14:val="standardContextual"/>
        </w:rPr>
        <w:t>er to fulfill the requirements of section 4125(b) of the CAA, 2023</w:t>
      </w:r>
      <w:r w:rsidRPr="00940D27">
        <w:rPr>
          <w:rFonts w:eastAsia="Aptos"/>
        </w:rPr>
        <w:t xml:space="preserve">. The IPF-PAI is intended to meet our statutory obligation to collect standardized patient assessment data on each of the </w:t>
      </w:r>
      <w:r w:rsidR="00573D0F">
        <w:rPr>
          <w:rFonts w:eastAsia="Aptos"/>
        </w:rPr>
        <w:t xml:space="preserve">five </w:t>
      </w:r>
      <w:r w:rsidRPr="00940D27">
        <w:rPr>
          <w:rFonts w:eastAsia="Aptos"/>
        </w:rPr>
        <w:t>statutorily-delineated</w:t>
      </w:r>
      <w:r w:rsidRPr="00940D27">
        <w:rPr>
          <w:rFonts w:eastAsia="Aptos"/>
        </w:rPr>
        <w:t xml:space="preserve"> data categories</w:t>
      </w:r>
      <w:r w:rsidR="00F83827">
        <w:rPr>
          <w:rFonts w:eastAsia="Aptos"/>
        </w:rPr>
        <w:t>.</w:t>
      </w:r>
      <w:r>
        <w:rPr>
          <w:rStyle w:val="FootnoteReference"/>
          <w:rFonts w:eastAsia="Aptos"/>
        </w:rPr>
        <w:footnoteReference w:id="4"/>
      </w:r>
    </w:p>
    <w:p w:rsidR="00CE6073" w:rsidP="00D92E07" w14:paraId="3AAC762F" w14:textId="0E217918">
      <w:pPr>
        <w:pStyle w:val="BodyText"/>
      </w:pPr>
      <w:r w:rsidRPr="4DF1D982">
        <w:rPr>
          <w:rFonts w:eastAsia="Aptos"/>
          <w:color w:val="000000" w:themeColor="text1"/>
        </w:rPr>
        <w:t xml:space="preserve">In the FY 2027 IPF PPS </w:t>
      </w:r>
      <w:r w:rsidRPr="4DF1D982" w:rsidR="00C00906">
        <w:rPr>
          <w:rFonts w:eastAsia="Aptos"/>
          <w:color w:val="000000" w:themeColor="text1"/>
        </w:rPr>
        <w:t>final</w:t>
      </w:r>
      <w:r w:rsidRPr="4DF1D982">
        <w:rPr>
          <w:rFonts w:eastAsia="Aptos"/>
          <w:color w:val="000000" w:themeColor="text1"/>
        </w:rPr>
        <w:t xml:space="preserve"> rule, we </w:t>
      </w:r>
      <w:r w:rsidRPr="4DF1D982" w:rsidR="00C00906">
        <w:rPr>
          <w:rFonts w:eastAsia="Aptos"/>
          <w:color w:val="000000" w:themeColor="text1"/>
        </w:rPr>
        <w:t>finaliz</w:t>
      </w:r>
      <w:r w:rsidRPr="4DF1D982">
        <w:rPr>
          <w:rFonts w:eastAsia="Aptos"/>
          <w:color w:val="000000" w:themeColor="text1"/>
        </w:rPr>
        <w:t>ed</w:t>
      </w:r>
      <w:r w:rsidR="22398749">
        <w:t xml:space="preserve"> that beginning July 1, </w:t>
      </w:r>
      <w:r w:rsidR="22398749">
        <w:t>2028</w:t>
      </w:r>
      <w:r w:rsidR="22398749">
        <w:t xml:space="preserve"> IPFs are required to </w:t>
      </w:r>
      <w:r w:rsidR="5A39FC7B">
        <w:t>submit the</w:t>
      </w:r>
      <w:r w:rsidR="00C00906">
        <w:t xml:space="preserve"> IPF-PAI</w:t>
      </w:r>
      <w:r w:rsidR="66FB5142">
        <w:t xml:space="preserve">. We finalized that </w:t>
      </w:r>
      <w:r w:rsidR="47FDAB51">
        <w:t>in order for</w:t>
      </w:r>
      <w:r w:rsidR="47FDAB51">
        <w:t xml:space="preserve"> an IPF to meet the IPF-PAI requirement, </w:t>
      </w:r>
      <w:r w:rsidR="66FB5142">
        <w:t>the IPF-PAI submission must be submitted for all patients aged 18 and older and that 100 percent of the IPF-PAI assessme</w:t>
      </w:r>
      <w:r w:rsidR="37B2213E">
        <w:t xml:space="preserve">nt items must be completed for a minimum of 50 percent of the IPF-PAIs </w:t>
      </w:r>
      <w:r w:rsidR="74036A25">
        <w:t>submitted by the IPF</w:t>
      </w:r>
      <w:r w:rsidR="37B2213E">
        <w:t xml:space="preserve">. </w:t>
      </w:r>
      <w:r w:rsidR="68E145D1">
        <w:t xml:space="preserve">We further finalized that beginning with the CY 2030 reporting period/FY 2032 payment determination that 100 percent of the IPF-PAI assessment items must be completed for a minimum of 70 </w:t>
      </w:r>
      <w:r w:rsidR="2B6D9E01">
        <w:t xml:space="preserve">percent </w:t>
      </w:r>
      <w:r w:rsidR="68E145D1">
        <w:t>of the IPF-</w:t>
      </w:r>
      <w:r w:rsidR="265C4D29">
        <w:t xml:space="preserve">PAIs submitted by the IPF. </w:t>
      </w:r>
    </w:p>
    <w:p w:rsidR="005E41F1" w:rsidRPr="00FF06DD" w:rsidP="00FF06DD" w14:paraId="72632DFB" w14:textId="3F5F674E">
      <w:pPr>
        <w:pStyle w:val="Heading2"/>
        <w:tabs>
          <w:tab w:val="clear" w:pos="481"/>
          <w:tab w:val="left" w:pos="810"/>
        </w:tabs>
        <w:ind w:left="720" w:hanging="605"/>
        <w:rPr>
          <w:i w:val="0"/>
          <w:iCs w:val="0"/>
        </w:rPr>
      </w:pPr>
      <w:r w:rsidRPr="00FF06DD">
        <w:rPr>
          <w:i w:val="0"/>
          <w:iCs w:val="0"/>
        </w:rPr>
        <w:t>Information Users</w:t>
      </w:r>
    </w:p>
    <w:p w:rsidR="005E41F1" w:rsidRPr="00F83827" w:rsidP="0037520F" w14:paraId="0A9E5D8A" w14:textId="48EB0908">
      <w:pPr>
        <w:ind w:left="90"/>
        <w:rPr>
          <w:sz w:val="24"/>
          <w:szCs w:val="24"/>
        </w:rPr>
      </w:pPr>
      <w:r w:rsidRPr="00F83827">
        <w:rPr>
          <w:sz w:val="24"/>
          <w:szCs w:val="24"/>
        </w:rPr>
        <w:t xml:space="preserve">As provided by section 1886(s)(6) of the </w:t>
      </w:r>
      <w:r w:rsidRPr="00F83827" w:rsidR="00385AAE">
        <w:rPr>
          <w:sz w:val="24"/>
          <w:szCs w:val="24"/>
        </w:rPr>
        <w:t xml:space="preserve">Social Security </w:t>
      </w:r>
      <w:r w:rsidRPr="00F83827">
        <w:rPr>
          <w:sz w:val="24"/>
          <w:szCs w:val="24"/>
        </w:rPr>
        <w:t>Act, added by section 4125(b) of the CAA, 2023, data collected through the IPF-PAI may be considered in future revisions to the methodology for determining the IPF PPS payment.</w:t>
      </w:r>
      <w:r w:rsidRPr="00F83827" w:rsidR="00C27652">
        <w:rPr>
          <w:sz w:val="24"/>
          <w:szCs w:val="24"/>
        </w:rPr>
        <w:t xml:space="preserve"> CMS also anticipates using results and feedback from the IPF-PAI to </w:t>
      </w:r>
      <w:r w:rsidR="00210873">
        <w:rPr>
          <w:sz w:val="24"/>
          <w:szCs w:val="24"/>
        </w:rPr>
        <w:t>inform</w:t>
      </w:r>
      <w:r w:rsidR="00687AB9">
        <w:rPr>
          <w:sz w:val="24"/>
          <w:szCs w:val="24"/>
        </w:rPr>
        <w:t xml:space="preserve"> future potential</w:t>
      </w:r>
      <w:r w:rsidRPr="00F83827" w:rsidR="00210873">
        <w:rPr>
          <w:sz w:val="24"/>
          <w:szCs w:val="24"/>
        </w:rPr>
        <w:t xml:space="preserve"> </w:t>
      </w:r>
      <w:r w:rsidRPr="00F83827" w:rsidR="00C27652">
        <w:rPr>
          <w:sz w:val="24"/>
          <w:szCs w:val="24"/>
        </w:rPr>
        <w:t>revisions or improvements t</w:t>
      </w:r>
      <w:r w:rsidR="00C27652">
        <w:rPr>
          <w:sz w:val="24"/>
          <w:szCs w:val="24"/>
        </w:rPr>
        <w:t>o the IPF-PAI</w:t>
      </w:r>
      <w:r w:rsidR="009142A0">
        <w:rPr>
          <w:sz w:val="24"/>
          <w:szCs w:val="24"/>
        </w:rPr>
        <w:t xml:space="preserve">. </w:t>
      </w:r>
    </w:p>
    <w:p w:rsidR="0037520F" w:rsidRPr="0037520F" w:rsidP="0037520F" w14:paraId="7D597334" w14:textId="77777777">
      <w:pPr>
        <w:ind w:left="90"/>
      </w:pPr>
    </w:p>
    <w:p w:rsidR="005E41F1" w:rsidRPr="00FF06DD" w:rsidP="00FF06DD" w14:paraId="180FE05B" w14:textId="77777777">
      <w:pPr>
        <w:pStyle w:val="Heading2"/>
        <w:numPr>
          <w:ilvl w:val="0"/>
          <w:numId w:val="30"/>
        </w:numPr>
        <w:tabs>
          <w:tab w:val="clear" w:pos="481"/>
          <w:tab w:val="left" w:pos="810"/>
        </w:tabs>
        <w:ind w:left="720" w:hanging="630"/>
        <w:rPr>
          <w:i w:val="0"/>
          <w:iCs w:val="0"/>
        </w:rPr>
      </w:pPr>
      <w:r w:rsidRPr="00FF06DD">
        <w:rPr>
          <w:i w:val="0"/>
          <w:iCs w:val="0"/>
        </w:rPr>
        <w:t>Use of Information Technology</w:t>
      </w:r>
    </w:p>
    <w:p w:rsidR="005E41F1" w:rsidP="00060831" w14:paraId="1545D1DD" w14:textId="69D2AFAC">
      <w:pPr>
        <w:pStyle w:val="BodyText"/>
        <w:spacing w:line="259" w:lineRule="auto"/>
        <w:rPr>
          <w:color w:val="000000" w:themeColor="text1"/>
        </w:rPr>
      </w:pPr>
      <w:bookmarkStart w:id="3" w:name="7._Special_Circumstances"/>
      <w:bookmarkEnd w:id="3"/>
      <w:r>
        <w:rPr>
          <w:color w:val="000000"/>
          <w:kern w:val="2"/>
          <w14:ligatures w14:val="standardContextual"/>
        </w:rPr>
        <w:t>CMS</w:t>
      </w:r>
      <w:r w:rsidRPr="00940D27">
        <w:rPr>
          <w:color w:val="000000"/>
          <w:kern w:val="2"/>
          <w14:ligatures w14:val="standardContextual"/>
        </w:rPr>
        <w:t xml:space="preserve"> </w:t>
      </w:r>
      <w:r w:rsidR="00287C44">
        <w:rPr>
          <w:color w:val="000000"/>
          <w:kern w:val="2"/>
          <w14:ligatures w14:val="standardContextual"/>
        </w:rPr>
        <w:t xml:space="preserve">has </w:t>
      </w:r>
      <w:r w:rsidRPr="4DF1D982" w:rsidR="00C00906">
        <w:rPr>
          <w:color w:val="000000" w:themeColor="text1"/>
        </w:rPr>
        <w:t>finalized</w:t>
      </w:r>
      <w:r w:rsidRPr="4DF1D982" w:rsidR="00287C44">
        <w:rPr>
          <w:color w:val="000000" w:themeColor="text1"/>
        </w:rPr>
        <w:t xml:space="preserve"> </w:t>
      </w:r>
      <w:r w:rsidRPr="4DF1D982" w:rsidR="00A467AF">
        <w:rPr>
          <w:color w:val="000000" w:themeColor="text1"/>
        </w:rPr>
        <w:t xml:space="preserve">that we will </w:t>
      </w:r>
      <w:r w:rsidRPr="4DF1D982">
        <w:rPr>
          <w:color w:val="000000" w:themeColor="text1"/>
        </w:rPr>
        <w:t xml:space="preserve">offer facilities two </w:t>
      </w:r>
      <w:r w:rsidRPr="4DF1D982" w:rsidR="00572184">
        <w:rPr>
          <w:color w:val="000000" w:themeColor="text1"/>
        </w:rPr>
        <w:t>methods</w:t>
      </w:r>
      <w:r w:rsidRPr="4DF1D982" w:rsidR="78C04203">
        <w:rPr>
          <w:color w:val="000000" w:themeColor="text1"/>
        </w:rPr>
        <w:t xml:space="preserve"> for submitting the IPF-PAI</w:t>
      </w:r>
      <w:r w:rsidRPr="4DF1D982" w:rsidR="00572184">
        <w:rPr>
          <w:color w:val="000000" w:themeColor="text1"/>
        </w:rPr>
        <w:t xml:space="preserve"> </w:t>
      </w:r>
      <w:r w:rsidRPr="4DF1D982" w:rsidR="67C9C301">
        <w:rPr>
          <w:color w:val="000000" w:themeColor="text1"/>
        </w:rPr>
        <w:t>to CMS</w:t>
      </w:r>
      <w:r w:rsidRPr="4DF1D982">
        <w:rPr>
          <w:color w:val="000000" w:themeColor="text1"/>
        </w:rPr>
        <w:t xml:space="preserve">s: </w:t>
      </w:r>
      <w:r w:rsidRPr="4DF1D982" w:rsidR="00513F97">
        <w:rPr>
          <w:color w:val="000000" w:themeColor="text1"/>
        </w:rPr>
        <w:t>the free</w:t>
      </w:r>
      <w:r w:rsidRPr="4DF1D982" w:rsidR="00CF466D">
        <w:rPr>
          <w:color w:val="000000" w:themeColor="text1"/>
        </w:rPr>
        <w:t xml:space="preserve"> </w:t>
      </w:r>
      <w:r w:rsidRPr="4DF1D982" w:rsidR="00513F97">
        <w:rPr>
          <w:color w:val="000000" w:themeColor="text1"/>
        </w:rPr>
        <w:t xml:space="preserve">CMS-developed </w:t>
      </w:r>
      <w:r w:rsidRPr="4DF1D982">
        <w:rPr>
          <w:color w:val="000000" w:themeColor="text1"/>
        </w:rPr>
        <w:t xml:space="preserve">web application </w:t>
      </w:r>
      <w:r w:rsidRPr="4DF1D982" w:rsidR="00513F97">
        <w:rPr>
          <w:color w:val="000000" w:themeColor="text1"/>
        </w:rPr>
        <w:t>(web app)</w:t>
      </w:r>
      <w:r w:rsidRPr="4DF1D982" w:rsidR="00D53B97">
        <w:rPr>
          <w:color w:val="000000" w:themeColor="text1"/>
        </w:rPr>
        <w:t>—w</w:t>
      </w:r>
      <w:r w:rsidR="00D53B97">
        <w:t>hich we have named the Patient Assessment Reporting Interoperability Tool</w:t>
      </w:r>
      <w:r w:rsidR="00D92E07">
        <w:t xml:space="preserve"> </w:t>
      </w:r>
      <w:r w:rsidR="70055634">
        <w:t>(</w:t>
      </w:r>
      <w:r w:rsidR="00D53B97">
        <w:t>PARIT</w:t>
      </w:r>
      <w:r w:rsidR="799FAE7C">
        <w:t>)</w:t>
      </w:r>
      <w:r w:rsidR="00D53B97">
        <w:t>—</w:t>
      </w:r>
      <w:r w:rsidRPr="4DF1D982">
        <w:rPr>
          <w:color w:val="000000" w:themeColor="text1"/>
        </w:rPr>
        <w:t>and</w:t>
      </w:r>
      <w:r w:rsidRPr="4DF1D982" w:rsidR="2D0A8F51">
        <w:rPr>
          <w:color w:val="000000" w:themeColor="text1"/>
        </w:rPr>
        <w:t xml:space="preserve"> a</w:t>
      </w:r>
      <w:r w:rsidRPr="4DF1D982">
        <w:rPr>
          <w:color w:val="000000" w:themeColor="text1"/>
        </w:rPr>
        <w:t xml:space="preserve"> </w:t>
      </w:r>
      <w:r w:rsidRPr="4DF1D982" w:rsidR="00D05B5B">
        <w:rPr>
          <w:color w:val="000000" w:themeColor="text1"/>
        </w:rPr>
        <w:t>Fast Healthcare Interoperability Resources</w:t>
      </w:r>
      <w:r w:rsidRPr="4DF1D982" w:rsidR="00D05B5B">
        <w:rPr>
          <w:color w:val="000000" w:themeColor="text1"/>
          <w:vertAlign w:val="superscript"/>
        </w:rPr>
        <w:t>®</w:t>
      </w:r>
      <w:r w:rsidRPr="4DF1D982" w:rsidR="00D05B5B">
        <w:rPr>
          <w:color w:val="000000" w:themeColor="text1"/>
        </w:rPr>
        <w:t xml:space="preserve"> (</w:t>
      </w:r>
      <w:r w:rsidRPr="4DF1D982">
        <w:rPr>
          <w:color w:val="000000" w:themeColor="text1"/>
        </w:rPr>
        <w:t>FHIR</w:t>
      </w:r>
      <w:r w:rsidRPr="4DF1D982">
        <w:rPr>
          <w:color w:val="000000" w:themeColor="text1"/>
          <w:vertAlign w:val="superscript"/>
        </w:rPr>
        <w:t>®</w:t>
      </w:r>
      <w:r w:rsidRPr="4DF1D982" w:rsidR="00D05B5B">
        <w:rPr>
          <w:color w:val="000000" w:themeColor="text1"/>
        </w:rPr>
        <w:t xml:space="preserve">) </w:t>
      </w:r>
      <w:r w:rsidRPr="4DF1D982">
        <w:rPr>
          <w:color w:val="000000" w:themeColor="text1"/>
        </w:rPr>
        <w:t xml:space="preserve">application programming interface (API). </w:t>
      </w:r>
      <w:r w:rsidRPr="4DF1D982" w:rsidR="00513F97">
        <w:rPr>
          <w:color w:val="000000" w:themeColor="text1"/>
        </w:rPr>
        <w:t>Both methods of data submission w</w:t>
      </w:r>
      <w:r w:rsidRPr="4DF1D982" w:rsidR="00F20BA0">
        <w:rPr>
          <w:color w:val="000000" w:themeColor="text1"/>
        </w:rPr>
        <w:t>ill</w:t>
      </w:r>
      <w:r w:rsidRPr="4DF1D982" w:rsidR="00513F97">
        <w:rPr>
          <w:color w:val="000000" w:themeColor="text1"/>
        </w:rPr>
        <w:t xml:space="preserve"> require user or system authentication using CMS’ Health Care Quality Information Systems (HCQIS) Access Roles and Profile (HARP), or equivalent CMS-designated identity management system, consistent with CMS security and access control requirements. This is the same identity management system that IPFs and their </w:t>
      </w:r>
      <w:r w:rsidRPr="4DF1D982" w:rsidR="00EB1D98">
        <w:rPr>
          <w:color w:val="000000" w:themeColor="text1"/>
        </w:rPr>
        <w:t xml:space="preserve">authorized </w:t>
      </w:r>
      <w:r w:rsidRPr="4DF1D982" w:rsidR="00513F97">
        <w:rPr>
          <w:color w:val="000000" w:themeColor="text1"/>
        </w:rPr>
        <w:t xml:space="preserve">vendors currently use to submit other </w:t>
      </w:r>
      <w:r w:rsidR="00513F97">
        <w:t>IPF</w:t>
      </w:r>
      <w:r w:rsidR="00EF544E">
        <w:t xml:space="preserve"> </w:t>
      </w:r>
      <w:r w:rsidR="00513F97">
        <w:t>Q</w:t>
      </w:r>
      <w:r w:rsidR="00EF544E">
        <w:t xml:space="preserve">uality </w:t>
      </w:r>
      <w:r w:rsidR="00513F97">
        <w:t>R</w:t>
      </w:r>
      <w:r w:rsidR="00EF544E">
        <w:t>eporting</w:t>
      </w:r>
      <w:r w:rsidR="00513F97">
        <w:t xml:space="preserve"> Program</w:t>
      </w:r>
      <w:r w:rsidRPr="4DF1D982" w:rsidR="00513F97">
        <w:rPr>
          <w:color w:val="000000" w:themeColor="text1"/>
        </w:rPr>
        <w:t xml:space="preserve"> data to the CMS Hospital Quality Reporting system. Both methods of IPF-PAI data submission w</w:t>
      </w:r>
      <w:r w:rsidRPr="4DF1D982" w:rsidR="00C00906">
        <w:rPr>
          <w:color w:val="000000" w:themeColor="text1"/>
        </w:rPr>
        <w:t>ill</w:t>
      </w:r>
      <w:r w:rsidRPr="4DF1D982" w:rsidR="00513F97">
        <w:rPr>
          <w:color w:val="000000" w:themeColor="text1"/>
        </w:rPr>
        <w:t xml:space="preserve"> transmit IPF-PAI data securely to CMS, using data security standards required for any CMS system, where it w</w:t>
      </w:r>
      <w:r w:rsidRPr="4DF1D982" w:rsidR="00C00906">
        <w:rPr>
          <w:color w:val="000000" w:themeColor="text1"/>
        </w:rPr>
        <w:t>ill</w:t>
      </w:r>
      <w:r w:rsidRPr="4DF1D982" w:rsidR="00513F97">
        <w:rPr>
          <w:color w:val="000000" w:themeColor="text1"/>
        </w:rPr>
        <w:t xml:space="preserve"> be received and reside in the CMS Internet Quality Improvement and </w:t>
      </w:r>
      <w:r w:rsidRPr="4DF1D982" w:rsidR="00513F97">
        <w:rPr>
          <w:color w:val="000000" w:themeColor="text1"/>
        </w:rPr>
        <w:t>Evaluation System (</w:t>
      </w:r>
      <w:r w:rsidRPr="4DF1D982" w:rsidR="00513F97">
        <w:rPr>
          <w:color w:val="000000" w:themeColor="text1"/>
        </w:rPr>
        <w:t>iQIES</w:t>
      </w:r>
      <w:r w:rsidRPr="4DF1D982" w:rsidR="00513F97">
        <w:rPr>
          <w:color w:val="000000" w:themeColor="text1"/>
        </w:rPr>
        <w:t>)</w:t>
      </w:r>
      <w:r>
        <w:rPr>
          <w:rStyle w:val="FootnoteReference"/>
          <w:color w:val="000000" w:themeColor="text1"/>
        </w:rPr>
        <w:footnoteReference w:id="5"/>
      </w:r>
      <w:r w:rsidRPr="4DF1D982" w:rsidR="00513F97">
        <w:rPr>
          <w:color w:val="000000" w:themeColor="text1"/>
        </w:rPr>
        <w:t xml:space="preserve"> environment, or a successor system. Data transfer to CMS via either method—the FHIR</w:t>
      </w:r>
      <w:r w:rsidRPr="4DF1D982" w:rsidR="00513F97">
        <w:rPr>
          <w:color w:val="000000" w:themeColor="text1"/>
          <w:vertAlign w:val="superscript"/>
        </w:rPr>
        <w:t>®</w:t>
      </w:r>
      <w:r w:rsidRPr="4DF1D982" w:rsidR="00513F97">
        <w:rPr>
          <w:color w:val="000000" w:themeColor="text1"/>
        </w:rPr>
        <w:t xml:space="preserve"> API or </w:t>
      </w:r>
      <w:r w:rsidRPr="4DF1D982" w:rsidR="00586B2A">
        <w:rPr>
          <w:color w:val="000000" w:themeColor="text1"/>
        </w:rPr>
        <w:t xml:space="preserve">the </w:t>
      </w:r>
      <w:r w:rsidRPr="4DF1D982" w:rsidR="00513F97">
        <w:rPr>
          <w:color w:val="000000" w:themeColor="text1"/>
        </w:rPr>
        <w:t>web app</w:t>
      </w:r>
      <w:r w:rsidRPr="4DF1D982" w:rsidR="00586B2A">
        <w:rPr>
          <w:color w:val="000000" w:themeColor="text1"/>
        </w:rPr>
        <w:t xml:space="preserve"> (</w:t>
      </w:r>
      <w:r w:rsidRPr="4DF1D982" w:rsidR="00586B2A">
        <w:rPr>
          <w:color w:val="000000" w:themeColor="text1"/>
        </w:rPr>
        <w:t>PARIT)</w:t>
      </w:r>
      <w:r w:rsidRPr="4DF1D982" w:rsidR="00513F97">
        <w:rPr>
          <w:color w:val="000000" w:themeColor="text1"/>
        </w:rPr>
        <w:t>—</w:t>
      </w:r>
      <w:r w:rsidRPr="4DF1D982" w:rsidR="00513F97">
        <w:rPr>
          <w:color w:val="000000" w:themeColor="text1"/>
        </w:rPr>
        <w:t>w</w:t>
      </w:r>
      <w:r w:rsidRPr="4DF1D982" w:rsidR="00C00906">
        <w:rPr>
          <w:color w:val="000000" w:themeColor="text1"/>
        </w:rPr>
        <w:t>ill</w:t>
      </w:r>
      <w:r w:rsidRPr="4DF1D982" w:rsidR="00513F97">
        <w:rPr>
          <w:color w:val="000000" w:themeColor="text1"/>
        </w:rPr>
        <w:t xml:space="preserve"> follow standard </w:t>
      </w:r>
      <w:r w:rsidRPr="4DF1D982" w:rsidR="00C63BC6">
        <w:rPr>
          <w:color w:val="000000" w:themeColor="text1"/>
        </w:rPr>
        <w:t>Health Insurance Portability and Accountability Act (</w:t>
      </w:r>
      <w:r w:rsidRPr="4DF1D982" w:rsidR="00513F97">
        <w:rPr>
          <w:color w:val="000000" w:themeColor="text1"/>
        </w:rPr>
        <w:t>HIPAA</w:t>
      </w:r>
      <w:r w:rsidRPr="4DF1D982" w:rsidR="00C63BC6">
        <w:rPr>
          <w:color w:val="000000" w:themeColor="text1"/>
        </w:rPr>
        <w:t>)</w:t>
      </w:r>
      <w:r w:rsidRPr="4DF1D982" w:rsidR="00513F97">
        <w:rPr>
          <w:color w:val="000000" w:themeColor="text1"/>
        </w:rPr>
        <w:t>-compliant encryption protocols</w:t>
      </w:r>
      <w:r w:rsidRPr="4DF1D982" w:rsidR="003774E7">
        <w:rPr>
          <w:color w:val="000000" w:themeColor="text1"/>
        </w:rPr>
        <w:t>. By leveraging FHIR</w:t>
      </w:r>
      <w:r w:rsidRPr="4DF1D982" w:rsidR="003774E7">
        <w:rPr>
          <w:color w:val="000000" w:themeColor="text1"/>
          <w:vertAlign w:val="superscript"/>
        </w:rPr>
        <w:t>®</w:t>
      </w:r>
      <w:r w:rsidRPr="4DF1D982" w:rsidR="003774E7">
        <w:rPr>
          <w:color w:val="000000" w:themeColor="text1"/>
        </w:rPr>
        <w:t xml:space="preserve"> APIs, facilities c</w:t>
      </w:r>
      <w:r w:rsidRPr="4DF1D982" w:rsidR="00C00906">
        <w:rPr>
          <w:color w:val="000000" w:themeColor="text1"/>
        </w:rPr>
        <w:t>an</w:t>
      </w:r>
      <w:r w:rsidRPr="4DF1D982" w:rsidR="003774E7">
        <w:rPr>
          <w:color w:val="000000" w:themeColor="text1"/>
        </w:rPr>
        <w:t xml:space="preserve"> transmit required IPF-PAI elements directly from their </w:t>
      </w:r>
      <w:r w:rsidRPr="4DF1D982" w:rsidR="00723187">
        <w:rPr>
          <w:color w:val="000000" w:themeColor="text1"/>
        </w:rPr>
        <w:t>electronic health records (</w:t>
      </w:r>
      <w:r w:rsidRPr="4DF1D982" w:rsidR="003774E7">
        <w:rPr>
          <w:color w:val="000000" w:themeColor="text1"/>
        </w:rPr>
        <w:t>EHRs</w:t>
      </w:r>
      <w:r w:rsidRPr="4DF1D982" w:rsidR="00723187">
        <w:rPr>
          <w:color w:val="000000" w:themeColor="text1"/>
        </w:rPr>
        <w:t>)</w:t>
      </w:r>
      <w:r w:rsidRPr="4DF1D982" w:rsidR="003774E7">
        <w:rPr>
          <w:color w:val="000000" w:themeColor="text1"/>
        </w:rPr>
        <w:t>, reducing duplicative data entry and associated administrative burden. Because FHIR</w:t>
      </w:r>
      <w:r w:rsidRPr="4DF1D982" w:rsidR="003774E7">
        <w:rPr>
          <w:color w:val="000000" w:themeColor="text1"/>
          <w:vertAlign w:val="superscript"/>
        </w:rPr>
        <w:t>®</w:t>
      </w:r>
      <w:r w:rsidRPr="4DF1D982" w:rsidR="003774E7">
        <w:rPr>
          <w:color w:val="000000" w:themeColor="text1"/>
        </w:rPr>
        <w:t xml:space="preserve"> uses standardized data structures and vocabularies, it also enables more consistent, interoperable exchange of health information.</w:t>
      </w:r>
    </w:p>
    <w:p w:rsidR="00513F97" w:rsidP="00513F97" w14:paraId="2CB15CA1" w14:textId="24392CB8">
      <w:pPr>
        <w:pStyle w:val="BodyText"/>
        <w:ind w:left="90"/>
        <w:rPr>
          <w:color w:val="000000"/>
          <w:kern w:val="2"/>
          <w14:ligatures w14:val="standardContextual"/>
        </w:rPr>
      </w:pPr>
      <w:r>
        <w:rPr>
          <w:color w:val="000000"/>
          <w:kern w:val="2"/>
          <w14:ligatures w14:val="standardContextual"/>
        </w:rPr>
        <w:t xml:space="preserve">IPFs that elect to submit IPF-PAI data using </w:t>
      </w:r>
      <w:r w:rsidR="00586B2A">
        <w:rPr>
          <w:color w:val="000000"/>
          <w:kern w:val="2"/>
          <w14:ligatures w14:val="standardContextual"/>
        </w:rPr>
        <w:t xml:space="preserve">PARIT, </w:t>
      </w:r>
      <w:r>
        <w:rPr>
          <w:color w:val="000000"/>
          <w:kern w:val="2"/>
          <w14:ligatures w14:val="standardContextual"/>
        </w:rPr>
        <w:t>the web app</w:t>
      </w:r>
      <w:r w:rsidR="00586B2A">
        <w:rPr>
          <w:color w:val="000000"/>
          <w:kern w:val="2"/>
          <w14:ligatures w14:val="standardContextual"/>
        </w:rPr>
        <w:t>,</w:t>
      </w:r>
      <w:r>
        <w:rPr>
          <w:color w:val="000000"/>
          <w:kern w:val="2"/>
          <w14:ligatures w14:val="standardContextual"/>
        </w:rPr>
        <w:t xml:space="preserve"> </w:t>
      </w:r>
      <w:r w:rsidR="0013127A">
        <w:rPr>
          <w:color w:val="000000"/>
          <w:kern w:val="2"/>
          <w14:ligatures w14:val="standardContextual"/>
        </w:rPr>
        <w:t>c</w:t>
      </w:r>
      <w:r w:rsidR="00C00906">
        <w:rPr>
          <w:color w:val="000000"/>
          <w:kern w:val="2"/>
          <w14:ligatures w14:val="standardContextual"/>
        </w:rPr>
        <w:t>an</w:t>
      </w:r>
      <w:r w:rsidR="00BC778D">
        <w:rPr>
          <w:color w:val="000000"/>
          <w:kern w:val="2"/>
          <w14:ligatures w14:val="standardContextual"/>
        </w:rPr>
        <w:t xml:space="preserve"> access </w:t>
      </w:r>
      <w:r w:rsidR="00F80C9A">
        <w:rPr>
          <w:color w:val="000000"/>
          <w:kern w:val="2"/>
          <w14:ligatures w14:val="standardContextual"/>
        </w:rPr>
        <w:t xml:space="preserve">the web app </w:t>
      </w:r>
      <w:r w:rsidRPr="00D5377B" w:rsidR="00F80C9A">
        <w:rPr>
          <w:color w:val="000000" w:themeColor="text1"/>
        </w:rPr>
        <w:t>directly through a web browser</w:t>
      </w:r>
      <w:r w:rsidR="00F80C9A">
        <w:rPr>
          <w:color w:val="000000" w:themeColor="text1"/>
        </w:rPr>
        <w:t>,</w:t>
      </w:r>
      <w:r w:rsidRPr="00D5377B" w:rsidR="00F80C9A">
        <w:rPr>
          <w:color w:val="000000" w:themeColor="text1"/>
        </w:rPr>
        <w:t xml:space="preserve"> or</w:t>
      </w:r>
      <w:r w:rsidR="009B4B6F">
        <w:rPr>
          <w:color w:val="000000" w:themeColor="text1"/>
        </w:rPr>
        <w:t xml:space="preserve"> via their </w:t>
      </w:r>
      <w:r w:rsidRPr="00D5377B" w:rsidR="00777A34">
        <w:rPr>
          <w:color w:val="000000" w:themeColor="text1"/>
        </w:rPr>
        <w:t>EHR</w:t>
      </w:r>
      <w:r w:rsidR="00CA3D1E">
        <w:rPr>
          <w:color w:val="000000" w:themeColor="text1"/>
        </w:rPr>
        <w:t xml:space="preserve"> using </w:t>
      </w:r>
      <w:r w:rsidRPr="1AF0A7F2" w:rsidR="00F80C9A">
        <w:rPr>
          <w:color w:val="000000" w:themeColor="text1"/>
        </w:rPr>
        <w:t>Substitutable Medical Applications and Reusable Technologies</w:t>
      </w:r>
      <w:r w:rsidR="00F80C9A">
        <w:rPr>
          <w:color w:val="000000" w:themeColor="text1"/>
        </w:rPr>
        <w:t xml:space="preserve"> (SMART) </w:t>
      </w:r>
      <w:r w:rsidRPr="1AF0A7F2" w:rsidR="00F80C9A">
        <w:rPr>
          <w:color w:val="000000" w:themeColor="text1"/>
        </w:rPr>
        <w:t>on FHIR</w:t>
      </w:r>
      <w:r w:rsidRPr="00513F97" w:rsidR="00F80C9A">
        <w:rPr>
          <w:color w:val="000000" w:themeColor="text1"/>
          <w:vertAlign w:val="superscript"/>
        </w:rPr>
        <w:t>®</w:t>
      </w:r>
      <w:r w:rsidRPr="00942DD6" w:rsidR="00942DD6">
        <w:rPr>
          <w:color w:val="000000" w:themeColor="text1"/>
        </w:rPr>
        <w:t>.</w:t>
      </w:r>
      <w:r>
        <w:rPr>
          <w:color w:val="000000" w:themeColor="text1"/>
          <w:vertAlign w:val="superscript"/>
        </w:rPr>
        <w:footnoteReference w:id="6"/>
      </w:r>
      <w:r w:rsidRPr="00D5377B" w:rsidR="00F80C9A">
        <w:rPr>
          <w:color w:val="000000" w:themeColor="text1"/>
        </w:rPr>
        <w:t xml:space="preserve"> </w:t>
      </w:r>
      <w:r w:rsidRPr="1AF0A7F2">
        <w:rPr>
          <w:color w:val="000000" w:themeColor="text1"/>
        </w:rPr>
        <w:t>IPF</w:t>
      </w:r>
      <w:r>
        <w:rPr>
          <w:color w:val="000000" w:themeColor="text1"/>
        </w:rPr>
        <w:t>s</w:t>
      </w:r>
      <w:r w:rsidRPr="1AF0A7F2">
        <w:rPr>
          <w:color w:val="000000" w:themeColor="text1"/>
        </w:rPr>
        <w:t xml:space="preserve"> c</w:t>
      </w:r>
      <w:r w:rsidR="00C00906">
        <w:rPr>
          <w:color w:val="000000" w:themeColor="text1"/>
        </w:rPr>
        <w:t>an</w:t>
      </w:r>
      <w:r w:rsidRPr="1AF0A7F2">
        <w:rPr>
          <w:color w:val="000000" w:themeColor="text1"/>
        </w:rPr>
        <w:t xml:space="preserve"> </w:t>
      </w:r>
      <w:r>
        <w:rPr>
          <w:color w:val="000000" w:themeColor="text1"/>
        </w:rPr>
        <w:t xml:space="preserve">also </w:t>
      </w:r>
      <w:r w:rsidRPr="1AF0A7F2">
        <w:rPr>
          <w:color w:val="000000" w:themeColor="text1"/>
        </w:rPr>
        <w:t>use a third</w:t>
      </w:r>
      <w:r w:rsidR="00723187">
        <w:rPr>
          <w:color w:val="000000" w:themeColor="text1"/>
        </w:rPr>
        <w:t>-</w:t>
      </w:r>
      <w:r w:rsidRPr="1AF0A7F2">
        <w:rPr>
          <w:color w:val="000000" w:themeColor="text1"/>
        </w:rPr>
        <w:t>party vendor to submit IPF-PAI data via the web app on the IPF’s behalf.</w:t>
      </w:r>
      <w:r>
        <w:rPr>
          <w:color w:val="000000" w:themeColor="text1"/>
        </w:rPr>
        <w:t xml:space="preserve"> </w:t>
      </w:r>
      <w:r w:rsidRPr="00075C96" w:rsidR="00075C96">
        <w:rPr>
          <w:color w:val="000000" w:themeColor="text1"/>
        </w:rPr>
        <w:t xml:space="preserve">IPFs that elect to submit IPF-PAI data using the web app </w:t>
      </w:r>
      <w:r w:rsidR="00075C96">
        <w:rPr>
          <w:color w:val="000000"/>
          <w:kern w:val="2"/>
          <w14:ligatures w14:val="standardContextual"/>
        </w:rPr>
        <w:t>w</w:t>
      </w:r>
      <w:r w:rsidR="00C00906">
        <w:rPr>
          <w:color w:val="000000"/>
          <w:kern w:val="2"/>
          <w14:ligatures w14:val="standardContextual"/>
        </w:rPr>
        <w:t>ill</w:t>
      </w:r>
      <w:r w:rsidR="00075C96">
        <w:rPr>
          <w:color w:val="000000"/>
          <w:kern w:val="2"/>
          <w14:ligatures w14:val="standardContextual"/>
        </w:rPr>
        <w:t xml:space="preserve"> </w:t>
      </w:r>
      <w:r w:rsidRPr="1AF0A7F2" w:rsidR="00075C96">
        <w:rPr>
          <w:color w:val="000000" w:themeColor="text1"/>
        </w:rPr>
        <w:t>be able to review, correct, and change data until the close of each submission deadline.</w:t>
      </w:r>
      <w:r w:rsidR="00075C96">
        <w:rPr>
          <w:color w:val="000000" w:themeColor="text1"/>
        </w:rPr>
        <w:t xml:space="preserve"> </w:t>
      </w:r>
      <w:r w:rsidRPr="00D5377B">
        <w:rPr>
          <w:color w:val="000000" w:themeColor="text1"/>
        </w:rPr>
        <w:t xml:space="preserve">In accordance with the Source code Harmonization </w:t>
      </w:r>
      <w:r w:rsidRPr="00D5377B">
        <w:rPr>
          <w:color w:val="000000" w:themeColor="text1"/>
        </w:rPr>
        <w:t>And</w:t>
      </w:r>
      <w:r w:rsidRPr="00D5377B">
        <w:rPr>
          <w:color w:val="000000" w:themeColor="text1"/>
        </w:rPr>
        <w:t xml:space="preserve"> Reuse in Information Technology Act (SHARE IT Act; Pub. L. No. 118-187), </w:t>
      </w:r>
      <w:r>
        <w:rPr>
          <w:color w:val="000000" w:themeColor="text1"/>
        </w:rPr>
        <w:t>we w</w:t>
      </w:r>
      <w:r w:rsidR="00C00906">
        <w:rPr>
          <w:color w:val="000000" w:themeColor="text1"/>
        </w:rPr>
        <w:t>ill</w:t>
      </w:r>
      <w:r w:rsidRPr="00D5377B">
        <w:rPr>
          <w:color w:val="000000" w:themeColor="text1"/>
        </w:rPr>
        <w:t xml:space="preserve"> ensure that the source code, documentation, configuration scripts </w:t>
      </w:r>
      <w:r w:rsidR="00723187">
        <w:rPr>
          <w:color w:val="000000" w:themeColor="text1"/>
        </w:rPr>
        <w:t>(</w:t>
      </w:r>
      <w:r w:rsidRPr="00D5377B">
        <w:rPr>
          <w:color w:val="000000" w:themeColor="text1"/>
        </w:rPr>
        <w:t>as appropriate</w:t>
      </w:r>
      <w:r w:rsidR="00723187">
        <w:rPr>
          <w:color w:val="000000" w:themeColor="text1"/>
        </w:rPr>
        <w:t>)</w:t>
      </w:r>
      <w:r w:rsidRPr="00D5377B">
        <w:rPr>
          <w:color w:val="000000" w:themeColor="text1"/>
        </w:rPr>
        <w:t>, revision history, and other files are located in a software storage location (that</w:t>
      </w:r>
      <w:r>
        <w:rPr>
          <w:color w:val="000000" w:themeColor="text1"/>
        </w:rPr>
        <w:t xml:space="preserve"> is</w:t>
      </w:r>
      <w:r w:rsidRPr="00D5377B">
        <w:rPr>
          <w:color w:val="000000" w:themeColor="text1"/>
        </w:rPr>
        <w:t>, a public repository) to which access is open to the public</w:t>
      </w:r>
      <w:r>
        <w:rPr>
          <w:color w:val="000000" w:themeColor="text1"/>
        </w:rPr>
        <w:t>.</w:t>
      </w:r>
      <w:r>
        <w:rPr>
          <w:color w:val="000000"/>
          <w:kern w:val="2"/>
          <w14:ligatures w14:val="standardContextual"/>
        </w:rPr>
        <w:t xml:space="preserve"> </w:t>
      </w:r>
    </w:p>
    <w:p w:rsidR="00513F97" w:rsidP="00513F97" w14:paraId="76B889C4" w14:textId="4BF7B7CA">
      <w:pPr>
        <w:pStyle w:val="BodyText"/>
        <w:ind w:left="90"/>
      </w:pPr>
      <w:r>
        <w:t>IPFs w</w:t>
      </w:r>
      <w:r w:rsidR="00C00906">
        <w:t>ill</w:t>
      </w:r>
      <w:r>
        <w:t xml:space="preserve"> also be able to elect to submit IPF-PAI data using APIs that use the FHIR</w:t>
      </w:r>
      <w:r w:rsidRPr="00BE0258">
        <w:rPr>
          <w:vertAlign w:val="superscript"/>
        </w:rPr>
        <w:t>®</w:t>
      </w:r>
      <w:r>
        <w:t xml:space="preserve"> standard to </w:t>
      </w:r>
      <w:r>
        <w:t>iQIES</w:t>
      </w:r>
      <w:r>
        <w:t xml:space="preserve"> or a successor system via the Internet. This method </w:t>
      </w:r>
      <w:r w:rsidR="00CF466D">
        <w:t>w</w:t>
      </w:r>
      <w:r w:rsidR="00C00906">
        <w:t>ill</w:t>
      </w:r>
      <w:r w:rsidR="00CF466D">
        <w:t xml:space="preserve"> be </w:t>
      </w:r>
      <w:r>
        <w:t>suitable for IPFs that use health IT or that engage with third-party vendors to implement a custom tool or a custom SMART on FHIR</w:t>
      </w:r>
      <w:r w:rsidRPr="00CF466D" w:rsidR="00CF466D">
        <w:rPr>
          <w:vertAlign w:val="superscript"/>
        </w:rPr>
        <w:t>®</w:t>
      </w:r>
      <w:r>
        <w:t xml:space="preserve"> application using these APIs to collect and submit IPF-PAI data to CMS.</w:t>
      </w:r>
      <w:r w:rsidR="00CF466D">
        <w:t xml:space="preserve"> </w:t>
      </w:r>
      <w:r>
        <w:t>Under this submission method, an IPF c</w:t>
      </w:r>
      <w:r w:rsidR="00C00906">
        <w:t>an</w:t>
      </w:r>
      <w:r>
        <w:t xml:space="preserve"> integrate IPF-PAI data collection and submission within their EHR workflow using one API to retrieve the applicable IPF-PAI assessment items from the EHR, and another API to submit IPF-PAI data to CMS. An IPF c</w:t>
      </w:r>
      <w:r w:rsidR="00C00906">
        <w:t>an</w:t>
      </w:r>
      <w:r>
        <w:t xml:space="preserve"> use a third</w:t>
      </w:r>
      <w:r w:rsidR="00AE1EFB">
        <w:t>-</w:t>
      </w:r>
      <w:r>
        <w:t>party vendor to submit IPF-PAI data via the FHIR</w:t>
      </w:r>
      <w:r w:rsidRPr="00CF466D">
        <w:rPr>
          <w:vertAlign w:val="superscript"/>
        </w:rPr>
        <w:t>®</w:t>
      </w:r>
      <w:r>
        <w:t xml:space="preserve"> API on the IPF’s behalf.  For this implementation of the IPF-PAI, the Data Element Library (DEL) FHIR</w:t>
      </w:r>
      <w:r w:rsidRPr="00CF466D">
        <w:rPr>
          <w:vertAlign w:val="superscript"/>
        </w:rPr>
        <w:t>®</w:t>
      </w:r>
      <w:r>
        <w:t xml:space="preserve"> API and associated DEL FHIR</w:t>
      </w:r>
      <w:r w:rsidRPr="00CF466D" w:rsidR="00F82D64">
        <w:rPr>
          <w:vertAlign w:val="superscript"/>
        </w:rPr>
        <w:t>®</w:t>
      </w:r>
      <w:r>
        <w:t xml:space="preserve"> Implementation Guide w</w:t>
      </w:r>
      <w:r w:rsidR="00C00906">
        <w:t>ill</w:t>
      </w:r>
      <w:r>
        <w:t xml:space="preserve"> support the retrieval of the assessment items, while the </w:t>
      </w:r>
      <w:r>
        <w:t>iQIES</w:t>
      </w:r>
      <w:r>
        <w:t xml:space="preserve"> FHIR</w:t>
      </w:r>
      <w:r w:rsidRPr="00CF466D">
        <w:rPr>
          <w:vertAlign w:val="superscript"/>
        </w:rPr>
        <w:t>®</w:t>
      </w:r>
      <w:r>
        <w:t xml:space="preserve"> API and associated </w:t>
      </w:r>
      <w:r>
        <w:t>iQIES</w:t>
      </w:r>
      <w:r>
        <w:t xml:space="preserve"> FHIR</w:t>
      </w:r>
      <w:r w:rsidRPr="00CF466D" w:rsidR="00CF466D">
        <w:rPr>
          <w:vertAlign w:val="superscript"/>
        </w:rPr>
        <w:t>®</w:t>
      </w:r>
      <w:r>
        <w:t xml:space="preserve"> Receiving System Implementation Guide w</w:t>
      </w:r>
      <w:r w:rsidR="00C00906">
        <w:t>ill</w:t>
      </w:r>
      <w:r>
        <w:t xml:space="preserve"> support the submission to CMS. </w:t>
      </w:r>
      <w:r w:rsidR="002D1A6D">
        <w:t>D</w:t>
      </w:r>
      <w:r>
        <w:t>raft versions of the DEL FHIR</w:t>
      </w:r>
      <w:r w:rsidRPr="00CF466D" w:rsidR="00CF466D">
        <w:rPr>
          <w:vertAlign w:val="superscript"/>
        </w:rPr>
        <w:t>®</w:t>
      </w:r>
      <w:r>
        <w:t xml:space="preserve"> Implementation Guide and the </w:t>
      </w:r>
      <w:r>
        <w:t>iQIES</w:t>
      </w:r>
      <w:r>
        <w:t xml:space="preserve"> FHIR</w:t>
      </w:r>
      <w:r w:rsidRPr="00CF466D">
        <w:rPr>
          <w:vertAlign w:val="superscript"/>
        </w:rPr>
        <w:t>®</w:t>
      </w:r>
      <w:r>
        <w:t xml:space="preserve"> Receiving System Implementation Guide are </w:t>
      </w:r>
      <w:r w:rsidR="000D06C2">
        <w:t xml:space="preserve">available </w:t>
      </w:r>
      <w:r w:rsidR="006365F8">
        <w:t xml:space="preserve">under the Resources </w:t>
      </w:r>
      <w:r w:rsidR="000D06C2">
        <w:t xml:space="preserve">section </w:t>
      </w:r>
      <w:r>
        <w:t xml:space="preserve">at: </w:t>
      </w:r>
      <w:hyperlink r:id="rId10" w:history="1">
        <w:r w:rsidRPr="008C279C" w:rsidR="00D05725">
          <w:rPr>
            <w:rStyle w:val="Hyperlink"/>
          </w:rPr>
          <w:t>https://qualitynet.cms.gov/ipf/PAI</w:t>
        </w:r>
      </w:hyperlink>
      <w:r>
        <w:t>. These implementation guides w</w:t>
      </w:r>
      <w:r w:rsidR="00C00906">
        <w:t>ill</w:t>
      </w:r>
      <w:r>
        <w:t xml:space="preserve"> be updated on </w:t>
      </w:r>
      <w:r w:rsidR="00CF17D1">
        <w:t xml:space="preserve">no more than </w:t>
      </w:r>
      <w:r>
        <w:t xml:space="preserve">an annual basis </w:t>
      </w:r>
      <w:r w:rsidR="00CF17D1">
        <w:t xml:space="preserve">to incorporate </w:t>
      </w:r>
      <w:r>
        <w:t>technical updates. IPFs and their vendors w</w:t>
      </w:r>
      <w:r w:rsidR="00C00906">
        <w:t>ill</w:t>
      </w:r>
      <w:r>
        <w:t xml:space="preserve"> need to use the versions of the implementation guide </w:t>
      </w:r>
      <w:r w:rsidR="001F680F">
        <w:t>that are application to the specific</w:t>
      </w:r>
      <w:r>
        <w:t xml:space="preserve"> IPF-PAI reporting period. Additional technical resources for IPFs and health IT vendors w</w:t>
      </w:r>
      <w:r w:rsidR="00C00906">
        <w:t>ill</w:t>
      </w:r>
      <w:r>
        <w:t xml:space="preserve"> be made available </w:t>
      </w:r>
      <w:r w:rsidR="000D06C2">
        <w:t>in</w:t>
      </w:r>
      <w:r w:rsidRPr="000D06C2" w:rsidR="000D06C2">
        <w:t xml:space="preserve"> the Resources section </w:t>
      </w:r>
      <w:r w:rsidR="00723187">
        <w:t xml:space="preserve">of </w:t>
      </w:r>
      <w:hyperlink r:id="rId10" w:history="1">
        <w:r w:rsidRPr="00C63BC6" w:rsidR="00C63BC6">
          <w:rPr>
            <w:rStyle w:val="Hyperlink"/>
          </w:rPr>
          <w:t>https://qualitynet.cms.gov/ipf/PAI</w:t>
        </w:r>
      </w:hyperlink>
      <w:r>
        <w:t xml:space="preserve"> </w:t>
      </w:r>
      <w:r w:rsidR="00AE1EFB">
        <w:t>as necessary</w:t>
      </w:r>
      <w:r>
        <w:t xml:space="preserve"> to support FHIR</w:t>
      </w:r>
      <w:r w:rsidRPr="00CF466D">
        <w:rPr>
          <w:vertAlign w:val="superscript"/>
        </w:rPr>
        <w:t>®</w:t>
      </w:r>
      <w:r>
        <w:t xml:space="preserve"> API implementation. We w</w:t>
      </w:r>
      <w:r w:rsidR="00C00906">
        <w:t>ill</w:t>
      </w:r>
      <w:r>
        <w:t xml:space="preserve"> also engage with software developers and vendors through various engagement efforts, during which we w</w:t>
      </w:r>
      <w:r w:rsidR="00C00906">
        <w:t>ill</w:t>
      </w:r>
      <w:r>
        <w:t xml:space="preserve"> respond to questions, comments, and suggestions about technical requirements.</w:t>
      </w:r>
    </w:p>
    <w:p w:rsidR="005E41F1" w:rsidRPr="00FF06DD" w:rsidP="00FF06DD" w14:paraId="78B91091" w14:textId="77777777">
      <w:pPr>
        <w:pStyle w:val="Heading2"/>
        <w:numPr>
          <w:ilvl w:val="0"/>
          <w:numId w:val="30"/>
        </w:numPr>
        <w:tabs>
          <w:tab w:val="clear" w:pos="481"/>
          <w:tab w:val="left" w:pos="810"/>
        </w:tabs>
        <w:ind w:left="720" w:hanging="630"/>
        <w:rPr>
          <w:i w:val="0"/>
          <w:iCs w:val="0"/>
        </w:rPr>
      </w:pPr>
      <w:r w:rsidRPr="00FF06DD">
        <w:rPr>
          <w:i w:val="0"/>
          <w:iCs w:val="0"/>
        </w:rPr>
        <w:t>Duplication of Efforts</w:t>
      </w:r>
    </w:p>
    <w:p w:rsidR="005E41F1" w:rsidRPr="00B2491B" w:rsidP="00CF466D" w14:paraId="0C504D1E" w14:textId="7C360C74">
      <w:pPr>
        <w:pStyle w:val="BodyText"/>
      </w:pPr>
      <w:r>
        <w:t xml:space="preserve">The IPF-PAI collects data on </w:t>
      </w:r>
      <w:r w:rsidR="00C93944">
        <w:t>all individuals</w:t>
      </w:r>
      <w:r w:rsidR="002D1A6D">
        <w:t xml:space="preserve"> aged 18 years and older</w:t>
      </w:r>
      <w:r w:rsidR="00C93944">
        <w:t xml:space="preserve"> admitted to IPFs</w:t>
      </w:r>
      <w:r w:rsidR="55995759">
        <w:t>.</w:t>
      </w:r>
      <w:r w:rsidR="00D92E07">
        <w:t xml:space="preserve"> </w:t>
      </w:r>
      <w:r w:rsidR="00CF466D">
        <w:t>This data collection does not duplicate any other effort</w:t>
      </w:r>
      <w:r w:rsidR="008B4C2D">
        <w:t xml:space="preserve">; </w:t>
      </w:r>
      <w:r w:rsidR="00CF466D">
        <w:t xml:space="preserve">no other data sets provide comparable information on </w:t>
      </w:r>
      <w:r w:rsidR="00605573">
        <w:t xml:space="preserve">all </w:t>
      </w:r>
      <w:r w:rsidR="00CF466D">
        <w:t>patients</w:t>
      </w:r>
      <w:r w:rsidR="002D1A6D">
        <w:t xml:space="preserve"> aged 18 and older</w:t>
      </w:r>
      <w:r w:rsidR="00CF466D">
        <w:t xml:space="preserve"> admitted to IPFs.</w:t>
      </w:r>
    </w:p>
    <w:p w:rsidR="005E41F1" w:rsidRPr="00FF06DD" w:rsidP="00FF06DD" w14:paraId="7FAB315D" w14:textId="77777777">
      <w:pPr>
        <w:pStyle w:val="Heading2"/>
        <w:numPr>
          <w:ilvl w:val="0"/>
          <w:numId w:val="30"/>
        </w:numPr>
        <w:tabs>
          <w:tab w:val="clear" w:pos="481"/>
          <w:tab w:val="left" w:pos="810"/>
        </w:tabs>
        <w:ind w:left="720" w:hanging="630"/>
        <w:rPr>
          <w:i w:val="0"/>
          <w:iCs w:val="0"/>
        </w:rPr>
      </w:pPr>
      <w:r w:rsidRPr="00FF06DD">
        <w:rPr>
          <w:i w:val="0"/>
          <w:iCs w:val="0"/>
        </w:rPr>
        <w:t>Small Business</w:t>
      </w:r>
    </w:p>
    <w:p w:rsidR="005E41F1" w:rsidP="00E9146E" w14:paraId="5666E470" w14:textId="4814186D">
      <w:pPr>
        <w:pStyle w:val="BodyText"/>
      </w:pPr>
      <w:r>
        <w:t>Information collection requirements are designed to allow maximum flexibility specifically to small IPF</w:t>
      </w:r>
      <w:r w:rsidR="002D1A6D">
        <w:t>s</w:t>
      </w:r>
      <w:r>
        <w:t xml:space="preserve"> participating in the IPF</w:t>
      </w:r>
      <w:r w:rsidR="00845EBF">
        <w:t xml:space="preserve"> </w:t>
      </w:r>
      <w:r>
        <w:t>Q</w:t>
      </w:r>
      <w:r w:rsidR="00845EBF">
        <w:t xml:space="preserve">uality </w:t>
      </w:r>
      <w:r>
        <w:t>R</w:t>
      </w:r>
      <w:r w:rsidR="00845EBF">
        <w:t>eporting</w:t>
      </w:r>
      <w:r>
        <w:t xml:space="preserve"> Program. </w:t>
      </w:r>
      <w:r w:rsidR="00904971">
        <w:t xml:space="preserve">CMS provides a help desk to support users and respond to questions about </w:t>
      </w:r>
      <w:r w:rsidR="00904971">
        <w:t>the data</w:t>
      </w:r>
      <w:r w:rsidR="00904971">
        <w:t xml:space="preserve"> collection. Additionally, a dedicated I</w:t>
      </w:r>
      <w:r w:rsidR="00C63BC6">
        <w:t>P</w:t>
      </w:r>
      <w:r w:rsidR="00904971">
        <w:t>F Q</w:t>
      </w:r>
      <w:r w:rsidR="00C63BC6">
        <w:t xml:space="preserve">uality </w:t>
      </w:r>
      <w:r w:rsidR="00904971">
        <w:t>R</w:t>
      </w:r>
      <w:r w:rsidR="00C63BC6">
        <w:t xml:space="preserve">eporting </w:t>
      </w:r>
      <w:r w:rsidR="00904971">
        <w:t>P</w:t>
      </w:r>
      <w:r w:rsidR="00C63BC6">
        <w:t>rogram</w:t>
      </w:r>
      <w:r w:rsidR="00904971">
        <w:t xml:space="preserve"> webpage </w:t>
      </w:r>
      <w:r w:rsidR="002D1A6D">
        <w:t>will include training resources,</w:t>
      </w:r>
      <w:r w:rsidR="00904971">
        <w:t xml:space="preserve"> </w:t>
      </w:r>
      <w:r w:rsidR="381E532C">
        <w:t>IPF-PAI Guidance M</w:t>
      </w:r>
      <w:r w:rsidR="00904971">
        <w:t>anual, and frequently asked questions which support understanding of the I</w:t>
      </w:r>
      <w:r w:rsidR="00C63BC6">
        <w:t>P</w:t>
      </w:r>
      <w:r w:rsidR="00904971">
        <w:t>F-PAI</w:t>
      </w:r>
      <w:r w:rsidR="195C384C">
        <w:t>: https://qualitynet.cms.gov/ipf/PAI#tab2</w:t>
      </w:r>
      <w:r w:rsidR="00904971">
        <w:t xml:space="preserve">. CMS utilizes a listserv to facilitate outreach to </w:t>
      </w:r>
      <w:r w:rsidR="002D1A6D">
        <w:t>IPFs and vendors</w:t>
      </w:r>
      <w:r w:rsidR="00904971">
        <w:t>, such as communicating timely and important new material(s). Finally, CMS provides a free internet-based system through which users can access on-demand reports for feedback on the collection of the I</w:t>
      </w:r>
      <w:r w:rsidR="00C63BC6">
        <w:t>P</w:t>
      </w:r>
      <w:r w:rsidR="00904971">
        <w:t>F-PAI associated with their facility.</w:t>
      </w:r>
    </w:p>
    <w:p w:rsidR="00C15417" w:rsidRPr="006711F5" w:rsidP="003604C8" w14:paraId="404FE99F" w14:textId="76CA481D">
      <w:pPr>
        <w:pStyle w:val="BodyText"/>
      </w:pPr>
      <w:r w:rsidRPr="006711F5">
        <w:t>This initial version of the IPF-PAI is intended to meet our statutory obligation to collect standardized patient assessment data on each of the statutorily</w:t>
      </w:r>
      <w:r w:rsidR="004A2BCF">
        <w:t xml:space="preserve"> mandated</w:t>
      </w:r>
      <w:r w:rsidR="009C1FF7">
        <w:t xml:space="preserve"> </w:t>
      </w:r>
      <w:r w:rsidRPr="006711F5">
        <w:t xml:space="preserve">categories while </w:t>
      </w:r>
      <w:r w:rsidR="004A2BCF">
        <w:t>minimizing</w:t>
      </w:r>
      <w:r w:rsidRPr="006711F5">
        <w:t xml:space="preserve"> reporting burden </w:t>
      </w:r>
      <w:r w:rsidR="004A2BCF">
        <w:t>for</w:t>
      </w:r>
      <w:r w:rsidRPr="006711F5">
        <w:t xml:space="preserve"> IPFs</w:t>
      </w:r>
    </w:p>
    <w:p w:rsidR="005E41F1" w:rsidRPr="00FF06DD" w:rsidP="00FF06DD" w14:paraId="44567960" w14:textId="77777777">
      <w:pPr>
        <w:pStyle w:val="Heading2"/>
        <w:numPr>
          <w:ilvl w:val="0"/>
          <w:numId w:val="30"/>
        </w:numPr>
        <w:tabs>
          <w:tab w:val="clear" w:pos="481"/>
          <w:tab w:val="left" w:pos="810"/>
        </w:tabs>
        <w:ind w:left="720" w:hanging="630"/>
        <w:rPr>
          <w:i w:val="0"/>
          <w:iCs w:val="0"/>
        </w:rPr>
      </w:pPr>
      <w:r w:rsidRPr="00FF06DD">
        <w:rPr>
          <w:i w:val="0"/>
          <w:iCs w:val="0"/>
        </w:rPr>
        <w:t>Less Frequent Collection</w:t>
      </w:r>
    </w:p>
    <w:p w:rsidR="005E41F1" w:rsidRPr="002E3733" w:rsidP="4DF1D982" w14:paraId="3B0FEBF1" w14:textId="57DEDBF9">
      <w:pPr>
        <w:pStyle w:val="BodyText"/>
        <w:rPr>
          <w:sz w:val="23"/>
          <w:szCs w:val="23"/>
        </w:rPr>
      </w:pPr>
      <w:r>
        <w:t xml:space="preserve">IPFs are statutorily required to submit IPF-PAI data with respect to </w:t>
      </w:r>
      <w:r w:rsidRPr="4DF1D982">
        <w:rPr>
          <w:rFonts w:eastAsia="Aptos"/>
        </w:rPr>
        <w:t>admission and discharge of an individual</w:t>
      </w:r>
      <w:r w:rsidRPr="4DF1D982" w:rsidR="24504AB7">
        <w:rPr>
          <w:rFonts w:eastAsia="Aptos"/>
        </w:rPr>
        <w:t xml:space="preserve"> to and</w:t>
      </w:r>
      <w:r w:rsidRPr="4DF1D982">
        <w:rPr>
          <w:rFonts w:eastAsia="Aptos"/>
        </w:rPr>
        <w:t xml:space="preserve"> from the IPF, and more frequently as the Secretary determines appropriate</w:t>
      </w:r>
      <w:r w:rsidRPr="4DF1D982" w:rsidR="00C62432">
        <w:rPr>
          <w:rFonts w:eastAsia="Aptos"/>
        </w:rPr>
        <w:t xml:space="preserve"> beginning with rate year 2028 and each subsequent rate year</w:t>
      </w:r>
      <w:r>
        <w:t xml:space="preserve">. In the FY 2027 IPF PPS </w:t>
      </w:r>
      <w:r w:rsidR="00255C06">
        <w:t>final</w:t>
      </w:r>
      <w:r>
        <w:t xml:space="preserve"> rule, we </w:t>
      </w:r>
      <w:r w:rsidR="002205BD">
        <w:t xml:space="preserve">have </w:t>
      </w:r>
      <w:r w:rsidR="00255C06">
        <w:t>finaliz</w:t>
      </w:r>
      <w:r w:rsidR="002205BD">
        <w:t>ed</w:t>
      </w:r>
      <w:r>
        <w:t xml:space="preserve"> that IPFs </w:t>
      </w:r>
      <w:r w:rsidR="00207067">
        <w:t>w</w:t>
      </w:r>
      <w:r w:rsidR="00255C06">
        <w:t>ill</w:t>
      </w:r>
      <w:r>
        <w:t xml:space="preserve"> be required to collect data at admission and discharge</w:t>
      </w:r>
      <w:r w:rsidR="00F91DA8">
        <w:t xml:space="preserve"> and to report such data to CMS based on quarterly submission deadlines</w:t>
      </w:r>
      <w:r w:rsidR="008364F7">
        <w:t>, beginning July 1, 2028</w:t>
      </w:r>
      <w:r>
        <w:t>.</w:t>
      </w:r>
    </w:p>
    <w:p w:rsidR="005E41F1" w:rsidRPr="00FF06DD" w:rsidP="00FF06DD" w14:paraId="6CDB5BEF" w14:textId="3FA9F964">
      <w:pPr>
        <w:pStyle w:val="Heading2"/>
        <w:numPr>
          <w:ilvl w:val="0"/>
          <w:numId w:val="30"/>
        </w:numPr>
        <w:tabs>
          <w:tab w:val="clear" w:pos="481"/>
          <w:tab w:val="left" w:pos="810"/>
        </w:tabs>
        <w:ind w:left="720" w:hanging="630"/>
        <w:rPr>
          <w:i w:val="0"/>
          <w:iCs w:val="0"/>
        </w:rPr>
      </w:pPr>
      <w:r w:rsidRPr="00FF06DD">
        <w:rPr>
          <w:i w:val="0"/>
          <w:iCs w:val="0"/>
        </w:rPr>
        <w:t>Special Circumstances</w:t>
      </w:r>
    </w:p>
    <w:p w:rsidR="00C63BC6" w:rsidRPr="00BE0258" w:rsidP="00BE0258" w14:paraId="3401619F" w14:textId="52D7F8EB">
      <w:pPr>
        <w:pStyle w:val="BodyText"/>
        <w:rPr>
          <w:sz w:val="23"/>
        </w:rPr>
      </w:pPr>
      <w:r w:rsidRPr="00942749">
        <w:rPr>
          <w:rFonts w:eastAsia="Aptos"/>
        </w:rPr>
        <w:t xml:space="preserve">There are no special circumstances that </w:t>
      </w:r>
      <w:r w:rsidR="005F0741">
        <w:rPr>
          <w:rFonts w:eastAsia="Aptos"/>
        </w:rPr>
        <w:t>with respect to the information collection covered in this package</w:t>
      </w:r>
      <w:r w:rsidRPr="00942749">
        <w:rPr>
          <w:rFonts w:eastAsia="Aptos"/>
        </w:rPr>
        <w:t>.</w:t>
      </w:r>
    </w:p>
    <w:p w:rsidR="00DF3667" w:rsidRPr="00BE0258" w:rsidP="00BE0258" w14:paraId="167553C9" w14:textId="77777777">
      <w:pPr>
        <w:pStyle w:val="Heading2"/>
        <w:numPr>
          <w:ilvl w:val="0"/>
          <w:numId w:val="30"/>
        </w:numPr>
        <w:tabs>
          <w:tab w:val="clear" w:pos="481"/>
          <w:tab w:val="left" w:pos="810"/>
        </w:tabs>
        <w:ind w:left="720" w:hanging="630"/>
        <w:rPr>
          <w:i w:val="0"/>
          <w:iCs w:val="0"/>
        </w:rPr>
      </w:pPr>
      <w:bookmarkStart w:id="4" w:name="8._Federal_Register_Notice/Outside_Consu"/>
      <w:bookmarkStart w:id="5" w:name="9._Payment/Gift_to_Respondent"/>
      <w:bookmarkStart w:id="6" w:name="10._Confidentiality"/>
      <w:bookmarkEnd w:id="4"/>
      <w:bookmarkEnd w:id="5"/>
      <w:bookmarkEnd w:id="6"/>
      <w:r w:rsidRPr="00C63BC6">
        <w:rPr>
          <w:i w:val="0"/>
          <w:iCs w:val="0"/>
        </w:rPr>
        <w:t>Federal Register Notice/Outside Consultation</w:t>
      </w:r>
    </w:p>
    <w:p w:rsidR="005E41F1" w:rsidRPr="003178F5" w:rsidP="003178F5" w14:paraId="1EEE9D54" w14:textId="26431BC8">
      <w:pPr>
        <w:pStyle w:val="Heading3"/>
        <w:numPr>
          <w:ilvl w:val="1"/>
          <w:numId w:val="28"/>
        </w:numPr>
        <w:ind w:left="720"/>
        <w:rPr>
          <w:iCs/>
        </w:rPr>
      </w:pPr>
      <w:r w:rsidRPr="00CC7B3E">
        <w:t>Federal Register Notice</w:t>
      </w:r>
    </w:p>
    <w:p w:rsidR="007C1F48" w:rsidP="00E9146E" w14:paraId="29075ED7" w14:textId="6E27E781">
      <w:pPr>
        <w:pStyle w:val="BodyText"/>
      </w:pPr>
      <w:bookmarkStart w:id="7" w:name="11._Sensitive_Questions"/>
      <w:bookmarkStart w:id="8" w:name="12._Burden_Estimate_(Total_Hours_and_Wag"/>
      <w:bookmarkEnd w:id="7"/>
      <w:bookmarkEnd w:id="8"/>
      <w:r>
        <w:t xml:space="preserve">A </w:t>
      </w:r>
      <w:r w:rsidRPr="00CC7B3E" w:rsidR="004D37AE">
        <w:t xml:space="preserve">60-day </w:t>
      </w:r>
      <w:r w:rsidR="00B26D5D">
        <w:rPr>
          <w:i/>
          <w:iCs/>
        </w:rPr>
        <w:t xml:space="preserve">Federal </w:t>
      </w:r>
      <w:r w:rsidRPr="00B26D5D" w:rsidR="00B26D5D">
        <w:t>Register</w:t>
      </w:r>
      <w:r w:rsidR="00B26D5D">
        <w:t xml:space="preserve"> </w:t>
      </w:r>
      <w:r w:rsidRPr="00B26D5D" w:rsidR="004D37AE">
        <w:t>notice</w:t>
      </w:r>
      <w:r w:rsidR="00B26D5D">
        <w:t xml:space="preserve"> of</w:t>
      </w:r>
      <w:r w:rsidRPr="00CC7B3E" w:rsidR="004D37AE">
        <w:t xml:space="preserve"> t</w:t>
      </w:r>
      <w:r w:rsidRPr="00CC7B3E" w:rsidR="00ED26AE">
        <w:t>he FY 202</w:t>
      </w:r>
      <w:r w:rsidR="00942749">
        <w:t>7</w:t>
      </w:r>
      <w:r w:rsidRPr="00CC7B3E" w:rsidR="00ED26AE">
        <w:t xml:space="preserve"> IPF PPS</w:t>
      </w:r>
      <w:r w:rsidRPr="00CC7B3E" w:rsidR="00E66325">
        <w:t xml:space="preserve"> proposed rule (CMS-</w:t>
      </w:r>
      <w:r w:rsidR="00942749">
        <w:t>1847</w:t>
      </w:r>
      <w:r w:rsidRPr="00CC7B3E" w:rsidR="00E66325">
        <w:t xml:space="preserve">-P, RIN </w:t>
      </w:r>
      <w:r w:rsidRPr="00C212DA" w:rsidR="00C212DA">
        <w:t>0938-AV77</w:t>
      </w:r>
      <w:r w:rsidRPr="00CC7B3E" w:rsidR="00E66325">
        <w:t>)</w:t>
      </w:r>
      <w:r w:rsidRPr="00CC7B3E" w:rsidR="00ED26AE">
        <w:t xml:space="preserve"> </w:t>
      </w:r>
      <w:r w:rsidR="00B26D5D">
        <w:t xml:space="preserve">was </w:t>
      </w:r>
      <w:r w:rsidRPr="00CC7B3E" w:rsidR="00E66325">
        <w:t xml:space="preserve">published on April </w:t>
      </w:r>
      <w:r w:rsidR="008E516C">
        <w:t>7</w:t>
      </w:r>
      <w:r w:rsidRPr="00CC7B3E" w:rsidR="00E66325">
        <w:t>, 202</w:t>
      </w:r>
      <w:r w:rsidR="00942749">
        <w:t>6</w:t>
      </w:r>
      <w:r w:rsidRPr="00CC7B3E" w:rsidR="00E66325">
        <w:t xml:space="preserve"> (</w:t>
      </w:r>
      <w:r w:rsidR="00942749">
        <w:t>91</w:t>
      </w:r>
      <w:r w:rsidRPr="00CC7B3E" w:rsidR="00E66325">
        <w:t xml:space="preserve"> FR </w:t>
      </w:r>
      <w:r w:rsidRPr="008E516C" w:rsidR="008E516C">
        <w:t>17720</w:t>
      </w:r>
      <w:r w:rsidRPr="008E516C" w:rsidR="00E66325">
        <w:t>)</w:t>
      </w:r>
      <w:r w:rsidRPr="00CC7B3E" w:rsidR="00E66325">
        <w:t>.</w:t>
      </w:r>
      <w:r w:rsidR="00255C06">
        <w:t xml:space="preserve"> We are submitt</w:t>
      </w:r>
      <w:r w:rsidR="00C63BC6">
        <w:t>ing</w:t>
      </w:r>
      <w:r w:rsidR="00255C06">
        <w:t xml:space="preserve"> the public comments received </w:t>
      </w:r>
      <w:r w:rsidR="00C63BC6">
        <w:t xml:space="preserve">regarding information collection burden </w:t>
      </w:r>
      <w:r w:rsidR="00255C06">
        <w:t>as well as our responses as an appendix</w:t>
      </w:r>
      <w:r w:rsidR="00C63BC6">
        <w:t xml:space="preserve"> to this PRA package</w:t>
      </w:r>
      <w:r w:rsidR="00255C06">
        <w:t xml:space="preserve">. </w:t>
      </w:r>
      <w:r w:rsidRPr="00A42CBC" w:rsidR="00255C06">
        <w:t>The FY 202</w:t>
      </w:r>
      <w:r w:rsidR="00255C06">
        <w:t>7</w:t>
      </w:r>
      <w:r w:rsidRPr="00A42CBC" w:rsidR="00255C06">
        <w:t xml:space="preserve"> I</w:t>
      </w:r>
      <w:r w:rsidR="00255C06">
        <w:t>PF</w:t>
      </w:r>
      <w:r w:rsidRPr="00A42CBC" w:rsidR="00255C06">
        <w:t xml:space="preserve"> PPS final rule (RIN 0938-AV</w:t>
      </w:r>
      <w:r w:rsidR="00255C06">
        <w:t>77</w:t>
      </w:r>
      <w:r w:rsidRPr="00A42CBC" w:rsidR="00255C06">
        <w:t>, CMS-18</w:t>
      </w:r>
      <w:r w:rsidR="00255C06">
        <w:t>47</w:t>
      </w:r>
      <w:r w:rsidRPr="00A42CBC" w:rsidR="00255C06">
        <w:t xml:space="preserve">-F) was published on </w:t>
      </w:r>
      <w:r w:rsidR="00F62E9E">
        <w:t>July 31</w:t>
      </w:r>
      <w:r w:rsidRPr="00DB16CC" w:rsidR="00255C06">
        <w:t>, 202</w:t>
      </w:r>
      <w:r w:rsidR="00255C06">
        <w:t>6</w:t>
      </w:r>
      <w:r w:rsidRPr="00DB16CC" w:rsidR="00255C06">
        <w:t xml:space="preserve"> (9</w:t>
      </w:r>
      <w:r w:rsidR="00255C06">
        <w:t>1</w:t>
      </w:r>
      <w:r w:rsidRPr="00DB16CC" w:rsidR="00255C06">
        <w:t xml:space="preserve"> FR </w:t>
      </w:r>
      <w:r w:rsidRPr="00D92E07" w:rsidR="00B519BD">
        <w:t>48514</w:t>
      </w:r>
      <w:r w:rsidRPr="00D92E07" w:rsidR="00255C06">
        <w:t>).</w:t>
      </w:r>
      <w:r w:rsidR="00255C06">
        <w:t xml:space="preserve">  </w:t>
      </w:r>
    </w:p>
    <w:p w:rsidR="00BB1FCC" w:rsidRPr="003178F5" w:rsidP="003178F5" w14:paraId="36A2CEF7" w14:textId="549196E5">
      <w:pPr>
        <w:pStyle w:val="BodyText"/>
        <w:numPr>
          <w:ilvl w:val="1"/>
          <w:numId w:val="28"/>
        </w:numPr>
        <w:ind w:left="810"/>
        <w:rPr>
          <w:i/>
          <w:iCs/>
        </w:rPr>
      </w:pPr>
      <w:r w:rsidRPr="003178F5">
        <w:rPr>
          <w:i/>
          <w:iCs/>
        </w:rPr>
        <w:t>Outside Consultation</w:t>
      </w:r>
    </w:p>
    <w:p w:rsidR="00C27652" w:rsidRPr="00CC7B3E" w:rsidP="00E9146E" w14:paraId="69BBC336" w14:textId="0B88D08F">
      <w:pPr>
        <w:pStyle w:val="BodyText"/>
      </w:pPr>
      <w:r w:rsidRPr="00C27652">
        <w:t xml:space="preserve">Between 2023 and 2025, CMS and its contractors engaged in a multi-stage process to </w:t>
      </w:r>
      <w:r w:rsidRPr="00C27652">
        <w:t>conceptualize and scope a new, statutorily mandated PAI for the IPF setting that included: identifying key clinical topic areas within the broad CAA, 2023 data categories, identifying and evaluating candidate assessment items within those topic areas, and conducting formative (alpha) and field (beta) testing on those candidate assessment items. This process also included engagement with subject matter experts, clinicians and administrators at IPFs, and individuals with lived experience, as well as guidance from interoperability experts on how to structure assessment items and their related data elements so that the patient-level data that are collected by the IPF-PAI w</w:t>
      </w:r>
      <w:r w:rsidR="00255C06">
        <w:t>ill</w:t>
      </w:r>
      <w:r w:rsidRPr="00C27652">
        <w:t xml:space="preserve"> be interoperable and aligned with current health IT standards.</w:t>
      </w:r>
      <w:r>
        <w:t xml:space="preserve"> </w:t>
      </w:r>
      <w:r w:rsidRPr="00C27652">
        <w:t xml:space="preserve">In addition, a technical expert panel (TEP) was convened by the IPF-PAI development contractor to give input on the extent to which </w:t>
      </w:r>
      <w:r w:rsidRPr="00C27652">
        <w:t>topics of assessment</w:t>
      </w:r>
      <w:r w:rsidRPr="00C27652">
        <w:t xml:space="preserve"> items were clinically relevant to patient care in IPFs, likely to inform CMS’</w:t>
      </w:r>
      <w:r w:rsidR="00C63BC6">
        <w:t>s</w:t>
      </w:r>
      <w:r w:rsidRPr="00C27652">
        <w:t xml:space="preserve"> understanding of resource use or costs of </w:t>
      </w:r>
      <w:r w:rsidRPr="00C27652">
        <w:t>care, and</w:t>
      </w:r>
      <w:r w:rsidRPr="00C27652">
        <w:t xml:space="preserve"> considered feasible and relatively low burden to collect. </w:t>
      </w:r>
      <w:r w:rsidR="00D62F8B">
        <w:rPr>
          <w:rFonts w:eastAsia="Aptos"/>
        </w:rPr>
        <w:t xml:space="preserve">The 16 TEP members (10 of whom were </w:t>
      </w:r>
      <w:r w:rsidRPr="007E582E" w:rsidR="00D62F8B">
        <w:rPr>
          <w:rFonts w:eastAsia="Aptos"/>
        </w:rPr>
        <w:t>IPF clinicians</w:t>
      </w:r>
      <w:r w:rsidR="00D62F8B">
        <w:rPr>
          <w:rFonts w:eastAsia="Aptos"/>
        </w:rPr>
        <w:t>) included a psychiatrist, a psychiatric nurse practitioner, psychologists, nurses, and social workers,</w:t>
      </w:r>
      <w:r w:rsidRPr="007E582E" w:rsidR="00D62F8B">
        <w:rPr>
          <w:rFonts w:eastAsia="Aptos"/>
        </w:rPr>
        <w:t xml:space="preserve"> </w:t>
      </w:r>
      <w:r w:rsidR="00D62F8B">
        <w:rPr>
          <w:rFonts w:eastAsia="Aptos"/>
        </w:rPr>
        <w:t xml:space="preserve">IPF executives and </w:t>
      </w:r>
      <w:r w:rsidRPr="007E582E" w:rsidR="00D62F8B">
        <w:rPr>
          <w:rFonts w:eastAsia="Aptos"/>
        </w:rPr>
        <w:t xml:space="preserve">administrators, individuals with </w:t>
      </w:r>
      <w:r w:rsidR="00D62F8B">
        <w:rPr>
          <w:rFonts w:eastAsia="Aptos"/>
        </w:rPr>
        <w:t xml:space="preserve">experience as patients in </w:t>
      </w:r>
      <w:r w:rsidRPr="007E582E" w:rsidR="00D62F8B">
        <w:rPr>
          <w:rFonts w:eastAsia="Aptos"/>
        </w:rPr>
        <w:t>IPF</w:t>
      </w:r>
      <w:r w:rsidR="00D62F8B">
        <w:rPr>
          <w:rFonts w:eastAsia="Aptos"/>
        </w:rPr>
        <w:t>s,</w:t>
      </w:r>
      <w:r w:rsidRPr="007E582E" w:rsidR="00D62F8B">
        <w:rPr>
          <w:rFonts w:eastAsia="Aptos"/>
        </w:rPr>
        <w:t xml:space="preserve"> and </w:t>
      </w:r>
      <w:r w:rsidR="00D62F8B">
        <w:rPr>
          <w:rFonts w:eastAsia="Aptos"/>
        </w:rPr>
        <w:t xml:space="preserve">an </w:t>
      </w:r>
      <w:r w:rsidRPr="007E582E" w:rsidR="00D62F8B">
        <w:rPr>
          <w:rFonts w:eastAsia="Aptos"/>
        </w:rPr>
        <w:t>interoperability expert</w:t>
      </w:r>
      <w:r w:rsidR="001822F2">
        <w:rPr>
          <w:rFonts w:eastAsia="Aptos"/>
        </w:rPr>
        <w:t xml:space="preserve">. </w:t>
      </w:r>
    </w:p>
    <w:p w:rsidR="005E41F1" w:rsidRPr="00FF06DD" w:rsidP="00FF06DD" w14:paraId="3701220A" w14:textId="77777777">
      <w:pPr>
        <w:pStyle w:val="Heading2"/>
        <w:numPr>
          <w:ilvl w:val="0"/>
          <w:numId w:val="30"/>
        </w:numPr>
        <w:tabs>
          <w:tab w:val="clear" w:pos="481"/>
          <w:tab w:val="left" w:pos="810"/>
        </w:tabs>
        <w:ind w:left="720" w:hanging="630"/>
        <w:rPr>
          <w:i w:val="0"/>
          <w:iCs w:val="0"/>
        </w:rPr>
      </w:pPr>
      <w:r w:rsidRPr="00FF06DD">
        <w:rPr>
          <w:i w:val="0"/>
          <w:iCs w:val="0"/>
        </w:rPr>
        <w:t>Payment/Gift to Respondent</w:t>
      </w:r>
    </w:p>
    <w:p w:rsidR="00D800B1" w:rsidRPr="002E3733" w:rsidP="00E9146E" w14:paraId="734FA8B9" w14:textId="53BF49AD">
      <w:pPr>
        <w:pStyle w:val="BodyText"/>
      </w:pPr>
      <w:r w:rsidRPr="002E3733">
        <w:t xml:space="preserve">IPFs must submit their </w:t>
      </w:r>
      <w:r w:rsidR="00743D3D">
        <w:t xml:space="preserve">IPF-PAI </w:t>
      </w:r>
      <w:r w:rsidRPr="002E3733">
        <w:t xml:space="preserve">data to receive the full market basket update for a given FY. If data are not submitted to CMS, the IPF receives a </w:t>
      </w:r>
      <w:r w:rsidR="00F3439E">
        <w:t xml:space="preserve">2.0 percentage point </w:t>
      </w:r>
      <w:r w:rsidRPr="002E3733">
        <w:t xml:space="preserve">reduction </w:t>
      </w:r>
      <w:r w:rsidR="00F3439E">
        <w:t xml:space="preserve">to </w:t>
      </w:r>
      <w:r w:rsidRPr="002E3733">
        <w:t>its APU</w:t>
      </w:r>
      <w:r w:rsidR="00743D3D">
        <w:t>,</w:t>
      </w:r>
      <w:r w:rsidR="006711F5">
        <w:t xml:space="preserve"> as required by section 1886(s)(4)(A) of the </w:t>
      </w:r>
      <w:r w:rsidR="00107FA9">
        <w:t xml:space="preserve">Social Security </w:t>
      </w:r>
      <w:r w:rsidR="006711F5">
        <w:t>Act.</w:t>
      </w:r>
    </w:p>
    <w:p w:rsidR="005E41F1" w:rsidRPr="00FF06DD" w:rsidP="00FF06DD" w14:paraId="55890E3A" w14:textId="77777777">
      <w:pPr>
        <w:pStyle w:val="Heading2"/>
        <w:numPr>
          <w:ilvl w:val="0"/>
          <w:numId w:val="30"/>
        </w:numPr>
        <w:tabs>
          <w:tab w:val="clear" w:pos="481"/>
          <w:tab w:val="left" w:pos="810"/>
        </w:tabs>
        <w:ind w:left="720" w:hanging="630"/>
        <w:rPr>
          <w:i w:val="0"/>
          <w:iCs w:val="0"/>
        </w:rPr>
      </w:pPr>
      <w:r w:rsidRPr="00FF06DD">
        <w:rPr>
          <w:i w:val="0"/>
          <w:iCs w:val="0"/>
        </w:rPr>
        <w:t>Confidentiality</w:t>
      </w:r>
    </w:p>
    <w:p w:rsidR="0089085B" w:rsidP="00E9146E" w14:paraId="0E54F703" w14:textId="5D20113A">
      <w:pPr>
        <w:pStyle w:val="BodyText"/>
      </w:pPr>
      <w:r w:rsidRPr="000D08D3">
        <w:t xml:space="preserve">We pledge privacy to the extent provided by law. As a matter of policy, CMS will prevent the disclosure of personally identifiable information contained in the data submitted. All information collected under the </w:t>
      </w:r>
      <w:r>
        <w:t>IPF</w:t>
      </w:r>
      <w:r w:rsidR="00C63BC6">
        <w:t xml:space="preserve"> </w:t>
      </w:r>
      <w:r>
        <w:t>Q</w:t>
      </w:r>
      <w:r w:rsidR="00C63BC6">
        <w:t xml:space="preserve">uality </w:t>
      </w:r>
      <w:r>
        <w:t>R</w:t>
      </w:r>
      <w:r w:rsidR="00C63BC6">
        <w:t>eporting</w:t>
      </w:r>
      <w:r w:rsidRPr="000D08D3">
        <w:t xml:space="preserve"> Program will be maintained in strict accordance with statutes and regulations governing confidentiality requirements for CMS data, including the Privacy Act of 1974 (5 U.S.C. 552a)</w:t>
      </w:r>
      <w:r w:rsidR="00610A99">
        <w:t xml:space="preserve"> and the </w:t>
      </w:r>
      <w:r w:rsidRPr="002E3733" w:rsidR="00610A99">
        <w:t>HIPAA</w:t>
      </w:r>
      <w:r w:rsidR="00C21583">
        <w:t xml:space="preserve">. </w:t>
      </w:r>
      <w:r w:rsidRPr="000D08D3" w:rsidR="00C21583">
        <w:t>In addition, the tools used for transmission of data are considered confidential forms of communication, and there are safeguards in place in accordance with HIPAA Privacy and Security Rules to protect the submission of patient information, at 45 CFR Part 160 and 164, Subparts A, C</w:t>
      </w:r>
      <w:r w:rsidR="00326299">
        <w:t>,</w:t>
      </w:r>
      <w:r w:rsidRPr="000D08D3" w:rsidR="00C21583">
        <w:t xml:space="preserve"> and E.</w:t>
      </w:r>
    </w:p>
    <w:p w:rsidR="00D00031" w:rsidP="00E9146E" w14:paraId="336E23F6" w14:textId="0574BA6D">
      <w:pPr>
        <w:pStyle w:val="BodyText"/>
      </w:pPr>
      <w:r>
        <w:t xml:space="preserve">The </w:t>
      </w:r>
      <w:r w:rsidR="00913E77">
        <w:t xml:space="preserve">system of records notice (SORN) </w:t>
      </w:r>
      <w:r w:rsidR="002E3B90">
        <w:t xml:space="preserve">for these data will </w:t>
      </w:r>
      <w:r w:rsidR="00913E77">
        <w:t xml:space="preserve">establish </w:t>
      </w:r>
      <w:r w:rsidR="002E3B90">
        <w:t xml:space="preserve">stringent </w:t>
      </w:r>
      <w:r w:rsidR="00913E77">
        <w:t xml:space="preserve">privacy requirements. </w:t>
      </w:r>
      <w:r w:rsidR="00255C06">
        <w:t>W</w:t>
      </w:r>
      <w:r w:rsidR="00185303">
        <w:t xml:space="preserve">e </w:t>
      </w:r>
      <w:r w:rsidR="00255C06">
        <w:t xml:space="preserve">intend to </w:t>
      </w:r>
      <w:r w:rsidR="00EB5503">
        <w:t xml:space="preserve">publish a </w:t>
      </w:r>
      <w:r w:rsidR="00C20E1A">
        <w:t xml:space="preserve">request </w:t>
      </w:r>
      <w:r w:rsidR="00EB5503">
        <w:t xml:space="preserve">for </w:t>
      </w:r>
      <w:r w:rsidR="00C20E1A">
        <w:t>approval</w:t>
      </w:r>
      <w:r w:rsidR="00EB5503">
        <w:t xml:space="preserve"> </w:t>
      </w:r>
      <w:r w:rsidR="00C20E1A">
        <w:t xml:space="preserve">for </w:t>
      </w:r>
      <w:r w:rsidR="00EB5503">
        <w:t xml:space="preserve">a SORN for the IPF-PAI in the </w:t>
      </w:r>
      <w:r w:rsidR="00EB5503">
        <w:rPr>
          <w:i/>
          <w:iCs/>
        </w:rPr>
        <w:t>Federal Register</w:t>
      </w:r>
      <w:r w:rsidR="00185303">
        <w:t>.</w:t>
      </w:r>
    </w:p>
    <w:p w:rsidR="005E41F1" w:rsidRPr="00FF06DD" w:rsidP="00FF06DD" w14:paraId="1CFEDCE0" w14:textId="77777777">
      <w:pPr>
        <w:pStyle w:val="Heading2"/>
        <w:numPr>
          <w:ilvl w:val="0"/>
          <w:numId w:val="30"/>
        </w:numPr>
        <w:tabs>
          <w:tab w:val="clear" w:pos="481"/>
          <w:tab w:val="left" w:pos="810"/>
        </w:tabs>
        <w:ind w:left="720" w:hanging="630"/>
        <w:rPr>
          <w:i w:val="0"/>
          <w:iCs w:val="0"/>
        </w:rPr>
      </w:pPr>
      <w:r w:rsidRPr="00FF06DD">
        <w:rPr>
          <w:i w:val="0"/>
          <w:iCs w:val="0"/>
        </w:rPr>
        <w:t>Sensitive Questions</w:t>
      </w:r>
    </w:p>
    <w:p w:rsidR="00977A71" w:rsidP="00977A71" w14:paraId="66D6F372" w14:textId="612D11C3">
      <w:pPr>
        <w:pStyle w:val="BodyText"/>
      </w:pPr>
      <w:r>
        <w:t>T</w:t>
      </w:r>
      <w:r w:rsidR="0036571B">
        <w:t>he IPF-PAI</w:t>
      </w:r>
      <w:r w:rsidRPr="0057450A" w:rsidR="00310F84">
        <w:t xml:space="preserve"> collect</w:t>
      </w:r>
      <w:r w:rsidR="0036571B">
        <w:t>s</w:t>
      </w:r>
      <w:r w:rsidRPr="0057450A" w:rsidR="00310F84">
        <w:t xml:space="preserve"> information that might be considered private</w:t>
      </w:r>
      <w:r w:rsidR="00310F84">
        <w:t xml:space="preserve"> such as </w:t>
      </w:r>
      <w:r w:rsidR="00F3439E">
        <w:t xml:space="preserve">type of </w:t>
      </w:r>
      <w:r w:rsidRPr="0057450A" w:rsidR="00310F84">
        <w:t xml:space="preserve">admission, psychiatric </w:t>
      </w:r>
      <w:r w:rsidR="00F3439E">
        <w:t xml:space="preserve">services, </w:t>
      </w:r>
      <w:r w:rsidRPr="0057450A" w:rsidR="00310F84">
        <w:t>treatments and interventions</w:t>
      </w:r>
      <w:r w:rsidR="00F3439E">
        <w:t xml:space="preserve"> (</w:t>
      </w:r>
      <w:r w:rsidR="009B7FD7">
        <w:t>includ</w:t>
      </w:r>
      <w:r>
        <w:t>ing</w:t>
      </w:r>
      <w:r w:rsidR="009B7FD7">
        <w:t xml:space="preserve"> restrictive interventions),</w:t>
      </w:r>
      <w:r w:rsidRPr="0057450A" w:rsidR="00310F84">
        <w:t xml:space="preserve"> primary diagnosis</w:t>
      </w:r>
      <w:r w:rsidR="00F3439E">
        <w:t>, and suicide screening</w:t>
      </w:r>
      <w:r w:rsidR="00310F84">
        <w:t>;</w:t>
      </w:r>
      <w:r w:rsidRPr="0057450A" w:rsidR="00310F84">
        <w:t xml:space="preserve"> we note that assessment items developed for use in the IPF-PAI were selected to address categories</w:t>
      </w:r>
      <w:r w:rsidR="00F3439E">
        <w:t xml:space="preserve"> required by the statute</w:t>
      </w:r>
      <w:r w:rsidRPr="0057450A" w:rsidR="00310F84">
        <w:t xml:space="preserve">. For example, </w:t>
      </w:r>
      <w:r w:rsidR="00684FD2">
        <w:t>s</w:t>
      </w:r>
      <w:r w:rsidRPr="0057450A" w:rsidR="00310F84">
        <w:t>ection 1886(s)(4)(E)(</w:t>
      </w:r>
      <w:r w:rsidRPr="0057450A" w:rsidR="00310F84">
        <w:t>i</w:t>
      </w:r>
      <w:r w:rsidRPr="0057450A" w:rsidR="00310F84">
        <w:t xml:space="preserve">)(III) of the </w:t>
      </w:r>
      <w:r w:rsidR="009C3553">
        <w:t xml:space="preserve">Social Security </w:t>
      </w:r>
      <w:r w:rsidRPr="0057450A" w:rsidR="00310F84">
        <w:t>Act requires the inclusion of patient assessment data with respect to special services, treatments, and interventions for psychiatric conditions. Assessment items were also selected to focus on patient characteristics or aspects of treatment that w</w:t>
      </w:r>
      <w:r w:rsidR="00255C06">
        <w:t>ill</w:t>
      </w:r>
      <w:r w:rsidRPr="0057450A" w:rsidR="00310F84">
        <w:t xml:space="preserve"> be appropriate to consider in revisions to the IPF PPS payment model, as required by </w:t>
      </w:r>
      <w:r w:rsidR="00C14BA4">
        <w:t>s</w:t>
      </w:r>
      <w:r w:rsidRPr="0057450A" w:rsidR="00310F84">
        <w:t xml:space="preserve">ection 1886(s)(6) of the </w:t>
      </w:r>
      <w:r w:rsidR="00C25C91">
        <w:t>Social Security Act</w:t>
      </w:r>
      <w:r w:rsidRPr="0057450A" w:rsidR="00310F84">
        <w:t>.</w:t>
      </w:r>
      <w:r w:rsidRPr="00811573" w:rsidR="00310F84">
        <w:t xml:space="preserve"> </w:t>
      </w:r>
    </w:p>
    <w:p w:rsidR="00977A71" w:rsidP="00977A71" w14:paraId="5F4659FE" w14:textId="6937F50D">
      <w:pPr>
        <w:pStyle w:val="BodyText"/>
      </w:pPr>
      <w:r>
        <w:t>Patient-level</w:t>
      </w:r>
      <w:r w:rsidR="00310F84">
        <w:t xml:space="preserve"> data will not be released to the public and are not </w:t>
      </w:r>
      <w:r w:rsidR="00310F84">
        <w:t>releasable</w:t>
      </w:r>
      <w:r w:rsidR="00310F84">
        <w:t xml:space="preserve"> by requests under the Freedom of Information Act.</w:t>
      </w:r>
    </w:p>
    <w:p w:rsidR="005E41F1" w:rsidRPr="00FF06DD" w:rsidP="00FF06DD" w14:paraId="664A2B10" w14:textId="389CD5E4">
      <w:pPr>
        <w:pStyle w:val="Heading2"/>
        <w:numPr>
          <w:ilvl w:val="0"/>
          <w:numId w:val="30"/>
        </w:numPr>
        <w:tabs>
          <w:tab w:val="clear" w:pos="481"/>
          <w:tab w:val="left" w:pos="810"/>
        </w:tabs>
        <w:ind w:left="720" w:hanging="630"/>
        <w:rPr>
          <w:i w:val="0"/>
          <w:iCs w:val="0"/>
        </w:rPr>
      </w:pPr>
      <w:r w:rsidRPr="00FF06DD">
        <w:rPr>
          <w:i w:val="0"/>
          <w:iCs w:val="0"/>
        </w:rPr>
        <w:t>Burden Estimate</w:t>
      </w:r>
      <w:r w:rsidRPr="00FF06DD" w:rsidR="006D32D4">
        <w:rPr>
          <w:i w:val="0"/>
          <w:iCs w:val="0"/>
        </w:rPr>
        <w:t>s</w:t>
      </w:r>
    </w:p>
    <w:p w:rsidR="00F0474F" w:rsidP="00B51A59" w14:paraId="2C83E268" w14:textId="15D85CD1">
      <w:pPr>
        <w:pStyle w:val="BodyText"/>
      </w:pPr>
      <w:r>
        <w:t xml:space="preserve">The burden </w:t>
      </w:r>
      <w:r w:rsidR="008A6372">
        <w:t xml:space="preserve">estimate </w:t>
      </w:r>
      <w:r>
        <w:t xml:space="preserve">associated with the IPF-PAI is the time required for IPF staff to input responses to IPF-PAI assessment items into </w:t>
      </w:r>
      <w:r w:rsidR="00CE38E4">
        <w:t xml:space="preserve">PARIT, </w:t>
      </w:r>
      <w:r>
        <w:t xml:space="preserve">the web application. We note that our burden estimate assumes manual entry of patient assessment data (that is, entry using </w:t>
      </w:r>
      <w:r w:rsidR="00CE38E4">
        <w:t>PARIT</w:t>
      </w:r>
      <w:r>
        <w:t>) for all IPFs and represents the most conservative estimate</w:t>
      </w:r>
      <w:r w:rsidR="54F77F0C">
        <w:t xml:space="preserve"> of the time it will take to input responses</w:t>
      </w:r>
      <w:r>
        <w:t xml:space="preserve">. </w:t>
      </w:r>
      <w:r w:rsidR="001C611C">
        <w:t>Therefore, w</w:t>
      </w:r>
      <w:r w:rsidR="007F7AC3">
        <w:t xml:space="preserve">e </w:t>
      </w:r>
      <w:r w:rsidR="00DC58FB">
        <w:t xml:space="preserve">did </w:t>
      </w:r>
      <w:r w:rsidR="00DC58FB">
        <w:t>not separ</w:t>
      </w:r>
      <w:r w:rsidR="0080301B">
        <w:t>ately</w:t>
      </w:r>
      <w:r w:rsidR="0080301B">
        <w:t xml:space="preserve"> estimate burden</w:t>
      </w:r>
      <w:r w:rsidR="003848DE">
        <w:t xml:space="preserve"> </w:t>
      </w:r>
      <w:r w:rsidR="00A525F8">
        <w:t xml:space="preserve">for data collection via </w:t>
      </w:r>
      <w:r w:rsidR="000B64A7">
        <w:t>FHIR</w:t>
      </w:r>
      <w:r w:rsidRPr="4DF1D982" w:rsidR="000B64A7">
        <w:rPr>
          <w:vertAlign w:val="superscript"/>
        </w:rPr>
        <w:t>®</w:t>
      </w:r>
      <w:r w:rsidR="000B64A7">
        <w:t xml:space="preserve"> APIs</w:t>
      </w:r>
      <w:r w:rsidR="00A525F8">
        <w:t xml:space="preserve"> although w</w:t>
      </w:r>
      <w:r>
        <w:t>e expect that some IPFs will utilize the FHIR</w:t>
      </w:r>
      <w:r w:rsidRPr="4DF1D982">
        <w:rPr>
          <w:vertAlign w:val="superscript"/>
        </w:rPr>
        <w:t>®</w:t>
      </w:r>
      <w:r>
        <w:t xml:space="preserve"> APIs to partially or fully automate their data collection and submission process, thereby reducing the collection of information burden.</w:t>
      </w:r>
    </w:p>
    <w:p w:rsidR="008C5B15" w:rsidP="001E21C0" w14:paraId="4AF874A9" w14:textId="4F31F11A">
      <w:pPr>
        <w:pStyle w:val="BodyText"/>
      </w:pPr>
      <w:r w:rsidRPr="00F73054">
        <w:t xml:space="preserve">We </w:t>
      </w:r>
      <w:r w:rsidR="00255C06">
        <w:t>finalized</w:t>
      </w:r>
      <w:r w:rsidRPr="00F73054">
        <w:t xml:space="preserve"> IPF-PAI assessment items for each of the five </w:t>
      </w:r>
      <w:r w:rsidR="00CC558E">
        <w:t xml:space="preserve">statutorily mandated </w:t>
      </w:r>
      <w:r w:rsidRPr="00F73054">
        <w:t xml:space="preserve">data categories, </w:t>
      </w:r>
      <w:r w:rsidR="003F2EFC">
        <w:t xml:space="preserve">as well as </w:t>
      </w:r>
      <w:r w:rsidR="5D716850">
        <w:t>Administrative</w:t>
      </w:r>
      <w:r w:rsidR="5D716850">
        <w:t xml:space="preserve"> </w:t>
      </w:r>
      <w:r w:rsidR="003F2EFC">
        <w:t>assessment items</w:t>
      </w:r>
      <w:r w:rsidR="00D92E07">
        <w:t xml:space="preserve"> </w:t>
      </w:r>
      <w:r>
        <w:t xml:space="preserve">that are necessary for record matching and database management. Table 1 lists the </w:t>
      </w:r>
      <w:r w:rsidR="00255C06">
        <w:t>finaliz</w:t>
      </w:r>
      <w:r>
        <w:t xml:space="preserve">ed IPF-PAI assessment items by category. </w:t>
      </w:r>
    </w:p>
    <w:p w:rsidR="00F73054" w:rsidP="00F73054" w14:paraId="744DB38A" w14:textId="4A453263">
      <w:pPr>
        <w:widowControl/>
        <w:spacing w:after="160"/>
        <w:ind w:firstLine="720"/>
        <w:contextualSpacing/>
        <w:jc w:val="center"/>
        <w:rPr>
          <w:rFonts w:eastAsia="Aptos"/>
          <w:b/>
          <w:bCs/>
          <w:kern w:val="2"/>
          <w14:ligatures w14:val="standardContextual"/>
        </w:rPr>
      </w:pPr>
      <w:r>
        <w:rPr>
          <w:rFonts w:eastAsia="Aptos"/>
          <w:b/>
          <w:bCs/>
          <w:kern w:val="2"/>
          <w14:ligatures w14:val="standardContextual"/>
        </w:rPr>
        <w:t>TABLE 1:</w:t>
      </w:r>
      <w:r w:rsidRPr="00940D27">
        <w:rPr>
          <w:rFonts w:eastAsia="Aptos"/>
          <w:b/>
          <w:bCs/>
          <w:kern w:val="2"/>
          <w14:ligatures w14:val="standardContextual"/>
        </w:rPr>
        <w:t xml:space="preserve"> </w:t>
      </w:r>
      <w:r>
        <w:rPr>
          <w:rFonts w:eastAsia="Aptos"/>
          <w:b/>
          <w:bCs/>
          <w:kern w:val="2"/>
          <w14:ligatures w14:val="standardContextual"/>
        </w:rPr>
        <w:t>ASSESSMENT ITEMS</w:t>
      </w:r>
      <w:r w:rsidRPr="00940D27">
        <w:rPr>
          <w:rFonts w:eastAsia="Aptos"/>
          <w:b/>
          <w:bCs/>
          <w:kern w:val="2"/>
          <w14:ligatures w14:val="standardContextual"/>
        </w:rPr>
        <w:t xml:space="preserve"> </w:t>
      </w:r>
      <w:r>
        <w:rPr>
          <w:rFonts w:eastAsia="Aptos"/>
          <w:b/>
          <w:bCs/>
          <w:kern w:val="2"/>
          <w14:ligatures w14:val="standardContextual"/>
        </w:rPr>
        <w:t>TO BE INCLUDED IN THE</w:t>
      </w:r>
      <w:r w:rsidRPr="00940D27">
        <w:rPr>
          <w:rFonts w:eastAsia="Aptos"/>
          <w:b/>
          <w:bCs/>
          <w:kern w:val="2"/>
          <w14:ligatures w14:val="standardContextual"/>
        </w:rPr>
        <w:t xml:space="preserve"> IPF-PAI</w:t>
      </w:r>
    </w:p>
    <w:p w:rsidR="00F73054" w:rsidRPr="00940D27" w:rsidP="00F73054" w14:paraId="63EDBA94" w14:textId="77777777">
      <w:pPr>
        <w:widowControl/>
        <w:spacing w:after="160"/>
        <w:ind w:firstLine="720"/>
        <w:contextualSpacing/>
        <w:rPr>
          <w:rFonts w:eastAsia="Aptos"/>
          <w:b/>
          <w:bCs/>
        </w:rPr>
      </w:pPr>
    </w:p>
    <w:tbl>
      <w:tblPr>
        <w:tblStyle w:val="TableGrid"/>
        <w:tblW w:w="0" w:type="auto"/>
        <w:jc w:val="center"/>
        <w:tblLook w:val="04A0"/>
      </w:tblPr>
      <w:tblGrid>
        <w:gridCol w:w="4315"/>
        <w:gridCol w:w="5035"/>
      </w:tblGrid>
      <w:tr w14:paraId="52834E5D" w14:textId="77777777" w:rsidTr="4DF1D982">
        <w:tblPrEx>
          <w:tblW w:w="0" w:type="auto"/>
          <w:jc w:val="center"/>
          <w:tblLook w:val="04A0"/>
        </w:tblPrEx>
        <w:trPr>
          <w:jc w:val="center"/>
        </w:trPr>
        <w:tc>
          <w:tcPr>
            <w:tcW w:w="4315" w:type="dxa"/>
            <w:shd w:val="clear" w:color="auto" w:fill="BFBFBF" w:themeFill="background1" w:themeFillShade="BF"/>
          </w:tcPr>
          <w:p w:rsidR="00F73054" w:rsidRPr="00940D27" w:rsidP="004D37AE" w14:paraId="321BACF0" w14:textId="77777777">
            <w:pPr>
              <w:spacing w:after="160"/>
              <w:contextualSpacing/>
              <w:rPr>
                <w:rFonts w:eastAsia="Aptos"/>
                <w:b/>
                <w:bCs/>
                <w:sz w:val="20"/>
              </w:rPr>
            </w:pPr>
            <w:r w:rsidRPr="05136CB8">
              <w:rPr>
                <w:rFonts w:eastAsia="Aptos"/>
                <w:b/>
                <w:bCs/>
                <w:kern w:val="2"/>
                <w:sz w:val="20"/>
                <w14:ligatures w14:val="standardContextual"/>
              </w:rPr>
              <w:t>CAA, 2023 Category</w:t>
            </w:r>
          </w:p>
        </w:tc>
        <w:tc>
          <w:tcPr>
            <w:tcW w:w="5035" w:type="dxa"/>
            <w:shd w:val="clear" w:color="auto" w:fill="BFBFBF" w:themeFill="background1" w:themeFillShade="BF"/>
          </w:tcPr>
          <w:p w:rsidR="00F73054" w:rsidRPr="00940D27" w:rsidP="004D37AE" w14:paraId="6AC63F9D" w14:textId="4AF6F635">
            <w:pPr>
              <w:spacing w:after="160"/>
              <w:contextualSpacing/>
              <w:rPr>
                <w:rFonts w:eastAsia="Aptos"/>
                <w:b/>
                <w:bCs/>
                <w:sz w:val="20"/>
              </w:rPr>
            </w:pPr>
            <w:r>
              <w:rPr>
                <w:rFonts w:eastAsia="Aptos"/>
                <w:b/>
                <w:bCs/>
                <w:kern w:val="2"/>
                <w:sz w:val="20"/>
              </w:rPr>
              <w:t>Finalize</w:t>
            </w:r>
            <w:r w:rsidRPr="05136CB8">
              <w:rPr>
                <w:rFonts w:eastAsia="Aptos"/>
                <w:b/>
                <w:bCs/>
                <w:kern w:val="2"/>
                <w:sz w:val="20"/>
              </w:rPr>
              <w:t xml:space="preserve">d </w:t>
            </w:r>
            <w:r w:rsidRPr="05136CB8">
              <w:rPr>
                <w:rFonts w:eastAsia="Aptos"/>
                <w:b/>
                <w:bCs/>
                <w:kern w:val="2"/>
                <w:sz w:val="20"/>
                <w14:ligatures w14:val="standardContextual"/>
              </w:rPr>
              <w:t>Assessment Item</w:t>
            </w:r>
          </w:p>
        </w:tc>
      </w:tr>
      <w:tr w14:paraId="2D66D541" w14:textId="77777777" w:rsidTr="4DF1D982">
        <w:tblPrEx>
          <w:tblW w:w="0" w:type="auto"/>
          <w:jc w:val="center"/>
          <w:tblLook w:val="04A0"/>
        </w:tblPrEx>
        <w:trPr>
          <w:jc w:val="center"/>
        </w:trPr>
        <w:tc>
          <w:tcPr>
            <w:tcW w:w="4315" w:type="dxa"/>
            <w:vAlign w:val="center"/>
          </w:tcPr>
          <w:p w:rsidR="00F73054" w:rsidRPr="00940D27" w:rsidP="004D37AE" w14:paraId="12622805" w14:textId="77777777">
            <w:pPr>
              <w:rPr>
                <w:rFonts w:eastAsia="Aptos"/>
                <w:sz w:val="20"/>
              </w:rPr>
            </w:pPr>
            <w:r w:rsidRPr="05136CB8">
              <w:rPr>
                <w:sz w:val="20"/>
              </w:rPr>
              <w:t>Functional status</w:t>
            </w:r>
          </w:p>
        </w:tc>
        <w:tc>
          <w:tcPr>
            <w:tcW w:w="5035" w:type="dxa"/>
          </w:tcPr>
          <w:p w:rsidR="00F73054" w:rsidRPr="00940D27" w:rsidP="004D37AE" w14:paraId="5AA60050" w14:textId="77777777">
            <w:pPr>
              <w:spacing w:after="160"/>
              <w:contextualSpacing/>
              <w:rPr>
                <w:sz w:val="20"/>
              </w:rPr>
            </w:pPr>
            <w:r w:rsidRPr="05136CB8">
              <w:rPr>
                <w:rFonts w:eastAsia="Aptos"/>
                <w:kern w:val="2"/>
                <w:sz w:val="20"/>
                <w14:ligatures w14:val="standardContextual"/>
              </w:rPr>
              <w:t>Mobility: Chair/Bed-to-Chair Transfer</w:t>
            </w:r>
          </w:p>
        </w:tc>
      </w:tr>
      <w:tr w14:paraId="3CEA01A7" w14:textId="77777777" w:rsidTr="4DF1D982">
        <w:tblPrEx>
          <w:tblW w:w="0" w:type="auto"/>
          <w:jc w:val="center"/>
          <w:tblLook w:val="04A0"/>
        </w:tblPrEx>
        <w:trPr>
          <w:jc w:val="center"/>
        </w:trPr>
        <w:tc>
          <w:tcPr>
            <w:tcW w:w="4315" w:type="dxa"/>
            <w:vAlign w:val="center"/>
          </w:tcPr>
          <w:p w:rsidR="00F73054" w:rsidRPr="00940D27" w:rsidP="004D37AE" w14:paraId="5D0FF06F" w14:textId="77777777">
            <w:pPr>
              <w:rPr>
                <w:rFonts w:eastAsia="Aptos"/>
                <w:sz w:val="20"/>
              </w:rPr>
            </w:pPr>
            <w:r w:rsidRPr="05136CB8">
              <w:rPr>
                <w:sz w:val="20"/>
              </w:rPr>
              <w:t>Cognitive function and mental status</w:t>
            </w:r>
          </w:p>
        </w:tc>
        <w:tc>
          <w:tcPr>
            <w:tcW w:w="5035" w:type="dxa"/>
          </w:tcPr>
          <w:p w:rsidR="00F73054" w:rsidRPr="00940D27" w:rsidP="004D37AE" w14:paraId="4787B9A6" w14:textId="77777777">
            <w:pPr>
              <w:spacing w:after="160"/>
              <w:contextualSpacing/>
              <w:rPr>
                <w:rFonts w:eastAsia="Aptos"/>
                <w:sz w:val="20"/>
              </w:rPr>
            </w:pPr>
            <w:r w:rsidRPr="05136CB8">
              <w:rPr>
                <w:rFonts w:eastAsia="Aptos"/>
                <w:kern w:val="2"/>
                <w:sz w:val="20"/>
                <w14:ligatures w14:val="standardContextual"/>
              </w:rPr>
              <w:t>Suicide Screening</w:t>
            </w:r>
          </w:p>
        </w:tc>
      </w:tr>
      <w:tr w14:paraId="4FB43168" w14:textId="77777777" w:rsidTr="4DF1D982">
        <w:tblPrEx>
          <w:tblW w:w="0" w:type="auto"/>
          <w:jc w:val="center"/>
          <w:tblLook w:val="04A0"/>
        </w:tblPrEx>
        <w:trPr>
          <w:jc w:val="center"/>
        </w:trPr>
        <w:tc>
          <w:tcPr>
            <w:tcW w:w="4315" w:type="dxa"/>
            <w:vAlign w:val="center"/>
          </w:tcPr>
          <w:p w:rsidR="00F73054" w:rsidRPr="00940D27" w:rsidP="004D37AE" w14:paraId="784E302B" w14:textId="77777777">
            <w:pPr>
              <w:rPr>
                <w:rFonts w:eastAsia="Aptos"/>
                <w:sz w:val="20"/>
              </w:rPr>
            </w:pPr>
            <w:r w:rsidRPr="05136CB8">
              <w:rPr>
                <w:sz w:val="20"/>
              </w:rPr>
              <w:t xml:space="preserve">Special services, treatments, and interventions </w:t>
            </w:r>
          </w:p>
        </w:tc>
        <w:tc>
          <w:tcPr>
            <w:tcW w:w="5035" w:type="dxa"/>
          </w:tcPr>
          <w:p w:rsidR="00F73054" w:rsidRPr="00940D27" w:rsidP="004D37AE" w14:paraId="6A9ACCEB" w14:textId="77777777">
            <w:pPr>
              <w:spacing w:after="160"/>
              <w:contextualSpacing/>
              <w:rPr>
                <w:rFonts w:eastAsia="Aptos"/>
                <w:sz w:val="20"/>
              </w:rPr>
            </w:pPr>
            <w:r w:rsidRPr="05136CB8">
              <w:rPr>
                <w:rFonts w:eastAsia="Aptos"/>
                <w:kern w:val="2"/>
                <w:sz w:val="20"/>
                <w14:ligatures w14:val="standardContextual"/>
              </w:rPr>
              <w:t>Special Services, Treatments, and Interventions in the Inpatient Psychiatric Setting (Psychiatric Treatments, Restrictive Interventions)</w:t>
            </w:r>
          </w:p>
        </w:tc>
      </w:tr>
      <w:tr w14:paraId="2C37D903" w14:textId="77777777" w:rsidTr="4DF1D982">
        <w:tblPrEx>
          <w:tblW w:w="0" w:type="auto"/>
          <w:jc w:val="center"/>
          <w:tblLook w:val="04A0"/>
        </w:tblPrEx>
        <w:trPr>
          <w:jc w:val="center"/>
        </w:trPr>
        <w:tc>
          <w:tcPr>
            <w:tcW w:w="4315" w:type="dxa"/>
            <w:vAlign w:val="center"/>
          </w:tcPr>
          <w:p w:rsidR="00F73054" w:rsidRPr="00940D27" w:rsidP="004D37AE" w14:paraId="4ED83B0C" w14:textId="77777777">
            <w:pPr>
              <w:rPr>
                <w:rFonts w:eastAsia="Aptos"/>
                <w:sz w:val="20"/>
              </w:rPr>
            </w:pPr>
            <w:r w:rsidRPr="05136CB8">
              <w:rPr>
                <w:sz w:val="20"/>
              </w:rPr>
              <w:t>Medical conditions and comorbidities</w:t>
            </w:r>
          </w:p>
        </w:tc>
        <w:tc>
          <w:tcPr>
            <w:tcW w:w="5035" w:type="dxa"/>
          </w:tcPr>
          <w:p w:rsidR="00F73054" w:rsidRPr="00940D27" w:rsidP="004D37AE" w14:paraId="585E1426" w14:textId="77777777">
            <w:pPr>
              <w:spacing w:after="160"/>
              <w:contextualSpacing/>
              <w:rPr>
                <w:rFonts w:eastAsia="Aptos"/>
                <w:sz w:val="20"/>
              </w:rPr>
            </w:pPr>
            <w:r w:rsidRPr="05136CB8">
              <w:rPr>
                <w:rFonts w:eastAsia="Aptos"/>
                <w:kern w:val="2"/>
                <w:sz w:val="20"/>
                <w14:ligatures w14:val="standardContextual"/>
              </w:rPr>
              <w:t>Primary Medical Condition Category</w:t>
            </w:r>
          </w:p>
        </w:tc>
      </w:tr>
      <w:tr w14:paraId="4ABF5B51" w14:textId="77777777" w:rsidTr="4DF1D982">
        <w:tblPrEx>
          <w:tblW w:w="0" w:type="auto"/>
          <w:jc w:val="center"/>
          <w:tblLook w:val="04A0"/>
        </w:tblPrEx>
        <w:trPr>
          <w:jc w:val="center"/>
        </w:trPr>
        <w:tc>
          <w:tcPr>
            <w:tcW w:w="4315" w:type="dxa"/>
            <w:vAlign w:val="center"/>
          </w:tcPr>
          <w:p w:rsidR="00F73054" w:rsidRPr="00940D27" w:rsidP="004D37AE" w14:paraId="758D0E72" w14:textId="77777777">
            <w:pPr>
              <w:rPr>
                <w:rFonts w:eastAsia="Aptos"/>
                <w:sz w:val="20"/>
              </w:rPr>
            </w:pPr>
            <w:r w:rsidRPr="05136CB8">
              <w:rPr>
                <w:sz w:val="20"/>
              </w:rPr>
              <w:t>Impairments</w:t>
            </w:r>
          </w:p>
        </w:tc>
        <w:tc>
          <w:tcPr>
            <w:tcW w:w="5035" w:type="dxa"/>
          </w:tcPr>
          <w:p w:rsidR="00F73054" w:rsidRPr="00940D27" w:rsidP="004D37AE" w14:paraId="3F701AC2" w14:textId="77777777">
            <w:pPr>
              <w:spacing w:after="160"/>
              <w:contextualSpacing/>
              <w:rPr>
                <w:rFonts w:eastAsia="Aptos"/>
                <w:sz w:val="20"/>
              </w:rPr>
            </w:pPr>
            <w:r w:rsidRPr="05136CB8">
              <w:rPr>
                <w:rFonts w:eastAsia="Aptos"/>
                <w:kern w:val="2"/>
                <w:sz w:val="20"/>
                <w14:ligatures w14:val="standardContextual"/>
              </w:rPr>
              <w:t xml:space="preserve">Hearing; Speech Clarity; Vision </w:t>
            </w:r>
          </w:p>
        </w:tc>
      </w:tr>
      <w:tr w14:paraId="526FD312" w14:textId="77777777" w:rsidTr="4DF1D982">
        <w:tblPrEx>
          <w:tblW w:w="0" w:type="auto"/>
          <w:jc w:val="center"/>
          <w:tblLook w:val="04A0"/>
        </w:tblPrEx>
        <w:trPr>
          <w:jc w:val="center"/>
        </w:trPr>
        <w:tc>
          <w:tcPr>
            <w:tcW w:w="4315" w:type="dxa"/>
          </w:tcPr>
          <w:p w:rsidR="00F73054" w:rsidRPr="00940D27" w:rsidP="4DF1D982" w14:paraId="2A1F2046" w14:textId="111D6347">
            <w:pPr>
              <w:rPr>
                <w:sz w:val="20"/>
                <w:szCs w:val="20"/>
              </w:rPr>
            </w:pPr>
            <w:r w:rsidRPr="4DF1D982">
              <w:rPr>
                <w:rFonts w:eastAsia="Aptos"/>
                <w:kern w:val="2"/>
                <w:sz w:val="20"/>
                <w:szCs w:val="20"/>
                <w14:ligatures w14:val="standardContextual"/>
              </w:rPr>
              <w:t>Administrative</w:t>
            </w:r>
            <w:r w:rsidRPr="4DF1D982" w:rsidR="01A4B421">
              <w:rPr>
                <w:rFonts w:eastAsia="Aptos"/>
                <w:sz w:val="20"/>
                <w:szCs w:val="20"/>
              </w:rPr>
              <w:t xml:space="preserve"> Data</w:t>
            </w:r>
          </w:p>
        </w:tc>
        <w:tc>
          <w:tcPr>
            <w:tcW w:w="5035" w:type="dxa"/>
          </w:tcPr>
          <w:p w:rsidR="00F73054" w:rsidRPr="00940D27" w:rsidP="004D37AE" w14:paraId="0725DBD9" w14:textId="369E46FA">
            <w:pPr>
              <w:spacing w:after="160"/>
              <w:contextualSpacing/>
              <w:rPr>
                <w:rFonts w:eastAsia="Aptos"/>
                <w:sz w:val="20"/>
              </w:rPr>
            </w:pPr>
            <w:r w:rsidRPr="05136CB8">
              <w:rPr>
                <w:rFonts w:eastAsia="Aptos"/>
                <w:kern w:val="2"/>
                <w:sz w:val="20"/>
                <w14:ligatures w14:val="standardContextual"/>
              </w:rPr>
              <w:t xml:space="preserve">Legal Name of Patient, Birth Date, Sex, </w:t>
            </w:r>
            <w:r>
              <w:rPr>
                <w:rFonts w:eastAsia="Aptos"/>
                <w:kern w:val="2"/>
                <w:sz w:val="20"/>
                <w14:ligatures w14:val="standardContextual"/>
              </w:rPr>
              <w:t>Medicare Number</w:t>
            </w:r>
            <w:r w:rsidR="00F06173">
              <w:rPr>
                <w:rFonts w:eastAsia="Aptos"/>
                <w:kern w:val="2"/>
                <w:sz w:val="20"/>
                <w14:ligatures w14:val="standardContextual"/>
              </w:rPr>
              <w:t>*</w:t>
            </w:r>
            <w:r w:rsidRPr="05136CB8">
              <w:rPr>
                <w:rFonts w:eastAsia="Aptos"/>
                <w:kern w:val="2"/>
                <w:sz w:val="20"/>
                <w14:ligatures w14:val="standardContextual"/>
              </w:rPr>
              <w:t xml:space="preserve">, Facility Provider Numbers (National Provider Identifier, CMS Certification Number), Admission/Discharge Date, Payer Information—Primary Payer, Type of Record, Assessment Reference Date, Reason for Assessment, Type of Admission/Type of Discharge, </w:t>
            </w:r>
            <w:r>
              <w:rPr>
                <w:rFonts w:eastAsia="Aptos"/>
                <w:kern w:val="2"/>
                <w:sz w:val="20"/>
                <w14:ligatures w14:val="standardContextual"/>
              </w:rPr>
              <w:t>IPF-PAI Completion Date</w:t>
            </w:r>
            <w:r w:rsidRPr="05136CB8">
              <w:rPr>
                <w:rFonts w:eastAsia="Aptos"/>
                <w:kern w:val="2"/>
                <w:sz w:val="20"/>
                <w14:ligatures w14:val="standardContextual"/>
              </w:rPr>
              <w:t xml:space="preserve"> </w:t>
            </w:r>
          </w:p>
        </w:tc>
      </w:tr>
    </w:tbl>
    <w:p w:rsidR="00BB0D3F" w:rsidRPr="00835401" w:rsidP="00E9146E" w14:paraId="0B652B55" w14:textId="2FED9320">
      <w:pPr>
        <w:pStyle w:val="BodyText"/>
        <w:rPr>
          <w:sz w:val="20"/>
          <w:szCs w:val="20"/>
        </w:rPr>
      </w:pPr>
      <w:r w:rsidRPr="00835401">
        <w:rPr>
          <w:sz w:val="20"/>
          <w:szCs w:val="20"/>
        </w:rPr>
        <w:t>*Medicare Number will be required only for patients for whom Medicare is the primary payer.</w:t>
      </w:r>
    </w:p>
    <w:p w:rsidR="00422FCC" w:rsidP="006711F5" w14:paraId="23DBC9A3" w14:textId="55BEAE13">
      <w:pPr>
        <w:pStyle w:val="BodyText"/>
      </w:pPr>
      <w:r w:rsidRPr="00DB2CBE">
        <w:t xml:space="preserve">The IPF-PAI </w:t>
      </w:r>
      <w:r w:rsidR="00E13255">
        <w:t>admission and discharge</w:t>
      </w:r>
      <w:r w:rsidRPr="00DB2CBE">
        <w:t xml:space="preserve"> assessments consist of </w:t>
      </w:r>
      <w:r w:rsidR="00FD7FEF">
        <w:t>19</w:t>
      </w:r>
      <w:r w:rsidRPr="00DB2CBE">
        <w:t xml:space="preserve"> and 2</w:t>
      </w:r>
      <w:r w:rsidR="00FD7FEF">
        <w:t>1</w:t>
      </w:r>
      <w:r w:rsidRPr="00DB2CBE">
        <w:t xml:space="preserve"> assessment item parts</w:t>
      </w:r>
      <w:r w:rsidR="00C63BC6">
        <w:t>, respectively.</w:t>
      </w:r>
      <w:r>
        <w:rPr>
          <w:rStyle w:val="FootnoteReference"/>
        </w:rPr>
        <w:footnoteReference w:id="7"/>
      </w:r>
      <w:r w:rsidRPr="00DB2CBE">
        <w:t xml:space="preserve"> For the purpose of estimating collection of information burden, we estimate that each assessment item part in the IPF-PAI will require approximately 0.3 minutes to complete. Our estimate of 0.3 minutes is </w:t>
      </w:r>
      <w:r w:rsidRPr="00DB2CBE">
        <w:t>similar to</w:t>
      </w:r>
      <w:r w:rsidRPr="00DB2CBE">
        <w:t xml:space="preserve"> estimates used in other CMS PAI data collections,</w:t>
      </w:r>
      <w:r>
        <w:rPr>
          <w:rStyle w:val="FootnoteReference"/>
        </w:rPr>
        <w:footnoteReference w:id="8"/>
      </w:r>
      <w:r w:rsidRPr="00DB2CBE">
        <w:t xml:space="preserve"> and is supported by the IPF-PAI field (beta) test. In field testing, which used volunteer assessors and a convenience sample of patients, assessors completed the beta </w:t>
      </w:r>
      <w:r w:rsidRPr="00DB2CBE">
        <w:t xml:space="preserve">test assessments, which contained 86 assessment item parts at Admission and 85 assessment parts at Discharge, in a median time of 13 minutes, or approximately 0.15 minutes per assessment item part; time per assessment item part was slightly higher for admission assessments (median time to complete of 16 minutes, or 0.19 minutes per assessment item part) than for discharges </w:t>
      </w:r>
      <w:r w:rsidR="005E6B3B">
        <w:t xml:space="preserve">assessments </w:t>
      </w:r>
      <w:r w:rsidRPr="00DB2CBE">
        <w:t>(median time to complete of 11 minutes, or 0.13 minutes).</w:t>
      </w:r>
      <w:r>
        <w:rPr>
          <w:rStyle w:val="FootnoteReference"/>
        </w:rPr>
        <w:footnoteReference w:id="9"/>
      </w:r>
      <w:r w:rsidRPr="00DB2CBE">
        <w:t xml:space="preserve"> </w:t>
      </w:r>
      <w:r w:rsidR="00CB573B">
        <w:t>We</w:t>
      </w:r>
      <w:r w:rsidRPr="00DB2CBE">
        <w:t xml:space="preserve"> use 0.3 minutes for each assessment item part </w:t>
      </w:r>
      <w:r w:rsidR="00D83D73">
        <w:t>as a conserv</w:t>
      </w:r>
      <w:r w:rsidR="00B13E22">
        <w:t>ative estimate in alignment with other CMS PAI</w:t>
      </w:r>
      <w:r w:rsidR="001436BE">
        <w:t xml:space="preserve"> data collection</w:t>
      </w:r>
      <w:r w:rsidR="00B13E22">
        <w:t>s</w:t>
      </w:r>
      <w:r w:rsidR="001436BE">
        <w:t xml:space="preserve">, </w:t>
      </w:r>
      <w:r w:rsidRPr="00DB2CBE">
        <w:t>and estimate that the IPF-PAI will require 1</w:t>
      </w:r>
      <w:r w:rsidR="007D4A67">
        <w:t>2</w:t>
      </w:r>
      <w:r w:rsidRPr="00DB2CBE">
        <w:t xml:space="preserve"> minutes (0.3 minutes x 4</w:t>
      </w:r>
      <w:r w:rsidR="00FD7FEF">
        <w:t>0</w:t>
      </w:r>
      <w:r w:rsidRPr="00DB2CBE">
        <w:t xml:space="preserve"> assessment item parts) or 0.2 hours per patient.</w:t>
      </w:r>
      <w:r w:rsidR="00CA1B2F">
        <w:t xml:space="preserve"> </w:t>
      </w:r>
    </w:p>
    <w:p w:rsidR="006711F5" w:rsidP="00E13255" w14:paraId="05CAAE1E" w14:textId="7C92EBAC">
      <w:pPr>
        <w:widowControl/>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r w:rsidRPr="4DF1D982">
        <w:rPr>
          <w:sz w:val="24"/>
          <w:szCs w:val="24"/>
        </w:rPr>
        <w:t xml:space="preserve">In </w:t>
      </w:r>
      <w:r w:rsidRPr="4DF1D982" w:rsidR="00107FA9">
        <w:rPr>
          <w:sz w:val="24"/>
          <w:szCs w:val="24"/>
        </w:rPr>
        <w:t>the FY 2027 IPF PPS</w:t>
      </w:r>
      <w:r w:rsidRPr="4DF1D982">
        <w:rPr>
          <w:sz w:val="24"/>
          <w:szCs w:val="24"/>
        </w:rPr>
        <w:t xml:space="preserve"> </w:t>
      </w:r>
      <w:r w:rsidRPr="4DF1D982" w:rsidR="007D4A67">
        <w:rPr>
          <w:sz w:val="24"/>
          <w:szCs w:val="24"/>
        </w:rPr>
        <w:t>final</w:t>
      </w:r>
      <w:r w:rsidRPr="4DF1D982">
        <w:rPr>
          <w:sz w:val="24"/>
          <w:szCs w:val="24"/>
        </w:rPr>
        <w:t xml:space="preserve"> rule, we</w:t>
      </w:r>
      <w:r w:rsidR="008A36C4">
        <w:rPr>
          <w:sz w:val="24"/>
          <w:szCs w:val="24"/>
        </w:rPr>
        <w:t xml:space="preserve"> </w:t>
      </w:r>
      <w:r w:rsidRPr="4DF1D982" w:rsidR="00C2593C">
        <w:rPr>
          <w:sz w:val="24"/>
          <w:szCs w:val="24"/>
        </w:rPr>
        <w:t>adopted</w:t>
      </w:r>
      <w:r w:rsidRPr="4DF1D982">
        <w:rPr>
          <w:sz w:val="24"/>
          <w:szCs w:val="24"/>
        </w:rPr>
        <w:t xml:space="preserve"> </w:t>
      </w:r>
      <w:r w:rsidRPr="4DF1D982" w:rsidR="007D4A67">
        <w:rPr>
          <w:sz w:val="24"/>
          <w:szCs w:val="24"/>
        </w:rPr>
        <w:t xml:space="preserve">the IPF-PAI with voluntary data submission beginning October 1, 2027, </w:t>
      </w:r>
      <w:r w:rsidRPr="4DF1D982" w:rsidR="00C2593C">
        <w:rPr>
          <w:sz w:val="24"/>
          <w:szCs w:val="24"/>
        </w:rPr>
        <w:t>and</w:t>
      </w:r>
      <w:r w:rsidRPr="4DF1D982" w:rsidR="007D4A67">
        <w:rPr>
          <w:sz w:val="24"/>
          <w:szCs w:val="24"/>
        </w:rPr>
        <w:t xml:space="preserve"> mandatory data submission beginning July 1, 2028</w:t>
      </w:r>
      <w:r w:rsidRPr="4DF1D982">
        <w:rPr>
          <w:sz w:val="24"/>
          <w:szCs w:val="24"/>
        </w:rPr>
        <w:t>. That is, IPFs w</w:t>
      </w:r>
      <w:r w:rsidRPr="4DF1D982" w:rsidR="007D4A67">
        <w:rPr>
          <w:sz w:val="24"/>
          <w:szCs w:val="24"/>
        </w:rPr>
        <w:t>ill</w:t>
      </w:r>
      <w:r w:rsidRPr="4DF1D982">
        <w:rPr>
          <w:sz w:val="24"/>
          <w:szCs w:val="24"/>
        </w:rPr>
        <w:t xml:space="preserve"> be </w:t>
      </w:r>
      <w:r w:rsidRPr="4DF1D982" w:rsidR="007D4A67">
        <w:rPr>
          <w:sz w:val="24"/>
          <w:szCs w:val="24"/>
        </w:rPr>
        <w:t xml:space="preserve">able </w:t>
      </w:r>
      <w:r w:rsidRPr="4DF1D982">
        <w:rPr>
          <w:sz w:val="24"/>
          <w:szCs w:val="24"/>
        </w:rPr>
        <w:t xml:space="preserve">to </w:t>
      </w:r>
      <w:r w:rsidRPr="4DF1D982" w:rsidR="007D4A67">
        <w:rPr>
          <w:sz w:val="24"/>
          <w:szCs w:val="24"/>
        </w:rPr>
        <w:t xml:space="preserve">voluntarily </w:t>
      </w:r>
      <w:r w:rsidRPr="4DF1D982">
        <w:rPr>
          <w:sz w:val="24"/>
          <w:szCs w:val="24"/>
        </w:rPr>
        <w:t>collect and submit IPF-PAI admission and discharge assessments for all patients age</w:t>
      </w:r>
      <w:r w:rsidRPr="4DF1D982" w:rsidR="007D74B0">
        <w:rPr>
          <w:sz w:val="24"/>
          <w:szCs w:val="24"/>
        </w:rPr>
        <w:t>d</w:t>
      </w:r>
      <w:r w:rsidRPr="4DF1D982">
        <w:rPr>
          <w:sz w:val="24"/>
          <w:szCs w:val="24"/>
        </w:rPr>
        <w:t xml:space="preserve"> </w:t>
      </w:r>
      <w:r w:rsidRPr="4DF1D982" w:rsidR="007D74B0">
        <w:rPr>
          <w:sz w:val="24"/>
          <w:szCs w:val="24"/>
        </w:rPr>
        <w:t>18</w:t>
      </w:r>
      <w:r w:rsidRPr="4DF1D982">
        <w:rPr>
          <w:sz w:val="24"/>
          <w:szCs w:val="24"/>
        </w:rPr>
        <w:t xml:space="preserve"> years and older, regardless of payer, </w:t>
      </w:r>
      <w:r w:rsidRPr="4DF1D982" w:rsidR="00532930">
        <w:rPr>
          <w:sz w:val="24"/>
          <w:szCs w:val="24"/>
        </w:rPr>
        <w:t xml:space="preserve">who were admitted or discharged </w:t>
      </w:r>
      <w:r w:rsidRPr="4DF1D982">
        <w:rPr>
          <w:sz w:val="24"/>
          <w:szCs w:val="24"/>
        </w:rPr>
        <w:t xml:space="preserve">beginning October 1, </w:t>
      </w:r>
      <w:r w:rsidRPr="4DF1D982">
        <w:rPr>
          <w:sz w:val="24"/>
          <w:szCs w:val="24"/>
        </w:rPr>
        <w:t>2027</w:t>
      </w:r>
      <w:r w:rsidRPr="4DF1D982" w:rsidR="007D4A67">
        <w:rPr>
          <w:sz w:val="24"/>
          <w:szCs w:val="24"/>
        </w:rPr>
        <w:t xml:space="preserve"> until June 30, 2028.</w:t>
      </w:r>
      <w:r w:rsidRPr="4DF1D982">
        <w:rPr>
          <w:sz w:val="24"/>
          <w:szCs w:val="24"/>
        </w:rPr>
        <w:t xml:space="preserve"> </w:t>
      </w:r>
      <w:r w:rsidRPr="4DF1D982" w:rsidR="007D4A67">
        <w:rPr>
          <w:sz w:val="24"/>
          <w:szCs w:val="24"/>
        </w:rPr>
        <w:t>A</w:t>
      </w:r>
      <w:r w:rsidRPr="4DF1D982">
        <w:rPr>
          <w:sz w:val="24"/>
          <w:szCs w:val="24"/>
        </w:rPr>
        <w:t xml:space="preserve">dmission and discharge assessments conducted </w:t>
      </w:r>
      <w:r w:rsidRPr="4DF1D982" w:rsidR="00557B01">
        <w:rPr>
          <w:sz w:val="24"/>
          <w:szCs w:val="24"/>
        </w:rPr>
        <w:t xml:space="preserve">on admissions or discharges </w:t>
      </w:r>
      <w:r w:rsidRPr="4DF1D982" w:rsidR="00180C4A">
        <w:rPr>
          <w:sz w:val="24"/>
          <w:szCs w:val="24"/>
        </w:rPr>
        <w:t xml:space="preserve">before </w:t>
      </w:r>
      <w:r w:rsidRPr="4DF1D982" w:rsidR="001F7E22">
        <w:rPr>
          <w:sz w:val="24"/>
          <w:szCs w:val="24"/>
        </w:rPr>
        <w:t>July</w:t>
      </w:r>
      <w:r w:rsidRPr="4DF1D982" w:rsidR="00180C4A">
        <w:rPr>
          <w:sz w:val="24"/>
          <w:szCs w:val="24"/>
        </w:rPr>
        <w:t xml:space="preserve"> 1, </w:t>
      </w:r>
      <w:r w:rsidRPr="4DF1D982" w:rsidR="00180C4A">
        <w:rPr>
          <w:sz w:val="24"/>
          <w:szCs w:val="24"/>
        </w:rPr>
        <w:t>2028</w:t>
      </w:r>
      <w:r w:rsidRPr="4DF1D982" w:rsidR="00180C4A">
        <w:rPr>
          <w:sz w:val="24"/>
          <w:szCs w:val="24"/>
        </w:rPr>
        <w:t xml:space="preserve"> will not impact payment determinations. </w:t>
      </w:r>
      <w:r w:rsidRPr="4DF1D982" w:rsidR="007D4A67">
        <w:rPr>
          <w:sz w:val="24"/>
          <w:szCs w:val="24"/>
        </w:rPr>
        <w:t xml:space="preserve">Assessments </w:t>
      </w:r>
      <w:r w:rsidRPr="4DF1D982" w:rsidR="000C55B0">
        <w:rPr>
          <w:sz w:val="24"/>
          <w:szCs w:val="24"/>
        </w:rPr>
        <w:t>mandatorily conducted</w:t>
      </w:r>
      <w:r w:rsidRPr="4DF1D982" w:rsidR="00557B01">
        <w:rPr>
          <w:sz w:val="24"/>
          <w:szCs w:val="24"/>
        </w:rPr>
        <w:t xml:space="preserve"> for </w:t>
      </w:r>
      <w:r w:rsidRPr="4DF1D982" w:rsidR="00B15F66">
        <w:rPr>
          <w:sz w:val="24"/>
          <w:szCs w:val="24"/>
        </w:rPr>
        <w:t xml:space="preserve">applicable </w:t>
      </w:r>
      <w:r w:rsidRPr="4DF1D982" w:rsidR="00557B01">
        <w:rPr>
          <w:sz w:val="24"/>
          <w:szCs w:val="24"/>
        </w:rPr>
        <w:t>patient</w:t>
      </w:r>
      <w:r w:rsidRPr="4DF1D982" w:rsidR="66159F61">
        <w:rPr>
          <w:sz w:val="24"/>
          <w:szCs w:val="24"/>
        </w:rPr>
        <w:t>s</w:t>
      </w:r>
      <w:r w:rsidRPr="4DF1D982" w:rsidR="00557B01">
        <w:rPr>
          <w:sz w:val="24"/>
          <w:szCs w:val="24"/>
        </w:rPr>
        <w:t xml:space="preserve"> </w:t>
      </w:r>
      <w:r w:rsidRPr="4DF1D982" w:rsidR="00B15F66">
        <w:rPr>
          <w:sz w:val="24"/>
          <w:szCs w:val="24"/>
        </w:rPr>
        <w:t>admitted or discharge</w:t>
      </w:r>
      <w:r w:rsidRPr="4DF1D982" w:rsidR="04FE983E">
        <w:rPr>
          <w:sz w:val="24"/>
          <w:szCs w:val="24"/>
        </w:rPr>
        <w:t>d</w:t>
      </w:r>
      <w:r w:rsidRPr="4DF1D982" w:rsidR="000C55B0">
        <w:rPr>
          <w:sz w:val="24"/>
          <w:szCs w:val="24"/>
        </w:rPr>
        <w:t xml:space="preserve"> July 1, </w:t>
      </w:r>
      <w:r w:rsidRPr="4DF1D982" w:rsidR="000C55B0">
        <w:rPr>
          <w:sz w:val="24"/>
          <w:szCs w:val="24"/>
        </w:rPr>
        <w:t>2028</w:t>
      </w:r>
      <w:r w:rsidRPr="4DF1D982" w:rsidR="000C55B0">
        <w:rPr>
          <w:sz w:val="24"/>
          <w:szCs w:val="24"/>
        </w:rPr>
        <w:t xml:space="preserve"> through December 31, </w:t>
      </w:r>
      <w:r w:rsidRPr="4DF1D982" w:rsidR="000C55B0">
        <w:rPr>
          <w:sz w:val="24"/>
          <w:szCs w:val="24"/>
        </w:rPr>
        <w:t>2028</w:t>
      </w:r>
      <w:r w:rsidRPr="4DF1D982" w:rsidR="000C55B0">
        <w:rPr>
          <w:sz w:val="24"/>
          <w:szCs w:val="24"/>
        </w:rPr>
        <w:t xml:space="preserve"> </w:t>
      </w:r>
      <w:r w:rsidRPr="4DF1D982" w:rsidR="007D4A67">
        <w:rPr>
          <w:sz w:val="24"/>
          <w:szCs w:val="24"/>
        </w:rPr>
        <w:t>w</w:t>
      </w:r>
      <w:r w:rsidRPr="4DF1D982" w:rsidR="00F20BA0">
        <w:rPr>
          <w:sz w:val="24"/>
          <w:szCs w:val="24"/>
        </w:rPr>
        <w:t>ill</w:t>
      </w:r>
      <w:r w:rsidRPr="4DF1D982" w:rsidR="007D4A67">
        <w:rPr>
          <w:sz w:val="24"/>
          <w:szCs w:val="24"/>
        </w:rPr>
        <w:t xml:space="preserve"> impact the FY 2030 payment determination</w:t>
      </w:r>
      <w:r w:rsidRPr="4DF1D982">
        <w:rPr>
          <w:sz w:val="24"/>
          <w:szCs w:val="24"/>
        </w:rPr>
        <w:t>.</w:t>
      </w:r>
      <w:r w:rsidRPr="4DF1D982" w:rsidR="007D4A67">
        <w:rPr>
          <w:sz w:val="24"/>
          <w:szCs w:val="24"/>
        </w:rPr>
        <w:t xml:space="preserve"> </w:t>
      </w:r>
    </w:p>
    <w:p w:rsidR="00E13255" w:rsidP="00E13255" w14:paraId="16506213" w14:textId="77777777">
      <w:pPr>
        <w:widowControl/>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pPr>
    </w:p>
    <w:p w:rsidR="00D310A3" w:rsidP="006711F5" w14:paraId="02C382B8" w14:textId="53F2E1BF">
      <w:pPr>
        <w:pStyle w:val="BodyText"/>
      </w:pPr>
      <w:r>
        <w:t>Beginning with the FY 203</w:t>
      </w:r>
      <w:r w:rsidR="000C55B0">
        <w:t>1</w:t>
      </w:r>
      <w:r>
        <w:t xml:space="preserve"> payment determination and for subsequent years, we </w:t>
      </w:r>
      <w:r w:rsidR="000C55B0">
        <w:t>finalized</w:t>
      </w:r>
      <w:r>
        <w:t xml:space="preserve"> that an IPF must report data with respect to admissions and discharges for all patients age</w:t>
      </w:r>
      <w:r w:rsidR="00013FC4">
        <w:t>d</w:t>
      </w:r>
      <w:r>
        <w:t xml:space="preserve"> 1</w:t>
      </w:r>
      <w:r w:rsidR="004A69E0">
        <w:t>8</w:t>
      </w:r>
      <w:r>
        <w:t xml:space="preserve"> years and older that occur during the calendar year from January 1 through December 31, that is, the calendar year two years preceding the FY payment determination year (for example, January 1, 2029 through December 31, 2029 for the FY 2031 payment determination, </w:t>
      </w:r>
      <w:r w:rsidR="00013FC4">
        <w:t xml:space="preserve">January 1, 2030 through December 31, 2030 for the FY 2032 payment determination, </w:t>
      </w:r>
      <w:r>
        <w:t xml:space="preserve">and so on). We </w:t>
      </w:r>
      <w:r w:rsidR="000C55B0">
        <w:t>finalized</w:t>
      </w:r>
      <w:r>
        <w:t xml:space="preserve"> that IPF-PAI data must be submitted </w:t>
      </w:r>
      <w:r w:rsidR="00427E30">
        <w:t xml:space="preserve">for each calendar </w:t>
      </w:r>
      <w:r>
        <w:t xml:space="preserve">quarter by the submission deadline, that is, the </w:t>
      </w:r>
      <w:r w:rsidR="0055750A">
        <w:t>15</w:t>
      </w:r>
      <w:r w:rsidRPr="00F160BD" w:rsidR="0055750A">
        <w:rPr>
          <w:vertAlign w:val="superscript"/>
        </w:rPr>
        <w:t>th</w:t>
      </w:r>
      <w:r w:rsidR="0055750A">
        <w:t xml:space="preserve"> day</w:t>
      </w:r>
      <w:r>
        <w:t xml:space="preserve"> of the </w:t>
      </w:r>
      <w:r w:rsidR="0055750A">
        <w:t>second month following</w:t>
      </w:r>
      <w:r>
        <w:t xml:space="preserve"> the </w:t>
      </w:r>
      <w:r w:rsidR="00336395">
        <w:t xml:space="preserve">end of the </w:t>
      </w:r>
      <w:r>
        <w:t xml:space="preserve">calendar quarter, as outlined in Table 2. See Table </w:t>
      </w:r>
      <w:r w:rsidR="00E13255">
        <w:t>2</w:t>
      </w:r>
      <w:r>
        <w:t xml:space="preserve"> for submission deadlines through the FY 2031 payment determination.  </w:t>
      </w:r>
    </w:p>
    <w:p w:rsidR="006711F5" w:rsidP="006711F5" w14:paraId="0F456152" w14:textId="78F06C16">
      <w:pPr>
        <w:widowControl/>
        <w:contextualSpacing/>
        <w:jc w:val="center"/>
        <w:rPr>
          <w:rFonts w:eastAsia="Aptos"/>
          <w:b/>
          <w:bCs/>
          <w:color w:val="000000"/>
          <w:kern w:val="2"/>
          <w14:ligatures w14:val="standardContextual"/>
        </w:rPr>
      </w:pPr>
      <w:r w:rsidRPr="05136CB8">
        <w:rPr>
          <w:rFonts w:eastAsia="Aptos"/>
          <w:b/>
          <w:bCs/>
          <w:color w:val="000000"/>
          <w:kern w:val="2"/>
          <w14:ligatures w14:val="standardContextual"/>
        </w:rPr>
        <w:t xml:space="preserve">TABLE </w:t>
      </w:r>
      <w:r>
        <w:rPr>
          <w:rFonts w:eastAsia="Aptos"/>
          <w:b/>
          <w:bCs/>
          <w:color w:val="000000"/>
          <w:kern w:val="2"/>
          <w14:ligatures w14:val="standardContextual"/>
        </w:rPr>
        <w:t xml:space="preserve">2: </w:t>
      </w:r>
      <w:r w:rsidR="000C55B0">
        <w:rPr>
          <w:rFonts w:eastAsia="Aptos"/>
          <w:b/>
          <w:bCs/>
          <w:color w:val="000000"/>
          <w:kern w:val="2"/>
          <w14:ligatures w14:val="standardContextual"/>
        </w:rPr>
        <w:t>FINALIZED</w:t>
      </w:r>
      <w:r w:rsidRPr="05136CB8">
        <w:rPr>
          <w:rFonts w:eastAsia="Aptos"/>
          <w:b/>
          <w:bCs/>
          <w:color w:val="000000"/>
          <w:kern w:val="2"/>
          <w14:ligatures w14:val="standardContextual"/>
        </w:rPr>
        <w:t xml:space="preserve"> DATA SUBMISSION DEADLINES AND ASSOCIATED PAYMENT DETERMINATION YEARS FOR THE IPF-PAI</w:t>
      </w:r>
    </w:p>
    <w:p w:rsidR="006711F5" w:rsidRPr="00940D27" w:rsidP="006711F5" w14:paraId="73B344AD" w14:textId="77777777">
      <w:pPr>
        <w:widowControl/>
        <w:contextualSpacing/>
        <w:jc w:val="center"/>
        <w:rPr>
          <w:rFonts w:eastAsia="Aptos"/>
          <w:b/>
          <w:bCs/>
          <w:color w:val="000000" w:themeColor="text1"/>
        </w:rPr>
      </w:pPr>
    </w:p>
    <w:tbl>
      <w:tblPr>
        <w:tblStyle w:val="TableGrid-A1"/>
        <w:tblW w:w="0" w:type="auto"/>
        <w:tblLook w:val="04A0"/>
      </w:tblPr>
      <w:tblGrid>
        <w:gridCol w:w="3145"/>
        <w:gridCol w:w="3162"/>
        <w:gridCol w:w="3043"/>
      </w:tblGrid>
      <w:tr w14:paraId="04339666" w14:textId="77777777" w:rsidTr="003160CA">
        <w:tblPrEx>
          <w:tblW w:w="0" w:type="auto"/>
          <w:tblLook w:val="04A0"/>
        </w:tblPrEx>
        <w:tc>
          <w:tcPr>
            <w:tcW w:w="3145" w:type="dxa"/>
            <w:shd w:val="clear" w:color="auto" w:fill="BFBFBF" w:themeFill="background1" w:themeFillShade="BF"/>
          </w:tcPr>
          <w:p w:rsidR="006711F5" w:rsidRPr="00940D27" w:rsidP="004D37AE" w14:paraId="3F5EA266" w14:textId="5084D3E5">
            <w:pPr>
              <w:contextualSpacing/>
              <w:jc w:val="center"/>
              <w:rPr>
                <w:rFonts w:eastAsia="Aptos"/>
                <w:b/>
                <w:bCs/>
                <w:color w:val="000000" w:themeColor="text1"/>
                <w:sz w:val="20"/>
              </w:rPr>
            </w:pPr>
            <w:r w:rsidRPr="00492E5E">
              <w:rPr>
                <w:rFonts w:eastAsia="Aptos"/>
                <w:b/>
                <w:bCs/>
                <w:color w:val="000000"/>
                <w:sz w:val="20"/>
              </w:rPr>
              <w:t>Quarter of Patient Admission or Discharge Date</w:t>
            </w:r>
          </w:p>
        </w:tc>
        <w:tc>
          <w:tcPr>
            <w:tcW w:w="3162" w:type="dxa"/>
            <w:shd w:val="clear" w:color="auto" w:fill="BFBFBF" w:themeFill="background1" w:themeFillShade="BF"/>
          </w:tcPr>
          <w:p w:rsidR="006711F5" w:rsidRPr="00940D27" w:rsidP="004D37AE" w14:paraId="2C88FF25" w14:textId="77777777">
            <w:pPr>
              <w:ind w:hanging="14"/>
              <w:contextualSpacing/>
              <w:jc w:val="center"/>
              <w:rPr>
                <w:rFonts w:eastAsia="Aptos"/>
                <w:b/>
                <w:bCs/>
                <w:color w:val="000000" w:themeColor="text1"/>
                <w:sz w:val="20"/>
              </w:rPr>
            </w:pPr>
            <w:r w:rsidRPr="05136CB8">
              <w:rPr>
                <w:rFonts w:eastAsia="Aptos"/>
                <w:b/>
                <w:bCs/>
                <w:color w:val="000000"/>
                <w:sz w:val="20"/>
              </w:rPr>
              <w:t>Data Submission deadline*</w:t>
            </w:r>
          </w:p>
        </w:tc>
        <w:tc>
          <w:tcPr>
            <w:tcW w:w="3043" w:type="dxa"/>
            <w:shd w:val="clear" w:color="auto" w:fill="BFBFBF" w:themeFill="background1" w:themeFillShade="BF"/>
          </w:tcPr>
          <w:p w:rsidR="006711F5" w:rsidRPr="00940D27" w:rsidP="004D37AE" w14:paraId="1EB0EAFC" w14:textId="77777777">
            <w:pPr>
              <w:contextualSpacing/>
              <w:jc w:val="center"/>
              <w:rPr>
                <w:rFonts w:eastAsia="Aptos"/>
                <w:b/>
                <w:bCs/>
                <w:color w:val="000000" w:themeColor="text1"/>
                <w:sz w:val="20"/>
              </w:rPr>
            </w:pPr>
            <w:r w:rsidRPr="05136CB8">
              <w:rPr>
                <w:rFonts w:eastAsia="Aptos"/>
                <w:b/>
                <w:bCs/>
                <w:color w:val="000000"/>
                <w:sz w:val="20"/>
              </w:rPr>
              <w:t>Applicable Payment Determination</w:t>
            </w:r>
          </w:p>
        </w:tc>
      </w:tr>
      <w:tr w14:paraId="1E154F3F" w14:textId="77777777" w:rsidTr="004D37AE">
        <w:tblPrEx>
          <w:tblW w:w="0" w:type="auto"/>
          <w:tblLook w:val="04A0"/>
        </w:tblPrEx>
        <w:tc>
          <w:tcPr>
            <w:tcW w:w="3145" w:type="dxa"/>
            <w:vAlign w:val="center"/>
          </w:tcPr>
          <w:p w:rsidR="000C55B0" w:rsidRPr="00940D27" w:rsidP="000C55B0" w14:paraId="4A1D7A28" w14:textId="77777777">
            <w:pPr>
              <w:jc w:val="center"/>
              <w:rPr>
                <w:rFonts w:eastAsia="Aptos"/>
                <w:color w:val="000000" w:themeColor="text1"/>
                <w:sz w:val="20"/>
              </w:rPr>
            </w:pPr>
            <w:r w:rsidRPr="05136CB8">
              <w:rPr>
                <w:color w:val="000000"/>
                <w:sz w:val="20"/>
              </w:rPr>
              <w:t>Q4 2027 (Oct 1 – Dec 31, 2027)</w:t>
            </w:r>
          </w:p>
        </w:tc>
        <w:tc>
          <w:tcPr>
            <w:tcW w:w="3162" w:type="dxa"/>
            <w:vAlign w:val="center"/>
          </w:tcPr>
          <w:p w:rsidR="000C55B0" w:rsidRPr="00940D27" w:rsidP="000C55B0" w14:paraId="67E425B9" w14:textId="03AC6086">
            <w:pPr>
              <w:ind w:hanging="14"/>
              <w:contextualSpacing/>
              <w:jc w:val="center"/>
              <w:rPr>
                <w:rFonts w:eastAsia="Aptos"/>
                <w:color w:val="000000" w:themeColor="text1"/>
                <w:sz w:val="20"/>
              </w:rPr>
            </w:pPr>
            <w:r w:rsidRPr="05136CB8">
              <w:rPr>
                <w:color w:val="000000"/>
                <w:sz w:val="20"/>
              </w:rPr>
              <w:t>February 1</w:t>
            </w:r>
            <w:r>
              <w:rPr>
                <w:color w:val="000000"/>
                <w:sz w:val="20"/>
              </w:rPr>
              <w:t>5</w:t>
            </w:r>
            <w:r w:rsidRPr="05136CB8">
              <w:rPr>
                <w:rFonts w:eastAsia="Aptos"/>
                <w:color w:val="000000"/>
                <w:sz w:val="20"/>
              </w:rPr>
              <w:t>, 2028</w:t>
            </w:r>
          </w:p>
        </w:tc>
        <w:tc>
          <w:tcPr>
            <w:tcW w:w="3043" w:type="dxa"/>
          </w:tcPr>
          <w:p w:rsidR="000C55B0" w:rsidRPr="00940D27" w:rsidP="000C55B0" w14:paraId="36881834" w14:textId="1D185267">
            <w:pPr>
              <w:contextualSpacing/>
              <w:jc w:val="center"/>
              <w:rPr>
                <w:rFonts w:eastAsia="Aptos"/>
                <w:color w:val="000000" w:themeColor="text1"/>
                <w:sz w:val="20"/>
              </w:rPr>
            </w:pPr>
            <w:r w:rsidRPr="00AD1BBE">
              <w:rPr>
                <w:sz w:val="20"/>
              </w:rPr>
              <w:t>N/A (Voluntary)</w:t>
            </w:r>
          </w:p>
        </w:tc>
      </w:tr>
      <w:tr w14:paraId="1BDCD1F3" w14:textId="77777777" w:rsidTr="00BE0258">
        <w:tblPrEx>
          <w:tblW w:w="0" w:type="auto"/>
          <w:tblLook w:val="04A0"/>
        </w:tblPrEx>
        <w:tc>
          <w:tcPr>
            <w:tcW w:w="3145" w:type="dxa"/>
            <w:vAlign w:val="center"/>
          </w:tcPr>
          <w:p w:rsidR="000C55B0" w:rsidRPr="00940D27" w:rsidP="000C55B0" w14:paraId="328DDAE3" w14:textId="77777777">
            <w:pPr>
              <w:jc w:val="center"/>
              <w:rPr>
                <w:rFonts w:eastAsia="Aptos"/>
                <w:color w:val="000000" w:themeColor="text1"/>
                <w:sz w:val="20"/>
              </w:rPr>
            </w:pPr>
            <w:r w:rsidRPr="05136CB8">
              <w:rPr>
                <w:rFonts w:eastAsia="Aptos"/>
                <w:color w:val="000000"/>
                <w:sz w:val="20"/>
              </w:rPr>
              <w:t>Q1 2028 (Jan 1 – Mar 31, 2028)</w:t>
            </w:r>
          </w:p>
        </w:tc>
        <w:tc>
          <w:tcPr>
            <w:tcW w:w="3162" w:type="dxa"/>
            <w:vAlign w:val="center"/>
          </w:tcPr>
          <w:p w:rsidR="000C55B0" w:rsidRPr="00805A88" w:rsidP="000C55B0" w14:paraId="0712F662" w14:textId="77777777">
            <w:pPr>
              <w:ind w:hanging="14"/>
              <w:contextualSpacing/>
              <w:jc w:val="center"/>
              <w:rPr>
                <w:rFonts w:eastAsia="Aptos"/>
                <w:color w:val="000000" w:themeColor="text1"/>
                <w:sz w:val="20"/>
              </w:rPr>
            </w:pPr>
            <w:r w:rsidRPr="00805A88">
              <w:rPr>
                <w:rFonts w:eastAsia="Aptos"/>
                <w:color w:val="000000"/>
                <w:sz w:val="20"/>
              </w:rPr>
              <w:t>May 15, 2028</w:t>
            </w:r>
          </w:p>
        </w:tc>
        <w:tc>
          <w:tcPr>
            <w:tcW w:w="3043" w:type="dxa"/>
          </w:tcPr>
          <w:p w:rsidR="000C55B0" w:rsidRPr="00940D27" w:rsidP="000C55B0" w14:paraId="7D82BEC0" w14:textId="529FC030">
            <w:pPr>
              <w:contextualSpacing/>
              <w:jc w:val="center"/>
              <w:rPr>
                <w:rFonts w:eastAsia="Aptos"/>
                <w:color w:val="000000" w:themeColor="text1"/>
                <w:sz w:val="20"/>
              </w:rPr>
            </w:pPr>
            <w:r w:rsidRPr="00AD1BBE">
              <w:rPr>
                <w:sz w:val="20"/>
              </w:rPr>
              <w:t>N/A (Voluntary)</w:t>
            </w:r>
          </w:p>
        </w:tc>
      </w:tr>
      <w:tr w14:paraId="23B5A620" w14:textId="77777777" w:rsidTr="00BE0258">
        <w:tblPrEx>
          <w:tblW w:w="0" w:type="auto"/>
          <w:tblLook w:val="04A0"/>
        </w:tblPrEx>
        <w:tc>
          <w:tcPr>
            <w:tcW w:w="3145" w:type="dxa"/>
            <w:vAlign w:val="center"/>
          </w:tcPr>
          <w:p w:rsidR="000C55B0" w:rsidRPr="00940D27" w:rsidP="000C55B0" w14:paraId="016F170C" w14:textId="77777777">
            <w:pPr>
              <w:jc w:val="center"/>
              <w:rPr>
                <w:rFonts w:eastAsia="Aptos"/>
                <w:color w:val="000000" w:themeColor="text1"/>
                <w:sz w:val="20"/>
              </w:rPr>
            </w:pPr>
            <w:r w:rsidRPr="05136CB8">
              <w:rPr>
                <w:rFonts w:eastAsia="Aptos"/>
                <w:color w:val="000000"/>
                <w:sz w:val="20"/>
              </w:rPr>
              <w:t>Q2 2028 (Apr 1 – Jun 30, 2028)</w:t>
            </w:r>
          </w:p>
        </w:tc>
        <w:tc>
          <w:tcPr>
            <w:tcW w:w="3162" w:type="dxa"/>
            <w:vAlign w:val="center"/>
          </w:tcPr>
          <w:p w:rsidR="000C55B0" w:rsidRPr="00767EC9" w:rsidP="000C55B0" w14:paraId="1DD3CA94" w14:textId="77777777">
            <w:pPr>
              <w:ind w:hanging="14"/>
              <w:contextualSpacing/>
              <w:jc w:val="center"/>
              <w:rPr>
                <w:rFonts w:eastAsia="Aptos"/>
                <w:color w:val="000000" w:themeColor="text1"/>
                <w:sz w:val="20"/>
              </w:rPr>
            </w:pPr>
            <w:r w:rsidRPr="00805A88">
              <w:rPr>
                <w:color w:val="000000"/>
                <w:sz w:val="20"/>
              </w:rPr>
              <w:t>August 1</w:t>
            </w:r>
            <w:r w:rsidRPr="00767EC9">
              <w:rPr>
                <w:color w:val="000000"/>
                <w:sz w:val="20"/>
              </w:rPr>
              <w:t>5</w:t>
            </w:r>
            <w:r w:rsidRPr="00767EC9">
              <w:rPr>
                <w:rFonts w:eastAsia="Aptos"/>
                <w:color w:val="000000"/>
                <w:sz w:val="20"/>
              </w:rPr>
              <w:t>, 2028</w:t>
            </w:r>
          </w:p>
        </w:tc>
        <w:tc>
          <w:tcPr>
            <w:tcW w:w="3043" w:type="dxa"/>
          </w:tcPr>
          <w:p w:rsidR="000C55B0" w:rsidRPr="00940D27" w:rsidP="000C55B0" w14:paraId="610F517A" w14:textId="31340C65">
            <w:pPr>
              <w:contextualSpacing/>
              <w:jc w:val="center"/>
              <w:rPr>
                <w:rFonts w:eastAsia="Aptos"/>
                <w:iCs/>
                <w:color w:val="000000"/>
                <w:sz w:val="20"/>
              </w:rPr>
            </w:pPr>
            <w:r w:rsidRPr="00AD1BBE">
              <w:rPr>
                <w:sz w:val="20"/>
              </w:rPr>
              <w:t>N/A (Voluntary)</w:t>
            </w:r>
          </w:p>
        </w:tc>
      </w:tr>
      <w:tr w14:paraId="53B360AA" w14:textId="77777777" w:rsidTr="00BE0258">
        <w:tblPrEx>
          <w:tblW w:w="0" w:type="auto"/>
          <w:tblLook w:val="04A0"/>
        </w:tblPrEx>
        <w:tc>
          <w:tcPr>
            <w:tcW w:w="3145" w:type="dxa"/>
            <w:vAlign w:val="center"/>
          </w:tcPr>
          <w:p w:rsidR="000C55B0" w:rsidRPr="00940D27" w:rsidP="000C55B0" w14:paraId="0AB2F1E5" w14:textId="77777777">
            <w:pPr>
              <w:jc w:val="center"/>
              <w:rPr>
                <w:rFonts w:eastAsia="Aptos"/>
                <w:color w:val="000000" w:themeColor="text1"/>
                <w:sz w:val="20"/>
              </w:rPr>
            </w:pPr>
            <w:r w:rsidRPr="05136CB8">
              <w:rPr>
                <w:rFonts w:eastAsia="Aptos"/>
                <w:color w:val="000000"/>
                <w:sz w:val="20"/>
              </w:rPr>
              <w:t>Q3 2028 (Jul 1 – Sept 30, 2028)</w:t>
            </w:r>
          </w:p>
        </w:tc>
        <w:tc>
          <w:tcPr>
            <w:tcW w:w="3162" w:type="dxa"/>
            <w:vAlign w:val="center"/>
          </w:tcPr>
          <w:p w:rsidR="000C55B0" w:rsidRPr="00767EC9" w:rsidP="000C55B0" w14:paraId="0DF6909F" w14:textId="77777777">
            <w:pPr>
              <w:ind w:hanging="14"/>
              <w:contextualSpacing/>
              <w:jc w:val="center"/>
              <w:rPr>
                <w:rFonts w:eastAsia="Aptos"/>
                <w:color w:val="000000" w:themeColor="text1"/>
                <w:sz w:val="20"/>
              </w:rPr>
            </w:pPr>
            <w:r w:rsidRPr="00805A88">
              <w:rPr>
                <w:color w:val="000000"/>
                <w:sz w:val="20"/>
              </w:rPr>
              <w:t>November 1</w:t>
            </w:r>
            <w:r w:rsidRPr="00767EC9">
              <w:rPr>
                <w:color w:val="000000"/>
                <w:sz w:val="20"/>
              </w:rPr>
              <w:t>5</w:t>
            </w:r>
            <w:r w:rsidRPr="00767EC9">
              <w:rPr>
                <w:rFonts w:eastAsia="Aptos"/>
                <w:color w:val="000000"/>
                <w:sz w:val="20"/>
              </w:rPr>
              <w:t>, 2028</w:t>
            </w:r>
          </w:p>
        </w:tc>
        <w:tc>
          <w:tcPr>
            <w:tcW w:w="3043" w:type="dxa"/>
          </w:tcPr>
          <w:p w:rsidR="000C55B0" w:rsidRPr="00940D27" w:rsidP="000C55B0" w14:paraId="4716E09A" w14:textId="34CC565C">
            <w:pPr>
              <w:contextualSpacing/>
              <w:jc w:val="center"/>
              <w:rPr>
                <w:rFonts w:eastAsia="Aptos"/>
                <w:iCs/>
                <w:color w:val="000000"/>
                <w:sz w:val="20"/>
              </w:rPr>
            </w:pPr>
            <w:r w:rsidRPr="00290827">
              <w:rPr>
                <w:rFonts w:eastAsia="Aptos"/>
                <w:color w:val="000000"/>
                <w:sz w:val="20"/>
              </w:rPr>
              <w:t>FY 2030</w:t>
            </w:r>
          </w:p>
        </w:tc>
      </w:tr>
      <w:tr w14:paraId="15F6AFC9" w14:textId="77777777" w:rsidTr="00BE0258">
        <w:tblPrEx>
          <w:tblW w:w="0" w:type="auto"/>
          <w:tblLook w:val="04A0"/>
        </w:tblPrEx>
        <w:tc>
          <w:tcPr>
            <w:tcW w:w="3145" w:type="dxa"/>
            <w:vAlign w:val="center"/>
          </w:tcPr>
          <w:p w:rsidR="000C55B0" w:rsidRPr="00940D27" w:rsidP="000C55B0" w14:paraId="2390491A" w14:textId="77777777">
            <w:pPr>
              <w:jc w:val="center"/>
              <w:rPr>
                <w:rFonts w:eastAsia="Aptos"/>
                <w:color w:val="000000" w:themeColor="text1"/>
                <w:sz w:val="20"/>
              </w:rPr>
            </w:pPr>
            <w:r w:rsidRPr="05136CB8">
              <w:rPr>
                <w:color w:val="000000"/>
                <w:sz w:val="20"/>
              </w:rPr>
              <w:t>Q4 2028 (Oct 1 – Dec 31, 2028)</w:t>
            </w:r>
          </w:p>
        </w:tc>
        <w:tc>
          <w:tcPr>
            <w:tcW w:w="3162" w:type="dxa"/>
            <w:vAlign w:val="center"/>
          </w:tcPr>
          <w:p w:rsidR="000C55B0" w:rsidRPr="00767EC9" w:rsidP="000C55B0" w14:paraId="71514122" w14:textId="77777777">
            <w:pPr>
              <w:ind w:hanging="14"/>
              <w:contextualSpacing/>
              <w:jc w:val="center"/>
              <w:rPr>
                <w:rFonts w:eastAsia="Aptos"/>
                <w:color w:val="000000" w:themeColor="text1"/>
                <w:sz w:val="20"/>
              </w:rPr>
            </w:pPr>
            <w:r w:rsidRPr="00805A88">
              <w:rPr>
                <w:color w:val="000000"/>
                <w:sz w:val="20"/>
              </w:rPr>
              <w:t>February 1</w:t>
            </w:r>
            <w:r w:rsidRPr="00767EC9">
              <w:rPr>
                <w:color w:val="000000"/>
                <w:sz w:val="20"/>
              </w:rPr>
              <w:t>5</w:t>
            </w:r>
            <w:r w:rsidRPr="00767EC9">
              <w:rPr>
                <w:rFonts w:eastAsia="Aptos"/>
                <w:color w:val="000000"/>
                <w:sz w:val="20"/>
              </w:rPr>
              <w:t>, 2029</w:t>
            </w:r>
          </w:p>
        </w:tc>
        <w:tc>
          <w:tcPr>
            <w:tcW w:w="3043" w:type="dxa"/>
          </w:tcPr>
          <w:p w:rsidR="000C55B0" w:rsidRPr="00940D27" w:rsidP="000C55B0" w14:paraId="553CBB9F" w14:textId="1E19DC78">
            <w:pPr>
              <w:contextualSpacing/>
              <w:jc w:val="center"/>
              <w:rPr>
                <w:rFonts w:eastAsia="Aptos"/>
                <w:iCs/>
                <w:color w:val="000000"/>
                <w:sz w:val="20"/>
              </w:rPr>
            </w:pPr>
            <w:r w:rsidRPr="00290827">
              <w:rPr>
                <w:rFonts w:eastAsia="Aptos"/>
                <w:color w:val="000000"/>
                <w:sz w:val="20"/>
              </w:rPr>
              <w:t>FY 2030</w:t>
            </w:r>
          </w:p>
        </w:tc>
      </w:tr>
      <w:tr w14:paraId="38C37CE3" w14:textId="77777777" w:rsidTr="00BE0258">
        <w:tblPrEx>
          <w:tblW w:w="0" w:type="auto"/>
          <w:tblLook w:val="04A0"/>
        </w:tblPrEx>
        <w:tc>
          <w:tcPr>
            <w:tcW w:w="3145" w:type="dxa"/>
            <w:vAlign w:val="center"/>
          </w:tcPr>
          <w:p w:rsidR="000C55B0" w:rsidRPr="00940D27" w:rsidP="000C55B0" w14:paraId="33C27083" w14:textId="77777777">
            <w:pPr>
              <w:jc w:val="center"/>
              <w:rPr>
                <w:rFonts w:eastAsia="Aptos"/>
                <w:color w:val="000000" w:themeColor="text1"/>
                <w:sz w:val="20"/>
              </w:rPr>
            </w:pPr>
            <w:r w:rsidRPr="05136CB8">
              <w:rPr>
                <w:rFonts w:eastAsia="Aptos"/>
                <w:color w:val="000000"/>
                <w:sz w:val="20"/>
              </w:rPr>
              <w:t>Q1 2029 (Jan 1 – Mar 31, 2029)</w:t>
            </w:r>
          </w:p>
        </w:tc>
        <w:tc>
          <w:tcPr>
            <w:tcW w:w="3162" w:type="dxa"/>
            <w:vAlign w:val="center"/>
          </w:tcPr>
          <w:p w:rsidR="000C55B0" w:rsidRPr="00805A88" w:rsidP="000C55B0" w14:paraId="456317CC" w14:textId="77777777">
            <w:pPr>
              <w:ind w:hanging="14"/>
              <w:contextualSpacing/>
              <w:jc w:val="center"/>
              <w:rPr>
                <w:rFonts w:eastAsia="Aptos"/>
                <w:color w:val="000000" w:themeColor="text1"/>
                <w:sz w:val="20"/>
              </w:rPr>
            </w:pPr>
            <w:r w:rsidRPr="00805A88">
              <w:rPr>
                <w:rFonts w:eastAsia="Aptos"/>
                <w:color w:val="000000"/>
                <w:sz w:val="20"/>
              </w:rPr>
              <w:t>May 15, 2029</w:t>
            </w:r>
          </w:p>
        </w:tc>
        <w:tc>
          <w:tcPr>
            <w:tcW w:w="3043" w:type="dxa"/>
          </w:tcPr>
          <w:p w:rsidR="000C55B0" w:rsidRPr="00940D27" w:rsidP="000C55B0" w14:paraId="0594CE85" w14:textId="3A8ECC02">
            <w:pPr>
              <w:contextualSpacing/>
              <w:jc w:val="center"/>
              <w:rPr>
                <w:rFonts w:eastAsia="Aptos"/>
                <w:color w:val="000000" w:themeColor="text1"/>
                <w:sz w:val="20"/>
              </w:rPr>
            </w:pPr>
            <w:r w:rsidRPr="00290827">
              <w:rPr>
                <w:rFonts w:eastAsia="Aptos"/>
                <w:color w:val="000000"/>
                <w:sz w:val="20"/>
              </w:rPr>
              <w:t>FY 203</w:t>
            </w:r>
            <w:r>
              <w:rPr>
                <w:rFonts w:eastAsia="Aptos"/>
                <w:color w:val="000000"/>
                <w:sz w:val="20"/>
              </w:rPr>
              <w:t>1</w:t>
            </w:r>
          </w:p>
        </w:tc>
      </w:tr>
      <w:tr w14:paraId="46B4FD85" w14:textId="77777777" w:rsidTr="004D37AE">
        <w:tblPrEx>
          <w:tblW w:w="0" w:type="auto"/>
          <w:tblLook w:val="04A0"/>
        </w:tblPrEx>
        <w:tc>
          <w:tcPr>
            <w:tcW w:w="3145" w:type="dxa"/>
            <w:vAlign w:val="center"/>
          </w:tcPr>
          <w:p w:rsidR="000C55B0" w:rsidRPr="00940D27" w:rsidP="000C55B0" w14:paraId="3E9AEFA0" w14:textId="77777777">
            <w:pPr>
              <w:jc w:val="center"/>
              <w:rPr>
                <w:rFonts w:eastAsia="Aptos"/>
                <w:color w:val="000000" w:themeColor="text1"/>
                <w:sz w:val="20"/>
              </w:rPr>
            </w:pPr>
            <w:r w:rsidRPr="05136CB8">
              <w:rPr>
                <w:rFonts w:eastAsia="Aptos"/>
                <w:color w:val="000000"/>
                <w:sz w:val="20"/>
              </w:rPr>
              <w:t>Q2 2029 (Apr 1 – Jun 30, 2029)</w:t>
            </w:r>
          </w:p>
        </w:tc>
        <w:tc>
          <w:tcPr>
            <w:tcW w:w="3162" w:type="dxa"/>
            <w:vAlign w:val="center"/>
          </w:tcPr>
          <w:p w:rsidR="000C55B0" w:rsidRPr="00767EC9" w:rsidP="000C55B0" w14:paraId="58E79AD3" w14:textId="77777777">
            <w:pPr>
              <w:ind w:hanging="14"/>
              <w:contextualSpacing/>
              <w:jc w:val="center"/>
              <w:rPr>
                <w:rFonts w:eastAsia="Aptos"/>
                <w:color w:val="000000" w:themeColor="text1"/>
                <w:sz w:val="20"/>
              </w:rPr>
            </w:pPr>
            <w:r w:rsidRPr="00805A88">
              <w:rPr>
                <w:color w:val="000000"/>
                <w:sz w:val="20"/>
              </w:rPr>
              <w:t>August 1</w:t>
            </w:r>
            <w:r w:rsidRPr="00767EC9">
              <w:rPr>
                <w:color w:val="000000"/>
                <w:sz w:val="20"/>
              </w:rPr>
              <w:t>5</w:t>
            </w:r>
            <w:r w:rsidRPr="00767EC9">
              <w:rPr>
                <w:rFonts w:eastAsia="Aptos"/>
                <w:color w:val="000000"/>
                <w:sz w:val="20"/>
              </w:rPr>
              <w:t>, 2029</w:t>
            </w:r>
          </w:p>
        </w:tc>
        <w:tc>
          <w:tcPr>
            <w:tcW w:w="3043" w:type="dxa"/>
          </w:tcPr>
          <w:p w:rsidR="000C55B0" w:rsidRPr="00940D27" w:rsidP="00BE0258" w14:paraId="482B785A" w14:textId="1FCFECEF">
            <w:pPr>
              <w:contextualSpacing/>
              <w:jc w:val="center"/>
              <w:rPr>
                <w:rFonts w:eastAsia="Aptos"/>
                <w:iCs/>
                <w:color w:val="000000"/>
                <w:sz w:val="20"/>
              </w:rPr>
            </w:pPr>
            <w:r w:rsidRPr="00290827">
              <w:rPr>
                <w:rFonts w:eastAsia="Aptos"/>
                <w:color w:val="000000"/>
                <w:sz w:val="20"/>
              </w:rPr>
              <w:t>FY 203</w:t>
            </w:r>
            <w:r>
              <w:rPr>
                <w:rFonts w:eastAsia="Aptos"/>
                <w:color w:val="000000"/>
                <w:sz w:val="20"/>
              </w:rPr>
              <w:t>1</w:t>
            </w:r>
          </w:p>
        </w:tc>
      </w:tr>
      <w:tr w14:paraId="414C6D58" w14:textId="77777777" w:rsidTr="004D37AE">
        <w:tblPrEx>
          <w:tblW w:w="0" w:type="auto"/>
          <w:tblLook w:val="04A0"/>
        </w:tblPrEx>
        <w:tc>
          <w:tcPr>
            <w:tcW w:w="3145" w:type="dxa"/>
            <w:vAlign w:val="center"/>
          </w:tcPr>
          <w:p w:rsidR="000C55B0" w:rsidRPr="00940D27" w:rsidP="000C55B0" w14:paraId="286EB594" w14:textId="77777777">
            <w:pPr>
              <w:jc w:val="center"/>
              <w:rPr>
                <w:rFonts w:eastAsia="Aptos"/>
                <w:color w:val="000000" w:themeColor="text1"/>
                <w:sz w:val="20"/>
              </w:rPr>
            </w:pPr>
            <w:r w:rsidRPr="05136CB8">
              <w:rPr>
                <w:rFonts w:eastAsia="Aptos"/>
                <w:color w:val="000000"/>
                <w:sz w:val="20"/>
              </w:rPr>
              <w:t>Q3 2029 (Jul 1 – Sept 30, 2029)</w:t>
            </w:r>
          </w:p>
        </w:tc>
        <w:tc>
          <w:tcPr>
            <w:tcW w:w="3162" w:type="dxa"/>
            <w:vAlign w:val="center"/>
          </w:tcPr>
          <w:p w:rsidR="000C55B0" w:rsidRPr="00767EC9" w:rsidP="000C55B0" w14:paraId="3A38B593" w14:textId="77777777">
            <w:pPr>
              <w:ind w:hanging="14"/>
              <w:contextualSpacing/>
              <w:jc w:val="center"/>
              <w:rPr>
                <w:rFonts w:eastAsia="Aptos"/>
                <w:color w:val="000000" w:themeColor="text1"/>
                <w:sz w:val="20"/>
              </w:rPr>
            </w:pPr>
            <w:r w:rsidRPr="00805A88">
              <w:rPr>
                <w:color w:val="000000"/>
                <w:sz w:val="20"/>
              </w:rPr>
              <w:t>November 1</w:t>
            </w:r>
            <w:r w:rsidRPr="00767EC9">
              <w:rPr>
                <w:color w:val="000000"/>
                <w:sz w:val="20"/>
              </w:rPr>
              <w:t>5</w:t>
            </w:r>
            <w:r w:rsidRPr="00767EC9">
              <w:rPr>
                <w:rFonts w:eastAsia="Aptos"/>
                <w:color w:val="000000"/>
                <w:sz w:val="20"/>
              </w:rPr>
              <w:t>, 2029</w:t>
            </w:r>
          </w:p>
        </w:tc>
        <w:tc>
          <w:tcPr>
            <w:tcW w:w="3043" w:type="dxa"/>
          </w:tcPr>
          <w:p w:rsidR="000C55B0" w:rsidRPr="00940D27" w:rsidP="00BE0258" w14:paraId="2C9A94D5" w14:textId="06C153C9">
            <w:pPr>
              <w:contextualSpacing/>
              <w:jc w:val="center"/>
              <w:rPr>
                <w:rFonts w:eastAsia="Aptos"/>
                <w:iCs/>
                <w:color w:val="000000"/>
                <w:sz w:val="20"/>
              </w:rPr>
            </w:pPr>
            <w:r w:rsidRPr="00290827">
              <w:rPr>
                <w:rFonts w:eastAsia="Aptos"/>
                <w:color w:val="000000"/>
                <w:sz w:val="20"/>
              </w:rPr>
              <w:t>FY 203</w:t>
            </w:r>
            <w:r>
              <w:rPr>
                <w:rFonts w:eastAsia="Aptos"/>
                <w:color w:val="000000"/>
                <w:sz w:val="20"/>
              </w:rPr>
              <w:t>1</w:t>
            </w:r>
          </w:p>
        </w:tc>
      </w:tr>
      <w:tr w14:paraId="1C4CE827" w14:textId="77777777" w:rsidTr="004D37AE">
        <w:tblPrEx>
          <w:tblW w:w="0" w:type="auto"/>
          <w:tblLook w:val="04A0"/>
        </w:tblPrEx>
        <w:tc>
          <w:tcPr>
            <w:tcW w:w="3145" w:type="dxa"/>
            <w:vAlign w:val="center"/>
          </w:tcPr>
          <w:p w:rsidR="000C55B0" w:rsidRPr="00940D27" w:rsidP="000C55B0" w14:paraId="2C0BAB20" w14:textId="77777777">
            <w:pPr>
              <w:jc w:val="center"/>
              <w:rPr>
                <w:rFonts w:eastAsia="Aptos"/>
                <w:color w:val="000000" w:themeColor="text1"/>
                <w:sz w:val="20"/>
              </w:rPr>
            </w:pPr>
            <w:r w:rsidRPr="05136CB8">
              <w:rPr>
                <w:color w:val="000000"/>
                <w:sz w:val="20"/>
              </w:rPr>
              <w:t>Q4 2029 (Oct 1 – Dec 31, 2029)</w:t>
            </w:r>
          </w:p>
        </w:tc>
        <w:tc>
          <w:tcPr>
            <w:tcW w:w="3162" w:type="dxa"/>
            <w:vAlign w:val="center"/>
          </w:tcPr>
          <w:p w:rsidR="000C55B0" w:rsidRPr="00767EC9" w:rsidP="000C55B0" w14:paraId="56B0C284" w14:textId="77777777">
            <w:pPr>
              <w:ind w:hanging="14"/>
              <w:contextualSpacing/>
              <w:jc w:val="center"/>
              <w:rPr>
                <w:rFonts w:eastAsia="Aptos"/>
                <w:color w:val="000000" w:themeColor="text1"/>
                <w:sz w:val="20"/>
              </w:rPr>
            </w:pPr>
            <w:r w:rsidRPr="00805A88">
              <w:rPr>
                <w:color w:val="000000"/>
                <w:sz w:val="20"/>
              </w:rPr>
              <w:t>February 1</w:t>
            </w:r>
            <w:r w:rsidRPr="00767EC9">
              <w:rPr>
                <w:color w:val="000000"/>
                <w:sz w:val="20"/>
              </w:rPr>
              <w:t>9</w:t>
            </w:r>
            <w:r w:rsidRPr="00767EC9">
              <w:rPr>
                <w:rFonts w:eastAsia="Aptos"/>
                <w:color w:val="000000"/>
                <w:sz w:val="20"/>
              </w:rPr>
              <w:t>, 2030</w:t>
            </w:r>
          </w:p>
        </w:tc>
        <w:tc>
          <w:tcPr>
            <w:tcW w:w="3043" w:type="dxa"/>
          </w:tcPr>
          <w:p w:rsidR="000C55B0" w:rsidRPr="00940D27" w:rsidP="00BE0258" w14:paraId="56231E44" w14:textId="41B7FA05">
            <w:pPr>
              <w:contextualSpacing/>
              <w:jc w:val="center"/>
              <w:rPr>
                <w:rFonts w:eastAsia="Aptos"/>
                <w:iCs/>
                <w:color w:val="000000"/>
                <w:sz w:val="20"/>
              </w:rPr>
            </w:pPr>
            <w:r w:rsidRPr="00290827">
              <w:rPr>
                <w:rFonts w:eastAsia="Aptos"/>
                <w:color w:val="000000"/>
                <w:sz w:val="20"/>
              </w:rPr>
              <w:t>FY 203</w:t>
            </w:r>
            <w:r>
              <w:rPr>
                <w:rFonts w:eastAsia="Aptos"/>
                <w:color w:val="000000"/>
                <w:sz w:val="20"/>
              </w:rPr>
              <w:t>1</w:t>
            </w:r>
          </w:p>
        </w:tc>
      </w:tr>
    </w:tbl>
    <w:p w:rsidR="006711F5" w:rsidRPr="00940D27" w:rsidP="006711F5" w14:paraId="4D72E4A7" w14:textId="02AED20D">
      <w:pPr>
        <w:widowControl/>
        <w:contextualSpacing/>
        <w:rPr>
          <w:rFonts w:eastAsia="Aptos"/>
          <w:color w:val="000000" w:themeColor="text1"/>
          <w:sz w:val="20"/>
        </w:rPr>
      </w:pPr>
      <w:r w:rsidRPr="05136CB8">
        <w:rPr>
          <w:rFonts w:eastAsia="Aptos"/>
          <w:color w:val="000000"/>
          <w:kern w:val="2"/>
          <w:sz w:val="20"/>
          <w14:ligatures w14:val="standardContextual"/>
        </w:rPr>
        <w:t>*</w:t>
      </w:r>
      <w:r w:rsidRPr="05136CB8">
        <w:rPr>
          <w:color w:val="000000"/>
          <w:kern w:val="2"/>
          <w:sz w:val="20"/>
          <w14:ligatures w14:val="standardContextual"/>
        </w:rPr>
        <w:t xml:space="preserve"> </w:t>
      </w:r>
      <w:r w:rsidRPr="05136CB8">
        <w:rPr>
          <w:rFonts w:eastAsia="Aptos"/>
          <w:color w:val="000000"/>
          <w:kern w:val="2"/>
          <w:sz w:val="20"/>
          <w14:ligatures w14:val="standardContextual"/>
        </w:rPr>
        <w:t xml:space="preserve">Submission deadlines reflect consideration of federal holidays and weekends. When that occurs, the data submission deadline </w:t>
      </w:r>
      <w:r w:rsidR="007204A3">
        <w:rPr>
          <w:rFonts w:eastAsia="Aptos"/>
          <w:color w:val="000000"/>
          <w:kern w:val="2"/>
          <w:sz w:val="20"/>
          <w14:ligatures w14:val="standardContextual"/>
        </w:rPr>
        <w:t>w</w:t>
      </w:r>
      <w:r w:rsidR="00F20BA0">
        <w:rPr>
          <w:rFonts w:eastAsia="Aptos"/>
          <w:color w:val="000000"/>
          <w:kern w:val="2"/>
          <w:sz w:val="20"/>
          <w14:ligatures w14:val="standardContextual"/>
        </w:rPr>
        <w:t>ill</w:t>
      </w:r>
      <w:r w:rsidR="007204A3">
        <w:rPr>
          <w:rFonts w:eastAsia="Aptos"/>
          <w:color w:val="000000"/>
          <w:kern w:val="2"/>
          <w:sz w:val="20"/>
          <w14:ligatures w14:val="standardContextual"/>
        </w:rPr>
        <w:t xml:space="preserve"> </w:t>
      </w:r>
      <w:r w:rsidRPr="05136CB8">
        <w:rPr>
          <w:rFonts w:eastAsia="Aptos"/>
          <w:color w:val="000000"/>
          <w:kern w:val="2"/>
          <w:sz w:val="20"/>
          <w14:ligatures w14:val="standardContextual"/>
        </w:rPr>
        <w:t>be moved to the next business day.</w:t>
      </w:r>
    </w:p>
    <w:p w:rsidR="00E13255" w:rsidP="006711F5" w14:paraId="3E38F849" w14:textId="77777777">
      <w:pPr>
        <w:pStyle w:val="BodyText"/>
      </w:pPr>
    </w:p>
    <w:p w:rsidR="006711F5" w:rsidP="006711F5" w14:paraId="661794F7" w14:textId="10E88AA7">
      <w:pPr>
        <w:pStyle w:val="BodyText"/>
      </w:pPr>
      <w:r>
        <w:rPr>
          <w:rFonts w:eastAsia="Aptos"/>
          <w:color w:val="000000"/>
          <w:kern w:val="2"/>
          <w14:ligatures w14:val="standardContextual"/>
        </w:rPr>
        <w:t>In the FY 2027 IPF PPS final rule, w</w:t>
      </w:r>
      <w:r w:rsidRPr="00940D27">
        <w:rPr>
          <w:rFonts w:eastAsia="Aptos"/>
          <w:color w:val="000000"/>
          <w:kern w:val="2"/>
          <w14:ligatures w14:val="standardContextual"/>
        </w:rPr>
        <w:t xml:space="preserve">e </w:t>
      </w:r>
      <w:r>
        <w:rPr>
          <w:rFonts w:eastAsia="Aptos"/>
          <w:color w:val="000000"/>
          <w:kern w:val="2"/>
          <w14:ligatures w14:val="standardContextual"/>
        </w:rPr>
        <w:t>finaliz</w:t>
      </w:r>
      <w:r w:rsidRPr="00940D27">
        <w:rPr>
          <w:rFonts w:eastAsia="Aptos"/>
          <w:color w:val="000000"/>
          <w:kern w:val="2"/>
          <w14:ligatures w14:val="standardContextual"/>
        </w:rPr>
        <w:t>e</w:t>
      </w:r>
      <w:r>
        <w:rPr>
          <w:rFonts w:eastAsia="Aptos"/>
          <w:color w:val="000000"/>
          <w:kern w:val="2"/>
          <w14:ligatures w14:val="standardContextual"/>
        </w:rPr>
        <w:t>d</w:t>
      </w:r>
      <w:r w:rsidRPr="00940D27">
        <w:rPr>
          <w:rFonts w:eastAsia="Aptos"/>
          <w:color w:val="000000"/>
          <w:kern w:val="2"/>
          <w14:ligatures w14:val="standardContextual"/>
        </w:rPr>
        <w:t xml:space="preserve"> </w:t>
      </w:r>
      <w:r>
        <w:t xml:space="preserve">to require mandatory collection of the IPF-PAI for all patients aged 18 and older beginning July 1, 2028, and that IPFs will need to complete 100 percent of the IPF-PAI assessment items on 50 percent of the IPF-PAIs submitted to meet the IPF Quality Reporting Program’s IPF-PAI requirement for the applicable annual payment determination. Beginning with the CY 2030 reporting period impacting the FY 2032 payment determination, the compliance threshold will increase to 70 percent. </w:t>
      </w:r>
      <w:r w:rsidR="003716D5">
        <w:t xml:space="preserve">Because we are </w:t>
      </w:r>
      <w:r w:rsidR="00550D18">
        <w:t xml:space="preserve">currently </w:t>
      </w:r>
      <w:r w:rsidR="003716D5">
        <w:t>unable to estimate the percent of IPF-PAIs submitted that may have less than 100 percent of assessment items completed, for burden estimating purposes, we assume 100 percent of assessment items will be completed for 100 percent of IPF-PAIs submitted.</w:t>
      </w:r>
    </w:p>
    <w:p w:rsidR="0088435B" w:rsidRPr="002E3733" w:rsidP="4DF1D982" w14:paraId="7EE12EF6" w14:textId="6D54AFED">
      <w:pPr>
        <w:pStyle w:val="BodyText"/>
        <w:spacing w:line="259" w:lineRule="auto"/>
      </w:pPr>
      <w:r>
        <w:t xml:space="preserve">We estimate that there are approximately </w:t>
      </w:r>
      <w:r w:rsidR="00CE1BDE">
        <w:t>1,5</w:t>
      </w:r>
      <w:r>
        <w:t>64 facilities eligible to participate in the IPF</w:t>
      </w:r>
      <w:r w:rsidR="00845EBF">
        <w:t xml:space="preserve"> </w:t>
      </w:r>
      <w:r>
        <w:t>Q</w:t>
      </w:r>
      <w:r w:rsidR="00845EBF">
        <w:t xml:space="preserve">uality </w:t>
      </w:r>
      <w:r>
        <w:t>R</w:t>
      </w:r>
      <w:r w:rsidR="00845EBF">
        <w:t>eporting</w:t>
      </w:r>
      <w:r>
        <w:t xml:space="preserve"> Program </w:t>
      </w:r>
      <w:r w:rsidR="00E13255">
        <w:t xml:space="preserve">with an average of 1,342 discharges per IPF </w:t>
      </w:r>
      <w:r>
        <w:t>(</w:t>
      </w:r>
      <w:r w:rsidR="003716D5">
        <w:t>based on data from the FY 2027 payment determination</w:t>
      </w:r>
      <w:r>
        <w:t>). Because historical data indicate that almost all facilities participate</w:t>
      </w:r>
      <w:r w:rsidR="108C3242">
        <w:t xml:space="preserve"> in the IPF Quality Reporting Program</w:t>
      </w:r>
      <w:r>
        <w:t xml:space="preserve">, and because we wish to be conservative in our estimates, we estimated that </w:t>
      </w:r>
      <w:r w:rsidR="4513B10F">
        <w:t>half of the eligible IPFs will complete the IPF-PAI when submission is voluntary</w:t>
      </w:r>
      <w:r w:rsidR="3B4F2DF0">
        <w:t xml:space="preserve"> (Q4 of CY 2027 through Q2 of CY 2028)</w:t>
      </w:r>
      <w:r w:rsidR="4513B10F">
        <w:t xml:space="preserve">, and that </w:t>
      </w:r>
      <w:r>
        <w:t xml:space="preserve">all eligible facilities will </w:t>
      </w:r>
      <w:r w:rsidR="003716D5">
        <w:t xml:space="preserve">complete the IPF-PAI </w:t>
      </w:r>
      <w:r w:rsidR="61A466DE">
        <w:t xml:space="preserve">when </w:t>
      </w:r>
      <w:r w:rsidR="5DA6F7B0">
        <w:t xml:space="preserve">submission is mandatory (beginning </w:t>
      </w:r>
      <w:r w:rsidR="7C21D99F">
        <w:t>Q3 of CY 2028)</w:t>
      </w:r>
      <w:r w:rsidR="2569DE95">
        <w:t xml:space="preserve">. </w:t>
      </w:r>
      <w:r w:rsidR="00E13255">
        <w:t xml:space="preserve">To calculate the number of patients for </w:t>
      </w:r>
      <w:r w:rsidR="005852F8">
        <w:t xml:space="preserve">whom </w:t>
      </w:r>
      <w:r w:rsidR="00E13255">
        <w:t xml:space="preserve">the IPF-PAI will be administered, we multiply the number of IPFs by the average discharges per IPF, for a total of 2,098,888 patients (1,564 IPFs x 1,342 discharges/IPF).  </w:t>
      </w:r>
    </w:p>
    <w:p w:rsidR="00EF436B" w:rsidP="00DB2CBE" w14:paraId="7C257182" w14:textId="488C93CA">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r w:rsidRPr="00DB2CBE">
        <w:rPr>
          <w:sz w:val="24"/>
          <w:szCs w:val="24"/>
        </w:rPr>
        <w:t xml:space="preserve">We also assume the IPF-PAI will be completed by a variety of clinical or </w:t>
      </w:r>
      <w:r w:rsidR="005852F8">
        <w:rPr>
          <w:sz w:val="24"/>
          <w:szCs w:val="24"/>
        </w:rPr>
        <w:t>administrative</w:t>
      </w:r>
      <w:r w:rsidRPr="00DB2CBE" w:rsidR="005852F8">
        <w:rPr>
          <w:sz w:val="24"/>
          <w:szCs w:val="24"/>
        </w:rPr>
        <w:t xml:space="preserve"> </w:t>
      </w:r>
      <w:r w:rsidRPr="00DB2CBE">
        <w:rPr>
          <w:sz w:val="24"/>
          <w:szCs w:val="24"/>
        </w:rPr>
        <w:t xml:space="preserve">staff. </w:t>
      </w:r>
      <w:r w:rsidR="00B75F05">
        <w:rPr>
          <w:sz w:val="24"/>
          <w:szCs w:val="24"/>
        </w:rPr>
        <w:t>As shown in Table 3, w</w:t>
      </w:r>
      <w:r w:rsidRPr="00DB2CBE">
        <w:rPr>
          <w:sz w:val="24"/>
          <w:szCs w:val="24"/>
        </w:rPr>
        <w:t>e estimate that approximately 50 percent of data collect</w:t>
      </w:r>
      <w:r w:rsidR="007208C0">
        <w:rPr>
          <w:sz w:val="24"/>
          <w:szCs w:val="24"/>
        </w:rPr>
        <w:t>ion</w:t>
      </w:r>
      <w:r w:rsidRPr="00DB2CBE">
        <w:rPr>
          <w:sz w:val="24"/>
          <w:szCs w:val="24"/>
        </w:rPr>
        <w:t xml:space="preserve"> associated with the IPF-PAI will be completed by Medical Records Specialists with the remaining 50 percent being split equally by Registered Nurses (RNs), Licensed Practical/Licensed Vocational Nurses (LP/LVNs), and Mental Health and Substance Abuse Social Workers. </w:t>
      </w:r>
      <w:r w:rsidR="00E13255">
        <w:rPr>
          <w:sz w:val="24"/>
          <w:szCs w:val="24"/>
        </w:rPr>
        <w:t>W</w:t>
      </w:r>
      <w:r w:rsidRPr="00DB2CBE">
        <w:rPr>
          <w:sz w:val="24"/>
          <w:szCs w:val="24"/>
        </w:rPr>
        <w:t>e utilize</w:t>
      </w:r>
      <w:r w:rsidR="00DF3C74">
        <w:rPr>
          <w:sz w:val="24"/>
          <w:szCs w:val="24"/>
        </w:rPr>
        <w:t>d</w:t>
      </w:r>
      <w:r w:rsidRPr="00DB2CBE">
        <w:rPr>
          <w:sz w:val="24"/>
          <w:szCs w:val="24"/>
        </w:rPr>
        <w:t xml:space="preserve"> the BLS median hourly wage rates of </w:t>
      </w:r>
      <w:r w:rsidR="00483B21">
        <w:rPr>
          <w:sz w:val="24"/>
          <w:szCs w:val="24"/>
        </w:rPr>
        <w:t xml:space="preserve">$27.53/hour, </w:t>
      </w:r>
      <w:r w:rsidRPr="00DB2CBE">
        <w:rPr>
          <w:sz w:val="24"/>
          <w:szCs w:val="24"/>
        </w:rPr>
        <w:t xml:space="preserve">$46.74/hour, $28.09/hour, and $37.49/hour for </w:t>
      </w:r>
      <w:r w:rsidR="00483B21">
        <w:rPr>
          <w:sz w:val="24"/>
          <w:szCs w:val="24"/>
        </w:rPr>
        <w:t xml:space="preserve">Medical Records Specialists </w:t>
      </w:r>
      <w:r w:rsidRPr="00483B21" w:rsidR="00483B21">
        <w:rPr>
          <w:sz w:val="24"/>
          <w:szCs w:val="24"/>
        </w:rPr>
        <w:t>(SOC 29-2072)</w:t>
      </w:r>
      <w:r w:rsidR="00483B21">
        <w:rPr>
          <w:sz w:val="24"/>
          <w:szCs w:val="24"/>
        </w:rPr>
        <w:t xml:space="preserve">, </w:t>
      </w:r>
      <w:r w:rsidRPr="00DB2CBE">
        <w:rPr>
          <w:sz w:val="24"/>
          <w:szCs w:val="24"/>
        </w:rPr>
        <w:t>RNs (SOC 29-1141), LP/LVNs (SOC 29-2061), and Mental Health and Substance Abuse Social Workers (SOC 21-1023)</w:t>
      </w:r>
      <w:r w:rsidR="00926EB7">
        <w:rPr>
          <w:sz w:val="24"/>
          <w:szCs w:val="24"/>
        </w:rPr>
        <w:t>, respectively,</w:t>
      </w:r>
      <w:r w:rsidRPr="00DB2CBE">
        <w:rPr>
          <w:sz w:val="24"/>
          <w:szCs w:val="24"/>
        </w:rPr>
        <w:t xml:space="preserve"> for the industry, </w:t>
      </w:r>
      <w:sdt>
        <w:sdtPr>
          <w:rPr>
            <w:sz w:val="24"/>
            <w:szCs w:val="24"/>
          </w:rPr>
          <w:alias w:val=" "/>
          <w:tag w:val="NAV_SWIFT_7644a299-9ca8-47ef-85e5-ebed57e60226"/>
          <w:id w:val="-1633702984"/>
          <w:placeholder>
            <w:docPart w:val="120F6BD39E2A4D00939A3DDC75264636"/>
          </w:placeholder>
          <w:showingPlcHdr/>
          <w:richText/>
          <w15:appearance w15:val="hidden"/>
        </w:sdtPr>
        <w:sdtContent/>
      </w:sdt>
      <w:r w:rsidRPr="00DB2CBE">
        <w:rPr>
          <w:sz w:val="24"/>
          <w:szCs w:val="24"/>
        </w:rPr>
        <w:t>“general medical and surgical hospitals”</w:t>
      </w:r>
      <w:r>
        <w:rPr>
          <w:rStyle w:val="FootnoteReference"/>
          <w:sz w:val="24"/>
          <w:szCs w:val="24"/>
        </w:rPr>
        <w:footnoteReference w:id="10"/>
      </w:r>
      <w:r w:rsidRPr="00DB2CBE">
        <w:rPr>
          <w:sz w:val="24"/>
          <w:szCs w:val="24"/>
        </w:rPr>
        <w:t xml:space="preserve"> and calculated the cost of overhead, including fringe benefits, at 100 percent of the median hourly wage. As a result, we </w:t>
      </w:r>
      <w:r>
        <w:rPr>
          <w:sz w:val="24"/>
          <w:szCs w:val="24"/>
        </w:rPr>
        <w:t>use</w:t>
      </w:r>
      <w:r w:rsidRPr="00DB2CBE">
        <w:rPr>
          <w:sz w:val="24"/>
          <w:szCs w:val="24"/>
        </w:rPr>
        <w:t xml:space="preserve"> a weighted average labor rate of $65.04/hour [($</w:t>
      </w:r>
      <w:r w:rsidR="00BA1E8F">
        <w:rPr>
          <w:sz w:val="24"/>
          <w:szCs w:val="24"/>
        </w:rPr>
        <w:t>27.53</w:t>
      </w:r>
      <w:r w:rsidRPr="00DB2CBE">
        <w:rPr>
          <w:sz w:val="24"/>
          <w:szCs w:val="24"/>
        </w:rPr>
        <w:t xml:space="preserve">/hour </w:t>
      </w:r>
      <w:r w:rsidR="00BA1E8F">
        <w:rPr>
          <w:sz w:val="24"/>
          <w:szCs w:val="24"/>
        </w:rPr>
        <w:t xml:space="preserve">x 2 </w:t>
      </w:r>
      <w:r w:rsidRPr="00DB2CBE">
        <w:rPr>
          <w:sz w:val="24"/>
          <w:szCs w:val="24"/>
        </w:rPr>
        <w:t xml:space="preserve">x 50 percent) + ($46.74/hour x 2 x 16.7 percent) + ($28.09/hour x 2 x 16.7 percent) + ($37.49/hour x 2 x 16.7 percent)]. </w:t>
      </w:r>
    </w:p>
    <w:p w:rsidR="00EF436B" w:rsidP="00DB2CBE" w14:paraId="58C12518" w14:textId="77777777">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p>
    <w:p w:rsidR="00C62432" w:rsidRPr="003160CA" w:rsidP="00C62432" w14:paraId="4973AA6A" w14:textId="46A9E364">
      <w:pPr>
        <w:pStyle w:val="Caption"/>
        <w:jc w:val="center"/>
        <w:rPr>
          <w:rFonts w:eastAsia="Calibri"/>
          <w:sz w:val="22"/>
          <w:szCs w:val="22"/>
        </w:rPr>
      </w:pPr>
      <w:r w:rsidRPr="003160CA">
        <w:rPr>
          <w:sz w:val="22"/>
          <w:szCs w:val="22"/>
        </w:rPr>
        <w:t>T</w:t>
      </w:r>
      <w:r w:rsidRPr="003160CA" w:rsidR="00B75F05">
        <w:rPr>
          <w:sz w:val="22"/>
          <w:szCs w:val="22"/>
        </w:rPr>
        <w:t>ABLE 3</w:t>
      </w:r>
      <w:r w:rsidRPr="003160CA">
        <w:rPr>
          <w:sz w:val="22"/>
          <w:szCs w:val="22"/>
        </w:rPr>
        <w:t xml:space="preserve">: </w:t>
      </w:r>
      <w:r w:rsidRPr="003160CA" w:rsidR="00B75F05">
        <w:rPr>
          <w:sz w:val="22"/>
          <w:szCs w:val="22"/>
        </w:rPr>
        <w:t>WAGE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6"/>
        <w:gridCol w:w="1530"/>
        <w:gridCol w:w="1357"/>
        <w:gridCol w:w="1426"/>
        <w:gridCol w:w="1411"/>
        <w:gridCol w:w="1055"/>
        <w:gridCol w:w="1055"/>
      </w:tblGrid>
      <w:tr w14:paraId="34B58911" w14:textId="47C57B89" w:rsidTr="003160C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56" w:type="dxa"/>
            <w:shd w:val="clear" w:color="auto" w:fill="BFBFBF" w:themeFill="background1" w:themeFillShade="BF"/>
          </w:tcPr>
          <w:p w:rsidR="00C62432" w:rsidRPr="00F3714D" w:rsidP="00CF1B47" w14:paraId="755D89E2" w14:textId="77777777">
            <w:pPr>
              <w:keepNext/>
              <w:rPr>
                <w:rFonts w:eastAsia="Calibri"/>
                <w:b/>
                <w:bCs/>
                <w:sz w:val="20"/>
                <w:szCs w:val="20"/>
              </w:rPr>
            </w:pPr>
            <w:r>
              <w:rPr>
                <w:rFonts w:eastAsia="Calibri"/>
                <w:b/>
                <w:bCs/>
                <w:sz w:val="20"/>
                <w:szCs w:val="20"/>
              </w:rPr>
              <w:t>Role</w:t>
            </w:r>
          </w:p>
        </w:tc>
        <w:tc>
          <w:tcPr>
            <w:tcW w:w="1530" w:type="dxa"/>
            <w:shd w:val="clear" w:color="auto" w:fill="BFBFBF" w:themeFill="background1" w:themeFillShade="BF"/>
          </w:tcPr>
          <w:p w:rsidR="00C62432" w:rsidRPr="00F3714D" w:rsidP="00CF1B47" w14:paraId="207F9A17" w14:textId="77777777">
            <w:pPr>
              <w:keepNext/>
              <w:rPr>
                <w:rFonts w:eastAsia="Calibri"/>
                <w:b/>
                <w:bCs/>
                <w:sz w:val="20"/>
                <w:szCs w:val="20"/>
              </w:rPr>
            </w:pPr>
            <w:r w:rsidRPr="00F3714D">
              <w:rPr>
                <w:rFonts w:eastAsia="Calibri"/>
                <w:b/>
                <w:bCs/>
                <w:sz w:val="20"/>
                <w:szCs w:val="20"/>
              </w:rPr>
              <w:t>Occupation Code</w:t>
            </w:r>
            <w:r>
              <w:rPr>
                <w:rFonts w:eastAsia="Calibri"/>
                <w:b/>
                <w:bCs/>
                <w:sz w:val="20"/>
                <w:szCs w:val="20"/>
              </w:rPr>
              <w:t>, if applicable</w:t>
            </w:r>
          </w:p>
        </w:tc>
        <w:tc>
          <w:tcPr>
            <w:tcW w:w="1357" w:type="dxa"/>
            <w:shd w:val="clear" w:color="auto" w:fill="BFBFBF" w:themeFill="background1" w:themeFillShade="BF"/>
          </w:tcPr>
          <w:p w:rsidR="00C62432" w:rsidRPr="00F3714D" w:rsidP="00CF1B47" w14:paraId="5A4728EA" w14:textId="77777777">
            <w:pPr>
              <w:keepNext/>
              <w:rPr>
                <w:rFonts w:eastAsia="Calibri"/>
                <w:b/>
                <w:bCs/>
                <w:sz w:val="20"/>
                <w:szCs w:val="20"/>
              </w:rPr>
            </w:pPr>
            <w:r w:rsidRPr="00F3714D">
              <w:rPr>
                <w:rFonts w:eastAsia="Calibri"/>
                <w:b/>
                <w:bCs/>
                <w:sz w:val="20"/>
                <w:szCs w:val="20"/>
              </w:rPr>
              <w:t>Hourly Wage ($/</w:t>
            </w:r>
            <w:r>
              <w:rPr>
                <w:rFonts w:eastAsia="Calibri"/>
                <w:b/>
                <w:bCs/>
                <w:sz w:val="20"/>
                <w:szCs w:val="20"/>
              </w:rPr>
              <w:t>hour</w:t>
            </w:r>
            <w:r w:rsidRPr="00F3714D">
              <w:rPr>
                <w:rFonts w:eastAsia="Calibri"/>
                <w:b/>
                <w:bCs/>
                <w:sz w:val="20"/>
                <w:szCs w:val="20"/>
              </w:rPr>
              <w:t>)</w:t>
            </w:r>
          </w:p>
        </w:tc>
        <w:tc>
          <w:tcPr>
            <w:tcW w:w="1426" w:type="dxa"/>
            <w:shd w:val="clear" w:color="auto" w:fill="BFBFBF" w:themeFill="background1" w:themeFillShade="BF"/>
          </w:tcPr>
          <w:p w:rsidR="00C62432" w:rsidRPr="00F3714D" w:rsidP="00CF1B47" w14:paraId="76F97A90" w14:textId="77777777">
            <w:pPr>
              <w:keepNext/>
              <w:rPr>
                <w:rFonts w:eastAsia="Calibri"/>
                <w:b/>
                <w:bCs/>
                <w:sz w:val="20"/>
                <w:szCs w:val="20"/>
              </w:rPr>
            </w:pPr>
            <w:r w:rsidRPr="00F3714D">
              <w:rPr>
                <w:rFonts w:eastAsia="Calibri"/>
                <w:b/>
                <w:bCs/>
                <w:sz w:val="20"/>
                <w:szCs w:val="20"/>
              </w:rPr>
              <w:t>Fringe Benefits and Overhead ($/</w:t>
            </w:r>
            <w:r>
              <w:rPr>
                <w:rFonts w:eastAsia="Calibri"/>
                <w:b/>
                <w:bCs/>
                <w:sz w:val="20"/>
                <w:szCs w:val="20"/>
              </w:rPr>
              <w:t>hour</w:t>
            </w:r>
            <w:r w:rsidRPr="00F3714D">
              <w:rPr>
                <w:rFonts w:eastAsia="Calibri"/>
                <w:b/>
                <w:bCs/>
                <w:sz w:val="20"/>
                <w:szCs w:val="20"/>
              </w:rPr>
              <w:t>)</w:t>
            </w:r>
          </w:p>
        </w:tc>
        <w:tc>
          <w:tcPr>
            <w:tcW w:w="1411" w:type="dxa"/>
            <w:shd w:val="clear" w:color="auto" w:fill="BFBFBF" w:themeFill="background1" w:themeFillShade="BF"/>
          </w:tcPr>
          <w:p w:rsidR="00C62432" w:rsidRPr="00F3714D" w:rsidP="00CF1B47" w14:paraId="5BDFD32F" w14:textId="77777777">
            <w:pPr>
              <w:keepNext/>
              <w:rPr>
                <w:rFonts w:eastAsia="Calibri"/>
                <w:b/>
                <w:bCs/>
                <w:sz w:val="20"/>
                <w:szCs w:val="20"/>
              </w:rPr>
            </w:pPr>
            <w:r w:rsidRPr="00F3714D">
              <w:rPr>
                <w:rFonts w:eastAsia="Calibri"/>
                <w:b/>
                <w:bCs/>
                <w:sz w:val="20"/>
                <w:szCs w:val="20"/>
              </w:rPr>
              <w:t>Adjusted Hourly Wage ($/</w:t>
            </w:r>
            <w:r>
              <w:rPr>
                <w:rFonts w:eastAsia="Calibri"/>
                <w:b/>
                <w:bCs/>
                <w:sz w:val="20"/>
                <w:szCs w:val="20"/>
              </w:rPr>
              <w:t>hour</w:t>
            </w:r>
            <w:r w:rsidRPr="00F3714D">
              <w:rPr>
                <w:rFonts w:eastAsia="Calibri"/>
                <w:b/>
                <w:bCs/>
                <w:sz w:val="20"/>
                <w:szCs w:val="20"/>
              </w:rPr>
              <w:t>)</w:t>
            </w:r>
          </w:p>
        </w:tc>
        <w:tc>
          <w:tcPr>
            <w:tcW w:w="1055" w:type="dxa"/>
            <w:shd w:val="clear" w:color="auto" w:fill="BFBFBF" w:themeFill="background1" w:themeFillShade="BF"/>
          </w:tcPr>
          <w:p w:rsidR="00C62432" w:rsidRPr="00F3714D" w:rsidP="00CF1B47" w14:paraId="794CF5BF" w14:textId="72986A83">
            <w:pPr>
              <w:keepNext/>
              <w:rPr>
                <w:rFonts w:eastAsia="Calibri"/>
                <w:b/>
                <w:bCs/>
                <w:sz w:val="20"/>
                <w:szCs w:val="20"/>
              </w:rPr>
            </w:pPr>
            <w:r>
              <w:rPr>
                <w:rFonts w:eastAsia="Calibri"/>
                <w:b/>
                <w:bCs/>
                <w:sz w:val="20"/>
                <w:szCs w:val="20"/>
              </w:rPr>
              <w:t>Weight</w:t>
            </w:r>
          </w:p>
        </w:tc>
        <w:tc>
          <w:tcPr>
            <w:tcW w:w="1055" w:type="dxa"/>
            <w:shd w:val="clear" w:color="auto" w:fill="BFBFBF" w:themeFill="background1" w:themeFillShade="BF"/>
          </w:tcPr>
          <w:p w:rsidR="00C62432" w:rsidRPr="00F3714D" w:rsidP="00CF1B47" w14:paraId="7E211C85" w14:textId="0F8AF3A8">
            <w:pPr>
              <w:keepNext/>
              <w:rPr>
                <w:rFonts w:eastAsia="Calibri"/>
                <w:b/>
                <w:bCs/>
                <w:sz w:val="20"/>
                <w:szCs w:val="20"/>
              </w:rPr>
            </w:pPr>
            <w:r>
              <w:rPr>
                <w:rFonts w:eastAsia="Calibri"/>
                <w:b/>
                <w:bCs/>
                <w:sz w:val="20"/>
                <w:szCs w:val="20"/>
              </w:rPr>
              <w:t>Weighted Rate</w:t>
            </w:r>
            <w:r w:rsidR="00B75F05">
              <w:rPr>
                <w:rFonts w:eastAsia="Calibri"/>
                <w:b/>
                <w:bCs/>
                <w:sz w:val="20"/>
                <w:szCs w:val="20"/>
              </w:rPr>
              <w:t xml:space="preserve"> ($/hour)</w:t>
            </w:r>
          </w:p>
        </w:tc>
      </w:tr>
      <w:tr w14:paraId="36BC2C19" w14:textId="57500DC8" w:rsidTr="003160CA">
        <w:tblPrEx>
          <w:tblW w:w="0" w:type="auto"/>
          <w:tblLook w:val="04A0"/>
        </w:tblPrEx>
        <w:tc>
          <w:tcPr>
            <w:tcW w:w="1756" w:type="dxa"/>
          </w:tcPr>
          <w:p w:rsidR="00C62432" w:rsidRPr="002E3733" w:rsidP="00CF1B47" w14:paraId="33582698" w14:textId="77777777">
            <w:pPr>
              <w:keepNext/>
              <w:rPr>
                <w:rFonts w:eastAsia="Calibri"/>
                <w:sz w:val="20"/>
                <w:szCs w:val="20"/>
              </w:rPr>
            </w:pPr>
            <w:r w:rsidRPr="002E3733">
              <w:rPr>
                <w:rFonts w:eastAsia="Calibri"/>
                <w:sz w:val="20"/>
                <w:szCs w:val="20"/>
              </w:rPr>
              <w:t xml:space="preserve">Medical Records </w:t>
            </w:r>
            <w:r>
              <w:rPr>
                <w:rFonts w:eastAsia="Calibri"/>
                <w:sz w:val="20"/>
                <w:szCs w:val="20"/>
              </w:rPr>
              <w:t>Specialist</w:t>
            </w:r>
          </w:p>
        </w:tc>
        <w:tc>
          <w:tcPr>
            <w:tcW w:w="1530" w:type="dxa"/>
          </w:tcPr>
          <w:p w:rsidR="00C62432" w:rsidRPr="002E3733" w:rsidP="00CF1B47" w14:paraId="57CD71C1" w14:textId="77777777">
            <w:pPr>
              <w:keepNext/>
              <w:jc w:val="center"/>
              <w:rPr>
                <w:rFonts w:eastAsia="Calibri"/>
                <w:sz w:val="20"/>
                <w:szCs w:val="20"/>
              </w:rPr>
            </w:pPr>
            <w:r w:rsidRPr="002E3733">
              <w:rPr>
                <w:rFonts w:eastAsia="Calibri"/>
                <w:sz w:val="20"/>
                <w:szCs w:val="20"/>
              </w:rPr>
              <w:t>29-207</w:t>
            </w:r>
            <w:r>
              <w:rPr>
                <w:rFonts w:eastAsia="Calibri"/>
                <w:sz w:val="20"/>
                <w:szCs w:val="20"/>
              </w:rPr>
              <w:t>2</w:t>
            </w:r>
          </w:p>
        </w:tc>
        <w:tc>
          <w:tcPr>
            <w:tcW w:w="1357" w:type="dxa"/>
          </w:tcPr>
          <w:p w:rsidR="00C62432" w:rsidRPr="002E3733" w:rsidP="00CF1B47" w14:paraId="7F91DF76" w14:textId="77777777">
            <w:pPr>
              <w:keepNext/>
              <w:jc w:val="center"/>
              <w:rPr>
                <w:rFonts w:eastAsia="Calibri"/>
                <w:sz w:val="20"/>
                <w:szCs w:val="20"/>
              </w:rPr>
            </w:pPr>
            <w:r>
              <w:t>27.53</w:t>
            </w:r>
          </w:p>
        </w:tc>
        <w:tc>
          <w:tcPr>
            <w:tcW w:w="1426" w:type="dxa"/>
          </w:tcPr>
          <w:p w:rsidR="00C62432" w:rsidRPr="002E3733" w:rsidP="00CF1B47" w14:paraId="1A36B6B8" w14:textId="77777777">
            <w:pPr>
              <w:keepNext/>
              <w:jc w:val="center"/>
              <w:rPr>
                <w:rFonts w:eastAsia="Calibri"/>
                <w:sz w:val="20"/>
                <w:szCs w:val="20"/>
              </w:rPr>
            </w:pPr>
            <w:r>
              <w:t>27.53</w:t>
            </w:r>
          </w:p>
        </w:tc>
        <w:tc>
          <w:tcPr>
            <w:tcW w:w="1411" w:type="dxa"/>
          </w:tcPr>
          <w:p w:rsidR="00C62432" w:rsidRPr="002E3733" w:rsidP="00CF1B47" w14:paraId="400C6645" w14:textId="77777777">
            <w:pPr>
              <w:keepNext/>
              <w:jc w:val="center"/>
              <w:rPr>
                <w:rFonts w:eastAsia="Calibri"/>
                <w:sz w:val="20"/>
                <w:szCs w:val="20"/>
              </w:rPr>
            </w:pPr>
            <w:r>
              <w:t>55.06</w:t>
            </w:r>
          </w:p>
        </w:tc>
        <w:tc>
          <w:tcPr>
            <w:tcW w:w="1055" w:type="dxa"/>
          </w:tcPr>
          <w:p w:rsidR="00C62432" w:rsidP="00CF1B47" w14:paraId="7CF93754" w14:textId="434DDAE3">
            <w:pPr>
              <w:keepNext/>
              <w:jc w:val="center"/>
            </w:pPr>
            <w:r>
              <w:t>50.0%</w:t>
            </w:r>
          </w:p>
        </w:tc>
        <w:tc>
          <w:tcPr>
            <w:tcW w:w="1055" w:type="dxa"/>
          </w:tcPr>
          <w:p w:rsidR="00C62432" w:rsidP="00CF1B47" w14:paraId="352D880D" w14:textId="26B9CA44">
            <w:pPr>
              <w:keepNext/>
              <w:jc w:val="center"/>
            </w:pPr>
            <w:r>
              <w:t>27.53</w:t>
            </w:r>
          </w:p>
        </w:tc>
      </w:tr>
      <w:tr w14:paraId="5F1FA647" w14:textId="2EC91EC2" w:rsidTr="003160CA">
        <w:tblPrEx>
          <w:tblW w:w="0" w:type="auto"/>
          <w:tblLook w:val="04A0"/>
        </w:tblPrEx>
        <w:tc>
          <w:tcPr>
            <w:tcW w:w="1756" w:type="dxa"/>
          </w:tcPr>
          <w:p w:rsidR="00C62432" w:rsidRPr="002E3733" w:rsidP="00CF1B47" w14:paraId="6BF49C69" w14:textId="4A6711C1">
            <w:pPr>
              <w:keepNext/>
              <w:rPr>
                <w:rFonts w:eastAsia="Calibri"/>
                <w:sz w:val="20"/>
                <w:szCs w:val="20"/>
              </w:rPr>
            </w:pPr>
            <w:r>
              <w:rPr>
                <w:rFonts w:eastAsia="Calibri"/>
                <w:sz w:val="20"/>
                <w:szCs w:val="20"/>
              </w:rPr>
              <w:t>Registered Nurses</w:t>
            </w:r>
          </w:p>
        </w:tc>
        <w:tc>
          <w:tcPr>
            <w:tcW w:w="1530" w:type="dxa"/>
          </w:tcPr>
          <w:p w:rsidR="00C62432" w:rsidRPr="002E3733" w:rsidP="00CF1B47" w14:paraId="2221667A" w14:textId="43D7D6D9">
            <w:pPr>
              <w:keepNext/>
              <w:jc w:val="center"/>
              <w:rPr>
                <w:rFonts w:eastAsia="Calibri"/>
                <w:sz w:val="20"/>
                <w:szCs w:val="20"/>
              </w:rPr>
            </w:pPr>
            <w:r>
              <w:rPr>
                <w:rFonts w:eastAsia="Calibri"/>
                <w:sz w:val="20"/>
                <w:szCs w:val="20"/>
              </w:rPr>
              <w:t>29-1141</w:t>
            </w:r>
          </w:p>
        </w:tc>
        <w:tc>
          <w:tcPr>
            <w:tcW w:w="1357" w:type="dxa"/>
          </w:tcPr>
          <w:p w:rsidR="00C62432" w:rsidP="00CF1B47" w14:paraId="76651362" w14:textId="68E3F904">
            <w:pPr>
              <w:keepNext/>
              <w:jc w:val="center"/>
            </w:pPr>
            <w:r>
              <w:t>46.74</w:t>
            </w:r>
          </w:p>
        </w:tc>
        <w:tc>
          <w:tcPr>
            <w:tcW w:w="1426" w:type="dxa"/>
          </w:tcPr>
          <w:p w:rsidR="00C62432" w:rsidP="00C62432" w14:paraId="1EA5983B" w14:textId="606BCBC4">
            <w:pPr>
              <w:keepNext/>
              <w:jc w:val="center"/>
            </w:pPr>
            <w:r>
              <w:t>46.74</w:t>
            </w:r>
          </w:p>
        </w:tc>
        <w:tc>
          <w:tcPr>
            <w:tcW w:w="1411" w:type="dxa"/>
          </w:tcPr>
          <w:p w:rsidR="00C62432" w:rsidP="00CF1B47" w14:paraId="51CDCC33" w14:textId="0372FAF6">
            <w:pPr>
              <w:keepNext/>
              <w:jc w:val="center"/>
            </w:pPr>
            <w:r>
              <w:t>93.48</w:t>
            </w:r>
          </w:p>
        </w:tc>
        <w:tc>
          <w:tcPr>
            <w:tcW w:w="1055" w:type="dxa"/>
          </w:tcPr>
          <w:p w:rsidR="00C62432" w:rsidP="00CF1B47" w14:paraId="6424C701" w14:textId="5C718B20">
            <w:pPr>
              <w:keepNext/>
              <w:jc w:val="center"/>
            </w:pPr>
            <w:r>
              <w:t>16.7%</w:t>
            </w:r>
          </w:p>
        </w:tc>
        <w:tc>
          <w:tcPr>
            <w:tcW w:w="1055" w:type="dxa"/>
          </w:tcPr>
          <w:p w:rsidR="00C62432" w:rsidP="00CF1B47" w14:paraId="74ADCF9E" w14:textId="40D1AE57">
            <w:pPr>
              <w:keepNext/>
              <w:jc w:val="center"/>
            </w:pPr>
            <w:r>
              <w:t>15.</w:t>
            </w:r>
            <w:r w:rsidR="00B75F05">
              <w:t>61</w:t>
            </w:r>
          </w:p>
        </w:tc>
      </w:tr>
      <w:tr w14:paraId="19EF7BDF" w14:textId="4B02C3C1" w:rsidTr="003160CA">
        <w:tblPrEx>
          <w:tblW w:w="0" w:type="auto"/>
          <w:tblLook w:val="04A0"/>
        </w:tblPrEx>
        <w:tc>
          <w:tcPr>
            <w:tcW w:w="1756" w:type="dxa"/>
          </w:tcPr>
          <w:p w:rsidR="00C62432" w:rsidP="00CF1B47" w14:paraId="5896184F" w14:textId="78A5239B">
            <w:pPr>
              <w:keepNext/>
              <w:rPr>
                <w:rFonts w:eastAsia="Calibri"/>
                <w:sz w:val="20"/>
                <w:szCs w:val="20"/>
              </w:rPr>
            </w:pPr>
            <w:r>
              <w:rPr>
                <w:rFonts w:eastAsia="Calibri"/>
                <w:sz w:val="20"/>
                <w:szCs w:val="20"/>
              </w:rPr>
              <w:t>Licensed Practical/Licensed Vocational Nurses</w:t>
            </w:r>
          </w:p>
        </w:tc>
        <w:tc>
          <w:tcPr>
            <w:tcW w:w="1530" w:type="dxa"/>
          </w:tcPr>
          <w:p w:rsidR="00C62432" w:rsidP="00CF1B47" w14:paraId="112F816B" w14:textId="332350D7">
            <w:pPr>
              <w:keepNext/>
              <w:jc w:val="center"/>
              <w:rPr>
                <w:rFonts w:eastAsia="Calibri"/>
                <w:sz w:val="20"/>
                <w:szCs w:val="20"/>
              </w:rPr>
            </w:pPr>
            <w:r>
              <w:rPr>
                <w:rFonts w:eastAsia="Calibri"/>
                <w:sz w:val="20"/>
                <w:szCs w:val="20"/>
              </w:rPr>
              <w:t>29-2061</w:t>
            </w:r>
          </w:p>
        </w:tc>
        <w:tc>
          <w:tcPr>
            <w:tcW w:w="1357" w:type="dxa"/>
          </w:tcPr>
          <w:p w:rsidR="00C62432" w:rsidP="00CF1B47" w14:paraId="66849CDE" w14:textId="04B6F624">
            <w:pPr>
              <w:keepNext/>
              <w:jc w:val="center"/>
            </w:pPr>
            <w:r>
              <w:t>28.09</w:t>
            </w:r>
          </w:p>
        </w:tc>
        <w:tc>
          <w:tcPr>
            <w:tcW w:w="1426" w:type="dxa"/>
          </w:tcPr>
          <w:p w:rsidR="00C62432" w:rsidP="00CF1B47" w14:paraId="0882D6EE" w14:textId="3365F47C">
            <w:pPr>
              <w:keepNext/>
              <w:jc w:val="center"/>
            </w:pPr>
            <w:r>
              <w:t>28.09</w:t>
            </w:r>
          </w:p>
        </w:tc>
        <w:tc>
          <w:tcPr>
            <w:tcW w:w="1411" w:type="dxa"/>
          </w:tcPr>
          <w:p w:rsidR="00C62432" w:rsidP="00CF1B47" w14:paraId="1E7C199E" w14:textId="19285F5A">
            <w:pPr>
              <w:keepNext/>
              <w:jc w:val="center"/>
            </w:pPr>
            <w:r>
              <w:t>56.18</w:t>
            </w:r>
          </w:p>
        </w:tc>
        <w:tc>
          <w:tcPr>
            <w:tcW w:w="1055" w:type="dxa"/>
          </w:tcPr>
          <w:p w:rsidR="00C62432" w:rsidP="00CF1B47" w14:paraId="1E0BD664" w14:textId="78C62907">
            <w:pPr>
              <w:keepNext/>
              <w:jc w:val="center"/>
            </w:pPr>
            <w:r>
              <w:t>16.7%</w:t>
            </w:r>
          </w:p>
        </w:tc>
        <w:tc>
          <w:tcPr>
            <w:tcW w:w="1055" w:type="dxa"/>
          </w:tcPr>
          <w:p w:rsidR="00C62432" w:rsidP="00CF1B47" w14:paraId="441C978F" w14:textId="595624CD">
            <w:pPr>
              <w:keepNext/>
              <w:jc w:val="center"/>
            </w:pPr>
            <w:r>
              <w:t>9.3</w:t>
            </w:r>
            <w:r w:rsidR="00B75F05">
              <w:t>8</w:t>
            </w:r>
          </w:p>
        </w:tc>
      </w:tr>
      <w:tr w14:paraId="1445C497" w14:textId="17EF17A0" w:rsidTr="003160CA">
        <w:tblPrEx>
          <w:tblW w:w="0" w:type="auto"/>
          <w:tblLook w:val="04A0"/>
        </w:tblPrEx>
        <w:tc>
          <w:tcPr>
            <w:tcW w:w="1756" w:type="dxa"/>
          </w:tcPr>
          <w:p w:rsidR="00C62432" w:rsidP="00CF1B47" w14:paraId="7CAF6A77" w14:textId="0759BBD6">
            <w:pPr>
              <w:keepNext/>
              <w:rPr>
                <w:rFonts w:eastAsia="Calibri"/>
                <w:sz w:val="20"/>
                <w:szCs w:val="20"/>
              </w:rPr>
            </w:pPr>
            <w:r>
              <w:rPr>
                <w:rFonts w:eastAsia="Calibri"/>
                <w:sz w:val="20"/>
                <w:szCs w:val="20"/>
              </w:rPr>
              <w:t>Mental Health and Substance Abuse Social Workers</w:t>
            </w:r>
          </w:p>
        </w:tc>
        <w:tc>
          <w:tcPr>
            <w:tcW w:w="1530" w:type="dxa"/>
          </w:tcPr>
          <w:p w:rsidR="00C62432" w:rsidP="00CF1B47" w14:paraId="70944CDE" w14:textId="4C645098">
            <w:pPr>
              <w:keepNext/>
              <w:jc w:val="center"/>
              <w:rPr>
                <w:rFonts w:eastAsia="Calibri"/>
                <w:sz w:val="20"/>
                <w:szCs w:val="20"/>
              </w:rPr>
            </w:pPr>
            <w:r>
              <w:rPr>
                <w:rFonts w:eastAsia="Calibri"/>
                <w:sz w:val="20"/>
                <w:szCs w:val="20"/>
              </w:rPr>
              <w:t>21-1023</w:t>
            </w:r>
          </w:p>
        </w:tc>
        <w:tc>
          <w:tcPr>
            <w:tcW w:w="1357" w:type="dxa"/>
          </w:tcPr>
          <w:p w:rsidR="00C62432" w:rsidP="00CF1B47" w14:paraId="0455C163" w14:textId="19134EE1">
            <w:pPr>
              <w:keepNext/>
              <w:jc w:val="center"/>
            </w:pPr>
            <w:r>
              <w:t>37.49</w:t>
            </w:r>
          </w:p>
        </w:tc>
        <w:tc>
          <w:tcPr>
            <w:tcW w:w="1426" w:type="dxa"/>
          </w:tcPr>
          <w:p w:rsidR="00C62432" w:rsidP="00CF1B47" w14:paraId="68E89342" w14:textId="2D5050BD">
            <w:pPr>
              <w:keepNext/>
              <w:jc w:val="center"/>
            </w:pPr>
            <w:r>
              <w:t>37.49</w:t>
            </w:r>
          </w:p>
        </w:tc>
        <w:tc>
          <w:tcPr>
            <w:tcW w:w="1411" w:type="dxa"/>
          </w:tcPr>
          <w:p w:rsidR="00C62432" w:rsidP="00CF1B47" w14:paraId="3D662FD5" w14:textId="131718AA">
            <w:pPr>
              <w:keepNext/>
              <w:jc w:val="center"/>
            </w:pPr>
            <w:r>
              <w:t>74.98</w:t>
            </w:r>
          </w:p>
        </w:tc>
        <w:tc>
          <w:tcPr>
            <w:tcW w:w="1055" w:type="dxa"/>
          </w:tcPr>
          <w:p w:rsidR="00C62432" w:rsidP="00CF1B47" w14:paraId="127C9B79" w14:textId="4657A87E">
            <w:pPr>
              <w:keepNext/>
              <w:jc w:val="center"/>
            </w:pPr>
            <w:r>
              <w:t>16.7%</w:t>
            </w:r>
          </w:p>
        </w:tc>
        <w:tc>
          <w:tcPr>
            <w:tcW w:w="1055" w:type="dxa"/>
          </w:tcPr>
          <w:p w:rsidR="00C62432" w:rsidP="00CF1B47" w14:paraId="4A6A2453" w14:textId="76235928">
            <w:pPr>
              <w:keepNext/>
              <w:jc w:val="center"/>
            </w:pPr>
            <w:r>
              <w:t>12.5</w:t>
            </w:r>
            <w:r w:rsidR="00B75F05">
              <w:t>2</w:t>
            </w:r>
          </w:p>
        </w:tc>
      </w:tr>
      <w:tr w14:paraId="7DADE9B6" w14:textId="77777777" w:rsidTr="003160CA">
        <w:tblPrEx>
          <w:tblW w:w="0" w:type="auto"/>
          <w:tblLook w:val="04A0"/>
        </w:tblPrEx>
        <w:tc>
          <w:tcPr>
            <w:tcW w:w="1756" w:type="dxa"/>
          </w:tcPr>
          <w:p w:rsidR="00B75F05" w:rsidP="00CF1B47" w14:paraId="44FA5AC8" w14:textId="12727F94">
            <w:pPr>
              <w:keepNext/>
              <w:rPr>
                <w:rFonts w:eastAsia="Calibri"/>
                <w:sz w:val="20"/>
                <w:szCs w:val="20"/>
              </w:rPr>
            </w:pPr>
            <w:r>
              <w:rPr>
                <w:rFonts w:eastAsia="Calibri"/>
                <w:sz w:val="20"/>
                <w:szCs w:val="20"/>
              </w:rPr>
              <w:t>Total</w:t>
            </w:r>
          </w:p>
        </w:tc>
        <w:tc>
          <w:tcPr>
            <w:tcW w:w="1530" w:type="dxa"/>
            <w:shd w:val="clear" w:color="auto" w:fill="000000" w:themeFill="text1"/>
          </w:tcPr>
          <w:p w:rsidR="00B75F05" w:rsidP="00CF1B47" w14:paraId="53797D27" w14:textId="77777777">
            <w:pPr>
              <w:keepNext/>
              <w:jc w:val="center"/>
              <w:rPr>
                <w:rFonts w:eastAsia="Calibri"/>
                <w:sz w:val="20"/>
                <w:szCs w:val="20"/>
              </w:rPr>
            </w:pPr>
          </w:p>
        </w:tc>
        <w:tc>
          <w:tcPr>
            <w:tcW w:w="1357" w:type="dxa"/>
            <w:shd w:val="clear" w:color="auto" w:fill="000000" w:themeFill="text1"/>
          </w:tcPr>
          <w:p w:rsidR="00B75F05" w:rsidP="00CF1B47" w14:paraId="76C31A7B" w14:textId="77777777">
            <w:pPr>
              <w:keepNext/>
              <w:jc w:val="center"/>
            </w:pPr>
          </w:p>
        </w:tc>
        <w:tc>
          <w:tcPr>
            <w:tcW w:w="1426" w:type="dxa"/>
            <w:shd w:val="clear" w:color="auto" w:fill="000000" w:themeFill="text1"/>
          </w:tcPr>
          <w:p w:rsidR="00B75F05" w:rsidP="00CF1B47" w14:paraId="35DBCE4E" w14:textId="77777777">
            <w:pPr>
              <w:keepNext/>
              <w:jc w:val="center"/>
            </w:pPr>
          </w:p>
        </w:tc>
        <w:tc>
          <w:tcPr>
            <w:tcW w:w="1411" w:type="dxa"/>
            <w:shd w:val="clear" w:color="auto" w:fill="000000" w:themeFill="text1"/>
          </w:tcPr>
          <w:p w:rsidR="00B75F05" w:rsidP="00CF1B47" w14:paraId="4C865649" w14:textId="77777777">
            <w:pPr>
              <w:keepNext/>
              <w:jc w:val="center"/>
            </w:pPr>
          </w:p>
        </w:tc>
        <w:tc>
          <w:tcPr>
            <w:tcW w:w="1055" w:type="dxa"/>
          </w:tcPr>
          <w:p w:rsidR="00B75F05" w:rsidP="00CF1B47" w14:paraId="58A90117" w14:textId="3E9C8099">
            <w:pPr>
              <w:keepNext/>
              <w:jc w:val="center"/>
            </w:pPr>
            <w:r>
              <w:t>100.0%</w:t>
            </w:r>
          </w:p>
        </w:tc>
        <w:tc>
          <w:tcPr>
            <w:tcW w:w="1055" w:type="dxa"/>
          </w:tcPr>
          <w:p w:rsidR="00B75F05" w:rsidP="00CF1B47" w14:paraId="669BAFA3" w14:textId="02CA4BB5">
            <w:pPr>
              <w:keepNext/>
              <w:jc w:val="center"/>
            </w:pPr>
            <w:r>
              <w:t>65.04</w:t>
            </w:r>
          </w:p>
        </w:tc>
      </w:tr>
    </w:tbl>
    <w:p w:rsidR="00C62432" w:rsidP="00DB2CBE" w14:paraId="28E12C7B" w14:textId="77777777">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p>
    <w:p w:rsidR="00246B4C" w:rsidP="00246B4C" w14:paraId="42DF7F95" w14:textId="14792183">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r w:rsidRPr="00DB2CBE">
        <w:rPr>
          <w:sz w:val="24"/>
          <w:szCs w:val="24"/>
        </w:rPr>
        <w:t>We estimate th</w:t>
      </w:r>
      <w:r w:rsidR="003D6426">
        <w:rPr>
          <w:sz w:val="24"/>
          <w:szCs w:val="24"/>
        </w:rPr>
        <w:t xml:space="preserve">e </w:t>
      </w:r>
      <w:r w:rsidR="000C55B0">
        <w:rPr>
          <w:sz w:val="24"/>
          <w:szCs w:val="24"/>
        </w:rPr>
        <w:t>finaliz</w:t>
      </w:r>
      <w:r w:rsidR="003D6426">
        <w:rPr>
          <w:sz w:val="24"/>
          <w:szCs w:val="24"/>
        </w:rPr>
        <w:t xml:space="preserve">ed requirements for the IPF-PAI </w:t>
      </w:r>
      <w:r w:rsidRPr="00DB2CBE">
        <w:rPr>
          <w:sz w:val="24"/>
          <w:szCs w:val="24"/>
        </w:rPr>
        <w:t>w</w:t>
      </w:r>
      <w:r w:rsidR="00F20BA0">
        <w:rPr>
          <w:sz w:val="24"/>
          <w:szCs w:val="24"/>
        </w:rPr>
        <w:t>ill</w:t>
      </w:r>
      <w:r w:rsidRPr="00DB2CBE">
        <w:rPr>
          <w:sz w:val="24"/>
          <w:szCs w:val="24"/>
        </w:rPr>
        <w:t xml:space="preserve"> result in </w:t>
      </w:r>
      <w:r w:rsidR="00445F31">
        <w:rPr>
          <w:sz w:val="24"/>
          <w:szCs w:val="24"/>
        </w:rPr>
        <w:t xml:space="preserve">a </w:t>
      </w:r>
      <w:r w:rsidRPr="00DB2CBE">
        <w:rPr>
          <w:sz w:val="24"/>
          <w:szCs w:val="24"/>
        </w:rPr>
        <w:t xml:space="preserve">burden of </w:t>
      </w:r>
      <w:r w:rsidR="00621B9D">
        <w:rPr>
          <w:sz w:val="24"/>
          <w:szCs w:val="24"/>
        </w:rPr>
        <w:t>419,778</w:t>
      </w:r>
      <w:r w:rsidRPr="00DB2CBE">
        <w:rPr>
          <w:sz w:val="24"/>
          <w:szCs w:val="24"/>
        </w:rPr>
        <w:t xml:space="preserve"> hours annually (0.2 hours x 2,098,888 patients) at a cost of $</w:t>
      </w:r>
      <w:r w:rsidR="000C55B0">
        <w:rPr>
          <w:sz w:val="24"/>
          <w:szCs w:val="24"/>
        </w:rPr>
        <w:t>2</w:t>
      </w:r>
      <w:r w:rsidR="00621B9D">
        <w:rPr>
          <w:sz w:val="24"/>
          <w:szCs w:val="24"/>
        </w:rPr>
        <w:t>7,302,361</w:t>
      </w:r>
      <w:r w:rsidRPr="00DB2CBE">
        <w:rPr>
          <w:sz w:val="24"/>
          <w:szCs w:val="24"/>
        </w:rPr>
        <w:t xml:space="preserve"> (</w:t>
      </w:r>
      <w:r w:rsidR="000C55B0">
        <w:rPr>
          <w:sz w:val="24"/>
          <w:szCs w:val="24"/>
        </w:rPr>
        <w:t>4</w:t>
      </w:r>
      <w:r w:rsidR="00621B9D">
        <w:rPr>
          <w:sz w:val="24"/>
          <w:szCs w:val="24"/>
        </w:rPr>
        <w:t>19,778</w:t>
      </w:r>
      <w:r w:rsidRPr="00DB2CBE">
        <w:rPr>
          <w:sz w:val="24"/>
          <w:szCs w:val="24"/>
        </w:rPr>
        <w:t xml:space="preserve"> x $65.04/hour)</w:t>
      </w:r>
      <w:r w:rsidR="005C17D3">
        <w:rPr>
          <w:sz w:val="24"/>
          <w:szCs w:val="24"/>
        </w:rPr>
        <w:t xml:space="preserve"> for all IPFs</w:t>
      </w:r>
      <w:r w:rsidRPr="00DB2CBE">
        <w:rPr>
          <w:sz w:val="24"/>
          <w:szCs w:val="24"/>
        </w:rPr>
        <w:t>, beginning with the CY 202</w:t>
      </w:r>
      <w:r w:rsidR="000C55B0">
        <w:rPr>
          <w:sz w:val="24"/>
          <w:szCs w:val="24"/>
        </w:rPr>
        <w:t>9</w:t>
      </w:r>
      <w:r w:rsidRPr="00DB2CBE">
        <w:rPr>
          <w:sz w:val="24"/>
          <w:szCs w:val="24"/>
        </w:rPr>
        <w:t xml:space="preserve"> reporting period which is the first full </w:t>
      </w:r>
      <w:r w:rsidR="00F31AC5">
        <w:rPr>
          <w:sz w:val="24"/>
          <w:szCs w:val="24"/>
        </w:rPr>
        <w:t xml:space="preserve">mandatory </w:t>
      </w:r>
      <w:r w:rsidRPr="00DB2CBE">
        <w:rPr>
          <w:sz w:val="24"/>
          <w:szCs w:val="24"/>
        </w:rPr>
        <w:t xml:space="preserve">reporting period that the IPF-PAI will be implemented. </w:t>
      </w:r>
      <w:r>
        <w:rPr>
          <w:sz w:val="24"/>
          <w:szCs w:val="24"/>
        </w:rPr>
        <w:t xml:space="preserve">For each IPF, we estimate an annual burden of approximately </w:t>
      </w:r>
      <w:r w:rsidR="000C55B0">
        <w:rPr>
          <w:sz w:val="24"/>
          <w:szCs w:val="24"/>
        </w:rPr>
        <w:t>2</w:t>
      </w:r>
      <w:r w:rsidR="005815D0">
        <w:rPr>
          <w:sz w:val="24"/>
          <w:szCs w:val="24"/>
        </w:rPr>
        <w:t>68</w:t>
      </w:r>
      <w:r>
        <w:rPr>
          <w:sz w:val="24"/>
          <w:szCs w:val="24"/>
        </w:rPr>
        <w:t xml:space="preserve"> hours (</w:t>
      </w:r>
      <w:r w:rsidR="000C55B0">
        <w:rPr>
          <w:sz w:val="24"/>
          <w:szCs w:val="24"/>
        </w:rPr>
        <w:t>4</w:t>
      </w:r>
      <w:r w:rsidR="00621B9D">
        <w:rPr>
          <w:sz w:val="24"/>
          <w:szCs w:val="24"/>
        </w:rPr>
        <w:t>19,778</w:t>
      </w:r>
      <w:r>
        <w:rPr>
          <w:sz w:val="24"/>
          <w:szCs w:val="24"/>
        </w:rPr>
        <w:t xml:space="preserve"> ÷ 1,564 IPFs) at a cost of $</w:t>
      </w:r>
      <w:r w:rsidR="000C55B0">
        <w:rPr>
          <w:sz w:val="24"/>
          <w:szCs w:val="24"/>
        </w:rPr>
        <w:t>1</w:t>
      </w:r>
      <w:r w:rsidR="005815D0">
        <w:rPr>
          <w:sz w:val="24"/>
          <w:szCs w:val="24"/>
        </w:rPr>
        <w:t>7,457</w:t>
      </w:r>
      <w:r>
        <w:rPr>
          <w:sz w:val="24"/>
          <w:szCs w:val="24"/>
        </w:rPr>
        <w:t xml:space="preserve"> ($</w:t>
      </w:r>
      <w:r w:rsidR="000C55B0">
        <w:rPr>
          <w:sz w:val="24"/>
          <w:szCs w:val="24"/>
        </w:rPr>
        <w:t>2</w:t>
      </w:r>
      <w:r w:rsidR="00621B9D">
        <w:rPr>
          <w:sz w:val="24"/>
          <w:szCs w:val="24"/>
        </w:rPr>
        <w:t>7,302,361</w:t>
      </w:r>
      <w:r>
        <w:rPr>
          <w:sz w:val="24"/>
          <w:szCs w:val="24"/>
        </w:rPr>
        <w:t xml:space="preserve"> ÷ 1,564 IPFs).</w:t>
      </w:r>
    </w:p>
    <w:p w:rsidR="00E13FE4" w:rsidP="00DB2CBE" w14:paraId="6D1117CA" w14:textId="77777777">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p>
    <w:p w:rsidR="00DB2CBE" w:rsidP="00DB2CBE" w14:paraId="29FDD6AA" w14:textId="77A4A28F">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r w:rsidRPr="000C55B0">
        <w:rPr>
          <w:sz w:val="24"/>
          <w:szCs w:val="24"/>
        </w:rPr>
        <w:t>For voluntary data submission in Quarter 4 of the CY 2027 Reporting Period and Quarters 1 and 2 of the CY 2028 Reporting Period, we assume 50 percent of IPFs will administer the IPF-PAI to 25 percent of patients on average, resulting in a total of 65,590 patients ((50 percent x 1,564 IPFs) x (25</w:t>
      </w:r>
      <w:r w:rsidR="009C5824">
        <w:rPr>
          <w:sz w:val="24"/>
          <w:szCs w:val="24"/>
        </w:rPr>
        <w:t xml:space="preserve"> percent</w:t>
      </w:r>
      <w:r w:rsidRPr="000C55B0">
        <w:rPr>
          <w:sz w:val="24"/>
          <w:szCs w:val="24"/>
        </w:rPr>
        <w:t xml:space="preserve"> x ((1,342 discharges/IPF ÷ 4 quarters) x 1 quarter))) and 131,181 patients ((50 percent x 1,564 IPFs) x (25 percent x ((1,342 discharges/IPF ÷ 4 quarters) x 2 quarters))) in the CY 2027 and CY 2028 Reporting Periods, respectively. For the CY 2027 Reporting Period, we estimate </w:t>
      </w:r>
      <w:r>
        <w:rPr>
          <w:sz w:val="24"/>
          <w:szCs w:val="24"/>
        </w:rPr>
        <w:t>a burden of</w:t>
      </w:r>
      <w:r w:rsidRPr="000C55B0">
        <w:rPr>
          <w:sz w:val="24"/>
          <w:szCs w:val="24"/>
        </w:rPr>
        <w:t xml:space="preserve"> 13,</w:t>
      </w:r>
      <w:r w:rsidR="00557FEF">
        <w:rPr>
          <w:sz w:val="24"/>
          <w:szCs w:val="24"/>
        </w:rPr>
        <w:t>118</w:t>
      </w:r>
      <w:r w:rsidRPr="000C55B0">
        <w:rPr>
          <w:sz w:val="24"/>
          <w:szCs w:val="24"/>
        </w:rPr>
        <w:t xml:space="preserve"> hours (0.2 hours x 65,590 patients) at a cost of $8</w:t>
      </w:r>
      <w:r w:rsidR="00557FEF">
        <w:rPr>
          <w:sz w:val="24"/>
          <w:szCs w:val="24"/>
        </w:rPr>
        <w:t>53,195</w:t>
      </w:r>
      <w:r w:rsidRPr="000C55B0">
        <w:rPr>
          <w:sz w:val="24"/>
          <w:szCs w:val="24"/>
        </w:rPr>
        <w:t xml:space="preserve"> (13,</w:t>
      </w:r>
      <w:r w:rsidR="00557FEF">
        <w:rPr>
          <w:sz w:val="24"/>
          <w:szCs w:val="24"/>
        </w:rPr>
        <w:t>118</w:t>
      </w:r>
      <w:r w:rsidRPr="000C55B0">
        <w:rPr>
          <w:sz w:val="24"/>
          <w:szCs w:val="24"/>
        </w:rPr>
        <w:t xml:space="preserve"> hours x $65.04/hour)</w:t>
      </w:r>
      <w:r w:rsidR="004567A6">
        <w:rPr>
          <w:sz w:val="24"/>
          <w:szCs w:val="24"/>
        </w:rPr>
        <w:t>, approximately 1</w:t>
      </w:r>
      <w:r w:rsidR="004A49FB">
        <w:rPr>
          <w:sz w:val="24"/>
          <w:szCs w:val="24"/>
        </w:rPr>
        <w:t>7</w:t>
      </w:r>
      <w:r w:rsidR="004567A6">
        <w:rPr>
          <w:sz w:val="24"/>
          <w:szCs w:val="24"/>
        </w:rPr>
        <w:t xml:space="preserve"> hours (13,</w:t>
      </w:r>
      <w:r w:rsidR="004A49FB">
        <w:rPr>
          <w:sz w:val="24"/>
          <w:szCs w:val="24"/>
        </w:rPr>
        <w:t>118</w:t>
      </w:r>
      <w:r w:rsidR="004567A6">
        <w:rPr>
          <w:sz w:val="24"/>
          <w:szCs w:val="24"/>
        </w:rPr>
        <w:t xml:space="preserve"> ÷ 782 IPFs) at a cost of $1,</w:t>
      </w:r>
      <w:r w:rsidR="00E13C67">
        <w:rPr>
          <w:sz w:val="24"/>
          <w:szCs w:val="24"/>
        </w:rPr>
        <w:t>091</w:t>
      </w:r>
      <w:r w:rsidR="004567A6">
        <w:rPr>
          <w:sz w:val="24"/>
          <w:szCs w:val="24"/>
        </w:rPr>
        <w:t xml:space="preserve"> ($</w:t>
      </w:r>
      <w:r w:rsidR="004A49FB">
        <w:rPr>
          <w:sz w:val="24"/>
          <w:szCs w:val="24"/>
        </w:rPr>
        <w:t>853,195</w:t>
      </w:r>
      <w:r w:rsidR="004567A6">
        <w:rPr>
          <w:sz w:val="24"/>
          <w:szCs w:val="24"/>
        </w:rPr>
        <w:t xml:space="preserve"> ÷ 782 IPFs) per IPF. </w:t>
      </w:r>
      <w:r w:rsidRPr="000C55B0">
        <w:rPr>
          <w:sz w:val="24"/>
          <w:szCs w:val="24"/>
        </w:rPr>
        <w:t xml:space="preserve">For mandatory data submission in Quarters 3 and 4 of the CY 2028 Reporting Period, we estimate the number of patients for which the IPF-PAI will be administered to be 50 percent of the annual total of 2,098,888 patients, or 1,049,444 patients (2,098,888 patients x 50 percent). We note that 50 percent is because it is mandatory for half of the year. As a result, for the CY 2028 reporting period, we estimate </w:t>
      </w:r>
      <w:r w:rsidR="004567A6">
        <w:rPr>
          <w:sz w:val="24"/>
          <w:szCs w:val="24"/>
        </w:rPr>
        <w:t>a</w:t>
      </w:r>
      <w:r w:rsidRPr="000C55B0">
        <w:rPr>
          <w:sz w:val="24"/>
          <w:szCs w:val="24"/>
        </w:rPr>
        <w:t xml:space="preserve"> burden of 2</w:t>
      </w:r>
      <w:r w:rsidR="00E13C67">
        <w:rPr>
          <w:sz w:val="24"/>
          <w:szCs w:val="24"/>
        </w:rPr>
        <w:t>36,125</w:t>
      </w:r>
      <w:r w:rsidRPr="000C55B0">
        <w:rPr>
          <w:sz w:val="24"/>
          <w:szCs w:val="24"/>
        </w:rPr>
        <w:t xml:space="preserve"> hours (0.2 hours x (1,049,444 + 131,181 patients)) at a cost of $1</w:t>
      </w:r>
      <w:r w:rsidR="00A92590">
        <w:rPr>
          <w:sz w:val="24"/>
          <w:szCs w:val="24"/>
        </w:rPr>
        <w:t>5,357,570</w:t>
      </w:r>
      <w:r w:rsidRPr="000C55B0">
        <w:rPr>
          <w:sz w:val="24"/>
          <w:szCs w:val="24"/>
        </w:rPr>
        <w:t xml:space="preserve"> (2</w:t>
      </w:r>
      <w:r w:rsidR="00E13C67">
        <w:rPr>
          <w:sz w:val="24"/>
          <w:szCs w:val="24"/>
        </w:rPr>
        <w:t>36,125</w:t>
      </w:r>
      <w:r w:rsidRPr="000C55B0">
        <w:rPr>
          <w:sz w:val="24"/>
          <w:szCs w:val="24"/>
        </w:rPr>
        <w:t xml:space="preserve"> hours x $65.04/hour). </w:t>
      </w:r>
      <w:r w:rsidR="00F952EE">
        <w:rPr>
          <w:sz w:val="24"/>
          <w:szCs w:val="24"/>
        </w:rPr>
        <w:t xml:space="preserve">For each IPF, we estimate a burden of approximately </w:t>
      </w:r>
      <w:r w:rsidR="004567A6">
        <w:rPr>
          <w:sz w:val="24"/>
          <w:szCs w:val="24"/>
        </w:rPr>
        <w:t>15</w:t>
      </w:r>
      <w:r w:rsidR="007977C8">
        <w:rPr>
          <w:sz w:val="24"/>
          <w:szCs w:val="24"/>
        </w:rPr>
        <w:t>1</w:t>
      </w:r>
      <w:r w:rsidR="00F952EE">
        <w:rPr>
          <w:sz w:val="24"/>
          <w:szCs w:val="24"/>
        </w:rPr>
        <w:t xml:space="preserve"> hours (</w:t>
      </w:r>
      <w:r w:rsidR="004567A6">
        <w:rPr>
          <w:sz w:val="24"/>
          <w:szCs w:val="24"/>
        </w:rPr>
        <w:t>2</w:t>
      </w:r>
      <w:r w:rsidR="00A92590">
        <w:rPr>
          <w:sz w:val="24"/>
          <w:szCs w:val="24"/>
        </w:rPr>
        <w:t>36,125</w:t>
      </w:r>
      <w:r w:rsidR="00F952EE">
        <w:rPr>
          <w:sz w:val="24"/>
          <w:szCs w:val="24"/>
        </w:rPr>
        <w:t xml:space="preserve"> ÷ 1,564 IPFs) at a cost of $</w:t>
      </w:r>
      <w:r w:rsidR="007977C8">
        <w:rPr>
          <w:sz w:val="24"/>
          <w:szCs w:val="24"/>
        </w:rPr>
        <w:t>9,819</w:t>
      </w:r>
      <w:r w:rsidR="00F952EE">
        <w:rPr>
          <w:sz w:val="24"/>
          <w:szCs w:val="24"/>
        </w:rPr>
        <w:t xml:space="preserve"> ($</w:t>
      </w:r>
      <w:r w:rsidR="004567A6">
        <w:rPr>
          <w:sz w:val="24"/>
          <w:szCs w:val="24"/>
        </w:rPr>
        <w:t>1</w:t>
      </w:r>
      <w:r w:rsidR="00A92590">
        <w:rPr>
          <w:sz w:val="24"/>
          <w:szCs w:val="24"/>
        </w:rPr>
        <w:t>5,357,570</w:t>
      </w:r>
      <w:r w:rsidR="00F952EE">
        <w:rPr>
          <w:sz w:val="24"/>
          <w:szCs w:val="24"/>
        </w:rPr>
        <w:t xml:space="preserve"> ÷ 1,564 IPFs) for the CY 202</w:t>
      </w:r>
      <w:r w:rsidR="004567A6">
        <w:rPr>
          <w:sz w:val="24"/>
          <w:szCs w:val="24"/>
        </w:rPr>
        <w:t>8</w:t>
      </w:r>
      <w:r w:rsidR="00F952EE">
        <w:rPr>
          <w:sz w:val="24"/>
          <w:szCs w:val="24"/>
        </w:rPr>
        <w:t xml:space="preserve"> reporting period.</w:t>
      </w:r>
    </w:p>
    <w:p w:rsidR="00943CDA" w:rsidP="00DB2CBE" w14:paraId="3119D246" w14:textId="77777777">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p>
    <w:p w:rsidR="00943CDA" w:rsidP="00943CDA" w14:paraId="61A9EA7A" w14:textId="75344F9B">
      <w:pPr>
        <w:keepNext/>
        <w:keepLines/>
        <w:contextualSpacing/>
        <w:jc w:val="center"/>
        <w:rPr>
          <w:rFonts w:eastAsia="Calibri"/>
          <w:b/>
          <w:bCs/>
          <w:caps/>
          <w:color w:val="000000" w:themeColor="text1"/>
        </w:rPr>
      </w:pPr>
      <w:r w:rsidRPr="05136CB8">
        <w:rPr>
          <w:rFonts w:eastAsia="Calibri"/>
          <w:b/>
          <w:bCs/>
          <w:caps/>
          <w:color w:val="000000" w:themeColor="text1"/>
        </w:rPr>
        <w:t xml:space="preserve">TABLE </w:t>
      </w:r>
      <w:r w:rsidR="00D650C0">
        <w:rPr>
          <w:rFonts w:eastAsia="Calibri"/>
          <w:b/>
          <w:bCs/>
          <w:caps/>
          <w:color w:val="000000" w:themeColor="text1"/>
        </w:rPr>
        <w:t>4</w:t>
      </w:r>
      <w:r w:rsidRPr="05136CB8">
        <w:rPr>
          <w:rFonts w:eastAsia="Calibri"/>
          <w:b/>
          <w:bCs/>
          <w:caps/>
          <w:color w:val="000000" w:themeColor="text1"/>
        </w:rPr>
        <w:t>: Total CY 2027 IPF</w:t>
      </w:r>
      <w:r w:rsidR="009729B5">
        <w:rPr>
          <w:rFonts w:eastAsia="Calibri"/>
          <w:b/>
          <w:bCs/>
          <w:caps/>
          <w:color w:val="000000" w:themeColor="text1"/>
        </w:rPr>
        <w:t>-</w:t>
      </w:r>
      <w:r>
        <w:rPr>
          <w:rFonts w:eastAsia="Calibri"/>
          <w:b/>
          <w:bCs/>
          <w:caps/>
          <w:color w:val="000000" w:themeColor="text1"/>
        </w:rPr>
        <w:t>PAI</w:t>
      </w:r>
      <w:r w:rsidRPr="05136CB8">
        <w:rPr>
          <w:rFonts w:eastAsia="Calibri"/>
          <w:b/>
          <w:bCs/>
          <w:caps/>
          <w:color w:val="000000" w:themeColor="text1"/>
        </w:rPr>
        <w:t xml:space="preserve"> BURDEN</w:t>
      </w:r>
    </w:p>
    <w:p w:rsidR="00943CDA" w:rsidRPr="00EA5F74" w:rsidP="00943CDA" w14:paraId="4E953205" w14:textId="77777777">
      <w:pPr>
        <w:keepNext/>
        <w:keepLines/>
        <w:contextualSpacing/>
        <w:jc w:val="center"/>
        <w:rPr>
          <w:rFonts w:eastAsia="Calibri"/>
          <w:b/>
          <w:bCs/>
          <w:caps/>
          <w:color w:val="000000" w:themeColor="text1"/>
        </w:rPr>
      </w:pPr>
    </w:p>
    <w:tbl>
      <w:tblPr>
        <w:tblW w:w="9715" w:type="dxa"/>
        <w:jc w:val="center"/>
        <w:tblLayout w:type="fixed"/>
        <w:tblLook w:val="04A0"/>
      </w:tblPr>
      <w:tblGrid>
        <w:gridCol w:w="1885"/>
        <w:gridCol w:w="990"/>
        <w:gridCol w:w="1260"/>
        <w:gridCol w:w="1170"/>
        <w:gridCol w:w="1080"/>
        <w:gridCol w:w="900"/>
        <w:gridCol w:w="1080"/>
        <w:gridCol w:w="1350"/>
      </w:tblGrid>
      <w:tr w14:paraId="39746716" w14:textId="77777777" w:rsidTr="4DF1D982">
        <w:tblPrEx>
          <w:tblW w:w="9715" w:type="dxa"/>
          <w:jc w:val="center"/>
          <w:tblLayout w:type="fixed"/>
          <w:tblLook w:val="04A0"/>
        </w:tblPrEx>
        <w:trPr>
          <w:trHeight w:val="960"/>
          <w:tblHeader/>
          <w:jc w:val="center"/>
        </w:trPr>
        <w:tc>
          <w:tcPr>
            <w:tcW w:w="18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4CACD2A4" w14:textId="4083A2C5">
            <w:pPr>
              <w:keepNext/>
              <w:keepLines/>
              <w:jc w:val="center"/>
              <w:rPr>
                <w:b/>
                <w:bCs/>
                <w:color w:val="000000" w:themeColor="text1"/>
                <w:sz w:val="20"/>
              </w:rPr>
            </w:pPr>
            <w:r w:rsidRPr="00943CDA">
              <w:rPr>
                <w:b/>
                <w:bCs/>
                <w:color w:val="000000" w:themeColor="text1"/>
                <w:sz w:val="20"/>
              </w:rPr>
              <w:t>Response Description</w:t>
            </w:r>
          </w:p>
        </w:tc>
        <w:tc>
          <w:tcPr>
            <w:tcW w:w="9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1D19BBD7" w14:textId="77777777">
            <w:pPr>
              <w:keepNext/>
              <w:keepLines/>
              <w:rPr>
                <w:b/>
                <w:bCs/>
                <w:color w:val="000000" w:themeColor="text1"/>
                <w:sz w:val="20"/>
              </w:rPr>
            </w:pPr>
            <w:r w:rsidRPr="00943CDA">
              <w:rPr>
                <w:b/>
                <w:bCs/>
                <w:color w:val="000000" w:themeColor="text1"/>
                <w:sz w:val="20"/>
              </w:rPr>
              <w:t>Number Respondents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7F47EDE9" w14:textId="5F095E87">
            <w:pPr>
              <w:keepNext/>
              <w:keepLines/>
              <w:rPr>
                <w:b/>
                <w:bCs/>
                <w:color w:val="000000" w:themeColor="text1"/>
                <w:sz w:val="20"/>
              </w:rPr>
            </w:pPr>
            <w:r w:rsidRPr="00943CDA">
              <w:rPr>
                <w:b/>
                <w:bCs/>
                <w:color w:val="000000" w:themeColor="text1"/>
                <w:sz w:val="20"/>
              </w:rPr>
              <w:t>Number of Response</w:t>
            </w:r>
            <w:r>
              <w:rPr>
                <w:b/>
                <w:bCs/>
                <w:color w:val="000000" w:themeColor="text1"/>
                <w:sz w:val="20"/>
              </w:rPr>
              <w:t>s</w:t>
            </w:r>
            <w:r w:rsidRPr="00943CDA">
              <w:rPr>
                <w:b/>
                <w:bCs/>
                <w:color w:val="000000" w:themeColor="text1"/>
                <w:sz w:val="20"/>
              </w:rPr>
              <w:t xml:space="preserve">/ Respondent </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057EF670" w14:textId="77777777">
            <w:pPr>
              <w:keepNext/>
              <w:keepLines/>
              <w:rPr>
                <w:b/>
                <w:bCs/>
                <w:color w:val="000000" w:themeColor="text1"/>
                <w:sz w:val="20"/>
              </w:rPr>
            </w:pPr>
            <w:r w:rsidRPr="00943CDA">
              <w:rPr>
                <w:b/>
                <w:bCs/>
                <w:color w:val="000000" w:themeColor="text1"/>
                <w:sz w:val="20"/>
              </w:rPr>
              <w:t xml:space="preserve">Total Responses </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72C0E4A7" w14:textId="77777777">
            <w:pPr>
              <w:keepNext/>
              <w:keepLines/>
              <w:rPr>
                <w:b/>
                <w:bCs/>
                <w:color w:val="000000" w:themeColor="text1"/>
                <w:sz w:val="20"/>
              </w:rPr>
            </w:pPr>
            <w:r w:rsidRPr="00943CDA">
              <w:rPr>
                <w:b/>
                <w:bCs/>
                <w:color w:val="000000" w:themeColor="text1"/>
                <w:sz w:val="20"/>
              </w:rPr>
              <w:t>Time per Response (</w:t>
            </w:r>
            <w:r w:rsidRPr="00943CDA">
              <w:rPr>
                <w:b/>
                <w:bCs/>
                <w:color w:val="000000" w:themeColor="text1"/>
                <w:sz w:val="20"/>
              </w:rPr>
              <w:t>hrs</w:t>
            </w:r>
            <w:r w:rsidRPr="00943CDA">
              <w:rPr>
                <w:b/>
                <w:bCs/>
                <w:color w:val="000000" w:themeColor="text1"/>
                <w:sz w:val="20"/>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6D10BCD2" w14:textId="77777777">
            <w:pPr>
              <w:keepNext/>
              <w:keepLines/>
              <w:rPr>
                <w:b/>
                <w:bCs/>
                <w:color w:val="000000" w:themeColor="text1"/>
                <w:sz w:val="20"/>
              </w:rPr>
            </w:pPr>
            <w:r w:rsidRPr="00943CDA">
              <w:rPr>
                <w:b/>
                <w:bCs/>
                <w:color w:val="000000" w:themeColor="text1"/>
                <w:sz w:val="20"/>
              </w:rPr>
              <w:t>Time per Facility (</w:t>
            </w:r>
            <w:r w:rsidRPr="00943CDA">
              <w:rPr>
                <w:b/>
                <w:bCs/>
                <w:color w:val="000000" w:themeColor="text1"/>
                <w:sz w:val="20"/>
              </w:rPr>
              <w:t>hrs</w:t>
            </w:r>
            <w:r w:rsidRPr="00943CDA">
              <w:rPr>
                <w:b/>
                <w:bCs/>
                <w:color w:val="000000" w:themeColor="text1"/>
                <w:sz w:val="20"/>
              </w:rPr>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3628C2B2" w14:textId="77777777">
            <w:pPr>
              <w:keepNext/>
              <w:keepLines/>
              <w:rPr>
                <w:b/>
                <w:bCs/>
                <w:color w:val="000000" w:themeColor="text1"/>
                <w:sz w:val="20"/>
              </w:rPr>
            </w:pPr>
            <w:r w:rsidRPr="00943CDA">
              <w:rPr>
                <w:b/>
                <w:bCs/>
                <w:color w:val="000000" w:themeColor="text1"/>
                <w:sz w:val="20"/>
              </w:rPr>
              <w:t>Total Time (</w:t>
            </w:r>
            <w:r w:rsidRPr="00943CDA">
              <w:rPr>
                <w:b/>
                <w:bCs/>
                <w:color w:val="000000" w:themeColor="text1"/>
                <w:sz w:val="20"/>
              </w:rPr>
              <w:t>hrs</w:t>
            </w:r>
            <w:r w:rsidRPr="00943CDA">
              <w:rPr>
                <w:b/>
                <w:bCs/>
                <w:color w:val="000000" w:themeColor="text1"/>
                <w:sz w:val="20"/>
              </w:rPr>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54C1EAA0" w14:textId="77777777">
            <w:pPr>
              <w:keepNext/>
              <w:keepLines/>
              <w:rPr>
                <w:b/>
                <w:bCs/>
                <w:color w:val="000000" w:themeColor="text1"/>
                <w:sz w:val="20"/>
              </w:rPr>
            </w:pPr>
            <w:r w:rsidRPr="00943CDA">
              <w:rPr>
                <w:b/>
                <w:bCs/>
                <w:color w:val="000000" w:themeColor="text1"/>
                <w:sz w:val="20"/>
              </w:rPr>
              <w:t>Total Cost ($)</w:t>
            </w:r>
          </w:p>
        </w:tc>
      </w:tr>
      <w:tr w14:paraId="1289B49A" w14:textId="77777777" w:rsidTr="4DF1D982">
        <w:tblPrEx>
          <w:tblW w:w="9715" w:type="dxa"/>
          <w:jc w:val="center"/>
          <w:tblLayout w:type="fixed"/>
          <w:tblLook w:val="04A0"/>
        </w:tblPrEx>
        <w:trPr>
          <w:trHeight w:val="288"/>
          <w:jc w:val="center"/>
        </w:trPr>
        <w:tc>
          <w:tcPr>
            <w:tcW w:w="1885" w:type="dxa"/>
            <w:tcBorders>
              <w:top w:val="single" w:sz="4" w:space="0" w:color="auto"/>
              <w:left w:val="single" w:sz="4" w:space="0" w:color="auto"/>
              <w:bottom w:val="single" w:sz="4" w:space="0" w:color="auto"/>
              <w:right w:val="single" w:sz="4" w:space="0" w:color="auto"/>
            </w:tcBorders>
            <w:vAlign w:val="center"/>
          </w:tcPr>
          <w:p w:rsidR="00943CDA" w:rsidRPr="00940D27" w:rsidP="4DF1D982" w14:paraId="5EC0AE08" w14:textId="6649DAC8">
            <w:pPr>
              <w:keepNext/>
              <w:keepLines/>
              <w:rPr>
                <w:color w:val="000000" w:themeColor="text1"/>
                <w:sz w:val="20"/>
                <w:szCs w:val="20"/>
              </w:rPr>
            </w:pPr>
            <w:r w:rsidRPr="4DF1D982">
              <w:rPr>
                <w:color w:val="000000" w:themeColor="text1"/>
                <w:sz w:val="20"/>
                <w:szCs w:val="20"/>
              </w:rPr>
              <w:t>IPF-PAI</w:t>
            </w:r>
            <w:r w:rsidRPr="4DF1D982" w:rsidR="509720C8">
              <w:rPr>
                <w:color w:val="000000" w:themeColor="text1"/>
                <w:sz w:val="20"/>
                <w:szCs w:val="20"/>
              </w:rPr>
              <w:t xml:space="preserve"> (Voluntary) Q4 2027</w:t>
            </w:r>
          </w:p>
        </w:tc>
        <w:tc>
          <w:tcPr>
            <w:tcW w:w="990" w:type="dxa"/>
            <w:tcBorders>
              <w:top w:val="single" w:sz="4" w:space="0" w:color="auto"/>
              <w:left w:val="nil"/>
              <w:bottom w:val="single" w:sz="4" w:space="0" w:color="auto"/>
              <w:right w:val="single" w:sz="4" w:space="0" w:color="auto"/>
            </w:tcBorders>
            <w:vAlign w:val="center"/>
          </w:tcPr>
          <w:p w:rsidR="00943CDA" w:rsidRPr="00940D27" w:rsidP="004D37AE" w14:paraId="20E1448C" w14:textId="571987CF">
            <w:pPr>
              <w:keepNext/>
              <w:keepLines/>
              <w:jc w:val="center"/>
              <w:rPr>
                <w:color w:val="000000" w:themeColor="text1"/>
                <w:sz w:val="20"/>
              </w:rPr>
            </w:pPr>
            <w:r>
              <w:rPr>
                <w:color w:val="000000" w:themeColor="text1"/>
                <w:sz w:val="20"/>
              </w:rPr>
              <w:t>782</w:t>
            </w:r>
          </w:p>
        </w:tc>
        <w:tc>
          <w:tcPr>
            <w:tcW w:w="1260" w:type="dxa"/>
            <w:tcBorders>
              <w:top w:val="single" w:sz="4" w:space="0" w:color="auto"/>
              <w:left w:val="nil"/>
              <w:bottom w:val="single" w:sz="4" w:space="0" w:color="auto"/>
              <w:right w:val="single" w:sz="4" w:space="0" w:color="auto"/>
            </w:tcBorders>
            <w:vAlign w:val="center"/>
          </w:tcPr>
          <w:p w:rsidR="00943CDA" w:rsidRPr="00940D27" w:rsidP="004D37AE" w14:paraId="7D0F67F4" w14:textId="27698B48">
            <w:pPr>
              <w:keepNext/>
              <w:keepLines/>
              <w:jc w:val="center"/>
              <w:rPr>
                <w:color w:val="000000" w:themeColor="text1"/>
                <w:sz w:val="20"/>
              </w:rPr>
            </w:pPr>
            <w:r>
              <w:rPr>
                <w:color w:val="000000" w:themeColor="text1"/>
                <w:sz w:val="20"/>
              </w:rPr>
              <w:t>83.9</w:t>
            </w:r>
          </w:p>
        </w:tc>
        <w:tc>
          <w:tcPr>
            <w:tcW w:w="1170" w:type="dxa"/>
            <w:tcBorders>
              <w:top w:val="single" w:sz="4" w:space="0" w:color="auto"/>
              <w:left w:val="nil"/>
              <w:bottom w:val="single" w:sz="4" w:space="0" w:color="auto"/>
              <w:right w:val="single" w:sz="4" w:space="0" w:color="auto"/>
            </w:tcBorders>
            <w:vAlign w:val="center"/>
          </w:tcPr>
          <w:p w:rsidR="00943CDA" w:rsidRPr="00940D27" w:rsidP="004D37AE" w14:paraId="5313E537" w14:textId="184335DF">
            <w:pPr>
              <w:keepNext/>
              <w:keepLines/>
              <w:jc w:val="center"/>
              <w:rPr>
                <w:color w:val="000000" w:themeColor="text1"/>
                <w:sz w:val="20"/>
              </w:rPr>
            </w:pPr>
            <w:r>
              <w:rPr>
                <w:color w:val="000000" w:themeColor="text1"/>
                <w:sz w:val="20"/>
              </w:rPr>
              <w:t>65,590</w:t>
            </w:r>
          </w:p>
        </w:tc>
        <w:tc>
          <w:tcPr>
            <w:tcW w:w="1080" w:type="dxa"/>
            <w:tcBorders>
              <w:top w:val="single" w:sz="4" w:space="0" w:color="auto"/>
              <w:left w:val="nil"/>
              <w:bottom w:val="single" w:sz="4" w:space="0" w:color="auto"/>
              <w:right w:val="single" w:sz="4" w:space="0" w:color="auto"/>
            </w:tcBorders>
            <w:vAlign w:val="center"/>
          </w:tcPr>
          <w:p w:rsidR="00943CDA" w:rsidRPr="00940D27" w:rsidP="004D37AE" w14:paraId="3D4D4646" w14:textId="545FF82B">
            <w:pPr>
              <w:keepNext/>
              <w:keepLines/>
              <w:jc w:val="center"/>
              <w:rPr>
                <w:color w:val="000000" w:themeColor="text1"/>
                <w:sz w:val="20"/>
              </w:rPr>
            </w:pPr>
            <w:r>
              <w:rPr>
                <w:color w:val="000000" w:themeColor="text1"/>
                <w:sz w:val="20"/>
              </w:rPr>
              <w:t>0.2</w:t>
            </w:r>
          </w:p>
        </w:tc>
        <w:tc>
          <w:tcPr>
            <w:tcW w:w="900" w:type="dxa"/>
            <w:tcBorders>
              <w:top w:val="single" w:sz="4" w:space="0" w:color="auto"/>
              <w:left w:val="nil"/>
              <w:bottom w:val="single" w:sz="4" w:space="0" w:color="auto"/>
              <w:right w:val="single" w:sz="4" w:space="0" w:color="auto"/>
            </w:tcBorders>
            <w:vAlign w:val="center"/>
          </w:tcPr>
          <w:p w:rsidR="00943CDA" w:rsidRPr="00940D27" w:rsidP="004D37AE" w14:paraId="588DB65B" w14:textId="0D82F9C8">
            <w:pPr>
              <w:keepNext/>
              <w:keepLines/>
              <w:jc w:val="center"/>
              <w:rPr>
                <w:color w:val="000000" w:themeColor="text1"/>
                <w:sz w:val="20"/>
              </w:rPr>
            </w:pPr>
            <w:r>
              <w:rPr>
                <w:color w:val="000000" w:themeColor="text1"/>
                <w:sz w:val="20"/>
              </w:rPr>
              <w:t>1</w:t>
            </w:r>
            <w:r w:rsidR="00AE2A99">
              <w:rPr>
                <w:color w:val="000000" w:themeColor="text1"/>
                <w:sz w:val="20"/>
              </w:rPr>
              <w:t>6.8</w:t>
            </w:r>
          </w:p>
        </w:tc>
        <w:tc>
          <w:tcPr>
            <w:tcW w:w="1080" w:type="dxa"/>
            <w:tcBorders>
              <w:top w:val="single" w:sz="4" w:space="0" w:color="auto"/>
              <w:left w:val="nil"/>
              <w:bottom w:val="single" w:sz="4" w:space="0" w:color="auto"/>
              <w:right w:val="single" w:sz="4" w:space="0" w:color="auto"/>
            </w:tcBorders>
            <w:vAlign w:val="center"/>
          </w:tcPr>
          <w:p w:rsidR="00943CDA" w:rsidRPr="00940D27" w:rsidP="004D37AE" w14:paraId="4F99B379" w14:textId="110AFA4F">
            <w:pPr>
              <w:keepNext/>
              <w:keepLines/>
              <w:jc w:val="center"/>
              <w:rPr>
                <w:color w:val="000000" w:themeColor="text1"/>
                <w:sz w:val="20"/>
              </w:rPr>
            </w:pPr>
            <w:r>
              <w:rPr>
                <w:color w:val="000000" w:themeColor="text1"/>
                <w:sz w:val="20"/>
              </w:rPr>
              <w:t>13,</w:t>
            </w:r>
            <w:r w:rsidR="007977C8">
              <w:rPr>
                <w:color w:val="000000" w:themeColor="text1"/>
                <w:sz w:val="20"/>
              </w:rPr>
              <w:t>118</w:t>
            </w:r>
          </w:p>
        </w:tc>
        <w:tc>
          <w:tcPr>
            <w:tcW w:w="1350" w:type="dxa"/>
            <w:tcBorders>
              <w:top w:val="single" w:sz="4" w:space="0" w:color="auto"/>
              <w:left w:val="nil"/>
              <w:bottom w:val="single" w:sz="4" w:space="0" w:color="auto"/>
              <w:right w:val="single" w:sz="4" w:space="0" w:color="auto"/>
            </w:tcBorders>
            <w:vAlign w:val="center"/>
          </w:tcPr>
          <w:p w:rsidR="00943CDA" w:rsidRPr="00940D27" w:rsidP="004D37AE" w14:paraId="568710CE" w14:textId="037E0BF1">
            <w:pPr>
              <w:keepNext/>
              <w:keepLines/>
              <w:jc w:val="center"/>
              <w:rPr>
                <w:color w:val="000000" w:themeColor="text1"/>
                <w:sz w:val="20"/>
              </w:rPr>
            </w:pPr>
            <w:r>
              <w:rPr>
                <w:color w:val="000000" w:themeColor="text1"/>
                <w:sz w:val="20"/>
              </w:rPr>
              <w:t>853,195</w:t>
            </w:r>
          </w:p>
        </w:tc>
      </w:tr>
    </w:tbl>
    <w:p w:rsidR="00943CDA" w:rsidP="00DB2CBE" w14:paraId="31DD677E" w14:textId="77777777">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p>
    <w:p w:rsidR="004567A6" w:rsidP="004567A6" w14:paraId="0134EBFC" w14:textId="7DA6ECE3">
      <w:pPr>
        <w:keepNext/>
        <w:keepLines/>
        <w:contextualSpacing/>
        <w:jc w:val="center"/>
        <w:rPr>
          <w:rFonts w:eastAsia="Calibri"/>
          <w:b/>
          <w:bCs/>
          <w:caps/>
          <w:color w:val="000000" w:themeColor="text1"/>
        </w:rPr>
      </w:pPr>
      <w:r w:rsidRPr="05136CB8">
        <w:rPr>
          <w:rFonts w:eastAsia="Calibri"/>
          <w:b/>
          <w:bCs/>
          <w:caps/>
          <w:color w:val="000000" w:themeColor="text1"/>
        </w:rPr>
        <w:t xml:space="preserve">TABLE </w:t>
      </w:r>
      <w:r w:rsidR="00D650C0">
        <w:rPr>
          <w:rFonts w:eastAsia="Calibri"/>
          <w:b/>
          <w:bCs/>
          <w:caps/>
          <w:color w:val="000000" w:themeColor="text1"/>
        </w:rPr>
        <w:t>5</w:t>
      </w:r>
      <w:r w:rsidRPr="05136CB8">
        <w:rPr>
          <w:rFonts w:eastAsia="Calibri"/>
          <w:b/>
          <w:bCs/>
          <w:caps/>
          <w:color w:val="000000" w:themeColor="text1"/>
        </w:rPr>
        <w:t>: Total CY 202</w:t>
      </w:r>
      <w:r>
        <w:rPr>
          <w:rFonts w:eastAsia="Calibri"/>
          <w:b/>
          <w:bCs/>
          <w:caps/>
          <w:color w:val="000000" w:themeColor="text1"/>
        </w:rPr>
        <w:t>8</w:t>
      </w:r>
      <w:r w:rsidRPr="05136CB8">
        <w:rPr>
          <w:rFonts w:eastAsia="Calibri"/>
          <w:b/>
          <w:bCs/>
          <w:caps/>
          <w:color w:val="000000" w:themeColor="text1"/>
        </w:rPr>
        <w:t xml:space="preserve"> IPF</w:t>
      </w:r>
      <w:r>
        <w:rPr>
          <w:rFonts w:eastAsia="Calibri"/>
          <w:b/>
          <w:bCs/>
          <w:caps/>
          <w:color w:val="000000" w:themeColor="text1"/>
        </w:rPr>
        <w:t>-PAI</w:t>
      </w:r>
      <w:r w:rsidRPr="05136CB8">
        <w:rPr>
          <w:rFonts w:eastAsia="Calibri"/>
          <w:b/>
          <w:bCs/>
          <w:caps/>
          <w:color w:val="000000" w:themeColor="text1"/>
        </w:rPr>
        <w:t xml:space="preserve"> BURDEN</w:t>
      </w:r>
    </w:p>
    <w:p w:rsidR="004567A6" w:rsidRPr="00EA5F74" w:rsidP="004567A6" w14:paraId="664DC696" w14:textId="77777777">
      <w:pPr>
        <w:keepNext/>
        <w:keepLines/>
        <w:contextualSpacing/>
        <w:jc w:val="center"/>
        <w:rPr>
          <w:rFonts w:eastAsia="Calibri"/>
          <w:b/>
          <w:bCs/>
          <w:caps/>
          <w:color w:val="000000" w:themeColor="text1"/>
        </w:rPr>
      </w:pPr>
    </w:p>
    <w:tbl>
      <w:tblPr>
        <w:tblW w:w="9715" w:type="dxa"/>
        <w:jc w:val="center"/>
        <w:tblLayout w:type="fixed"/>
        <w:tblLook w:val="04A0"/>
      </w:tblPr>
      <w:tblGrid>
        <w:gridCol w:w="1885"/>
        <w:gridCol w:w="990"/>
        <w:gridCol w:w="1260"/>
        <w:gridCol w:w="1170"/>
        <w:gridCol w:w="1080"/>
        <w:gridCol w:w="900"/>
        <w:gridCol w:w="1080"/>
        <w:gridCol w:w="1350"/>
      </w:tblGrid>
      <w:tr w14:paraId="677534E7" w14:textId="77777777" w:rsidTr="4DF1D982">
        <w:tblPrEx>
          <w:tblW w:w="9715" w:type="dxa"/>
          <w:jc w:val="center"/>
          <w:tblLayout w:type="fixed"/>
          <w:tblLook w:val="04A0"/>
        </w:tblPrEx>
        <w:trPr>
          <w:trHeight w:val="960"/>
          <w:tblHeader/>
          <w:jc w:val="center"/>
        </w:trPr>
        <w:tc>
          <w:tcPr>
            <w:tcW w:w="18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50C8507E" w14:textId="77777777">
            <w:pPr>
              <w:keepNext/>
              <w:keepLines/>
              <w:jc w:val="center"/>
              <w:rPr>
                <w:b/>
                <w:bCs/>
                <w:color w:val="000000" w:themeColor="text1"/>
                <w:sz w:val="20"/>
              </w:rPr>
            </w:pPr>
            <w:r w:rsidRPr="00943CDA">
              <w:rPr>
                <w:b/>
                <w:bCs/>
                <w:color w:val="000000" w:themeColor="text1"/>
                <w:sz w:val="20"/>
              </w:rPr>
              <w:t>Response Description</w:t>
            </w:r>
          </w:p>
        </w:tc>
        <w:tc>
          <w:tcPr>
            <w:tcW w:w="9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2FC4DB93" w14:textId="77777777">
            <w:pPr>
              <w:keepNext/>
              <w:keepLines/>
              <w:rPr>
                <w:b/>
                <w:bCs/>
                <w:color w:val="000000" w:themeColor="text1"/>
                <w:sz w:val="20"/>
              </w:rPr>
            </w:pPr>
            <w:r w:rsidRPr="00943CDA">
              <w:rPr>
                <w:b/>
                <w:bCs/>
                <w:color w:val="000000" w:themeColor="text1"/>
                <w:sz w:val="20"/>
              </w:rPr>
              <w:t>Number Respondents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2E285C29" w14:textId="77777777">
            <w:pPr>
              <w:keepNext/>
              <w:keepLines/>
              <w:rPr>
                <w:b/>
                <w:bCs/>
                <w:color w:val="000000" w:themeColor="text1"/>
                <w:sz w:val="20"/>
              </w:rPr>
            </w:pPr>
            <w:r w:rsidRPr="00943CDA">
              <w:rPr>
                <w:b/>
                <w:bCs/>
                <w:color w:val="000000" w:themeColor="text1"/>
                <w:sz w:val="20"/>
              </w:rPr>
              <w:t>Number of Response</w:t>
            </w:r>
            <w:r>
              <w:rPr>
                <w:b/>
                <w:bCs/>
                <w:color w:val="000000" w:themeColor="text1"/>
                <w:sz w:val="20"/>
              </w:rPr>
              <w:t>s</w:t>
            </w:r>
            <w:r w:rsidRPr="00943CDA">
              <w:rPr>
                <w:b/>
                <w:bCs/>
                <w:color w:val="000000" w:themeColor="text1"/>
                <w:sz w:val="20"/>
              </w:rPr>
              <w:t xml:space="preserve">/ Respondent </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5D646EDA" w14:textId="77777777">
            <w:pPr>
              <w:keepNext/>
              <w:keepLines/>
              <w:rPr>
                <w:b/>
                <w:bCs/>
                <w:color w:val="000000" w:themeColor="text1"/>
                <w:sz w:val="20"/>
              </w:rPr>
            </w:pPr>
            <w:r w:rsidRPr="00943CDA">
              <w:rPr>
                <w:b/>
                <w:bCs/>
                <w:color w:val="000000" w:themeColor="text1"/>
                <w:sz w:val="20"/>
              </w:rPr>
              <w:t xml:space="preserve">Total Responses </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70FD98DA" w14:textId="77777777">
            <w:pPr>
              <w:keepNext/>
              <w:keepLines/>
              <w:rPr>
                <w:b/>
                <w:bCs/>
                <w:color w:val="000000" w:themeColor="text1"/>
                <w:sz w:val="20"/>
              </w:rPr>
            </w:pPr>
            <w:r w:rsidRPr="00943CDA">
              <w:rPr>
                <w:b/>
                <w:bCs/>
                <w:color w:val="000000" w:themeColor="text1"/>
                <w:sz w:val="20"/>
              </w:rPr>
              <w:t>Time per Response (</w:t>
            </w:r>
            <w:r w:rsidRPr="00943CDA">
              <w:rPr>
                <w:b/>
                <w:bCs/>
                <w:color w:val="000000" w:themeColor="text1"/>
                <w:sz w:val="20"/>
              </w:rPr>
              <w:t>hrs</w:t>
            </w:r>
            <w:r w:rsidRPr="00943CDA">
              <w:rPr>
                <w:b/>
                <w:bCs/>
                <w:color w:val="000000" w:themeColor="text1"/>
                <w:sz w:val="20"/>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4BDDE678" w14:textId="77777777">
            <w:pPr>
              <w:keepNext/>
              <w:keepLines/>
              <w:rPr>
                <w:b/>
                <w:bCs/>
                <w:color w:val="000000" w:themeColor="text1"/>
                <w:sz w:val="20"/>
              </w:rPr>
            </w:pPr>
            <w:r w:rsidRPr="00943CDA">
              <w:rPr>
                <w:b/>
                <w:bCs/>
                <w:color w:val="000000" w:themeColor="text1"/>
                <w:sz w:val="20"/>
              </w:rPr>
              <w:t>Time per Facility (</w:t>
            </w:r>
            <w:r w:rsidRPr="00943CDA">
              <w:rPr>
                <w:b/>
                <w:bCs/>
                <w:color w:val="000000" w:themeColor="text1"/>
                <w:sz w:val="20"/>
              </w:rPr>
              <w:t>hrs</w:t>
            </w:r>
            <w:r w:rsidRPr="00943CDA">
              <w:rPr>
                <w:b/>
                <w:bCs/>
                <w:color w:val="000000" w:themeColor="text1"/>
                <w:sz w:val="20"/>
              </w:rPr>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1ADF6C6D" w14:textId="77777777">
            <w:pPr>
              <w:keepNext/>
              <w:keepLines/>
              <w:rPr>
                <w:b/>
                <w:bCs/>
                <w:color w:val="000000" w:themeColor="text1"/>
                <w:sz w:val="20"/>
              </w:rPr>
            </w:pPr>
            <w:r w:rsidRPr="00943CDA">
              <w:rPr>
                <w:b/>
                <w:bCs/>
                <w:color w:val="000000" w:themeColor="text1"/>
                <w:sz w:val="20"/>
              </w:rPr>
              <w:t>Total Time (</w:t>
            </w:r>
            <w:r w:rsidRPr="00943CDA">
              <w:rPr>
                <w:b/>
                <w:bCs/>
                <w:color w:val="000000" w:themeColor="text1"/>
                <w:sz w:val="20"/>
              </w:rPr>
              <w:t>hrs</w:t>
            </w:r>
            <w:r w:rsidRPr="00943CDA">
              <w:rPr>
                <w:b/>
                <w:bCs/>
                <w:color w:val="000000" w:themeColor="text1"/>
                <w:sz w:val="20"/>
              </w:rPr>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567A6" w:rsidRPr="00943CDA" w:rsidP="00310F84" w14:paraId="084F5B7B" w14:textId="77777777">
            <w:pPr>
              <w:keepNext/>
              <w:keepLines/>
              <w:rPr>
                <w:b/>
                <w:bCs/>
                <w:color w:val="000000" w:themeColor="text1"/>
                <w:sz w:val="20"/>
              </w:rPr>
            </w:pPr>
            <w:r w:rsidRPr="00943CDA">
              <w:rPr>
                <w:b/>
                <w:bCs/>
                <w:color w:val="000000" w:themeColor="text1"/>
                <w:sz w:val="20"/>
              </w:rPr>
              <w:t>Total Cost ($)</w:t>
            </w:r>
          </w:p>
        </w:tc>
      </w:tr>
      <w:tr w14:paraId="6B9974D5" w14:textId="77777777" w:rsidTr="4DF1D982">
        <w:tblPrEx>
          <w:tblW w:w="9715" w:type="dxa"/>
          <w:jc w:val="center"/>
          <w:tblLayout w:type="fixed"/>
          <w:tblLook w:val="04A0"/>
        </w:tblPrEx>
        <w:trPr>
          <w:trHeight w:val="288"/>
          <w:jc w:val="center"/>
        </w:trPr>
        <w:tc>
          <w:tcPr>
            <w:tcW w:w="1885" w:type="dxa"/>
            <w:tcBorders>
              <w:top w:val="single" w:sz="4" w:space="0" w:color="auto"/>
              <w:left w:val="single" w:sz="4" w:space="0" w:color="auto"/>
              <w:bottom w:val="single" w:sz="4" w:space="0" w:color="auto"/>
              <w:right w:val="single" w:sz="4" w:space="0" w:color="auto"/>
            </w:tcBorders>
            <w:vAlign w:val="center"/>
          </w:tcPr>
          <w:p w:rsidR="004567A6" w:rsidRPr="00940D27" w:rsidP="4DF1D982" w14:paraId="167B7D1A" w14:textId="2758F056">
            <w:pPr>
              <w:keepNext/>
              <w:keepLines/>
              <w:rPr>
                <w:color w:val="000000" w:themeColor="text1"/>
                <w:sz w:val="20"/>
                <w:szCs w:val="20"/>
              </w:rPr>
            </w:pPr>
            <w:r w:rsidRPr="4DF1D982">
              <w:rPr>
                <w:color w:val="000000" w:themeColor="text1"/>
                <w:sz w:val="20"/>
                <w:szCs w:val="20"/>
              </w:rPr>
              <w:t>IPF-PAI</w:t>
            </w:r>
            <w:r w:rsidRPr="4DF1D982" w:rsidR="05AFCEDD">
              <w:rPr>
                <w:color w:val="000000" w:themeColor="text1"/>
                <w:sz w:val="20"/>
                <w:szCs w:val="20"/>
              </w:rPr>
              <w:t xml:space="preserve"> (Voluntary)</w:t>
            </w:r>
            <w:r w:rsidRPr="4DF1D982" w:rsidR="381155F7">
              <w:rPr>
                <w:color w:val="000000" w:themeColor="text1"/>
                <w:sz w:val="20"/>
                <w:szCs w:val="20"/>
              </w:rPr>
              <w:t xml:space="preserve"> Q1 2028 and Q2 2028</w:t>
            </w:r>
          </w:p>
        </w:tc>
        <w:tc>
          <w:tcPr>
            <w:tcW w:w="990" w:type="dxa"/>
            <w:tcBorders>
              <w:top w:val="single" w:sz="4" w:space="0" w:color="auto"/>
              <w:left w:val="nil"/>
              <w:bottom w:val="single" w:sz="4" w:space="0" w:color="auto"/>
              <w:right w:val="single" w:sz="4" w:space="0" w:color="auto"/>
            </w:tcBorders>
            <w:vAlign w:val="center"/>
          </w:tcPr>
          <w:p w:rsidR="004567A6" w:rsidRPr="00940D27" w:rsidP="00310F84" w14:paraId="1A7B199A" w14:textId="4E705EDE">
            <w:pPr>
              <w:keepNext/>
              <w:keepLines/>
              <w:jc w:val="center"/>
              <w:rPr>
                <w:color w:val="000000" w:themeColor="text1"/>
                <w:sz w:val="20"/>
              </w:rPr>
            </w:pPr>
            <w:r>
              <w:rPr>
                <w:color w:val="000000" w:themeColor="text1"/>
                <w:sz w:val="20"/>
              </w:rPr>
              <w:t>782</w:t>
            </w:r>
          </w:p>
        </w:tc>
        <w:tc>
          <w:tcPr>
            <w:tcW w:w="1260" w:type="dxa"/>
            <w:tcBorders>
              <w:top w:val="single" w:sz="4" w:space="0" w:color="auto"/>
              <w:left w:val="nil"/>
              <w:bottom w:val="single" w:sz="4" w:space="0" w:color="auto"/>
              <w:right w:val="single" w:sz="4" w:space="0" w:color="auto"/>
            </w:tcBorders>
            <w:vAlign w:val="center"/>
          </w:tcPr>
          <w:p w:rsidR="004567A6" w:rsidRPr="00940D27" w:rsidP="00310F84" w14:paraId="7F91E389" w14:textId="2AAD6C24">
            <w:pPr>
              <w:keepNext/>
              <w:keepLines/>
              <w:jc w:val="center"/>
              <w:rPr>
                <w:color w:val="000000" w:themeColor="text1"/>
                <w:sz w:val="20"/>
              </w:rPr>
            </w:pPr>
            <w:r>
              <w:rPr>
                <w:color w:val="000000" w:themeColor="text1"/>
                <w:sz w:val="20"/>
              </w:rPr>
              <w:t>167.8</w:t>
            </w:r>
          </w:p>
        </w:tc>
        <w:tc>
          <w:tcPr>
            <w:tcW w:w="1170" w:type="dxa"/>
            <w:tcBorders>
              <w:top w:val="single" w:sz="4" w:space="0" w:color="auto"/>
              <w:left w:val="nil"/>
              <w:bottom w:val="single" w:sz="4" w:space="0" w:color="auto"/>
              <w:right w:val="single" w:sz="4" w:space="0" w:color="auto"/>
            </w:tcBorders>
            <w:vAlign w:val="center"/>
          </w:tcPr>
          <w:p w:rsidR="004567A6" w:rsidRPr="00940D27" w:rsidP="00310F84" w14:paraId="1AD3009F" w14:textId="7A74A286">
            <w:pPr>
              <w:keepNext/>
              <w:keepLines/>
              <w:jc w:val="center"/>
              <w:rPr>
                <w:color w:val="000000" w:themeColor="text1"/>
                <w:sz w:val="20"/>
              </w:rPr>
            </w:pPr>
            <w:r>
              <w:rPr>
                <w:color w:val="000000" w:themeColor="text1"/>
                <w:sz w:val="20"/>
              </w:rPr>
              <w:t>131,181</w:t>
            </w:r>
          </w:p>
        </w:tc>
        <w:tc>
          <w:tcPr>
            <w:tcW w:w="1080" w:type="dxa"/>
            <w:tcBorders>
              <w:top w:val="single" w:sz="4" w:space="0" w:color="auto"/>
              <w:left w:val="nil"/>
              <w:bottom w:val="single" w:sz="4" w:space="0" w:color="auto"/>
              <w:right w:val="single" w:sz="4" w:space="0" w:color="auto"/>
            </w:tcBorders>
            <w:vAlign w:val="center"/>
          </w:tcPr>
          <w:p w:rsidR="004567A6" w:rsidRPr="00940D27" w:rsidP="00310F84" w14:paraId="2BCBA55C" w14:textId="659B2900">
            <w:pPr>
              <w:keepNext/>
              <w:keepLines/>
              <w:jc w:val="center"/>
              <w:rPr>
                <w:color w:val="000000" w:themeColor="text1"/>
                <w:sz w:val="20"/>
              </w:rPr>
            </w:pPr>
            <w:r w:rsidRPr="1AF0A7F2">
              <w:rPr>
                <w:color w:val="000000" w:themeColor="text1"/>
                <w:sz w:val="20"/>
              </w:rPr>
              <w:t>0.2</w:t>
            </w:r>
          </w:p>
        </w:tc>
        <w:tc>
          <w:tcPr>
            <w:tcW w:w="900" w:type="dxa"/>
            <w:tcBorders>
              <w:top w:val="single" w:sz="4" w:space="0" w:color="auto"/>
              <w:left w:val="nil"/>
              <w:bottom w:val="single" w:sz="4" w:space="0" w:color="auto"/>
              <w:right w:val="single" w:sz="4" w:space="0" w:color="auto"/>
            </w:tcBorders>
            <w:vAlign w:val="center"/>
          </w:tcPr>
          <w:p w:rsidR="004567A6" w:rsidRPr="00940D27" w:rsidP="00310F84" w14:paraId="3E938CD8" w14:textId="67F705B2">
            <w:pPr>
              <w:keepNext/>
              <w:keepLines/>
              <w:jc w:val="center"/>
              <w:rPr>
                <w:color w:val="000000" w:themeColor="text1"/>
                <w:sz w:val="20"/>
              </w:rPr>
            </w:pPr>
            <w:r>
              <w:rPr>
                <w:color w:val="000000" w:themeColor="text1"/>
                <w:sz w:val="20"/>
              </w:rPr>
              <w:t>3</w:t>
            </w:r>
            <w:r w:rsidR="00EE1E54">
              <w:rPr>
                <w:color w:val="000000" w:themeColor="text1"/>
                <w:sz w:val="20"/>
              </w:rPr>
              <w:t>3.5</w:t>
            </w:r>
          </w:p>
        </w:tc>
        <w:tc>
          <w:tcPr>
            <w:tcW w:w="1080" w:type="dxa"/>
            <w:tcBorders>
              <w:top w:val="single" w:sz="4" w:space="0" w:color="auto"/>
              <w:left w:val="nil"/>
              <w:bottom w:val="single" w:sz="4" w:space="0" w:color="auto"/>
              <w:right w:val="single" w:sz="4" w:space="0" w:color="auto"/>
            </w:tcBorders>
            <w:vAlign w:val="center"/>
          </w:tcPr>
          <w:p w:rsidR="004567A6" w:rsidRPr="00940D27" w:rsidP="00310F84" w14:paraId="3D8F0CD1" w14:textId="5A928474">
            <w:pPr>
              <w:keepNext/>
              <w:keepLines/>
              <w:jc w:val="center"/>
              <w:rPr>
                <w:color w:val="000000" w:themeColor="text1"/>
                <w:sz w:val="20"/>
              </w:rPr>
            </w:pPr>
            <w:r>
              <w:rPr>
                <w:color w:val="000000" w:themeColor="text1"/>
                <w:sz w:val="20"/>
              </w:rPr>
              <w:t>2</w:t>
            </w:r>
            <w:r w:rsidR="00AE2A99">
              <w:rPr>
                <w:color w:val="000000" w:themeColor="text1"/>
                <w:sz w:val="20"/>
              </w:rPr>
              <w:t>6,236</w:t>
            </w:r>
          </w:p>
        </w:tc>
        <w:tc>
          <w:tcPr>
            <w:tcW w:w="1350" w:type="dxa"/>
            <w:tcBorders>
              <w:top w:val="single" w:sz="4" w:space="0" w:color="auto"/>
              <w:left w:val="nil"/>
              <w:bottom w:val="single" w:sz="4" w:space="0" w:color="auto"/>
              <w:right w:val="single" w:sz="4" w:space="0" w:color="auto"/>
            </w:tcBorders>
            <w:vAlign w:val="center"/>
          </w:tcPr>
          <w:p w:rsidR="004567A6" w:rsidRPr="00940D27" w:rsidP="00310F84" w14:paraId="33EB794E" w14:textId="4A597D9A">
            <w:pPr>
              <w:keepNext/>
              <w:keepLines/>
              <w:jc w:val="center"/>
              <w:rPr>
                <w:color w:val="000000" w:themeColor="text1"/>
                <w:sz w:val="20"/>
              </w:rPr>
            </w:pPr>
            <w:r>
              <w:rPr>
                <w:color w:val="000000" w:themeColor="text1"/>
                <w:sz w:val="20"/>
              </w:rPr>
              <w:t>1,7</w:t>
            </w:r>
            <w:r w:rsidR="00CA50FD">
              <w:rPr>
                <w:color w:val="000000" w:themeColor="text1"/>
                <w:sz w:val="20"/>
              </w:rPr>
              <w:t>06,389</w:t>
            </w:r>
          </w:p>
        </w:tc>
      </w:tr>
      <w:tr w14:paraId="61379DFD" w14:textId="77777777" w:rsidTr="4DF1D982">
        <w:tblPrEx>
          <w:tblW w:w="9715" w:type="dxa"/>
          <w:jc w:val="center"/>
          <w:tblLayout w:type="fixed"/>
          <w:tblLook w:val="04A0"/>
        </w:tblPrEx>
        <w:trPr>
          <w:trHeight w:val="288"/>
          <w:jc w:val="center"/>
        </w:trPr>
        <w:tc>
          <w:tcPr>
            <w:tcW w:w="1885" w:type="dxa"/>
            <w:tcBorders>
              <w:top w:val="single" w:sz="4" w:space="0" w:color="auto"/>
              <w:left w:val="single" w:sz="4" w:space="0" w:color="auto"/>
              <w:bottom w:val="single" w:sz="4" w:space="0" w:color="auto"/>
              <w:right w:val="single" w:sz="4" w:space="0" w:color="auto"/>
            </w:tcBorders>
            <w:vAlign w:val="center"/>
          </w:tcPr>
          <w:p w:rsidR="00432F6F" w:rsidRPr="05136CB8" w:rsidP="4DF1D982" w14:paraId="7257B58D" w14:textId="3502DC7F">
            <w:pPr>
              <w:keepNext/>
              <w:keepLines/>
              <w:rPr>
                <w:color w:val="000000" w:themeColor="text1"/>
                <w:sz w:val="20"/>
                <w:szCs w:val="20"/>
              </w:rPr>
            </w:pPr>
            <w:r w:rsidRPr="4DF1D982">
              <w:rPr>
                <w:color w:val="000000" w:themeColor="text1"/>
                <w:sz w:val="20"/>
                <w:szCs w:val="20"/>
              </w:rPr>
              <w:t>IPF-PAI (Mandatory)</w:t>
            </w:r>
            <w:r w:rsidRPr="4DF1D982" w:rsidR="733CC2B1">
              <w:rPr>
                <w:color w:val="000000" w:themeColor="text1"/>
                <w:sz w:val="20"/>
                <w:szCs w:val="20"/>
              </w:rPr>
              <w:t xml:space="preserve"> Q3 2028 and Q4 2028</w:t>
            </w:r>
          </w:p>
        </w:tc>
        <w:tc>
          <w:tcPr>
            <w:tcW w:w="990" w:type="dxa"/>
            <w:tcBorders>
              <w:top w:val="single" w:sz="4" w:space="0" w:color="auto"/>
              <w:left w:val="nil"/>
              <w:bottom w:val="single" w:sz="4" w:space="0" w:color="auto"/>
              <w:right w:val="single" w:sz="4" w:space="0" w:color="auto"/>
            </w:tcBorders>
            <w:vAlign w:val="center"/>
          </w:tcPr>
          <w:p w:rsidR="00432F6F" w:rsidRPr="1AF0A7F2" w:rsidP="00310F84" w14:paraId="29DCE6D9" w14:textId="2BB6AFA2">
            <w:pPr>
              <w:keepNext/>
              <w:keepLines/>
              <w:jc w:val="center"/>
              <w:rPr>
                <w:color w:val="000000" w:themeColor="text1"/>
                <w:sz w:val="20"/>
              </w:rPr>
            </w:pPr>
            <w:r>
              <w:rPr>
                <w:color w:val="000000" w:themeColor="text1"/>
                <w:sz w:val="20"/>
              </w:rPr>
              <w:t>1,564</w:t>
            </w:r>
          </w:p>
        </w:tc>
        <w:tc>
          <w:tcPr>
            <w:tcW w:w="1260" w:type="dxa"/>
            <w:tcBorders>
              <w:top w:val="single" w:sz="4" w:space="0" w:color="auto"/>
              <w:left w:val="nil"/>
              <w:bottom w:val="single" w:sz="4" w:space="0" w:color="auto"/>
              <w:right w:val="single" w:sz="4" w:space="0" w:color="auto"/>
            </w:tcBorders>
            <w:vAlign w:val="center"/>
          </w:tcPr>
          <w:p w:rsidR="00432F6F" w:rsidRPr="1AF0A7F2" w:rsidP="00310F84" w14:paraId="1A90D9CB" w14:textId="032E3172">
            <w:pPr>
              <w:keepNext/>
              <w:keepLines/>
              <w:jc w:val="center"/>
              <w:rPr>
                <w:color w:val="000000" w:themeColor="text1"/>
                <w:sz w:val="20"/>
              </w:rPr>
            </w:pPr>
            <w:r>
              <w:rPr>
                <w:color w:val="000000" w:themeColor="text1"/>
                <w:sz w:val="20"/>
              </w:rPr>
              <w:t>671</w:t>
            </w:r>
          </w:p>
        </w:tc>
        <w:tc>
          <w:tcPr>
            <w:tcW w:w="1170" w:type="dxa"/>
            <w:tcBorders>
              <w:top w:val="single" w:sz="4" w:space="0" w:color="auto"/>
              <w:left w:val="nil"/>
              <w:bottom w:val="single" w:sz="4" w:space="0" w:color="auto"/>
              <w:right w:val="single" w:sz="4" w:space="0" w:color="auto"/>
            </w:tcBorders>
            <w:vAlign w:val="center"/>
          </w:tcPr>
          <w:p w:rsidR="00432F6F" w:rsidP="00310F84" w14:paraId="41FFF4BF" w14:textId="6DBB8F5B">
            <w:pPr>
              <w:keepNext/>
              <w:keepLines/>
              <w:jc w:val="center"/>
              <w:rPr>
                <w:color w:val="000000" w:themeColor="text1"/>
                <w:sz w:val="20"/>
              </w:rPr>
            </w:pPr>
            <w:r>
              <w:rPr>
                <w:color w:val="000000" w:themeColor="text1"/>
                <w:sz w:val="20"/>
              </w:rPr>
              <w:t>1,049,444</w:t>
            </w:r>
          </w:p>
        </w:tc>
        <w:tc>
          <w:tcPr>
            <w:tcW w:w="1080" w:type="dxa"/>
            <w:tcBorders>
              <w:top w:val="single" w:sz="4" w:space="0" w:color="auto"/>
              <w:left w:val="nil"/>
              <w:bottom w:val="single" w:sz="4" w:space="0" w:color="auto"/>
              <w:right w:val="single" w:sz="4" w:space="0" w:color="auto"/>
            </w:tcBorders>
            <w:vAlign w:val="center"/>
          </w:tcPr>
          <w:p w:rsidR="00432F6F" w:rsidRPr="1AF0A7F2" w:rsidP="00310F84" w14:paraId="135D1F7A" w14:textId="2E1DD989">
            <w:pPr>
              <w:keepNext/>
              <w:keepLines/>
              <w:jc w:val="center"/>
              <w:rPr>
                <w:color w:val="000000" w:themeColor="text1"/>
                <w:sz w:val="20"/>
              </w:rPr>
            </w:pPr>
            <w:r>
              <w:rPr>
                <w:color w:val="000000" w:themeColor="text1"/>
                <w:sz w:val="20"/>
              </w:rPr>
              <w:t>0.2</w:t>
            </w:r>
          </w:p>
        </w:tc>
        <w:tc>
          <w:tcPr>
            <w:tcW w:w="900" w:type="dxa"/>
            <w:tcBorders>
              <w:top w:val="single" w:sz="4" w:space="0" w:color="auto"/>
              <w:left w:val="nil"/>
              <w:bottom w:val="single" w:sz="4" w:space="0" w:color="auto"/>
              <w:right w:val="single" w:sz="4" w:space="0" w:color="auto"/>
            </w:tcBorders>
            <w:vAlign w:val="center"/>
          </w:tcPr>
          <w:p w:rsidR="00432F6F" w:rsidRPr="1AF0A7F2" w:rsidP="00310F84" w14:paraId="768D47DC" w14:textId="4EFD7EF4">
            <w:pPr>
              <w:keepNext/>
              <w:keepLines/>
              <w:jc w:val="center"/>
              <w:rPr>
                <w:color w:val="000000" w:themeColor="text1"/>
                <w:sz w:val="20"/>
              </w:rPr>
            </w:pPr>
            <w:r>
              <w:rPr>
                <w:color w:val="000000" w:themeColor="text1"/>
                <w:sz w:val="20"/>
              </w:rPr>
              <w:t>1</w:t>
            </w:r>
            <w:r w:rsidR="00EE1E54">
              <w:rPr>
                <w:color w:val="000000" w:themeColor="text1"/>
                <w:sz w:val="20"/>
              </w:rPr>
              <w:t>34.2</w:t>
            </w:r>
          </w:p>
        </w:tc>
        <w:tc>
          <w:tcPr>
            <w:tcW w:w="1080" w:type="dxa"/>
            <w:tcBorders>
              <w:top w:val="single" w:sz="4" w:space="0" w:color="auto"/>
              <w:left w:val="nil"/>
              <w:bottom w:val="single" w:sz="4" w:space="0" w:color="auto"/>
              <w:right w:val="single" w:sz="4" w:space="0" w:color="auto"/>
            </w:tcBorders>
            <w:vAlign w:val="center"/>
          </w:tcPr>
          <w:p w:rsidR="00432F6F" w:rsidRPr="1AF0A7F2" w:rsidP="00310F84" w14:paraId="250ABA22" w14:textId="583BDD91">
            <w:pPr>
              <w:keepNext/>
              <w:keepLines/>
              <w:jc w:val="center"/>
              <w:rPr>
                <w:color w:val="000000" w:themeColor="text1"/>
                <w:sz w:val="20"/>
              </w:rPr>
            </w:pPr>
            <w:r>
              <w:rPr>
                <w:color w:val="000000" w:themeColor="text1"/>
                <w:sz w:val="20"/>
              </w:rPr>
              <w:t>2</w:t>
            </w:r>
            <w:r w:rsidR="00AE2A99">
              <w:rPr>
                <w:color w:val="000000" w:themeColor="text1"/>
                <w:sz w:val="20"/>
              </w:rPr>
              <w:t>09,889</w:t>
            </w:r>
          </w:p>
        </w:tc>
        <w:tc>
          <w:tcPr>
            <w:tcW w:w="1350" w:type="dxa"/>
            <w:tcBorders>
              <w:top w:val="single" w:sz="4" w:space="0" w:color="auto"/>
              <w:left w:val="nil"/>
              <w:bottom w:val="single" w:sz="4" w:space="0" w:color="auto"/>
              <w:right w:val="single" w:sz="4" w:space="0" w:color="auto"/>
            </w:tcBorders>
            <w:vAlign w:val="center"/>
          </w:tcPr>
          <w:p w:rsidR="00432F6F" w:rsidP="00310F84" w14:paraId="279383E5" w14:textId="0F2A95F9">
            <w:pPr>
              <w:keepNext/>
              <w:keepLines/>
              <w:jc w:val="center"/>
              <w:rPr>
                <w:color w:val="000000" w:themeColor="text1"/>
                <w:sz w:val="20"/>
              </w:rPr>
            </w:pPr>
            <w:r>
              <w:rPr>
                <w:color w:val="000000" w:themeColor="text1"/>
                <w:sz w:val="20"/>
              </w:rPr>
              <w:t>1</w:t>
            </w:r>
            <w:r w:rsidR="00CA50FD">
              <w:rPr>
                <w:color w:val="000000" w:themeColor="text1"/>
                <w:sz w:val="20"/>
              </w:rPr>
              <w:t>3,651,181</w:t>
            </w:r>
          </w:p>
        </w:tc>
      </w:tr>
    </w:tbl>
    <w:p w:rsidR="004567A6" w:rsidP="00943CDA" w14:paraId="3D96F4EF" w14:textId="77777777">
      <w:pPr>
        <w:keepNext/>
        <w:keepLines/>
        <w:contextualSpacing/>
        <w:jc w:val="center"/>
        <w:rPr>
          <w:rFonts w:eastAsia="Calibri"/>
          <w:b/>
          <w:bCs/>
          <w:caps/>
          <w:color w:val="000000" w:themeColor="text1"/>
        </w:rPr>
      </w:pPr>
    </w:p>
    <w:p w:rsidR="00943CDA" w:rsidP="00943CDA" w14:paraId="2754194B" w14:textId="3079DDB7">
      <w:pPr>
        <w:keepNext/>
        <w:keepLines/>
        <w:contextualSpacing/>
        <w:jc w:val="center"/>
        <w:rPr>
          <w:rFonts w:eastAsia="Calibri"/>
          <w:b/>
          <w:bCs/>
          <w:caps/>
          <w:color w:val="000000" w:themeColor="text1"/>
        </w:rPr>
      </w:pPr>
      <w:r w:rsidRPr="05136CB8">
        <w:rPr>
          <w:rFonts w:eastAsia="Calibri"/>
          <w:b/>
          <w:bCs/>
          <w:caps/>
          <w:color w:val="000000" w:themeColor="text1"/>
        </w:rPr>
        <w:t xml:space="preserve">TABLE </w:t>
      </w:r>
      <w:r w:rsidR="00D650C0">
        <w:rPr>
          <w:rFonts w:eastAsia="Calibri"/>
          <w:b/>
          <w:bCs/>
          <w:caps/>
          <w:color w:val="000000" w:themeColor="text1"/>
        </w:rPr>
        <w:t>6</w:t>
      </w:r>
      <w:r w:rsidRPr="05136CB8">
        <w:rPr>
          <w:rFonts w:eastAsia="Calibri"/>
          <w:b/>
          <w:bCs/>
          <w:caps/>
          <w:color w:val="000000" w:themeColor="text1"/>
        </w:rPr>
        <w:t xml:space="preserve">: Total </w:t>
      </w:r>
      <w:r>
        <w:rPr>
          <w:rFonts w:eastAsia="Calibri"/>
          <w:b/>
          <w:bCs/>
          <w:caps/>
          <w:color w:val="000000" w:themeColor="text1"/>
        </w:rPr>
        <w:t>ANNUAL</w:t>
      </w:r>
      <w:r w:rsidRPr="05136CB8">
        <w:rPr>
          <w:rFonts w:eastAsia="Calibri"/>
          <w:b/>
          <w:bCs/>
          <w:caps/>
          <w:color w:val="000000" w:themeColor="text1"/>
        </w:rPr>
        <w:t xml:space="preserve"> IPF</w:t>
      </w:r>
      <w:r w:rsidR="00121A80">
        <w:rPr>
          <w:rFonts w:eastAsia="Calibri"/>
          <w:b/>
          <w:bCs/>
          <w:caps/>
          <w:color w:val="000000" w:themeColor="text1"/>
        </w:rPr>
        <w:t>-</w:t>
      </w:r>
      <w:r>
        <w:rPr>
          <w:rFonts w:eastAsia="Calibri"/>
          <w:b/>
          <w:bCs/>
          <w:caps/>
          <w:color w:val="000000" w:themeColor="text1"/>
        </w:rPr>
        <w:t>PAI</w:t>
      </w:r>
      <w:r w:rsidRPr="05136CB8">
        <w:rPr>
          <w:rFonts w:eastAsia="Calibri"/>
          <w:b/>
          <w:bCs/>
          <w:caps/>
          <w:color w:val="000000" w:themeColor="text1"/>
        </w:rPr>
        <w:t xml:space="preserve"> BURDEN </w:t>
      </w:r>
      <w:r w:rsidR="00883BD8">
        <w:rPr>
          <w:rFonts w:eastAsia="Calibri"/>
          <w:b/>
          <w:bCs/>
          <w:caps/>
          <w:color w:val="000000" w:themeColor="text1"/>
        </w:rPr>
        <w:t xml:space="preserve">BEGINNING </w:t>
      </w:r>
      <w:r w:rsidR="00C329C9">
        <w:rPr>
          <w:rFonts w:eastAsia="Calibri"/>
          <w:b/>
          <w:bCs/>
          <w:caps/>
          <w:color w:val="000000" w:themeColor="text1"/>
        </w:rPr>
        <w:t xml:space="preserve">IN </w:t>
      </w:r>
      <w:r w:rsidR="009729B5">
        <w:rPr>
          <w:rFonts w:eastAsia="Calibri"/>
          <w:b/>
          <w:bCs/>
          <w:caps/>
          <w:color w:val="000000" w:themeColor="text1"/>
        </w:rPr>
        <w:t>CY 202</w:t>
      </w:r>
      <w:r w:rsidR="004567A6">
        <w:rPr>
          <w:rFonts w:eastAsia="Calibri"/>
          <w:b/>
          <w:bCs/>
          <w:caps/>
          <w:color w:val="000000" w:themeColor="text1"/>
        </w:rPr>
        <w:t>9</w:t>
      </w:r>
    </w:p>
    <w:p w:rsidR="00943CDA" w:rsidRPr="00EA5F74" w:rsidP="00943CDA" w14:paraId="605B0FD6" w14:textId="77777777">
      <w:pPr>
        <w:keepNext/>
        <w:keepLines/>
        <w:contextualSpacing/>
        <w:jc w:val="center"/>
        <w:rPr>
          <w:rFonts w:eastAsia="Calibri"/>
          <w:b/>
          <w:bCs/>
          <w:caps/>
          <w:color w:val="000000" w:themeColor="text1"/>
        </w:rPr>
      </w:pPr>
    </w:p>
    <w:tbl>
      <w:tblPr>
        <w:tblW w:w="9715" w:type="dxa"/>
        <w:jc w:val="center"/>
        <w:tblLayout w:type="fixed"/>
        <w:tblLook w:val="04A0"/>
      </w:tblPr>
      <w:tblGrid>
        <w:gridCol w:w="1885"/>
        <w:gridCol w:w="990"/>
        <w:gridCol w:w="1260"/>
        <w:gridCol w:w="1170"/>
        <w:gridCol w:w="1080"/>
        <w:gridCol w:w="900"/>
        <w:gridCol w:w="1080"/>
        <w:gridCol w:w="1350"/>
      </w:tblGrid>
      <w:tr w14:paraId="53604EB5" w14:textId="77777777" w:rsidTr="4DF1D982">
        <w:tblPrEx>
          <w:tblW w:w="9715" w:type="dxa"/>
          <w:jc w:val="center"/>
          <w:tblLayout w:type="fixed"/>
          <w:tblLook w:val="04A0"/>
        </w:tblPrEx>
        <w:trPr>
          <w:trHeight w:val="960"/>
          <w:tblHeader/>
          <w:jc w:val="center"/>
        </w:trPr>
        <w:tc>
          <w:tcPr>
            <w:tcW w:w="18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207B6A6C" w14:textId="0B44C004">
            <w:pPr>
              <w:keepNext/>
              <w:keepLines/>
              <w:jc w:val="center"/>
              <w:rPr>
                <w:b/>
                <w:bCs/>
                <w:color w:val="000000" w:themeColor="text1"/>
                <w:sz w:val="20"/>
              </w:rPr>
            </w:pPr>
            <w:r w:rsidRPr="00943CDA">
              <w:rPr>
                <w:b/>
                <w:bCs/>
                <w:color w:val="000000" w:themeColor="text1"/>
                <w:sz w:val="20"/>
              </w:rPr>
              <w:t>Response Description</w:t>
            </w:r>
          </w:p>
        </w:tc>
        <w:tc>
          <w:tcPr>
            <w:tcW w:w="9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39AE775E" w14:textId="77777777">
            <w:pPr>
              <w:keepNext/>
              <w:keepLines/>
              <w:rPr>
                <w:b/>
                <w:bCs/>
                <w:color w:val="000000" w:themeColor="text1"/>
                <w:sz w:val="20"/>
              </w:rPr>
            </w:pPr>
            <w:r w:rsidRPr="00943CDA">
              <w:rPr>
                <w:b/>
                <w:bCs/>
                <w:color w:val="000000" w:themeColor="text1"/>
                <w:sz w:val="20"/>
              </w:rPr>
              <w:t>Number Respondents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75262B95" w14:textId="77777777">
            <w:pPr>
              <w:keepNext/>
              <w:keepLines/>
              <w:rPr>
                <w:b/>
                <w:bCs/>
                <w:color w:val="000000" w:themeColor="text1"/>
                <w:sz w:val="20"/>
              </w:rPr>
            </w:pPr>
            <w:r w:rsidRPr="00943CDA">
              <w:rPr>
                <w:b/>
                <w:bCs/>
                <w:color w:val="000000" w:themeColor="text1"/>
                <w:sz w:val="20"/>
              </w:rPr>
              <w:t>Number of Response</w:t>
            </w:r>
            <w:r>
              <w:rPr>
                <w:b/>
                <w:bCs/>
                <w:color w:val="000000" w:themeColor="text1"/>
                <w:sz w:val="20"/>
              </w:rPr>
              <w:t>s</w:t>
            </w:r>
            <w:r w:rsidRPr="00943CDA">
              <w:rPr>
                <w:b/>
                <w:bCs/>
                <w:color w:val="000000" w:themeColor="text1"/>
                <w:sz w:val="20"/>
              </w:rPr>
              <w:t xml:space="preserve">/ Respondent </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5462FC8C" w14:textId="77777777">
            <w:pPr>
              <w:keepNext/>
              <w:keepLines/>
              <w:rPr>
                <w:b/>
                <w:bCs/>
                <w:color w:val="000000" w:themeColor="text1"/>
                <w:sz w:val="20"/>
              </w:rPr>
            </w:pPr>
            <w:r w:rsidRPr="00943CDA">
              <w:rPr>
                <w:b/>
                <w:bCs/>
                <w:color w:val="000000" w:themeColor="text1"/>
                <w:sz w:val="20"/>
              </w:rPr>
              <w:t xml:space="preserve">Total Responses </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747F65CA" w14:textId="77777777">
            <w:pPr>
              <w:keepNext/>
              <w:keepLines/>
              <w:rPr>
                <w:b/>
                <w:bCs/>
                <w:color w:val="000000" w:themeColor="text1"/>
                <w:sz w:val="20"/>
              </w:rPr>
            </w:pPr>
            <w:r w:rsidRPr="00943CDA">
              <w:rPr>
                <w:b/>
                <w:bCs/>
                <w:color w:val="000000" w:themeColor="text1"/>
                <w:sz w:val="20"/>
              </w:rPr>
              <w:t>Time per Response (</w:t>
            </w:r>
            <w:r w:rsidRPr="00943CDA">
              <w:rPr>
                <w:b/>
                <w:bCs/>
                <w:color w:val="000000" w:themeColor="text1"/>
                <w:sz w:val="20"/>
              </w:rPr>
              <w:t>hrs</w:t>
            </w:r>
            <w:r w:rsidRPr="00943CDA">
              <w:rPr>
                <w:b/>
                <w:bCs/>
                <w:color w:val="000000" w:themeColor="text1"/>
                <w:sz w:val="20"/>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5670FBE7" w14:textId="77777777">
            <w:pPr>
              <w:keepNext/>
              <w:keepLines/>
              <w:rPr>
                <w:b/>
                <w:bCs/>
                <w:color w:val="000000" w:themeColor="text1"/>
                <w:sz w:val="20"/>
              </w:rPr>
            </w:pPr>
            <w:r w:rsidRPr="00943CDA">
              <w:rPr>
                <w:b/>
                <w:bCs/>
                <w:color w:val="000000" w:themeColor="text1"/>
                <w:sz w:val="20"/>
              </w:rPr>
              <w:t>Time per Facility (</w:t>
            </w:r>
            <w:r w:rsidRPr="00943CDA">
              <w:rPr>
                <w:b/>
                <w:bCs/>
                <w:color w:val="000000" w:themeColor="text1"/>
                <w:sz w:val="20"/>
              </w:rPr>
              <w:t>hrs</w:t>
            </w:r>
            <w:r w:rsidRPr="00943CDA">
              <w:rPr>
                <w:b/>
                <w:bCs/>
                <w:color w:val="000000" w:themeColor="text1"/>
                <w:sz w:val="20"/>
              </w:rPr>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477CC122" w14:textId="77777777">
            <w:pPr>
              <w:keepNext/>
              <w:keepLines/>
              <w:rPr>
                <w:b/>
                <w:bCs/>
                <w:color w:val="000000" w:themeColor="text1"/>
                <w:sz w:val="20"/>
              </w:rPr>
            </w:pPr>
            <w:r w:rsidRPr="00943CDA">
              <w:rPr>
                <w:b/>
                <w:bCs/>
                <w:color w:val="000000" w:themeColor="text1"/>
                <w:sz w:val="20"/>
              </w:rPr>
              <w:t>Total Time (</w:t>
            </w:r>
            <w:r w:rsidRPr="00943CDA">
              <w:rPr>
                <w:b/>
                <w:bCs/>
                <w:color w:val="000000" w:themeColor="text1"/>
                <w:sz w:val="20"/>
              </w:rPr>
              <w:t>hrs</w:t>
            </w:r>
            <w:r w:rsidRPr="00943CDA">
              <w:rPr>
                <w:b/>
                <w:bCs/>
                <w:color w:val="000000" w:themeColor="text1"/>
                <w:sz w:val="20"/>
              </w:rPr>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CDA" w:rsidRPr="00943CDA" w:rsidP="004D37AE" w14:paraId="180A04A1" w14:textId="77777777">
            <w:pPr>
              <w:keepNext/>
              <w:keepLines/>
              <w:rPr>
                <w:b/>
                <w:bCs/>
                <w:color w:val="000000" w:themeColor="text1"/>
                <w:sz w:val="20"/>
              </w:rPr>
            </w:pPr>
            <w:r w:rsidRPr="00943CDA">
              <w:rPr>
                <w:b/>
                <w:bCs/>
                <w:color w:val="000000" w:themeColor="text1"/>
                <w:sz w:val="20"/>
              </w:rPr>
              <w:t>Total Cost ($)</w:t>
            </w:r>
          </w:p>
        </w:tc>
      </w:tr>
      <w:tr w14:paraId="39FF0312" w14:textId="77777777" w:rsidTr="4DF1D982">
        <w:tblPrEx>
          <w:tblW w:w="9715" w:type="dxa"/>
          <w:jc w:val="center"/>
          <w:tblLayout w:type="fixed"/>
          <w:tblLook w:val="04A0"/>
        </w:tblPrEx>
        <w:trPr>
          <w:trHeight w:val="288"/>
          <w:jc w:val="center"/>
        </w:trPr>
        <w:tc>
          <w:tcPr>
            <w:tcW w:w="1885" w:type="dxa"/>
            <w:tcBorders>
              <w:top w:val="single" w:sz="4" w:space="0" w:color="auto"/>
              <w:left w:val="single" w:sz="4" w:space="0" w:color="auto"/>
              <w:bottom w:val="single" w:sz="4" w:space="0" w:color="auto"/>
              <w:right w:val="single" w:sz="4" w:space="0" w:color="auto"/>
            </w:tcBorders>
            <w:vAlign w:val="center"/>
          </w:tcPr>
          <w:p w:rsidR="00943CDA" w:rsidRPr="00940D27" w:rsidP="4DF1D982" w14:paraId="30B854C4" w14:textId="51C44C82">
            <w:pPr>
              <w:keepNext/>
              <w:keepLines/>
              <w:rPr>
                <w:color w:val="000000" w:themeColor="text1"/>
                <w:sz w:val="20"/>
                <w:szCs w:val="20"/>
              </w:rPr>
            </w:pPr>
            <w:r w:rsidRPr="4DF1D982">
              <w:rPr>
                <w:color w:val="000000" w:themeColor="text1"/>
                <w:sz w:val="20"/>
                <w:szCs w:val="20"/>
              </w:rPr>
              <w:t>IPF-PAI</w:t>
            </w:r>
            <w:r w:rsidRPr="4DF1D982" w:rsidR="6EFF04F5">
              <w:rPr>
                <w:color w:val="000000" w:themeColor="text1"/>
                <w:sz w:val="20"/>
                <w:szCs w:val="20"/>
              </w:rPr>
              <w:t xml:space="preserve"> (Mandatory) Q1-Q4 2029</w:t>
            </w:r>
          </w:p>
        </w:tc>
        <w:tc>
          <w:tcPr>
            <w:tcW w:w="990" w:type="dxa"/>
            <w:tcBorders>
              <w:top w:val="single" w:sz="4" w:space="0" w:color="auto"/>
              <w:left w:val="nil"/>
              <w:bottom w:val="single" w:sz="4" w:space="0" w:color="auto"/>
              <w:right w:val="single" w:sz="4" w:space="0" w:color="auto"/>
            </w:tcBorders>
            <w:vAlign w:val="center"/>
          </w:tcPr>
          <w:p w:rsidR="00943CDA" w:rsidRPr="00940D27" w:rsidP="004D37AE" w14:paraId="2A98A2F8" w14:textId="77777777">
            <w:pPr>
              <w:keepNext/>
              <w:keepLines/>
              <w:jc w:val="center"/>
              <w:rPr>
                <w:color w:val="000000" w:themeColor="text1"/>
                <w:sz w:val="20"/>
              </w:rPr>
            </w:pPr>
            <w:r w:rsidRPr="1AF0A7F2">
              <w:rPr>
                <w:color w:val="000000" w:themeColor="text1"/>
                <w:sz w:val="20"/>
              </w:rPr>
              <w:t>1,564</w:t>
            </w:r>
          </w:p>
        </w:tc>
        <w:tc>
          <w:tcPr>
            <w:tcW w:w="1260" w:type="dxa"/>
            <w:tcBorders>
              <w:top w:val="single" w:sz="4" w:space="0" w:color="auto"/>
              <w:left w:val="nil"/>
              <w:bottom w:val="single" w:sz="4" w:space="0" w:color="auto"/>
              <w:right w:val="single" w:sz="4" w:space="0" w:color="auto"/>
            </w:tcBorders>
            <w:vAlign w:val="center"/>
          </w:tcPr>
          <w:p w:rsidR="00943CDA" w:rsidRPr="00940D27" w:rsidP="004D37AE" w14:paraId="3CB0CDAD" w14:textId="6F529A17">
            <w:pPr>
              <w:keepNext/>
              <w:keepLines/>
              <w:jc w:val="center"/>
              <w:rPr>
                <w:color w:val="000000" w:themeColor="text1"/>
                <w:sz w:val="20"/>
              </w:rPr>
            </w:pPr>
            <w:r>
              <w:rPr>
                <w:color w:val="000000" w:themeColor="text1"/>
                <w:sz w:val="20"/>
              </w:rPr>
              <w:t>1,342</w:t>
            </w:r>
          </w:p>
        </w:tc>
        <w:tc>
          <w:tcPr>
            <w:tcW w:w="1170" w:type="dxa"/>
            <w:tcBorders>
              <w:top w:val="single" w:sz="4" w:space="0" w:color="auto"/>
              <w:left w:val="nil"/>
              <w:bottom w:val="single" w:sz="4" w:space="0" w:color="auto"/>
              <w:right w:val="single" w:sz="4" w:space="0" w:color="auto"/>
            </w:tcBorders>
            <w:vAlign w:val="center"/>
          </w:tcPr>
          <w:p w:rsidR="00943CDA" w:rsidRPr="00940D27" w:rsidP="004D37AE" w14:paraId="65CF278F" w14:textId="1D875C1C">
            <w:pPr>
              <w:keepNext/>
              <w:keepLines/>
              <w:jc w:val="center"/>
              <w:rPr>
                <w:color w:val="000000" w:themeColor="text1"/>
                <w:sz w:val="20"/>
              </w:rPr>
            </w:pPr>
            <w:r>
              <w:rPr>
                <w:color w:val="000000" w:themeColor="text1"/>
                <w:sz w:val="20"/>
              </w:rPr>
              <w:t>2,098,888</w:t>
            </w:r>
          </w:p>
        </w:tc>
        <w:tc>
          <w:tcPr>
            <w:tcW w:w="1080" w:type="dxa"/>
            <w:tcBorders>
              <w:top w:val="single" w:sz="4" w:space="0" w:color="auto"/>
              <w:left w:val="nil"/>
              <w:bottom w:val="single" w:sz="4" w:space="0" w:color="auto"/>
              <w:right w:val="single" w:sz="4" w:space="0" w:color="auto"/>
            </w:tcBorders>
            <w:vAlign w:val="center"/>
          </w:tcPr>
          <w:p w:rsidR="00943CDA" w:rsidRPr="00940D27" w:rsidP="004D37AE" w14:paraId="572D7E40" w14:textId="729F6AE4">
            <w:pPr>
              <w:keepNext/>
              <w:keepLines/>
              <w:jc w:val="center"/>
              <w:rPr>
                <w:color w:val="000000" w:themeColor="text1"/>
                <w:sz w:val="20"/>
              </w:rPr>
            </w:pPr>
            <w:r w:rsidRPr="1AF0A7F2">
              <w:rPr>
                <w:color w:val="000000" w:themeColor="text1"/>
                <w:sz w:val="20"/>
              </w:rPr>
              <w:t>0.2</w:t>
            </w:r>
          </w:p>
        </w:tc>
        <w:tc>
          <w:tcPr>
            <w:tcW w:w="900" w:type="dxa"/>
            <w:tcBorders>
              <w:top w:val="single" w:sz="4" w:space="0" w:color="auto"/>
              <w:left w:val="nil"/>
              <w:bottom w:val="single" w:sz="4" w:space="0" w:color="auto"/>
              <w:right w:val="single" w:sz="4" w:space="0" w:color="auto"/>
            </w:tcBorders>
            <w:vAlign w:val="center"/>
          </w:tcPr>
          <w:p w:rsidR="00943CDA" w:rsidRPr="00940D27" w:rsidP="004D37AE" w14:paraId="07514D46" w14:textId="3C864B3A">
            <w:pPr>
              <w:keepNext/>
              <w:keepLines/>
              <w:jc w:val="center"/>
              <w:rPr>
                <w:color w:val="000000" w:themeColor="text1"/>
                <w:sz w:val="20"/>
              </w:rPr>
            </w:pPr>
            <w:r>
              <w:rPr>
                <w:color w:val="000000" w:themeColor="text1"/>
                <w:sz w:val="20"/>
              </w:rPr>
              <w:t>2</w:t>
            </w:r>
            <w:r w:rsidR="00666A9B">
              <w:rPr>
                <w:color w:val="000000" w:themeColor="text1"/>
                <w:sz w:val="20"/>
              </w:rPr>
              <w:t>68.4</w:t>
            </w:r>
          </w:p>
        </w:tc>
        <w:tc>
          <w:tcPr>
            <w:tcW w:w="1080" w:type="dxa"/>
            <w:tcBorders>
              <w:top w:val="single" w:sz="4" w:space="0" w:color="auto"/>
              <w:left w:val="nil"/>
              <w:bottom w:val="single" w:sz="4" w:space="0" w:color="auto"/>
              <w:right w:val="single" w:sz="4" w:space="0" w:color="auto"/>
            </w:tcBorders>
            <w:vAlign w:val="center"/>
          </w:tcPr>
          <w:p w:rsidR="00943CDA" w:rsidRPr="00940D27" w:rsidP="004D37AE" w14:paraId="550E18BF" w14:textId="1A0A5ECD">
            <w:pPr>
              <w:keepNext/>
              <w:keepLines/>
              <w:jc w:val="center"/>
              <w:rPr>
                <w:color w:val="000000" w:themeColor="text1"/>
                <w:sz w:val="20"/>
              </w:rPr>
            </w:pPr>
            <w:r>
              <w:rPr>
                <w:color w:val="000000" w:themeColor="text1"/>
                <w:sz w:val="20"/>
              </w:rPr>
              <w:t>4</w:t>
            </w:r>
            <w:r w:rsidR="00EE1E54">
              <w:rPr>
                <w:color w:val="000000" w:themeColor="text1"/>
                <w:sz w:val="20"/>
              </w:rPr>
              <w:t>19,778</w:t>
            </w:r>
          </w:p>
        </w:tc>
        <w:tc>
          <w:tcPr>
            <w:tcW w:w="1350" w:type="dxa"/>
            <w:tcBorders>
              <w:top w:val="single" w:sz="4" w:space="0" w:color="auto"/>
              <w:left w:val="nil"/>
              <w:bottom w:val="single" w:sz="4" w:space="0" w:color="auto"/>
              <w:right w:val="single" w:sz="4" w:space="0" w:color="auto"/>
            </w:tcBorders>
            <w:vAlign w:val="center"/>
          </w:tcPr>
          <w:p w:rsidR="00943CDA" w:rsidRPr="00940D27" w:rsidP="004D37AE" w14:paraId="18D83892" w14:textId="526ED6DF">
            <w:pPr>
              <w:keepNext/>
              <w:keepLines/>
              <w:jc w:val="center"/>
              <w:rPr>
                <w:color w:val="000000" w:themeColor="text1"/>
                <w:sz w:val="20"/>
              </w:rPr>
            </w:pPr>
            <w:r w:rsidRPr="00666A9B">
              <w:rPr>
                <w:color w:val="000000" w:themeColor="text1"/>
                <w:sz w:val="20"/>
              </w:rPr>
              <w:t>2</w:t>
            </w:r>
            <w:r w:rsidR="00EE1E54">
              <w:rPr>
                <w:color w:val="000000" w:themeColor="text1"/>
                <w:sz w:val="20"/>
              </w:rPr>
              <w:t>7,302,361</w:t>
            </w:r>
          </w:p>
        </w:tc>
      </w:tr>
    </w:tbl>
    <w:p w:rsidR="00943CDA" w:rsidRPr="00DB2CBE" w:rsidP="00DB2CBE" w14:paraId="5302A3D6" w14:textId="77777777">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Pr>
          <w:sz w:val="24"/>
          <w:szCs w:val="24"/>
        </w:rPr>
      </w:pPr>
    </w:p>
    <w:p w:rsidR="00DB2CBE" w:rsidP="00DB2CBE" w14:paraId="3179CB1E" w14:textId="77777777">
      <w:pPr>
        <w:rPr>
          <w:sz w:val="24"/>
          <w:szCs w:val="24"/>
        </w:rPr>
      </w:pPr>
    </w:p>
    <w:p w:rsidR="005E41F1" w:rsidRPr="00FF06DD" w:rsidP="00FF06DD" w14:paraId="57336DD2" w14:textId="231A39ED">
      <w:pPr>
        <w:pStyle w:val="Heading2"/>
        <w:numPr>
          <w:ilvl w:val="0"/>
          <w:numId w:val="30"/>
        </w:numPr>
        <w:tabs>
          <w:tab w:val="clear" w:pos="481"/>
          <w:tab w:val="left" w:pos="810"/>
        </w:tabs>
        <w:ind w:left="720" w:hanging="630"/>
        <w:rPr>
          <w:i w:val="0"/>
          <w:iCs w:val="0"/>
        </w:rPr>
      </w:pPr>
      <w:r w:rsidRPr="00FF06DD">
        <w:rPr>
          <w:i w:val="0"/>
          <w:iCs w:val="0"/>
        </w:rPr>
        <w:t>Capital Costs (Maintenance of Capital Costs)</w:t>
      </w:r>
    </w:p>
    <w:p w:rsidR="000B2EA2" w:rsidRPr="002E3733" w:rsidP="00E9146E" w14:paraId="6C521A6B" w14:textId="2DEA9C09">
      <w:pPr>
        <w:pStyle w:val="BodyText"/>
      </w:pPr>
      <w:r w:rsidRPr="00B9353A">
        <w:t xml:space="preserve">There may be </w:t>
      </w:r>
      <w:r w:rsidR="00F31AC5">
        <w:t xml:space="preserve">variable </w:t>
      </w:r>
      <w:r w:rsidRPr="00B9353A">
        <w:t>non-recurring costs</w:t>
      </w:r>
      <w:r w:rsidR="00F31AC5">
        <w:t xml:space="preserve"> among IPFs</w:t>
      </w:r>
      <w:r w:rsidRPr="00B9353A" w:rsidR="00F31AC5">
        <w:t xml:space="preserve"> </w:t>
      </w:r>
      <w:r w:rsidRPr="00B9353A">
        <w:t xml:space="preserve">associated with changes in workflow and information systems to administer </w:t>
      </w:r>
      <w:r w:rsidR="00C924D9">
        <w:t>the IPF-PAI</w:t>
      </w:r>
      <w:r w:rsidRPr="00B9353A">
        <w:t xml:space="preserve"> and collect</w:t>
      </w:r>
      <w:r w:rsidR="005852F8">
        <w:t xml:space="preserve"> and submit</w:t>
      </w:r>
      <w:r w:rsidRPr="00B9353A">
        <w:t xml:space="preserve"> the data. </w:t>
      </w:r>
      <w:r w:rsidRPr="00C924D9" w:rsidR="00C924D9">
        <w:t>IPFs w</w:t>
      </w:r>
      <w:r w:rsidR="004643D5">
        <w:t>ill</w:t>
      </w:r>
      <w:r w:rsidRPr="00C924D9" w:rsidR="00C924D9">
        <w:t xml:space="preserve"> have the option of two methods for submission of IPF-PAI data to CMS: web application </w:t>
      </w:r>
      <w:r w:rsidR="00D53B97">
        <w:t xml:space="preserve">(PARIT) </w:t>
      </w:r>
      <w:r w:rsidRPr="00C924D9" w:rsidR="00C924D9">
        <w:t>and FHIR</w:t>
      </w:r>
      <w:r w:rsidRPr="00C924D9" w:rsidR="00C924D9">
        <w:rPr>
          <w:vertAlign w:val="superscript"/>
        </w:rPr>
        <w:t>®</w:t>
      </w:r>
      <w:r w:rsidRPr="00C924D9" w:rsidR="00C924D9">
        <w:t xml:space="preserve"> API. As IPFs have not yet used FHIR</w:t>
      </w:r>
      <w:r w:rsidRPr="00C924D9" w:rsidR="00C924D9">
        <w:rPr>
          <w:vertAlign w:val="superscript"/>
        </w:rPr>
        <w:t>®</w:t>
      </w:r>
      <w:r w:rsidRPr="00C924D9" w:rsidR="00C924D9">
        <w:t xml:space="preserve"> for program data submission, we acknowledge that technological, financial, and staffing barriers may present challenges to adoption and use in some facilities. We also recognize that IPFs and the health IT vendors that support IPFs w</w:t>
      </w:r>
      <w:r w:rsidR="004643D5">
        <w:t>ill</w:t>
      </w:r>
      <w:r w:rsidRPr="00C924D9" w:rsidR="00C924D9">
        <w:t xml:space="preserve"> require time to develop and implement data collection and submission tools for the IPF-PAI. </w:t>
      </w:r>
    </w:p>
    <w:p w:rsidR="005E41F1" w:rsidRPr="00FF06DD" w:rsidP="00FF06DD" w14:paraId="7D2BDEC8" w14:textId="77777777">
      <w:pPr>
        <w:pStyle w:val="Heading2"/>
        <w:numPr>
          <w:ilvl w:val="0"/>
          <w:numId w:val="30"/>
        </w:numPr>
        <w:tabs>
          <w:tab w:val="clear" w:pos="481"/>
          <w:tab w:val="left" w:pos="810"/>
        </w:tabs>
        <w:ind w:left="720" w:hanging="630"/>
        <w:rPr>
          <w:i w:val="0"/>
          <w:iCs w:val="0"/>
        </w:rPr>
      </w:pPr>
      <w:r w:rsidRPr="00FF06DD">
        <w:rPr>
          <w:i w:val="0"/>
          <w:iCs w:val="0"/>
        </w:rPr>
        <w:t>Cost to Federal Government</w:t>
      </w:r>
    </w:p>
    <w:p w:rsidR="004C2B10" w:rsidRPr="00AF2DA4" w:rsidP="00AF2DA4" w14:paraId="79348359" w14:textId="1FBDD6AC">
      <w:pPr>
        <w:pStyle w:val="ListContinueBody"/>
        <w:ind w:left="90"/>
        <w:rPr>
          <w:color w:val="000000" w:themeColor="text1"/>
          <w:sz w:val="24"/>
          <w:szCs w:val="24"/>
        </w:rPr>
      </w:pPr>
      <w:r w:rsidRPr="00AF2DA4">
        <w:rPr>
          <w:color w:val="000000" w:themeColor="text1"/>
          <w:sz w:val="24"/>
          <w:szCs w:val="24"/>
        </w:rPr>
        <w:t xml:space="preserve">The Department of Health &amp; Human Services will incur costs associated with the </w:t>
      </w:r>
      <w:r w:rsidR="0044073E">
        <w:rPr>
          <w:color w:val="000000" w:themeColor="text1"/>
          <w:sz w:val="24"/>
          <w:szCs w:val="24"/>
        </w:rPr>
        <w:t>implementation of the IPF-PAI</w:t>
      </w:r>
      <w:r w:rsidRPr="00AF2DA4">
        <w:rPr>
          <w:color w:val="000000" w:themeColor="text1"/>
          <w:sz w:val="24"/>
          <w:szCs w:val="24"/>
        </w:rPr>
        <w:t>, including costs associated with the IT system used to process IPF-PAI submissions to CMS and analysis of the data received.</w:t>
      </w:r>
      <w:r w:rsidRPr="00AF2DA4">
        <w:rPr>
          <w:b/>
          <w:color w:val="000000" w:themeColor="text1"/>
          <w:sz w:val="24"/>
          <w:szCs w:val="24"/>
        </w:rPr>
        <w:t xml:space="preserve"> </w:t>
      </w:r>
    </w:p>
    <w:p w:rsidR="00D63637" w:rsidP="00D63637" w14:paraId="7FE2CDB6" w14:textId="77777777">
      <w:pPr>
        <w:pStyle w:val="ListContinueBody"/>
        <w:ind w:left="0"/>
        <w:rPr>
          <w:color w:val="000000" w:themeColor="text1"/>
          <w:sz w:val="24"/>
          <w:szCs w:val="24"/>
        </w:rPr>
      </w:pPr>
    </w:p>
    <w:p w:rsidR="00D63637" w:rsidP="00D63637" w14:paraId="7213EA13" w14:textId="77777777">
      <w:pPr>
        <w:pStyle w:val="ListContinueBody"/>
        <w:ind w:left="0"/>
        <w:rPr>
          <w:color w:val="000000" w:themeColor="text1"/>
          <w:sz w:val="24"/>
          <w:szCs w:val="24"/>
        </w:rPr>
      </w:pPr>
    </w:p>
    <w:p w:rsidR="004C2B10" w:rsidRPr="00AF2DA4" w:rsidP="008A36C4" w14:paraId="6E9FF300" w14:textId="1281C364">
      <w:pPr>
        <w:pStyle w:val="ListContinueBody"/>
        <w:ind w:left="0"/>
        <w:rPr>
          <w:color w:val="000000" w:themeColor="text1"/>
          <w:sz w:val="24"/>
          <w:szCs w:val="24"/>
        </w:rPr>
      </w:pPr>
      <w:r w:rsidRPr="004E32C5">
        <w:rPr>
          <w:color w:val="000000" w:themeColor="text1"/>
          <w:sz w:val="24"/>
          <w:szCs w:val="24"/>
        </w:rPr>
        <w:t xml:space="preserve">CMS (Center for Clinical Standards and Quality, Information Services Group (ISG)) will utilize a </w:t>
      </w:r>
      <w:r w:rsidR="00E526AE">
        <w:rPr>
          <w:color w:val="000000" w:themeColor="text1"/>
          <w:sz w:val="24"/>
          <w:szCs w:val="24"/>
        </w:rPr>
        <w:t>commercial</w:t>
      </w:r>
      <w:r w:rsidRPr="004E32C5">
        <w:rPr>
          <w:color w:val="000000" w:themeColor="text1"/>
          <w:sz w:val="24"/>
          <w:szCs w:val="24"/>
        </w:rPr>
        <w:t xml:space="preserve"> contractor to manage the online reporting and data receiving systems that support the IPF-PAI. This contractor works with CMS to support the IT needs of multiple patient assessment instruments and will also support the IPF-PAI. After IPF-PAI data is received by CMS, this contractor performs some basic analysis which helps to determine IPF compliance with the IPF Quality Reporting Program reporting requirement. The findings are communicated to the IPF Quality Reporting Program Lead in a report. Contractor costs include the development, testing, and </w:t>
      </w:r>
      <w:r w:rsidR="0041444C">
        <w:rPr>
          <w:color w:val="000000" w:themeColor="text1"/>
          <w:sz w:val="24"/>
          <w:szCs w:val="24"/>
        </w:rPr>
        <w:t xml:space="preserve">implementation </w:t>
      </w:r>
      <w:r w:rsidRPr="004E32C5">
        <w:rPr>
          <w:color w:val="000000" w:themeColor="text1"/>
          <w:sz w:val="24"/>
          <w:szCs w:val="24"/>
        </w:rPr>
        <w:t>of updates to data submission systems</w:t>
      </w:r>
      <w:r w:rsidR="00D63637">
        <w:rPr>
          <w:color w:val="000000" w:themeColor="text1"/>
          <w:sz w:val="24"/>
          <w:szCs w:val="24"/>
        </w:rPr>
        <w:t xml:space="preserve"> and reports</w:t>
      </w:r>
      <w:r w:rsidRPr="004E32C5">
        <w:rPr>
          <w:color w:val="000000" w:themeColor="text1"/>
          <w:sz w:val="24"/>
          <w:szCs w:val="24"/>
        </w:rPr>
        <w:t>, as well as ongoing operational costs.</w:t>
      </w:r>
    </w:p>
    <w:p w:rsidR="004C2B10" w:rsidRPr="00AF2DA4" w:rsidP="00AF2DA4" w14:paraId="093A4901" w14:textId="5E6B5C93">
      <w:pPr>
        <w:pStyle w:val="ListContinueBody"/>
        <w:ind w:left="90"/>
        <w:rPr>
          <w:color w:val="000000" w:themeColor="text1"/>
          <w:sz w:val="24"/>
          <w:szCs w:val="24"/>
        </w:rPr>
      </w:pPr>
      <w:r w:rsidRPr="4DF1D982">
        <w:rPr>
          <w:color w:val="000000" w:themeColor="text1"/>
          <w:sz w:val="24"/>
          <w:szCs w:val="24"/>
        </w:rPr>
        <w:t>CMS</w:t>
      </w:r>
      <w:r w:rsidRPr="4DF1D982" w:rsidR="00310F84">
        <w:rPr>
          <w:color w:val="000000" w:themeColor="text1"/>
          <w:sz w:val="24"/>
          <w:szCs w:val="24"/>
        </w:rPr>
        <w:t xml:space="preserve"> has retained the services of another contractor to assist us with </w:t>
      </w:r>
      <w:r w:rsidRPr="4DF1D982" w:rsidR="002D1A6D">
        <w:rPr>
          <w:color w:val="000000" w:themeColor="text1"/>
          <w:sz w:val="24"/>
          <w:szCs w:val="24"/>
        </w:rPr>
        <w:t xml:space="preserve">IPF </w:t>
      </w:r>
      <w:r w:rsidRPr="4DF1D982" w:rsidR="00310F84">
        <w:rPr>
          <w:color w:val="000000" w:themeColor="text1"/>
          <w:sz w:val="24"/>
          <w:szCs w:val="24"/>
        </w:rPr>
        <w:t>training and</w:t>
      </w:r>
      <w:r w:rsidRPr="4DF1D982" w:rsidR="00BF1E65">
        <w:rPr>
          <w:color w:val="000000" w:themeColor="text1"/>
          <w:sz w:val="24"/>
          <w:szCs w:val="24"/>
        </w:rPr>
        <w:t xml:space="preserve"> </w:t>
      </w:r>
      <w:r w:rsidRPr="4DF1D982" w:rsidR="00310F84">
        <w:rPr>
          <w:color w:val="000000" w:themeColor="text1"/>
          <w:sz w:val="24"/>
          <w:szCs w:val="24"/>
        </w:rPr>
        <w:t>support services related to the</w:t>
      </w:r>
      <w:r w:rsidRPr="4DF1D982" w:rsidR="00CC597A">
        <w:rPr>
          <w:color w:val="000000" w:themeColor="text1"/>
          <w:sz w:val="24"/>
          <w:szCs w:val="24"/>
        </w:rPr>
        <w:t xml:space="preserve"> </w:t>
      </w:r>
      <w:r w:rsidRPr="4DF1D982" w:rsidR="00310F84">
        <w:rPr>
          <w:color w:val="000000" w:themeColor="text1"/>
          <w:sz w:val="24"/>
          <w:szCs w:val="24"/>
        </w:rPr>
        <w:t xml:space="preserve">IPF-PAI. </w:t>
      </w:r>
    </w:p>
    <w:p w:rsidR="004C2B10" w:rsidRPr="00AF2DA4" w:rsidP="00AF2DA4" w14:paraId="1C0F6489" w14:textId="77777777">
      <w:pPr>
        <w:pStyle w:val="ListContinueBody"/>
        <w:ind w:left="360" w:hanging="270"/>
        <w:rPr>
          <w:color w:val="000000" w:themeColor="text1"/>
          <w:sz w:val="24"/>
          <w:szCs w:val="24"/>
        </w:rPr>
      </w:pPr>
      <w:r w:rsidRPr="00AF2DA4">
        <w:rPr>
          <w:color w:val="000000" w:themeColor="text1"/>
          <w:sz w:val="24"/>
          <w:szCs w:val="24"/>
        </w:rPr>
        <w:t xml:space="preserve">In addition to the contractor costs, the total includes the cost of the following Federal </w:t>
      </w:r>
      <w:r w:rsidRPr="00AF2DA4">
        <w:rPr>
          <w:color w:val="000000" w:themeColor="text1"/>
          <w:sz w:val="24"/>
          <w:szCs w:val="24"/>
        </w:rPr>
        <w:t>employee</w:t>
      </w:r>
      <w:r w:rsidRPr="00AF2DA4">
        <w:rPr>
          <w:color w:val="000000" w:themeColor="text1"/>
          <w:sz w:val="24"/>
          <w:szCs w:val="24"/>
        </w:rPr>
        <w:t>:</w:t>
      </w:r>
    </w:p>
    <w:p w:rsidR="004C2B10" w:rsidRPr="00AF2DA4" w:rsidP="00AF2DA4" w14:paraId="1590A5F4" w14:textId="7E584568">
      <w:pPr>
        <w:widowControl/>
        <w:numPr>
          <w:ilvl w:val="0"/>
          <w:numId w:val="47"/>
        </w:numPr>
        <w:autoSpaceDE/>
        <w:autoSpaceDN/>
        <w:ind w:hanging="270"/>
        <w:rPr>
          <w:rFonts w:eastAsia="Calibri" w:cs="Arial"/>
          <w:sz w:val="24"/>
          <w:szCs w:val="24"/>
        </w:rPr>
      </w:pPr>
      <w:bookmarkStart w:id="9" w:name="_Hlk135081455"/>
      <w:r w:rsidRPr="00AF2DA4">
        <w:rPr>
          <w:rFonts w:eastAsia="Calibri" w:cs="Arial"/>
          <w:sz w:val="24"/>
          <w:szCs w:val="24"/>
        </w:rPr>
        <w:t>GS-13 (locality pay area of Washington-Baltimore-Northern Virginia) at 100% effort for 3 years, or $</w:t>
      </w:r>
      <w:r w:rsidR="002538DE">
        <w:rPr>
          <w:rFonts w:eastAsia="Calibri" w:cs="Arial"/>
          <w:sz w:val="24"/>
          <w:szCs w:val="24"/>
        </w:rPr>
        <w:t>538,293</w:t>
      </w:r>
      <w:r w:rsidRPr="00AF2DA4">
        <w:rPr>
          <w:rFonts w:eastAsia="Calibri" w:cs="Arial"/>
          <w:sz w:val="24"/>
          <w:szCs w:val="24"/>
        </w:rPr>
        <w:t xml:space="preserve">, or $138,024 </w:t>
      </w:r>
      <w:r w:rsidR="002538DE">
        <w:rPr>
          <w:rFonts w:eastAsia="Calibri" w:cs="Arial"/>
          <w:sz w:val="24"/>
          <w:szCs w:val="24"/>
        </w:rPr>
        <w:t xml:space="preserve">+ $41,407 in benefits (30%) </w:t>
      </w:r>
      <w:r w:rsidRPr="00AF2DA4">
        <w:rPr>
          <w:rFonts w:eastAsia="Calibri" w:cs="Arial"/>
          <w:sz w:val="24"/>
          <w:szCs w:val="24"/>
        </w:rPr>
        <w:t xml:space="preserve">annually. </w:t>
      </w:r>
    </w:p>
    <w:bookmarkEnd w:id="9"/>
    <w:p w:rsidR="004C2B10" w:rsidRPr="00AF2DA4" w:rsidP="00AF2DA4" w14:paraId="693B2E5F" w14:textId="77777777">
      <w:pPr>
        <w:pStyle w:val="ListContinueBody"/>
        <w:spacing w:before="160"/>
        <w:ind w:left="360" w:hanging="270"/>
        <w:rPr>
          <w:color w:val="000000" w:themeColor="text1"/>
          <w:sz w:val="24"/>
          <w:szCs w:val="24"/>
        </w:rPr>
      </w:pPr>
      <w:r w:rsidRPr="00AF2DA4">
        <w:rPr>
          <w:color w:val="000000" w:themeColor="text1"/>
          <w:sz w:val="24"/>
          <w:szCs w:val="24"/>
        </w:rPr>
        <w:t>The estimated cost to the federal government for the contractor is as follows:</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10"/>
        <w:gridCol w:w="1206"/>
      </w:tblGrid>
      <w:tr w14:paraId="2CBA82F0" w14:textId="77777777" w:rsidTr="00310F84">
        <w:tblPrEx>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cantSplit/>
          <w:tblHeader/>
        </w:trPr>
        <w:tc>
          <w:tcPr>
            <w:tcW w:w="6210" w:type="dxa"/>
          </w:tcPr>
          <w:p w:rsidR="004C2B10" w:rsidRPr="00AF2DA4" w:rsidP="00AF2DA4" w14:paraId="1E6EDD36" w14:textId="77777777">
            <w:pPr>
              <w:spacing w:line="60" w:lineRule="exact"/>
              <w:ind w:hanging="270"/>
              <w:rPr>
                <w:color w:val="000000" w:themeColor="text1"/>
                <w:sz w:val="24"/>
                <w:szCs w:val="24"/>
              </w:rPr>
            </w:pPr>
            <w:r w:rsidRPr="00AF2DA4">
              <w:rPr>
                <w:color w:val="000000" w:themeColor="text1"/>
                <w:sz w:val="24"/>
                <w:szCs w:val="24"/>
              </w:rPr>
              <w:t>  </w:t>
            </w:r>
          </w:p>
        </w:tc>
        <w:tc>
          <w:tcPr>
            <w:tcW w:w="1206" w:type="dxa"/>
          </w:tcPr>
          <w:p w:rsidR="004C2B10" w:rsidRPr="00AF2DA4" w:rsidP="00AF2DA4" w14:paraId="1E292D45" w14:textId="77777777">
            <w:pPr>
              <w:pStyle w:val="ListContinueBody"/>
              <w:spacing w:before="0" w:after="0" w:line="60" w:lineRule="exact"/>
              <w:ind w:left="0" w:hanging="270"/>
              <w:jc w:val="right"/>
              <w:rPr>
                <w:color w:val="000000" w:themeColor="text1"/>
                <w:sz w:val="24"/>
                <w:szCs w:val="24"/>
              </w:rPr>
            </w:pPr>
            <w:r w:rsidRPr="00AF2DA4">
              <w:rPr>
                <w:color w:val="000000" w:themeColor="text1"/>
                <w:sz w:val="24"/>
                <w:szCs w:val="24"/>
              </w:rPr>
              <w:t>  </w:t>
            </w:r>
          </w:p>
        </w:tc>
      </w:tr>
    </w:tbl>
    <w:p w:rsidR="004C2B10" w:rsidRPr="00AF2DA4" w:rsidP="00AF2DA4" w14:paraId="0A3E06FC" w14:textId="362B40D6">
      <w:pPr>
        <w:tabs>
          <w:tab w:val="left" w:pos="720"/>
          <w:tab w:val="left" w:pos="8640"/>
        </w:tabs>
        <w:ind w:hanging="270"/>
        <w:rPr>
          <w:rFonts w:eastAsia="Calibri" w:cs="Arial"/>
          <w:sz w:val="24"/>
          <w:szCs w:val="24"/>
        </w:rPr>
      </w:pPr>
      <w:r w:rsidRPr="00AF2DA4">
        <w:rPr>
          <w:rFonts w:eastAsia="Calibri" w:cs="Arial"/>
          <w:sz w:val="24"/>
          <w:szCs w:val="24"/>
        </w:rPr>
        <w:tab/>
      </w:r>
      <w:r>
        <w:rPr>
          <w:rFonts w:eastAsia="Calibri" w:cs="Arial"/>
          <w:sz w:val="24"/>
          <w:szCs w:val="24"/>
        </w:rPr>
        <w:tab/>
      </w:r>
      <w:r w:rsidRPr="00AF2DA4">
        <w:rPr>
          <w:rFonts w:eastAsia="Calibri" w:cs="Arial"/>
          <w:sz w:val="24"/>
          <w:szCs w:val="24"/>
        </w:rPr>
        <w:t>CMS contractor – Maintenance and support of IT platform that</w:t>
      </w:r>
    </w:p>
    <w:p w:rsidR="004C2B10" w:rsidRPr="00AF2DA4" w:rsidP="00AF2DA4" w14:paraId="089EA434" w14:textId="7D1889E4">
      <w:pPr>
        <w:tabs>
          <w:tab w:val="left" w:pos="720"/>
          <w:tab w:val="left" w:leader="dot" w:pos="8640"/>
        </w:tabs>
        <w:ind w:hanging="270"/>
        <w:rPr>
          <w:rFonts w:eastAsia="Calibri" w:cs="Arial"/>
          <w:sz w:val="24"/>
          <w:szCs w:val="24"/>
        </w:rPr>
      </w:pPr>
      <w:r w:rsidRPr="00AF2DA4">
        <w:rPr>
          <w:rFonts w:eastAsia="Calibri" w:cs="Arial"/>
          <w:sz w:val="24"/>
          <w:szCs w:val="24"/>
        </w:rPr>
        <w:tab/>
      </w:r>
      <w:r>
        <w:rPr>
          <w:rFonts w:eastAsia="Calibri" w:cs="Arial"/>
          <w:sz w:val="24"/>
          <w:szCs w:val="24"/>
        </w:rPr>
        <w:tab/>
      </w:r>
      <w:r w:rsidRPr="00AF2DA4">
        <w:rPr>
          <w:rFonts w:eastAsia="Calibri" w:cs="Arial"/>
          <w:sz w:val="24"/>
          <w:szCs w:val="24"/>
        </w:rPr>
        <w:t>Supports the IPF-PAI ……………………………………………</w:t>
      </w:r>
      <w:r>
        <w:rPr>
          <w:rFonts w:eastAsia="Calibri" w:cs="Arial"/>
          <w:sz w:val="24"/>
          <w:szCs w:val="24"/>
        </w:rPr>
        <w:t>.</w:t>
      </w:r>
      <w:r w:rsidRPr="00AF2DA4">
        <w:rPr>
          <w:rFonts w:eastAsia="Calibri" w:cs="Arial"/>
          <w:sz w:val="24"/>
          <w:szCs w:val="24"/>
        </w:rPr>
        <w:t>……</w:t>
      </w:r>
      <w:r w:rsidRPr="00AF2DA4">
        <w:rPr>
          <w:rFonts w:eastAsia="Calibri" w:cs="Arial"/>
          <w:sz w:val="24"/>
          <w:szCs w:val="24"/>
        </w:rPr>
        <w:t>….$</w:t>
      </w:r>
      <w:r w:rsidRPr="00AF2DA4">
        <w:rPr>
          <w:rFonts w:eastAsia="Calibri" w:cs="Arial"/>
          <w:sz w:val="24"/>
          <w:szCs w:val="24"/>
        </w:rPr>
        <w:t xml:space="preserve">   875,000</w:t>
      </w:r>
      <w:bookmarkStart w:id="10" w:name="_Hlk167135376"/>
    </w:p>
    <w:p w:rsidR="004C2B10" w:rsidRPr="00AF2DA4" w:rsidP="00AF2DA4" w14:paraId="490E0A46" w14:textId="2836E07D">
      <w:pPr>
        <w:tabs>
          <w:tab w:val="left" w:pos="720"/>
          <w:tab w:val="left" w:leader="dot" w:pos="8640"/>
        </w:tabs>
        <w:ind w:hanging="270"/>
        <w:rPr>
          <w:rFonts w:eastAsia="Calibri" w:cs="Arial"/>
          <w:sz w:val="24"/>
          <w:szCs w:val="24"/>
        </w:rPr>
      </w:pPr>
      <w:r w:rsidRPr="00AF2DA4">
        <w:rPr>
          <w:rFonts w:eastAsia="Calibri" w:cs="Arial"/>
          <w:sz w:val="24"/>
          <w:szCs w:val="24"/>
        </w:rPr>
        <w:tab/>
      </w:r>
      <w:r>
        <w:rPr>
          <w:rFonts w:eastAsia="Calibri" w:cs="Arial"/>
          <w:sz w:val="24"/>
          <w:szCs w:val="24"/>
        </w:rPr>
        <w:tab/>
      </w:r>
      <w:r w:rsidR="005852F8">
        <w:rPr>
          <w:rFonts w:eastAsia="Calibri" w:cs="Arial"/>
          <w:sz w:val="24"/>
          <w:szCs w:val="24"/>
        </w:rPr>
        <w:t>T</w:t>
      </w:r>
      <w:r w:rsidRPr="00AF2DA4">
        <w:rPr>
          <w:rFonts w:eastAsia="Calibri" w:cs="Arial"/>
          <w:sz w:val="24"/>
          <w:szCs w:val="24"/>
        </w:rPr>
        <w:t>raining &amp; help desk contractor………………………………</w:t>
      </w:r>
      <w:r w:rsidR="008A36C4">
        <w:rPr>
          <w:rFonts w:eastAsia="Calibri" w:cs="Arial"/>
          <w:sz w:val="24"/>
          <w:szCs w:val="24"/>
        </w:rPr>
        <w:t>……</w:t>
      </w:r>
      <w:r w:rsidR="008A36C4">
        <w:rPr>
          <w:rFonts w:eastAsia="Calibri" w:cs="Arial"/>
          <w:sz w:val="24"/>
          <w:szCs w:val="24"/>
        </w:rPr>
        <w:t>…..</w:t>
      </w:r>
      <w:r w:rsidRPr="00AF2DA4">
        <w:rPr>
          <w:rFonts w:eastAsia="Calibri" w:cs="Arial"/>
          <w:sz w:val="24"/>
          <w:szCs w:val="24"/>
        </w:rPr>
        <w:t>….$</w:t>
      </w:r>
      <w:r w:rsidRPr="00AF2DA4">
        <w:rPr>
          <w:rFonts w:eastAsia="Calibri" w:cs="Arial"/>
          <w:sz w:val="24"/>
          <w:szCs w:val="24"/>
        </w:rPr>
        <w:t>1,000,000</w:t>
      </w:r>
    </w:p>
    <w:bookmarkEnd w:id="10"/>
    <w:p w:rsidR="004C2B10" w:rsidRPr="00AF2DA4" w:rsidP="00AF2DA4" w14:paraId="3AACFFCA" w14:textId="08FA0991">
      <w:pPr>
        <w:tabs>
          <w:tab w:val="left" w:pos="720"/>
          <w:tab w:val="left" w:leader="dot" w:pos="8640"/>
        </w:tabs>
        <w:ind w:hanging="270"/>
        <w:rPr>
          <w:rFonts w:eastAsia="Calibri" w:cs="Arial"/>
          <w:sz w:val="24"/>
          <w:szCs w:val="24"/>
        </w:rPr>
      </w:pPr>
      <w:r w:rsidRPr="00AF2DA4">
        <w:rPr>
          <w:rFonts w:eastAsia="Calibri" w:cs="Arial"/>
          <w:sz w:val="24"/>
          <w:szCs w:val="24"/>
        </w:rPr>
        <w:tab/>
      </w:r>
      <w:r>
        <w:rPr>
          <w:rFonts w:eastAsia="Calibri" w:cs="Arial"/>
          <w:sz w:val="24"/>
          <w:szCs w:val="24"/>
        </w:rPr>
        <w:tab/>
      </w:r>
      <w:r w:rsidRPr="00AF2DA4">
        <w:rPr>
          <w:rFonts w:eastAsia="Calibri" w:cs="Arial"/>
          <w:sz w:val="24"/>
          <w:szCs w:val="24"/>
        </w:rPr>
        <w:t>GS-13 Federal Employee (100% x 3 years at $1</w:t>
      </w:r>
      <w:r w:rsidR="002538DE">
        <w:rPr>
          <w:rFonts w:eastAsia="Calibri" w:cs="Arial"/>
          <w:sz w:val="24"/>
          <w:szCs w:val="24"/>
        </w:rPr>
        <w:t>79,431</w:t>
      </w:r>
      <w:r w:rsidRPr="00AF2DA4">
        <w:rPr>
          <w:rFonts w:eastAsia="Calibri" w:cs="Arial"/>
          <w:sz w:val="24"/>
          <w:szCs w:val="24"/>
        </w:rPr>
        <w:t xml:space="preserve"> </w:t>
      </w:r>
      <w:r w:rsidRPr="00AF2DA4">
        <w:rPr>
          <w:rFonts w:eastAsia="Calibri" w:cs="Arial"/>
          <w:sz w:val="24"/>
          <w:szCs w:val="24"/>
        </w:rPr>
        <w:t>annually</w:t>
      </w:r>
      <w:r w:rsidR="007058B7">
        <w:rPr>
          <w:rFonts w:eastAsia="Calibri" w:cs="Arial"/>
          <w:sz w:val="24"/>
          <w:szCs w:val="24"/>
        </w:rPr>
        <w:t>)</w:t>
      </w:r>
      <w:r w:rsidRPr="00AF2DA4">
        <w:rPr>
          <w:rFonts w:eastAsia="Calibri" w:cs="Arial"/>
          <w:sz w:val="24"/>
          <w:szCs w:val="24"/>
        </w:rPr>
        <w:t>…</w:t>
      </w:r>
      <w:r w:rsidRPr="00AF2DA4">
        <w:rPr>
          <w:rFonts w:eastAsia="Calibri" w:cs="Arial"/>
          <w:sz w:val="24"/>
          <w:szCs w:val="24"/>
        </w:rPr>
        <w:t>…</w:t>
      </w:r>
      <w:r w:rsidR="007058B7">
        <w:rPr>
          <w:rFonts w:eastAsia="Calibri" w:cs="Arial"/>
          <w:sz w:val="24"/>
          <w:szCs w:val="24"/>
        </w:rPr>
        <w:t>…</w:t>
      </w:r>
      <w:r w:rsidRPr="00AF2DA4">
        <w:rPr>
          <w:rFonts w:eastAsia="Calibri" w:cs="Arial"/>
          <w:sz w:val="24"/>
          <w:szCs w:val="24"/>
        </w:rPr>
        <w:t>..</w:t>
      </w:r>
      <w:r w:rsidRPr="00AF2DA4">
        <w:rPr>
          <w:rFonts w:eastAsia="Calibri" w:cs="Arial"/>
          <w:color w:val="000000"/>
          <w:sz w:val="24"/>
          <w:szCs w:val="24"/>
        </w:rPr>
        <w:t xml:space="preserve">$   </w:t>
      </w:r>
      <w:r w:rsidR="002538DE">
        <w:rPr>
          <w:rFonts w:eastAsia="Calibri" w:cs="Arial"/>
          <w:sz w:val="24"/>
          <w:szCs w:val="24"/>
        </w:rPr>
        <w:t>538,293</w:t>
      </w:r>
    </w:p>
    <w:p w:rsidR="004C2B10" w:rsidRPr="00AF2DA4" w:rsidP="00AF2DA4" w14:paraId="19DDB27D" w14:textId="094DBE99">
      <w:pPr>
        <w:pBdr>
          <w:top w:val="single" w:sz="4" w:space="1" w:color="auto"/>
        </w:pBdr>
        <w:tabs>
          <w:tab w:val="left" w:pos="720"/>
          <w:tab w:val="left" w:leader="dot" w:pos="8640"/>
        </w:tabs>
        <w:ind w:right="720" w:hanging="270"/>
        <w:rPr>
          <w:color w:val="000000" w:themeColor="text1"/>
          <w:sz w:val="24"/>
          <w:szCs w:val="24"/>
        </w:rPr>
      </w:pPr>
      <w:r w:rsidRPr="00AF2DA4">
        <w:rPr>
          <w:rFonts w:eastAsia="Calibri" w:cs="Arial"/>
          <w:sz w:val="24"/>
          <w:szCs w:val="24"/>
        </w:rPr>
        <w:t xml:space="preserve">              </w:t>
      </w:r>
      <w:r w:rsidRPr="00AF2DA4">
        <w:rPr>
          <w:rFonts w:eastAsia="Calibri" w:cs="Arial"/>
          <w:b/>
          <w:sz w:val="24"/>
          <w:szCs w:val="24"/>
        </w:rPr>
        <w:t>Total Cost to Federal Government ………………………………………$2,</w:t>
      </w:r>
      <w:r w:rsidR="002538DE">
        <w:rPr>
          <w:rFonts w:eastAsia="Calibri" w:cs="Arial"/>
          <w:b/>
          <w:sz w:val="24"/>
          <w:szCs w:val="24"/>
        </w:rPr>
        <w:t>413,293</w:t>
      </w:r>
    </w:p>
    <w:p w:rsidR="001C265F" w:rsidRPr="001C265F" w:rsidP="001C265F" w14:paraId="6248D87E" w14:textId="77777777">
      <w:pPr>
        <w:pStyle w:val="ListParagraph"/>
        <w:ind w:left="90" w:firstLine="0"/>
        <w:rPr>
          <w:sz w:val="24"/>
          <w:szCs w:val="24"/>
        </w:rPr>
      </w:pPr>
    </w:p>
    <w:p w:rsidR="005E41F1" w:rsidRPr="00FF06DD" w:rsidP="00FF06DD" w14:paraId="07A91ECE" w14:textId="170F7FCD">
      <w:pPr>
        <w:pStyle w:val="Heading2"/>
        <w:numPr>
          <w:ilvl w:val="0"/>
          <w:numId w:val="30"/>
        </w:numPr>
        <w:tabs>
          <w:tab w:val="clear" w:pos="481"/>
          <w:tab w:val="left" w:pos="810"/>
        </w:tabs>
        <w:ind w:left="720" w:hanging="630"/>
        <w:rPr>
          <w:i w:val="0"/>
          <w:iCs w:val="0"/>
        </w:rPr>
      </w:pPr>
      <w:r w:rsidRPr="00FF06DD">
        <w:rPr>
          <w:i w:val="0"/>
          <w:iCs w:val="0"/>
        </w:rPr>
        <w:t xml:space="preserve">Program </w:t>
      </w:r>
      <w:r w:rsidRPr="00FF06DD" w:rsidR="00B30A57">
        <w:rPr>
          <w:i w:val="0"/>
          <w:iCs w:val="0"/>
        </w:rPr>
        <w:t xml:space="preserve">and </w:t>
      </w:r>
      <w:r w:rsidRPr="00FF06DD">
        <w:rPr>
          <w:i w:val="0"/>
          <w:iCs w:val="0"/>
        </w:rPr>
        <w:t>Burden Changes</w:t>
      </w:r>
    </w:p>
    <w:p w:rsidR="007E546A" w:rsidRPr="00E9146E" w:rsidP="008E0252" w14:paraId="2AF87C0E" w14:textId="22BDCA3B">
      <w:pPr>
        <w:pStyle w:val="BodyText"/>
      </w:pPr>
      <w:r>
        <w:t>T</w:t>
      </w:r>
      <w:r w:rsidR="00C348F3">
        <w:t xml:space="preserve">his </w:t>
      </w:r>
      <w:r w:rsidR="00C14344">
        <w:t xml:space="preserve">is </w:t>
      </w:r>
      <w:r w:rsidR="00C348F3">
        <w:t xml:space="preserve">a new information collection </w:t>
      </w:r>
      <w:r w:rsidR="00C348F3">
        <w:t>request,</w:t>
      </w:r>
      <w:r w:rsidR="00C348F3">
        <w:t xml:space="preserve"> there are no changes to burden.</w:t>
      </w:r>
    </w:p>
    <w:p w:rsidR="005E41F1" w:rsidRPr="00FF06DD" w:rsidP="00FF06DD" w14:paraId="267655D7" w14:textId="77777777">
      <w:pPr>
        <w:pStyle w:val="Heading2"/>
        <w:numPr>
          <w:ilvl w:val="0"/>
          <w:numId w:val="30"/>
        </w:numPr>
        <w:tabs>
          <w:tab w:val="clear" w:pos="481"/>
          <w:tab w:val="left" w:pos="810"/>
        </w:tabs>
        <w:ind w:left="720" w:hanging="630"/>
        <w:rPr>
          <w:i w:val="0"/>
          <w:iCs w:val="0"/>
        </w:rPr>
      </w:pPr>
      <w:r w:rsidRPr="00FF06DD">
        <w:rPr>
          <w:i w:val="0"/>
          <w:iCs w:val="0"/>
        </w:rPr>
        <w:t>Publication/Tabulation Dates</w:t>
      </w:r>
    </w:p>
    <w:p w:rsidR="00B70468" w:rsidP="00E9146E" w14:paraId="4E8263BC" w14:textId="5D0CB23F">
      <w:pPr>
        <w:pStyle w:val="BodyText"/>
      </w:pPr>
      <w:r>
        <w:t xml:space="preserve">There </w:t>
      </w:r>
      <w:r w:rsidR="00162BC0">
        <w:t>is no</w:t>
      </w:r>
      <w:r>
        <w:t xml:space="preserve"> </w:t>
      </w:r>
      <w:r w:rsidR="00162BC0">
        <w:t xml:space="preserve">public reporting of IPF-PAI data being </w:t>
      </w:r>
      <w:r w:rsidR="00F20BA0">
        <w:t>finalized</w:t>
      </w:r>
      <w:r w:rsidR="00162BC0">
        <w:t xml:space="preserve"> at this time. </w:t>
      </w:r>
    </w:p>
    <w:p w:rsidR="005E41F1" w:rsidRPr="00FF06DD" w:rsidP="00FF06DD" w14:paraId="18901D77" w14:textId="7DACE658">
      <w:pPr>
        <w:pStyle w:val="Heading2"/>
        <w:numPr>
          <w:ilvl w:val="0"/>
          <w:numId w:val="30"/>
        </w:numPr>
        <w:tabs>
          <w:tab w:val="clear" w:pos="481"/>
          <w:tab w:val="left" w:pos="810"/>
        </w:tabs>
        <w:ind w:left="720" w:hanging="630"/>
        <w:rPr>
          <w:i w:val="0"/>
          <w:iCs w:val="0"/>
        </w:rPr>
      </w:pPr>
      <w:r w:rsidRPr="00FF06DD">
        <w:rPr>
          <w:i w:val="0"/>
          <w:iCs w:val="0"/>
        </w:rPr>
        <w:t>Expiration Date</w:t>
      </w:r>
    </w:p>
    <w:p w:rsidR="005E41F1" w:rsidRPr="002E3733" w:rsidP="00E9146E" w14:paraId="52BF333B" w14:textId="2A71CD2E">
      <w:pPr>
        <w:pStyle w:val="BodyText"/>
      </w:pPr>
      <w:r w:rsidRPr="005F3A61">
        <w:t xml:space="preserve">We will display the approved </w:t>
      </w:r>
      <w:r w:rsidR="00035AEE">
        <w:t xml:space="preserve">PRA </w:t>
      </w:r>
      <w:r w:rsidRPr="005F3A61">
        <w:t xml:space="preserve">expiration date on </w:t>
      </w:r>
      <w:r w:rsidR="005A5F07">
        <w:t>the instructional text and response options</w:t>
      </w:r>
      <w:r w:rsidR="000B4158">
        <w:t xml:space="preserve"> of the IPF-PAI</w:t>
      </w:r>
      <w:r w:rsidRPr="005F3A61">
        <w:t xml:space="preserve"> </w:t>
      </w:r>
      <w:r>
        <w:t>included as appendi</w:t>
      </w:r>
      <w:r w:rsidR="000B4158">
        <w:t>x</w:t>
      </w:r>
      <w:r>
        <w:t xml:space="preserve"> to this PRA</w:t>
      </w:r>
      <w:r w:rsidRPr="002E3733" w:rsidR="004D37AE">
        <w:t>.</w:t>
      </w:r>
    </w:p>
    <w:p w:rsidR="005E41F1" w:rsidRPr="00FF06DD" w:rsidP="00FF06DD" w14:paraId="58A59FDC" w14:textId="77777777">
      <w:pPr>
        <w:pStyle w:val="Heading2"/>
        <w:numPr>
          <w:ilvl w:val="0"/>
          <w:numId w:val="30"/>
        </w:numPr>
        <w:tabs>
          <w:tab w:val="clear" w:pos="481"/>
          <w:tab w:val="left" w:pos="810"/>
        </w:tabs>
        <w:ind w:left="720" w:hanging="630"/>
        <w:rPr>
          <w:i w:val="0"/>
          <w:iCs w:val="0"/>
        </w:rPr>
      </w:pPr>
      <w:r w:rsidRPr="00FF06DD">
        <w:rPr>
          <w:i w:val="0"/>
          <w:iCs w:val="0"/>
        </w:rPr>
        <w:t>Certification Statement</w:t>
      </w:r>
    </w:p>
    <w:p w:rsidR="00D544BD" w:rsidP="004F409E" w14:paraId="2516F8A2" w14:textId="3F4458F2">
      <w:pPr>
        <w:pStyle w:val="BodyText"/>
      </w:pPr>
      <w:r>
        <w:t xml:space="preserve">We </w:t>
      </w:r>
      <w:r>
        <w:t>are not claiming</w:t>
      </w:r>
      <w:r>
        <w:t xml:space="preserve"> any exceptions to the Certification for Paperwork Reduction Act Submissions Statement</w:t>
      </w:r>
      <w:r w:rsidRPr="002E3733" w:rsidR="004D37AE">
        <w:t>.</w:t>
      </w:r>
    </w:p>
    <w:p w:rsidR="00FE6FFB" w:rsidP="00FE6FFB" w14:paraId="5AB9A338" w14:textId="77777777">
      <w:pPr>
        <w:ind w:left="208" w:right="208"/>
        <w:jc w:val="center"/>
        <w:rPr>
          <w:b/>
          <w:bCs/>
          <w:sz w:val="24"/>
        </w:rPr>
      </w:pPr>
      <w:r>
        <w:rPr>
          <w:b/>
          <w:bCs/>
        </w:rPr>
        <w:br w:type="column"/>
      </w:r>
      <w:r w:rsidRPr="0085282C">
        <w:rPr>
          <w:b/>
          <w:bCs/>
          <w:sz w:val="24"/>
        </w:rPr>
        <w:t>Supporting Statement</w:t>
      </w:r>
      <w:r>
        <w:rPr>
          <w:b/>
          <w:bCs/>
          <w:sz w:val="24"/>
        </w:rPr>
        <w:t xml:space="preserve"> </w:t>
      </w:r>
      <w:r>
        <w:rPr>
          <w:rStyle w:val="normaltextrun"/>
          <w:b/>
          <w:bCs/>
          <w:color w:val="000000"/>
          <w:bdr w:val="none" w:sz="0" w:space="0" w:color="auto" w:frame="1"/>
        </w:rPr>
        <w:t>–</w:t>
      </w:r>
      <w:r w:rsidRPr="0085282C">
        <w:rPr>
          <w:b/>
          <w:bCs/>
          <w:sz w:val="24"/>
        </w:rPr>
        <w:t xml:space="preserve"> </w:t>
      </w:r>
      <w:r>
        <w:rPr>
          <w:b/>
          <w:bCs/>
          <w:sz w:val="24"/>
        </w:rPr>
        <w:t>Part B</w:t>
      </w:r>
    </w:p>
    <w:p w:rsidR="00FE6FFB" w:rsidRPr="00513AD5" w:rsidP="00FE6FFB" w14:paraId="1EB77E07" w14:textId="77777777">
      <w:pPr>
        <w:pStyle w:val="BodyText"/>
        <w:jc w:val="center"/>
        <w:rPr>
          <w:b/>
          <w:bCs/>
        </w:rPr>
      </w:pPr>
      <w:r w:rsidRPr="00513AD5">
        <w:rPr>
          <w:b/>
          <w:bCs/>
        </w:rPr>
        <w:t>Collection of Information Employing Statistical Methods</w:t>
      </w:r>
    </w:p>
    <w:p w:rsidR="003109A2" w:rsidP="00091048" w14:paraId="1CA3AD53" w14:textId="03F58A5D">
      <w:pPr>
        <w:pStyle w:val="BodyText"/>
      </w:pPr>
      <w:r w:rsidRPr="003109A2">
        <w:t xml:space="preserve">The </w:t>
      </w:r>
      <w:r w:rsidR="00C924D9">
        <w:t>IPF-PAI</w:t>
      </w:r>
      <w:r w:rsidRPr="003109A2">
        <w:t xml:space="preserve"> does not require </w:t>
      </w:r>
      <w:r w:rsidRPr="003109A2">
        <w:t>sampling</w:t>
      </w:r>
      <w:r w:rsidRPr="003109A2">
        <w:t xml:space="preserve"> and CMS will not employ any statistical methods or sampling in the calculation of </w:t>
      </w:r>
      <w:r w:rsidR="00C924D9">
        <w:t>assessment</w:t>
      </w:r>
      <w:r w:rsidRPr="003109A2">
        <w:t xml:space="preserve"> results.</w:t>
      </w:r>
    </w:p>
    <w:sectPr w:rsidSect="00AC7070">
      <w:footerReference w:type="default" r:id="rId11"/>
      <w:pgSz w:w="12240" w:h="15840"/>
      <w:pgMar w:top="1440" w:right="1320" w:bottom="1260" w:left="132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951B0" w14:paraId="7D6E238E" w14:textId="77777777">
      <w:r>
        <w:separator/>
      </w:r>
    </w:p>
    <w:p w:rsidR="008951B0" w14:paraId="0556EC6F" w14:textId="77777777"/>
  </w:endnote>
  <w:endnote w:type="continuationSeparator" w:id="1">
    <w:p w:rsidR="008951B0" w14:paraId="42962401" w14:textId="77777777">
      <w:r>
        <w:continuationSeparator/>
      </w:r>
    </w:p>
    <w:p w:rsidR="008951B0" w14:paraId="14F017CD" w14:textId="77777777"/>
  </w:endnote>
  <w:endnote w:type="continuationNotice" w:id="2">
    <w:p w:rsidR="008951B0" w14:paraId="493EA874" w14:textId="77777777"/>
    <w:p w:rsidR="008951B0" w14:paraId="03D14A5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206140"/>
      <w:docPartObj>
        <w:docPartGallery w:val="Page Numbers (Bottom of Page)"/>
        <w:docPartUnique/>
      </w:docPartObj>
    </w:sdtPr>
    <w:sdtEndPr>
      <w:rPr>
        <w:noProof/>
      </w:rPr>
    </w:sdtEndPr>
    <w:sdtContent>
      <w:p w:rsidR="00E22119" w14:paraId="1FD32D1D" w14:textId="49CA26C5">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951B0" w14:paraId="13AB20CB" w14:textId="77777777">
      <w:r>
        <w:separator/>
      </w:r>
    </w:p>
    <w:p w:rsidR="008951B0" w14:paraId="2715CFEF" w14:textId="77777777"/>
  </w:footnote>
  <w:footnote w:type="continuationSeparator" w:id="1">
    <w:p w:rsidR="008951B0" w14:paraId="6BF2033E" w14:textId="77777777">
      <w:r>
        <w:continuationSeparator/>
      </w:r>
    </w:p>
    <w:p w:rsidR="008951B0" w14:paraId="3E735CEE" w14:textId="77777777"/>
  </w:footnote>
  <w:footnote w:type="continuationNotice" w:id="2">
    <w:p w:rsidR="008951B0" w14:paraId="07C100C9" w14:textId="77777777"/>
    <w:p w:rsidR="008951B0" w14:paraId="1247D126" w14:textId="77777777"/>
  </w:footnote>
  <w:footnote w:id="3">
    <w:p w:rsidR="00D93F22" w:rsidRPr="000357D4" w:rsidP="00D93F22" w14:paraId="111C088E" w14:textId="77777777">
      <w:pPr>
        <w:pStyle w:val="FootnoteText"/>
        <w:contextualSpacing/>
      </w:pPr>
      <w:r w:rsidRPr="000357D4">
        <w:rPr>
          <w:rStyle w:val="FootnoteReference"/>
          <w:rFonts w:eastAsia="Yu Gothic Light"/>
        </w:rPr>
        <w:footnoteRef/>
      </w:r>
      <w:r w:rsidRPr="000357D4">
        <w:t xml:space="preserve">  We note that the statute uses the term “rate year” (RY)</w:t>
      </w:r>
      <w:r>
        <w:t xml:space="preserve">. </w:t>
      </w:r>
      <w:r w:rsidRPr="000357D4">
        <w:t>However, beginning with the annual update of the inpatient psychiatric facility prospective payment system (IPF PPS) that took effect on July 1, 2011 (RY 2012), we aligned the IPF PPS update with the annual update of the ICD codes, effective on October 1 of each year</w:t>
      </w:r>
      <w:r>
        <w:t xml:space="preserve">. </w:t>
      </w:r>
      <w:r w:rsidRPr="000357D4">
        <w:t xml:space="preserve">This change allowed for annual payment updates and the ICD coding update to occur on the same schedule and appear in the same </w:t>
      </w:r>
      <w:r w:rsidRPr="05136CB8">
        <w:rPr>
          <w:b/>
          <w:bCs/>
        </w:rPr>
        <w:t>Federal Register</w:t>
      </w:r>
      <w:r w:rsidRPr="000357D4">
        <w:t xml:space="preserve"> document, promoting administrative efficiency</w:t>
      </w:r>
      <w:r>
        <w:t xml:space="preserve">. </w:t>
      </w:r>
      <w:r w:rsidRPr="000357D4">
        <w:t>To reflect the change to the annual payment rate update cycle, we revised the regulations at 42 CFR 412.402 to specify that, beginning October 1, 2012, the IPF PPS RY means the 12-month period from October 1 through September 30, which we refer to as a “fiscal year” (FY) (76</w:t>
      </w:r>
      <w:r w:rsidRPr="000357D4">
        <w:rPr>
          <w:color w:val="000000" w:themeColor="text1"/>
        </w:rPr>
        <w:t xml:space="preserve"> </w:t>
      </w:r>
      <w:r w:rsidRPr="000357D4">
        <w:t>FR</w:t>
      </w:r>
      <w:r w:rsidRPr="000357D4">
        <w:rPr>
          <w:color w:val="000000" w:themeColor="text1"/>
        </w:rPr>
        <w:t xml:space="preserve"> </w:t>
      </w:r>
      <w:r w:rsidRPr="000357D4">
        <w:t>26435)</w:t>
      </w:r>
      <w:r>
        <w:t xml:space="preserve">. </w:t>
      </w:r>
      <w:r w:rsidRPr="000357D4">
        <w:t xml:space="preserve">Therefore, with respect to the </w:t>
      </w:r>
      <w:r>
        <w:rPr>
          <w14:ligatures w14:val="standardContextual"/>
        </w:rPr>
        <w:t>IPF Quality Reporting Program</w:t>
      </w:r>
      <w:r w:rsidRPr="000357D4">
        <w:t>, the terms “rate year,” as used in the statute, and “fiscal year” as used in the regulation, both refer to the period from October 1 through September 30</w:t>
      </w:r>
      <w:r>
        <w:t xml:space="preserve">. </w:t>
      </w:r>
      <w:r w:rsidRPr="000357D4">
        <w:t>For more information regarding this terminology change, we refer readers to section III of the RY 2012 IPF PPS final rule (76</w:t>
      </w:r>
      <w:r w:rsidRPr="000357D4">
        <w:rPr>
          <w:color w:val="000000" w:themeColor="text1"/>
        </w:rPr>
        <w:t xml:space="preserve"> </w:t>
      </w:r>
      <w:r w:rsidRPr="000357D4">
        <w:t>FR</w:t>
      </w:r>
      <w:r w:rsidRPr="000357D4">
        <w:rPr>
          <w:color w:val="000000" w:themeColor="text1"/>
        </w:rPr>
        <w:t xml:space="preserve"> </w:t>
      </w:r>
      <w:r w:rsidRPr="000357D4">
        <w:t>26434 through 26435).</w:t>
      </w:r>
    </w:p>
  </w:footnote>
  <w:footnote w:id="4">
    <w:p w:rsidR="00CE6073" w:rsidP="00CE6073" w14:paraId="6C1FD268" w14:textId="1A41EA3F">
      <w:pPr>
        <w:pStyle w:val="FootnoteText"/>
      </w:pPr>
      <w:r w:rsidRPr="00705233">
        <w:rPr>
          <w:rStyle w:val="FootnoteReference"/>
        </w:rPr>
        <w:footnoteRef/>
      </w:r>
      <w:r>
        <w:rPr>
          <w:rFonts w:eastAsia="Aptos"/>
          <w:kern w:val="2"/>
          <w14:ligatures w14:val="standardContextual"/>
        </w:rPr>
        <w:t xml:space="preserve"> </w:t>
      </w:r>
      <w:r w:rsidR="00BB4950">
        <w:rPr>
          <w:rFonts w:eastAsia="Aptos"/>
          <w:kern w:val="2"/>
          <w14:ligatures w14:val="standardContextual"/>
        </w:rPr>
        <w:t>Sections</w:t>
      </w:r>
      <w:r w:rsidRPr="004F763B">
        <w:rPr>
          <w:rFonts w:eastAsia="Aptos"/>
          <w:kern w:val="2"/>
          <w14:ligatures w14:val="standardContextual"/>
        </w:rPr>
        <w:t xml:space="preserve"> 1886(s)(4)(E)(ii)(I) through 1886(s)(4)(E)(ii)(V)</w:t>
      </w:r>
      <w:r w:rsidR="00BB4950">
        <w:rPr>
          <w:rFonts w:eastAsia="Aptos"/>
          <w:kern w:val="2"/>
          <w14:ligatures w14:val="standardContextual"/>
        </w:rPr>
        <w:t xml:space="preserve"> of the Social Security Act</w:t>
      </w:r>
      <w:r w:rsidRPr="004F763B">
        <w:rPr>
          <w:rFonts w:eastAsia="Aptos"/>
          <w:kern w:val="2"/>
          <w14:ligatures w14:val="standardContextual"/>
        </w:rPr>
        <w:t>.</w:t>
      </w:r>
      <w:r>
        <w:t xml:space="preserve"> </w:t>
      </w:r>
    </w:p>
  </w:footnote>
  <w:footnote w:id="5">
    <w:p w:rsidR="00513F97" w:rsidRPr="008E5363" w:rsidP="00513F97" w14:paraId="5FD92CF4" w14:textId="77777777">
      <w:pPr>
        <w:pStyle w:val="FootnoteText"/>
        <w:rPr>
          <w:i/>
          <w:iCs/>
        </w:rPr>
      </w:pPr>
      <w:r w:rsidRPr="00C462BE">
        <w:rPr>
          <w:rStyle w:val="FootnoteReference"/>
        </w:rPr>
        <w:footnoteRef/>
      </w:r>
      <w:r>
        <w:t xml:space="preserve"> </w:t>
      </w:r>
      <w:hyperlink r:id="rId1" w:history="1">
        <w:r w:rsidRPr="008E5363">
          <w:rPr>
            <w:rStyle w:val="Hyperlink"/>
            <w:i/>
            <w:iCs/>
          </w:rPr>
          <w:t>https://www.cms.gov/medicare/health-safety-standards/quality-safety-oversight-general-information/internet-quality-improvement-evaluation-system-iqies</w:t>
        </w:r>
      </w:hyperlink>
      <w:r w:rsidRPr="008E5363">
        <w:rPr>
          <w:i/>
          <w:iCs/>
        </w:rPr>
        <w:t>.</w:t>
      </w:r>
    </w:p>
  </w:footnote>
  <w:footnote w:id="6">
    <w:p w:rsidR="00F80C9A" w:rsidP="00F80C9A" w14:paraId="1B6912AA" w14:textId="77777777">
      <w:pPr>
        <w:pStyle w:val="FootnoteText"/>
      </w:pPr>
      <w:r w:rsidRPr="006E0A65">
        <w:rPr>
          <w:rStyle w:val="FootnoteReference"/>
        </w:rPr>
        <w:footnoteRef/>
      </w:r>
      <w:r>
        <w:t xml:space="preserve"> SMART on FHIR</w:t>
      </w:r>
      <w:r w:rsidRPr="00513F97">
        <w:rPr>
          <w:vertAlign w:val="superscript"/>
        </w:rPr>
        <w:t>®</w:t>
      </w:r>
      <w:r>
        <w:t xml:space="preserve"> is a set of standards that enables third-party </w:t>
      </w:r>
      <w:r>
        <w:t>application</w:t>
      </w:r>
      <w:r>
        <w:t xml:space="preserve"> to securely integrate with electronic health records. </w:t>
      </w:r>
      <w:hyperlink r:id="rId2" w:history="1">
        <w:r w:rsidRPr="005F22AA">
          <w:rPr>
            <w:rStyle w:val="Hyperlink"/>
            <w:i/>
            <w:iCs/>
          </w:rPr>
          <w:t>https://smarthealthit.org/</w:t>
        </w:r>
      </w:hyperlink>
      <w:r w:rsidRPr="00706AB5">
        <w:t>.</w:t>
      </w:r>
    </w:p>
  </w:footnote>
  <w:footnote w:id="7">
    <w:p w:rsidR="00422FCC" w:rsidRPr="00691BE2" w:rsidP="00422FCC" w14:paraId="5C4E497D" w14:textId="147162A0">
      <w:pPr>
        <w:pStyle w:val="FootnoteText"/>
        <w:rPr>
          <w:vertAlign w:val="superscript"/>
        </w:rPr>
      </w:pPr>
      <w:r w:rsidRPr="00691BE2">
        <w:rPr>
          <w:rStyle w:val="FootnoteReference"/>
        </w:rPr>
        <w:footnoteRef/>
      </w:r>
      <w:r w:rsidRPr="002F72C4">
        <w:t xml:space="preserve"> </w:t>
      </w:r>
      <w:r w:rsidRPr="00691BE2">
        <w:t>For</w:t>
      </w:r>
      <w:r>
        <w:t xml:space="preserve"> the purposes of estimating information collection burden, some multi-part assessment items are counted as more than one item, out of recognition that they may require multiple responses. </w:t>
      </w:r>
    </w:p>
  </w:footnote>
  <w:footnote w:id="8">
    <w:p w:rsidR="00422FCC" w:rsidP="00422FCC" w14:paraId="42662A49" w14:textId="77777777">
      <w:pPr>
        <w:pStyle w:val="FootnoteText"/>
      </w:pPr>
      <w:r w:rsidRPr="008E5E25">
        <w:rPr>
          <w:rStyle w:val="FootnoteReference"/>
        </w:rPr>
        <w:footnoteRef/>
      </w:r>
      <w:r>
        <w:t xml:space="preserve"> The Inpatient Rehabilitation Facility-PAI (OMB control number 0938-0842), the </w:t>
      </w:r>
      <w:r w:rsidRPr="00367017">
        <w:t>Outcome and Assessment Information Set</w:t>
      </w:r>
      <w:r>
        <w:t xml:space="preserve"> (OMB control number </w:t>
      </w:r>
      <w:r w:rsidRPr="005500F1">
        <w:t>0938-1279</w:t>
      </w:r>
      <w:r>
        <w:t xml:space="preserve">), the </w:t>
      </w:r>
      <w:r w:rsidRPr="00E348D1">
        <w:t>Long-Term Care Hospital (LTCH) Continuity Assessment Record and Evaluation (CARE) Data Set</w:t>
      </w:r>
      <w:r>
        <w:t xml:space="preserve"> (OMB control number </w:t>
      </w:r>
      <w:r w:rsidRPr="009E602A">
        <w:t>0938-1163</w:t>
      </w:r>
      <w:r>
        <w:t xml:space="preserve">), and the Minimum Data Set (OMB control number </w:t>
      </w:r>
      <w:r w:rsidRPr="009E602A">
        <w:t>0938-</w:t>
      </w:r>
      <w:r w:rsidRPr="00576F80">
        <w:t xml:space="preserve">1140) estimate time </w:t>
      </w:r>
      <w:r w:rsidRPr="008E5E25">
        <w:t xml:space="preserve">required </w:t>
      </w:r>
      <w:r w:rsidRPr="00576F80">
        <w:t>to complete assessment items at 0.15, 0.25, and/or 0.3 minutes.</w:t>
      </w:r>
    </w:p>
  </w:footnote>
  <w:footnote w:id="9">
    <w:p w:rsidR="00422FCC" w:rsidP="00422FCC" w14:paraId="6470FF3F" w14:textId="618F3F05">
      <w:pPr>
        <w:pStyle w:val="FootnoteText"/>
      </w:pPr>
      <w:r w:rsidRPr="004F0489">
        <w:rPr>
          <w:rStyle w:val="FootnoteReference"/>
        </w:rPr>
        <w:footnoteRef/>
      </w:r>
      <w:r>
        <w:t xml:space="preserve"> CMS internal analysis based on </w:t>
      </w:r>
      <w:r w:rsidRPr="00E87F08" w:rsidR="00E87F08">
        <w:t xml:space="preserve">IPF–PAI Testing Report, available under IPF–PAI Development and Testing resources at </w:t>
      </w:r>
      <w:hyperlink r:id="rId3" w:history="1">
        <w:r w:rsidRPr="00D64FAD" w:rsidR="00E87F08">
          <w:rPr>
            <w:rStyle w:val="Hyperlink"/>
          </w:rPr>
          <w:t>https://qualitynet.cms.gov/ipf/PAI</w:t>
        </w:r>
      </w:hyperlink>
      <w:r w:rsidR="00E87F08">
        <w:t xml:space="preserve">. </w:t>
      </w:r>
    </w:p>
  </w:footnote>
  <w:footnote w:id="10">
    <w:p w:rsidR="00127431" w14:paraId="0F04CB01" w14:textId="693F4E25">
      <w:pPr>
        <w:pStyle w:val="FootnoteText"/>
      </w:pPr>
      <w:r>
        <w:rPr>
          <w:rStyle w:val="FootnoteReference"/>
        </w:rPr>
        <w:footnoteRef/>
      </w:r>
      <w:r>
        <w:t xml:space="preserve"> </w:t>
      </w:r>
      <w:r w:rsidRPr="00567028">
        <w:t xml:space="preserve">U.S. Bureau of Labor Statistics. Occupational </w:t>
      </w:r>
      <w:r>
        <w:t>Employment and Wage Statistics: General Medical and Surgical Hospitals</w:t>
      </w:r>
      <w:r w:rsidRPr="00567028">
        <w:t xml:space="preserve">, Medical Records </w:t>
      </w:r>
      <w:r>
        <w:t>Specialists</w:t>
      </w:r>
      <w:r w:rsidRPr="00567028">
        <w:t>. Accessed</w:t>
      </w:r>
      <w:r>
        <w:t xml:space="preserve"> January 8, 2026</w:t>
      </w:r>
      <w:r w:rsidRPr="00BE7935">
        <w:t>.</w:t>
      </w:r>
      <w:r>
        <w:t xml:space="preserve"> A</w:t>
      </w:r>
      <w:r w:rsidRPr="00567028">
        <w:t xml:space="preserve">vailable at: </w:t>
      </w:r>
      <w:hyperlink r:id="rId4" w:anchor="/industry/622100 " w:history="1">
        <w:r w:rsidRPr="00CA49F1">
          <w:rPr>
            <w:rStyle w:val="Hyperlink"/>
            <w:i/>
            <w:iCs/>
          </w:rPr>
          <w:t>https://data.bls.gov/oes/#/industry/622100</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72C38"/>
    <w:multiLevelType w:val="hybridMultilevel"/>
    <w:tmpl w:val="420C4AA0"/>
    <w:lvl w:ilvl="0">
      <w:start w:val="1"/>
      <w:numFmt w:val="lowerRoman"/>
      <w:lvlText w:val="%1."/>
      <w:lvlJc w:val="left"/>
      <w:pPr>
        <w:ind w:left="1236" w:hanging="488"/>
        <w:jc w:val="right"/>
      </w:pPr>
      <w:rPr>
        <w:rFonts w:ascii="Times New Roman" w:eastAsia="Times New Roman" w:hAnsi="Times New Roman" w:cs="Times New Roman" w:hint="default"/>
        <w:spacing w:val="-3"/>
        <w:w w:val="99"/>
        <w:sz w:val="24"/>
        <w:szCs w:val="24"/>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
    <w:nsid w:val="04377033"/>
    <w:multiLevelType w:val="hybridMultilevel"/>
    <w:tmpl w:val="63A4F9F4"/>
    <w:lvl w:ilvl="0">
      <w:start w:val="1"/>
      <w:numFmt w:val="lowerLetter"/>
      <w:lvlText w:val="%1."/>
      <w:lvlJc w:val="left"/>
      <w:pPr>
        <w:ind w:left="480" w:hanging="360"/>
      </w:pPr>
      <w:rPr>
        <w:rFonts w:ascii="Times New Roman" w:eastAsia="Times New Roman" w:hAnsi="Times New Roman" w:cs="Times New Roman" w:hint="default"/>
        <w:spacing w:val="-5"/>
        <w:w w:val="99"/>
        <w:sz w:val="24"/>
        <w:szCs w:val="24"/>
      </w:rPr>
    </w:lvl>
    <w:lvl w:ilvl="1">
      <w:start w:val="0"/>
      <w:numFmt w:val="bullet"/>
      <w:lvlText w:val=""/>
      <w:lvlJc w:val="left"/>
      <w:pPr>
        <w:ind w:left="696" w:hanging="288"/>
      </w:pPr>
      <w:rPr>
        <w:rFonts w:ascii="Symbol" w:eastAsia="Symbol" w:hAnsi="Symbol" w:cs="Symbol" w:hint="default"/>
        <w:w w:val="100"/>
        <w:sz w:val="24"/>
        <w:szCs w:val="24"/>
      </w:rPr>
    </w:lvl>
    <w:lvl w:ilvl="2">
      <w:start w:val="0"/>
      <w:numFmt w:val="bullet"/>
      <w:lvlText w:val="o"/>
      <w:lvlJc w:val="left"/>
      <w:pPr>
        <w:ind w:left="1920" w:hanging="360"/>
      </w:pPr>
      <w:rPr>
        <w:rFonts w:ascii="Courier New" w:eastAsia="Courier New" w:hAnsi="Courier New" w:cs="Courier New" w:hint="default"/>
        <w:w w:val="99"/>
        <w:sz w:val="24"/>
        <w:szCs w:val="24"/>
      </w:rPr>
    </w:lvl>
    <w:lvl w:ilvl="3">
      <w:start w:val="0"/>
      <w:numFmt w:val="bullet"/>
      <w:lvlText w:val="•"/>
      <w:lvlJc w:val="left"/>
      <w:pPr>
        <w:ind w:left="2880" w:hanging="360"/>
      </w:pPr>
      <w:rPr>
        <w:rFonts w:hint="default"/>
      </w:rPr>
    </w:lvl>
    <w:lvl w:ilvl="4">
      <w:start w:val="0"/>
      <w:numFmt w:val="bullet"/>
      <w:lvlText w:val="•"/>
      <w:lvlJc w:val="left"/>
      <w:pPr>
        <w:ind w:left="3840" w:hanging="360"/>
      </w:pPr>
      <w:rPr>
        <w:rFonts w:hint="default"/>
      </w:rPr>
    </w:lvl>
    <w:lvl w:ilvl="5">
      <w:start w:val="0"/>
      <w:numFmt w:val="bullet"/>
      <w:lvlText w:val="•"/>
      <w:lvlJc w:val="left"/>
      <w:pPr>
        <w:ind w:left="4800" w:hanging="360"/>
      </w:pPr>
      <w:rPr>
        <w:rFonts w:hint="default"/>
      </w:rPr>
    </w:lvl>
    <w:lvl w:ilvl="6">
      <w:start w:val="0"/>
      <w:numFmt w:val="bullet"/>
      <w:lvlText w:val="•"/>
      <w:lvlJc w:val="left"/>
      <w:pPr>
        <w:ind w:left="5760" w:hanging="360"/>
      </w:pPr>
      <w:rPr>
        <w:rFonts w:hint="default"/>
      </w:rPr>
    </w:lvl>
    <w:lvl w:ilvl="7">
      <w:start w:val="0"/>
      <w:numFmt w:val="bullet"/>
      <w:lvlText w:val="•"/>
      <w:lvlJc w:val="left"/>
      <w:pPr>
        <w:ind w:left="6720" w:hanging="360"/>
      </w:pPr>
      <w:rPr>
        <w:rFonts w:hint="default"/>
      </w:rPr>
    </w:lvl>
    <w:lvl w:ilvl="8">
      <w:start w:val="0"/>
      <w:numFmt w:val="bullet"/>
      <w:lvlText w:val="•"/>
      <w:lvlJc w:val="left"/>
      <w:pPr>
        <w:ind w:left="7680" w:hanging="360"/>
      </w:pPr>
      <w:rPr>
        <w:rFonts w:hint="default"/>
      </w:rPr>
    </w:lvl>
  </w:abstractNum>
  <w:abstractNum w:abstractNumId="2">
    <w:nsid w:val="093E34DB"/>
    <w:multiLevelType w:val="hybridMultilevel"/>
    <w:tmpl w:val="F89ABE4A"/>
    <w:lvl w:ilvl="0">
      <w:start w:val="0"/>
      <w:numFmt w:val="bullet"/>
      <w:lvlText w:val="•"/>
      <w:lvlJc w:val="left"/>
      <w:pPr>
        <w:ind w:left="840" w:hanging="360"/>
      </w:pPr>
      <w:rPr>
        <w:rFonts w:ascii="Times New Roman" w:eastAsia="Times New Roman" w:hAnsi="Times New Roman" w:cs="Times New Roman" w:hint="default"/>
        <w:w w:val="99"/>
        <w:sz w:val="24"/>
        <w:szCs w:val="24"/>
      </w:rPr>
    </w:lvl>
    <w:lvl w:ilvl="1">
      <w:start w:val="0"/>
      <w:numFmt w:val="bullet"/>
      <w:lvlText w:val="•"/>
      <w:lvlJc w:val="left"/>
      <w:pPr>
        <w:ind w:left="1716" w:hanging="360"/>
      </w:pPr>
      <w:rPr>
        <w:rFonts w:hint="default"/>
      </w:rPr>
    </w:lvl>
    <w:lvl w:ilvl="2">
      <w:start w:val="0"/>
      <w:numFmt w:val="bullet"/>
      <w:lvlText w:val="•"/>
      <w:lvlJc w:val="left"/>
      <w:pPr>
        <w:ind w:left="2592" w:hanging="360"/>
      </w:pPr>
      <w:rPr>
        <w:rFonts w:hint="default"/>
      </w:rPr>
    </w:lvl>
    <w:lvl w:ilvl="3">
      <w:start w:val="0"/>
      <w:numFmt w:val="bullet"/>
      <w:lvlText w:val="•"/>
      <w:lvlJc w:val="left"/>
      <w:pPr>
        <w:ind w:left="3468" w:hanging="360"/>
      </w:pPr>
      <w:rPr>
        <w:rFonts w:hint="default"/>
      </w:rPr>
    </w:lvl>
    <w:lvl w:ilvl="4">
      <w:start w:val="0"/>
      <w:numFmt w:val="bullet"/>
      <w:lvlText w:val="•"/>
      <w:lvlJc w:val="left"/>
      <w:pPr>
        <w:ind w:left="4344" w:hanging="360"/>
      </w:pPr>
      <w:rPr>
        <w:rFonts w:hint="default"/>
      </w:rPr>
    </w:lvl>
    <w:lvl w:ilvl="5">
      <w:start w:val="0"/>
      <w:numFmt w:val="bullet"/>
      <w:lvlText w:val="•"/>
      <w:lvlJc w:val="left"/>
      <w:pPr>
        <w:ind w:left="5220" w:hanging="360"/>
      </w:pPr>
      <w:rPr>
        <w:rFonts w:hint="default"/>
      </w:rPr>
    </w:lvl>
    <w:lvl w:ilvl="6">
      <w:start w:val="0"/>
      <w:numFmt w:val="bullet"/>
      <w:lvlText w:val="•"/>
      <w:lvlJc w:val="left"/>
      <w:pPr>
        <w:ind w:left="6096" w:hanging="360"/>
      </w:pPr>
      <w:rPr>
        <w:rFonts w:hint="default"/>
      </w:rPr>
    </w:lvl>
    <w:lvl w:ilvl="7">
      <w:start w:val="0"/>
      <w:numFmt w:val="bullet"/>
      <w:lvlText w:val="•"/>
      <w:lvlJc w:val="left"/>
      <w:pPr>
        <w:ind w:left="6972" w:hanging="360"/>
      </w:pPr>
      <w:rPr>
        <w:rFonts w:hint="default"/>
      </w:rPr>
    </w:lvl>
    <w:lvl w:ilvl="8">
      <w:start w:val="0"/>
      <w:numFmt w:val="bullet"/>
      <w:lvlText w:val="•"/>
      <w:lvlJc w:val="left"/>
      <w:pPr>
        <w:ind w:left="7848" w:hanging="360"/>
      </w:pPr>
      <w:rPr>
        <w:rFonts w:hint="default"/>
      </w:rPr>
    </w:lvl>
  </w:abstractNum>
  <w:abstractNum w:abstractNumId="3">
    <w:nsid w:val="097B5794"/>
    <w:multiLevelType w:val="hybridMultilevel"/>
    <w:tmpl w:val="0B9E037E"/>
    <w:lvl w:ilvl="0">
      <w:start w:val="1"/>
      <w:numFmt w:val="lowerRoman"/>
      <w:lvlText w:val="%1."/>
      <w:lvlJc w:val="left"/>
      <w:pPr>
        <w:ind w:left="1056" w:hanging="488"/>
        <w:jc w:val="right"/>
      </w:pPr>
      <w:rPr>
        <w:rFonts w:ascii="Times New Roman" w:eastAsia="Times New Roman" w:hAnsi="Times New Roman" w:cs="Times New Roman" w:hint="default"/>
        <w:spacing w:val="-3"/>
        <w:w w:val="99"/>
        <w:sz w:val="24"/>
        <w:szCs w:val="24"/>
      </w:rPr>
    </w:lvl>
    <w:lvl w:ilvl="1">
      <w:start w:val="0"/>
      <w:numFmt w:val="bullet"/>
      <w:lvlText w:val="•"/>
      <w:lvlJc w:val="left"/>
      <w:pPr>
        <w:ind w:left="1914" w:hanging="488"/>
      </w:pPr>
      <w:rPr>
        <w:rFonts w:hint="default"/>
      </w:rPr>
    </w:lvl>
    <w:lvl w:ilvl="2">
      <w:start w:val="0"/>
      <w:numFmt w:val="bullet"/>
      <w:lvlText w:val="•"/>
      <w:lvlJc w:val="left"/>
      <w:pPr>
        <w:ind w:left="2768" w:hanging="488"/>
      </w:pPr>
      <w:rPr>
        <w:rFonts w:hint="default"/>
      </w:rPr>
    </w:lvl>
    <w:lvl w:ilvl="3">
      <w:start w:val="0"/>
      <w:numFmt w:val="bullet"/>
      <w:lvlText w:val="•"/>
      <w:lvlJc w:val="left"/>
      <w:pPr>
        <w:ind w:left="3622" w:hanging="488"/>
      </w:pPr>
      <w:rPr>
        <w:rFonts w:hint="default"/>
      </w:rPr>
    </w:lvl>
    <w:lvl w:ilvl="4">
      <w:start w:val="0"/>
      <w:numFmt w:val="bullet"/>
      <w:lvlText w:val="•"/>
      <w:lvlJc w:val="left"/>
      <w:pPr>
        <w:ind w:left="4476" w:hanging="488"/>
      </w:pPr>
      <w:rPr>
        <w:rFonts w:hint="default"/>
      </w:rPr>
    </w:lvl>
    <w:lvl w:ilvl="5">
      <w:start w:val="0"/>
      <w:numFmt w:val="bullet"/>
      <w:lvlText w:val="•"/>
      <w:lvlJc w:val="left"/>
      <w:pPr>
        <w:ind w:left="5330" w:hanging="488"/>
      </w:pPr>
      <w:rPr>
        <w:rFonts w:hint="default"/>
      </w:rPr>
    </w:lvl>
    <w:lvl w:ilvl="6">
      <w:start w:val="0"/>
      <w:numFmt w:val="bullet"/>
      <w:lvlText w:val="•"/>
      <w:lvlJc w:val="left"/>
      <w:pPr>
        <w:ind w:left="6184" w:hanging="488"/>
      </w:pPr>
      <w:rPr>
        <w:rFonts w:hint="default"/>
      </w:rPr>
    </w:lvl>
    <w:lvl w:ilvl="7">
      <w:start w:val="0"/>
      <w:numFmt w:val="bullet"/>
      <w:lvlText w:val="•"/>
      <w:lvlJc w:val="left"/>
      <w:pPr>
        <w:ind w:left="7038" w:hanging="488"/>
      </w:pPr>
      <w:rPr>
        <w:rFonts w:hint="default"/>
      </w:rPr>
    </w:lvl>
    <w:lvl w:ilvl="8">
      <w:start w:val="0"/>
      <w:numFmt w:val="bullet"/>
      <w:lvlText w:val="•"/>
      <w:lvlJc w:val="left"/>
      <w:pPr>
        <w:ind w:left="7892" w:hanging="488"/>
      </w:pPr>
      <w:rPr>
        <w:rFonts w:hint="default"/>
      </w:rPr>
    </w:lvl>
  </w:abstractNum>
  <w:abstractNum w:abstractNumId="4">
    <w:nsid w:val="09DE2A26"/>
    <w:multiLevelType w:val="hybridMultilevel"/>
    <w:tmpl w:val="35205CF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0C8C0681"/>
    <w:multiLevelType w:val="hybridMultilevel"/>
    <w:tmpl w:val="7F24F024"/>
    <w:lvl w:ilvl="0">
      <w:start w:val="0"/>
      <w:numFmt w:val="bullet"/>
      <w:lvlText w:val=""/>
      <w:lvlJc w:val="left"/>
      <w:pPr>
        <w:ind w:left="888" w:hanging="360"/>
      </w:pPr>
      <w:rPr>
        <w:rFonts w:ascii="Symbol" w:eastAsia="Symbol" w:hAnsi="Symbol" w:cs="Symbol" w:hint="default"/>
        <w:w w:val="100"/>
        <w:sz w:val="24"/>
        <w:szCs w:val="24"/>
      </w:rPr>
    </w:lvl>
    <w:lvl w:ilvl="1" w:tentative="1">
      <w:start w:val="1"/>
      <w:numFmt w:val="bullet"/>
      <w:lvlText w:val="o"/>
      <w:lvlJc w:val="left"/>
      <w:pPr>
        <w:ind w:left="1555" w:hanging="360"/>
      </w:pPr>
      <w:rPr>
        <w:rFonts w:ascii="Courier New" w:hAnsi="Courier New" w:cs="Courier New" w:hint="default"/>
      </w:rPr>
    </w:lvl>
    <w:lvl w:ilvl="2" w:tentative="1">
      <w:start w:val="1"/>
      <w:numFmt w:val="bullet"/>
      <w:lvlText w:val=""/>
      <w:lvlJc w:val="left"/>
      <w:pPr>
        <w:ind w:left="2275" w:hanging="360"/>
      </w:pPr>
      <w:rPr>
        <w:rFonts w:ascii="Wingdings" w:hAnsi="Wingdings" w:hint="default"/>
      </w:rPr>
    </w:lvl>
    <w:lvl w:ilvl="3" w:tentative="1">
      <w:start w:val="1"/>
      <w:numFmt w:val="bullet"/>
      <w:lvlText w:val=""/>
      <w:lvlJc w:val="left"/>
      <w:pPr>
        <w:ind w:left="2995" w:hanging="360"/>
      </w:pPr>
      <w:rPr>
        <w:rFonts w:ascii="Symbol" w:hAnsi="Symbol" w:hint="default"/>
      </w:rPr>
    </w:lvl>
    <w:lvl w:ilvl="4" w:tentative="1">
      <w:start w:val="1"/>
      <w:numFmt w:val="bullet"/>
      <w:lvlText w:val="o"/>
      <w:lvlJc w:val="left"/>
      <w:pPr>
        <w:ind w:left="3715" w:hanging="360"/>
      </w:pPr>
      <w:rPr>
        <w:rFonts w:ascii="Courier New" w:hAnsi="Courier New" w:cs="Courier New" w:hint="default"/>
      </w:rPr>
    </w:lvl>
    <w:lvl w:ilvl="5" w:tentative="1">
      <w:start w:val="1"/>
      <w:numFmt w:val="bullet"/>
      <w:lvlText w:val=""/>
      <w:lvlJc w:val="left"/>
      <w:pPr>
        <w:ind w:left="4435" w:hanging="360"/>
      </w:pPr>
      <w:rPr>
        <w:rFonts w:ascii="Wingdings" w:hAnsi="Wingdings" w:hint="default"/>
      </w:rPr>
    </w:lvl>
    <w:lvl w:ilvl="6" w:tentative="1">
      <w:start w:val="1"/>
      <w:numFmt w:val="bullet"/>
      <w:lvlText w:val=""/>
      <w:lvlJc w:val="left"/>
      <w:pPr>
        <w:ind w:left="5155" w:hanging="360"/>
      </w:pPr>
      <w:rPr>
        <w:rFonts w:ascii="Symbol" w:hAnsi="Symbol" w:hint="default"/>
      </w:rPr>
    </w:lvl>
    <w:lvl w:ilvl="7" w:tentative="1">
      <w:start w:val="1"/>
      <w:numFmt w:val="bullet"/>
      <w:lvlText w:val="o"/>
      <w:lvlJc w:val="left"/>
      <w:pPr>
        <w:ind w:left="5875" w:hanging="360"/>
      </w:pPr>
      <w:rPr>
        <w:rFonts w:ascii="Courier New" w:hAnsi="Courier New" w:cs="Courier New" w:hint="default"/>
      </w:rPr>
    </w:lvl>
    <w:lvl w:ilvl="8" w:tentative="1">
      <w:start w:val="1"/>
      <w:numFmt w:val="bullet"/>
      <w:lvlText w:val=""/>
      <w:lvlJc w:val="left"/>
      <w:pPr>
        <w:ind w:left="6595" w:hanging="360"/>
      </w:pPr>
      <w:rPr>
        <w:rFonts w:ascii="Wingdings" w:hAnsi="Wingdings" w:hint="default"/>
      </w:rPr>
    </w:lvl>
  </w:abstractNum>
  <w:abstractNum w:abstractNumId="6">
    <w:nsid w:val="16F03726"/>
    <w:multiLevelType w:val="hybridMultilevel"/>
    <w:tmpl w:val="EC760B60"/>
    <w:lvl w:ilvl="0">
      <w:start w:val="0"/>
      <w:numFmt w:val="bullet"/>
      <w:lvlText w:val=""/>
      <w:lvlJc w:val="left"/>
      <w:pPr>
        <w:ind w:left="460" w:hanging="360"/>
      </w:pPr>
      <w:rPr>
        <w:rFonts w:ascii="Symbol" w:eastAsia="Symbol" w:hAnsi="Symbol" w:cs="Symbol" w:hint="default"/>
        <w:w w:val="100"/>
        <w:sz w:val="24"/>
        <w:szCs w:val="24"/>
      </w:rPr>
    </w:lvl>
    <w:lvl w:ilvl="1">
      <w:start w:val="0"/>
      <w:numFmt w:val="bullet"/>
      <w:lvlText w:val="•"/>
      <w:lvlJc w:val="left"/>
      <w:pPr>
        <w:ind w:left="1372" w:hanging="360"/>
      </w:pPr>
      <w:rPr>
        <w:rFonts w:hint="default"/>
      </w:rPr>
    </w:lvl>
    <w:lvl w:ilvl="2">
      <w:start w:val="0"/>
      <w:numFmt w:val="bullet"/>
      <w:lvlText w:val="•"/>
      <w:lvlJc w:val="left"/>
      <w:pPr>
        <w:ind w:left="2284" w:hanging="360"/>
      </w:pPr>
      <w:rPr>
        <w:rFonts w:hint="default"/>
      </w:rPr>
    </w:lvl>
    <w:lvl w:ilvl="3">
      <w:start w:val="0"/>
      <w:numFmt w:val="bullet"/>
      <w:lvlText w:val="•"/>
      <w:lvlJc w:val="left"/>
      <w:pPr>
        <w:ind w:left="3196" w:hanging="360"/>
      </w:pPr>
      <w:rPr>
        <w:rFonts w:hint="default"/>
      </w:rPr>
    </w:lvl>
    <w:lvl w:ilvl="4">
      <w:start w:val="0"/>
      <w:numFmt w:val="bullet"/>
      <w:lvlText w:val="•"/>
      <w:lvlJc w:val="left"/>
      <w:pPr>
        <w:ind w:left="4108" w:hanging="360"/>
      </w:pPr>
      <w:rPr>
        <w:rFonts w:hint="default"/>
      </w:rPr>
    </w:lvl>
    <w:lvl w:ilvl="5">
      <w:start w:val="0"/>
      <w:numFmt w:val="bullet"/>
      <w:lvlText w:val="•"/>
      <w:lvlJc w:val="left"/>
      <w:pPr>
        <w:ind w:left="5020" w:hanging="360"/>
      </w:pPr>
      <w:rPr>
        <w:rFonts w:hint="default"/>
      </w:rPr>
    </w:lvl>
    <w:lvl w:ilvl="6">
      <w:start w:val="0"/>
      <w:numFmt w:val="bullet"/>
      <w:lvlText w:val="•"/>
      <w:lvlJc w:val="left"/>
      <w:pPr>
        <w:ind w:left="5932" w:hanging="360"/>
      </w:pPr>
      <w:rPr>
        <w:rFonts w:hint="default"/>
      </w:rPr>
    </w:lvl>
    <w:lvl w:ilvl="7">
      <w:start w:val="0"/>
      <w:numFmt w:val="bullet"/>
      <w:lvlText w:val="•"/>
      <w:lvlJc w:val="left"/>
      <w:pPr>
        <w:ind w:left="6844" w:hanging="360"/>
      </w:pPr>
      <w:rPr>
        <w:rFonts w:hint="default"/>
      </w:rPr>
    </w:lvl>
    <w:lvl w:ilvl="8">
      <w:start w:val="0"/>
      <w:numFmt w:val="bullet"/>
      <w:lvlText w:val="•"/>
      <w:lvlJc w:val="left"/>
      <w:pPr>
        <w:ind w:left="7756" w:hanging="360"/>
      </w:pPr>
      <w:rPr>
        <w:rFonts w:hint="default"/>
      </w:rPr>
    </w:lvl>
  </w:abstractNum>
  <w:abstractNum w:abstractNumId="7">
    <w:nsid w:val="26CF0371"/>
    <w:multiLevelType w:val="hybridMultilevel"/>
    <w:tmpl w:val="5F2E026A"/>
    <w:lvl w:ilvl="0">
      <w:start w:val="1"/>
      <w:numFmt w:val="lowerRoman"/>
      <w:lvlText w:val="%1."/>
      <w:lvlJc w:val="left"/>
      <w:pPr>
        <w:ind w:left="1056" w:hanging="488"/>
        <w:jc w:val="right"/>
      </w:pPr>
      <w:rPr>
        <w:rFonts w:ascii="Times New Roman" w:eastAsia="Times New Roman" w:hAnsi="Times New Roman" w:cs="Times New Roman" w:hint="default"/>
        <w:spacing w:val="-3"/>
        <w:w w:val="99"/>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A12244A"/>
    <w:multiLevelType w:val="hybridMultilevel"/>
    <w:tmpl w:val="E0441D9C"/>
    <w:lvl w:ilvl="0">
      <w:start w:val="1"/>
      <w:numFmt w:val="upperLetter"/>
      <w:lvlText w:val="%1."/>
      <w:lvlJc w:val="left"/>
      <w:pPr>
        <w:ind w:left="795" w:hanging="360"/>
      </w:pPr>
      <w:rPr>
        <w:rFonts w:hint="default"/>
      </w:rPr>
    </w:lvl>
    <w:lvl w:ilvl="1">
      <w:start w:val="1"/>
      <w:numFmt w:val="lowerLetter"/>
      <w:lvlText w:val="%2."/>
      <w:lvlJc w:val="left"/>
      <w:pPr>
        <w:ind w:left="1515" w:hanging="360"/>
      </w:pPr>
    </w:lvl>
    <w:lvl w:ilvl="2" w:tentative="1">
      <w:start w:val="1"/>
      <w:numFmt w:val="lowerRoman"/>
      <w:lvlText w:val="%3."/>
      <w:lvlJc w:val="right"/>
      <w:pPr>
        <w:ind w:left="2235" w:hanging="180"/>
      </w:pPr>
    </w:lvl>
    <w:lvl w:ilvl="3" w:tentative="1">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tentative="1">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9">
    <w:nsid w:val="2A857935"/>
    <w:multiLevelType w:val="hybridMultilevel"/>
    <w:tmpl w:val="92181880"/>
    <w:lvl w:ilvl="0">
      <w:start w:val="0"/>
      <w:numFmt w:val="bullet"/>
      <w:lvlText w:val=""/>
      <w:lvlJc w:val="left"/>
      <w:pPr>
        <w:ind w:left="888" w:hanging="360"/>
      </w:pPr>
      <w:rPr>
        <w:rFonts w:ascii="Symbol" w:eastAsia="Symbol" w:hAnsi="Symbol" w:cs="Symbol" w:hint="default"/>
        <w:w w:val="100"/>
        <w:sz w:val="24"/>
        <w:szCs w:val="24"/>
      </w:rPr>
    </w:lvl>
    <w:lvl w:ilvl="1" w:tentative="1">
      <w:start w:val="1"/>
      <w:numFmt w:val="bullet"/>
      <w:lvlText w:val="o"/>
      <w:lvlJc w:val="left"/>
      <w:pPr>
        <w:ind w:left="1555" w:hanging="360"/>
      </w:pPr>
      <w:rPr>
        <w:rFonts w:ascii="Courier New" w:hAnsi="Courier New" w:cs="Courier New" w:hint="default"/>
      </w:rPr>
    </w:lvl>
    <w:lvl w:ilvl="2" w:tentative="1">
      <w:start w:val="1"/>
      <w:numFmt w:val="bullet"/>
      <w:lvlText w:val=""/>
      <w:lvlJc w:val="left"/>
      <w:pPr>
        <w:ind w:left="2275" w:hanging="360"/>
      </w:pPr>
      <w:rPr>
        <w:rFonts w:ascii="Wingdings" w:hAnsi="Wingdings" w:hint="default"/>
      </w:rPr>
    </w:lvl>
    <w:lvl w:ilvl="3" w:tentative="1">
      <w:start w:val="1"/>
      <w:numFmt w:val="bullet"/>
      <w:lvlText w:val=""/>
      <w:lvlJc w:val="left"/>
      <w:pPr>
        <w:ind w:left="2995" w:hanging="360"/>
      </w:pPr>
      <w:rPr>
        <w:rFonts w:ascii="Symbol" w:hAnsi="Symbol" w:hint="default"/>
      </w:rPr>
    </w:lvl>
    <w:lvl w:ilvl="4" w:tentative="1">
      <w:start w:val="1"/>
      <w:numFmt w:val="bullet"/>
      <w:lvlText w:val="o"/>
      <w:lvlJc w:val="left"/>
      <w:pPr>
        <w:ind w:left="3715" w:hanging="360"/>
      </w:pPr>
      <w:rPr>
        <w:rFonts w:ascii="Courier New" w:hAnsi="Courier New" w:cs="Courier New" w:hint="default"/>
      </w:rPr>
    </w:lvl>
    <w:lvl w:ilvl="5" w:tentative="1">
      <w:start w:val="1"/>
      <w:numFmt w:val="bullet"/>
      <w:lvlText w:val=""/>
      <w:lvlJc w:val="left"/>
      <w:pPr>
        <w:ind w:left="4435" w:hanging="360"/>
      </w:pPr>
      <w:rPr>
        <w:rFonts w:ascii="Wingdings" w:hAnsi="Wingdings" w:hint="default"/>
      </w:rPr>
    </w:lvl>
    <w:lvl w:ilvl="6" w:tentative="1">
      <w:start w:val="1"/>
      <w:numFmt w:val="bullet"/>
      <w:lvlText w:val=""/>
      <w:lvlJc w:val="left"/>
      <w:pPr>
        <w:ind w:left="5155" w:hanging="360"/>
      </w:pPr>
      <w:rPr>
        <w:rFonts w:ascii="Symbol" w:hAnsi="Symbol" w:hint="default"/>
      </w:rPr>
    </w:lvl>
    <w:lvl w:ilvl="7" w:tentative="1">
      <w:start w:val="1"/>
      <w:numFmt w:val="bullet"/>
      <w:lvlText w:val="o"/>
      <w:lvlJc w:val="left"/>
      <w:pPr>
        <w:ind w:left="5875" w:hanging="360"/>
      </w:pPr>
      <w:rPr>
        <w:rFonts w:ascii="Courier New" w:hAnsi="Courier New" w:cs="Courier New" w:hint="default"/>
      </w:rPr>
    </w:lvl>
    <w:lvl w:ilvl="8" w:tentative="1">
      <w:start w:val="1"/>
      <w:numFmt w:val="bullet"/>
      <w:lvlText w:val=""/>
      <w:lvlJc w:val="left"/>
      <w:pPr>
        <w:ind w:left="6595" w:hanging="360"/>
      </w:pPr>
      <w:rPr>
        <w:rFonts w:ascii="Wingdings" w:hAnsi="Wingdings" w:hint="default"/>
      </w:rPr>
    </w:lvl>
  </w:abstractNum>
  <w:abstractNum w:abstractNumId="10">
    <w:nsid w:val="2BFE5A4D"/>
    <w:multiLevelType w:val="hybridMultilevel"/>
    <w:tmpl w:val="97180CD0"/>
    <w:lvl w:ilvl="0">
      <w:start w:val="1"/>
      <w:numFmt w:val="lowerRoman"/>
      <w:lvlText w:val="%1."/>
      <w:lvlJc w:val="left"/>
      <w:pPr>
        <w:ind w:left="607" w:hanging="488"/>
        <w:jc w:val="right"/>
      </w:pPr>
      <w:rPr>
        <w:rFonts w:ascii="Times New Roman" w:eastAsia="Times New Roman" w:hAnsi="Times New Roman" w:cs="Times New Roman" w:hint="default"/>
        <w:spacing w:val="-1"/>
        <w:w w:val="99"/>
        <w:sz w:val="24"/>
        <w:szCs w:val="24"/>
      </w:rPr>
    </w:lvl>
    <w:lvl w:ilvl="1">
      <w:start w:val="0"/>
      <w:numFmt w:val="bullet"/>
      <w:lvlText w:val="•"/>
      <w:lvlJc w:val="left"/>
      <w:pPr>
        <w:ind w:left="1465" w:hanging="488"/>
      </w:pPr>
      <w:rPr>
        <w:rFonts w:hint="default"/>
      </w:rPr>
    </w:lvl>
    <w:lvl w:ilvl="2">
      <w:start w:val="0"/>
      <w:numFmt w:val="bullet"/>
      <w:lvlText w:val="•"/>
      <w:lvlJc w:val="left"/>
      <w:pPr>
        <w:ind w:left="2319" w:hanging="488"/>
      </w:pPr>
      <w:rPr>
        <w:rFonts w:hint="default"/>
      </w:rPr>
    </w:lvl>
    <w:lvl w:ilvl="3">
      <w:start w:val="0"/>
      <w:numFmt w:val="bullet"/>
      <w:lvlText w:val="•"/>
      <w:lvlJc w:val="left"/>
      <w:pPr>
        <w:ind w:left="3173" w:hanging="488"/>
      </w:pPr>
      <w:rPr>
        <w:rFonts w:hint="default"/>
      </w:rPr>
    </w:lvl>
    <w:lvl w:ilvl="4">
      <w:start w:val="0"/>
      <w:numFmt w:val="bullet"/>
      <w:lvlText w:val="•"/>
      <w:lvlJc w:val="left"/>
      <w:pPr>
        <w:ind w:left="4027" w:hanging="488"/>
      </w:pPr>
      <w:rPr>
        <w:rFonts w:hint="default"/>
      </w:rPr>
    </w:lvl>
    <w:lvl w:ilvl="5">
      <w:start w:val="0"/>
      <w:numFmt w:val="bullet"/>
      <w:lvlText w:val="•"/>
      <w:lvlJc w:val="left"/>
      <w:pPr>
        <w:ind w:left="4881" w:hanging="488"/>
      </w:pPr>
      <w:rPr>
        <w:rFonts w:hint="default"/>
      </w:rPr>
    </w:lvl>
    <w:lvl w:ilvl="6">
      <w:start w:val="0"/>
      <w:numFmt w:val="bullet"/>
      <w:lvlText w:val="•"/>
      <w:lvlJc w:val="left"/>
      <w:pPr>
        <w:ind w:left="5735" w:hanging="488"/>
      </w:pPr>
      <w:rPr>
        <w:rFonts w:hint="default"/>
      </w:rPr>
    </w:lvl>
    <w:lvl w:ilvl="7">
      <w:start w:val="0"/>
      <w:numFmt w:val="bullet"/>
      <w:lvlText w:val="•"/>
      <w:lvlJc w:val="left"/>
      <w:pPr>
        <w:ind w:left="6589" w:hanging="488"/>
      </w:pPr>
      <w:rPr>
        <w:rFonts w:hint="default"/>
      </w:rPr>
    </w:lvl>
    <w:lvl w:ilvl="8">
      <w:start w:val="0"/>
      <w:numFmt w:val="bullet"/>
      <w:lvlText w:val="•"/>
      <w:lvlJc w:val="left"/>
      <w:pPr>
        <w:ind w:left="7443" w:hanging="488"/>
      </w:pPr>
      <w:rPr>
        <w:rFonts w:hint="default"/>
      </w:rPr>
    </w:lvl>
  </w:abstractNum>
  <w:abstractNum w:abstractNumId="11">
    <w:nsid w:val="2E4F4A82"/>
    <w:multiLevelType w:val="hybridMultilevel"/>
    <w:tmpl w:val="491E5406"/>
    <w:lvl w:ilvl="0">
      <w:start w:val="1"/>
      <w:numFmt w:val="decimal"/>
      <w:lvlText w:val="%1."/>
      <w:lvlJc w:val="left"/>
      <w:pPr>
        <w:ind w:left="835" w:hanging="360"/>
      </w:p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12">
    <w:nsid w:val="3F1A074C"/>
    <w:multiLevelType w:val="hybridMultilevel"/>
    <w:tmpl w:val="69344F0C"/>
    <w:lvl w:ilvl="0">
      <w:start w:val="0"/>
      <w:numFmt w:val="bullet"/>
      <w:lvlText w:val="-"/>
      <w:lvlJc w:val="left"/>
      <w:pPr>
        <w:ind w:left="648" w:hanging="360"/>
      </w:pPr>
      <w:rPr>
        <w:rFonts w:ascii="Times New Roman" w:eastAsia="Times New Roman" w:hAnsi="Times New Roman" w:cs="Times New Roman" w:hint="default"/>
      </w:rPr>
    </w:lvl>
    <w:lvl w:ilvl="1" w:tentative="1">
      <w:start w:val="1"/>
      <w:numFmt w:val="bullet"/>
      <w:lvlText w:val="o"/>
      <w:lvlJc w:val="left"/>
      <w:pPr>
        <w:ind w:left="1368" w:hanging="360"/>
      </w:pPr>
      <w:rPr>
        <w:rFonts w:ascii="Courier New" w:hAnsi="Courier New" w:cs="Courier New" w:hint="default"/>
      </w:rPr>
    </w:lvl>
    <w:lvl w:ilvl="2" w:tentative="1">
      <w:start w:val="1"/>
      <w:numFmt w:val="bullet"/>
      <w:lvlText w:val=""/>
      <w:lvlJc w:val="left"/>
      <w:pPr>
        <w:ind w:left="2088" w:hanging="360"/>
      </w:pPr>
      <w:rPr>
        <w:rFonts w:ascii="Wingdings" w:hAnsi="Wingdings" w:hint="default"/>
      </w:rPr>
    </w:lvl>
    <w:lvl w:ilvl="3" w:tentative="1">
      <w:start w:val="1"/>
      <w:numFmt w:val="bullet"/>
      <w:lvlText w:val=""/>
      <w:lvlJc w:val="left"/>
      <w:pPr>
        <w:ind w:left="2808" w:hanging="360"/>
      </w:pPr>
      <w:rPr>
        <w:rFonts w:ascii="Symbol" w:hAnsi="Symbol" w:hint="default"/>
      </w:rPr>
    </w:lvl>
    <w:lvl w:ilvl="4" w:tentative="1">
      <w:start w:val="1"/>
      <w:numFmt w:val="bullet"/>
      <w:lvlText w:val="o"/>
      <w:lvlJc w:val="left"/>
      <w:pPr>
        <w:ind w:left="3528" w:hanging="360"/>
      </w:pPr>
      <w:rPr>
        <w:rFonts w:ascii="Courier New" w:hAnsi="Courier New" w:cs="Courier New" w:hint="default"/>
      </w:rPr>
    </w:lvl>
    <w:lvl w:ilvl="5" w:tentative="1">
      <w:start w:val="1"/>
      <w:numFmt w:val="bullet"/>
      <w:lvlText w:val=""/>
      <w:lvlJc w:val="left"/>
      <w:pPr>
        <w:ind w:left="4248" w:hanging="360"/>
      </w:pPr>
      <w:rPr>
        <w:rFonts w:ascii="Wingdings" w:hAnsi="Wingdings" w:hint="default"/>
      </w:rPr>
    </w:lvl>
    <w:lvl w:ilvl="6" w:tentative="1">
      <w:start w:val="1"/>
      <w:numFmt w:val="bullet"/>
      <w:lvlText w:val=""/>
      <w:lvlJc w:val="left"/>
      <w:pPr>
        <w:ind w:left="4968" w:hanging="360"/>
      </w:pPr>
      <w:rPr>
        <w:rFonts w:ascii="Symbol" w:hAnsi="Symbol" w:hint="default"/>
      </w:rPr>
    </w:lvl>
    <w:lvl w:ilvl="7" w:tentative="1">
      <w:start w:val="1"/>
      <w:numFmt w:val="bullet"/>
      <w:lvlText w:val="o"/>
      <w:lvlJc w:val="left"/>
      <w:pPr>
        <w:ind w:left="5688" w:hanging="360"/>
      </w:pPr>
      <w:rPr>
        <w:rFonts w:ascii="Courier New" w:hAnsi="Courier New" w:cs="Courier New" w:hint="default"/>
      </w:rPr>
    </w:lvl>
    <w:lvl w:ilvl="8" w:tentative="1">
      <w:start w:val="1"/>
      <w:numFmt w:val="bullet"/>
      <w:lvlText w:val=""/>
      <w:lvlJc w:val="left"/>
      <w:pPr>
        <w:ind w:left="6408" w:hanging="360"/>
      </w:pPr>
      <w:rPr>
        <w:rFonts w:ascii="Wingdings" w:hAnsi="Wingdings" w:hint="default"/>
      </w:rPr>
    </w:lvl>
  </w:abstractNum>
  <w:abstractNum w:abstractNumId="13">
    <w:nsid w:val="417732C0"/>
    <w:multiLevelType w:val="hybridMultilevel"/>
    <w:tmpl w:val="497A25DA"/>
    <w:lvl w:ilvl="0">
      <w:start w:val="1"/>
      <w:numFmt w:val="bullet"/>
      <w:lvlText w:val=""/>
      <w:lvlJc w:val="left"/>
      <w:pPr>
        <w:ind w:left="384" w:hanging="360"/>
      </w:pPr>
      <w:rPr>
        <w:rFonts w:ascii="Symbol" w:hAnsi="Symbol" w:hint="default"/>
      </w:rPr>
    </w:lvl>
    <w:lvl w:ilvl="1" w:tentative="1">
      <w:start w:val="1"/>
      <w:numFmt w:val="bullet"/>
      <w:lvlText w:val="o"/>
      <w:lvlJc w:val="left"/>
      <w:pPr>
        <w:ind w:left="1104" w:hanging="360"/>
      </w:pPr>
      <w:rPr>
        <w:rFonts w:ascii="Courier New" w:hAnsi="Courier New" w:cs="Courier New" w:hint="default"/>
      </w:rPr>
    </w:lvl>
    <w:lvl w:ilvl="2" w:tentative="1">
      <w:start w:val="1"/>
      <w:numFmt w:val="bullet"/>
      <w:lvlText w:val=""/>
      <w:lvlJc w:val="left"/>
      <w:pPr>
        <w:ind w:left="1824" w:hanging="360"/>
      </w:pPr>
      <w:rPr>
        <w:rFonts w:ascii="Wingdings" w:hAnsi="Wingdings" w:hint="default"/>
      </w:rPr>
    </w:lvl>
    <w:lvl w:ilvl="3" w:tentative="1">
      <w:start w:val="1"/>
      <w:numFmt w:val="bullet"/>
      <w:lvlText w:val=""/>
      <w:lvlJc w:val="left"/>
      <w:pPr>
        <w:ind w:left="2544" w:hanging="360"/>
      </w:pPr>
      <w:rPr>
        <w:rFonts w:ascii="Symbol" w:hAnsi="Symbol" w:hint="default"/>
      </w:rPr>
    </w:lvl>
    <w:lvl w:ilvl="4" w:tentative="1">
      <w:start w:val="1"/>
      <w:numFmt w:val="bullet"/>
      <w:lvlText w:val="o"/>
      <w:lvlJc w:val="left"/>
      <w:pPr>
        <w:ind w:left="3264" w:hanging="360"/>
      </w:pPr>
      <w:rPr>
        <w:rFonts w:ascii="Courier New" w:hAnsi="Courier New" w:cs="Courier New" w:hint="default"/>
      </w:rPr>
    </w:lvl>
    <w:lvl w:ilvl="5" w:tentative="1">
      <w:start w:val="1"/>
      <w:numFmt w:val="bullet"/>
      <w:lvlText w:val=""/>
      <w:lvlJc w:val="left"/>
      <w:pPr>
        <w:ind w:left="3984" w:hanging="360"/>
      </w:pPr>
      <w:rPr>
        <w:rFonts w:ascii="Wingdings" w:hAnsi="Wingdings" w:hint="default"/>
      </w:rPr>
    </w:lvl>
    <w:lvl w:ilvl="6" w:tentative="1">
      <w:start w:val="1"/>
      <w:numFmt w:val="bullet"/>
      <w:lvlText w:val=""/>
      <w:lvlJc w:val="left"/>
      <w:pPr>
        <w:ind w:left="4704" w:hanging="360"/>
      </w:pPr>
      <w:rPr>
        <w:rFonts w:ascii="Symbol" w:hAnsi="Symbol" w:hint="default"/>
      </w:rPr>
    </w:lvl>
    <w:lvl w:ilvl="7" w:tentative="1">
      <w:start w:val="1"/>
      <w:numFmt w:val="bullet"/>
      <w:lvlText w:val="o"/>
      <w:lvlJc w:val="left"/>
      <w:pPr>
        <w:ind w:left="5424" w:hanging="360"/>
      </w:pPr>
      <w:rPr>
        <w:rFonts w:ascii="Courier New" w:hAnsi="Courier New" w:cs="Courier New" w:hint="default"/>
      </w:rPr>
    </w:lvl>
    <w:lvl w:ilvl="8" w:tentative="1">
      <w:start w:val="1"/>
      <w:numFmt w:val="bullet"/>
      <w:lvlText w:val=""/>
      <w:lvlJc w:val="left"/>
      <w:pPr>
        <w:ind w:left="6144" w:hanging="360"/>
      </w:pPr>
      <w:rPr>
        <w:rFonts w:ascii="Wingdings" w:hAnsi="Wingdings" w:hint="default"/>
      </w:rPr>
    </w:lvl>
  </w:abstractNum>
  <w:abstractNum w:abstractNumId="14">
    <w:nsid w:val="4637763D"/>
    <w:multiLevelType w:val="hybridMultilevel"/>
    <w:tmpl w:val="AB12450A"/>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15">
    <w:nsid w:val="46394162"/>
    <w:multiLevelType w:val="hybridMultilevel"/>
    <w:tmpl w:val="FDD6B2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90473AF"/>
    <w:multiLevelType w:val="hybridMultilevel"/>
    <w:tmpl w:val="6BCA8290"/>
    <w:lvl w:ilvl="0">
      <w:start w:val="1"/>
      <w:numFmt w:val="upperLetter"/>
      <w:lvlText w:val="%1."/>
      <w:lvlJc w:val="left"/>
      <w:pPr>
        <w:ind w:left="835" w:hanging="360"/>
      </w:p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17">
    <w:nsid w:val="528630BD"/>
    <w:multiLevelType w:val="hybridMultilevel"/>
    <w:tmpl w:val="C32284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555D24AB"/>
    <w:multiLevelType w:val="hybridMultilevel"/>
    <w:tmpl w:val="2D4E7A90"/>
    <w:lvl w:ilvl="0">
      <w:start w:val="1"/>
      <w:numFmt w:val="upperLetter"/>
      <w:lvlText w:val="%1."/>
      <w:lvlJc w:val="left"/>
      <w:pPr>
        <w:ind w:left="451" w:hanging="361"/>
      </w:pPr>
      <w:rPr>
        <w:rFonts w:hint="default"/>
        <w:b/>
        <w:bCs/>
        <w:w w:val="99"/>
      </w:rPr>
    </w:lvl>
    <w:lvl w:ilvl="1">
      <w:start w:val="1"/>
      <w:numFmt w:val="decimal"/>
      <w:lvlText w:val="%2."/>
      <w:lvlJc w:val="left"/>
      <w:pPr>
        <w:ind w:left="480" w:hanging="360"/>
      </w:pPr>
      <w:rPr>
        <w:rFonts w:ascii="Times New Roman" w:eastAsia="Times New Roman" w:hAnsi="Times New Roman" w:cs="Times New Roman" w:hint="default"/>
        <w:b/>
        <w:bCs/>
        <w:spacing w:val="-1"/>
        <w:w w:val="99"/>
        <w:sz w:val="24"/>
        <w:szCs w:val="24"/>
      </w:rPr>
    </w:lvl>
    <w:lvl w:ilvl="2">
      <w:start w:val="0"/>
      <w:numFmt w:val="bullet"/>
      <w:lvlText w:val=""/>
      <w:lvlJc w:val="left"/>
      <w:pPr>
        <w:ind w:left="840" w:hanging="360"/>
      </w:pPr>
      <w:rPr>
        <w:rFonts w:ascii="Symbol" w:eastAsia="Symbol" w:hAnsi="Symbol" w:cs="Symbol" w:hint="default"/>
        <w:w w:val="100"/>
        <w:sz w:val="24"/>
        <w:szCs w:val="24"/>
      </w:rPr>
    </w:lvl>
    <w:lvl w:ilvl="3">
      <w:start w:val="0"/>
      <w:numFmt w:val="bullet"/>
      <w:lvlText w:val="•"/>
      <w:lvlJc w:val="left"/>
      <w:pPr>
        <w:ind w:left="2786" w:hanging="360"/>
      </w:pPr>
      <w:rPr>
        <w:rFonts w:hint="default"/>
      </w:rPr>
    </w:lvl>
    <w:lvl w:ilvl="4">
      <w:start w:val="0"/>
      <w:numFmt w:val="bullet"/>
      <w:lvlText w:val="•"/>
      <w:lvlJc w:val="left"/>
      <w:pPr>
        <w:ind w:left="3760" w:hanging="360"/>
      </w:pPr>
      <w:rPr>
        <w:rFonts w:hint="default"/>
      </w:rPr>
    </w:lvl>
    <w:lvl w:ilvl="5">
      <w:start w:val="0"/>
      <w:numFmt w:val="bullet"/>
      <w:lvlText w:val="•"/>
      <w:lvlJc w:val="left"/>
      <w:pPr>
        <w:ind w:left="4733" w:hanging="360"/>
      </w:pPr>
      <w:rPr>
        <w:rFonts w:hint="default"/>
      </w:rPr>
    </w:lvl>
    <w:lvl w:ilvl="6">
      <w:start w:val="0"/>
      <w:numFmt w:val="bullet"/>
      <w:lvlText w:val="•"/>
      <w:lvlJc w:val="left"/>
      <w:pPr>
        <w:ind w:left="5706" w:hanging="360"/>
      </w:pPr>
      <w:rPr>
        <w:rFonts w:hint="default"/>
      </w:rPr>
    </w:lvl>
    <w:lvl w:ilvl="7">
      <w:start w:val="0"/>
      <w:numFmt w:val="bullet"/>
      <w:lvlText w:val="•"/>
      <w:lvlJc w:val="left"/>
      <w:pPr>
        <w:ind w:left="6680" w:hanging="360"/>
      </w:pPr>
      <w:rPr>
        <w:rFonts w:hint="default"/>
      </w:rPr>
    </w:lvl>
    <w:lvl w:ilvl="8">
      <w:start w:val="0"/>
      <w:numFmt w:val="bullet"/>
      <w:lvlText w:val="•"/>
      <w:lvlJc w:val="left"/>
      <w:pPr>
        <w:ind w:left="7653" w:hanging="360"/>
      </w:pPr>
      <w:rPr>
        <w:rFonts w:hint="default"/>
      </w:rPr>
    </w:lvl>
  </w:abstractNum>
  <w:abstractNum w:abstractNumId="19">
    <w:nsid w:val="5708262E"/>
    <w:multiLevelType w:val="hybridMultilevel"/>
    <w:tmpl w:val="68086BC2"/>
    <w:lvl w:ilvl="0">
      <w:start w:val="0"/>
      <w:numFmt w:val="bullet"/>
      <w:lvlText w:val=""/>
      <w:lvlJc w:val="left"/>
      <w:pPr>
        <w:ind w:left="773" w:hanging="360"/>
      </w:pPr>
      <w:rPr>
        <w:rFonts w:ascii="Symbol" w:eastAsia="Symbol" w:hAnsi="Symbol" w:cs="Symbol" w:hint="default"/>
        <w:w w:val="100"/>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9555E31"/>
    <w:multiLevelType w:val="hybridMultilevel"/>
    <w:tmpl w:val="8A5A0230"/>
    <w:lvl w:ilvl="0">
      <w:start w:val="0"/>
      <w:numFmt w:val="bullet"/>
      <w:lvlText w:val=""/>
      <w:lvlJc w:val="left"/>
      <w:pPr>
        <w:ind w:left="773" w:hanging="360"/>
      </w:pPr>
      <w:rPr>
        <w:rFonts w:ascii="Symbol" w:eastAsia="Symbol" w:hAnsi="Symbol" w:cs="Symbol" w:hint="default"/>
        <w:w w:val="100"/>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0E017D"/>
    <w:multiLevelType w:val="hybridMultilevel"/>
    <w:tmpl w:val="D21C3B00"/>
    <w:lvl w:ilvl="0">
      <w:start w:val="0"/>
      <w:numFmt w:val="bullet"/>
      <w:pStyle w:val="Link"/>
      <w:lvlText w:val=""/>
      <w:lvlJc w:val="left"/>
      <w:pPr>
        <w:ind w:left="892" w:hanging="360"/>
      </w:pPr>
      <w:rPr>
        <w:rFonts w:ascii="Symbol" w:eastAsia="Symbol" w:hAnsi="Symbol" w:cs="Symbol" w:hint="default"/>
        <w:w w:val="100"/>
        <w:sz w:val="24"/>
        <w:szCs w:val="24"/>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22">
    <w:nsid w:val="61234256"/>
    <w:multiLevelType w:val="hybridMultilevel"/>
    <w:tmpl w:val="4094F54C"/>
    <w:lvl w:ilvl="0">
      <w:start w:val="0"/>
      <w:numFmt w:val="bullet"/>
      <w:lvlText w:val=""/>
      <w:lvlJc w:val="left"/>
      <w:pPr>
        <w:ind w:left="384" w:hanging="360"/>
      </w:pPr>
      <w:rPr>
        <w:rFonts w:ascii="Symbol" w:eastAsia="Symbol" w:hAnsi="Symbol" w:cs="Symbol" w:hint="default"/>
        <w:w w:val="100"/>
        <w:sz w:val="24"/>
        <w:szCs w:val="24"/>
      </w:rPr>
    </w:lvl>
    <w:lvl w:ilvl="1">
      <w:start w:val="0"/>
      <w:numFmt w:val="bullet"/>
      <w:lvlText w:val="o"/>
      <w:lvlJc w:val="left"/>
      <w:pPr>
        <w:ind w:left="1464" w:hanging="360"/>
      </w:pPr>
      <w:rPr>
        <w:rFonts w:ascii="Courier New" w:eastAsia="Courier New" w:hAnsi="Courier New" w:cs="Courier New" w:hint="default"/>
        <w:w w:val="99"/>
        <w:sz w:val="24"/>
        <w:szCs w:val="24"/>
      </w:rPr>
    </w:lvl>
    <w:lvl w:ilvl="2">
      <w:start w:val="0"/>
      <w:numFmt w:val="bullet"/>
      <w:lvlText w:val="•"/>
      <w:lvlJc w:val="left"/>
      <w:pPr>
        <w:ind w:left="1464" w:hanging="360"/>
      </w:pPr>
      <w:rPr>
        <w:rFonts w:hint="default"/>
      </w:rPr>
    </w:lvl>
    <w:lvl w:ilvl="3">
      <w:start w:val="0"/>
      <w:numFmt w:val="bullet"/>
      <w:lvlText w:val="•"/>
      <w:lvlJc w:val="left"/>
      <w:pPr>
        <w:ind w:left="2466" w:hanging="360"/>
      </w:pPr>
      <w:rPr>
        <w:rFonts w:hint="default"/>
      </w:rPr>
    </w:lvl>
    <w:lvl w:ilvl="4">
      <w:start w:val="0"/>
      <w:numFmt w:val="bullet"/>
      <w:lvlText w:val="•"/>
      <w:lvlJc w:val="left"/>
      <w:pPr>
        <w:ind w:left="3469" w:hanging="360"/>
      </w:pPr>
      <w:rPr>
        <w:rFonts w:hint="default"/>
      </w:rPr>
    </w:lvl>
    <w:lvl w:ilvl="5">
      <w:start w:val="0"/>
      <w:numFmt w:val="bullet"/>
      <w:lvlText w:val="•"/>
      <w:lvlJc w:val="left"/>
      <w:pPr>
        <w:ind w:left="4471" w:hanging="360"/>
      </w:pPr>
      <w:rPr>
        <w:rFonts w:hint="default"/>
      </w:rPr>
    </w:lvl>
    <w:lvl w:ilvl="6">
      <w:start w:val="0"/>
      <w:numFmt w:val="bullet"/>
      <w:lvlText w:val="•"/>
      <w:lvlJc w:val="left"/>
      <w:pPr>
        <w:ind w:left="5474" w:hanging="360"/>
      </w:pPr>
      <w:rPr>
        <w:rFonts w:hint="default"/>
      </w:rPr>
    </w:lvl>
    <w:lvl w:ilvl="7">
      <w:start w:val="0"/>
      <w:numFmt w:val="bullet"/>
      <w:lvlText w:val="•"/>
      <w:lvlJc w:val="left"/>
      <w:pPr>
        <w:ind w:left="6476" w:hanging="360"/>
      </w:pPr>
      <w:rPr>
        <w:rFonts w:hint="default"/>
      </w:rPr>
    </w:lvl>
    <w:lvl w:ilvl="8">
      <w:start w:val="0"/>
      <w:numFmt w:val="bullet"/>
      <w:lvlText w:val="•"/>
      <w:lvlJc w:val="left"/>
      <w:pPr>
        <w:ind w:left="7479" w:hanging="360"/>
      </w:pPr>
      <w:rPr>
        <w:rFonts w:hint="default"/>
      </w:rPr>
    </w:lvl>
  </w:abstractNum>
  <w:abstractNum w:abstractNumId="23">
    <w:nsid w:val="615C5770"/>
    <w:multiLevelType w:val="hybridMultilevel"/>
    <w:tmpl w:val="117E58E6"/>
    <w:lvl w:ilvl="0">
      <w:start w:val="1"/>
      <w:numFmt w:val="decimal"/>
      <w:pStyle w:val="Heading2"/>
      <w:lvlText w:val="%1."/>
      <w:lvlJc w:val="left"/>
      <w:pPr>
        <w:ind w:left="360" w:hanging="360"/>
      </w:pPr>
      <w:rPr>
        <w:rFonts w:hint="default"/>
        <w:i w:val="0"/>
        <w:iCs w:val="0"/>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24">
    <w:nsid w:val="64571F17"/>
    <w:multiLevelType w:val="hybridMultilevel"/>
    <w:tmpl w:val="6498B3F4"/>
    <w:lvl w:ilvl="0">
      <w:start w:val="0"/>
      <w:numFmt w:val="bullet"/>
      <w:lvlText w:val="-"/>
      <w:lvlJc w:val="left"/>
      <w:pPr>
        <w:ind w:left="648" w:hanging="360"/>
      </w:pPr>
      <w:rPr>
        <w:rFonts w:ascii="Times New Roman" w:eastAsia="Times New Roman" w:hAnsi="Times New Roman" w:cs="Times New Roman" w:hint="default"/>
      </w:rPr>
    </w:lvl>
    <w:lvl w:ilvl="1" w:tentative="1">
      <w:start w:val="1"/>
      <w:numFmt w:val="bullet"/>
      <w:lvlText w:val="o"/>
      <w:lvlJc w:val="left"/>
      <w:pPr>
        <w:ind w:left="1368" w:hanging="360"/>
      </w:pPr>
      <w:rPr>
        <w:rFonts w:ascii="Courier New" w:hAnsi="Courier New" w:cs="Courier New" w:hint="default"/>
      </w:rPr>
    </w:lvl>
    <w:lvl w:ilvl="2" w:tentative="1">
      <w:start w:val="1"/>
      <w:numFmt w:val="bullet"/>
      <w:lvlText w:val=""/>
      <w:lvlJc w:val="left"/>
      <w:pPr>
        <w:ind w:left="2088" w:hanging="360"/>
      </w:pPr>
      <w:rPr>
        <w:rFonts w:ascii="Wingdings" w:hAnsi="Wingdings" w:hint="default"/>
      </w:rPr>
    </w:lvl>
    <w:lvl w:ilvl="3" w:tentative="1">
      <w:start w:val="1"/>
      <w:numFmt w:val="bullet"/>
      <w:lvlText w:val=""/>
      <w:lvlJc w:val="left"/>
      <w:pPr>
        <w:ind w:left="2808" w:hanging="360"/>
      </w:pPr>
      <w:rPr>
        <w:rFonts w:ascii="Symbol" w:hAnsi="Symbol" w:hint="default"/>
      </w:rPr>
    </w:lvl>
    <w:lvl w:ilvl="4" w:tentative="1">
      <w:start w:val="1"/>
      <w:numFmt w:val="bullet"/>
      <w:lvlText w:val="o"/>
      <w:lvlJc w:val="left"/>
      <w:pPr>
        <w:ind w:left="3528" w:hanging="360"/>
      </w:pPr>
      <w:rPr>
        <w:rFonts w:ascii="Courier New" w:hAnsi="Courier New" w:cs="Courier New" w:hint="default"/>
      </w:rPr>
    </w:lvl>
    <w:lvl w:ilvl="5" w:tentative="1">
      <w:start w:val="1"/>
      <w:numFmt w:val="bullet"/>
      <w:lvlText w:val=""/>
      <w:lvlJc w:val="left"/>
      <w:pPr>
        <w:ind w:left="4248" w:hanging="360"/>
      </w:pPr>
      <w:rPr>
        <w:rFonts w:ascii="Wingdings" w:hAnsi="Wingdings" w:hint="default"/>
      </w:rPr>
    </w:lvl>
    <w:lvl w:ilvl="6" w:tentative="1">
      <w:start w:val="1"/>
      <w:numFmt w:val="bullet"/>
      <w:lvlText w:val=""/>
      <w:lvlJc w:val="left"/>
      <w:pPr>
        <w:ind w:left="4968" w:hanging="360"/>
      </w:pPr>
      <w:rPr>
        <w:rFonts w:ascii="Symbol" w:hAnsi="Symbol" w:hint="default"/>
      </w:rPr>
    </w:lvl>
    <w:lvl w:ilvl="7" w:tentative="1">
      <w:start w:val="1"/>
      <w:numFmt w:val="bullet"/>
      <w:lvlText w:val="o"/>
      <w:lvlJc w:val="left"/>
      <w:pPr>
        <w:ind w:left="5688" w:hanging="360"/>
      </w:pPr>
      <w:rPr>
        <w:rFonts w:ascii="Courier New" w:hAnsi="Courier New" w:cs="Courier New" w:hint="default"/>
      </w:rPr>
    </w:lvl>
    <w:lvl w:ilvl="8" w:tentative="1">
      <w:start w:val="1"/>
      <w:numFmt w:val="bullet"/>
      <w:lvlText w:val=""/>
      <w:lvlJc w:val="left"/>
      <w:pPr>
        <w:ind w:left="6408" w:hanging="360"/>
      </w:pPr>
      <w:rPr>
        <w:rFonts w:ascii="Wingdings" w:hAnsi="Wingdings" w:hint="default"/>
      </w:rPr>
    </w:lvl>
  </w:abstractNum>
  <w:abstractNum w:abstractNumId="25">
    <w:nsid w:val="68AC66AD"/>
    <w:multiLevelType w:val="hybridMultilevel"/>
    <w:tmpl w:val="744E49F6"/>
    <w:lvl w:ilvl="0">
      <w:start w:val="0"/>
      <w:numFmt w:val="bullet"/>
      <w:lvlText w:val=""/>
      <w:lvlJc w:val="left"/>
      <w:pPr>
        <w:ind w:left="840" w:hanging="360"/>
      </w:pPr>
      <w:rPr>
        <w:rFonts w:ascii="Symbol" w:eastAsia="Symbol" w:hAnsi="Symbol" w:cs="Symbol" w:hint="default"/>
        <w:w w:val="100"/>
        <w:sz w:val="24"/>
        <w:szCs w:val="24"/>
      </w:rPr>
    </w:lvl>
    <w:lvl w:ilvl="1">
      <w:start w:val="0"/>
      <w:numFmt w:val="bullet"/>
      <w:lvlText w:val="•"/>
      <w:lvlJc w:val="left"/>
      <w:pPr>
        <w:ind w:left="1716" w:hanging="360"/>
      </w:pPr>
      <w:rPr>
        <w:rFonts w:hint="default"/>
      </w:rPr>
    </w:lvl>
    <w:lvl w:ilvl="2">
      <w:start w:val="0"/>
      <w:numFmt w:val="bullet"/>
      <w:lvlText w:val="•"/>
      <w:lvlJc w:val="left"/>
      <w:pPr>
        <w:ind w:left="2592" w:hanging="360"/>
      </w:pPr>
      <w:rPr>
        <w:rFonts w:hint="default"/>
      </w:rPr>
    </w:lvl>
    <w:lvl w:ilvl="3">
      <w:start w:val="0"/>
      <w:numFmt w:val="bullet"/>
      <w:lvlText w:val="•"/>
      <w:lvlJc w:val="left"/>
      <w:pPr>
        <w:ind w:left="3468" w:hanging="360"/>
      </w:pPr>
      <w:rPr>
        <w:rFonts w:hint="default"/>
      </w:rPr>
    </w:lvl>
    <w:lvl w:ilvl="4">
      <w:start w:val="0"/>
      <w:numFmt w:val="bullet"/>
      <w:lvlText w:val="•"/>
      <w:lvlJc w:val="left"/>
      <w:pPr>
        <w:ind w:left="4344" w:hanging="360"/>
      </w:pPr>
      <w:rPr>
        <w:rFonts w:hint="default"/>
      </w:rPr>
    </w:lvl>
    <w:lvl w:ilvl="5">
      <w:start w:val="0"/>
      <w:numFmt w:val="bullet"/>
      <w:lvlText w:val="•"/>
      <w:lvlJc w:val="left"/>
      <w:pPr>
        <w:ind w:left="5220" w:hanging="360"/>
      </w:pPr>
      <w:rPr>
        <w:rFonts w:hint="default"/>
      </w:rPr>
    </w:lvl>
    <w:lvl w:ilvl="6">
      <w:start w:val="0"/>
      <w:numFmt w:val="bullet"/>
      <w:lvlText w:val="•"/>
      <w:lvlJc w:val="left"/>
      <w:pPr>
        <w:ind w:left="6096" w:hanging="360"/>
      </w:pPr>
      <w:rPr>
        <w:rFonts w:hint="default"/>
      </w:rPr>
    </w:lvl>
    <w:lvl w:ilvl="7">
      <w:start w:val="0"/>
      <w:numFmt w:val="bullet"/>
      <w:lvlText w:val="•"/>
      <w:lvlJc w:val="left"/>
      <w:pPr>
        <w:ind w:left="6972" w:hanging="360"/>
      </w:pPr>
      <w:rPr>
        <w:rFonts w:hint="default"/>
      </w:rPr>
    </w:lvl>
    <w:lvl w:ilvl="8">
      <w:start w:val="0"/>
      <w:numFmt w:val="bullet"/>
      <w:lvlText w:val="•"/>
      <w:lvlJc w:val="left"/>
      <w:pPr>
        <w:ind w:left="7848" w:hanging="360"/>
      </w:pPr>
      <w:rPr>
        <w:rFonts w:hint="default"/>
      </w:rPr>
    </w:lvl>
  </w:abstractNum>
  <w:abstractNum w:abstractNumId="26">
    <w:nsid w:val="713E26CD"/>
    <w:multiLevelType w:val="hybridMultilevel"/>
    <w:tmpl w:val="97180CD0"/>
    <w:lvl w:ilvl="0">
      <w:start w:val="1"/>
      <w:numFmt w:val="lowerRoman"/>
      <w:lvlText w:val="%1."/>
      <w:lvlJc w:val="left"/>
      <w:pPr>
        <w:ind w:left="1056" w:hanging="488"/>
        <w:jc w:val="right"/>
      </w:pPr>
      <w:rPr>
        <w:rFonts w:ascii="Times New Roman" w:eastAsia="Times New Roman" w:hAnsi="Times New Roman" w:cs="Times New Roman" w:hint="default"/>
        <w:spacing w:val="-1"/>
        <w:w w:val="99"/>
        <w:sz w:val="24"/>
        <w:szCs w:val="24"/>
      </w:rPr>
    </w:lvl>
    <w:lvl w:ilvl="1">
      <w:start w:val="0"/>
      <w:numFmt w:val="bullet"/>
      <w:lvlText w:val="•"/>
      <w:lvlJc w:val="left"/>
      <w:pPr>
        <w:ind w:left="1914" w:hanging="488"/>
      </w:pPr>
      <w:rPr>
        <w:rFonts w:hint="default"/>
      </w:rPr>
    </w:lvl>
    <w:lvl w:ilvl="2">
      <w:start w:val="0"/>
      <w:numFmt w:val="bullet"/>
      <w:lvlText w:val="•"/>
      <w:lvlJc w:val="left"/>
      <w:pPr>
        <w:ind w:left="2768" w:hanging="488"/>
      </w:pPr>
      <w:rPr>
        <w:rFonts w:hint="default"/>
      </w:rPr>
    </w:lvl>
    <w:lvl w:ilvl="3">
      <w:start w:val="0"/>
      <w:numFmt w:val="bullet"/>
      <w:lvlText w:val="•"/>
      <w:lvlJc w:val="left"/>
      <w:pPr>
        <w:ind w:left="3622" w:hanging="488"/>
      </w:pPr>
      <w:rPr>
        <w:rFonts w:hint="default"/>
      </w:rPr>
    </w:lvl>
    <w:lvl w:ilvl="4">
      <w:start w:val="0"/>
      <w:numFmt w:val="bullet"/>
      <w:lvlText w:val="•"/>
      <w:lvlJc w:val="left"/>
      <w:pPr>
        <w:ind w:left="4476" w:hanging="488"/>
      </w:pPr>
      <w:rPr>
        <w:rFonts w:hint="default"/>
      </w:rPr>
    </w:lvl>
    <w:lvl w:ilvl="5">
      <w:start w:val="0"/>
      <w:numFmt w:val="bullet"/>
      <w:lvlText w:val="•"/>
      <w:lvlJc w:val="left"/>
      <w:pPr>
        <w:ind w:left="5330" w:hanging="488"/>
      </w:pPr>
      <w:rPr>
        <w:rFonts w:hint="default"/>
      </w:rPr>
    </w:lvl>
    <w:lvl w:ilvl="6">
      <w:start w:val="0"/>
      <w:numFmt w:val="bullet"/>
      <w:lvlText w:val="•"/>
      <w:lvlJc w:val="left"/>
      <w:pPr>
        <w:ind w:left="6184" w:hanging="488"/>
      </w:pPr>
      <w:rPr>
        <w:rFonts w:hint="default"/>
      </w:rPr>
    </w:lvl>
    <w:lvl w:ilvl="7">
      <w:start w:val="0"/>
      <w:numFmt w:val="bullet"/>
      <w:lvlText w:val="•"/>
      <w:lvlJc w:val="left"/>
      <w:pPr>
        <w:ind w:left="7038" w:hanging="488"/>
      </w:pPr>
      <w:rPr>
        <w:rFonts w:hint="default"/>
      </w:rPr>
    </w:lvl>
    <w:lvl w:ilvl="8">
      <w:start w:val="0"/>
      <w:numFmt w:val="bullet"/>
      <w:lvlText w:val="•"/>
      <w:lvlJc w:val="left"/>
      <w:pPr>
        <w:ind w:left="7892" w:hanging="488"/>
      </w:pPr>
      <w:rPr>
        <w:rFonts w:hint="default"/>
      </w:rPr>
    </w:lvl>
  </w:abstractNum>
  <w:abstractNum w:abstractNumId="27">
    <w:nsid w:val="73C64344"/>
    <w:multiLevelType w:val="hybridMultilevel"/>
    <w:tmpl w:val="915E445E"/>
    <w:lvl w:ilvl="0">
      <w:start w:val="1"/>
      <w:numFmt w:val="lowerRoman"/>
      <w:lvlText w:val="%1."/>
      <w:lvlJc w:val="left"/>
      <w:pPr>
        <w:ind w:left="1056" w:hanging="488"/>
        <w:jc w:val="right"/>
      </w:pPr>
      <w:rPr>
        <w:rFonts w:ascii="Times New Roman" w:eastAsia="Times New Roman" w:hAnsi="Times New Roman" w:cs="Times New Roman" w:hint="default"/>
        <w:spacing w:val="-3"/>
        <w:w w:val="99"/>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F5F443A"/>
    <w:multiLevelType w:val="hybridMultilevel"/>
    <w:tmpl w:val="65AE47EA"/>
    <w:lvl w:ilvl="0">
      <w:start w:val="1"/>
      <w:numFmt w:val="bullet"/>
      <w:lvlText w:val=""/>
      <w:lvlJc w:val="left"/>
      <w:pPr>
        <w:ind w:left="839" w:hanging="360"/>
      </w:pPr>
      <w:rPr>
        <w:rFonts w:ascii="Symbol" w:hAnsi="Symbol" w:hint="default"/>
      </w:rPr>
    </w:lvl>
    <w:lvl w:ilvl="1">
      <w:start w:val="1"/>
      <w:numFmt w:val="bullet"/>
      <w:lvlText w:val="o"/>
      <w:lvlJc w:val="left"/>
      <w:pPr>
        <w:ind w:left="1559" w:hanging="360"/>
      </w:pPr>
      <w:rPr>
        <w:rFonts w:ascii="Courier New" w:hAnsi="Courier New" w:cs="Courier New" w:hint="default"/>
      </w:rPr>
    </w:lvl>
    <w:lvl w:ilvl="2">
      <w:start w:val="1"/>
      <w:numFmt w:val="bullet"/>
      <w:lvlText w:val=""/>
      <w:lvlJc w:val="left"/>
      <w:pPr>
        <w:ind w:left="2279" w:hanging="360"/>
      </w:pPr>
      <w:rPr>
        <w:rFonts w:ascii="Wingdings" w:hAnsi="Wingdings" w:hint="default"/>
      </w:rPr>
    </w:lvl>
    <w:lvl w:ilvl="3">
      <w:start w:val="1"/>
      <w:numFmt w:val="bullet"/>
      <w:lvlText w:val=""/>
      <w:lvlJc w:val="left"/>
      <w:pPr>
        <w:ind w:left="2999" w:hanging="360"/>
      </w:pPr>
      <w:rPr>
        <w:rFonts w:ascii="Symbol" w:hAnsi="Symbol" w:hint="default"/>
      </w:rPr>
    </w:lvl>
    <w:lvl w:ilvl="4">
      <w:start w:val="1"/>
      <w:numFmt w:val="bullet"/>
      <w:lvlText w:val="o"/>
      <w:lvlJc w:val="left"/>
      <w:pPr>
        <w:ind w:left="3719" w:hanging="360"/>
      </w:pPr>
      <w:rPr>
        <w:rFonts w:ascii="Courier New" w:hAnsi="Courier New" w:cs="Courier New" w:hint="default"/>
      </w:rPr>
    </w:lvl>
    <w:lvl w:ilvl="5">
      <w:start w:val="1"/>
      <w:numFmt w:val="bullet"/>
      <w:lvlText w:val=""/>
      <w:lvlJc w:val="left"/>
      <w:pPr>
        <w:ind w:left="4439" w:hanging="360"/>
      </w:pPr>
      <w:rPr>
        <w:rFonts w:ascii="Wingdings" w:hAnsi="Wingdings" w:hint="default"/>
      </w:rPr>
    </w:lvl>
    <w:lvl w:ilvl="6">
      <w:start w:val="1"/>
      <w:numFmt w:val="bullet"/>
      <w:lvlText w:val=""/>
      <w:lvlJc w:val="left"/>
      <w:pPr>
        <w:ind w:left="5159" w:hanging="360"/>
      </w:pPr>
      <w:rPr>
        <w:rFonts w:ascii="Symbol" w:hAnsi="Symbol" w:hint="default"/>
      </w:rPr>
    </w:lvl>
    <w:lvl w:ilvl="7">
      <w:start w:val="1"/>
      <w:numFmt w:val="bullet"/>
      <w:lvlText w:val="o"/>
      <w:lvlJc w:val="left"/>
      <w:pPr>
        <w:ind w:left="5879" w:hanging="360"/>
      </w:pPr>
      <w:rPr>
        <w:rFonts w:ascii="Courier New" w:hAnsi="Courier New" w:cs="Courier New" w:hint="default"/>
      </w:rPr>
    </w:lvl>
    <w:lvl w:ilvl="8">
      <w:start w:val="1"/>
      <w:numFmt w:val="bullet"/>
      <w:lvlText w:val=""/>
      <w:lvlJc w:val="left"/>
      <w:pPr>
        <w:ind w:left="6599" w:hanging="360"/>
      </w:pPr>
      <w:rPr>
        <w:rFonts w:ascii="Wingdings" w:hAnsi="Wingdings" w:hint="default"/>
      </w:rPr>
    </w:lvl>
  </w:abstractNum>
  <w:num w:numId="1" w16cid:durableId="1883249779">
    <w:abstractNumId w:val="2"/>
  </w:num>
  <w:num w:numId="2" w16cid:durableId="1507092879">
    <w:abstractNumId w:val="26"/>
  </w:num>
  <w:num w:numId="3" w16cid:durableId="1581602731">
    <w:abstractNumId w:val="3"/>
  </w:num>
  <w:num w:numId="4" w16cid:durableId="1140919691">
    <w:abstractNumId w:val="1"/>
  </w:num>
  <w:num w:numId="5" w16cid:durableId="278033860">
    <w:abstractNumId w:val="25"/>
  </w:num>
  <w:num w:numId="6" w16cid:durableId="2019966971">
    <w:abstractNumId w:val="6"/>
  </w:num>
  <w:num w:numId="7" w16cid:durableId="1078093976">
    <w:abstractNumId w:val="22"/>
  </w:num>
  <w:num w:numId="8" w16cid:durableId="1877161060">
    <w:abstractNumId w:val="18"/>
  </w:num>
  <w:num w:numId="9" w16cid:durableId="1279295224">
    <w:abstractNumId w:val="27"/>
  </w:num>
  <w:num w:numId="10" w16cid:durableId="1679506193">
    <w:abstractNumId w:val="7"/>
  </w:num>
  <w:num w:numId="11" w16cid:durableId="1385524455">
    <w:abstractNumId w:val="0"/>
  </w:num>
  <w:num w:numId="12" w16cid:durableId="127862939">
    <w:abstractNumId w:val="10"/>
  </w:num>
  <w:num w:numId="13" w16cid:durableId="498237040">
    <w:abstractNumId w:val="17"/>
  </w:num>
  <w:num w:numId="14" w16cid:durableId="306712628">
    <w:abstractNumId w:val="12"/>
  </w:num>
  <w:num w:numId="15" w16cid:durableId="645940981">
    <w:abstractNumId w:val="24"/>
  </w:num>
  <w:num w:numId="16" w16cid:durableId="158621263">
    <w:abstractNumId w:val="14"/>
  </w:num>
  <w:num w:numId="17" w16cid:durableId="707754824">
    <w:abstractNumId w:val="28"/>
  </w:num>
  <w:num w:numId="18" w16cid:durableId="1319920650">
    <w:abstractNumId w:val="4"/>
  </w:num>
  <w:num w:numId="19" w16cid:durableId="1414354418">
    <w:abstractNumId w:val="13"/>
  </w:num>
  <w:num w:numId="20" w16cid:durableId="563222335">
    <w:abstractNumId w:val="20"/>
  </w:num>
  <w:num w:numId="21" w16cid:durableId="1766343876">
    <w:abstractNumId w:val="21"/>
  </w:num>
  <w:num w:numId="22" w16cid:durableId="2144227844">
    <w:abstractNumId w:val="19"/>
  </w:num>
  <w:num w:numId="23" w16cid:durableId="1979140319">
    <w:abstractNumId w:val="5"/>
  </w:num>
  <w:num w:numId="24" w16cid:durableId="1453746277">
    <w:abstractNumId w:val="9"/>
  </w:num>
  <w:num w:numId="25" w16cid:durableId="110707871">
    <w:abstractNumId w:val="11"/>
  </w:num>
  <w:num w:numId="26" w16cid:durableId="177813362">
    <w:abstractNumId w:val="23"/>
  </w:num>
  <w:num w:numId="27" w16cid:durableId="1976376303">
    <w:abstractNumId w:val="16"/>
  </w:num>
  <w:num w:numId="28" w16cid:durableId="551886568">
    <w:abstractNumId w:val="8"/>
  </w:num>
  <w:num w:numId="29" w16cid:durableId="1975989327">
    <w:abstractNumId w:val="23"/>
  </w:num>
  <w:num w:numId="30" w16cid:durableId="225454774">
    <w:abstractNumId w:val="23"/>
    <w:lvlOverride w:ilvl="0">
      <w:startOverride w:val="1"/>
    </w:lvlOverride>
  </w:num>
  <w:num w:numId="31" w16cid:durableId="897546405">
    <w:abstractNumId w:val="23"/>
  </w:num>
  <w:num w:numId="32" w16cid:durableId="897743650">
    <w:abstractNumId w:val="23"/>
  </w:num>
  <w:num w:numId="33" w16cid:durableId="687028146">
    <w:abstractNumId w:val="23"/>
  </w:num>
  <w:num w:numId="34" w16cid:durableId="1377271433">
    <w:abstractNumId w:val="23"/>
  </w:num>
  <w:num w:numId="35" w16cid:durableId="46341953">
    <w:abstractNumId w:val="23"/>
  </w:num>
  <w:num w:numId="36" w16cid:durableId="1282758382">
    <w:abstractNumId w:val="23"/>
  </w:num>
  <w:num w:numId="37" w16cid:durableId="1365785016">
    <w:abstractNumId w:val="23"/>
  </w:num>
  <w:num w:numId="38" w16cid:durableId="265430267">
    <w:abstractNumId w:val="23"/>
  </w:num>
  <w:num w:numId="39" w16cid:durableId="2100177137">
    <w:abstractNumId w:val="23"/>
  </w:num>
  <w:num w:numId="40" w16cid:durableId="1839274568">
    <w:abstractNumId w:val="23"/>
  </w:num>
  <w:num w:numId="41" w16cid:durableId="330328951">
    <w:abstractNumId w:val="23"/>
  </w:num>
  <w:num w:numId="42" w16cid:durableId="54819504">
    <w:abstractNumId w:val="23"/>
  </w:num>
  <w:num w:numId="43" w16cid:durableId="861212348">
    <w:abstractNumId w:val="23"/>
  </w:num>
  <w:num w:numId="44" w16cid:durableId="945238455">
    <w:abstractNumId w:val="23"/>
  </w:num>
  <w:num w:numId="45" w16cid:durableId="344866266">
    <w:abstractNumId w:val="23"/>
  </w:num>
  <w:num w:numId="46" w16cid:durableId="337927360">
    <w:abstractNumId w:val="23"/>
  </w:num>
  <w:num w:numId="47" w16cid:durableId="308093093">
    <w:abstractNumId w:val="15"/>
  </w:num>
  <w:num w:numId="48" w16cid:durableId="19800763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McKenzie, Stephan (CMS/OSORA)">
    <w15:presenceInfo w15:providerId="AD" w15:userId="S::stephan.mckenzie@cms.hhs.gov::6425f7a8-c58a-449b-8a35-b7c431470f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8"/>
  <w:drawingGridHorizontalSpacing w:val="110"/>
  <w:displayHorizontalDrawingGridEvery w:val="2"/>
  <w:characterSpacingControl w:val="doNotCompress"/>
  <w:footnotePr>
    <w:footnote w:id="0"/>
    <w:footnote w:id="1"/>
    <w:footnote w:id="2"/>
  </w:footnotePr>
  <w:endnotePr>
    <w:endnote w:id="0"/>
    <w:endnote w:id="1"/>
    <w:endnote w:id="2"/>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1F1"/>
    <w:rsid w:val="00001030"/>
    <w:rsid w:val="00006A1C"/>
    <w:rsid w:val="000070CA"/>
    <w:rsid w:val="0001073D"/>
    <w:rsid w:val="00010AC2"/>
    <w:rsid w:val="00013060"/>
    <w:rsid w:val="00013FC4"/>
    <w:rsid w:val="00014AEA"/>
    <w:rsid w:val="000205C8"/>
    <w:rsid w:val="00022E11"/>
    <w:rsid w:val="000231C2"/>
    <w:rsid w:val="00023DFC"/>
    <w:rsid w:val="000242C3"/>
    <w:rsid w:val="00025303"/>
    <w:rsid w:val="00025440"/>
    <w:rsid w:val="00026258"/>
    <w:rsid w:val="00026CE8"/>
    <w:rsid w:val="00026D84"/>
    <w:rsid w:val="00030D32"/>
    <w:rsid w:val="00032C19"/>
    <w:rsid w:val="00032EC2"/>
    <w:rsid w:val="000357D4"/>
    <w:rsid w:val="00035AEE"/>
    <w:rsid w:val="00037334"/>
    <w:rsid w:val="000400CC"/>
    <w:rsid w:val="000400EF"/>
    <w:rsid w:val="000405F2"/>
    <w:rsid w:val="00040D11"/>
    <w:rsid w:val="00040FEA"/>
    <w:rsid w:val="0004211F"/>
    <w:rsid w:val="00042715"/>
    <w:rsid w:val="00043BAD"/>
    <w:rsid w:val="000442B1"/>
    <w:rsid w:val="00044BE3"/>
    <w:rsid w:val="00045814"/>
    <w:rsid w:val="00045DCF"/>
    <w:rsid w:val="00046B3D"/>
    <w:rsid w:val="00047379"/>
    <w:rsid w:val="000473E9"/>
    <w:rsid w:val="000545F2"/>
    <w:rsid w:val="00054913"/>
    <w:rsid w:val="00054D84"/>
    <w:rsid w:val="00057804"/>
    <w:rsid w:val="00060336"/>
    <w:rsid w:val="00060831"/>
    <w:rsid w:val="0006206F"/>
    <w:rsid w:val="000631F4"/>
    <w:rsid w:val="0006456B"/>
    <w:rsid w:val="00064E6B"/>
    <w:rsid w:val="000657A2"/>
    <w:rsid w:val="000705DC"/>
    <w:rsid w:val="00071226"/>
    <w:rsid w:val="0007188C"/>
    <w:rsid w:val="00072102"/>
    <w:rsid w:val="000722B0"/>
    <w:rsid w:val="000722F3"/>
    <w:rsid w:val="00073291"/>
    <w:rsid w:val="00074E45"/>
    <w:rsid w:val="0007514F"/>
    <w:rsid w:val="00075C96"/>
    <w:rsid w:val="00076170"/>
    <w:rsid w:val="00076F82"/>
    <w:rsid w:val="0008047F"/>
    <w:rsid w:val="00080557"/>
    <w:rsid w:val="00080E24"/>
    <w:rsid w:val="00081C16"/>
    <w:rsid w:val="00081D2A"/>
    <w:rsid w:val="0008224D"/>
    <w:rsid w:val="000825CE"/>
    <w:rsid w:val="00083328"/>
    <w:rsid w:val="00083AF7"/>
    <w:rsid w:val="00085126"/>
    <w:rsid w:val="00085F3F"/>
    <w:rsid w:val="0008627D"/>
    <w:rsid w:val="0008689E"/>
    <w:rsid w:val="000906C0"/>
    <w:rsid w:val="00090CD9"/>
    <w:rsid w:val="00091048"/>
    <w:rsid w:val="000944FC"/>
    <w:rsid w:val="000956D3"/>
    <w:rsid w:val="00096586"/>
    <w:rsid w:val="000A075F"/>
    <w:rsid w:val="000A1DDA"/>
    <w:rsid w:val="000A5719"/>
    <w:rsid w:val="000A5AD1"/>
    <w:rsid w:val="000A705E"/>
    <w:rsid w:val="000B07F3"/>
    <w:rsid w:val="000B0C70"/>
    <w:rsid w:val="000B2EA2"/>
    <w:rsid w:val="000B35F0"/>
    <w:rsid w:val="000B4158"/>
    <w:rsid w:val="000B5117"/>
    <w:rsid w:val="000B5411"/>
    <w:rsid w:val="000B5ADD"/>
    <w:rsid w:val="000B5BD3"/>
    <w:rsid w:val="000B64A7"/>
    <w:rsid w:val="000B6ACC"/>
    <w:rsid w:val="000B6AEA"/>
    <w:rsid w:val="000B7BCD"/>
    <w:rsid w:val="000C1401"/>
    <w:rsid w:val="000C3B60"/>
    <w:rsid w:val="000C3C54"/>
    <w:rsid w:val="000C55B0"/>
    <w:rsid w:val="000C6938"/>
    <w:rsid w:val="000D06C2"/>
    <w:rsid w:val="000D086D"/>
    <w:rsid w:val="000D08D3"/>
    <w:rsid w:val="000D0B4E"/>
    <w:rsid w:val="000D13FD"/>
    <w:rsid w:val="000D1484"/>
    <w:rsid w:val="000D1B3B"/>
    <w:rsid w:val="000D1D23"/>
    <w:rsid w:val="000D2A1C"/>
    <w:rsid w:val="000D463D"/>
    <w:rsid w:val="000D4AE9"/>
    <w:rsid w:val="000D6EFB"/>
    <w:rsid w:val="000E22C4"/>
    <w:rsid w:val="000E586B"/>
    <w:rsid w:val="000E6F84"/>
    <w:rsid w:val="000E7717"/>
    <w:rsid w:val="000F0450"/>
    <w:rsid w:val="000F0A30"/>
    <w:rsid w:val="000F12FB"/>
    <w:rsid w:val="000F1CD9"/>
    <w:rsid w:val="000F217E"/>
    <w:rsid w:val="000F222B"/>
    <w:rsid w:val="000F25BA"/>
    <w:rsid w:val="000F279D"/>
    <w:rsid w:val="000F4172"/>
    <w:rsid w:val="000F41B4"/>
    <w:rsid w:val="000F6152"/>
    <w:rsid w:val="000F6B12"/>
    <w:rsid w:val="000F7607"/>
    <w:rsid w:val="000F7911"/>
    <w:rsid w:val="00100EE9"/>
    <w:rsid w:val="00102484"/>
    <w:rsid w:val="00102874"/>
    <w:rsid w:val="00102C9F"/>
    <w:rsid w:val="00103229"/>
    <w:rsid w:val="00103554"/>
    <w:rsid w:val="001051A4"/>
    <w:rsid w:val="00105390"/>
    <w:rsid w:val="00106169"/>
    <w:rsid w:val="001079FD"/>
    <w:rsid w:val="00107FA9"/>
    <w:rsid w:val="00110938"/>
    <w:rsid w:val="0011128A"/>
    <w:rsid w:val="00112634"/>
    <w:rsid w:val="00113DDF"/>
    <w:rsid w:val="00113F9B"/>
    <w:rsid w:val="00116196"/>
    <w:rsid w:val="001215C1"/>
    <w:rsid w:val="00121A80"/>
    <w:rsid w:val="001221E9"/>
    <w:rsid w:val="001250DC"/>
    <w:rsid w:val="001266A0"/>
    <w:rsid w:val="00127431"/>
    <w:rsid w:val="00130AB1"/>
    <w:rsid w:val="001310AA"/>
    <w:rsid w:val="0013127A"/>
    <w:rsid w:val="00131575"/>
    <w:rsid w:val="001316FC"/>
    <w:rsid w:val="00131E86"/>
    <w:rsid w:val="001323D2"/>
    <w:rsid w:val="00132701"/>
    <w:rsid w:val="0013308E"/>
    <w:rsid w:val="00133C0E"/>
    <w:rsid w:val="001356EF"/>
    <w:rsid w:val="00135CF0"/>
    <w:rsid w:val="001374FA"/>
    <w:rsid w:val="00137E67"/>
    <w:rsid w:val="0014006C"/>
    <w:rsid w:val="00141C55"/>
    <w:rsid w:val="0014224E"/>
    <w:rsid w:val="0014228C"/>
    <w:rsid w:val="001436BE"/>
    <w:rsid w:val="0014444B"/>
    <w:rsid w:val="00144FED"/>
    <w:rsid w:val="00145035"/>
    <w:rsid w:val="00145161"/>
    <w:rsid w:val="00146881"/>
    <w:rsid w:val="001473C1"/>
    <w:rsid w:val="00147ACB"/>
    <w:rsid w:val="00152121"/>
    <w:rsid w:val="00153425"/>
    <w:rsid w:val="00153F11"/>
    <w:rsid w:val="0016041C"/>
    <w:rsid w:val="00162BC0"/>
    <w:rsid w:val="001711D9"/>
    <w:rsid w:val="00171499"/>
    <w:rsid w:val="00172C02"/>
    <w:rsid w:val="00173F34"/>
    <w:rsid w:val="00174D97"/>
    <w:rsid w:val="001768EF"/>
    <w:rsid w:val="0017725B"/>
    <w:rsid w:val="001774CD"/>
    <w:rsid w:val="00180C4A"/>
    <w:rsid w:val="001822F2"/>
    <w:rsid w:val="001845F2"/>
    <w:rsid w:val="00184614"/>
    <w:rsid w:val="00185303"/>
    <w:rsid w:val="001864D3"/>
    <w:rsid w:val="00187100"/>
    <w:rsid w:val="0019079B"/>
    <w:rsid w:val="00192EC8"/>
    <w:rsid w:val="001940F0"/>
    <w:rsid w:val="00194DC6"/>
    <w:rsid w:val="00195A8C"/>
    <w:rsid w:val="00196F8A"/>
    <w:rsid w:val="001A066C"/>
    <w:rsid w:val="001A0AB5"/>
    <w:rsid w:val="001A179A"/>
    <w:rsid w:val="001A3263"/>
    <w:rsid w:val="001A3D43"/>
    <w:rsid w:val="001A6814"/>
    <w:rsid w:val="001A6E4F"/>
    <w:rsid w:val="001A70B7"/>
    <w:rsid w:val="001A7B3B"/>
    <w:rsid w:val="001A7FED"/>
    <w:rsid w:val="001B0992"/>
    <w:rsid w:val="001B09DA"/>
    <w:rsid w:val="001B1CF2"/>
    <w:rsid w:val="001B420C"/>
    <w:rsid w:val="001B48D9"/>
    <w:rsid w:val="001B4F38"/>
    <w:rsid w:val="001B56B4"/>
    <w:rsid w:val="001B5F05"/>
    <w:rsid w:val="001B5F47"/>
    <w:rsid w:val="001B636D"/>
    <w:rsid w:val="001B6D32"/>
    <w:rsid w:val="001B731C"/>
    <w:rsid w:val="001B761E"/>
    <w:rsid w:val="001C00DC"/>
    <w:rsid w:val="001C0CE4"/>
    <w:rsid w:val="001C265F"/>
    <w:rsid w:val="001C3661"/>
    <w:rsid w:val="001C4537"/>
    <w:rsid w:val="001C611C"/>
    <w:rsid w:val="001C7993"/>
    <w:rsid w:val="001D1671"/>
    <w:rsid w:val="001D1EB3"/>
    <w:rsid w:val="001D367A"/>
    <w:rsid w:val="001D678A"/>
    <w:rsid w:val="001E0898"/>
    <w:rsid w:val="001E21C0"/>
    <w:rsid w:val="001E4C9F"/>
    <w:rsid w:val="001E7068"/>
    <w:rsid w:val="001E71F9"/>
    <w:rsid w:val="001F03E0"/>
    <w:rsid w:val="001F05EC"/>
    <w:rsid w:val="001F0B39"/>
    <w:rsid w:val="001F0EDF"/>
    <w:rsid w:val="001F1416"/>
    <w:rsid w:val="001F16C7"/>
    <w:rsid w:val="001F16C9"/>
    <w:rsid w:val="001F17AA"/>
    <w:rsid w:val="001F1CB0"/>
    <w:rsid w:val="001F1DB6"/>
    <w:rsid w:val="001F215B"/>
    <w:rsid w:val="001F3522"/>
    <w:rsid w:val="001F4FF1"/>
    <w:rsid w:val="001F6412"/>
    <w:rsid w:val="001F680F"/>
    <w:rsid w:val="001F7E22"/>
    <w:rsid w:val="00200C1A"/>
    <w:rsid w:val="002018B0"/>
    <w:rsid w:val="00201F2B"/>
    <w:rsid w:val="00201F9C"/>
    <w:rsid w:val="00202477"/>
    <w:rsid w:val="00203600"/>
    <w:rsid w:val="00203EB3"/>
    <w:rsid w:val="002050FA"/>
    <w:rsid w:val="002058DA"/>
    <w:rsid w:val="002069D5"/>
    <w:rsid w:val="00207067"/>
    <w:rsid w:val="00210174"/>
    <w:rsid w:val="00210350"/>
    <w:rsid w:val="00210873"/>
    <w:rsid w:val="00210C26"/>
    <w:rsid w:val="00211321"/>
    <w:rsid w:val="00212CF6"/>
    <w:rsid w:val="00213645"/>
    <w:rsid w:val="00214A72"/>
    <w:rsid w:val="00214B43"/>
    <w:rsid w:val="00215201"/>
    <w:rsid w:val="00215937"/>
    <w:rsid w:val="00215F5E"/>
    <w:rsid w:val="00217BBB"/>
    <w:rsid w:val="002205BD"/>
    <w:rsid w:val="0022101E"/>
    <w:rsid w:val="00221217"/>
    <w:rsid w:val="00222939"/>
    <w:rsid w:val="00223ADF"/>
    <w:rsid w:val="00226870"/>
    <w:rsid w:val="00230030"/>
    <w:rsid w:val="002329A2"/>
    <w:rsid w:val="00236008"/>
    <w:rsid w:val="00237300"/>
    <w:rsid w:val="00242E34"/>
    <w:rsid w:val="002444A9"/>
    <w:rsid w:val="00246713"/>
    <w:rsid w:val="00246B4C"/>
    <w:rsid w:val="00250097"/>
    <w:rsid w:val="00251464"/>
    <w:rsid w:val="002535E1"/>
    <w:rsid w:val="002538DE"/>
    <w:rsid w:val="002557D8"/>
    <w:rsid w:val="002558D0"/>
    <w:rsid w:val="00255C06"/>
    <w:rsid w:val="00261EEA"/>
    <w:rsid w:val="00262277"/>
    <w:rsid w:val="00262440"/>
    <w:rsid w:val="00262D05"/>
    <w:rsid w:val="00263554"/>
    <w:rsid w:val="00263989"/>
    <w:rsid w:val="002640B3"/>
    <w:rsid w:val="002641C1"/>
    <w:rsid w:val="0026433D"/>
    <w:rsid w:val="002658BB"/>
    <w:rsid w:val="002700C7"/>
    <w:rsid w:val="002709D1"/>
    <w:rsid w:val="0027128F"/>
    <w:rsid w:val="0027422E"/>
    <w:rsid w:val="00274A3A"/>
    <w:rsid w:val="002771FB"/>
    <w:rsid w:val="00277277"/>
    <w:rsid w:val="00280FFE"/>
    <w:rsid w:val="002814BB"/>
    <w:rsid w:val="002817C4"/>
    <w:rsid w:val="002821A9"/>
    <w:rsid w:val="00282F6C"/>
    <w:rsid w:val="00283A3A"/>
    <w:rsid w:val="002849BE"/>
    <w:rsid w:val="00284CB5"/>
    <w:rsid w:val="002852B9"/>
    <w:rsid w:val="0028539F"/>
    <w:rsid w:val="002868ED"/>
    <w:rsid w:val="00286EBD"/>
    <w:rsid w:val="00287C44"/>
    <w:rsid w:val="00290269"/>
    <w:rsid w:val="0029054B"/>
    <w:rsid w:val="00290827"/>
    <w:rsid w:val="00290FBD"/>
    <w:rsid w:val="00293D12"/>
    <w:rsid w:val="00293FD4"/>
    <w:rsid w:val="00297247"/>
    <w:rsid w:val="00297A83"/>
    <w:rsid w:val="00297B42"/>
    <w:rsid w:val="00297C10"/>
    <w:rsid w:val="002A1A3D"/>
    <w:rsid w:val="002A3455"/>
    <w:rsid w:val="002A3543"/>
    <w:rsid w:val="002A3DDA"/>
    <w:rsid w:val="002A5156"/>
    <w:rsid w:val="002A6470"/>
    <w:rsid w:val="002B0D3A"/>
    <w:rsid w:val="002B2318"/>
    <w:rsid w:val="002B26AC"/>
    <w:rsid w:val="002B2CBC"/>
    <w:rsid w:val="002B3C92"/>
    <w:rsid w:val="002B3D1A"/>
    <w:rsid w:val="002B4E9C"/>
    <w:rsid w:val="002B5CC3"/>
    <w:rsid w:val="002B648C"/>
    <w:rsid w:val="002B6E1D"/>
    <w:rsid w:val="002B70ED"/>
    <w:rsid w:val="002B75E4"/>
    <w:rsid w:val="002B7651"/>
    <w:rsid w:val="002B7FD7"/>
    <w:rsid w:val="002C0DE7"/>
    <w:rsid w:val="002C106E"/>
    <w:rsid w:val="002C1D54"/>
    <w:rsid w:val="002C2686"/>
    <w:rsid w:val="002C40EF"/>
    <w:rsid w:val="002C4193"/>
    <w:rsid w:val="002C56E7"/>
    <w:rsid w:val="002C57B6"/>
    <w:rsid w:val="002C7687"/>
    <w:rsid w:val="002C76DA"/>
    <w:rsid w:val="002D1A6D"/>
    <w:rsid w:val="002D2E19"/>
    <w:rsid w:val="002D4511"/>
    <w:rsid w:val="002D48A9"/>
    <w:rsid w:val="002D4BD4"/>
    <w:rsid w:val="002D6231"/>
    <w:rsid w:val="002D6383"/>
    <w:rsid w:val="002D7B22"/>
    <w:rsid w:val="002E213E"/>
    <w:rsid w:val="002E2279"/>
    <w:rsid w:val="002E2FD8"/>
    <w:rsid w:val="002E3733"/>
    <w:rsid w:val="002E39A9"/>
    <w:rsid w:val="002E3B90"/>
    <w:rsid w:val="002E465A"/>
    <w:rsid w:val="002E4D89"/>
    <w:rsid w:val="002E660A"/>
    <w:rsid w:val="002E70B5"/>
    <w:rsid w:val="002E7943"/>
    <w:rsid w:val="002F1B24"/>
    <w:rsid w:val="002F21B2"/>
    <w:rsid w:val="002F500F"/>
    <w:rsid w:val="002F560A"/>
    <w:rsid w:val="002F72C4"/>
    <w:rsid w:val="00300486"/>
    <w:rsid w:val="003021AE"/>
    <w:rsid w:val="00303E40"/>
    <w:rsid w:val="00304EA4"/>
    <w:rsid w:val="00306906"/>
    <w:rsid w:val="003108A1"/>
    <w:rsid w:val="003109A2"/>
    <w:rsid w:val="00310C57"/>
    <w:rsid w:val="00310F84"/>
    <w:rsid w:val="00311EB4"/>
    <w:rsid w:val="00312090"/>
    <w:rsid w:val="00314A23"/>
    <w:rsid w:val="003160CA"/>
    <w:rsid w:val="003178F5"/>
    <w:rsid w:val="003179FB"/>
    <w:rsid w:val="0032176D"/>
    <w:rsid w:val="0032298B"/>
    <w:rsid w:val="00324508"/>
    <w:rsid w:val="003257CC"/>
    <w:rsid w:val="0032611A"/>
    <w:rsid w:val="00326299"/>
    <w:rsid w:val="003314E7"/>
    <w:rsid w:val="00334673"/>
    <w:rsid w:val="00336395"/>
    <w:rsid w:val="003404B0"/>
    <w:rsid w:val="0034071A"/>
    <w:rsid w:val="00342CD3"/>
    <w:rsid w:val="0034303F"/>
    <w:rsid w:val="00343228"/>
    <w:rsid w:val="00345F14"/>
    <w:rsid w:val="003503A6"/>
    <w:rsid w:val="003518C6"/>
    <w:rsid w:val="00351C4D"/>
    <w:rsid w:val="00353B6F"/>
    <w:rsid w:val="00357477"/>
    <w:rsid w:val="00357AF4"/>
    <w:rsid w:val="003604C8"/>
    <w:rsid w:val="003621EE"/>
    <w:rsid w:val="003622B0"/>
    <w:rsid w:val="003626B2"/>
    <w:rsid w:val="00362CCC"/>
    <w:rsid w:val="0036405E"/>
    <w:rsid w:val="0036506A"/>
    <w:rsid w:val="0036571B"/>
    <w:rsid w:val="00365737"/>
    <w:rsid w:val="00365EB2"/>
    <w:rsid w:val="00366EB8"/>
    <w:rsid w:val="00367017"/>
    <w:rsid w:val="00370E54"/>
    <w:rsid w:val="003716D5"/>
    <w:rsid w:val="0037260A"/>
    <w:rsid w:val="003726AC"/>
    <w:rsid w:val="00372733"/>
    <w:rsid w:val="003741A3"/>
    <w:rsid w:val="003742C0"/>
    <w:rsid w:val="003744E8"/>
    <w:rsid w:val="003745F5"/>
    <w:rsid w:val="0037520F"/>
    <w:rsid w:val="00375331"/>
    <w:rsid w:val="00375FA9"/>
    <w:rsid w:val="003774E7"/>
    <w:rsid w:val="00377E6C"/>
    <w:rsid w:val="0038064D"/>
    <w:rsid w:val="00380FF5"/>
    <w:rsid w:val="00382ABB"/>
    <w:rsid w:val="00383209"/>
    <w:rsid w:val="00384221"/>
    <w:rsid w:val="003848DE"/>
    <w:rsid w:val="00384D20"/>
    <w:rsid w:val="00385A6E"/>
    <w:rsid w:val="00385AAE"/>
    <w:rsid w:val="00390041"/>
    <w:rsid w:val="00392861"/>
    <w:rsid w:val="00392976"/>
    <w:rsid w:val="00393D14"/>
    <w:rsid w:val="00394986"/>
    <w:rsid w:val="003949E3"/>
    <w:rsid w:val="00394ECA"/>
    <w:rsid w:val="00395FED"/>
    <w:rsid w:val="00396542"/>
    <w:rsid w:val="003972F4"/>
    <w:rsid w:val="003A3033"/>
    <w:rsid w:val="003A387C"/>
    <w:rsid w:val="003A3FA9"/>
    <w:rsid w:val="003A6D9B"/>
    <w:rsid w:val="003A7E8D"/>
    <w:rsid w:val="003B021B"/>
    <w:rsid w:val="003B09E5"/>
    <w:rsid w:val="003B3135"/>
    <w:rsid w:val="003B3A39"/>
    <w:rsid w:val="003B5AAD"/>
    <w:rsid w:val="003B6555"/>
    <w:rsid w:val="003B6FF9"/>
    <w:rsid w:val="003B7337"/>
    <w:rsid w:val="003B7494"/>
    <w:rsid w:val="003B79D4"/>
    <w:rsid w:val="003C0D82"/>
    <w:rsid w:val="003C1AEA"/>
    <w:rsid w:val="003C1ED6"/>
    <w:rsid w:val="003C2305"/>
    <w:rsid w:val="003C52E1"/>
    <w:rsid w:val="003C58D5"/>
    <w:rsid w:val="003C7B24"/>
    <w:rsid w:val="003D0217"/>
    <w:rsid w:val="003D08FE"/>
    <w:rsid w:val="003D1ADD"/>
    <w:rsid w:val="003D1B6E"/>
    <w:rsid w:val="003D29DB"/>
    <w:rsid w:val="003D3285"/>
    <w:rsid w:val="003D6426"/>
    <w:rsid w:val="003D7C77"/>
    <w:rsid w:val="003E0B17"/>
    <w:rsid w:val="003E39D0"/>
    <w:rsid w:val="003E4C89"/>
    <w:rsid w:val="003E5C8F"/>
    <w:rsid w:val="003E6120"/>
    <w:rsid w:val="003E753F"/>
    <w:rsid w:val="003E7780"/>
    <w:rsid w:val="003E7FDB"/>
    <w:rsid w:val="003F188A"/>
    <w:rsid w:val="003F26BF"/>
    <w:rsid w:val="003F2EFC"/>
    <w:rsid w:val="003F33D9"/>
    <w:rsid w:val="003F3411"/>
    <w:rsid w:val="003F433F"/>
    <w:rsid w:val="003F434A"/>
    <w:rsid w:val="003F4638"/>
    <w:rsid w:val="003F547E"/>
    <w:rsid w:val="003F6604"/>
    <w:rsid w:val="003F77C7"/>
    <w:rsid w:val="004035C3"/>
    <w:rsid w:val="00404B6A"/>
    <w:rsid w:val="00404BE5"/>
    <w:rsid w:val="00405556"/>
    <w:rsid w:val="0040597C"/>
    <w:rsid w:val="00405BE1"/>
    <w:rsid w:val="00405DD1"/>
    <w:rsid w:val="004061A7"/>
    <w:rsid w:val="00406EDE"/>
    <w:rsid w:val="00407B56"/>
    <w:rsid w:val="00407D0D"/>
    <w:rsid w:val="004111F3"/>
    <w:rsid w:val="004112BC"/>
    <w:rsid w:val="00411595"/>
    <w:rsid w:val="0041444C"/>
    <w:rsid w:val="00414D04"/>
    <w:rsid w:val="004151EC"/>
    <w:rsid w:val="004154B0"/>
    <w:rsid w:val="0041578D"/>
    <w:rsid w:val="00416783"/>
    <w:rsid w:val="00417D4E"/>
    <w:rsid w:val="004202B7"/>
    <w:rsid w:val="004206DF"/>
    <w:rsid w:val="00420889"/>
    <w:rsid w:val="00421590"/>
    <w:rsid w:val="004216F0"/>
    <w:rsid w:val="004222E0"/>
    <w:rsid w:val="00422FA1"/>
    <w:rsid w:val="00422FCC"/>
    <w:rsid w:val="00423408"/>
    <w:rsid w:val="00424F5C"/>
    <w:rsid w:val="004260E2"/>
    <w:rsid w:val="004266D0"/>
    <w:rsid w:val="00426AE2"/>
    <w:rsid w:val="00427033"/>
    <w:rsid w:val="0042769F"/>
    <w:rsid w:val="00427E30"/>
    <w:rsid w:val="0043121C"/>
    <w:rsid w:val="004325A8"/>
    <w:rsid w:val="00432F6F"/>
    <w:rsid w:val="00433A6C"/>
    <w:rsid w:val="004341F4"/>
    <w:rsid w:val="00434D5E"/>
    <w:rsid w:val="00435DA1"/>
    <w:rsid w:val="00437241"/>
    <w:rsid w:val="0044073E"/>
    <w:rsid w:val="0044155B"/>
    <w:rsid w:val="00441756"/>
    <w:rsid w:val="004425E8"/>
    <w:rsid w:val="00442A3B"/>
    <w:rsid w:val="00443519"/>
    <w:rsid w:val="0044353A"/>
    <w:rsid w:val="00445A1D"/>
    <w:rsid w:val="00445A86"/>
    <w:rsid w:val="00445E95"/>
    <w:rsid w:val="00445F31"/>
    <w:rsid w:val="004504D7"/>
    <w:rsid w:val="004507F8"/>
    <w:rsid w:val="00450E41"/>
    <w:rsid w:val="00450FA6"/>
    <w:rsid w:val="0045112E"/>
    <w:rsid w:val="0045122A"/>
    <w:rsid w:val="004512E3"/>
    <w:rsid w:val="004519DE"/>
    <w:rsid w:val="00451FF0"/>
    <w:rsid w:val="00452DCB"/>
    <w:rsid w:val="00455D0C"/>
    <w:rsid w:val="004567A6"/>
    <w:rsid w:val="00456952"/>
    <w:rsid w:val="00457219"/>
    <w:rsid w:val="004579EC"/>
    <w:rsid w:val="00457E3A"/>
    <w:rsid w:val="00460A60"/>
    <w:rsid w:val="00461DA0"/>
    <w:rsid w:val="004643D5"/>
    <w:rsid w:val="00464C40"/>
    <w:rsid w:val="00464CB1"/>
    <w:rsid w:val="00467150"/>
    <w:rsid w:val="00467C56"/>
    <w:rsid w:val="004738B3"/>
    <w:rsid w:val="00474170"/>
    <w:rsid w:val="00474CBA"/>
    <w:rsid w:val="00476498"/>
    <w:rsid w:val="0047762D"/>
    <w:rsid w:val="00482510"/>
    <w:rsid w:val="00482AA4"/>
    <w:rsid w:val="00483822"/>
    <w:rsid w:val="00483B14"/>
    <w:rsid w:val="00483B21"/>
    <w:rsid w:val="0048525E"/>
    <w:rsid w:val="004871E1"/>
    <w:rsid w:val="00492E5E"/>
    <w:rsid w:val="00493396"/>
    <w:rsid w:val="004944EA"/>
    <w:rsid w:val="004959DD"/>
    <w:rsid w:val="00495F2B"/>
    <w:rsid w:val="004961F9"/>
    <w:rsid w:val="004962A5"/>
    <w:rsid w:val="0049644F"/>
    <w:rsid w:val="00496812"/>
    <w:rsid w:val="0049761E"/>
    <w:rsid w:val="00497E38"/>
    <w:rsid w:val="004A07FA"/>
    <w:rsid w:val="004A2BCF"/>
    <w:rsid w:val="004A34D0"/>
    <w:rsid w:val="004A39B6"/>
    <w:rsid w:val="004A43B2"/>
    <w:rsid w:val="004A49FB"/>
    <w:rsid w:val="004A5E2D"/>
    <w:rsid w:val="004A686D"/>
    <w:rsid w:val="004A69E0"/>
    <w:rsid w:val="004A7090"/>
    <w:rsid w:val="004A7179"/>
    <w:rsid w:val="004A7F01"/>
    <w:rsid w:val="004B241F"/>
    <w:rsid w:val="004B2D81"/>
    <w:rsid w:val="004B2E59"/>
    <w:rsid w:val="004B2F97"/>
    <w:rsid w:val="004B2FCA"/>
    <w:rsid w:val="004B305C"/>
    <w:rsid w:val="004B3D09"/>
    <w:rsid w:val="004B3FF6"/>
    <w:rsid w:val="004B44D4"/>
    <w:rsid w:val="004B4911"/>
    <w:rsid w:val="004B5237"/>
    <w:rsid w:val="004B5E89"/>
    <w:rsid w:val="004B6BAB"/>
    <w:rsid w:val="004C2B10"/>
    <w:rsid w:val="004C4DF3"/>
    <w:rsid w:val="004C6498"/>
    <w:rsid w:val="004C6749"/>
    <w:rsid w:val="004C737C"/>
    <w:rsid w:val="004C7DF0"/>
    <w:rsid w:val="004D1BBD"/>
    <w:rsid w:val="004D344B"/>
    <w:rsid w:val="004D37AE"/>
    <w:rsid w:val="004D3A57"/>
    <w:rsid w:val="004D3C99"/>
    <w:rsid w:val="004D710F"/>
    <w:rsid w:val="004D7C3D"/>
    <w:rsid w:val="004E0485"/>
    <w:rsid w:val="004E3265"/>
    <w:rsid w:val="004E32C5"/>
    <w:rsid w:val="004E3493"/>
    <w:rsid w:val="004E35AB"/>
    <w:rsid w:val="004E3DC3"/>
    <w:rsid w:val="004E495C"/>
    <w:rsid w:val="004E62F0"/>
    <w:rsid w:val="004E6AF5"/>
    <w:rsid w:val="004F0B2B"/>
    <w:rsid w:val="004F3F19"/>
    <w:rsid w:val="004F409E"/>
    <w:rsid w:val="004F43FC"/>
    <w:rsid w:val="004F5FF6"/>
    <w:rsid w:val="004F6009"/>
    <w:rsid w:val="004F763B"/>
    <w:rsid w:val="00500CCA"/>
    <w:rsid w:val="005012D0"/>
    <w:rsid w:val="005027CB"/>
    <w:rsid w:val="00502DAA"/>
    <w:rsid w:val="0050379D"/>
    <w:rsid w:val="00503864"/>
    <w:rsid w:val="00504A5B"/>
    <w:rsid w:val="00505185"/>
    <w:rsid w:val="005062D9"/>
    <w:rsid w:val="005068CB"/>
    <w:rsid w:val="00510692"/>
    <w:rsid w:val="0051372A"/>
    <w:rsid w:val="00513AD5"/>
    <w:rsid w:val="00513F97"/>
    <w:rsid w:val="00515CDD"/>
    <w:rsid w:val="00515E0E"/>
    <w:rsid w:val="00516537"/>
    <w:rsid w:val="00516ACE"/>
    <w:rsid w:val="00516B74"/>
    <w:rsid w:val="00517B87"/>
    <w:rsid w:val="00517BAB"/>
    <w:rsid w:val="00520174"/>
    <w:rsid w:val="0052105A"/>
    <w:rsid w:val="00522227"/>
    <w:rsid w:val="00522B12"/>
    <w:rsid w:val="00523A6E"/>
    <w:rsid w:val="00523EB9"/>
    <w:rsid w:val="005243C6"/>
    <w:rsid w:val="00525272"/>
    <w:rsid w:val="005260C1"/>
    <w:rsid w:val="00526507"/>
    <w:rsid w:val="00526C6E"/>
    <w:rsid w:val="00527457"/>
    <w:rsid w:val="00527F8D"/>
    <w:rsid w:val="0053045A"/>
    <w:rsid w:val="00531989"/>
    <w:rsid w:val="00532930"/>
    <w:rsid w:val="00534AD7"/>
    <w:rsid w:val="00535F46"/>
    <w:rsid w:val="00540348"/>
    <w:rsid w:val="00542C96"/>
    <w:rsid w:val="00543AA3"/>
    <w:rsid w:val="0054418E"/>
    <w:rsid w:val="00544B50"/>
    <w:rsid w:val="00546F09"/>
    <w:rsid w:val="005474D5"/>
    <w:rsid w:val="005500F1"/>
    <w:rsid w:val="00550D18"/>
    <w:rsid w:val="0055261A"/>
    <w:rsid w:val="00552B69"/>
    <w:rsid w:val="00553998"/>
    <w:rsid w:val="00554CC2"/>
    <w:rsid w:val="00554F27"/>
    <w:rsid w:val="005562B6"/>
    <w:rsid w:val="00556736"/>
    <w:rsid w:val="0055694B"/>
    <w:rsid w:val="00556974"/>
    <w:rsid w:val="005573AC"/>
    <w:rsid w:val="0055750A"/>
    <w:rsid w:val="00557B01"/>
    <w:rsid w:val="00557FEF"/>
    <w:rsid w:val="005611B4"/>
    <w:rsid w:val="00561577"/>
    <w:rsid w:val="0056259A"/>
    <w:rsid w:val="00562B97"/>
    <w:rsid w:val="00562D64"/>
    <w:rsid w:val="00563114"/>
    <w:rsid w:val="005637B0"/>
    <w:rsid w:val="005669DF"/>
    <w:rsid w:val="00567028"/>
    <w:rsid w:val="00571E27"/>
    <w:rsid w:val="0057212D"/>
    <w:rsid w:val="00572184"/>
    <w:rsid w:val="0057355D"/>
    <w:rsid w:val="00573D0F"/>
    <w:rsid w:val="0057450A"/>
    <w:rsid w:val="00574AE3"/>
    <w:rsid w:val="00575C18"/>
    <w:rsid w:val="00576BFD"/>
    <w:rsid w:val="00576F80"/>
    <w:rsid w:val="00577071"/>
    <w:rsid w:val="00577841"/>
    <w:rsid w:val="00577F20"/>
    <w:rsid w:val="00580001"/>
    <w:rsid w:val="00580322"/>
    <w:rsid w:val="0058122A"/>
    <w:rsid w:val="005815D0"/>
    <w:rsid w:val="00581749"/>
    <w:rsid w:val="00582B93"/>
    <w:rsid w:val="00583048"/>
    <w:rsid w:val="005836C7"/>
    <w:rsid w:val="005852F8"/>
    <w:rsid w:val="00586B2A"/>
    <w:rsid w:val="00587A7B"/>
    <w:rsid w:val="00590EE4"/>
    <w:rsid w:val="005914A2"/>
    <w:rsid w:val="00592048"/>
    <w:rsid w:val="005933F7"/>
    <w:rsid w:val="005934E2"/>
    <w:rsid w:val="00596892"/>
    <w:rsid w:val="005968E7"/>
    <w:rsid w:val="005A0236"/>
    <w:rsid w:val="005A02F9"/>
    <w:rsid w:val="005A0730"/>
    <w:rsid w:val="005A0912"/>
    <w:rsid w:val="005A10A7"/>
    <w:rsid w:val="005A1BBA"/>
    <w:rsid w:val="005A1E57"/>
    <w:rsid w:val="005A1F0B"/>
    <w:rsid w:val="005A2380"/>
    <w:rsid w:val="005A4ACA"/>
    <w:rsid w:val="005A5F07"/>
    <w:rsid w:val="005A660A"/>
    <w:rsid w:val="005A6DCC"/>
    <w:rsid w:val="005B3578"/>
    <w:rsid w:val="005B3F37"/>
    <w:rsid w:val="005B6E5A"/>
    <w:rsid w:val="005B73B4"/>
    <w:rsid w:val="005B7758"/>
    <w:rsid w:val="005B781C"/>
    <w:rsid w:val="005C0798"/>
    <w:rsid w:val="005C17D3"/>
    <w:rsid w:val="005C2B21"/>
    <w:rsid w:val="005C428C"/>
    <w:rsid w:val="005C42F2"/>
    <w:rsid w:val="005C45D2"/>
    <w:rsid w:val="005C59AD"/>
    <w:rsid w:val="005C59C2"/>
    <w:rsid w:val="005C6B91"/>
    <w:rsid w:val="005C73B8"/>
    <w:rsid w:val="005C7AFB"/>
    <w:rsid w:val="005D09DA"/>
    <w:rsid w:val="005D0F4D"/>
    <w:rsid w:val="005D1946"/>
    <w:rsid w:val="005D240A"/>
    <w:rsid w:val="005D24BF"/>
    <w:rsid w:val="005D2F77"/>
    <w:rsid w:val="005D5052"/>
    <w:rsid w:val="005D56F8"/>
    <w:rsid w:val="005D6589"/>
    <w:rsid w:val="005D76FA"/>
    <w:rsid w:val="005E090D"/>
    <w:rsid w:val="005E1DFD"/>
    <w:rsid w:val="005E3897"/>
    <w:rsid w:val="005E3D02"/>
    <w:rsid w:val="005E41F1"/>
    <w:rsid w:val="005E46FE"/>
    <w:rsid w:val="005E53F5"/>
    <w:rsid w:val="005E600B"/>
    <w:rsid w:val="005E6B3B"/>
    <w:rsid w:val="005E6CE6"/>
    <w:rsid w:val="005F0741"/>
    <w:rsid w:val="005F15E1"/>
    <w:rsid w:val="005F1F42"/>
    <w:rsid w:val="005F22AA"/>
    <w:rsid w:val="005F2F7E"/>
    <w:rsid w:val="005F3A61"/>
    <w:rsid w:val="005F4930"/>
    <w:rsid w:val="005F655C"/>
    <w:rsid w:val="005F6F50"/>
    <w:rsid w:val="00600DD8"/>
    <w:rsid w:val="00601852"/>
    <w:rsid w:val="00602FB6"/>
    <w:rsid w:val="00605573"/>
    <w:rsid w:val="00606215"/>
    <w:rsid w:val="00607EAE"/>
    <w:rsid w:val="00610A99"/>
    <w:rsid w:val="00611501"/>
    <w:rsid w:val="006126C3"/>
    <w:rsid w:val="006132B1"/>
    <w:rsid w:val="006133B4"/>
    <w:rsid w:val="006134BD"/>
    <w:rsid w:val="00613FC8"/>
    <w:rsid w:val="00614A02"/>
    <w:rsid w:val="0061536C"/>
    <w:rsid w:val="00617B12"/>
    <w:rsid w:val="00620149"/>
    <w:rsid w:val="00621B9D"/>
    <w:rsid w:val="00622125"/>
    <w:rsid w:val="0062273A"/>
    <w:rsid w:val="0062391B"/>
    <w:rsid w:val="00623D97"/>
    <w:rsid w:val="0062421C"/>
    <w:rsid w:val="00624261"/>
    <w:rsid w:val="00626E59"/>
    <w:rsid w:val="00627CE6"/>
    <w:rsid w:val="0063097A"/>
    <w:rsid w:val="00632828"/>
    <w:rsid w:val="006350BD"/>
    <w:rsid w:val="006364BE"/>
    <w:rsid w:val="006365F8"/>
    <w:rsid w:val="0064029A"/>
    <w:rsid w:val="00640EB7"/>
    <w:rsid w:val="00641CA3"/>
    <w:rsid w:val="00642203"/>
    <w:rsid w:val="0064291F"/>
    <w:rsid w:val="0064293A"/>
    <w:rsid w:val="0064353B"/>
    <w:rsid w:val="0064518E"/>
    <w:rsid w:val="00647BCE"/>
    <w:rsid w:val="006500CE"/>
    <w:rsid w:val="00650373"/>
    <w:rsid w:val="00660465"/>
    <w:rsid w:val="00660F47"/>
    <w:rsid w:val="00660FC7"/>
    <w:rsid w:val="00662527"/>
    <w:rsid w:val="00664BAF"/>
    <w:rsid w:val="006657E4"/>
    <w:rsid w:val="006659E2"/>
    <w:rsid w:val="006669F8"/>
    <w:rsid w:val="00666A9B"/>
    <w:rsid w:val="00666E91"/>
    <w:rsid w:val="006674CF"/>
    <w:rsid w:val="006677F6"/>
    <w:rsid w:val="006707FC"/>
    <w:rsid w:val="006711F5"/>
    <w:rsid w:val="006730E8"/>
    <w:rsid w:val="00674038"/>
    <w:rsid w:val="0067591E"/>
    <w:rsid w:val="00681346"/>
    <w:rsid w:val="006828FA"/>
    <w:rsid w:val="00682BF4"/>
    <w:rsid w:val="00682D31"/>
    <w:rsid w:val="00682E0B"/>
    <w:rsid w:val="00683775"/>
    <w:rsid w:val="006839E2"/>
    <w:rsid w:val="00683A5A"/>
    <w:rsid w:val="00684FD2"/>
    <w:rsid w:val="00685916"/>
    <w:rsid w:val="00687AB9"/>
    <w:rsid w:val="00687E98"/>
    <w:rsid w:val="00690B27"/>
    <w:rsid w:val="00691BE2"/>
    <w:rsid w:val="00691E20"/>
    <w:rsid w:val="00692EE1"/>
    <w:rsid w:val="0069357B"/>
    <w:rsid w:val="00694C6A"/>
    <w:rsid w:val="00695843"/>
    <w:rsid w:val="00695862"/>
    <w:rsid w:val="006962EE"/>
    <w:rsid w:val="006A0EC3"/>
    <w:rsid w:val="006A3CC9"/>
    <w:rsid w:val="006A3FDB"/>
    <w:rsid w:val="006B0400"/>
    <w:rsid w:val="006B084A"/>
    <w:rsid w:val="006B3002"/>
    <w:rsid w:val="006B3D14"/>
    <w:rsid w:val="006B4D42"/>
    <w:rsid w:val="006B55D0"/>
    <w:rsid w:val="006B7D6E"/>
    <w:rsid w:val="006C248E"/>
    <w:rsid w:val="006C3877"/>
    <w:rsid w:val="006C4987"/>
    <w:rsid w:val="006C4FEE"/>
    <w:rsid w:val="006C545A"/>
    <w:rsid w:val="006C55AC"/>
    <w:rsid w:val="006C562B"/>
    <w:rsid w:val="006C749D"/>
    <w:rsid w:val="006C7B21"/>
    <w:rsid w:val="006D0A41"/>
    <w:rsid w:val="006D0B47"/>
    <w:rsid w:val="006D28C3"/>
    <w:rsid w:val="006D328A"/>
    <w:rsid w:val="006D32D4"/>
    <w:rsid w:val="006D45C4"/>
    <w:rsid w:val="006D4E3B"/>
    <w:rsid w:val="006D5DC7"/>
    <w:rsid w:val="006E3CF8"/>
    <w:rsid w:val="006E3DFC"/>
    <w:rsid w:val="006F0468"/>
    <w:rsid w:val="006F18D4"/>
    <w:rsid w:val="006F18EF"/>
    <w:rsid w:val="006F1970"/>
    <w:rsid w:val="006F47B2"/>
    <w:rsid w:val="006F6102"/>
    <w:rsid w:val="006F6990"/>
    <w:rsid w:val="006F7AFC"/>
    <w:rsid w:val="0070013D"/>
    <w:rsid w:val="00700611"/>
    <w:rsid w:val="0070088B"/>
    <w:rsid w:val="007017F7"/>
    <w:rsid w:val="00702819"/>
    <w:rsid w:val="00702916"/>
    <w:rsid w:val="0070338C"/>
    <w:rsid w:val="007036B1"/>
    <w:rsid w:val="007037DD"/>
    <w:rsid w:val="007058B7"/>
    <w:rsid w:val="00706AB5"/>
    <w:rsid w:val="00711D58"/>
    <w:rsid w:val="007120DC"/>
    <w:rsid w:val="0071391F"/>
    <w:rsid w:val="00714315"/>
    <w:rsid w:val="00714923"/>
    <w:rsid w:val="00714E1F"/>
    <w:rsid w:val="007152E0"/>
    <w:rsid w:val="007204A3"/>
    <w:rsid w:val="007208C0"/>
    <w:rsid w:val="00722111"/>
    <w:rsid w:val="00722542"/>
    <w:rsid w:val="00723187"/>
    <w:rsid w:val="00723493"/>
    <w:rsid w:val="007246F6"/>
    <w:rsid w:val="00725ADE"/>
    <w:rsid w:val="00726778"/>
    <w:rsid w:val="007272A0"/>
    <w:rsid w:val="00731AF5"/>
    <w:rsid w:val="0073293F"/>
    <w:rsid w:val="00732D61"/>
    <w:rsid w:val="00733D0C"/>
    <w:rsid w:val="007348C3"/>
    <w:rsid w:val="00734ABC"/>
    <w:rsid w:val="007355EB"/>
    <w:rsid w:val="00735BFA"/>
    <w:rsid w:val="00736202"/>
    <w:rsid w:val="0073626A"/>
    <w:rsid w:val="00737824"/>
    <w:rsid w:val="00740051"/>
    <w:rsid w:val="0074008B"/>
    <w:rsid w:val="00741093"/>
    <w:rsid w:val="00741FDE"/>
    <w:rsid w:val="00743050"/>
    <w:rsid w:val="007436C5"/>
    <w:rsid w:val="00743D3D"/>
    <w:rsid w:val="00744A08"/>
    <w:rsid w:val="00750D3C"/>
    <w:rsid w:val="0076119F"/>
    <w:rsid w:val="007620A7"/>
    <w:rsid w:val="00763B7C"/>
    <w:rsid w:val="00765467"/>
    <w:rsid w:val="00765493"/>
    <w:rsid w:val="0076711C"/>
    <w:rsid w:val="0076792E"/>
    <w:rsid w:val="00767EC9"/>
    <w:rsid w:val="007707CE"/>
    <w:rsid w:val="007745EC"/>
    <w:rsid w:val="0077471E"/>
    <w:rsid w:val="007768B3"/>
    <w:rsid w:val="00776B6A"/>
    <w:rsid w:val="0077779F"/>
    <w:rsid w:val="00777A34"/>
    <w:rsid w:val="007806C7"/>
    <w:rsid w:val="00780CC3"/>
    <w:rsid w:val="00780FAA"/>
    <w:rsid w:val="0078128F"/>
    <w:rsid w:val="0078134D"/>
    <w:rsid w:val="007818AE"/>
    <w:rsid w:val="00781AC7"/>
    <w:rsid w:val="00781C86"/>
    <w:rsid w:val="0078453B"/>
    <w:rsid w:val="00784BD5"/>
    <w:rsid w:val="0078532E"/>
    <w:rsid w:val="007859BB"/>
    <w:rsid w:val="00786427"/>
    <w:rsid w:val="00786A54"/>
    <w:rsid w:val="00787098"/>
    <w:rsid w:val="00791672"/>
    <w:rsid w:val="00792E7E"/>
    <w:rsid w:val="00796523"/>
    <w:rsid w:val="007977C8"/>
    <w:rsid w:val="00797B11"/>
    <w:rsid w:val="007A1BA1"/>
    <w:rsid w:val="007A4437"/>
    <w:rsid w:val="007A6386"/>
    <w:rsid w:val="007A6843"/>
    <w:rsid w:val="007A76AD"/>
    <w:rsid w:val="007A7735"/>
    <w:rsid w:val="007B09CF"/>
    <w:rsid w:val="007B0F78"/>
    <w:rsid w:val="007B1E4F"/>
    <w:rsid w:val="007B67CA"/>
    <w:rsid w:val="007B6BF9"/>
    <w:rsid w:val="007B7252"/>
    <w:rsid w:val="007B73A3"/>
    <w:rsid w:val="007B79BB"/>
    <w:rsid w:val="007B7EFC"/>
    <w:rsid w:val="007B7F9D"/>
    <w:rsid w:val="007C1759"/>
    <w:rsid w:val="007C1F48"/>
    <w:rsid w:val="007C4862"/>
    <w:rsid w:val="007C6E08"/>
    <w:rsid w:val="007C7420"/>
    <w:rsid w:val="007D2CA3"/>
    <w:rsid w:val="007D3FE5"/>
    <w:rsid w:val="007D4A67"/>
    <w:rsid w:val="007D5197"/>
    <w:rsid w:val="007D561B"/>
    <w:rsid w:val="007D6034"/>
    <w:rsid w:val="007D74B0"/>
    <w:rsid w:val="007E08AE"/>
    <w:rsid w:val="007E0EC2"/>
    <w:rsid w:val="007E1318"/>
    <w:rsid w:val="007E283A"/>
    <w:rsid w:val="007E29FC"/>
    <w:rsid w:val="007E546A"/>
    <w:rsid w:val="007E582E"/>
    <w:rsid w:val="007E6421"/>
    <w:rsid w:val="007E6FB6"/>
    <w:rsid w:val="007F0AEE"/>
    <w:rsid w:val="007F1857"/>
    <w:rsid w:val="007F3575"/>
    <w:rsid w:val="007F3F11"/>
    <w:rsid w:val="007F406F"/>
    <w:rsid w:val="007F4E97"/>
    <w:rsid w:val="007F7AC3"/>
    <w:rsid w:val="00800947"/>
    <w:rsid w:val="00800BA9"/>
    <w:rsid w:val="00800CB3"/>
    <w:rsid w:val="00800EB9"/>
    <w:rsid w:val="008022A9"/>
    <w:rsid w:val="00802487"/>
    <w:rsid w:val="0080301B"/>
    <w:rsid w:val="0080366B"/>
    <w:rsid w:val="00804464"/>
    <w:rsid w:val="0080573A"/>
    <w:rsid w:val="00805A88"/>
    <w:rsid w:val="00806746"/>
    <w:rsid w:val="0080693F"/>
    <w:rsid w:val="00806BA6"/>
    <w:rsid w:val="0080738F"/>
    <w:rsid w:val="00807E24"/>
    <w:rsid w:val="00807F42"/>
    <w:rsid w:val="00810F70"/>
    <w:rsid w:val="00811573"/>
    <w:rsid w:val="0081376F"/>
    <w:rsid w:val="00815C69"/>
    <w:rsid w:val="00817301"/>
    <w:rsid w:val="008215DC"/>
    <w:rsid w:val="00821736"/>
    <w:rsid w:val="00821ED3"/>
    <w:rsid w:val="0082212F"/>
    <w:rsid w:val="0082248D"/>
    <w:rsid w:val="008234DE"/>
    <w:rsid w:val="008237FC"/>
    <w:rsid w:val="008265BB"/>
    <w:rsid w:val="008268DB"/>
    <w:rsid w:val="00826D9E"/>
    <w:rsid w:val="008317AB"/>
    <w:rsid w:val="008319D9"/>
    <w:rsid w:val="00831BC7"/>
    <w:rsid w:val="00831E64"/>
    <w:rsid w:val="008323B1"/>
    <w:rsid w:val="00832F5E"/>
    <w:rsid w:val="00833344"/>
    <w:rsid w:val="008334D2"/>
    <w:rsid w:val="00834061"/>
    <w:rsid w:val="00835401"/>
    <w:rsid w:val="00835CFD"/>
    <w:rsid w:val="008364F7"/>
    <w:rsid w:val="00836A72"/>
    <w:rsid w:val="00837844"/>
    <w:rsid w:val="00841137"/>
    <w:rsid w:val="008416E6"/>
    <w:rsid w:val="008422EC"/>
    <w:rsid w:val="00842338"/>
    <w:rsid w:val="008427E6"/>
    <w:rsid w:val="008440B5"/>
    <w:rsid w:val="00844753"/>
    <w:rsid w:val="00844E18"/>
    <w:rsid w:val="00845EBF"/>
    <w:rsid w:val="0085282C"/>
    <w:rsid w:val="00852D65"/>
    <w:rsid w:val="00855EF7"/>
    <w:rsid w:val="00855EF9"/>
    <w:rsid w:val="00857AD4"/>
    <w:rsid w:val="00860D25"/>
    <w:rsid w:val="0086214B"/>
    <w:rsid w:val="00862B85"/>
    <w:rsid w:val="00866803"/>
    <w:rsid w:val="00867C55"/>
    <w:rsid w:val="00870099"/>
    <w:rsid w:val="00872B82"/>
    <w:rsid w:val="00872E33"/>
    <w:rsid w:val="008748B0"/>
    <w:rsid w:val="00874A60"/>
    <w:rsid w:val="00877B93"/>
    <w:rsid w:val="00880E23"/>
    <w:rsid w:val="008836C1"/>
    <w:rsid w:val="00883BD6"/>
    <w:rsid w:val="00883BD8"/>
    <w:rsid w:val="0088435B"/>
    <w:rsid w:val="00884B48"/>
    <w:rsid w:val="00885927"/>
    <w:rsid w:val="00885FCD"/>
    <w:rsid w:val="008867BA"/>
    <w:rsid w:val="008872C9"/>
    <w:rsid w:val="0089085B"/>
    <w:rsid w:val="00891624"/>
    <w:rsid w:val="00892792"/>
    <w:rsid w:val="0089387D"/>
    <w:rsid w:val="008951B0"/>
    <w:rsid w:val="00896B6B"/>
    <w:rsid w:val="008A0DBA"/>
    <w:rsid w:val="008A36C4"/>
    <w:rsid w:val="008A3BB1"/>
    <w:rsid w:val="008A6372"/>
    <w:rsid w:val="008A6511"/>
    <w:rsid w:val="008A6634"/>
    <w:rsid w:val="008A77F1"/>
    <w:rsid w:val="008B0CF0"/>
    <w:rsid w:val="008B14D9"/>
    <w:rsid w:val="008B4C2D"/>
    <w:rsid w:val="008B54FB"/>
    <w:rsid w:val="008B586C"/>
    <w:rsid w:val="008B6453"/>
    <w:rsid w:val="008B69BA"/>
    <w:rsid w:val="008B6B5E"/>
    <w:rsid w:val="008C0403"/>
    <w:rsid w:val="008C1439"/>
    <w:rsid w:val="008C21A1"/>
    <w:rsid w:val="008C279C"/>
    <w:rsid w:val="008C340B"/>
    <w:rsid w:val="008C4154"/>
    <w:rsid w:val="008C5AAE"/>
    <w:rsid w:val="008C5B15"/>
    <w:rsid w:val="008C5DF2"/>
    <w:rsid w:val="008C5FDD"/>
    <w:rsid w:val="008C6B04"/>
    <w:rsid w:val="008D0F93"/>
    <w:rsid w:val="008D1C41"/>
    <w:rsid w:val="008D36F5"/>
    <w:rsid w:val="008D493E"/>
    <w:rsid w:val="008D57FB"/>
    <w:rsid w:val="008D5D99"/>
    <w:rsid w:val="008D6709"/>
    <w:rsid w:val="008E0252"/>
    <w:rsid w:val="008E0503"/>
    <w:rsid w:val="008E224A"/>
    <w:rsid w:val="008E370B"/>
    <w:rsid w:val="008E516C"/>
    <w:rsid w:val="008E524B"/>
    <w:rsid w:val="008E5363"/>
    <w:rsid w:val="008E5921"/>
    <w:rsid w:val="008E5E09"/>
    <w:rsid w:val="008E5E25"/>
    <w:rsid w:val="008E66FA"/>
    <w:rsid w:val="008E6F19"/>
    <w:rsid w:val="008E71C5"/>
    <w:rsid w:val="008E7EFA"/>
    <w:rsid w:val="008F02A6"/>
    <w:rsid w:val="008F0D98"/>
    <w:rsid w:val="008F1EFE"/>
    <w:rsid w:val="008F34E8"/>
    <w:rsid w:val="008F6EEA"/>
    <w:rsid w:val="00900075"/>
    <w:rsid w:val="00902778"/>
    <w:rsid w:val="00902AA9"/>
    <w:rsid w:val="00904971"/>
    <w:rsid w:val="00904D0B"/>
    <w:rsid w:val="00904F30"/>
    <w:rsid w:val="00907C7D"/>
    <w:rsid w:val="00911023"/>
    <w:rsid w:val="0091148E"/>
    <w:rsid w:val="00911F61"/>
    <w:rsid w:val="00912033"/>
    <w:rsid w:val="00913E77"/>
    <w:rsid w:val="009142A0"/>
    <w:rsid w:val="00914F19"/>
    <w:rsid w:val="00917694"/>
    <w:rsid w:val="00917F86"/>
    <w:rsid w:val="00924AB0"/>
    <w:rsid w:val="00926AE5"/>
    <w:rsid w:val="00926EB7"/>
    <w:rsid w:val="00926FF7"/>
    <w:rsid w:val="00930A4C"/>
    <w:rsid w:val="009310DD"/>
    <w:rsid w:val="00931138"/>
    <w:rsid w:val="00933596"/>
    <w:rsid w:val="009339F3"/>
    <w:rsid w:val="00936272"/>
    <w:rsid w:val="00936A10"/>
    <w:rsid w:val="00940D27"/>
    <w:rsid w:val="00941194"/>
    <w:rsid w:val="009423A8"/>
    <w:rsid w:val="00942749"/>
    <w:rsid w:val="00942DD6"/>
    <w:rsid w:val="00943340"/>
    <w:rsid w:val="00943CDA"/>
    <w:rsid w:val="009449D5"/>
    <w:rsid w:val="00945156"/>
    <w:rsid w:val="00947787"/>
    <w:rsid w:val="00947C12"/>
    <w:rsid w:val="009506EB"/>
    <w:rsid w:val="00950889"/>
    <w:rsid w:val="00950A1C"/>
    <w:rsid w:val="00950AD1"/>
    <w:rsid w:val="009512CB"/>
    <w:rsid w:val="009520F9"/>
    <w:rsid w:val="00952363"/>
    <w:rsid w:val="00956811"/>
    <w:rsid w:val="0095758F"/>
    <w:rsid w:val="00960192"/>
    <w:rsid w:val="0096092A"/>
    <w:rsid w:val="00960DCF"/>
    <w:rsid w:val="00960EBE"/>
    <w:rsid w:val="009630AB"/>
    <w:rsid w:val="00964F7D"/>
    <w:rsid w:val="00965B33"/>
    <w:rsid w:val="00966BBB"/>
    <w:rsid w:val="00967215"/>
    <w:rsid w:val="00967E82"/>
    <w:rsid w:val="00967FB3"/>
    <w:rsid w:val="00970C7D"/>
    <w:rsid w:val="00971638"/>
    <w:rsid w:val="00971AD0"/>
    <w:rsid w:val="009723FE"/>
    <w:rsid w:val="00972443"/>
    <w:rsid w:val="009729B5"/>
    <w:rsid w:val="00973621"/>
    <w:rsid w:val="00974AE9"/>
    <w:rsid w:val="00977738"/>
    <w:rsid w:val="00977A71"/>
    <w:rsid w:val="0098314B"/>
    <w:rsid w:val="00983329"/>
    <w:rsid w:val="009833CD"/>
    <w:rsid w:val="0098361A"/>
    <w:rsid w:val="00983648"/>
    <w:rsid w:val="0098566E"/>
    <w:rsid w:val="00985A3D"/>
    <w:rsid w:val="00986E3A"/>
    <w:rsid w:val="0098769F"/>
    <w:rsid w:val="009903E7"/>
    <w:rsid w:val="00990BA8"/>
    <w:rsid w:val="009912D2"/>
    <w:rsid w:val="009920FC"/>
    <w:rsid w:val="00992BC3"/>
    <w:rsid w:val="009946ED"/>
    <w:rsid w:val="00994D55"/>
    <w:rsid w:val="00995558"/>
    <w:rsid w:val="00996E5B"/>
    <w:rsid w:val="009976EA"/>
    <w:rsid w:val="009A194C"/>
    <w:rsid w:val="009A1E22"/>
    <w:rsid w:val="009A2996"/>
    <w:rsid w:val="009A2F48"/>
    <w:rsid w:val="009A3054"/>
    <w:rsid w:val="009A3785"/>
    <w:rsid w:val="009A43A2"/>
    <w:rsid w:val="009A45D4"/>
    <w:rsid w:val="009A5335"/>
    <w:rsid w:val="009A65A1"/>
    <w:rsid w:val="009B3F9F"/>
    <w:rsid w:val="009B4827"/>
    <w:rsid w:val="009B4B26"/>
    <w:rsid w:val="009B4B6F"/>
    <w:rsid w:val="009B63FC"/>
    <w:rsid w:val="009B7FD7"/>
    <w:rsid w:val="009C0536"/>
    <w:rsid w:val="009C0D99"/>
    <w:rsid w:val="009C1FF7"/>
    <w:rsid w:val="009C3553"/>
    <w:rsid w:val="009C489A"/>
    <w:rsid w:val="009C5824"/>
    <w:rsid w:val="009C59F6"/>
    <w:rsid w:val="009C5EDB"/>
    <w:rsid w:val="009D095E"/>
    <w:rsid w:val="009D2718"/>
    <w:rsid w:val="009D276A"/>
    <w:rsid w:val="009D2F69"/>
    <w:rsid w:val="009D3813"/>
    <w:rsid w:val="009D4DE2"/>
    <w:rsid w:val="009D5D2B"/>
    <w:rsid w:val="009D6CC0"/>
    <w:rsid w:val="009E1B0D"/>
    <w:rsid w:val="009E27BE"/>
    <w:rsid w:val="009E2CA9"/>
    <w:rsid w:val="009E602A"/>
    <w:rsid w:val="009F06F2"/>
    <w:rsid w:val="009F2184"/>
    <w:rsid w:val="009F2559"/>
    <w:rsid w:val="009F2FAE"/>
    <w:rsid w:val="009F4735"/>
    <w:rsid w:val="009F4BE9"/>
    <w:rsid w:val="00A0183B"/>
    <w:rsid w:val="00A01917"/>
    <w:rsid w:val="00A01AD2"/>
    <w:rsid w:val="00A01F30"/>
    <w:rsid w:val="00A022B1"/>
    <w:rsid w:val="00A04DD8"/>
    <w:rsid w:val="00A06847"/>
    <w:rsid w:val="00A07520"/>
    <w:rsid w:val="00A10B05"/>
    <w:rsid w:val="00A134CB"/>
    <w:rsid w:val="00A13540"/>
    <w:rsid w:val="00A13B44"/>
    <w:rsid w:val="00A156F2"/>
    <w:rsid w:val="00A2174B"/>
    <w:rsid w:val="00A21D9C"/>
    <w:rsid w:val="00A2205C"/>
    <w:rsid w:val="00A253FC"/>
    <w:rsid w:val="00A259D9"/>
    <w:rsid w:val="00A30E99"/>
    <w:rsid w:val="00A31665"/>
    <w:rsid w:val="00A31CE4"/>
    <w:rsid w:val="00A40917"/>
    <w:rsid w:val="00A4252F"/>
    <w:rsid w:val="00A42CBC"/>
    <w:rsid w:val="00A439C7"/>
    <w:rsid w:val="00A45243"/>
    <w:rsid w:val="00A45850"/>
    <w:rsid w:val="00A467AF"/>
    <w:rsid w:val="00A46E86"/>
    <w:rsid w:val="00A50385"/>
    <w:rsid w:val="00A507E2"/>
    <w:rsid w:val="00A50F50"/>
    <w:rsid w:val="00A514F3"/>
    <w:rsid w:val="00A525F8"/>
    <w:rsid w:val="00A52EF8"/>
    <w:rsid w:val="00A5439D"/>
    <w:rsid w:val="00A56006"/>
    <w:rsid w:val="00A56521"/>
    <w:rsid w:val="00A574EA"/>
    <w:rsid w:val="00A60407"/>
    <w:rsid w:val="00A60711"/>
    <w:rsid w:val="00A62007"/>
    <w:rsid w:val="00A62A3C"/>
    <w:rsid w:val="00A62F0E"/>
    <w:rsid w:val="00A63E03"/>
    <w:rsid w:val="00A63E9C"/>
    <w:rsid w:val="00A642B8"/>
    <w:rsid w:val="00A64D1B"/>
    <w:rsid w:val="00A6562E"/>
    <w:rsid w:val="00A70246"/>
    <w:rsid w:val="00A70BE2"/>
    <w:rsid w:val="00A716BA"/>
    <w:rsid w:val="00A733D1"/>
    <w:rsid w:val="00A7404B"/>
    <w:rsid w:val="00A74CFF"/>
    <w:rsid w:val="00A75E42"/>
    <w:rsid w:val="00A804A6"/>
    <w:rsid w:val="00A80A9B"/>
    <w:rsid w:val="00A8491A"/>
    <w:rsid w:val="00A84F06"/>
    <w:rsid w:val="00A85D14"/>
    <w:rsid w:val="00A85F31"/>
    <w:rsid w:val="00A900AC"/>
    <w:rsid w:val="00A91BE1"/>
    <w:rsid w:val="00A921E1"/>
    <w:rsid w:val="00A92590"/>
    <w:rsid w:val="00A93821"/>
    <w:rsid w:val="00A947C5"/>
    <w:rsid w:val="00A956FD"/>
    <w:rsid w:val="00AA050B"/>
    <w:rsid w:val="00AA0656"/>
    <w:rsid w:val="00AA1F1C"/>
    <w:rsid w:val="00AA2C3A"/>
    <w:rsid w:val="00AA2F58"/>
    <w:rsid w:val="00AA347E"/>
    <w:rsid w:val="00AA3A72"/>
    <w:rsid w:val="00AA40C6"/>
    <w:rsid w:val="00AA4E9F"/>
    <w:rsid w:val="00AA5221"/>
    <w:rsid w:val="00AA5B1B"/>
    <w:rsid w:val="00AA7000"/>
    <w:rsid w:val="00AB1B7D"/>
    <w:rsid w:val="00AB235A"/>
    <w:rsid w:val="00AB2C05"/>
    <w:rsid w:val="00AB3174"/>
    <w:rsid w:val="00AB33F4"/>
    <w:rsid w:val="00AB3EC8"/>
    <w:rsid w:val="00AB40FF"/>
    <w:rsid w:val="00AB4C43"/>
    <w:rsid w:val="00AB5E3C"/>
    <w:rsid w:val="00AC050A"/>
    <w:rsid w:val="00AC07BC"/>
    <w:rsid w:val="00AC0DBA"/>
    <w:rsid w:val="00AC37A9"/>
    <w:rsid w:val="00AC5380"/>
    <w:rsid w:val="00AC608F"/>
    <w:rsid w:val="00AC6119"/>
    <w:rsid w:val="00AC65B5"/>
    <w:rsid w:val="00AC7070"/>
    <w:rsid w:val="00AC72E2"/>
    <w:rsid w:val="00AD0352"/>
    <w:rsid w:val="00AD1BBE"/>
    <w:rsid w:val="00AD237D"/>
    <w:rsid w:val="00AD3B61"/>
    <w:rsid w:val="00AD67C4"/>
    <w:rsid w:val="00AD7104"/>
    <w:rsid w:val="00AD7B44"/>
    <w:rsid w:val="00AD7E36"/>
    <w:rsid w:val="00AE098B"/>
    <w:rsid w:val="00AE14C8"/>
    <w:rsid w:val="00AE1EFB"/>
    <w:rsid w:val="00AE2A99"/>
    <w:rsid w:val="00AE2BDC"/>
    <w:rsid w:val="00AE318E"/>
    <w:rsid w:val="00AE38FB"/>
    <w:rsid w:val="00AE483E"/>
    <w:rsid w:val="00AE5460"/>
    <w:rsid w:val="00AE564D"/>
    <w:rsid w:val="00AE5742"/>
    <w:rsid w:val="00AE5C2B"/>
    <w:rsid w:val="00AF04E4"/>
    <w:rsid w:val="00AF0671"/>
    <w:rsid w:val="00AF0D78"/>
    <w:rsid w:val="00AF16ED"/>
    <w:rsid w:val="00AF2DA4"/>
    <w:rsid w:val="00AF31BB"/>
    <w:rsid w:val="00AF373A"/>
    <w:rsid w:val="00AF421B"/>
    <w:rsid w:val="00AF67DA"/>
    <w:rsid w:val="00AF69E4"/>
    <w:rsid w:val="00AF763F"/>
    <w:rsid w:val="00B01B41"/>
    <w:rsid w:val="00B01C0A"/>
    <w:rsid w:val="00B0249F"/>
    <w:rsid w:val="00B0269B"/>
    <w:rsid w:val="00B031A3"/>
    <w:rsid w:val="00B04864"/>
    <w:rsid w:val="00B04ACB"/>
    <w:rsid w:val="00B06F48"/>
    <w:rsid w:val="00B07355"/>
    <w:rsid w:val="00B077A0"/>
    <w:rsid w:val="00B0790F"/>
    <w:rsid w:val="00B1026F"/>
    <w:rsid w:val="00B10F6D"/>
    <w:rsid w:val="00B12D75"/>
    <w:rsid w:val="00B13E22"/>
    <w:rsid w:val="00B15F66"/>
    <w:rsid w:val="00B16F1A"/>
    <w:rsid w:val="00B177AF"/>
    <w:rsid w:val="00B17EE5"/>
    <w:rsid w:val="00B20719"/>
    <w:rsid w:val="00B22BFB"/>
    <w:rsid w:val="00B22C64"/>
    <w:rsid w:val="00B231FB"/>
    <w:rsid w:val="00B2386D"/>
    <w:rsid w:val="00B2491B"/>
    <w:rsid w:val="00B24CC9"/>
    <w:rsid w:val="00B26474"/>
    <w:rsid w:val="00B26D5D"/>
    <w:rsid w:val="00B26E11"/>
    <w:rsid w:val="00B27D2F"/>
    <w:rsid w:val="00B27E1B"/>
    <w:rsid w:val="00B304B2"/>
    <w:rsid w:val="00B30A57"/>
    <w:rsid w:val="00B3110A"/>
    <w:rsid w:val="00B31AAE"/>
    <w:rsid w:val="00B333F4"/>
    <w:rsid w:val="00B35583"/>
    <w:rsid w:val="00B35C6B"/>
    <w:rsid w:val="00B370D9"/>
    <w:rsid w:val="00B424C3"/>
    <w:rsid w:val="00B43B6B"/>
    <w:rsid w:val="00B44697"/>
    <w:rsid w:val="00B449F0"/>
    <w:rsid w:val="00B47CE8"/>
    <w:rsid w:val="00B501A2"/>
    <w:rsid w:val="00B51104"/>
    <w:rsid w:val="00B514F2"/>
    <w:rsid w:val="00B519BD"/>
    <w:rsid w:val="00B51A23"/>
    <w:rsid w:val="00B51A59"/>
    <w:rsid w:val="00B524BE"/>
    <w:rsid w:val="00B529BB"/>
    <w:rsid w:val="00B53EA3"/>
    <w:rsid w:val="00B57270"/>
    <w:rsid w:val="00B57F5C"/>
    <w:rsid w:val="00B61F6D"/>
    <w:rsid w:val="00B62F49"/>
    <w:rsid w:val="00B636DC"/>
    <w:rsid w:val="00B647AD"/>
    <w:rsid w:val="00B6557B"/>
    <w:rsid w:val="00B659CF"/>
    <w:rsid w:val="00B668A6"/>
    <w:rsid w:val="00B67A5C"/>
    <w:rsid w:val="00B67EB9"/>
    <w:rsid w:val="00B70468"/>
    <w:rsid w:val="00B70D9D"/>
    <w:rsid w:val="00B7469F"/>
    <w:rsid w:val="00B751FF"/>
    <w:rsid w:val="00B75405"/>
    <w:rsid w:val="00B75669"/>
    <w:rsid w:val="00B75AF9"/>
    <w:rsid w:val="00B75F05"/>
    <w:rsid w:val="00B763DE"/>
    <w:rsid w:val="00B77BB1"/>
    <w:rsid w:val="00B77C0C"/>
    <w:rsid w:val="00B80484"/>
    <w:rsid w:val="00B80B5B"/>
    <w:rsid w:val="00B80D5D"/>
    <w:rsid w:val="00B81228"/>
    <w:rsid w:val="00B81795"/>
    <w:rsid w:val="00B82474"/>
    <w:rsid w:val="00B8255F"/>
    <w:rsid w:val="00B82F92"/>
    <w:rsid w:val="00B83150"/>
    <w:rsid w:val="00B83947"/>
    <w:rsid w:val="00B84C69"/>
    <w:rsid w:val="00B86EC4"/>
    <w:rsid w:val="00B917C3"/>
    <w:rsid w:val="00B9353A"/>
    <w:rsid w:val="00B94BFA"/>
    <w:rsid w:val="00B968AF"/>
    <w:rsid w:val="00B972F5"/>
    <w:rsid w:val="00BA16AF"/>
    <w:rsid w:val="00BA1C27"/>
    <w:rsid w:val="00BA1E8F"/>
    <w:rsid w:val="00BA3440"/>
    <w:rsid w:val="00BA42D2"/>
    <w:rsid w:val="00BA577C"/>
    <w:rsid w:val="00BA6AF3"/>
    <w:rsid w:val="00BA6CF9"/>
    <w:rsid w:val="00BB0D3F"/>
    <w:rsid w:val="00BB1FCC"/>
    <w:rsid w:val="00BB30CD"/>
    <w:rsid w:val="00BB4193"/>
    <w:rsid w:val="00BB451A"/>
    <w:rsid w:val="00BB4950"/>
    <w:rsid w:val="00BB495C"/>
    <w:rsid w:val="00BB5020"/>
    <w:rsid w:val="00BB518D"/>
    <w:rsid w:val="00BB5BE4"/>
    <w:rsid w:val="00BB6D35"/>
    <w:rsid w:val="00BC272F"/>
    <w:rsid w:val="00BC2905"/>
    <w:rsid w:val="00BC3921"/>
    <w:rsid w:val="00BC42AF"/>
    <w:rsid w:val="00BC4741"/>
    <w:rsid w:val="00BC4CD2"/>
    <w:rsid w:val="00BC4DC9"/>
    <w:rsid w:val="00BC6FD7"/>
    <w:rsid w:val="00BC7408"/>
    <w:rsid w:val="00BC778D"/>
    <w:rsid w:val="00BC7B28"/>
    <w:rsid w:val="00BD148C"/>
    <w:rsid w:val="00BD436C"/>
    <w:rsid w:val="00BD4929"/>
    <w:rsid w:val="00BD5432"/>
    <w:rsid w:val="00BD5A64"/>
    <w:rsid w:val="00BD5E44"/>
    <w:rsid w:val="00BD7BF0"/>
    <w:rsid w:val="00BD7F39"/>
    <w:rsid w:val="00BE0258"/>
    <w:rsid w:val="00BE17B5"/>
    <w:rsid w:val="00BE3231"/>
    <w:rsid w:val="00BE5FE9"/>
    <w:rsid w:val="00BE7167"/>
    <w:rsid w:val="00BE7935"/>
    <w:rsid w:val="00BF191B"/>
    <w:rsid w:val="00BF1E65"/>
    <w:rsid w:val="00BF25FD"/>
    <w:rsid w:val="00BF2EDB"/>
    <w:rsid w:val="00BF2F5E"/>
    <w:rsid w:val="00BF3301"/>
    <w:rsid w:val="00BF402E"/>
    <w:rsid w:val="00BF4492"/>
    <w:rsid w:val="00BF4E40"/>
    <w:rsid w:val="00BF5B60"/>
    <w:rsid w:val="00BF5BFE"/>
    <w:rsid w:val="00BF6294"/>
    <w:rsid w:val="00BF7533"/>
    <w:rsid w:val="00BF78D2"/>
    <w:rsid w:val="00C00906"/>
    <w:rsid w:val="00C00F73"/>
    <w:rsid w:val="00C01AB9"/>
    <w:rsid w:val="00C02F1E"/>
    <w:rsid w:val="00C037D5"/>
    <w:rsid w:val="00C0502F"/>
    <w:rsid w:val="00C06847"/>
    <w:rsid w:val="00C100ED"/>
    <w:rsid w:val="00C10297"/>
    <w:rsid w:val="00C1094E"/>
    <w:rsid w:val="00C10F96"/>
    <w:rsid w:val="00C11A04"/>
    <w:rsid w:val="00C1201C"/>
    <w:rsid w:val="00C13412"/>
    <w:rsid w:val="00C14344"/>
    <w:rsid w:val="00C144A7"/>
    <w:rsid w:val="00C14BA4"/>
    <w:rsid w:val="00C14BB0"/>
    <w:rsid w:val="00C15417"/>
    <w:rsid w:val="00C1542F"/>
    <w:rsid w:val="00C168FB"/>
    <w:rsid w:val="00C20E1A"/>
    <w:rsid w:val="00C212DA"/>
    <w:rsid w:val="00C21583"/>
    <w:rsid w:val="00C21B5C"/>
    <w:rsid w:val="00C21FBE"/>
    <w:rsid w:val="00C242B2"/>
    <w:rsid w:val="00C25323"/>
    <w:rsid w:val="00C25604"/>
    <w:rsid w:val="00C2593C"/>
    <w:rsid w:val="00C25C91"/>
    <w:rsid w:val="00C26CD6"/>
    <w:rsid w:val="00C2758D"/>
    <w:rsid w:val="00C27652"/>
    <w:rsid w:val="00C31CC3"/>
    <w:rsid w:val="00C31E71"/>
    <w:rsid w:val="00C32738"/>
    <w:rsid w:val="00C329C9"/>
    <w:rsid w:val="00C32E67"/>
    <w:rsid w:val="00C348F3"/>
    <w:rsid w:val="00C34BD1"/>
    <w:rsid w:val="00C37136"/>
    <w:rsid w:val="00C374EB"/>
    <w:rsid w:val="00C40C3E"/>
    <w:rsid w:val="00C414E2"/>
    <w:rsid w:val="00C4166B"/>
    <w:rsid w:val="00C416ED"/>
    <w:rsid w:val="00C41766"/>
    <w:rsid w:val="00C417BA"/>
    <w:rsid w:val="00C41C1A"/>
    <w:rsid w:val="00C42C02"/>
    <w:rsid w:val="00C4337C"/>
    <w:rsid w:val="00C43644"/>
    <w:rsid w:val="00C440DB"/>
    <w:rsid w:val="00C4509D"/>
    <w:rsid w:val="00C45481"/>
    <w:rsid w:val="00C45A80"/>
    <w:rsid w:val="00C46DF4"/>
    <w:rsid w:val="00C47C9B"/>
    <w:rsid w:val="00C51319"/>
    <w:rsid w:val="00C513D4"/>
    <w:rsid w:val="00C5486A"/>
    <w:rsid w:val="00C55319"/>
    <w:rsid w:val="00C57358"/>
    <w:rsid w:val="00C574D1"/>
    <w:rsid w:val="00C57685"/>
    <w:rsid w:val="00C61F99"/>
    <w:rsid w:val="00C62432"/>
    <w:rsid w:val="00C62B8B"/>
    <w:rsid w:val="00C62E62"/>
    <w:rsid w:val="00C63BC6"/>
    <w:rsid w:val="00C63F24"/>
    <w:rsid w:val="00C65552"/>
    <w:rsid w:val="00C669B1"/>
    <w:rsid w:val="00C66C39"/>
    <w:rsid w:val="00C676E4"/>
    <w:rsid w:val="00C67A07"/>
    <w:rsid w:val="00C702ED"/>
    <w:rsid w:val="00C70630"/>
    <w:rsid w:val="00C71326"/>
    <w:rsid w:val="00C716A1"/>
    <w:rsid w:val="00C76860"/>
    <w:rsid w:val="00C77124"/>
    <w:rsid w:val="00C7763F"/>
    <w:rsid w:val="00C77F65"/>
    <w:rsid w:val="00C77F92"/>
    <w:rsid w:val="00C80107"/>
    <w:rsid w:val="00C81800"/>
    <w:rsid w:val="00C81EB8"/>
    <w:rsid w:val="00C8542B"/>
    <w:rsid w:val="00C8568C"/>
    <w:rsid w:val="00C90BAB"/>
    <w:rsid w:val="00C924D9"/>
    <w:rsid w:val="00C934E6"/>
    <w:rsid w:val="00C93776"/>
    <w:rsid w:val="00C93944"/>
    <w:rsid w:val="00C93A7D"/>
    <w:rsid w:val="00C944A3"/>
    <w:rsid w:val="00C950DD"/>
    <w:rsid w:val="00C95672"/>
    <w:rsid w:val="00C95950"/>
    <w:rsid w:val="00CA1B2F"/>
    <w:rsid w:val="00CA3119"/>
    <w:rsid w:val="00CA3477"/>
    <w:rsid w:val="00CA395C"/>
    <w:rsid w:val="00CA3D1E"/>
    <w:rsid w:val="00CA3D99"/>
    <w:rsid w:val="00CA4070"/>
    <w:rsid w:val="00CA49F1"/>
    <w:rsid w:val="00CA50FD"/>
    <w:rsid w:val="00CA6FC9"/>
    <w:rsid w:val="00CB04DC"/>
    <w:rsid w:val="00CB3A3F"/>
    <w:rsid w:val="00CB3E03"/>
    <w:rsid w:val="00CB4BA6"/>
    <w:rsid w:val="00CB573B"/>
    <w:rsid w:val="00CB5F74"/>
    <w:rsid w:val="00CB600B"/>
    <w:rsid w:val="00CB76CC"/>
    <w:rsid w:val="00CC1573"/>
    <w:rsid w:val="00CC466E"/>
    <w:rsid w:val="00CC558E"/>
    <w:rsid w:val="00CC597A"/>
    <w:rsid w:val="00CC6018"/>
    <w:rsid w:val="00CC6BEF"/>
    <w:rsid w:val="00CC7B3E"/>
    <w:rsid w:val="00CD1622"/>
    <w:rsid w:val="00CD2352"/>
    <w:rsid w:val="00CD30E6"/>
    <w:rsid w:val="00CD62C2"/>
    <w:rsid w:val="00CD63AF"/>
    <w:rsid w:val="00CD78D9"/>
    <w:rsid w:val="00CE1437"/>
    <w:rsid w:val="00CE1BDE"/>
    <w:rsid w:val="00CE2742"/>
    <w:rsid w:val="00CE338F"/>
    <w:rsid w:val="00CE38E4"/>
    <w:rsid w:val="00CE595B"/>
    <w:rsid w:val="00CE6073"/>
    <w:rsid w:val="00CE62EF"/>
    <w:rsid w:val="00CE690F"/>
    <w:rsid w:val="00CE691C"/>
    <w:rsid w:val="00CE7E77"/>
    <w:rsid w:val="00CF0365"/>
    <w:rsid w:val="00CF17D1"/>
    <w:rsid w:val="00CF1B47"/>
    <w:rsid w:val="00CF2BAE"/>
    <w:rsid w:val="00CF463F"/>
    <w:rsid w:val="00CF466D"/>
    <w:rsid w:val="00CF488C"/>
    <w:rsid w:val="00CF5A8F"/>
    <w:rsid w:val="00CF6315"/>
    <w:rsid w:val="00CF7247"/>
    <w:rsid w:val="00D00031"/>
    <w:rsid w:val="00D006F5"/>
    <w:rsid w:val="00D00D40"/>
    <w:rsid w:val="00D00E99"/>
    <w:rsid w:val="00D05452"/>
    <w:rsid w:val="00D05725"/>
    <w:rsid w:val="00D05B5B"/>
    <w:rsid w:val="00D111D0"/>
    <w:rsid w:val="00D11331"/>
    <w:rsid w:val="00D14B8B"/>
    <w:rsid w:val="00D1592C"/>
    <w:rsid w:val="00D15E83"/>
    <w:rsid w:val="00D167A4"/>
    <w:rsid w:val="00D20E04"/>
    <w:rsid w:val="00D21EB4"/>
    <w:rsid w:val="00D21FA5"/>
    <w:rsid w:val="00D232C2"/>
    <w:rsid w:val="00D248B8"/>
    <w:rsid w:val="00D24DAC"/>
    <w:rsid w:val="00D24DB3"/>
    <w:rsid w:val="00D25362"/>
    <w:rsid w:val="00D25521"/>
    <w:rsid w:val="00D271D5"/>
    <w:rsid w:val="00D3050B"/>
    <w:rsid w:val="00D310A3"/>
    <w:rsid w:val="00D31432"/>
    <w:rsid w:val="00D315AB"/>
    <w:rsid w:val="00D31EC8"/>
    <w:rsid w:val="00D3256B"/>
    <w:rsid w:val="00D33613"/>
    <w:rsid w:val="00D34DC7"/>
    <w:rsid w:val="00D40A41"/>
    <w:rsid w:val="00D40B3E"/>
    <w:rsid w:val="00D415B0"/>
    <w:rsid w:val="00D43394"/>
    <w:rsid w:val="00D44A26"/>
    <w:rsid w:val="00D4691A"/>
    <w:rsid w:val="00D51F09"/>
    <w:rsid w:val="00D520F2"/>
    <w:rsid w:val="00D5338B"/>
    <w:rsid w:val="00D5377B"/>
    <w:rsid w:val="00D53B47"/>
    <w:rsid w:val="00D53B97"/>
    <w:rsid w:val="00D53D51"/>
    <w:rsid w:val="00D53E44"/>
    <w:rsid w:val="00D544BD"/>
    <w:rsid w:val="00D54DF0"/>
    <w:rsid w:val="00D54E6A"/>
    <w:rsid w:val="00D56CC2"/>
    <w:rsid w:val="00D6175B"/>
    <w:rsid w:val="00D62602"/>
    <w:rsid w:val="00D62818"/>
    <w:rsid w:val="00D62BBE"/>
    <w:rsid w:val="00D62F8B"/>
    <w:rsid w:val="00D63637"/>
    <w:rsid w:val="00D63B5A"/>
    <w:rsid w:val="00D6438B"/>
    <w:rsid w:val="00D64966"/>
    <w:rsid w:val="00D64FAD"/>
    <w:rsid w:val="00D650C0"/>
    <w:rsid w:val="00D654AE"/>
    <w:rsid w:val="00D67DC6"/>
    <w:rsid w:val="00D7026E"/>
    <w:rsid w:val="00D70D41"/>
    <w:rsid w:val="00D71650"/>
    <w:rsid w:val="00D71B94"/>
    <w:rsid w:val="00D71F71"/>
    <w:rsid w:val="00D800B1"/>
    <w:rsid w:val="00D8290B"/>
    <w:rsid w:val="00D83797"/>
    <w:rsid w:val="00D83D73"/>
    <w:rsid w:val="00D83DA6"/>
    <w:rsid w:val="00D84126"/>
    <w:rsid w:val="00D8418A"/>
    <w:rsid w:val="00D856D1"/>
    <w:rsid w:val="00D85E82"/>
    <w:rsid w:val="00D86377"/>
    <w:rsid w:val="00D86E44"/>
    <w:rsid w:val="00D87110"/>
    <w:rsid w:val="00D87EC3"/>
    <w:rsid w:val="00D904AD"/>
    <w:rsid w:val="00D91B15"/>
    <w:rsid w:val="00D92534"/>
    <w:rsid w:val="00D92987"/>
    <w:rsid w:val="00D92E07"/>
    <w:rsid w:val="00D93F22"/>
    <w:rsid w:val="00D95BDD"/>
    <w:rsid w:val="00D973A9"/>
    <w:rsid w:val="00D9771F"/>
    <w:rsid w:val="00DA007B"/>
    <w:rsid w:val="00DA0297"/>
    <w:rsid w:val="00DA08B7"/>
    <w:rsid w:val="00DA26DD"/>
    <w:rsid w:val="00DA38AD"/>
    <w:rsid w:val="00DA4DE2"/>
    <w:rsid w:val="00DA658A"/>
    <w:rsid w:val="00DA6862"/>
    <w:rsid w:val="00DB0764"/>
    <w:rsid w:val="00DB0C45"/>
    <w:rsid w:val="00DB12AE"/>
    <w:rsid w:val="00DB16CC"/>
    <w:rsid w:val="00DB267D"/>
    <w:rsid w:val="00DB2C52"/>
    <w:rsid w:val="00DB2CBE"/>
    <w:rsid w:val="00DB3979"/>
    <w:rsid w:val="00DB4070"/>
    <w:rsid w:val="00DB40D6"/>
    <w:rsid w:val="00DB7E8A"/>
    <w:rsid w:val="00DC3650"/>
    <w:rsid w:val="00DC381F"/>
    <w:rsid w:val="00DC4205"/>
    <w:rsid w:val="00DC4255"/>
    <w:rsid w:val="00DC58FB"/>
    <w:rsid w:val="00DC6BD3"/>
    <w:rsid w:val="00DC75E6"/>
    <w:rsid w:val="00DC7E9A"/>
    <w:rsid w:val="00DD04EB"/>
    <w:rsid w:val="00DD073A"/>
    <w:rsid w:val="00DD12BE"/>
    <w:rsid w:val="00DD1B29"/>
    <w:rsid w:val="00DD1D76"/>
    <w:rsid w:val="00DD2457"/>
    <w:rsid w:val="00DD38A5"/>
    <w:rsid w:val="00DD4202"/>
    <w:rsid w:val="00DD4F30"/>
    <w:rsid w:val="00DD6722"/>
    <w:rsid w:val="00DD79CA"/>
    <w:rsid w:val="00DE376F"/>
    <w:rsid w:val="00DE3D74"/>
    <w:rsid w:val="00DE4D04"/>
    <w:rsid w:val="00DE513E"/>
    <w:rsid w:val="00DE7006"/>
    <w:rsid w:val="00DF04A0"/>
    <w:rsid w:val="00DF0C01"/>
    <w:rsid w:val="00DF0ED2"/>
    <w:rsid w:val="00DF234A"/>
    <w:rsid w:val="00DF3667"/>
    <w:rsid w:val="00DF3C74"/>
    <w:rsid w:val="00DF51C4"/>
    <w:rsid w:val="00DF5221"/>
    <w:rsid w:val="00DF73A8"/>
    <w:rsid w:val="00DF7590"/>
    <w:rsid w:val="00E01D08"/>
    <w:rsid w:val="00E0444F"/>
    <w:rsid w:val="00E0520A"/>
    <w:rsid w:val="00E071AA"/>
    <w:rsid w:val="00E1256C"/>
    <w:rsid w:val="00E12B1B"/>
    <w:rsid w:val="00E13255"/>
    <w:rsid w:val="00E13C67"/>
    <w:rsid w:val="00E13FE4"/>
    <w:rsid w:val="00E15F95"/>
    <w:rsid w:val="00E2026C"/>
    <w:rsid w:val="00E21120"/>
    <w:rsid w:val="00E21929"/>
    <w:rsid w:val="00E22119"/>
    <w:rsid w:val="00E22AE9"/>
    <w:rsid w:val="00E22F69"/>
    <w:rsid w:val="00E24011"/>
    <w:rsid w:val="00E263D2"/>
    <w:rsid w:val="00E270D4"/>
    <w:rsid w:val="00E32112"/>
    <w:rsid w:val="00E334F8"/>
    <w:rsid w:val="00E348D1"/>
    <w:rsid w:val="00E35467"/>
    <w:rsid w:val="00E37226"/>
    <w:rsid w:val="00E3749E"/>
    <w:rsid w:val="00E40135"/>
    <w:rsid w:val="00E42EA3"/>
    <w:rsid w:val="00E43994"/>
    <w:rsid w:val="00E452A9"/>
    <w:rsid w:val="00E4682A"/>
    <w:rsid w:val="00E477C0"/>
    <w:rsid w:val="00E519FF"/>
    <w:rsid w:val="00E526AE"/>
    <w:rsid w:val="00E52E01"/>
    <w:rsid w:val="00E55501"/>
    <w:rsid w:val="00E564A2"/>
    <w:rsid w:val="00E57168"/>
    <w:rsid w:val="00E5759C"/>
    <w:rsid w:val="00E575B4"/>
    <w:rsid w:val="00E61455"/>
    <w:rsid w:val="00E621C7"/>
    <w:rsid w:val="00E6303F"/>
    <w:rsid w:val="00E631F6"/>
    <w:rsid w:val="00E64D7B"/>
    <w:rsid w:val="00E66325"/>
    <w:rsid w:val="00E66DCF"/>
    <w:rsid w:val="00E71F4B"/>
    <w:rsid w:val="00E7287B"/>
    <w:rsid w:val="00E72B3D"/>
    <w:rsid w:val="00E73355"/>
    <w:rsid w:val="00E75626"/>
    <w:rsid w:val="00E76DAA"/>
    <w:rsid w:val="00E80E77"/>
    <w:rsid w:val="00E816BB"/>
    <w:rsid w:val="00E8183E"/>
    <w:rsid w:val="00E81EA0"/>
    <w:rsid w:val="00E81ED0"/>
    <w:rsid w:val="00E83E88"/>
    <w:rsid w:val="00E85204"/>
    <w:rsid w:val="00E87200"/>
    <w:rsid w:val="00E873C8"/>
    <w:rsid w:val="00E87F08"/>
    <w:rsid w:val="00E9002F"/>
    <w:rsid w:val="00E913AE"/>
    <w:rsid w:val="00E9146E"/>
    <w:rsid w:val="00E9156C"/>
    <w:rsid w:val="00E92994"/>
    <w:rsid w:val="00E9363E"/>
    <w:rsid w:val="00E94353"/>
    <w:rsid w:val="00E9454E"/>
    <w:rsid w:val="00E95B51"/>
    <w:rsid w:val="00E96EEA"/>
    <w:rsid w:val="00E975F9"/>
    <w:rsid w:val="00EA0BEE"/>
    <w:rsid w:val="00EA3190"/>
    <w:rsid w:val="00EA32FD"/>
    <w:rsid w:val="00EA36AC"/>
    <w:rsid w:val="00EA5ABC"/>
    <w:rsid w:val="00EA5F74"/>
    <w:rsid w:val="00EA748B"/>
    <w:rsid w:val="00EA7FD6"/>
    <w:rsid w:val="00EB1D98"/>
    <w:rsid w:val="00EB3AA9"/>
    <w:rsid w:val="00EB3C4D"/>
    <w:rsid w:val="00EB4AF4"/>
    <w:rsid w:val="00EB5503"/>
    <w:rsid w:val="00EB718A"/>
    <w:rsid w:val="00EB7608"/>
    <w:rsid w:val="00EB79A6"/>
    <w:rsid w:val="00EC021F"/>
    <w:rsid w:val="00EC1BE9"/>
    <w:rsid w:val="00EC202B"/>
    <w:rsid w:val="00EC2EA1"/>
    <w:rsid w:val="00EC5786"/>
    <w:rsid w:val="00EC6219"/>
    <w:rsid w:val="00ED18F3"/>
    <w:rsid w:val="00ED1B8F"/>
    <w:rsid w:val="00ED1DD2"/>
    <w:rsid w:val="00ED1E12"/>
    <w:rsid w:val="00ED26AE"/>
    <w:rsid w:val="00ED2EC0"/>
    <w:rsid w:val="00ED62C9"/>
    <w:rsid w:val="00ED6302"/>
    <w:rsid w:val="00ED797B"/>
    <w:rsid w:val="00EE1B96"/>
    <w:rsid w:val="00EE1E54"/>
    <w:rsid w:val="00EE2906"/>
    <w:rsid w:val="00EE37A8"/>
    <w:rsid w:val="00EE4103"/>
    <w:rsid w:val="00EE4C41"/>
    <w:rsid w:val="00EE4E0C"/>
    <w:rsid w:val="00EE4FFB"/>
    <w:rsid w:val="00EE5A90"/>
    <w:rsid w:val="00EE6BDC"/>
    <w:rsid w:val="00EE7A46"/>
    <w:rsid w:val="00EE7C83"/>
    <w:rsid w:val="00EE7CA3"/>
    <w:rsid w:val="00EF0034"/>
    <w:rsid w:val="00EF2FA4"/>
    <w:rsid w:val="00EF436B"/>
    <w:rsid w:val="00EF544E"/>
    <w:rsid w:val="00EF678A"/>
    <w:rsid w:val="00F02C01"/>
    <w:rsid w:val="00F03911"/>
    <w:rsid w:val="00F03E41"/>
    <w:rsid w:val="00F0474F"/>
    <w:rsid w:val="00F06173"/>
    <w:rsid w:val="00F1016C"/>
    <w:rsid w:val="00F109F4"/>
    <w:rsid w:val="00F12832"/>
    <w:rsid w:val="00F1338A"/>
    <w:rsid w:val="00F133EF"/>
    <w:rsid w:val="00F15C05"/>
    <w:rsid w:val="00F160BD"/>
    <w:rsid w:val="00F1771F"/>
    <w:rsid w:val="00F17FDC"/>
    <w:rsid w:val="00F20BA0"/>
    <w:rsid w:val="00F246E4"/>
    <w:rsid w:val="00F2532B"/>
    <w:rsid w:val="00F2771D"/>
    <w:rsid w:val="00F27759"/>
    <w:rsid w:val="00F277E9"/>
    <w:rsid w:val="00F31054"/>
    <w:rsid w:val="00F31AC5"/>
    <w:rsid w:val="00F32DAC"/>
    <w:rsid w:val="00F3439E"/>
    <w:rsid w:val="00F346EE"/>
    <w:rsid w:val="00F3714D"/>
    <w:rsid w:val="00F40431"/>
    <w:rsid w:val="00F418D4"/>
    <w:rsid w:val="00F4327B"/>
    <w:rsid w:val="00F437AA"/>
    <w:rsid w:val="00F45DC5"/>
    <w:rsid w:val="00F470FA"/>
    <w:rsid w:val="00F47EB2"/>
    <w:rsid w:val="00F50FAB"/>
    <w:rsid w:val="00F52ACA"/>
    <w:rsid w:val="00F534CA"/>
    <w:rsid w:val="00F55CAF"/>
    <w:rsid w:val="00F55DAB"/>
    <w:rsid w:val="00F5639E"/>
    <w:rsid w:val="00F57E65"/>
    <w:rsid w:val="00F612BC"/>
    <w:rsid w:val="00F617F3"/>
    <w:rsid w:val="00F628F9"/>
    <w:rsid w:val="00F62E9E"/>
    <w:rsid w:val="00F6422F"/>
    <w:rsid w:val="00F67FD9"/>
    <w:rsid w:val="00F7055F"/>
    <w:rsid w:val="00F72525"/>
    <w:rsid w:val="00F73054"/>
    <w:rsid w:val="00F7344D"/>
    <w:rsid w:val="00F74651"/>
    <w:rsid w:val="00F7758F"/>
    <w:rsid w:val="00F80C9A"/>
    <w:rsid w:val="00F82A15"/>
    <w:rsid w:val="00F82D64"/>
    <w:rsid w:val="00F83827"/>
    <w:rsid w:val="00F83FD0"/>
    <w:rsid w:val="00F8475F"/>
    <w:rsid w:val="00F85D0A"/>
    <w:rsid w:val="00F8712C"/>
    <w:rsid w:val="00F87E3D"/>
    <w:rsid w:val="00F917E8"/>
    <w:rsid w:val="00F91DA8"/>
    <w:rsid w:val="00F93AD2"/>
    <w:rsid w:val="00F93DE3"/>
    <w:rsid w:val="00F94983"/>
    <w:rsid w:val="00F952EE"/>
    <w:rsid w:val="00F9747F"/>
    <w:rsid w:val="00FA00DD"/>
    <w:rsid w:val="00FA01F7"/>
    <w:rsid w:val="00FA0396"/>
    <w:rsid w:val="00FA18CB"/>
    <w:rsid w:val="00FA3B56"/>
    <w:rsid w:val="00FA4D53"/>
    <w:rsid w:val="00FA4E7A"/>
    <w:rsid w:val="00FA605B"/>
    <w:rsid w:val="00FA68AD"/>
    <w:rsid w:val="00FA7450"/>
    <w:rsid w:val="00FB12BC"/>
    <w:rsid w:val="00FB238F"/>
    <w:rsid w:val="00FB2A33"/>
    <w:rsid w:val="00FB332C"/>
    <w:rsid w:val="00FB3F8E"/>
    <w:rsid w:val="00FB43AE"/>
    <w:rsid w:val="00FB4479"/>
    <w:rsid w:val="00FB4716"/>
    <w:rsid w:val="00FB48D2"/>
    <w:rsid w:val="00FB5F01"/>
    <w:rsid w:val="00FB71A5"/>
    <w:rsid w:val="00FB7EF6"/>
    <w:rsid w:val="00FC0104"/>
    <w:rsid w:val="00FC0CA8"/>
    <w:rsid w:val="00FC0F2B"/>
    <w:rsid w:val="00FC268C"/>
    <w:rsid w:val="00FC2B0B"/>
    <w:rsid w:val="00FC4575"/>
    <w:rsid w:val="00FC4A87"/>
    <w:rsid w:val="00FD0520"/>
    <w:rsid w:val="00FD1212"/>
    <w:rsid w:val="00FD22A6"/>
    <w:rsid w:val="00FD385A"/>
    <w:rsid w:val="00FD543E"/>
    <w:rsid w:val="00FD5B48"/>
    <w:rsid w:val="00FD6D0D"/>
    <w:rsid w:val="00FD7FEF"/>
    <w:rsid w:val="00FE1110"/>
    <w:rsid w:val="00FE2289"/>
    <w:rsid w:val="00FE26EE"/>
    <w:rsid w:val="00FE2769"/>
    <w:rsid w:val="00FE46A0"/>
    <w:rsid w:val="00FE52CA"/>
    <w:rsid w:val="00FE5595"/>
    <w:rsid w:val="00FE681A"/>
    <w:rsid w:val="00FE6FFB"/>
    <w:rsid w:val="00FF06DD"/>
    <w:rsid w:val="00FF0E4B"/>
    <w:rsid w:val="00FF136F"/>
    <w:rsid w:val="00FF33BA"/>
    <w:rsid w:val="00FF33BE"/>
    <w:rsid w:val="00FF35BD"/>
    <w:rsid w:val="00FF361C"/>
    <w:rsid w:val="00FF37D6"/>
    <w:rsid w:val="00FF4A92"/>
    <w:rsid w:val="00FF4CF4"/>
    <w:rsid w:val="00FF5CB7"/>
    <w:rsid w:val="00FF5CFC"/>
    <w:rsid w:val="00FF6701"/>
    <w:rsid w:val="00FF754E"/>
    <w:rsid w:val="01A4B421"/>
    <w:rsid w:val="04FE983E"/>
    <w:rsid w:val="05136CB8"/>
    <w:rsid w:val="056550C6"/>
    <w:rsid w:val="05AFCEDD"/>
    <w:rsid w:val="06B29F00"/>
    <w:rsid w:val="0EB304EA"/>
    <w:rsid w:val="0FDFEB21"/>
    <w:rsid w:val="108C3242"/>
    <w:rsid w:val="11838050"/>
    <w:rsid w:val="12DD43FC"/>
    <w:rsid w:val="17707A52"/>
    <w:rsid w:val="181CA99F"/>
    <w:rsid w:val="195C384C"/>
    <w:rsid w:val="1AF0A7F2"/>
    <w:rsid w:val="1C3C8496"/>
    <w:rsid w:val="203BD89B"/>
    <w:rsid w:val="21A9B483"/>
    <w:rsid w:val="22398749"/>
    <w:rsid w:val="22F5ECF0"/>
    <w:rsid w:val="24504AB7"/>
    <w:rsid w:val="2516B93A"/>
    <w:rsid w:val="2569DE95"/>
    <w:rsid w:val="262619AB"/>
    <w:rsid w:val="265C4D29"/>
    <w:rsid w:val="2805854B"/>
    <w:rsid w:val="290B9ADA"/>
    <w:rsid w:val="2AB47DCB"/>
    <w:rsid w:val="2B6D9E01"/>
    <w:rsid w:val="2C300046"/>
    <w:rsid w:val="2C4DE218"/>
    <w:rsid w:val="2D0A8F51"/>
    <w:rsid w:val="31C981EF"/>
    <w:rsid w:val="331BCC8F"/>
    <w:rsid w:val="335DC93F"/>
    <w:rsid w:val="33A60212"/>
    <w:rsid w:val="33AF4649"/>
    <w:rsid w:val="3590F69C"/>
    <w:rsid w:val="366C262F"/>
    <w:rsid w:val="37B2213E"/>
    <w:rsid w:val="381155F7"/>
    <w:rsid w:val="381E532C"/>
    <w:rsid w:val="3B4F2DF0"/>
    <w:rsid w:val="44D535B9"/>
    <w:rsid w:val="4513B10F"/>
    <w:rsid w:val="4762EFA3"/>
    <w:rsid w:val="47FDAB51"/>
    <w:rsid w:val="48003E0D"/>
    <w:rsid w:val="4DF1D982"/>
    <w:rsid w:val="507E33CC"/>
    <w:rsid w:val="509720C8"/>
    <w:rsid w:val="52A4E555"/>
    <w:rsid w:val="52BF344C"/>
    <w:rsid w:val="54F77F0C"/>
    <w:rsid w:val="55995759"/>
    <w:rsid w:val="5A39FC7B"/>
    <w:rsid w:val="5A7C9B19"/>
    <w:rsid w:val="5D1CF1DE"/>
    <w:rsid w:val="5D716850"/>
    <w:rsid w:val="5D98F005"/>
    <w:rsid w:val="5DA6F7B0"/>
    <w:rsid w:val="5DFE9A6D"/>
    <w:rsid w:val="5E4214E7"/>
    <w:rsid w:val="60982BB9"/>
    <w:rsid w:val="61A466DE"/>
    <w:rsid w:val="61C3A047"/>
    <w:rsid w:val="620AC872"/>
    <w:rsid w:val="642CCEB8"/>
    <w:rsid w:val="66159F61"/>
    <w:rsid w:val="66CC787D"/>
    <w:rsid w:val="66FB5142"/>
    <w:rsid w:val="670D0703"/>
    <w:rsid w:val="67C9C301"/>
    <w:rsid w:val="68E145D1"/>
    <w:rsid w:val="6979D1F1"/>
    <w:rsid w:val="6ECC25E6"/>
    <w:rsid w:val="6EFF04F5"/>
    <w:rsid w:val="6F533F88"/>
    <w:rsid w:val="70055634"/>
    <w:rsid w:val="716A07D3"/>
    <w:rsid w:val="733CC2B1"/>
    <w:rsid w:val="73B5B12B"/>
    <w:rsid w:val="74036A25"/>
    <w:rsid w:val="75F76B5D"/>
    <w:rsid w:val="761CACA0"/>
    <w:rsid w:val="77040B97"/>
    <w:rsid w:val="77961D7B"/>
    <w:rsid w:val="78C04203"/>
    <w:rsid w:val="79726809"/>
    <w:rsid w:val="799FAE7C"/>
    <w:rsid w:val="7A0D8E94"/>
    <w:rsid w:val="7A3804AD"/>
    <w:rsid w:val="7BC774CF"/>
    <w:rsid w:val="7C21D99F"/>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2C6D89D9"/>
  <w15:docId w15:val="{E2A2F3F2-5187-430D-A4AC-B8EA7C34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Heading2"/>
    <w:link w:val="Heading1Char"/>
    <w:qFormat/>
    <w:rsid w:val="00C06847"/>
    <w:pPr>
      <w:outlineLvl w:val="0"/>
    </w:pPr>
    <w:rPr>
      <w:i w:val="0"/>
      <w:iCs w:val="0"/>
      <w:sz w:val="28"/>
      <w:szCs w:val="28"/>
    </w:rPr>
  </w:style>
  <w:style w:type="paragraph" w:styleId="Heading2">
    <w:name w:val="heading 2"/>
    <w:basedOn w:val="ListParagraph"/>
    <w:next w:val="Normal"/>
    <w:link w:val="Heading2Char"/>
    <w:uiPriority w:val="9"/>
    <w:unhideWhenUsed/>
    <w:qFormat/>
    <w:rsid w:val="00C06847"/>
    <w:pPr>
      <w:numPr>
        <w:numId w:val="26"/>
      </w:numPr>
      <w:tabs>
        <w:tab w:val="left" w:pos="481"/>
      </w:tabs>
      <w:spacing w:after="240"/>
      <w:outlineLvl w:val="1"/>
    </w:pPr>
    <w:rPr>
      <w:b/>
      <w:i/>
      <w:iCs/>
      <w:sz w:val="24"/>
      <w:szCs w:val="24"/>
    </w:rPr>
  </w:style>
  <w:style w:type="paragraph" w:styleId="Heading3">
    <w:name w:val="heading 3"/>
    <w:basedOn w:val="BodyText"/>
    <w:next w:val="Normal"/>
    <w:link w:val="Heading3Char"/>
    <w:uiPriority w:val="9"/>
    <w:unhideWhenUsed/>
    <w:qFormat/>
    <w:rsid w:val="001A3D43"/>
    <w:pPr>
      <w:ind w:right="190"/>
      <w:outlineLvl w:val="2"/>
    </w:pPr>
    <w:rPr>
      <w:i/>
    </w:rPr>
  </w:style>
  <w:style w:type="paragraph" w:styleId="Heading4">
    <w:name w:val="heading 4"/>
    <w:basedOn w:val="Normal"/>
    <w:next w:val="Normal"/>
    <w:link w:val="Heading4Char"/>
    <w:unhideWhenUsed/>
    <w:qFormat/>
    <w:rsid w:val="001F16C7"/>
    <w:pPr>
      <w:keepNext/>
      <w:keepLines/>
      <w:widowControl/>
      <w:autoSpaceDE/>
      <w:autoSpaceDN/>
      <w:spacing w:before="40" w:line="259" w:lineRule="auto"/>
      <w:ind w:firstLine="115"/>
      <w:outlineLvl w:val="3"/>
    </w:pPr>
    <w:rPr>
      <w:rFonts w:eastAsiaTheme="majorEastAsia"/>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146E"/>
    <w:pPr>
      <w:spacing w:after="240"/>
      <w:ind w:left="115" w:right="461"/>
    </w:pPr>
    <w:rPr>
      <w:sz w:val="24"/>
      <w:szCs w:val="24"/>
    </w:rPr>
  </w:style>
  <w:style w:type="paragraph" w:styleId="ListParagraph">
    <w:name w:val="List Paragraph"/>
    <w:aliases w:val="3,Bullet 1,Bullet Points,Bulleted List Level 1,Colorful List - Accent 11,Dot pt,F5 List Paragraph,Indicator Text,Issue Action POC,List Paragraph Char Char Char,List Paragraph1,List Paragraph2,MAIN CONTENT,Numbered Para 1,POCG Table Text"/>
    <w:basedOn w:val="Normal"/>
    <w:link w:val="ListParagraphChar"/>
    <w:uiPriority w:val="34"/>
    <w:qFormat/>
    <w:pPr>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B6A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ACC"/>
    <w:rPr>
      <w:rFonts w:ascii="Segoe UI" w:eastAsia="Times New Roman" w:hAnsi="Segoe UI" w:cs="Segoe UI"/>
      <w:sz w:val="18"/>
      <w:szCs w:val="18"/>
    </w:rPr>
  </w:style>
  <w:style w:type="character" w:styleId="CommentReference">
    <w:name w:val="annotation reference"/>
    <w:aliases w:val="Comment Text Style"/>
    <w:basedOn w:val="DefaultParagraphFont"/>
    <w:uiPriority w:val="99"/>
    <w:unhideWhenUsed/>
    <w:qFormat/>
    <w:rsid w:val="00885FCD"/>
    <w:rPr>
      <w:sz w:val="16"/>
      <w:szCs w:val="16"/>
    </w:rPr>
  </w:style>
  <w:style w:type="paragraph" w:styleId="CommentText">
    <w:name w:val="annotation text"/>
    <w:aliases w:val="Times New Roman,t"/>
    <w:basedOn w:val="Normal"/>
    <w:link w:val="CommentTextChar"/>
    <w:uiPriority w:val="99"/>
    <w:unhideWhenUsed/>
    <w:qFormat/>
    <w:rsid w:val="001A3D43"/>
    <w:rPr>
      <w:rFonts w:eastAsia="Calibri"/>
      <w:b/>
      <w:bCs/>
      <w:sz w:val="20"/>
      <w:szCs w:val="20"/>
    </w:rPr>
  </w:style>
  <w:style w:type="character" w:customStyle="1" w:styleId="CommentTextChar">
    <w:name w:val="Comment Text Char"/>
    <w:aliases w:val="Times New Roman Char,t Char"/>
    <w:basedOn w:val="DefaultParagraphFont"/>
    <w:link w:val="CommentText"/>
    <w:uiPriority w:val="99"/>
    <w:rsid w:val="001A3D43"/>
    <w:rPr>
      <w:rFonts w:ascii="Times New Roman" w:eastAsia="Calibri"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885FCD"/>
    <w:rPr>
      <w:b w:val="0"/>
      <w:bCs w:val="0"/>
    </w:rPr>
  </w:style>
  <w:style w:type="character" w:customStyle="1" w:styleId="CommentSubjectChar">
    <w:name w:val="Comment Subject Char"/>
    <w:basedOn w:val="CommentTextChar"/>
    <w:link w:val="CommentSubject"/>
    <w:uiPriority w:val="99"/>
    <w:semiHidden/>
    <w:rsid w:val="00885FCD"/>
    <w:rPr>
      <w:rFonts w:ascii="Times New Roman" w:eastAsia="Times New Roman" w:hAnsi="Times New Roman" w:cs="Times New Roman"/>
      <w:b w:val="0"/>
      <w:bCs w:val="0"/>
      <w:sz w:val="20"/>
      <w:szCs w:val="20"/>
    </w:rPr>
  </w:style>
  <w:style w:type="character" w:styleId="Hyperlink">
    <w:name w:val="Hyperlink"/>
    <w:basedOn w:val="DefaultParagraphFont"/>
    <w:uiPriority w:val="99"/>
    <w:unhideWhenUsed/>
    <w:rsid w:val="00EA3190"/>
    <w:rPr>
      <w:color w:val="0000FF" w:themeColor="hyperlink"/>
      <w:u w:val="single"/>
    </w:rPr>
  </w:style>
  <w:style w:type="character" w:styleId="FootnoteReference">
    <w:name w:val="footnote reference"/>
    <w:aliases w:val="BVI fnr,EN Footnote Reference,FR,Footnote Reference Superscript,Footnote Reference/,Footnote reference number,Footnote symbol,Footnotes refss,Odwołanie przypisu,Rimando nota a piè di pagina1,SUPERS,fr,number,richiamo note eggsi"/>
    <w:basedOn w:val="DefaultParagraphFont"/>
    <w:uiPriority w:val="99"/>
    <w:unhideWhenUsed/>
    <w:qFormat/>
    <w:rsid w:val="0088435B"/>
    <w:rPr>
      <w:vertAlign w:val="superscript"/>
    </w:rPr>
  </w:style>
  <w:style w:type="paragraph" w:styleId="Footer">
    <w:name w:val="footer"/>
    <w:basedOn w:val="Normal"/>
    <w:link w:val="FooterChar"/>
    <w:uiPriority w:val="99"/>
    <w:unhideWhenUsed/>
    <w:rsid w:val="0088435B"/>
    <w:pPr>
      <w:widowControl/>
      <w:tabs>
        <w:tab w:val="center" w:pos="4680"/>
        <w:tab w:val="right" w:pos="9360"/>
      </w:tabs>
      <w:autoSpaceDE/>
      <w:autoSpaceDN/>
    </w:pPr>
    <w:rPr>
      <w:sz w:val="24"/>
      <w:szCs w:val="24"/>
    </w:rPr>
  </w:style>
  <w:style w:type="character" w:customStyle="1" w:styleId="FooterChar">
    <w:name w:val="Footer Char"/>
    <w:basedOn w:val="DefaultParagraphFont"/>
    <w:link w:val="Footer"/>
    <w:uiPriority w:val="99"/>
    <w:rsid w:val="0088435B"/>
    <w:rPr>
      <w:rFonts w:ascii="Times New Roman" w:eastAsia="Times New Roman" w:hAnsi="Times New Roman" w:cs="Times New Roman"/>
      <w:sz w:val="24"/>
      <w:szCs w:val="24"/>
    </w:rPr>
  </w:style>
  <w:style w:type="table" w:styleId="TableGrid">
    <w:name w:val="Table Grid"/>
    <w:aliases w:val="AcuSPHERE,Acumen,Table Grid-A"/>
    <w:basedOn w:val="TableNormal"/>
    <w:uiPriority w:val="39"/>
    <w:rsid w:val="0088435B"/>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8,Char181,Char182,Char183,F1,FT,Footnote Text - NEW,Footnote Text AG,Footnote Text Char Char,Footnote Text Char Char Char Char,Footnote Text Char1 Char Char,Footnote ak,Footnotes,SD Footnote Text,Style 14,Tablenote Text,fn,fn1,fn2,ft"/>
    <w:basedOn w:val="Normal"/>
    <w:link w:val="FootnoteTextChar"/>
    <w:uiPriority w:val="99"/>
    <w:unhideWhenUsed/>
    <w:qFormat/>
    <w:rsid w:val="0088435B"/>
    <w:pPr>
      <w:widowControl/>
      <w:autoSpaceDE/>
      <w:autoSpaceDN/>
    </w:pPr>
    <w:rPr>
      <w:sz w:val="20"/>
      <w:szCs w:val="20"/>
    </w:rPr>
  </w:style>
  <w:style w:type="character" w:customStyle="1" w:styleId="FootnoteTextChar">
    <w:name w:val="Footnote Text Char"/>
    <w:aliases w:val="Char18 Char,Char181 Char,Char182 Char,Char183 Char,F1 Char,FT Char,Footnote Text - NEW Char,Footnote Text AG Char,Footnote Text Char Char Char,Footnote Text Char Char Char Char Char,Footnote Text Char1 Char Char Char,Footnote ak Char"/>
    <w:basedOn w:val="DefaultParagraphFont"/>
    <w:link w:val="FootnoteText"/>
    <w:uiPriority w:val="99"/>
    <w:rsid w:val="0088435B"/>
    <w:rPr>
      <w:rFonts w:ascii="Times New Roman" w:eastAsia="Times New Roman" w:hAnsi="Times New Roman" w:cs="Times New Roman"/>
      <w:sz w:val="20"/>
      <w:szCs w:val="20"/>
    </w:rPr>
  </w:style>
  <w:style w:type="paragraph" w:customStyle="1" w:styleId="TableText">
    <w:name w:val="Table Text"/>
    <w:basedOn w:val="Normal"/>
    <w:qFormat/>
    <w:rsid w:val="0088435B"/>
    <w:pPr>
      <w:widowControl/>
      <w:autoSpaceDE/>
      <w:autoSpaceDN/>
      <w:spacing w:before="40" w:after="40"/>
    </w:pPr>
    <w:rPr>
      <w:szCs w:val="24"/>
    </w:rPr>
  </w:style>
  <w:style w:type="paragraph" w:customStyle="1" w:styleId="TableColumnHeading">
    <w:name w:val="Table Column Heading"/>
    <w:basedOn w:val="Normal"/>
    <w:qFormat/>
    <w:rsid w:val="0088435B"/>
    <w:pPr>
      <w:widowControl/>
      <w:autoSpaceDE/>
      <w:autoSpaceDN/>
      <w:spacing w:before="40" w:after="40"/>
      <w:jc w:val="center"/>
    </w:pPr>
    <w:rPr>
      <w:rFonts w:ascii="Times New Roman Bold" w:hAnsi="Times New Roman Bold"/>
      <w:b/>
      <w:sz w:val="24"/>
      <w:szCs w:val="24"/>
    </w:rPr>
  </w:style>
  <w:style w:type="character" w:customStyle="1" w:styleId="ListParagraphChar">
    <w:name w:val="List Paragraph Char"/>
    <w:aliases w:val="3 Char,Bullet 1 Char,Bullet Points Char,Bulleted List Level 1 Char,Colorful List - Accent 11 Char,Dot pt Char,F5 List Paragraph Char,Indicator Text Char,Issue Action POC Char,List Paragraph Char Char Char Char,List Paragraph1 Char"/>
    <w:link w:val="ListParagraph"/>
    <w:uiPriority w:val="34"/>
    <w:rsid w:val="0088435B"/>
    <w:rPr>
      <w:rFonts w:ascii="Times New Roman" w:eastAsia="Times New Roman" w:hAnsi="Times New Roman" w:cs="Times New Roman"/>
    </w:rPr>
  </w:style>
  <w:style w:type="paragraph" w:styleId="Header">
    <w:name w:val="header"/>
    <w:basedOn w:val="Normal"/>
    <w:link w:val="HeaderChar"/>
    <w:uiPriority w:val="99"/>
    <w:unhideWhenUsed/>
    <w:rsid w:val="00200C1A"/>
    <w:pPr>
      <w:tabs>
        <w:tab w:val="center" w:pos="4680"/>
        <w:tab w:val="right" w:pos="9360"/>
      </w:tabs>
    </w:pPr>
  </w:style>
  <w:style w:type="character" w:customStyle="1" w:styleId="HeaderChar">
    <w:name w:val="Header Char"/>
    <w:basedOn w:val="DefaultParagraphFont"/>
    <w:link w:val="Header"/>
    <w:uiPriority w:val="99"/>
    <w:rsid w:val="00200C1A"/>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906C0"/>
    <w:rPr>
      <w:color w:val="800080" w:themeColor="followedHyperlink"/>
      <w:u w:val="single"/>
    </w:rPr>
  </w:style>
  <w:style w:type="paragraph" w:styleId="Revision">
    <w:name w:val="Revision"/>
    <w:hidden/>
    <w:uiPriority w:val="99"/>
    <w:semiHidden/>
    <w:rsid w:val="006659E2"/>
    <w:pPr>
      <w:widowControl/>
      <w:autoSpaceDE/>
      <w:autoSpaceDN/>
    </w:pPr>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AE38FB"/>
    <w:rPr>
      <w:sz w:val="20"/>
      <w:szCs w:val="20"/>
    </w:rPr>
  </w:style>
  <w:style w:type="character" w:customStyle="1" w:styleId="EndnoteTextChar">
    <w:name w:val="Endnote Text Char"/>
    <w:basedOn w:val="DefaultParagraphFont"/>
    <w:link w:val="EndnoteText"/>
    <w:uiPriority w:val="99"/>
    <w:semiHidden/>
    <w:rsid w:val="00AE38FB"/>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AE38FB"/>
    <w:rPr>
      <w:vertAlign w:val="superscript"/>
    </w:rPr>
  </w:style>
  <w:style w:type="character" w:customStyle="1" w:styleId="UnresolvedMention1">
    <w:name w:val="Unresolved Mention1"/>
    <w:basedOn w:val="DefaultParagraphFont"/>
    <w:uiPriority w:val="99"/>
    <w:semiHidden/>
    <w:unhideWhenUsed/>
    <w:rsid w:val="0082248D"/>
    <w:rPr>
      <w:color w:val="605E5C"/>
      <w:shd w:val="clear" w:color="auto" w:fill="E1DFDD"/>
    </w:rPr>
  </w:style>
  <w:style w:type="character" w:customStyle="1" w:styleId="UnresolvedMention2">
    <w:name w:val="Unresolved Mention2"/>
    <w:basedOn w:val="DefaultParagraphFont"/>
    <w:uiPriority w:val="99"/>
    <w:semiHidden/>
    <w:unhideWhenUsed/>
    <w:rsid w:val="00C10297"/>
    <w:rPr>
      <w:color w:val="605E5C"/>
      <w:shd w:val="clear" w:color="auto" w:fill="E1DFDD"/>
    </w:rPr>
  </w:style>
  <w:style w:type="character" w:customStyle="1" w:styleId="Heading4Char">
    <w:name w:val="Heading 4 Char"/>
    <w:basedOn w:val="DefaultParagraphFont"/>
    <w:link w:val="Heading4"/>
    <w:rsid w:val="001F16C7"/>
    <w:rPr>
      <w:rFonts w:ascii="Times New Roman" w:hAnsi="Times New Roman" w:eastAsiaTheme="majorEastAsia" w:cs="Times New Roman"/>
      <w:i/>
      <w:iCs/>
      <w:color w:val="365F91" w:themeColor="accent1" w:themeShade="BF"/>
    </w:rPr>
  </w:style>
  <w:style w:type="table" w:customStyle="1" w:styleId="TableGrid1">
    <w:name w:val="Table Grid1"/>
    <w:basedOn w:val="TableNormal"/>
    <w:next w:val="TableGrid"/>
    <w:uiPriority w:val="59"/>
    <w:rsid w:val="003B3A39"/>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B3A39"/>
  </w:style>
  <w:style w:type="character" w:customStyle="1" w:styleId="UnresolvedMention3">
    <w:name w:val="Unresolved Mention3"/>
    <w:basedOn w:val="DefaultParagraphFont"/>
    <w:uiPriority w:val="99"/>
    <w:semiHidden/>
    <w:unhideWhenUsed/>
    <w:rsid w:val="00C43644"/>
    <w:rPr>
      <w:color w:val="605E5C"/>
      <w:shd w:val="clear" w:color="auto" w:fill="E1DFDD"/>
    </w:rPr>
  </w:style>
  <w:style w:type="character" w:customStyle="1" w:styleId="BodyTextChar">
    <w:name w:val="Body Text Char"/>
    <w:basedOn w:val="DefaultParagraphFont"/>
    <w:link w:val="BodyText"/>
    <w:uiPriority w:val="1"/>
    <w:rsid w:val="00E9146E"/>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02487"/>
    <w:rPr>
      <w:color w:val="605E5C"/>
      <w:shd w:val="clear" w:color="auto" w:fill="E1DFDD"/>
    </w:rPr>
  </w:style>
  <w:style w:type="character" w:customStyle="1" w:styleId="Heading2Char">
    <w:name w:val="Heading 2 Char"/>
    <w:basedOn w:val="DefaultParagraphFont"/>
    <w:link w:val="Heading2"/>
    <w:uiPriority w:val="9"/>
    <w:rsid w:val="00C06847"/>
    <w:rPr>
      <w:rFonts w:ascii="Times New Roman" w:eastAsia="Times New Roman" w:hAnsi="Times New Roman" w:cs="Times New Roman"/>
      <w:b/>
      <w:i/>
      <w:iCs/>
      <w:sz w:val="24"/>
      <w:szCs w:val="24"/>
    </w:rPr>
  </w:style>
  <w:style w:type="character" w:customStyle="1" w:styleId="Heading3Char">
    <w:name w:val="Heading 3 Char"/>
    <w:basedOn w:val="DefaultParagraphFont"/>
    <w:link w:val="Heading3"/>
    <w:uiPriority w:val="9"/>
    <w:rsid w:val="001A3D43"/>
    <w:rPr>
      <w:rFonts w:ascii="Times New Roman" w:eastAsia="Times New Roman" w:hAnsi="Times New Roman" w:cs="Times New Roman"/>
      <w:i/>
      <w:sz w:val="24"/>
      <w:szCs w:val="24"/>
    </w:rPr>
  </w:style>
  <w:style w:type="paragraph" w:styleId="Caption">
    <w:name w:val="caption"/>
    <w:basedOn w:val="Normal"/>
    <w:next w:val="Normal"/>
    <w:uiPriority w:val="35"/>
    <w:unhideWhenUsed/>
    <w:qFormat/>
    <w:rsid w:val="00C513D4"/>
    <w:pPr>
      <w:keepNext/>
    </w:pPr>
    <w:rPr>
      <w:b/>
      <w:bCs/>
      <w:sz w:val="20"/>
      <w:szCs w:val="20"/>
    </w:rPr>
  </w:style>
  <w:style w:type="character" w:styleId="Emphasis">
    <w:name w:val="Emphasis"/>
    <w:basedOn w:val="DefaultParagraphFont"/>
    <w:uiPriority w:val="20"/>
    <w:qFormat/>
    <w:rsid w:val="00E9146E"/>
    <w:rPr>
      <w:i/>
      <w:iCs/>
    </w:rPr>
  </w:style>
  <w:style w:type="table" w:customStyle="1" w:styleId="TableGrid2">
    <w:name w:val="Table Grid2"/>
    <w:basedOn w:val="TableNormal"/>
    <w:next w:val="TableGrid"/>
    <w:uiPriority w:val="59"/>
    <w:rsid w:val="009449D5"/>
    <w:pPr>
      <w:widowControl/>
      <w:autoSpaceDE/>
      <w:autoSpaceDN/>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nk">
    <w:name w:val="Link"/>
    <w:basedOn w:val="BodyText"/>
    <w:uiPriority w:val="1"/>
    <w:rsid w:val="00E5759C"/>
    <w:pPr>
      <w:numPr>
        <w:numId w:val="21"/>
      </w:numPr>
    </w:pPr>
    <w:rPr>
      <w:color w:val="0070C0"/>
      <w:u w:val="single"/>
    </w:rPr>
  </w:style>
  <w:style w:type="paragraph" w:styleId="ListContinue">
    <w:name w:val="List Continue"/>
    <w:basedOn w:val="Normal"/>
    <w:unhideWhenUsed/>
    <w:rsid w:val="00942749"/>
    <w:pPr>
      <w:widowControl/>
      <w:autoSpaceDE/>
      <w:autoSpaceDN/>
      <w:spacing w:after="120"/>
      <w:ind w:left="1080"/>
    </w:pPr>
  </w:style>
  <w:style w:type="table" w:customStyle="1" w:styleId="TableGrid-A1">
    <w:name w:val="Table Grid-A1"/>
    <w:basedOn w:val="TableNormal"/>
    <w:next w:val="TableGrid"/>
    <w:uiPriority w:val="39"/>
    <w:rsid w:val="006711F5"/>
    <w:pPr>
      <w:widowControl/>
      <w:autoSpaceDE/>
      <w:autoSpaceDN/>
    </w:pPr>
    <w:rPr>
      <w:rFonts w:eastAsia="Yu Mincho"/>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F06DD"/>
    <w:rPr>
      <w:rFonts w:ascii="Times New Roman" w:eastAsia="Times New Roman" w:hAnsi="Times New Roman" w:cs="Times New Roman"/>
      <w:b/>
      <w:sz w:val="28"/>
      <w:szCs w:val="28"/>
    </w:rPr>
  </w:style>
  <w:style w:type="character" w:styleId="Mention">
    <w:name w:val="Mention"/>
    <w:basedOn w:val="DefaultParagraphFont"/>
    <w:uiPriority w:val="99"/>
    <w:unhideWhenUsed/>
    <w:rsid w:val="00C13412"/>
    <w:rPr>
      <w:color w:val="2B579A"/>
      <w:shd w:val="clear" w:color="auto" w:fill="E1DFDD"/>
    </w:rPr>
  </w:style>
  <w:style w:type="paragraph" w:customStyle="1" w:styleId="ListContinueBody">
    <w:name w:val="List Continue Body"/>
    <w:basedOn w:val="ListContinue"/>
    <w:qFormat/>
    <w:rsid w:val="004C2B10"/>
    <w:pPr>
      <w:spacing w:before="12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qualitynet.cms.gov/ipf/PAI" TargetMode="External" /><Relationship Id="rId11" Type="http://schemas.openxmlformats.org/officeDocument/2006/relationships/footer" Target="foot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cms.gov/medicare/health-safety-standards/quality-safety-oversight-general-information/internet-quality-improvement-evaluation-system-iqies" TargetMode="External" /><Relationship Id="rId2" Type="http://schemas.openxmlformats.org/officeDocument/2006/relationships/hyperlink" Target="https://smarthealthit.org/" TargetMode="External" /><Relationship Id="rId3" Type="http://schemas.openxmlformats.org/officeDocument/2006/relationships/hyperlink" Target="https://qualitynet.cms.gov/ipf/PAI" TargetMode="External" /><Relationship Id="rId4" Type="http://schemas.openxmlformats.org/officeDocument/2006/relationships/hyperlink" Target="https://data.bls.gov/oes/"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0F6BD39E2A4D00939A3DDC75264636"/>
        <w:category>
          <w:name w:val="General"/>
          <w:gallery w:val="placeholder"/>
        </w:category>
        <w:types>
          <w:type w:val="bbPlcHdr"/>
        </w:types>
        <w:behaviors>
          <w:behavior w:val="content"/>
        </w:behaviors>
        <w:guid w:val="{77C1C883-B226-4DBD-8905-2754689512A3}"/>
      </w:docPartPr>
      <w:docPartBody>
        <w:p w:rsidR="002B5CC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041D">
      <w:pPr>
        <w:spacing w:after="0" w:line="240" w:lineRule="auto"/>
      </w:pPr>
      <w:r>
        <w:separator/>
      </w:r>
    </w:p>
  </w:footnote>
  <w:footnote w:type="continuationSeparator" w:id="1">
    <w:p w:rsidR="00C8041D">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0" w:markup="1"/>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E6E"/>
    <w:rsid w:val="00006E4C"/>
    <w:rsid w:val="00022E11"/>
    <w:rsid w:val="000463B5"/>
    <w:rsid w:val="0006640B"/>
    <w:rsid w:val="000722F3"/>
    <w:rsid w:val="00074E45"/>
    <w:rsid w:val="00085126"/>
    <w:rsid w:val="000D2075"/>
    <w:rsid w:val="00126272"/>
    <w:rsid w:val="0016772C"/>
    <w:rsid w:val="0017070C"/>
    <w:rsid w:val="00181B27"/>
    <w:rsid w:val="00190EEF"/>
    <w:rsid w:val="0019786D"/>
    <w:rsid w:val="001D1EB3"/>
    <w:rsid w:val="001D75EC"/>
    <w:rsid w:val="001F1CB0"/>
    <w:rsid w:val="00254401"/>
    <w:rsid w:val="002673CE"/>
    <w:rsid w:val="002852B9"/>
    <w:rsid w:val="00293D12"/>
    <w:rsid w:val="002B5CC3"/>
    <w:rsid w:val="002B6E1D"/>
    <w:rsid w:val="0032733F"/>
    <w:rsid w:val="00365737"/>
    <w:rsid w:val="00365EB2"/>
    <w:rsid w:val="003D08FE"/>
    <w:rsid w:val="003F24C1"/>
    <w:rsid w:val="0040597C"/>
    <w:rsid w:val="004202B7"/>
    <w:rsid w:val="00457E3A"/>
    <w:rsid w:val="00460990"/>
    <w:rsid w:val="004E0A72"/>
    <w:rsid w:val="00516B74"/>
    <w:rsid w:val="0052105A"/>
    <w:rsid w:val="005311CF"/>
    <w:rsid w:val="00582BD1"/>
    <w:rsid w:val="005C20D8"/>
    <w:rsid w:val="005D775F"/>
    <w:rsid w:val="005E5E0B"/>
    <w:rsid w:val="00600759"/>
    <w:rsid w:val="00652F9D"/>
    <w:rsid w:val="006A6BF4"/>
    <w:rsid w:val="006C4987"/>
    <w:rsid w:val="006C4DF7"/>
    <w:rsid w:val="006D0087"/>
    <w:rsid w:val="00722A04"/>
    <w:rsid w:val="00732DA8"/>
    <w:rsid w:val="00740051"/>
    <w:rsid w:val="00740F48"/>
    <w:rsid w:val="007A37E1"/>
    <w:rsid w:val="007A3FF5"/>
    <w:rsid w:val="007B1986"/>
    <w:rsid w:val="007D6034"/>
    <w:rsid w:val="007E07C3"/>
    <w:rsid w:val="008272B6"/>
    <w:rsid w:val="00831C83"/>
    <w:rsid w:val="00883BD6"/>
    <w:rsid w:val="00950A1C"/>
    <w:rsid w:val="0096015F"/>
    <w:rsid w:val="009A3785"/>
    <w:rsid w:val="009F16F9"/>
    <w:rsid w:val="009F4BE9"/>
    <w:rsid w:val="00A01F30"/>
    <w:rsid w:val="00A253FC"/>
    <w:rsid w:val="00A259D9"/>
    <w:rsid w:val="00A41019"/>
    <w:rsid w:val="00A52753"/>
    <w:rsid w:val="00A8331E"/>
    <w:rsid w:val="00A8491A"/>
    <w:rsid w:val="00AA3A8D"/>
    <w:rsid w:val="00B369E3"/>
    <w:rsid w:val="00B36D6E"/>
    <w:rsid w:val="00B63872"/>
    <w:rsid w:val="00B917C3"/>
    <w:rsid w:val="00BC6FD7"/>
    <w:rsid w:val="00C033D2"/>
    <w:rsid w:val="00C03CA2"/>
    <w:rsid w:val="00C0493F"/>
    <w:rsid w:val="00C416ED"/>
    <w:rsid w:val="00C53ACD"/>
    <w:rsid w:val="00C57358"/>
    <w:rsid w:val="00C77653"/>
    <w:rsid w:val="00C8041D"/>
    <w:rsid w:val="00CB3E03"/>
    <w:rsid w:val="00CB600B"/>
    <w:rsid w:val="00CC0D22"/>
    <w:rsid w:val="00CD1622"/>
    <w:rsid w:val="00CD62C2"/>
    <w:rsid w:val="00CE1437"/>
    <w:rsid w:val="00CF463F"/>
    <w:rsid w:val="00D12559"/>
    <w:rsid w:val="00D35325"/>
    <w:rsid w:val="00DA0A45"/>
    <w:rsid w:val="00DE7006"/>
    <w:rsid w:val="00E11C43"/>
    <w:rsid w:val="00E16EC6"/>
    <w:rsid w:val="00E479FE"/>
    <w:rsid w:val="00E562D7"/>
    <w:rsid w:val="00E64D7B"/>
    <w:rsid w:val="00ED1DD2"/>
    <w:rsid w:val="00F329EA"/>
    <w:rsid w:val="00F406FE"/>
    <w:rsid w:val="00F46B1D"/>
    <w:rsid w:val="00F504CF"/>
    <w:rsid w:val="00F51802"/>
    <w:rsid w:val="00FA0E6E"/>
    <w:rsid w:val="00FC519E"/>
    <w:rsid w:val="00FC716F"/>
    <w:rsid w:val="00FF689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ACC03F4235644D918BBDACFCCB097C" ma:contentTypeVersion="6" ma:contentTypeDescription="Create a new document." ma:contentTypeScope="" ma:versionID="31517bf526a3f8b4ab1b814c46e9a5c6">
  <xsd:schema xmlns:xsd="http://www.w3.org/2001/XMLSchema" xmlns:xs="http://www.w3.org/2001/XMLSchema" xmlns:p="http://schemas.microsoft.com/office/2006/metadata/properties" xmlns:ns2="be6f72ee-874c-40c0-b0ab-5207f45fa634" xmlns:ns3="6d5431cc-db4f-47e0-852e-251df4164bac" targetNamespace="http://schemas.microsoft.com/office/2006/metadata/properties" ma:root="true" ma:fieldsID="bc782e0a60399cbcaf5c7e92660f9a78" ns2:_="" ns3:_="">
    <xsd:import namespace="be6f72ee-874c-40c0-b0ab-5207f45fa634"/>
    <xsd:import namespace="6d5431cc-db4f-47e0-852e-251df4164b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f72ee-874c-40c0-b0ab-5207f45fa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5431cc-db4f-47e0-852e-251df4164ba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A0B0B-8A0F-4AE8-A78E-8C31DC84B60F}">
  <ds:schemaRefs>
    <ds:schemaRef ds:uri="http://schemas.openxmlformats.org/officeDocument/2006/bibliography"/>
  </ds:schemaRefs>
</ds:datastoreItem>
</file>

<file path=customXml/itemProps2.xml><?xml version="1.0" encoding="utf-8"?>
<ds:datastoreItem xmlns:ds="http://schemas.openxmlformats.org/officeDocument/2006/customXml" ds:itemID="{379336D6-B8F7-43B8-91B8-DBAD71D51D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82DDFD-5619-40B4-9A4F-1C6E0E9CC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f72ee-874c-40c0-b0ab-5207f45fa634"/>
    <ds:schemaRef ds:uri="6d5431cc-db4f-47e0-852e-251df4164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83109B-15A5-420B-9B12-9134C79C24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12</Pages>
  <Words>4542</Words>
  <Characters>24987</Characters>
  <Application>Microsoft Office Word</Application>
  <DocSecurity>0</DocSecurity>
  <Lines>581</Lines>
  <Paragraphs>263</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McKenzie, Stephan (CMS/OSORA)</cp:lastModifiedBy>
  <cp:revision>6</cp:revision>
  <cp:lastPrinted>2019-01-18T03:36:00Z</cp:lastPrinted>
  <dcterms:created xsi:type="dcterms:W3CDTF">2026-08-26T15:56:00Z</dcterms:created>
  <dcterms:modified xsi:type="dcterms:W3CDTF">2026-09-15T13:08:00Z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0x01010013ACC03F4235644D918BBDACFCCB097C</vt:lpwstr>
  </property>
  <property fmtid="{D5CDD505-2E9C-101B-9397-08002B2CF9AE}" pid="3" name="Created">
    <vt:filetime>2018-08-09T00:00:00Z</vt:filetime>
  </property>
  <property fmtid="{D5CDD505-2E9C-101B-9397-08002B2CF9AE}" pid="4" name="Creator">
    <vt:lpwstr>Acrobat PDFMaker 15 for Word</vt:lpwstr>
  </property>
  <property fmtid="{D5CDD505-2E9C-101B-9397-08002B2CF9AE}" pid="5" name="docLang">
    <vt:lpwstr>en</vt:lpwstr>
  </property>
  <property fmtid="{D5CDD505-2E9C-101B-9397-08002B2CF9AE}" pid="6" name="LastSaved">
    <vt:filetime>2018-08-23T00:00:00Z</vt:filetime>
  </property>
  <property fmtid="{D5CDD505-2E9C-101B-9397-08002B2CF9AE}" pid="7" name="MediaServiceImageTags">
    <vt:lpwstr/>
  </property>
  <property fmtid="{D5CDD505-2E9C-101B-9397-08002B2CF9AE}" pid="8" name="_NewReviewCycle">
    <vt:lpwstr/>
  </property>
</Properties>
</file>