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1B10" w:rsidP="00DB7AEC" w14:paraId="17D13116" w14:textId="473DB52B">
      <w:pPr>
        <w:pStyle w:val="Title"/>
        <w:rPr>
          <w:sz w:val="32"/>
          <w:szCs w:val="32"/>
          <w:lang w:val="en"/>
        </w:rPr>
      </w:pPr>
      <w:r>
        <w:rPr>
          <w:sz w:val="32"/>
          <w:szCs w:val="32"/>
          <w:lang w:val="en"/>
        </w:rPr>
        <w:t xml:space="preserve">OCSE </w:t>
      </w:r>
      <w:r w:rsidRPr="00DB7AEC" w:rsidR="00DB7AEC">
        <w:rPr>
          <w:sz w:val="32"/>
          <w:szCs w:val="32"/>
          <w:lang w:val="en"/>
        </w:rPr>
        <w:t>Summary of Proposed Changes to the IWO</w:t>
      </w:r>
      <w:r w:rsidR="006017BA">
        <w:rPr>
          <w:sz w:val="32"/>
          <w:szCs w:val="32"/>
          <w:lang w:val="en"/>
        </w:rPr>
        <w:t xml:space="preserve"> – 30 Day Comment Period</w:t>
      </w:r>
    </w:p>
    <w:p w:rsidR="00C95536" w:rsidRPr="00D63B0A" w:rsidP="00C95536" w14:paraId="129A7060" w14:textId="214D531F">
      <w:pPr>
        <w:pStyle w:val="NormalWeb"/>
        <w:spacing w:after="0" w:line="336" w:lineRule="atLeast"/>
        <w:rPr>
          <w:rFonts w:ascii="Calibri" w:hAnsi="Calibri" w:cs="Calibri"/>
          <w:b/>
          <w:bCs/>
          <w:color w:val="202020"/>
          <w:sz w:val="22"/>
          <w:szCs w:val="22"/>
          <w:u w:val="single"/>
          <w:lang w:val="en"/>
        </w:rPr>
      </w:pPr>
      <w:r w:rsidRPr="00D63B0A">
        <w:rPr>
          <w:rFonts w:ascii="Calibri" w:hAnsi="Calibri" w:cs="Calibri"/>
          <w:b/>
          <w:bCs/>
          <w:color w:val="202020"/>
          <w:sz w:val="22"/>
          <w:szCs w:val="22"/>
          <w:u w:val="single"/>
          <w:lang w:val="en"/>
        </w:rPr>
        <w:t>IWO Form</w:t>
      </w:r>
    </w:p>
    <w:p w:rsidR="003A57C0" w:rsidRPr="00D63B0A" w:rsidP="00C234D7" w14:paraId="6866D01D" w14:textId="6DE627DD">
      <w:pPr>
        <w:pStyle w:val="ListParagraph"/>
        <w:numPr>
          <w:ilvl w:val="0"/>
          <w:numId w:val="1"/>
        </w:numPr>
        <w:rPr>
          <w:rFonts w:ascii="Calibri" w:hAnsi="Calibri" w:cs="Calibri"/>
          <w:snapToGrid w:val="0"/>
          <w:sz w:val="22"/>
          <w:szCs w:val="22"/>
        </w:rPr>
      </w:pPr>
      <w:r w:rsidRPr="00D63B0A">
        <w:rPr>
          <w:rFonts w:ascii="Calibri" w:eastAsia="Times New Roman" w:hAnsi="Calibri" w:cs="Calibri"/>
          <w:b/>
          <w:bCs/>
          <w:color w:val="202020"/>
          <w:sz w:val="22"/>
          <w:szCs w:val="22"/>
        </w:rPr>
        <w:t>Revised</w:t>
      </w:r>
      <w:r w:rsidRPr="00D63B0A" w:rsidR="00FC33E7">
        <w:rPr>
          <w:rFonts w:ascii="Calibri" w:eastAsia="Times New Roman" w:hAnsi="Calibri" w:cs="Calibri"/>
          <w:b/>
          <w:bCs/>
          <w:color w:val="202020"/>
          <w:sz w:val="22"/>
          <w:szCs w:val="22"/>
        </w:rPr>
        <w:t xml:space="preserve"> </w:t>
      </w:r>
      <w:r w:rsidRPr="00D63B0A" w:rsidR="00DB7AEC">
        <w:rPr>
          <w:rFonts w:ascii="Calibri" w:eastAsia="Times New Roman" w:hAnsi="Calibri" w:cs="Calibri"/>
          <w:color w:val="202020"/>
          <w:sz w:val="22"/>
          <w:szCs w:val="22"/>
        </w:rPr>
        <w:t>:</w:t>
      </w:r>
      <w:r w:rsidRPr="00D63B0A" w:rsidR="00DB7AEC">
        <w:rPr>
          <w:rFonts w:ascii="Calibri" w:eastAsia="Times New Roman" w:hAnsi="Calibri" w:cs="Calibri"/>
          <w:color w:val="202020"/>
          <w:sz w:val="22"/>
          <w:szCs w:val="22"/>
        </w:rPr>
        <w:t xml:space="preserve"> </w:t>
      </w:r>
      <w:r w:rsidR="00F14F95">
        <w:rPr>
          <w:rFonts w:ascii="Calibri" w:eastAsia="Times New Roman" w:hAnsi="Calibri" w:cs="Calibri"/>
          <w:color w:val="202020"/>
          <w:sz w:val="22"/>
          <w:szCs w:val="22"/>
        </w:rPr>
        <w:t xml:space="preserve">Removed the OMB Expiration Date from the IWO form and </w:t>
      </w:r>
      <w:r w:rsidR="00F14F95">
        <w:rPr>
          <w:rFonts w:ascii="Calibri" w:eastAsia="Times New Roman" w:hAnsi="Calibri" w:cs="Calibri"/>
          <w:color w:val="202020"/>
          <w:sz w:val="22"/>
          <w:szCs w:val="22"/>
        </w:rPr>
        <w:t>added it</w:t>
      </w:r>
      <w:r w:rsidR="003A5F56">
        <w:rPr>
          <w:rFonts w:ascii="Calibri" w:eastAsia="Times New Roman" w:hAnsi="Calibri" w:cs="Calibri"/>
          <w:color w:val="202020"/>
          <w:sz w:val="22"/>
          <w:szCs w:val="22"/>
        </w:rPr>
        <w:t xml:space="preserve"> the IWO Instructions</w:t>
      </w:r>
    </w:p>
    <w:p w:rsidR="00DB7AEC" w:rsidRPr="00D63B0A" w:rsidP="00C95536" w14:paraId="0567A0B6" w14:textId="7C7A08E7">
      <w:pPr>
        <w:pStyle w:val="ListParagraph"/>
        <w:numPr>
          <w:ilvl w:val="0"/>
          <w:numId w:val="1"/>
        </w:numPr>
        <w:spacing w:after="0" w:line="276" w:lineRule="auto"/>
        <w:rPr>
          <w:rFonts w:ascii="Calibri" w:eastAsia="Times New Roman" w:hAnsi="Calibri" w:cs="Calibri"/>
          <w:color w:val="202020"/>
          <w:sz w:val="22"/>
          <w:szCs w:val="22"/>
        </w:rPr>
      </w:pPr>
      <w:r w:rsidRPr="00D63B0A">
        <w:rPr>
          <w:rFonts w:ascii="Calibri" w:eastAsia="Times New Roman" w:hAnsi="Calibri" w:cs="Calibri"/>
          <w:b/>
          <w:bCs/>
          <w:color w:val="202020"/>
          <w:sz w:val="22"/>
          <w:szCs w:val="22"/>
        </w:rPr>
        <w:t>Revised</w:t>
      </w:r>
      <w:r w:rsidRPr="00D63B0A">
        <w:rPr>
          <w:rFonts w:ascii="Calibri" w:eastAsia="Times New Roman" w:hAnsi="Calibri" w:cs="Calibri"/>
          <w:b/>
          <w:bCs/>
          <w:color w:val="202020"/>
          <w:sz w:val="22"/>
          <w:szCs w:val="22"/>
        </w:rPr>
        <w:t>:</w:t>
      </w:r>
      <w:r w:rsidRPr="00D63B0A">
        <w:rPr>
          <w:rFonts w:ascii="Calibri" w:eastAsia="Times New Roman" w:hAnsi="Calibri" w:cs="Calibri"/>
          <w:color w:val="202020"/>
          <w:sz w:val="22"/>
          <w:szCs w:val="22"/>
        </w:rPr>
        <w:t xml:space="preserve"> Two checkboxes to indicate if Obligor has been reported as an employee or Independent Contractor.</w:t>
      </w:r>
    </w:p>
    <w:p w:rsidR="007A02EB" w:rsidRPr="00D63B0A" w:rsidP="007A02EB" w14:paraId="20D2BA99" w14:textId="77777777">
      <w:pPr>
        <w:pStyle w:val="ListParagraph"/>
        <w:numPr>
          <w:ilvl w:val="0"/>
          <w:numId w:val="1"/>
        </w:numPr>
        <w:ind w:left="1080"/>
        <w:rPr>
          <w:rFonts w:ascii="Calibri" w:hAnsi="Calibri" w:cs="Calibri"/>
          <w:sz w:val="22"/>
          <w:szCs w:val="22"/>
        </w:rPr>
      </w:pPr>
      <w:r w:rsidRPr="00D63B0A">
        <w:rPr>
          <w:rFonts w:ascii="Calibri" w:hAnsi="Calibri" w:cs="Calibri"/>
          <w:sz w:val="22"/>
          <w:szCs w:val="22"/>
        </w:rPr>
        <w:t xml:space="preserve">Check the appropriate box if the obligor was reported as an: </w:t>
      </w:r>
    </w:p>
    <w:p w:rsidR="007A02EB" w:rsidRPr="00D63B0A" w:rsidP="007A02EB" w14:paraId="4F4D42B8" w14:textId="77777777">
      <w:pPr>
        <w:ind w:left="1440"/>
        <w:rPr>
          <w:rFonts w:ascii="Calibri" w:hAnsi="Calibri" w:cs="Calibri"/>
          <w:sz w:val="22"/>
          <w:szCs w:val="22"/>
        </w:rPr>
      </w:pPr>
      <w:r w:rsidRPr="00D63B0A">
        <w:rPr>
          <w:rFonts w:ascii="Cambria Math" w:hAnsi="Cambria Math" w:cs="Cambria Math"/>
          <w:sz w:val="22"/>
          <w:szCs w:val="22"/>
        </w:rPr>
        <w:t>⃞</w:t>
      </w:r>
      <w:r w:rsidRPr="00D63B0A">
        <w:rPr>
          <w:rFonts w:ascii="Calibri" w:hAnsi="Calibri" w:cs="Calibri"/>
          <w:sz w:val="22"/>
          <w:szCs w:val="22"/>
        </w:rPr>
        <w:t xml:space="preserve"> Employee </w:t>
      </w:r>
    </w:p>
    <w:p w:rsidR="007A02EB" w:rsidRPr="00D63B0A" w:rsidP="007A02EB" w14:paraId="62055D17" w14:textId="77777777">
      <w:pPr>
        <w:ind w:left="1440"/>
        <w:rPr>
          <w:rFonts w:ascii="Calibri" w:hAnsi="Calibri" w:cs="Calibri"/>
          <w:sz w:val="22"/>
          <w:szCs w:val="22"/>
        </w:rPr>
      </w:pPr>
      <w:r w:rsidRPr="00D63B0A">
        <w:rPr>
          <w:rFonts w:ascii="Cambria Math" w:hAnsi="Cambria Math" w:cs="Cambria Math"/>
          <w:sz w:val="22"/>
          <w:szCs w:val="22"/>
        </w:rPr>
        <w:t>⃞</w:t>
      </w:r>
      <w:r w:rsidRPr="00D63B0A">
        <w:rPr>
          <w:rFonts w:ascii="Calibri" w:hAnsi="Calibri" w:cs="Calibri"/>
          <w:sz w:val="22"/>
          <w:szCs w:val="22"/>
        </w:rPr>
        <w:t xml:space="preserve"> Independent contractor </w:t>
      </w:r>
    </w:p>
    <w:p w:rsidR="00D63B0A" w:rsidRPr="00D63B0A" w:rsidP="00D63B0A" w14:paraId="05DF20BF" w14:textId="77777777">
      <w:pPr>
        <w:pStyle w:val="ListParagraph"/>
        <w:rPr>
          <w:rFonts w:ascii="Calibri" w:hAnsi="Calibri" w:cs="Calibri"/>
          <w:sz w:val="22"/>
          <w:szCs w:val="22"/>
        </w:rPr>
      </w:pPr>
      <w:r w:rsidRPr="00D63B0A">
        <w:rPr>
          <w:rFonts w:ascii="Calibri" w:hAnsi="Calibri" w:cs="Calibri"/>
          <w:sz w:val="22"/>
          <w:szCs w:val="22"/>
        </w:rPr>
        <w:t xml:space="preserve">An employer remains responsible </w:t>
      </w:r>
      <w:r w:rsidRPr="00D63B0A">
        <w:rPr>
          <w:rFonts w:ascii="Calibri" w:hAnsi="Calibri" w:cs="Calibri"/>
          <w:sz w:val="22"/>
          <w:szCs w:val="22"/>
        </w:rPr>
        <w:t>to identify</w:t>
      </w:r>
      <w:r w:rsidRPr="00D63B0A">
        <w:rPr>
          <w:rFonts w:ascii="Calibri" w:hAnsi="Calibri" w:cs="Calibri"/>
          <w:sz w:val="22"/>
          <w:szCs w:val="22"/>
        </w:rPr>
        <w:t xml:space="preserve"> whether the named obligor is an employee or independent contractor. IWOs are applicable to employees and non-employees.</w:t>
      </w:r>
    </w:p>
    <w:p w:rsidR="00D63B0A" w:rsidRPr="00D63B0A" w:rsidP="00D63B0A" w14:paraId="5BF7FF13" w14:textId="77777777">
      <w:pPr>
        <w:pStyle w:val="ListParagraph"/>
        <w:rPr>
          <w:rFonts w:ascii="Calibri" w:hAnsi="Calibri" w:cs="Calibri"/>
          <w:b/>
          <w:bCs/>
          <w:sz w:val="22"/>
          <w:szCs w:val="22"/>
        </w:rPr>
      </w:pPr>
    </w:p>
    <w:p w:rsidR="00D63B0A" w:rsidRPr="00D63B0A" w:rsidP="00D63B0A" w14:paraId="540164E0" w14:textId="77777777">
      <w:pPr>
        <w:pStyle w:val="ListParagraph"/>
        <w:rPr>
          <w:rFonts w:ascii="Calibri" w:hAnsi="Calibri" w:cs="Calibri"/>
          <w:sz w:val="22"/>
          <w:szCs w:val="22"/>
        </w:rPr>
      </w:pPr>
      <w:r w:rsidRPr="00D63B0A">
        <w:rPr>
          <w:rFonts w:ascii="Calibri" w:hAnsi="Calibri" w:cs="Calibri"/>
          <w:sz w:val="22"/>
          <w:szCs w:val="22"/>
        </w:rPr>
        <w:t>NOTE: This form may be used to withhold from all income sources such as workers compensation, financial institution account annuities, pensions, trust distributions, dividend income, interest payments, and other income as provided by state law.</w:t>
      </w:r>
    </w:p>
    <w:p w:rsidR="00D63B0A" w:rsidRPr="00D63B0A" w:rsidP="00D63B0A" w14:paraId="6E5A9914" w14:textId="77777777">
      <w:pPr>
        <w:pStyle w:val="ListParagraph"/>
        <w:rPr>
          <w:rFonts w:ascii="Calibri" w:hAnsi="Calibri" w:cs="Calibri"/>
          <w:b/>
          <w:bCs/>
          <w:sz w:val="22"/>
          <w:szCs w:val="22"/>
        </w:rPr>
      </w:pPr>
    </w:p>
    <w:p w:rsidR="00DB7AEC" w:rsidRPr="00D63B0A" w:rsidP="00C95536" w14:paraId="1ACA1D4F" w14:textId="223C7A62">
      <w:pPr>
        <w:pStyle w:val="ListParagraph"/>
        <w:numPr>
          <w:ilvl w:val="0"/>
          <w:numId w:val="1"/>
        </w:numPr>
        <w:spacing w:after="0" w:line="276" w:lineRule="auto"/>
        <w:rPr>
          <w:rFonts w:ascii="Calibri" w:eastAsia="Times New Roman" w:hAnsi="Calibri" w:cs="Calibri"/>
          <w:color w:val="202020"/>
          <w:sz w:val="22"/>
          <w:szCs w:val="22"/>
        </w:rPr>
      </w:pPr>
      <w:r w:rsidRPr="00D63B0A">
        <w:rPr>
          <w:rFonts w:ascii="Calibri" w:eastAsia="Times New Roman" w:hAnsi="Calibri" w:cs="Calibri"/>
          <w:b/>
          <w:bCs/>
          <w:color w:val="202020"/>
          <w:sz w:val="22"/>
          <w:szCs w:val="22"/>
        </w:rPr>
        <w:t>Revised</w:t>
      </w:r>
      <w:r w:rsidRPr="00D63B0A">
        <w:rPr>
          <w:rFonts w:ascii="Calibri" w:eastAsia="Times New Roman" w:hAnsi="Calibri" w:cs="Calibri"/>
          <w:color w:val="202020"/>
          <w:sz w:val="22"/>
          <w:szCs w:val="22"/>
        </w:rPr>
        <w:t xml:space="preserve">: </w:t>
      </w:r>
      <w:r w:rsidRPr="00D63B0A" w:rsidR="003D5E60">
        <w:rPr>
          <w:rFonts w:ascii="Calibri" w:eastAsia="Times New Roman" w:hAnsi="Calibri" w:cs="Calibri"/>
          <w:color w:val="202020"/>
          <w:sz w:val="22"/>
          <w:szCs w:val="22"/>
        </w:rPr>
        <w:t>H</w:t>
      </w:r>
      <w:r w:rsidRPr="00D63B0A">
        <w:rPr>
          <w:rFonts w:ascii="Calibri" w:eastAsia="Times New Roman" w:hAnsi="Calibri" w:cs="Calibri"/>
          <w:color w:val="202020"/>
          <w:sz w:val="22"/>
          <w:szCs w:val="22"/>
        </w:rPr>
        <w:t xml:space="preserve">yperlinks </w:t>
      </w:r>
      <w:r w:rsidRPr="00D63B0A">
        <w:rPr>
          <w:rFonts w:ascii="Calibri" w:eastAsia="Times New Roman" w:hAnsi="Calibri" w:cs="Calibri"/>
          <w:color w:val="202020"/>
          <w:sz w:val="22"/>
          <w:szCs w:val="22"/>
        </w:rPr>
        <w:t>updated to display full URL</w:t>
      </w:r>
    </w:p>
    <w:p w:rsidR="00DB7AEC" w:rsidRPr="00D63B0A" w:rsidP="00C95536" w14:paraId="56D32049" w14:textId="0A9ACC21">
      <w:pPr>
        <w:pStyle w:val="ListParagraph"/>
        <w:numPr>
          <w:ilvl w:val="0"/>
          <w:numId w:val="1"/>
        </w:numPr>
        <w:spacing w:after="0" w:line="276" w:lineRule="auto"/>
        <w:rPr>
          <w:rFonts w:ascii="Calibri" w:eastAsia="Times New Roman" w:hAnsi="Calibri" w:cs="Calibri"/>
          <w:color w:val="202020"/>
          <w:sz w:val="22"/>
          <w:szCs w:val="22"/>
        </w:rPr>
      </w:pPr>
      <w:r w:rsidRPr="00D63B0A">
        <w:rPr>
          <w:rFonts w:ascii="Calibri" w:eastAsia="Times New Roman" w:hAnsi="Calibri" w:cs="Calibri"/>
          <w:b/>
          <w:bCs/>
          <w:color w:val="202020"/>
          <w:sz w:val="22"/>
          <w:szCs w:val="22"/>
        </w:rPr>
        <w:t>Revised</w:t>
      </w:r>
      <w:r w:rsidRPr="00D63B0A">
        <w:rPr>
          <w:rFonts w:ascii="Calibri" w:eastAsia="Times New Roman" w:hAnsi="Calibri" w:cs="Calibri"/>
          <w:b/>
          <w:bCs/>
          <w:color w:val="202020"/>
          <w:sz w:val="22"/>
          <w:szCs w:val="22"/>
        </w:rPr>
        <w:t>:</w:t>
      </w:r>
      <w:r w:rsidRPr="00D63B0A">
        <w:rPr>
          <w:rFonts w:ascii="Calibri" w:eastAsia="Times New Roman" w:hAnsi="Calibri" w:cs="Calibri"/>
          <w:color w:val="202020"/>
          <w:sz w:val="22"/>
          <w:szCs w:val="22"/>
        </w:rPr>
        <w:t xml:space="preserve"> “per daily pay period</w:t>
      </w:r>
      <w:r w:rsidRPr="00D63B0A" w:rsidR="0067732E">
        <w:rPr>
          <w:rFonts w:ascii="Calibri" w:eastAsia="Times New Roman" w:hAnsi="Calibri" w:cs="Calibri"/>
          <w:color w:val="202020"/>
          <w:sz w:val="22"/>
          <w:szCs w:val="22"/>
        </w:rPr>
        <w:t>” – added “</w:t>
      </w:r>
      <w:r w:rsidRPr="00D63B0A" w:rsidR="0067732E">
        <w:rPr>
          <w:rFonts w:ascii="Calibri" w:hAnsi="Calibri" w:cs="Calibri"/>
          <w:sz w:val="22"/>
          <w:szCs w:val="22"/>
        </w:rPr>
        <w:t>(this does not apply to earned wage access)”</w:t>
      </w:r>
    </w:p>
    <w:p w:rsidR="00C07C47" w:rsidRPr="00D63B0A" w:rsidP="00C07C47" w14:paraId="277C360F" w14:textId="77777777">
      <w:pPr>
        <w:pStyle w:val="ListParagraph"/>
        <w:numPr>
          <w:ilvl w:val="0"/>
          <w:numId w:val="1"/>
        </w:numPr>
        <w:rPr>
          <w:rFonts w:ascii="Calibri" w:hAnsi="Calibri" w:cs="Calibri"/>
          <w:sz w:val="22"/>
          <w:szCs w:val="22"/>
        </w:rPr>
      </w:pPr>
      <w:r w:rsidRPr="00D63B0A">
        <w:rPr>
          <w:rFonts w:ascii="Calibri" w:eastAsia="Times New Roman" w:hAnsi="Calibri" w:cs="Calibri"/>
          <w:b/>
          <w:bCs/>
          <w:color w:val="202020"/>
          <w:sz w:val="22"/>
          <w:szCs w:val="22"/>
        </w:rPr>
        <w:t>Revised</w:t>
      </w:r>
      <w:r w:rsidRPr="00D63B0A" w:rsidR="00DB7AEC">
        <w:rPr>
          <w:rFonts w:ascii="Calibri" w:eastAsia="Times New Roman" w:hAnsi="Calibri" w:cs="Calibri"/>
          <w:b/>
          <w:bCs/>
          <w:color w:val="202020"/>
          <w:sz w:val="22"/>
          <w:szCs w:val="22"/>
        </w:rPr>
        <w:t>:</w:t>
      </w:r>
      <w:r w:rsidRPr="00D63B0A" w:rsidR="00DB7AEC">
        <w:rPr>
          <w:rFonts w:ascii="Calibri" w:eastAsia="Times New Roman" w:hAnsi="Calibri" w:cs="Calibri"/>
          <w:color w:val="202020"/>
          <w:sz w:val="22"/>
          <w:szCs w:val="22"/>
        </w:rPr>
        <w:t xml:space="preserve"> </w:t>
      </w:r>
      <w:r w:rsidRPr="00D63B0A">
        <w:rPr>
          <w:rFonts w:ascii="Calibri" w:hAnsi="Calibri" w:cs="Calibri"/>
          <w:sz w:val="22"/>
          <w:szCs w:val="22"/>
        </w:rPr>
        <w:t xml:space="preserve">The responsibility remains on the employer to determine if the IWO is for an employee or an independent contractor. IWOs are applicable to employees and non-employees. </w:t>
      </w:r>
    </w:p>
    <w:p w:rsidR="00C95536" w:rsidRPr="00D63B0A" w:rsidP="00DB7AEC" w14:paraId="2C4EF807" w14:textId="3ABEE365">
      <w:pPr>
        <w:pStyle w:val="NormalWeb"/>
        <w:spacing w:line="336" w:lineRule="atLeast"/>
        <w:rPr>
          <w:rFonts w:ascii="Calibri" w:hAnsi="Calibri" w:cs="Calibri"/>
          <w:b/>
          <w:bCs/>
          <w:color w:val="202020"/>
          <w:sz w:val="22"/>
          <w:szCs w:val="22"/>
          <w:u w:val="single"/>
          <w:lang w:val="en"/>
        </w:rPr>
      </w:pPr>
      <w:r w:rsidRPr="00D63B0A">
        <w:rPr>
          <w:rFonts w:ascii="Calibri" w:hAnsi="Calibri" w:cs="Calibri"/>
          <w:b/>
          <w:bCs/>
          <w:color w:val="202020"/>
          <w:sz w:val="22"/>
          <w:szCs w:val="22"/>
          <w:u w:val="single"/>
          <w:lang w:val="en"/>
        </w:rPr>
        <w:t>Instructions</w:t>
      </w:r>
    </w:p>
    <w:p w:rsidR="003A5F56" w:rsidRPr="003A5F56" w:rsidP="005231A5" w14:paraId="61294730" w14:textId="38684336">
      <w:pPr>
        <w:pStyle w:val="BodyText"/>
        <w:numPr>
          <w:ilvl w:val="0"/>
          <w:numId w:val="8"/>
        </w:numPr>
        <w:rPr>
          <w:rFonts w:ascii="Calibri" w:hAnsi="Calibri" w:eastAsiaTheme="minorHAnsi" w:cs="Calibri"/>
          <w:kern w:val="2"/>
          <w:sz w:val="22"/>
          <w:szCs w:val="22"/>
          <w14:ligatures w14:val="standardContextual"/>
        </w:rPr>
      </w:pPr>
      <w:r>
        <w:rPr>
          <w:rFonts w:ascii="Calibri" w:hAnsi="Calibri" w:eastAsiaTheme="minorHAnsi" w:cs="Calibri"/>
          <w:kern w:val="2"/>
          <w:sz w:val="22"/>
          <w:szCs w:val="22"/>
          <w14:ligatures w14:val="standardContextual"/>
        </w:rPr>
        <w:t>Added: OMB Expiration Date</w:t>
      </w:r>
    </w:p>
    <w:p w:rsidR="005231A5" w:rsidRPr="00D63B0A" w:rsidP="005231A5" w14:paraId="3713467C" w14:textId="3DFAFF84">
      <w:pPr>
        <w:pStyle w:val="BodyText"/>
        <w:numPr>
          <w:ilvl w:val="0"/>
          <w:numId w:val="8"/>
        </w:numPr>
        <w:rPr>
          <w:rFonts w:ascii="Calibri" w:hAnsi="Calibri" w:eastAsiaTheme="minorHAnsi" w:cs="Calibri"/>
          <w:kern w:val="2"/>
          <w:sz w:val="22"/>
          <w:szCs w:val="22"/>
          <w14:ligatures w14:val="standardContextual"/>
        </w:rPr>
      </w:pPr>
      <w:r w:rsidRPr="00D63B0A">
        <w:rPr>
          <w:rFonts w:ascii="Calibri" w:hAnsi="Calibri" w:cs="Calibri"/>
          <w:b/>
          <w:bCs/>
          <w:sz w:val="22"/>
          <w:szCs w:val="22"/>
        </w:rPr>
        <w:t xml:space="preserve">Revised </w:t>
      </w:r>
      <w:r w:rsidRPr="00D63B0A" w:rsidR="00DB7AEC">
        <w:rPr>
          <w:rFonts w:ascii="Calibri" w:hAnsi="Calibri" w:cs="Calibri"/>
          <w:sz w:val="22"/>
          <w:szCs w:val="22"/>
        </w:rPr>
        <w:t>:</w:t>
      </w:r>
      <w:r w:rsidRPr="00D63B0A" w:rsidR="00DB7AEC">
        <w:rPr>
          <w:rFonts w:ascii="Calibri" w:hAnsi="Calibri" w:cs="Calibri"/>
          <w:sz w:val="22"/>
          <w:szCs w:val="22"/>
        </w:rPr>
        <w:t xml:space="preserve"> </w:t>
      </w:r>
      <w:r w:rsidRPr="00D63B0A">
        <w:rPr>
          <w:rFonts w:ascii="Calibri" w:hAnsi="Calibri" w:eastAsiaTheme="minorHAnsi" w:cs="Calibri"/>
          <w:kern w:val="2"/>
          <w:sz w:val="22"/>
          <w:szCs w:val="22"/>
          <w14:ligatures w14:val="standardContextual"/>
        </w:rPr>
        <w:t>1f.  Checkboxes:</w:t>
      </w:r>
    </w:p>
    <w:p w:rsidR="005231A5" w:rsidRPr="00D63B0A" w:rsidP="005231A5" w14:paraId="7983CB33" w14:textId="77777777">
      <w:pPr>
        <w:pStyle w:val="ListParagraph"/>
        <w:numPr>
          <w:ilvl w:val="0"/>
          <w:numId w:val="8"/>
        </w:numPr>
        <w:rPr>
          <w:rFonts w:ascii="Calibri" w:hAnsi="Calibri" w:cs="Calibri"/>
          <w:sz w:val="22"/>
          <w:szCs w:val="22"/>
        </w:rPr>
      </w:pPr>
      <w:r w:rsidRPr="00D63B0A">
        <w:rPr>
          <w:rFonts w:ascii="Calibri" w:hAnsi="Calibri" w:cs="Calibri"/>
          <w:sz w:val="22"/>
          <w:szCs w:val="22"/>
        </w:rPr>
        <w:t>Select the checkbox next to “Employee” if the obligor was reported as an employee.</w:t>
      </w:r>
    </w:p>
    <w:p w:rsidR="005231A5" w:rsidRPr="00D63B0A" w:rsidP="005231A5" w14:paraId="501760A8" w14:textId="77777777">
      <w:pPr>
        <w:pStyle w:val="ListParagraph"/>
        <w:numPr>
          <w:ilvl w:val="0"/>
          <w:numId w:val="8"/>
        </w:numPr>
        <w:rPr>
          <w:rFonts w:ascii="Calibri" w:hAnsi="Calibri" w:cs="Calibri"/>
          <w:sz w:val="22"/>
          <w:szCs w:val="22"/>
        </w:rPr>
      </w:pPr>
      <w:r w:rsidRPr="00D63B0A">
        <w:rPr>
          <w:rFonts w:ascii="Calibri" w:hAnsi="Calibri" w:cs="Calibri"/>
          <w:sz w:val="22"/>
          <w:szCs w:val="22"/>
        </w:rPr>
        <w:t xml:space="preserve">Select the checkbox next to “Independent Contractor” if the obligor was reported as an independent contractor.   </w:t>
      </w:r>
    </w:p>
    <w:p w:rsidR="005231A5" w:rsidRPr="00D63B0A" w:rsidP="005231A5" w14:paraId="2BE3F40F" w14:textId="77777777">
      <w:pPr>
        <w:pStyle w:val="Default"/>
        <w:numPr>
          <w:ilvl w:val="0"/>
          <w:numId w:val="8"/>
        </w:numPr>
        <w:rPr>
          <w:rFonts w:ascii="Calibri" w:hAnsi="Calibri" w:cs="Calibri"/>
          <w:color w:val="auto"/>
          <w:kern w:val="2"/>
          <w:sz w:val="22"/>
          <w:szCs w:val="22"/>
          <w14:ligatures w14:val="standardContextual"/>
        </w:rPr>
      </w:pPr>
      <w:r w:rsidRPr="00D63B0A">
        <w:rPr>
          <w:rFonts w:ascii="Calibri" w:hAnsi="Calibri" w:cs="Calibri"/>
          <w:color w:val="auto"/>
          <w:kern w:val="2"/>
          <w:sz w:val="22"/>
          <w:szCs w:val="22"/>
          <w14:ligatures w14:val="standardContextual"/>
        </w:rPr>
        <w:t xml:space="preserve">These checkboxes may be used to indicate the obligor’s employment status.   The sender has the option to check one, both, or neither box; however, the checkboxes must be included on the IWO.  </w:t>
      </w:r>
    </w:p>
    <w:p w:rsidR="005231A5" w:rsidRPr="00D63B0A" w:rsidP="005231A5" w14:paraId="6316B3EC" w14:textId="77777777">
      <w:pPr>
        <w:pStyle w:val="Default"/>
        <w:ind w:left="85"/>
        <w:rPr>
          <w:rFonts w:ascii="Calibri" w:hAnsi="Calibri" w:cs="Calibri"/>
          <w:color w:val="auto"/>
          <w:kern w:val="2"/>
          <w:sz w:val="22"/>
          <w:szCs w:val="22"/>
          <w14:ligatures w14:val="standardContextual"/>
        </w:rPr>
      </w:pPr>
    </w:p>
    <w:p w:rsidR="005231A5" w:rsidRPr="00D63B0A" w:rsidP="005231A5" w14:paraId="790141B8" w14:textId="77777777">
      <w:pPr>
        <w:pStyle w:val="ListParagraph"/>
        <w:numPr>
          <w:ilvl w:val="0"/>
          <w:numId w:val="8"/>
        </w:numPr>
        <w:rPr>
          <w:rFonts w:ascii="Calibri" w:hAnsi="Calibri" w:cs="Calibri"/>
          <w:sz w:val="22"/>
          <w:szCs w:val="22"/>
        </w:rPr>
      </w:pPr>
      <w:r w:rsidRPr="00D63B0A">
        <w:rPr>
          <w:rFonts w:ascii="Calibri" w:hAnsi="Calibri" w:cs="Calibri"/>
          <w:sz w:val="22"/>
          <w:szCs w:val="22"/>
        </w:rPr>
        <w:t xml:space="preserve">An employer remains responsible for identifying whether the named obligor is an employee or independent contractor. IWOs are applicable to </w:t>
      </w:r>
      <w:r w:rsidRPr="00D63B0A">
        <w:rPr>
          <w:rFonts w:ascii="Calibri" w:hAnsi="Calibri" w:cs="Calibri"/>
          <w:sz w:val="22"/>
          <w:szCs w:val="22"/>
        </w:rPr>
        <w:t>employee</w:t>
      </w:r>
      <w:r w:rsidRPr="00D63B0A">
        <w:rPr>
          <w:rFonts w:ascii="Calibri" w:hAnsi="Calibri" w:cs="Calibri"/>
          <w:sz w:val="22"/>
          <w:szCs w:val="22"/>
        </w:rPr>
        <w:t xml:space="preserve"> and non-employees.</w:t>
      </w:r>
    </w:p>
    <w:p w:rsidR="005231A5" w:rsidRPr="00D63B0A" w:rsidP="005231A5" w14:paraId="693B94B3" w14:textId="77777777">
      <w:pPr>
        <w:pStyle w:val="ListParagraph"/>
        <w:numPr>
          <w:ilvl w:val="0"/>
          <w:numId w:val="8"/>
        </w:numPr>
        <w:rPr>
          <w:rFonts w:ascii="Calibri" w:hAnsi="Calibri" w:cs="Calibri"/>
          <w:sz w:val="22"/>
          <w:szCs w:val="22"/>
        </w:rPr>
      </w:pPr>
      <w:r w:rsidRPr="00D63B0A">
        <w:rPr>
          <w:rFonts w:ascii="Calibri" w:hAnsi="Calibri" w:cs="Calibri"/>
          <w:sz w:val="22"/>
          <w:szCs w:val="22"/>
        </w:rPr>
        <w:t>Incorrect worker status is not a criterion or employers or income withholders to reject an IWO.</w:t>
      </w:r>
    </w:p>
    <w:p w:rsidR="005231A5" w:rsidRPr="00D63B0A" w:rsidP="005231A5" w14:paraId="64C8DF35" w14:textId="77777777">
      <w:pPr>
        <w:pStyle w:val="ListParagraph"/>
        <w:numPr>
          <w:ilvl w:val="0"/>
          <w:numId w:val="8"/>
        </w:numPr>
        <w:rPr>
          <w:rFonts w:ascii="Calibri" w:hAnsi="Calibri" w:cs="Calibri"/>
          <w:sz w:val="22"/>
          <w:szCs w:val="22"/>
        </w:rPr>
      </w:pPr>
      <w:r w:rsidRPr="00D63B0A">
        <w:rPr>
          <w:rFonts w:ascii="Calibri" w:hAnsi="Calibri" w:cs="Calibri"/>
          <w:sz w:val="22"/>
          <w:szCs w:val="22"/>
        </w:rPr>
        <w:t xml:space="preserve">NOTE: This form may be used to </w:t>
      </w:r>
      <w:r w:rsidRPr="00D63B0A">
        <w:rPr>
          <w:rFonts w:ascii="Calibri" w:hAnsi="Calibri" w:cs="Calibri"/>
          <w:sz w:val="22"/>
          <w:szCs w:val="22"/>
        </w:rPr>
        <w:t>withhold from</w:t>
      </w:r>
      <w:r w:rsidRPr="00D63B0A">
        <w:rPr>
          <w:rFonts w:ascii="Calibri" w:hAnsi="Calibri" w:cs="Calibri"/>
          <w:sz w:val="22"/>
          <w:szCs w:val="22"/>
        </w:rPr>
        <w:t xml:space="preserve"> all income </w:t>
      </w:r>
      <w:r w:rsidRPr="00D63B0A">
        <w:rPr>
          <w:rFonts w:ascii="Calibri" w:hAnsi="Calibri" w:cs="Calibri"/>
          <w:sz w:val="22"/>
          <w:szCs w:val="22"/>
        </w:rPr>
        <w:t>sources as</w:t>
      </w:r>
      <w:r w:rsidRPr="00D63B0A">
        <w:rPr>
          <w:rFonts w:ascii="Calibri" w:hAnsi="Calibri" w:cs="Calibri"/>
          <w:sz w:val="22"/>
          <w:szCs w:val="22"/>
        </w:rPr>
        <w:t xml:space="preserve"> provided by state law such as workers’ compensation and financial institution accounts.</w:t>
      </w:r>
    </w:p>
    <w:p w:rsidR="00DB7AEC" w:rsidRPr="00D63B0A" w:rsidP="005231A5" w14:paraId="612829EC" w14:textId="0927D12B">
      <w:pPr>
        <w:pStyle w:val="ListParagraph"/>
        <w:numPr>
          <w:ilvl w:val="0"/>
          <w:numId w:val="2"/>
        </w:numPr>
        <w:spacing w:after="0" w:line="276" w:lineRule="auto"/>
        <w:rPr>
          <w:rFonts w:ascii="Calibri" w:hAnsi="Calibri" w:cs="Calibri"/>
          <w:sz w:val="22"/>
          <w:szCs w:val="22"/>
        </w:rPr>
      </w:pPr>
      <w:r w:rsidRPr="00D63B0A">
        <w:rPr>
          <w:rFonts w:ascii="Calibri" w:hAnsi="Calibri" w:cs="Calibri"/>
          <w:b/>
          <w:bCs/>
          <w:sz w:val="22"/>
          <w:szCs w:val="22"/>
        </w:rPr>
        <w:t>Revised</w:t>
      </w:r>
      <w:r w:rsidRPr="00D63B0A">
        <w:rPr>
          <w:rFonts w:ascii="Calibri" w:hAnsi="Calibri" w:cs="Calibri"/>
          <w:sz w:val="22"/>
          <w:szCs w:val="22"/>
        </w:rPr>
        <w:t xml:space="preserve">: </w:t>
      </w:r>
      <w:r w:rsidRPr="00D63B0A">
        <w:rPr>
          <w:rFonts w:ascii="Calibri" w:hAnsi="Calibri" w:cs="Calibri"/>
          <w:sz w:val="22"/>
          <w:szCs w:val="22"/>
        </w:rPr>
        <w:t xml:space="preserve">Full </w:t>
      </w:r>
      <w:r w:rsidRPr="00D63B0A">
        <w:rPr>
          <w:rFonts w:ascii="Calibri" w:hAnsi="Calibri" w:cs="Calibri"/>
          <w:sz w:val="22"/>
          <w:szCs w:val="22"/>
        </w:rPr>
        <w:t xml:space="preserve">URLs </w:t>
      </w:r>
      <w:r w:rsidRPr="00D63B0A">
        <w:rPr>
          <w:rFonts w:ascii="Calibri" w:hAnsi="Calibri" w:cs="Calibri"/>
          <w:sz w:val="22"/>
          <w:szCs w:val="22"/>
        </w:rPr>
        <w:t>added</w:t>
      </w:r>
    </w:p>
    <w:p w:rsidR="00DC60DB" w:rsidRPr="00D63B0A" w:rsidP="00DC60DB" w14:paraId="07BCE5A4" w14:textId="77777777">
      <w:pPr>
        <w:rPr>
          <w:rFonts w:ascii="Calibri" w:hAnsi="Calibri" w:cs="Calibri"/>
          <w:bCs/>
          <w:sz w:val="22"/>
          <w:szCs w:val="22"/>
        </w:rPr>
      </w:pPr>
      <w:r w:rsidRPr="00D63B0A">
        <w:rPr>
          <w:rFonts w:ascii="Calibri" w:hAnsi="Calibri" w:cs="Calibri"/>
          <w:b/>
          <w:sz w:val="22"/>
          <w:szCs w:val="22"/>
        </w:rPr>
        <w:t>Revised</w:t>
      </w:r>
      <w:r w:rsidRPr="00D63B0A" w:rsidR="00DB7AEC">
        <w:rPr>
          <w:rFonts w:ascii="Calibri" w:hAnsi="Calibri" w:cs="Calibri"/>
          <w:b/>
          <w:sz w:val="22"/>
          <w:szCs w:val="22"/>
        </w:rPr>
        <w:t>:</w:t>
      </w:r>
      <w:r w:rsidRPr="00D63B0A" w:rsidR="00DB7AEC">
        <w:rPr>
          <w:rFonts w:ascii="Calibri" w:hAnsi="Calibri" w:cs="Calibri"/>
          <w:bCs/>
          <w:sz w:val="22"/>
          <w:szCs w:val="22"/>
        </w:rPr>
        <w:t xml:space="preserve">  </w:t>
      </w:r>
    </w:p>
    <w:p w:rsidR="00B218E8" w:rsidRPr="00B218E8" w:rsidP="00B218E8" w14:paraId="78FEBD96" w14:textId="77777777">
      <w:pPr>
        <w:pStyle w:val="BodyText"/>
        <w:spacing w:before="1"/>
        <w:ind w:left="220" w:right="766"/>
        <w:rPr>
          <w:rFonts w:ascii="Calibri" w:hAnsi="Calibri" w:cs="Calibri"/>
          <w:sz w:val="22"/>
          <w:szCs w:val="22"/>
        </w:rPr>
      </w:pPr>
      <w:r w:rsidRPr="00B218E8">
        <w:rPr>
          <w:rFonts w:ascii="Calibri" w:hAnsi="Calibri" w:cs="Calibri"/>
          <w:bCs/>
          <w:sz w:val="22"/>
          <w:szCs w:val="22"/>
        </w:rPr>
        <w:t>NOTE</w:t>
      </w:r>
      <w:r w:rsidRPr="00B218E8">
        <w:rPr>
          <w:rFonts w:ascii="Calibri" w:hAnsi="Calibri" w:cs="Calibri"/>
          <w:bCs/>
          <w:spacing w:val="-5"/>
          <w:sz w:val="22"/>
          <w:szCs w:val="22"/>
        </w:rPr>
        <w:t xml:space="preserve"> </w:t>
      </w:r>
      <w:r w:rsidRPr="00B218E8">
        <w:rPr>
          <w:rFonts w:ascii="Calibri" w:hAnsi="Calibri" w:cs="Calibri"/>
          <w:bCs/>
          <w:sz w:val="22"/>
          <w:szCs w:val="22"/>
        </w:rPr>
        <w:t>TO</w:t>
      </w:r>
      <w:r w:rsidRPr="00B218E8">
        <w:rPr>
          <w:rFonts w:ascii="Calibri" w:hAnsi="Calibri" w:cs="Calibri"/>
          <w:bCs/>
          <w:spacing w:val="-3"/>
          <w:sz w:val="22"/>
          <w:szCs w:val="22"/>
        </w:rPr>
        <w:t xml:space="preserve"> </w:t>
      </w:r>
      <w:r w:rsidRPr="00B218E8">
        <w:rPr>
          <w:rFonts w:ascii="Calibri" w:hAnsi="Calibri" w:cs="Calibri"/>
          <w:bCs/>
          <w:sz w:val="22"/>
          <w:szCs w:val="22"/>
        </w:rPr>
        <w:t>EMPLOYER/INCOME</w:t>
      </w:r>
      <w:r w:rsidRPr="00B218E8">
        <w:rPr>
          <w:rFonts w:ascii="Calibri" w:hAnsi="Calibri" w:cs="Calibri"/>
          <w:bCs/>
          <w:spacing w:val="-5"/>
          <w:sz w:val="22"/>
          <w:szCs w:val="22"/>
        </w:rPr>
        <w:t xml:space="preserve"> </w:t>
      </w:r>
      <w:r w:rsidRPr="00B218E8">
        <w:rPr>
          <w:rFonts w:ascii="Calibri" w:hAnsi="Calibri" w:cs="Calibri"/>
          <w:bCs/>
          <w:sz w:val="22"/>
          <w:szCs w:val="22"/>
        </w:rPr>
        <w:t>WITHHOLDER:</w:t>
      </w:r>
      <w:r w:rsidRPr="00B218E8">
        <w:rPr>
          <w:rFonts w:ascii="Calibri" w:hAnsi="Calibri" w:cs="Calibri"/>
          <w:bCs/>
          <w:spacing w:val="-2"/>
          <w:sz w:val="22"/>
          <w:szCs w:val="22"/>
        </w:rPr>
        <w:t xml:space="preserve"> </w:t>
      </w:r>
      <w:r w:rsidRPr="00B218E8">
        <w:rPr>
          <w:rFonts w:ascii="Calibri" w:hAnsi="Calibri" w:cs="Calibri"/>
          <w:bCs/>
          <w:sz w:val="22"/>
          <w:szCs w:val="22"/>
        </w:rPr>
        <w:t>An</w:t>
      </w:r>
      <w:r w:rsidRPr="00B218E8">
        <w:rPr>
          <w:rFonts w:ascii="Calibri" w:hAnsi="Calibri" w:cs="Calibri"/>
          <w:spacing w:val="-2"/>
          <w:sz w:val="22"/>
          <w:szCs w:val="22"/>
        </w:rPr>
        <w:t xml:space="preserve"> </w:t>
      </w:r>
      <w:r w:rsidRPr="00B218E8">
        <w:rPr>
          <w:rFonts w:ascii="Calibri" w:hAnsi="Calibri" w:cs="Calibri"/>
          <w:sz w:val="22"/>
          <w:szCs w:val="22"/>
        </w:rPr>
        <w:t>acceptable</w:t>
      </w:r>
      <w:r w:rsidRPr="00B218E8">
        <w:rPr>
          <w:rFonts w:ascii="Calibri" w:hAnsi="Calibri" w:cs="Calibri"/>
          <w:spacing w:val="-4"/>
          <w:sz w:val="22"/>
          <w:szCs w:val="22"/>
        </w:rPr>
        <w:t xml:space="preserve"> </w:t>
      </w:r>
      <w:r w:rsidRPr="00B218E8">
        <w:rPr>
          <w:rFonts w:ascii="Calibri" w:hAnsi="Calibri" w:cs="Calibri"/>
          <w:sz w:val="22"/>
          <w:szCs w:val="22"/>
        </w:rPr>
        <w:t>method</w:t>
      </w:r>
      <w:r w:rsidRPr="00B218E8">
        <w:rPr>
          <w:rFonts w:ascii="Calibri" w:hAnsi="Calibri" w:cs="Calibri"/>
          <w:spacing w:val="-2"/>
          <w:sz w:val="22"/>
          <w:szCs w:val="22"/>
        </w:rPr>
        <w:t xml:space="preserve"> </w:t>
      </w:r>
      <w:r w:rsidRPr="00B218E8">
        <w:rPr>
          <w:rFonts w:ascii="Calibri" w:hAnsi="Calibri" w:cs="Calibri"/>
          <w:sz w:val="22"/>
          <w:szCs w:val="22"/>
        </w:rPr>
        <w:t>of</w:t>
      </w:r>
      <w:r w:rsidRPr="00B218E8">
        <w:rPr>
          <w:rFonts w:ascii="Calibri" w:hAnsi="Calibri" w:cs="Calibri"/>
          <w:spacing w:val="-1"/>
          <w:sz w:val="22"/>
          <w:szCs w:val="22"/>
        </w:rPr>
        <w:t xml:space="preserve"> </w:t>
      </w:r>
      <w:r w:rsidRPr="00B218E8">
        <w:rPr>
          <w:rFonts w:ascii="Calibri" w:hAnsi="Calibri" w:cs="Calibri"/>
          <w:sz w:val="22"/>
          <w:szCs w:val="22"/>
        </w:rPr>
        <w:t>determining</w:t>
      </w:r>
      <w:r w:rsidRPr="00B218E8">
        <w:rPr>
          <w:rFonts w:ascii="Calibri" w:hAnsi="Calibri" w:cs="Calibri"/>
          <w:spacing w:val="-4"/>
          <w:sz w:val="22"/>
          <w:szCs w:val="22"/>
        </w:rPr>
        <w:t xml:space="preserve"> </w:t>
      </w:r>
      <w:r w:rsidRPr="00B218E8">
        <w:rPr>
          <w:rFonts w:ascii="Calibri" w:hAnsi="Calibri" w:cs="Calibri"/>
          <w:sz w:val="22"/>
          <w:szCs w:val="22"/>
        </w:rPr>
        <w:t>the</w:t>
      </w:r>
      <w:r w:rsidRPr="00B218E8">
        <w:rPr>
          <w:rFonts w:ascii="Calibri" w:hAnsi="Calibri" w:cs="Calibri"/>
          <w:spacing w:val="-4"/>
          <w:sz w:val="22"/>
          <w:szCs w:val="22"/>
        </w:rPr>
        <w:t xml:space="preserve"> </w:t>
      </w:r>
      <w:r w:rsidRPr="00B218E8">
        <w:rPr>
          <w:rFonts w:ascii="Calibri" w:hAnsi="Calibri" w:cs="Calibri"/>
          <w:sz w:val="22"/>
          <w:szCs w:val="22"/>
        </w:rPr>
        <w:t>amount</w:t>
      </w:r>
      <w:r w:rsidRPr="00B218E8">
        <w:rPr>
          <w:rFonts w:ascii="Calibri" w:hAnsi="Calibri" w:cs="Calibri"/>
          <w:spacing w:val="-3"/>
          <w:sz w:val="22"/>
          <w:szCs w:val="22"/>
        </w:rPr>
        <w:t xml:space="preserve"> </w:t>
      </w:r>
      <w:r w:rsidRPr="00B218E8">
        <w:rPr>
          <w:rFonts w:ascii="Calibri" w:hAnsi="Calibri" w:cs="Calibri"/>
          <w:sz w:val="22"/>
          <w:szCs w:val="22"/>
        </w:rPr>
        <w:t>to</w:t>
      </w:r>
      <w:r w:rsidRPr="00B218E8">
        <w:rPr>
          <w:rFonts w:ascii="Calibri" w:hAnsi="Calibri" w:cs="Calibri"/>
          <w:spacing w:val="-2"/>
          <w:sz w:val="22"/>
          <w:szCs w:val="22"/>
        </w:rPr>
        <w:t xml:space="preserve"> </w:t>
      </w:r>
      <w:r w:rsidRPr="00B218E8">
        <w:rPr>
          <w:rFonts w:ascii="Calibri" w:hAnsi="Calibri" w:cs="Calibri"/>
          <w:sz w:val="22"/>
          <w:szCs w:val="22"/>
        </w:rPr>
        <w:t>be</w:t>
      </w:r>
      <w:r w:rsidRPr="00B218E8">
        <w:rPr>
          <w:rFonts w:ascii="Calibri" w:hAnsi="Calibri" w:cs="Calibri"/>
          <w:spacing w:val="-53"/>
          <w:sz w:val="22"/>
          <w:szCs w:val="22"/>
        </w:rPr>
        <w:t xml:space="preserve"> </w:t>
      </w:r>
      <w:r w:rsidRPr="00B218E8">
        <w:rPr>
          <w:rFonts w:ascii="Calibri" w:hAnsi="Calibri" w:cs="Calibri"/>
          <w:sz w:val="22"/>
          <w:szCs w:val="22"/>
        </w:rPr>
        <w:t>paid on a weekly or biweekly basis is to multiply the monthly amount due by 12 and divide that result by</w:t>
      </w:r>
      <w:r w:rsidRPr="00B218E8">
        <w:rPr>
          <w:rFonts w:ascii="Calibri" w:hAnsi="Calibri" w:cs="Calibri"/>
          <w:spacing w:val="1"/>
          <w:sz w:val="22"/>
          <w:szCs w:val="22"/>
        </w:rPr>
        <w:t xml:space="preserve"> </w:t>
      </w:r>
      <w:r w:rsidRPr="00B218E8">
        <w:rPr>
          <w:rFonts w:ascii="Calibri" w:hAnsi="Calibri" w:cs="Calibri"/>
          <w:sz w:val="22"/>
          <w:szCs w:val="22"/>
          <w:highlight w:val="yellow"/>
        </w:rPr>
        <w:t xml:space="preserve">the number of pay periods in a year. </w:t>
      </w:r>
      <w:r w:rsidRPr="00B218E8">
        <w:rPr>
          <w:rFonts w:ascii="Calibri" w:hAnsi="Calibri" w:cs="Calibri"/>
          <w:sz w:val="22"/>
          <w:szCs w:val="22"/>
        </w:rPr>
        <w:t xml:space="preserve">An acceptable method of </w:t>
      </w:r>
      <w:r w:rsidRPr="00B218E8">
        <w:rPr>
          <w:rFonts w:ascii="Calibri" w:hAnsi="Calibri" w:cs="Calibri"/>
          <w:sz w:val="22"/>
          <w:szCs w:val="22"/>
        </w:rPr>
        <w:t xml:space="preserve">determining the amount to be paid </w:t>
      </w:r>
      <w:r w:rsidRPr="00B218E8">
        <w:rPr>
          <w:rFonts w:ascii="Calibri" w:hAnsi="Calibri" w:cs="Calibri"/>
          <w:sz w:val="22"/>
          <w:szCs w:val="22"/>
        </w:rPr>
        <w:t>on a daily basis</w:t>
      </w:r>
      <w:r w:rsidRPr="00B218E8">
        <w:rPr>
          <w:rFonts w:ascii="Calibri" w:hAnsi="Calibri" w:cs="Calibri"/>
          <w:sz w:val="22"/>
          <w:szCs w:val="22"/>
        </w:rPr>
        <w:t xml:space="preserve"> may be to divide the annual obligation by 260.  </w:t>
      </w:r>
    </w:p>
    <w:p w:rsidR="00B218E8" w:rsidRPr="00B218E8" w:rsidP="00B218E8" w14:paraId="5FBC22CB" w14:textId="77777777">
      <w:pPr>
        <w:pStyle w:val="ListParagraph"/>
        <w:widowControl w:val="0"/>
        <w:numPr>
          <w:ilvl w:val="0"/>
          <w:numId w:val="10"/>
        </w:numPr>
        <w:tabs>
          <w:tab w:val="left" w:pos="940"/>
          <w:tab w:val="left" w:pos="941"/>
        </w:tabs>
        <w:autoSpaceDE w:val="0"/>
        <w:autoSpaceDN w:val="0"/>
        <w:spacing w:after="0" w:line="230" w:lineRule="exact"/>
        <w:ind w:left="940"/>
        <w:contextualSpacing w:val="0"/>
        <w:rPr>
          <w:rFonts w:ascii="Calibri" w:eastAsia="Times New Roman" w:hAnsi="Calibri" w:cs="Calibri"/>
          <w:kern w:val="0"/>
          <w:sz w:val="22"/>
          <w:szCs w:val="22"/>
          <w14:ligatures w14:val="none"/>
        </w:rPr>
      </w:pPr>
      <w:r w:rsidRPr="00B218E8">
        <w:rPr>
          <w:rFonts w:ascii="Calibri" w:eastAsia="Times New Roman" w:hAnsi="Calibri" w:cs="Calibri"/>
          <w:kern w:val="0"/>
          <w:sz w:val="22"/>
          <w:szCs w:val="22"/>
          <w14:ligatures w14:val="none"/>
        </w:rPr>
        <w:t xml:space="preserve">The </w:t>
      </w:r>
      <w:r w:rsidRPr="00B218E8">
        <w:rPr>
          <w:rFonts w:ascii="Calibri" w:eastAsia="Times New Roman" w:hAnsi="Calibri" w:cs="Calibri"/>
          <w:kern w:val="0"/>
          <w:sz w:val="22"/>
          <w:szCs w:val="22"/>
          <w14:ligatures w14:val="none"/>
        </w:rPr>
        <w:t>annual child</w:t>
      </w:r>
      <w:r w:rsidRPr="00B218E8">
        <w:rPr>
          <w:rFonts w:ascii="Calibri" w:eastAsia="Times New Roman" w:hAnsi="Calibri" w:cs="Calibri"/>
          <w:kern w:val="0"/>
          <w:sz w:val="22"/>
          <w:szCs w:val="22"/>
          <w14:ligatures w14:val="none"/>
        </w:rPr>
        <w:t xml:space="preserve"> support obligation is divided by 260 to derive a standardized daily withholding amount because 260 represents the typical number of paid workdays in a full-time work year (52 weeks × 5 workdays). </w:t>
      </w:r>
    </w:p>
    <w:p w:rsidR="00B218E8" w:rsidRPr="00B218E8" w:rsidP="00B218E8" w14:paraId="4F8FB6F6" w14:textId="77777777">
      <w:pPr>
        <w:pStyle w:val="ListParagraph"/>
        <w:widowControl w:val="0"/>
        <w:numPr>
          <w:ilvl w:val="0"/>
          <w:numId w:val="10"/>
        </w:numPr>
        <w:tabs>
          <w:tab w:val="left" w:pos="940"/>
          <w:tab w:val="left" w:pos="941"/>
        </w:tabs>
        <w:autoSpaceDE w:val="0"/>
        <w:autoSpaceDN w:val="0"/>
        <w:spacing w:after="0" w:line="230" w:lineRule="exact"/>
        <w:ind w:left="940"/>
        <w:contextualSpacing w:val="0"/>
        <w:rPr>
          <w:rFonts w:ascii="Calibri" w:eastAsia="Times New Roman" w:hAnsi="Calibri" w:cs="Calibri"/>
          <w:kern w:val="0"/>
          <w:sz w:val="22"/>
          <w:szCs w:val="22"/>
          <w14:ligatures w14:val="none"/>
        </w:rPr>
      </w:pPr>
      <w:r w:rsidRPr="00B218E8">
        <w:rPr>
          <w:rFonts w:ascii="Calibri" w:eastAsia="Times New Roman" w:hAnsi="Calibri" w:cs="Calibri"/>
          <w:kern w:val="0"/>
          <w:sz w:val="22"/>
          <w:szCs w:val="22"/>
          <w14:ligatures w14:val="none"/>
        </w:rPr>
        <w:t>This method provides a uniform and predictable allocation of the annual obligation across the employee’s earning days, facilitating consistent payroll withholding regardless of variable schedules, intermittent employment, or fluctuating hours.</w:t>
      </w:r>
    </w:p>
    <w:p w:rsidR="00B218E8" w:rsidRPr="00B218E8" w:rsidP="00B218E8" w14:paraId="576AE6D0" w14:textId="77777777">
      <w:pPr>
        <w:pStyle w:val="ListParagraph"/>
        <w:widowControl w:val="0"/>
        <w:numPr>
          <w:ilvl w:val="0"/>
          <w:numId w:val="10"/>
        </w:numPr>
        <w:tabs>
          <w:tab w:val="left" w:pos="940"/>
          <w:tab w:val="left" w:pos="941"/>
        </w:tabs>
        <w:autoSpaceDE w:val="0"/>
        <w:autoSpaceDN w:val="0"/>
        <w:spacing w:after="0" w:line="230" w:lineRule="exact"/>
        <w:ind w:left="940"/>
        <w:contextualSpacing w:val="0"/>
        <w:rPr>
          <w:rFonts w:ascii="Calibri" w:eastAsia="Times New Roman" w:hAnsi="Calibri" w:cs="Calibri"/>
          <w:kern w:val="0"/>
          <w:sz w:val="22"/>
          <w:szCs w:val="22"/>
          <w14:ligatures w14:val="none"/>
        </w:rPr>
      </w:pPr>
      <w:r w:rsidRPr="00B218E8">
        <w:rPr>
          <w:rFonts w:ascii="Calibri" w:eastAsia="Times New Roman" w:hAnsi="Calibri" w:cs="Calibri"/>
          <w:kern w:val="0"/>
          <w:sz w:val="22"/>
          <w:szCs w:val="22"/>
          <w14:ligatures w14:val="none"/>
        </w:rPr>
        <w:t xml:space="preserve">For questions or further clarification contact the IWO sender.  </w:t>
      </w:r>
    </w:p>
    <w:p w:rsidR="00DB7AEC" w:rsidRPr="00D63B0A" w:rsidP="00DC60DB" w14:paraId="472D5256" w14:textId="55A87383">
      <w:pPr>
        <w:pStyle w:val="ListParagraph"/>
        <w:numPr>
          <w:ilvl w:val="0"/>
          <w:numId w:val="2"/>
        </w:numPr>
        <w:spacing w:after="0" w:line="276" w:lineRule="auto"/>
        <w:rPr>
          <w:rFonts w:ascii="Calibri" w:hAnsi="Calibri" w:cs="Calibri"/>
          <w:sz w:val="22"/>
          <w:szCs w:val="22"/>
        </w:rPr>
      </w:pPr>
      <w:r w:rsidRPr="00D63B0A">
        <w:rPr>
          <w:rFonts w:ascii="Calibri" w:hAnsi="Calibri" w:cs="Calibri"/>
          <w:b/>
          <w:bCs/>
          <w:sz w:val="22"/>
          <w:szCs w:val="22"/>
        </w:rPr>
        <w:t>Added:</w:t>
      </w:r>
      <w:r w:rsidRPr="00D63B0A">
        <w:rPr>
          <w:rFonts w:ascii="Calibri" w:hAnsi="Calibri" w:cs="Calibri"/>
          <w:sz w:val="22"/>
          <w:szCs w:val="22"/>
        </w:rPr>
        <w:t xml:space="preserve"> 13a. Per Daily Pay Period. Total amount an employer/income withholder should withhold if the employee/obligor is paid daily.</w:t>
      </w:r>
      <w:r w:rsidRPr="00D63B0A" w:rsidR="004F3166">
        <w:rPr>
          <w:rFonts w:ascii="Calibri" w:hAnsi="Calibri" w:cs="Calibri"/>
          <w:sz w:val="22"/>
          <w:szCs w:val="22"/>
        </w:rPr>
        <w:t xml:space="preserve"> </w:t>
      </w:r>
      <w:r w:rsidRPr="00D63B0A" w:rsidR="004F3166">
        <w:rPr>
          <w:rFonts w:ascii="Calibri" w:eastAsia="Times New Roman" w:hAnsi="Calibri" w:cs="Calibri"/>
          <w:color w:val="202020"/>
          <w:sz w:val="22"/>
          <w:szCs w:val="22"/>
        </w:rPr>
        <w:t>“</w:t>
      </w:r>
      <w:r w:rsidRPr="00D63B0A" w:rsidR="004F3166">
        <w:rPr>
          <w:rFonts w:ascii="Calibri" w:hAnsi="Calibri" w:cs="Calibri"/>
          <w:sz w:val="22"/>
          <w:szCs w:val="22"/>
        </w:rPr>
        <w:t>(this does not apply to earned wage access)”</w:t>
      </w:r>
    </w:p>
    <w:p w:rsidR="00DB7AEC" w:rsidRPr="00D63B0A" w:rsidP="00DB7AEC" w14:paraId="4B94226E" w14:textId="77777777">
      <w:pPr>
        <w:spacing w:line="276" w:lineRule="auto"/>
        <w:rPr>
          <w:rFonts w:ascii="Calibri" w:eastAsia="Times New Roman" w:hAnsi="Calibri" w:cs="Calibri"/>
          <w:color w:val="202020"/>
          <w:sz w:val="22"/>
          <w:szCs w:val="22"/>
          <w:highlight w:val="yellow"/>
        </w:rPr>
      </w:pPr>
    </w:p>
    <w:p w:rsidR="00C95536" w:rsidRPr="00D63B0A" w:rsidP="00DB7AEC" w14:paraId="5B35D5B4" w14:textId="77777777">
      <w:pPr>
        <w:spacing w:line="256" w:lineRule="auto"/>
        <w:rPr>
          <w:rFonts w:ascii="Calibri" w:eastAsia="Aptos" w:hAnsi="Calibri" w:cs="Calibri"/>
          <w:b/>
          <w:bCs/>
          <w:sz w:val="22"/>
          <w:szCs w:val="22"/>
          <w:u w:val="single"/>
        </w:rPr>
      </w:pPr>
    </w:p>
    <w:p w:rsidR="00DB7AEC" w:rsidRPr="00D63B0A" w:rsidP="00DB7AEC" w14:paraId="2377474F" w14:textId="77777777">
      <w:pPr>
        <w:rPr>
          <w:rFonts w:ascii="Calibri" w:hAnsi="Calibri" w:cs="Calibri"/>
          <w:sz w:val="22"/>
          <w:szCs w:val="22"/>
          <w:lang w:val="en"/>
        </w:rPr>
      </w:pPr>
    </w:p>
    <w:sectPr w:rsidSect="00923EAD">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E1DEB"/>
    <w:multiLevelType w:val="multilevel"/>
    <w:tmpl w:val="CA8AAE0C"/>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rPr>
    </w:lvl>
    <w:lvl w:ilvl="2">
      <w:start w:val="1"/>
      <w:numFmt w:val="bullet"/>
      <w:lvlText w:val="■"/>
      <w:lvlJc w:val="left"/>
      <w:pPr>
        <w:ind w:left="648" w:hanging="216"/>
      </w:pPr>
      <w:rPr>
        <w:rFonts w:ascii="Arial" w:hAnsi="Arial" w:cs="Times New Roman" w:hint="default"/>
        <w:sz w:val="16"/>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866685C"/>
    <w:multiLevelType w:val="hybridMultilevel"/>
    <w:tmpl w:val="C4F2EC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B7DE6"/>
    <w:multiLevelType w:val="hybridMultilevel"/>
    <w:tmpl w:val="9C4A733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75E9D"/>
    <w:multiLevelType w:val="hybridMultilevel"/>
    <w:tmpl w:val="642E9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0C3E4B"/>
    <w:multiLevelType w:val="hybridMultilevel"/>
    <w:tmpl w:val="025A9E1C"/>
    <w:lvl w:ilvl="0">
      <w:start w:val="0"/>
      <w:numFmt w:val="bullet"/>
      <w:lvlText w:val=""/>
      <w:lvlJc w:val="left"/>
      <w:pPr>
        <w:ind w:left="939" w:hanging="361"/>
      </w:pPr>
      <w:rPr>
        <w:rFonts w:ascii="Symbol" w:eastAsia="Symbol" w:hAnsi="Symbol" w:cs="Symbol" w:hint="default"/>
        <w:b w:val="0"/>
        <w:bCs w:val="0"/>
        <w:i w:val="0"/>
        <w:iCs w:val="0"/>
        <w:w w:val="99"/>
        <w:sz w:val="19"/>
        <w:szCs w:val="19"/>
        <w:lang w:val="en-US" w:eastAsia="en-US" w:bidi="ar-SA"/>
      </w:rPr>
    </w:lvl>
    <w:lvl w:ilvl="1">
      <w:start w:val="0"/>
      <w:numFmt w:val="bullet"/>
      <w:lvlText w:val="•"/>
      <w:lvlJc w:val="left"/>
      <w:pPr>
        <w:ind w:left="1826" w:hanging="361"/>
      </w:pPr>
      <w:rPr>
        <w:rFonts w:hint="default"/>
        <w:lang w:val="en-US" w:eastAsia="en-US" w:bidi="ar-SA"/>
      </w:rPr>
    </w:lvl>
    <w:lvl w:ilvl="2">
      <w:start w:val="0"/>
      <w:numFmt w:val="bullet"/>
      <w:lvlText w:val="•"/>
      <w:lvlJc w:val="left"/>
      <w:pPr>
        <w:ind w:left="2712" w:hanging="361"/>
      </w:pPr>
      <w:rPr>
        <w:rFonts w:hint="default"/>
        <w:lang w:val="en-US" w:eastAsia="en-US" w:bidi="ar-SA"/>
      </w:rPr>
    </w:lvl>
    <w:lvl w:ilvl="3">
      <w:start w:val="0"/>
      <w:numFmt w:val="bullet"/>
      <w:lvlText w:val="•"/>
      <w:lvlJc w:val="left"/>
      <w:pPr>
        <w:ind w:left="3598" w:hanging="361"/>
      </w:pPr>
      <w:rPr>
        <w:rFonts w:hint="default"/>
        <w:lang w:val="en-US" w:eastAsia="en-US" w:bidi="ar-SA"/>
      </w:rPr>
    </w:lvl>
    <w:lvl w:ilvl="4">
      <w:start w:val="0"/>
      <w:numFmt w:val="bullet"/>
      <w:lvlText w:val="•"/>
      <w:lvlJc w:val="left"/>
      <w:pPr>
        <w:ind w:left="4484" w:hanging="361"/>
      </w:pPr>
      <w:rPr>
        <w:rFonts w:hint="default"/>
        <w:lang w:val="en-US" w:eastAsia="en-US" w:bidi="ar-SA"/>
      </w:rPr>
    </w:lvl>
    <w:lvl w:ilvl="5">
      <w:start w:val="0"/>
      <w:numFmt w:val="bullet"/>
      <w:lvlText w:val="•"/>
      <w:lvlJc w:val="left"/>
      <w:pPr>
        <w:ind w:left="5370" w:hanging="361"/>
      </w:pPr>
      <w:rPr>
        <w:rFonts w:hint="default"/>
        <w:lang w:val="en-US" w:eastAsia="en-US" w:bidi="ar-SA"/>
      </w:rPr>
    </w:lvl>
    <w:lvl w:ilvl="6">
      <w:start w:val="0"/>
      <w:numFmt w:val="bullet"/>
      <w:lvlText w:val="•"/>
      <w:lvlJc w:val="left"/>
      <w:pPr>
        <w:ind w:left="6256" w:hanging="361"/>
      </w:pPr>
      <w:rPr>
        <w:rFonts w:hint="default"/>
        <w:lang w:val="en-US" w:eastAsia="en-US" w:bidi="ar-SA"/>
      </w:rPr>
    </w:lvl>
    <w:lvl w:ilvl="7">
      <w:start w:val="0"/>
      <w:numFmt w:val="bullet"/>
      <w:lvlText w:val="•"/>
      <w:lvlJc w:val="left"/>
      <w:pPr>
        <w:ind w:left="7142" w:hanging="361"/>
      </w:pPr>
      <w:rPr>
        <w:rFonts w:hint="default"/>
        <w:lang w:val="en-US" w:eastAsia="en-US" w:bidi="ar-SA"/>
      </w:rPr>
    </w:lvl>
    <w:lvl w:ilvl="8">
      <w:start w:val="0"/>
      <w:numFmt w:val="bullet"/>
      <w:lvlText w:val="•"/>
      <w:lvlJc w:val="left"/>
      <w:pPr>
        <w:ind w:left="8028" w:hanging="361"/>
      </w:pPr>
      <w:rPr>
        <w:rFonts w:hint="default"/>
        <w:lang w:val="en-US" w:eastAsia="en-US" w:bidi="ar-SA"/>
      </w:rPr>
    </w:lvl>
  </w:abstractNum>
  <w:abstractNum w:abstractNumId="5">
    <w:nsid w:val="3DEF44B8"/>
    <w:multiLevelType w:val="multilevel"/>
    <w:tmpl w:val="DFFEB3E0"/>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rPr>
    </w:lvl>
    <w:lvl w:ilvl="2">
      <w:start w:val="1"/>
      <w:numFmt w:val="bullet"/>
      <w:lvlText w:val="■"/>
      <w:lvlJc w:val="left"/>
      <w:pPr>
        <w:ind w:left="648" w:hanging="216"/>
      </w:pPr>
      <w:rPr>
        <w:rFonts w:ascii="Arial" w:hAnsi="Arial" w:cs="Times New Roman" w:hint="default"/>
        <w:sz w:val="16"/>
      </w:rPr>
    </w:lvl>
    <w:lvl w:ilvl="3">
      <w:start w:val="1"/>
      <w:numFmt w:val="bullet"/>
      <w:lvlText w:val="o"/>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66F652F"/>
    <w:multiLevelType w:val="hybridMultilevel"/>
    <w:tmpl w:val="71CC1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BEC73EE"/>
    <w:multiLevelType w:val="hybridMultilevel"/>
    <w:tmpl w:val="7A5823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184AD7"/>
    <w:multiLevelType w:val="hybridMultilevel"/>
    <w:tmpl w:val="98EE6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6847111"/>
    <w:multiLevelType w:val="multilevel"/>
    <w:tmpl w:val="DFFEB3E0"/>
    <w:lvl w:ilvl="0">
      <w:start w:val="1"/>
      <w:numFmt w:val="bullet"/>
      <w:lvlText w:val=""/>
      <w:lvlJc w:val="left"/>
      <w:pPr>
        <w:ind w:left="216" w:hanging="216"/>
      </w:pPr>
      <w:rPr>
        <w:rFonts w:ascii="Symbol" w:hAnsi="Symbol" w:hint="default"/>
      </w:rPr>
    </w:lvl>
    <w:lvl w:ilvl="1">
      <w:start w:val="1"/>
      <w:numFmt w:val="bullet"/>
      <w:lvlText w:val=""/>
      <w:lvlJc w:val="left"/>
      <w:pPr>
        <w:ind w:left="432" w:hanging="216"/>
      </w:pPr>
      <w:rPr>
        <w:rFonts w:ascii="Symbol" w:hAnsi="Symbol" w:hint="default"/>
      </w:rPr>
    </w:lvl>
    <w:lvl w:ilvl="2">
      <w:start w:val="1"/>
      <w:numFmt w:val="bullet"/>
      <w:lvlText w:val="■"/>
      <w:lvlJc w:val="left"/>
      <w:pPr>
        <w:ind w:left="648" w:hanging="216"/>
      </w:pPr>
      <w:rPr>
        <w:rFonts w:ascii="Arial" w:hAnsi="Arial" w:cs="Times New Roman" w:hint="default"/>
        <w:sz w:val="16"/>
      </w:rPr>
    </w:lvl>
    <w:lvl w:ilvl="3">
      <w:start w:val="1"/>
      <w:numFmt w:val="bullet"/>
      <w:lvlText w:val="o"/>
      <w:lvlJc w:val="left"/>
      <w:pPr>
        <w:ind w:left="1440" w:hanging="360"/>
      </w:pPr>
      <w:rPr>
        <w:rFonts w:ascii="Courier New" w:hAnsi="Courier New"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9415273">
    <w:abstractNumId w:val="3"/>
  </w:num>
  <w:num w:numId="2" w16cid:durableId="318005139">
    <w:abstractNumId w:val="6"/>
  </w:num>
  <w:num w:numId="3" w16cid:durableId="981927374">
    <w:abstractNumId w:val="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7466645">
    <w:abstractNumId w:val="9"/>
  </w:num>
  <w:num w:numId="5" w16cid:durableId="1168012571">
    <w:abstractNumId w:val="2"/>
  </w:num>
  <w:num w:numId="6" w16cid:durableId="1376658683">
    <w:abstractNumId w:val="1"/>
  </w:num>
  <w:num w:numId="7" w16cid:durableId="1912080993">
    <w:abstractNumId w:val="0"/>
  </w:num>
  <w:num w:numId="8" w16cid:durableId="157892270">
    <w:abstractNumId w:val="8"/>
  </w:num>
  <w:num w:numId="9" w16cid:durableId="668756202">
    <w:abstractNumId w:val="7"/>
  </w:num>
  <w:num w:numId="10" w16cid:durableId="842477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EC"/>
    <w:rsid w:val="000251CD"/>
    <w:rsid w:val="00033BE9"/>
    <w:rsid w:val="00053F6A"/>
    <w:rsid w:val="00176D31"/>
    <w:rsid w:val="00266AAA"/>
    <w:rsid w:val="002800F3"/>
    <w:rsid w:val="002A63EE"/>
    <w:rsid w:val="002F5A16"/>
    <w:rsid w:val="003A57C0"/>
    <w:rsid w:val="003A5F56"/>
    <w:rsid w:val="003D5E60"/>
    <w:rsid w:val="004425B0"/>
    <w:rsid w:val="0045302F"/>
    <w:rsid w:val="004F3166"/>
    <w:rsid w:val="005231A5"/>
    <w:rsid w:val="006017BA"/>
    <w:rsid w:val="00657898"/>
    <w:rsid w:val="0067732E"/>
    <w:rsid w:val="00715599"/>
    <w:rsid w:val="00771469"/>
    <w:rsid w:val="007A02EB"/>
    <w:rsid w:val="007F0DF4"/>
    <w:rsid w:val="008036ED"/>
    <w:rsid w:val="0081576C"/>
    <w:rsid w:val="008216C8"/>
    <w:rsid w:val="008621B4"/>
    <w:rsid w:val="00923EAD"/>
    <w:rsid w:val="0093288C"/>
    <w:rsid w:val="00956954"/>
    <w:rsid w:val="00996BED"/>
    <w:rsid w:val="009A297C"/>
    <w:rsid w:val="00B218E8"/>
    <w:rsid w:val="00B91B10"/>
    <w:rsid w:val="00BC756E"/>
    <w:rsid w:val="00BE0675"/>
    <w:rsid w:val="00BF2096"/>
    <w:rsid w:val="00C07C47"/>
    <w:rsid w:val="00C12C3C"/>
    <w:rsid w:val="00C234D7"/>
    <w:rsid w:val="00C95536"/>
    <w:rsid w:val="00CB6DA7"/>
    <w:rsid w:val="00D06509"/>
    <w:rsid w:val="00D173E4"/>
    <w:rsid w:val="00D63B0A"/>
    <w:rsid w:val="00DB7AEC"/>
    <w:rsid w:val="00DC60DB"/>
    <w:rsid w:val="00DE326E"/>
    <w:rsid w:val="00E14C9D"/>
    <w:rsid w:val="00E31320"/>
    <w:rsid w:val="00E37BA5"/>
    <w:rsid w:val="00E51534"/>
    <w:rsid w:val="00F14F95"/>
    <w:rsid w:val="00F608EE"/>
    <w:rsid w:val="00FC33E7"/>
    <w:rsid w:val="00FD3B72"/>
    <w:rsid w:val="00FF77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84F0D"/>
  <w15:chartTrackingRefBased/>
  <w15:docId w15:val="{BDC635D3-E095-4D46-A326-85BB6B8B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C47"/>
  </w:style>
  <w:style w:type="paragraph" w:styleId="Heading1">
    <w:name w:val="heading 1"/>
    <w:basedOn w:val="Normal"/>
    <w:next w:val="Normal"/>
    <w:link w:val="Heading1Char"/>
    <w:uiPriority w:val="9"/>
    <w:qFormat/>
    <w:rsid w:val="00DB7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AEC"/>
    <w:rPr>
      <w:rFonts w:eastAsiaTheme="majorEastAsia" w:cstheme="majorBidi"/>
      <w:color w:val="272727" w:themeColor="text1" w:themeTint="D8"/>
    </w:rPr>
  </w:style>
  <w:style w:type="paragraph" w:styleId="Title">
    <w:name w:val="Title"/>
    <w:basedOn w:val="Normal"/>
    <w:next w:val="Normal"/>
    <w:link w:val="TitleChar"/>
    <w:uiPriority w:val="10"/>
    <w:qFormat/>
    <w:rsid w:val="00DB7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AEC"/>
    <w:pPr>
      <w:spacing w:before="160"/>
      <w:jc w:val="center"/>
    </w:pPr>
    <w:rPr>
      <w:i/>
      <w:iCs/>
      <w:color w:val="404040" w:themeColor="text1" w:themeTint="BF"/>
    </w:rPr>
  </w:style>
  <w:style w:type="character" w:customStyle="1" w:styleId="QuoteChar">
    <w:name w:val="Quote Char"/>
    <w:basedOn w:val="DefaultParagraphFont"/>
    <w:link w:val="Quote"/>
    <w:uiPriority w:val="29"/>
    <w:rsid w:val="00DB7AEC"/>
    <w:rPr>
      <w:i/>
      <w:iCs/>
      <w:color w:val="404040" w:themeColor="text1" w:themeTint="BF"/>
    </w:rPr>
  </w:style>
  <w:style w:type="paragraph" w:styleId="ListParagraph">
    <w:name w:val="List Paragraph"/>
    <w:basedOn w:val="Normal"/>
    <w:uiPriority w:val="1"/>
    <w:qFormat/>
    <w:rsid w:val="00DB7AEC"/>
    <w:pPr>
      <w:ind w:left="720"/>
      <w:contextualSpacing/>
    </w:pPr>
  </w:style>
  <w:style w:type="character" w:styleId="IntenseEmphasis">
    <w:name w:val="Intense Emphasis"/>
    <w:basedOn w:val="DefaultParagraphFont"/>
    <w:uiPriority w:val="21"/>
    <w:qFormat/>
    <w:rsid w:val="00DB7AEC"/>
    <w:rPr>
      <w:i/>
      <w:iCs/>
      <w:color w:val="0F4761" w:themeColor="accent1" w:themeShade="BF"/>
    </w:rPr>
  </w:style>
  <w:style w:type="paragraph" w:styleId="IntenseQuote">
    <w:name w:val="Intense Quote"/>
    <w:basedOn w:val="Normal"/>
    <w:next w:val="Normal"/>
    <w:link w:val="IntenseQuoteChar"/>
    <w:uiPriority w:val="30"/>
    <w:qFormat/>
    <w:rsid w:val="00DB7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AEC"/>
    <w:rPr>
      <w:i/>
      <w:iCs/>
      <w:color w:val="0F4761" w:themeColor="accent1" w:themeShade="BF"/>
    </w:rPr>
  </w:style>
  <w:style w:type="character" w:styleId="IntenseReference">
    <w:name w:val="Intense Reference"/>
    <w:basedOn w:val="DefaultParagraphFont"/>
    <w:uiPriority w:val="32"/>
    <w:qFormat/>
    <w:rsid w:val="00DB7AEC"/>
    <w:rPr>
      <w:b/>
      <w:bCs/>
      <w:smallCaps/>
      <w:color w:val="0F4761" w:themeColor="accent1" w:themeShade="BF"/>
      <w:spacing w:val="5"/>
    </w:rPr>
  </w:style>
  <w:style w:type="paragraph" w:styleId="NormalWeb">
    <w:name w:val="Normal (Web)"/>
    <w:basedOn w:val="Normal"/>
    <w:uiPriority w:val="99"/>
    <w:semiHidden/>
    <w:unhideWhenUsed/>
    <w:rsid w:val="00DB7AEC"/>
    <w:pPr>
      <w:spacing w:after="15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B7AEC"/>
    <w:rPr>
      <w:color w:val="467886" w:themeColor="hyperlink"/>
      <w:u w:val="single"/>
    </w:rPr>
  </w:style>
  <w:style w:type="paragraph" w:styleId="BodyText">
    <w:name w:val="Body Text"/>
    <w:basedOn w:val="Normal"/>
    <w:link w:val="BodyTextChar"/>
    <w:semiHidden/>
    <w:unhideWhenUsed/>
    <w:rsid w:val="00DB7AEC"/>
    <w:pPr>
      <w:spacing w:after="0" w:line="240" w:lineRule="auto"/>
    </w:pPr>
    <w:rPr>
      <w:rFonts w:ascii="Times New Roman" w:eastAsia="Times New Roman" w:hAnsi="Times New Roman" w:cs="Times New Roman"/>
      <w:kern w:val="0"/>
      <w:sz w:val="21"/>
      <w14:ligatures w14:val="none"/>
    </w:rPr>
  </w:style>
  <w:style w:type="character" w:customStyle="1" w:styleId="BodyTextChar">
    <w:name w:val="Body Text Char"/>
    <w:basedOn w:val="DefaultParagraphFont"/>
    <w:link w:val="BodyText"/>
    <w:semiHidden/>
    <w:rsid w:val="00DB7AEC"/>
    <w:rPr>
      <w:rFonts w:ascii="Times New Roman" w:eastAsia="Times New Roman" w:hAnsi="Times New Roman" w:cs="Times New Roman"/>
      <w:kern w:val="0"/>
      <w:sz w:val="21"/>
      <w14:ligatures w14:val="none"/>
    </w:rPr>
  </w:style>
  <w:style w:type="character" w:styleId="CommentReference">
    <w:name w:val="annotation reference"/>
    <w:basedOn w:val="DefaultParagraphFont"/>
    <w:uiPriority w:val="99"/>
    <w:semiHidden/>
    <w:unhideWhenUsed/>
    <w:rsid w:val="007A02EB"/>
    <w:rPr>
      <w:sz w:val="16"/>
      <w:szCs w:val="16"/>
    </w:rPr>
  </w:style>
  <w:style w:type="paragraph" w:styleId="CommentText">
    <w:name w:val="annotation text"/>
    <w:basedOn w:val="Normal"/>
    <w:link w:val="CommentTextChar"/>
    <w:uiPriority w:val="99"/>
    <w:unhideWhenUsed/>
    <w:rsid w:val="007A02EB"/>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7A02EB"/>
    <w:rPr>
      <w:rFonts w:ascii="Arial" w:eastAsia="Arial" w:hAnsi="Arial" w:cs="Arial"/>
      <w:kern w:val="0"/>
      <w:sz w:val="20"/>
      <w:szCs w:val="20"/>
      <w14:ligatures w14:val="none"/>
    </w:rPr>
  </w:style>
  <w:style w:type="paragraph" w:customStyle="1" w:styleId="Default">
    <w:name w:val="Default"/>
    <w:rsid w:val="00956954"/>
    <w:pPr>
      <w:autoSpaceDE w:val="0"/>
      <w:autoSpaceDN w:val="0"/>
      <w:adjustRightInd w:val="0"/>
      <w:spacing w:after="0" w:line="240" w:lineRule="auto"/>
    </w:pPr>
    <w:rPr>
      <w:rFonts w:ascii="Arial" w:hAnsi="Arial" w:cs="Arial"/>
      <w:color w:val="000000"/>
      <w:kern w:val="0"/>
      <w14:ligatures w14:val="none"/>
    </w:rPr>
  </w:style>
  <w:style w:type="character" w:styleId="FollowedHyperlink">
    <w:name w:val="FollowedHyperlink"/>
    <w:basedOn w:val="DefaultParagraphFont"/>
    <w:uiPriority w:val="99"/>
    <w:semiHidden/>
    <w:unhideWhenUsed/>
    <w:rsid w:val="00DC60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C4CBF0C93DF4C938FB53D79F94BFC" ma:contentTypeVersion="8" ma:contentTypeDescription="Create a new document." ma:contentTypeScope="" ma:versionID="abaf23e6f7b4172359f76c8688c5da42">
  <xsd:schema xmlns:xsd="http://www.w3.org/2001/XMLSchema" xmlns:xs="http://www.w3.org/2001/XMLSchema" xmlns:p="http://schemas.microsoft.com/office/2006/metadata/properties" xmlns:ns2="dc05ca37-01d0-471f-8a49-47e6dab59ae7" targetNamespace="http://schemas.microsoft.com/office/2006/metadata/properties" ma:root="true" ma:fieldsID="c65948d2ada8ca985198329b63f404fd" ns2:_="">
    <xsd:import namespace="dc05ca37-01d0-471f-8a49-47e6dab59ae7"/>
    <xsd:element name="properties">
      <xsd:complexType>
        <xsd:sequence>
          <xsd:element name="documentManagement">
            <xsd:complexType>
              <xsd:all>
                <xsd:element ref="ns2:ICRID" minOccurs="0"/>
                <xsd:element ref="ns2:DocumentType" minOccurs="0"/>
                <xsd:element ref="ns2:ICRIdentifier" minOccurs="0"/>
                <xsd:element ref="ns2:MediaServiceMetadata" minOccurs="0"/>
                <xsd:element ref="ns2:MediaServiceFastMetadata" minOccurs="0"/>
                <xsd:element ref="ns2:MediaServiceSearchProperties" minOccurs="0"/>
                <xsd:element ref="ns2:DocumentStatus" minOccurs="0"/>
                <xsd:element ref="ns2:Process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ca37-01d0-471f-8a49-47e6dab59ae7" elementFormDefault="qualified">
    <xsd:import namespace="http://schemas.microsoft.com/office/2006/documentManagement/types"/>
    <xsd:import namespace="http://schemas.microsoft.com/office/infopath/2007/PartnerControls"/>
    <xsd:element name="ICRID" ma:index="8" nillable="true" ma:displayName="ICR ID" ma:format="Dropdown" ma:indexed="true" ma:internalName="ICRID">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IOAS Memo"/>
          <xsd:enumeration value="60-Day FR Notice"/>
          <xsd:enumeration value="30-Day FR Notice"/>
          <xsd:enumeration value="Instruments/Forms (clean)"/>
          <xsd:enumeration value="Instruments/Forms (tracked changes)"/>
          <xsd:enumeration value="Supplementary Materials (consents, legislative text, outreach materials, FAQs, other overarching materials)"/>
          <xsd:enumeration value="Supporting Statement A"/>
          <xsd:enumeration value="Supporting Statement B"/>
          <xsd:enumeration value="Public Comments"/>
          <xsd:enumeration value="Response to Public Comments"/>
          <xsd:enumeration value="Non-sub–Change Memo"/>
          <xsd:enumeration value="Instructions"/>
          <xsd:enumeration value="NOA"/>
          <xsd:enumeration value="30-Day FR Notice Publication"/>
          <xsd:enumeration value="60-Day FR Notice Publication"/>
          <xsd:enumeration value="OS Decision Memo"/>
          <xsd:enumeration value="OMB Passback Comments"/>
          <xsd:enumeration value="GenIC Submission Form"/>
        </xsd:restriction>
      </xsd:simpleType>
    </xsd:element>
    <xsd:element name="ICRIdentifier" ma:index="10" nillable="true" ma:displayName="ICR Identifier" ma:format="Dropdown" ma:indexed="true" ma:internalName="ICRIdentifier">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Status" ma:index="14" nillable="true" ma:displayName="Document Status" ma:format="Dropdown" ma:internalName="DocumentStatus">
      <xsd:simpleType>
        <xsd:restriction base="dms:Choice">
          <xsd:enumeration value="Draft"/>
          <xsd:enumeration value="Final"/>
          <xsd:enumeration value="Final Signed"/>
          <xsd:enumeration value="Revised"/>
        </xsd:restriction>
      </xsd:simpleType>
    </xsd:element>
    <xsd:element name="ProcessStep" ma:index="15" nillable="true" ma:displayName="Process Step" ma:format="Dropdown" ma:internalName="ProcessStep">
      <xsd:simpleType>
        <xsd:restriction base="dms:Choice">
          <xsd:enumeration value="IOAS Review"/>
          <xsd:enumeration value="OMB Review"/>
          <xsd:enumeration value="IOAS Re-Review"/>
          <xsd:enumeration value="OMB Passbac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dc05ca37-01d0-471f-8a49-47e6dab59ae7">Response to Public Comments</DocumentType>
    <ICRID xmlns="dc05ca37-01d0-471f-8a49-47e6dab59ae7">1097</ICRID>
    <ICRIdentifier xmlns="dc05ca37-01d0-471f-8a49-47e6dab59ae7">18</ICRIdentifier>
    <ProcessStep xmlns="dc05ca37-01d0-471f-8a49-47e6dab59ae7">OMB Review</ProcessStep>
    <DocumentStatus xmlns="dc05ca37-01d0-471f-8a49-47e6dab59ae7" xsi:nil="true"/>
  </documentManagement>
</p:properties>
</file>

<file path=customXml/itemProps1.xml><?xml version="1.0" encoding="utf-8"?>
<ds:datastoreItem xmlns:ds="http://schemas.openxmlformats.org/officeDocument/2006/customXml" ds:itemID="{ABDB8247-A893-431A-B111-25BE7859B543}">
  <ds:schemaRefs/>
</ds:datastoreItem>
</file>

<file path=customXml/itemProps2.xml><?xml version="1.0" encoding="utf-8"?>
<ds:datastoreItem xmlns:ds="http://schemas.openxmlformats.org/officeDocument/2006/customXml" ds:itemID="{01FBA6C5-43CA-417E-BA98-49FD07C8F4A8}">
  <ds:schemaRefs/>
</ds:datastoreItem>
</file>

<file path=customXml/itemProps3.xml><?xml version="1.0" encoding="utf-8"?>
<ds:datastoreItem xmlns:ds="http://schemas.openxmlformats.org/officeDocument/2006/customXml" ds:itemID="{A056942C-20B6-46E3-9D13-2EE8649EB5FC}">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2593</Characters>
  <Application>Microsoft Office Word</Application>
  <DocSecurity>0</DocSecurity>
  <Lines>52</Lines>
  <Paragraphs>32</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 Deborah (ACF) (CTR)</dc:creator>
  <cp:lastModifiedBy>Large, Robyn (ACF)</cp:lastModifiedBy>
  <cp:revision>2</cp:revision>
  <dcterms:created xsi:type="dcterms:W3CDTF">2026-06-11T17:49:00Z</dcterms:created>
  <dcterms:modified xsi:type="dcterms:W3CDTF">2026-06-11T17:49:00Z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0x010100882C4CBF0C93DF4C938FB53D79F94BFC</vt:lpwstr>
  </property>
</Properties>
</file>