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CF06F9" w14:paraId="5F615A0D" w14:textId="506EE03B">
      <w:pPr>
        <w:pStyle w:val="ReportCover-Title"/>
        <w:jc w:val="center"/>
        <w:rPr>
          <w:rFonts w:ascii="Arial" w:hAnsi="Arial" w:cs="Arial"/>
          <w:color w:val="auto"/>
        </w:rPr>
      </w:pPr>
      <w:bookmarkStart w:id="0" w:name="_Hlk19283816"/>
      <w:r w:rsidRPr="6DC26FA8">
        <w:rPr>
          <w:rFonts w:ascii="Arial" w:eastAsia="Arial Unicode MS" w:hAnsi="Arial" w:cs="Arial"/>
          <w:noProof/>
          <w:color w:val="auto"/>
        </w:rPr>
        <w:t>N</w:t>
      </w:r>
      <w:r w:rsidRPr="6DC26FA8" w:rsidR="000B7900">
        <w:rPr>
          <w:rFonts w:ascii="Arial" w:eastAsia="Arial Unicode MS" w:hAnsi="Arial" w:cs="Arial"/>
          <w:noProof/>
          <w:color w:val="auto"/>
        </w:rPr>
        <w:t xml:space="preserve">ational </w:t>
      </w:r>
      <w:r w:rsidRPr="6DC26FA8">
        <w:rPr>
          <w:rFonts w:ascii="Arial" w:eastAsia="Arial Unicode MS" w:hAnsi="Arial" w:cs="Arial"/>
          <w:noProof/>
          <w:color w:val="auto"/>
        </w:rPr>
        <w:t>H</w:t>
      </w:r>
      <w:r w:rsidRPr="6DC26FA8" w:rsidR="000B7900">
        <w:rPr>
          <w:rFonts w:ascii="Arial" w:eastAsia="Arial Unicode MS" w:hAnsi="Arial" w:cs="Arial"/>
          <w:noProof/>
          <w:color w:val="auto"/>
        </w:rPr>
        <w:t xml:space="preserve">uman </w:t>
      </w:r>
      <w:r w:rsidRPr="6DC26FA8">
        <w:rPr>
          <w:rFonts w:ascii="Arial" w:eastAsia="Arial Unicode MS" w:hAnsi="Arial" w:cs="Arial"/>
          <w:noProof/>
          <w:color w:val="auto"/>
        </w:rPr>
        <w:t>T</w:t>
      </w:r>
      <w:r w:rsidRPr="6DC26FA8" w:rsidR="000B7900">
        <w:rPr>
          <w:rFonts w:ascii="Arial" w:eastAsia="Arial Unicode MS" w:hAnsi="Arial" w:cs="Arial"/>
          <w:noProof/>
          <w:color w:val="auto"/>
        </w:rPr>
        <w:t xml:space="preserve">rafficking </w:t>
      </w:r>
      <w:r w:rsidRPr="6DC26FA8">
        <w:rPr>
          <w:rFonts w:ascii="Arial" w:eastAsia="Arial Unicode MS" w:hAnsi="Arial" w:cs="Arial"/>
          <w:noProof/>
          <w:color w:val="auto"/>
        </w:rPr>
        <w:t>T</w:t>
      </w:r>
      <w:r w:rsidRPr="6DC26FA8" w:rsidR="000B7900">
        <w:rPr>
          <w:rFonts w:ascii="Arial" w:eastAsia="Arial Unicode MS" w:hAnsi="Arial" w:cs="Arial"/>
          <w:noProof/>
          <w:color w:val="auto"/>
        </w:rPr>
        <w:t xml:space="preserve">raining and Technical </w:t>
      </w:r>
      <w:r w:rsidRPr="6DC26FA8">
        <w:rPr>
          <w:rFonts w:ascii="Arial" w:eastAsia="Arial Unicode MS" w:hAnsi="Arial" w:cs="Arial"/>
          <w:noProof/>
          <w:color w:val="auto"/>
        </w:rPr>
        <w:t>A</w:t>
      </w:r>
      <w:r w:rsidRPr="6DC26FA8" w:rsidR="000B7900">
        <w:rPr>
          <w:rFonts w:ascii="Arial" w:eastAsia="Arial Unicode MS" w:hAnsi="Arial" w:cs="Arial"/>
          <w:noProof/>
          <w:color w:val="auto"/>
        </w:rPr>
        <w:t xml:space="preserve">ssistance </w:t>
      </w:r>
      <w:r w:rsidRPr="6DC26FA8">
        <w:rPr>
          <w:rFonts w:ascii="Arial" w:eastAsia="Arial Unicode MS" w:hAnsi="Arial" w:cs="Arial"/>
          <w:noProof/>
          <w:color w:val="auto"/>
        </w:rPr>
        <w:t>C</w:t>
      </w:r>
      <w:r w:rsidRPr="6DC26FA8" w:rsidR="000B7900">
        <w:rPr>
          <w:rFonts w:ascii="Arial" w:eastAsia="Arial Unicode MS" w:hAnsi="Arial" w:cs="Arial"/>
          <w:noProof/>
          <w:color w:val="auto"/>
        </w:rPr>
        <w:t>enter (NHTTAC)</w:t>
      </w:r>
      <w:r w:rsidRPr="6DC26FA8">
        <w:rPr>
          <w:rFonts w:ascii="Arial" w:eastAsia="Arial Unicode MS" w:hAnsi="Arial" w:cs="Arial"/>
          <w:noProof/>
          <w:color w:val="auto"/>
        </w:rPr>
        <w:t xml:space="preserve"> Evaluation Package</w:t>
      </w:r>
      <w:bookmarkEnd w:id="0"/>
    </w:p>
    <w:p w:rsidR="00160621" w:rsidP="00160621" w14:paraId="34C8921E" w14:textId="77777777">
      <w:pPr>
        <w:pStyle w:val="ReportCover-Title"/>
        <w:rPr>
          <w:rFonts w:ascii="Arial" w:hAnsi="Arial" w:cs="Arial"/>
          <w:color w:val="auto"/>
        </w:rPr>
      </w:pPr>
    </w:p>
    <w:p w:rsidR="00CF06F9" w:rsidRPr="00160621" w:rsidP="00160621" w14:paraId="0D9A6A3C" w14:textId="77777777">
      <w:pPr>
        <w:pStyle w:val="ReportCover-Title"/>
        <w:rPr>
          <w:rFonts w:ascii="Arial" w:hAnsi="Arial" w:cs="Arial"/>
          <w:color w:val="auto"/>
        </w:rPr>
      </w:pPr>
    </w:p>
    <w:p w:rsidR="00160621" w:rsidRPr="00160621" w:rsidP="00160621" w14:paraId="77EA3165"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6E75F955" w14:textId="7226305D">
      <w:pPr>
        <w:pStyle w:val="ReportCover-Title"/>
        <w:jc w:val="center"/>
        <w:rPr>
          <w:rFonts w:ascii="Arial" w:hAnsi="Arial" w:cs="Arial"/>
          <w:color w:val="auto"/>
          <w:sz w:val="32"/>
          <w:szCs w:val="32"/>
        </w:rPr>
      </w:pPr>
      <w:r w:rsidRPr="0053313C">
        <w:rPr>
          <w:rFonts w:ascii="Arial" w:hAnsi="Arial" w:cs="Arial"/>
          <w:color w:val="auto"/>
          <w:sz w:val="32"/>
          <w:szCs w:val="32"/>
        </w:rPr>
        <w:t>0970</w:t>
      </w:r>
      <w:r w:rsidR="00B26241">
        <w:rPr>
          <w:rFonts w:ascii="Arial" w:hAnsi="Arial" w:cs="Arial"/>
          <w:color w:val="auto"/>
          <w:sz w:val="32"/>
          <w:szCs w:val="32"/>
        </w:rPr>
        <w:t xml:space="preserve"> </w:t>
      </w:r>
      <w:r w:rsidRPr="0053313C">
        <w:rPr>
          <w:rFonts w:ascii="Arial" w:hAnsi="Arial" w:cs="Arial"/>
          <w:color w:val="auto"/>
          <w:sz w:val="32"/>
          <w:szCs w:val="32"/>
        </w:rPr>
        <w:t>-</w:t>
      </w:r>
      <w:r w:rsidR="00B26241">
        <w:rPr>
          <w:rFonts w:ascii="Arial" w:hAnsi="Arial" w:cs="Arial"/>
          <w:color w:val="auto"/>
          <w:sz w:val="32"/>
          <w:szCs w:val="32"/>
        </w:rPr>
        <w:t xml:space="preserve"> </w:t>
      </w:r>
      <w:r w:rsidRPr="0053313C" w:rsidR="00CF06F9">
        <w:rPr>
          <w:rFonts w:ascii="Arial" w:hAnsi="Arial" w:cs="Arial"/>
          <w:color w:val="auto"/>
          <w:sz w:val="32"/>
          <w:szCs w:val="32"/>
        </w:rPr>
        <w:t>0519</w:t>
      </w:r>
    </w:p>
    <w:p w:rsidR="00160621" w:rsidRPr="00160621" w:rsidP="00160621" w14:paraId="3EEB25A5" w14:textId="77777777">
      <w:pPr>
        <w:rPr>
          <w:rFonts w:ascii="Arial" w:hAnsi="Arial" w:cs="Arial"/>
          <w:szCs w:val="22"/>
        </w:rPr>
      </w:pPr>
    </w:p>
    <w:p w:rsidR="00160621" w:rsidRPr="00160621" w:rsidP="00160621" w14:paraId="5E0FF6D8" w14:textId="77777777">
      <w:pPr>
        <w:pStyle w:val="ReportCover-Date"/>
        <w:jc w:val="center"/>
        <w:rPr>
          <w:rFonts w:ascii="Arial" w:hAnsi="Arial" w:cs="Arial"/>
          <w:color w:val="auto"/>
        </w:rPr>
      </w:pPr>
    </w:p>
    <w:p w:rsidR="00160621" w:rsidRPr="00160621" w:rsidP="00597E7F" w14:paraId="257D9662" w14:textId="67C2A96C">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w:t>
      </w:r>
      <w:r w:rsidR="00B26241">
        <w:rPr>
          <w:rFonts w:ascii="Arial" w:hAnsi="Arial" w:cs="Arial"/>
          <w:color w:val="auto"/>
          <w:sz w:val="48"/>
          <w:szCs w:val="48"/>
        </w:rPr>
        <w:t>-</w:t>
      </w:r>
      <w:r>
        <w:rPr>
          <w:rFonts w:ascii="Arial" w:hAnsi="Arial" w:cs="Arial"/>
          <w:color w:val="auto"/>
          <w:sz w:val="48"/>
          <w:szCs w:val="48"/>
        </w:rPr>
        <w:t xml:space="preserve"> Justification</w:t>
      </w:r>
    </w:p>
    <w:p w:rsidR="00160621" w:rsidRPr="00BB0A08" w:rsidP="6DC26FA8" w14:paraId="5DFF063D" w14:textId="6658CDB2">
      <w:pPr>
        <w:pStyle w:val="ReportCover-Date"/>
        <w:jc w:val="center"/>
        <w:rPr>
          <w:rFonts w:ascii="Arial" w:hAnsi="Arial" w:cs="Arial"/>
          <w:color w:val="auto"/>
        </w:rPr>
      </w:pPr>
      <w:r w:rsidRPr="00BB0A08">
        <w:rPr>
          <w:rFonts w:ascii="Arial" w:hAnsi="Arial" w:cs="Arial"/>
          <w:color w:val="auto"/>
        </w:rPr>
        <w:t>July 2026</w:t>
      </w:r>
    </w:p>
    <w:p w:rsidR="00160621" w:rsidP="00160621" w14:paraId="1B9F4DCB" w14:textId="77777777">
      <w:pPr>
        <w:jc w:val="center"/>
        <w:rPr>
          <w:rFonts w:ascii="Arial" w:hAnsi="Arial" w:cs="Arial"/>
        </w:rPr>
      </w:pPr>
    </w:p>
    <w:p w:rsidR="00597E7F" w:rsidP="00160621" w14:paraId="49783358" w14:textId="77777777">
      <w:pPr>
        <w:jc w:val="center"/>
        <w:rPr>
          <w:rFonts w:ascii="Arial" w:hAnsi="Arial" w:cs="Arial"/>
        </w:rPr>
      </w:pPr>
    </w:p>
    <w:p w:rsidR="00597E7F" w:rsidP="00160621" w14:paraId="2356A591" w14:textId="77777777">
      <w:pPr>
        <w:jc w:val="center"/>
        <w:rPr>
          <w:rFonts w:ascii="Arial" w:hAnsi="Arial" w:cs="Arial"/>
        </w:rPr>
      </w:pPr>
    </w:p>
    <w:p w:rsidR="00597E7F" w:rsidP="00160621" w14:paraId="4E1A630C" w14:textId="77777777">
      <w:pPr>
        <w:jc w:val="center"/>
        <w:rPr>
          <w:rFonts w:ascii="Arial" w:hAnsi="Arial" w:cs="Arial"/>
        </w:rPr>
      </w:pPr>
    </w:p>
    <w:p w:rsidR="00597E7F" w:rsidP="00160621" w14:paraId="6556A61D" w14:textId="77777777">
      <w:pPr>
        <w:jc w:val="center"/>
        <w:rPr>
          <w:rFonts w:ascii="Arial" w:hAnsi="Arial" w:cs="Arial"/>
        </w:rPr>
      </w:pPr>
    </w:p>
    <w:p w:rsidR="00597E7F" w:rsidP="00160621" w14:paraId="482F8FCF" w14:textId="77777777">
      <w:pPr>
        <w:jc w:val="center"/>
        <w:rPr>
          <w:rFonts w:ascii="Arial" w:hAnsi="Arial" w:cs="Arial"/>
        </w:rPr>
      </w:pPr>
    </w:p>
    <w:p w:rsidR="00597E7F" w:rsidP="00160621" w14:paraId="63ACD9E7" w14:textId="77777777">
      <w:pPr>
        <w:jc w:val="center"/>
        <w:rPr>
          <w:rFonts w:ascii="Arial" w:hAnsi="Arial" w:cs="Arial"/>
        </w:rPr>
      </w:pPr>
    </w:p>
    <w:p w:rsidR="00597E7F" w:rsidP="00160621" w14:paraId="79306DB9" w14:textId="77777777">
      <w:pPr>
        <w:jc w:val="center"/>
        <w:rPr>
          <w:rFonts w:ascii="Arial" w:hAnsi="Arial" w:cs="Arial"/>
        </w:rPr>
      </w:pPr>
    </w:p>
    <w:p w:rsidR="00597E7F" w:rsidP="00160621" w14:paraId="51EE473F" w14:textId="77777777">
      <w:pPr>
        <w:jc w:val="center"/>
        <w:rPr>
          <w:rFonts w:ascii="Arial" w:hAnsi="Arial" w:cs="Arial"/>
        </w:rPr>
      </w:pPr>
    </w:p>
    <w:p w:rsidR="00597E7F" w:rsidP="00160621" w14:paraId="3D300B3C" w14:textId="77777777">
      <w:pPr>
        <w:jc w:val="center"/>
        <w:rPr>
          <w:rFonts w:ascii="Arial" w:hAnsi="Arial" w:cs="Arial"/>
        </w:rPr>
      </w:pPr>
    </w:p>
    <w:p w:rsidR="00597E7F" w:rsidP="00160621" w14:paraId="772BE458" w14:textId="77777777">
      <w:pPr>
        <w:jc w:val="center"/>
        <w:rPr>
          <w:rFonts w:ascii="Arial" w:hAnsi="Arial" w:cs="Arial"/>
        </w:rPr>
      </w:pPr>
    </w:p>
    <w:p w:rsidR="00597E7F" w:rsidP="00160621" w14:paraId="69E40538" w14:textId="77777777">
      <w:pPr>
        <w:jc w:val="center"/>
        <w:rPr>
          <w:rFonts w:ascii="Arial" w:hAnsi="Arial" w:cs="Arial"/>
        </w:rPr>
      </w:pPr>
    </w:p>
    <w:p w:rsidR="00597E7F" w:rsidP="00160621" w14:paraId="6BA91BEB" w14:textId="77777777">
      <w:pPr>
        <w:jc w:val="center"/>
        <w:rPr>
          <w:rFonts w:ascii="Arial" w:hAnsi="Arial" w:cs="Arial"/>
        </w:rPr>
      </w:pPr>
    </w:p>
    <w:p w:rsidR="00597E7F" w:rsidRPr="00160621" w:rsidP="00160621" w14:paraId="51A0F9C3" w14:textId="77777777">
      <w:pPr>
        <w:jc w:val="center"/>
        <w:rPr>
          <w:rFonts w:ascii="Arial" w:hAnsi="Arial" w:cs="Arial"/>
        </w:rPr>
      </w:pPr>
    </w:p>
    <w:p w:rsidR="00160621" w:rsidRPr="00160621" w:rsidP="00160621" w14:paraId="279A7D31" w14:textId="77777777">
      <w:pPr>
        <w:jc w:val="center"/>
        <w:rPr>
          <w:rFonts w:ascii="Arial" w:hAnsi="Arial" w:cs="Arial"/>
        </w:rPr>
      </w:pPr>
      <w:r w:rsidRPr="00160621">
        <w:rPr>
          <w:rFonts w:ascii="Arial" w:hAnsi="Arial" w:cs="Arial"/>
        </w:rPr>
        <w:t>Submitted By:</w:t>
      </w:r>
    </w:p>
    <w:p w:rsidR="00160621" w:rsidRPr="00160621" w:rsidP="00160621" w14:paraId="6CC181FC" w14:textId="77777777">
      <w:pPr>
        <w:jc w:val="center"/>
        <w:rPr>
          <w:rFonts w:ascii="Arial" w:hAnsi="Arial" w:cs="Arial"/>
        </w:rPr>
      </w:pPr>
      <w:r>
        <w:rPr>
          <w:rFonts w:ascii="Arial" w:hAnsi="Arial" w:cs="Arial"/>
        </w:rPr>
        <w:t>Office</w:t>
      </w:r>
      <w:r w:rsidR="00CF06F9">
        <w:rPr>
          <w:rFonts w:ascii="Arial" w:hAnsi="Arial" w:cs="Arial"/>
        </w:rPr>
        <w:t xml:space="preserve"> on Trafficking in Persons</w:t>
      </w:r>
    </w:p>
    <w:p w:rsidR="00160621" w:rsidRPr="00160621" w:rsidP="00160621" w14:paraId="56A4A1CC"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04DFF5B1" w14:textId="77777777">
      <w:pPr>
        <w:jc w:val="center"/>
        <w:rPr>
          <w:rFonts w:ascii="Arial" w:hAnsi="Arial" w:cs="Arial"/>
        </w:rPr>
      </w:pPr>
      <w:r w:rsidRPr="00160621">
        <w:rPr>
          <w:rFonts w:ascii="Arial" w:hAnsi="Arial" w:cs="Arial"/>
        </w:rPr>
        <w:t>U.S. Department of Health and Human Services</w:t>
      </w:r>
    </w:p>
    <w:p w:rsidR="00887EE5" w:rsidP="00160621" w14:paraId="65DDC29A" w14:textId="77777777">
      <w:pPr>
        <w:widowControl/>
        <w:ind w:left="360" w:hanging="360"/>
        <w:jc w:val="center"/>
        <w:rPr>
          <w:rFonts w:ascii="Times New Roman" w:hAnsi="Times New Roman"/>
          <w:b/>
          <w:sz w:val="24"/>
          <w:szCs w:val="24"/>
        </w:rPr>
        <w:sectPr w:rsidSect="00A918E4">
          <w:footerReference w:type="default" r:id="rId10"/>
          <w:endnotePr>
            <w:numFmt w:val="decimal"/>
          </w:endnotePr>
          <w:pgSz w:w="12240" w:h="15840"/>
          <w:pgMar w:top="1152" w:right="1440" w:bottom="864" w:left="1440" w:header="1440" w:footer="1440" w:gutter="0"/>
          <w:pgNumType w:start="1"/>
          <w:cols w:space="720"/>
          <w:noEndnote/>
          <w:titlePg/>
        </w:sectPr>
      </w:pPr>
    </w:p>
    <w:p w:rsidR="00160621" w:rsidP="006E7EE2" w14:paraId="3D1EF1AA" w14:textId="61E16D3F">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BA3414" w:rsidRPr="00BA3414" w:rsidP="00EB7C5D" w14:paraId="2028F2CA" w14:textId="4DEC3C9A">
      <w:pPr>
        <w:widowControl/>
        <w:ind w:left="360"/>
        <w:rPr>
          <w:rFonts w:ascii="Times New Roman" w:hAnsi="Times New Roman"/>
          <w:snapToGrid/>
          <w:sz w:val="24"/>
          <w:szCs w:val="24"/>
        </w:rPr>
      </w:pPr>
      <w:r w:rsidRPr="00F734F2">
        <w:rPr>
          <w:rFonts w:ascii="Times New Roman" w:hAnsi="Times New Roman"/>
          <w:snapToGrid/>
          <w:sz w:val="24"/>
          <w:szCs w:val="24"/>
        </w:rPr>
        <w:t xml:space="preserve">This request is to </w:t>
      </w:r>
      <w:r w:rsidR="00EB7C5D">
        <w:rPr>
          <w:rFonts w:ascii="Times New Roman" w:hAnsi="Times New Roman"/>
          <w:snapToGrid/>
          <w:sz w:val="24"/>
          <w:szCs w:val="24"/>
        </w:rPr>
        <w:t xml:space="preserve">reinstate </w:t>
      </w:r>
      <w:r w:rsidR="006F7E43">
        <w:rPr>
          <w:rFonts w:ascii="Times New Roman" w:hAnsi="Times New Roman"/>
          <w:snapToGrid/>
          <w:sz w:val="24"/>
          <w:szCs w:val="24"/>
        </w:rPr>
        <w:t>approval of this information collection</w:t>
      </w:r>
      <w:r w:rsidR="00EB7C5D">
        <w:rPr>
          <w:rFonts w:ascii="Times New Roman" w:hAnsi="Times New Roman"/>
          <w:snapToGrid/>
          <w:sz w:val="24"/>
          <w:szCs w:val="24"/>
        </w:rPr>
        <w:t xml:space="preserve">, with proposed changes as described in section A15. This information collection allows the </w:t>
      </w:r>
      <w:r w:rsidRPr="00232509" w:rsidR="00EB7C5D">
        <w:rPr>
          <w:rFonts w:ascii="Times New Roman" w:hAnsi="Times New Roman"/>
          <w:snapToGrid/>
          <w:sz w:val="24"/>
          <w:szCs w:val="24"/>
        </w:rPr>
        <w:t>Administration for Children and Families</w:t>
      </w:r>
      <w:r w:rsidR="00EB7C5D">
        <w:rPr>
          <w:rFonts w:ascii="Times New Roman" w:hAnsi="Times New Roman"/>
          <w:snapToGrid/>
          <w:sz w:val="24"/>
          <w:szCs w:val="24"/>
        </w:rPr>
        <w:t xml:space="preserve"> to request important </w:t>
      </w:r>
      <w:r w:rsidRPr="00FC4A6A" w:rsidR="00EB7C5D">
        <w:rPr>
          <w:rFonts w:ascii="Times New Roman" w:hAnsi="Times New Roman"/>
          <w:snapToGrid/>
          <w:sz w:val="24"/>
          <w:szCs w:val="24"/>
        </w:rPr>
        <w:t>feedback from recipients and partners</w:t>
      </w:r>
      <w:r w:rsidR="00EB7C5D">
        <w:rPr>
          <w:rFonts w:ascii="Times New Roman" w:hAnsi="Times New Roman"/>
          <w:snapToGrid/>
          <w:sz w:val="24"/>
          <w:szCs w:val="24"/>
        </w:rPr>
        <w:t xml:space="preserve"> to assess the </w:t>
      </w:r>
      <w:r w:rsidRPr="00FC4A6A">
        <w:rPr>
          <w:rFonts w:ascii="Times New Roman" w:hAnsi="Times New Roman"/>
          <w:sz w:val="24"/>
          <w:szCs w:val="24"/>
        </w:rPr>
        <w:t>N</w:t>
      </w:r>
      <w:r>
        <w:rPr>
          <w:rFonts w:ascii="Times New Roman" w:hAnsi="Times New Roman"/>
          <w:sz w:val="24"/>
          <w:szCs w:val="24"/>
        </w:rPr>
        <w:t>ational Human Trafficking Training and Technical Assistance Center (N</w:t>
      </w:r>
      <w:r w:rsidRPr="00FC4A6A">
        <w:rPr>
          <w:rFonts w:ascii="Times New Roman" w:hAnsi="Times New Roman"/>
          <w:sz w:val="24"/>
          <w:szCs w:val="24"/>
        </w:rPr>
        <w:t>HTTAC</w:t>
      </w:r>
      <w:r>
        <w:rPr>
          <w:rFonts w:ascii="Times New Roman" w:hAnsi="Times New Roman"/>
          <w:sz w:val="24"/>
          <w:szCs w:val="24"/>
        </w:rPr>
        <w:t xml:space="preserve">) </w:t>
      </w:r>
      <w:r>
        <w:rPr>
          <w:rFonts w:ascii="Times New Roman" w:hAnsi="Times New Roman"/>
          <w:snapToGrid/>
          <w:sz w:val="24"/>
          <w:szCs w:val="24"/>
        </w:rPr>
        <w:t xml:space="preserve">training and technical assistance (T/TA) </w:t>
      </w:r>
      <w:r w:rsidRPr="00FC4A6A">
        <w:rPr>
          <w:rFonts w:ascii="Times New Roman" w:hAnsi="Times New Roman"/>
          <w:snapToGrid/>
          <w:sz w:val="24"/>
          <w:szCs w:val="24"/>
        </w:rPr>
        <w:t>services.</w:t>
      </w:r>
      <w:r w:rsidR="00EB7C5D">
        <w:rPr>
          <w:rFonts w:ascii="Times New Roman" w:hAnsi="Times New Roman"/>
          <w:snapToGrid/>
          <w:sz w:val="24"/>
          <w:szCs w:val="24"/>
        </w:rPr>
        <w:t xml:space="preserve"> The OMB number was discontinued due to delays in publishing the first Federal Register Notice. Data collection has been put on hold until this information collection is reinstated.</w:t>
      </w:r>
    </w:p>
    <w:p w:rsidR="00160621" w:rsidRPr="00232509" w:rsidP="00160621" w14:paraId="6729DF52" w14:textId="77777777">
      <w:pPr>
        <w:widowControl/>
        <w:ind w:left="360"/>
        <w:rPr>
          <w:rFonts w:ascii="Times New Roman" w:hAnsi="Times New Roman"/>
          <w:snapToGrid/>
          <w:sz w:val="24"/>
          <w:szCs w:val="24"/>
        </w:rPr>
      </w:pPr>
    </w:p>
    <w:p w:rsidR="002C3C4F" w:rsidRPr="00232509" w:rsidP="001F7317" w14:paraId="4C694174"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Circumstances Making the Collection of Information Necessary </w:t>
      </w:r>
    </w:p>
    <w:p w:rsidR="005B49B5" w:rsidP="00993C66" w14:paraId="384E25E5" w14:textId="7ADDB36A">
      <w:pPr>
        <w:widowControl/>
        <w:ind w:left="360"/>
        <w:rPr>
          <w:rFonts w:ascii="Times New Roman" w:hAnsi="Times New Roman"/>
          <w:snapToGrid/>
          <w:sz w:val="24"/>
          <w:szCs w:val="24"/>
        </w:rPr>
      </w:pPr>
      <w:r>
        <w:rPr>
          <w:rFonts w:ascii="Times New Roman" w:hAnsi="Times New Roman"/>
          <w:snapToGrid/>
          <w:sz w:val="24"/>
          <w:szCs w:val="24"/>
        </w:rPr>
        <w:t>T</w:t>
      </w:r>
      <w:r w:rsidRPr="00232509">
        <w:rPr>
          <w:rFonts w:ascii="Times New Roman" w:hAnsi="Times New Roman"/>
          <w:snapToGrid/>
          <w:sz w:val="24"/>
          <w:szCs w:val="24"/>
        </w:rPr>
        <w:t>he Administration for Children and Families (ACF)</w:t>
      </w:r>
      <w:r w:rsidR="00415945">
        <w:rPr>
          <w:rFonts w:ascii="Times New Roman" w:hAnsi="Times New Roman"/>
          <w:snapToGrid/>
          <w:sz w:val="24"/>
          <w:szCs w:val="24"/>
        </w:rPr>
        <w:t xml:space="preserve"> </w:t>
      </w:r>
      <w:r w:rsidRPr="00232509" w:rsidR="00CF06F9">
        <w:rPr>
          <w:rFonts w:ascii="Times New Roman" w:hAnsi="Times New Roman"/>
          <w:snapToGrid/>
          <w:sz w:val="24"/>
          <w:szCs w:val="24"/>
        </w:rPr>
        <w:t xml:space="preserve">serves as the lead U.S. Department of Health and Human Services agency to combat trafficking </w:t>
      </w:r>
      <w:r w:rsidR="00393386">
        <w:rPr>
          <w:rFonts w:ascii="Times New Roman" w:hAnsi="Times New Roman"/>
          <w:snapToGrid/>
          <w:sz w:val="24"/>
          <w:szCs w:val="24"/>
        </w:rPr>
        <w:t>in persons</w:t>
      </w:r>
      <w:r w:rsidRPr="00232509" w:rsidR="00CF06F9">
        <w:rPr>
          <w:rFonts w:ascii="Times New Roman" w:hAnsi="Times New Roman"/>
          <w:snapToGrid/>
          <w:sz w:val="24"/>
          <w:szCs w:val="24"/>
        </w:rPr>
        <w:t xml:space="preserve"> by administering anti-trafficking programs through grants and contracts and collaborating with federal, </w:t>
      </w:r>
      <w:r w:rsidRPr="00232509" w:rsidR="001507B3">
        <w:rPr>
          <w:rFonts w:ascii="Times New Roman" w:hAnsi="Times New Roman"/>
          <w:snapToGrid/>
          <w:sz w:val="24"/>
          <w:szCs w:val="24"/>
        </w:rPr>
        <w:t xml:space="preserve">tribal, </w:t>
      </w:r>
      <w:r w:rsidRPr="00232509" w:rsidR="00CF06F9">
        <w:rPr>
          <w:rFonts w:ascii="Times New Roman" w:hAnsi="Times New Roman"/>
          <w:snapToGrid/>
          <w:sz w:val="24"/>
          <w:szCs w:val="24"/>
        </w:rPr>
        <w:t>state, and local governmental and nongovernmental organizations.</w:t>
      </w:r>
      <w:r>
        <w:rPr>
          <w:rFonts w:ascii="Times New Roman" w:hAnsi="Times New Roman"/>
          <w:snapToGrid/>
          <w:sz w:val="24"/>
          <w:szCs w:val="24"/>
        </w:rPr>
        <w:t xml:space="preserve"> </w:t>
      </w:r>
      <w:r w:rsidR="002D7172">
        <w:rPr>
          <w:rFonts w:ascii="Times New Roman" w:hAnsi="Times New Roman"/>
          <w:snapToGrid/>
          <w:sz w:val="24"/>
          <w:szCs w:val="24"/>
        </w:rPr>
        <w:t>T</w:t>
      </w:r>
      <w:r w:rsidRPr="00232509" w:rsidR="002D7172">
        <w:rPr>
          <w:rFonts w:ascii="Times New Roman" w:hAnsi="Times New Roman"/>
          <w:snapToGrid/>
          <w:sz w:val="24"/>
          <w:szCs w:val="24"/>
        </w:rPr>
        <w:t>he Office on Trafficking in Persons (OTIP)</w:t>
      </w:r>
      <w:r w:rsidR="002D7172">
        <w:rPr>
          <w:rFonts w:ascii="Times New Roman" w:hAnsi="Times New Roman"/>
          <w:snapToGrid/>
          <w:sz w:val="24"/>
          <w:szCs w:val="24"/>
        </w:rPr>
        <w:t xml:space="preserve">, </w:t>
      </w:r>
      <w:r w:rsidRPr="00232509" w:rsidR="002D7172">
        <w:rPr>
          <w:rFonts w:ascii="Times New Roman" w:hAnsi="Times New Roman"/>
          <w:snapToGrid/>
          <w:sz w:val="24"/>
          <w:szCs w:val="24"/>
        </w:rPr>
        <w:t xml:space="preserve">a federal agency within </w:t>
      </w:r>
      <w:r w:rsidR="002D7172">
        <w:rPr>
          <w:rFonts w:ascii="Times New Roman" w:hAnsi="Times New Roman"/>
          <w:snapToGrid/>
          <w:sz w:val="24"/>
          <w:szCs w:val="24"/>
        </w:rPr>
        <w:t>ACF,</w:t>
      </w:r>
      <w:r w:rsidRPr="00232509">
        <w:rPr>
          <w:rFonts w:ascii="Times New Roman" w:hAnsi="Times New Roman"/>
          <w:snapToGrid/>
          <w:sz w:val="24"/>
          <w:szCs w:val="24"/>
        </w:rPr>
        <w:t xml:space="preserve"> provides leadership </w:t>
      </w:r>
      <w:r>
        <w:rPr>
          <w:rFonts w:ascii="Times New Roman" w:hAnsi="Times New Roman"/>
          <w:snapToGrid/>
          <w:sz w:val="24"/>
          <w:szCs w:val="24"/>
        </w:rPr>
        <w:t>over a</w:t>
      </w:r>
      <w:r w:rsidRPr="00232509">
        <w:rPr>
          <w:rFonts w:ascii="Times New Roman" w:hAnsi="Times New Roman"/>
          <w:snapToGrid/>
          <w:sz w:val="24"/>
          <w:szCs w:val="24"/>
        </w:rPr>
        <w:t>nti-trafficking programs and services under the purview of ACF, including implementation of authorities under the Trafficking Victims Protection Act of 2000, as amended; Preventing Sex Trafficking and Strengthening Families Act of 2014 (Pub. L. 113‒183); Justice for Victims of Trafficking Act of 2015 (Pub. L. 114‒22)</w:t>
      </w:r>
      <w:r w:rsidR="009C13E2">
        <w:rPr>
          <w:rFonts w:ascii="Times New Roman" w:hAnsi="Times New Roman"/>
          <w:snapToGrid/>
          <w:sz w:val="24"/>
          <w:szCs w:val="24"/>
        </w:rPr>
        <w:t xml:space="preserve">; and </w:t>
      </w:r>
      <w:r w:rsidRPr="00232509" w:rsidR="009C13E2">
        <w:rPr>
          <w:rFonts w:ascii="Times New Roman" w:hAnsi="Times New Roman"/>
          <w:snapToGrid/>
          <w:sz w:val="24"/>
          <w:szCs w:val="24"/>
        </w:rPr>
        <w:t xml:space="preserve">the </w:t>
      </w:r>
      <w:r w:rsidRPr="00232509" w:rsidR="009C13E2">
        <w:rPr>
          <w:rFonts w:ascii="Times New Roman" w:eastAsia="Calibri" w:hAnsi="Times New Roman"/>
          <w:snapToGrid/>
          <w:sz w:val="24"/>
          <w:szCs w:val="24"/>
        </w:rPr>
        <w:t>Stop, Observe, Ask, and Respond</w:t>
      </w:r>
      <w:r w:rsidRPr="00232509" w:rsidR="009C13E2">
        <w:rPr>
          <w:rFonts w:ascii="Times New Roman" w:hAnsi="Times New Roman"/>
          <w:snapToGrid/>
          <w:sz w:val="24"/>
          <w:szCs w:val="24"/>
        </w:rPr>
        <w:t xml:space="preserve"> </w:t>
      </w:r>
      <w:r w:rsidR="009C13E2">
        <w:rPr>
          <w:rFonts w:ascii="Times New Roman" w:hAnsi="Times New Roman"/>
          <w:snapToGrid/>
          <w:sz w:val="24"/>
          <w:szCs w:val="24"/>
        </w:rPr>
        <w:t xml:space="preserve">(SOAR) </w:t>
      </w:r>
      <w:r w:rsidRPr="00232509" w:rsidR="009C13E2">
        <w:rPr>
          <w:rFonts w:ascii="Times New Roman" w:hAnsi="Times New Roman"/>
          <w:snapToGrid/>
          <w:sz w:val="24"/>
          <w:szCs w:val="24"/>
        </w:rPr>
        <w:t>to Health and Wellness Act of 2018</w:t>
      </w:r>
      <w:r w:rsidR="009C13E2">
        <w:rPr>
          <w:rFonts w:ascii="Times New Roman" w:hAnsi="Times New Roman"/>
          <w:snapToGrid/>
          <w:sz w:val="24"/>
          <w:szCs w:val="24"/>
        </w:rPr>
        <w:t xml:space="preserve"> (</w:t>
      </w:r>
      <w:r w:rsidRPr="00232509" w:rsidR="009C13E2">
        <w:rPr>
          <w:rFonts w:ascii="Times New Roman" w:eastAsia="Calibri" w:hAnsi="Times New Roman"/>
          <w:snapToGrid/>
          <w:sz w:val="24"/>
          <w:szCs w:val="24"/>
        </w:rPr>
        <w:t>Pub. L. 115–398</w:t>
      </w:r>
      <w:r w:rsidR="009C13E2">
        <w:rPr>
          <w:rFonts w:ascii="Times New Roman" w:hAnsi="Times New Roman"/>
          <w:snapToGrid/>
          <w:sz w:val="24"/>
          <w:szCs w:val="24"/>
        </w:rPr>
        <w:t>)</w:t>
      </w:r>
      <w:r w:rsidRPr="00232509">
        <w:rPr>
          <w:rFonts w:ascii="Times New Roman" w:hAnsi="Times New Roman"/>
          <w:snapToGrid/>
          <w:sz w:val="24"/>
          <w:szCs w:val="24"/>
        </w:rPr>
        <w:t>.</w:t>
      </w:r>
    </w:p>
    <w:p w:rsidR="005B49B5" w:rsidP="00993C66" w14:paraId="7CA9374D" w14:textId="77777777">
      <w:pPr>
        <w:widowControl/>
        <w:ind w:left="360"/>
        <w:rPr>
          <w:rFonts w:ascii="Times New Roman" w:hAnsi="Times New Roman"/>
          <w:snapToGrid/>
          <w:sz w:val="24"/>
          <w:szCs w:val="24"/>
        </w:rPr>
      </w:pPr>
    </w:p>
    <w:p w:rsidR="00CF06F9" w:rsidP="00993C66" w14:paraId="34730050" w14:textId="3A06A93E">
      <w:pPr>
        <w:widowControl/>
        <w:ind w:left="360"/>
        <w:rPr>
          <w:rFonts w:ascii="Times New Roman" w:hAnsi="Times New Roman"/>
          <w:snapToGrid/>
          <w:sz w:val="24"/>
          <w:szCs w:val="24"/>
        </w:rPr>
      </w:pPr>
      <w:r>
        <w:rPr>
          <w:rFonts w:ascii="Times New Roman" w:hAnsi="Times New Roman"/>
          <w:snapToGrid/>
          <w:sz w:val="24"/>
          <w:szCs w:val="24"/>
        </w:rPr>
        <w:t xml:space="preserve">In 2016, </w:t>
      </w:r>
      <w:r w:rsidR="002D7172">
        <w:rPr>
          <w:rFonts w:ascii="Times New Roman" w:hAnsi="Times New Roman"/>
          <w:snapToGrid/>
          <w:sz w:val="24"/>
          <w:szCs w:val="24"/>
        </w:rPr>
        <w:t>OTIP,</w:t>
      </w:r>
      <w:r>
        <w:rPr>
          <w:rFonts w:ascii="Times New Roman" w:hAnsi="Times New Roman"/>
          <w:snapToGrid/>
          <w:sz w:val="24"/>
          <w:szCs w:val="24"/>
        </w:rPr>
        <w:t xml:space="preserve"> </w:t>
      </w:r>
      <w:r w:rsidRPr="00232509">
        <w:rPr>
          <w:rFonts w:ascii="Times New Roman" w:hAnsi="Times New Roman"/>
          <w:snapToGrid/>
          <w:sz w:val="24"/>
          <w:szCs w:val="24"/>
        </w:rPr>
        <w:t xml:space="preserve">with authority from the Trafficking Victims Protection Act of 2000 (Pub. L. 106‒386), Section 106(b), as amended at 22 U.S. Code § 7104 and 22 U.S. Code § 7105(c)(4), established the National Human Trafficking Training and Technical Assistance Center (NHTTAC) to build the capacity of health and human services professionals and help prevent, identify, and respond to trafficking. </w:t>
      </w:r>
      <w:r w:rsidR="00A67CC6">
        <w:rPr>
          <w:rFonts w:ascii="Times New Roman" w:hAnsi="Times New Roman"/>
          <w:snapToGrid/>
          <w:sz w:val="24"/>
          <w:szCs w:val="24"/>
        </w:rPr>
        <w:t xml:space="preserve">The </w:t>
      </w:r>
      <w:r w:rsidRPr="00BB0A08" w:rsidR="00A67CC6">
        <w:rPr>
          <w:rFonts w:ascii="Times New Roman" w:hAnsi="Times New Roman"/>
          <w:snapToGrid/>
          <w:sz w:val="24"/>
          <w:szCs w:val="24"/>
        </w:rPr>
        <w:t xml:space="preserve">instruments in this </w:t>
      </w:r>
      <w:r w:rsidRPr="00BB0A08" w:rsidR="00F734F2">
        <w:rPr>
          <w:rFonts w:ascii="Times New Roman" w:hAnsi="Times New Roman"/>
          <w:snapToGrid/>
          <w:sz w:val="24"/>
          <w:szCs w:val="24"/>
        </w:rPr>
        <w:t xml:space="preserve">collection </w:t>
      </w:r>
      <w:r w:rsidRPr="00BB0A08" w:rsidR="00995DF2">
        <w:rPr>
          <w:rFonts w:ascii="Times New Roman" w:hAnsi="Times New Roman"/>
          <w:snapToGrid/>
          <w:sz w:val="24"/>
          <w:szCs w:val="24"/>
        </w:rPr>
        <w:t xml:space="preserve">allow NHTTAC to assess the ongoing training and technical </w:t>
      </w:r>
      <w:r w:rsidRPr="00BB0A08" w:rsidR="00995DF2">
        <w:rPr>
          <w:rFonts w:ascii="Times New Roman" w:hAnsi="Times New Roman"/>
          <w:sz w:val="24"/>
          <w:szCs w:val="24"/>
        </w:rPr>
        <w:t xml:space="preserve">assistance </w:t>
      </w:r>
      <w:r w:rsidRPr="00BB0A08" w:rsidR="009C13E2">
        <w:rPr>
          <w:rFonts w:ascii="Times New Roman" w:hAnsi="Times New Roman"/>
          <w:snapToGrid/>
          <w:sz w:val="24"/>
          <w:szCs w:val="24"/>
        </w:rPr>
        <w:t xml:space="preserve">(T/TA) </w:t>
      </w:r>
      <w:r w:rsidRPr="00BB0A08" w:rsidR="00995DF2">
        <w:rPr>
          <w:rFonts w:ascii="Times New Roman" w:hAnsi="Times New Roman"/>
          <w:snapToGrid/>
          <w:sz w:val="24"/>
          <w:szCs w:val="24"/>
        </w:rPr>
        <w:t xml:space="preserve">needs of health and human services professionals in preventing, </w:t>
      </w:r>
      <w:r w:rsidRPr="00BB0A08" w:rsidR="00995DF2">
        <w:rPr>
          <w:rFonts w:ascii="Times New Roman" w:hAnsi="Times New Roman"/>
          <w:sz w:val="24"/>
          <w:szCs w:val="24"/>
        </w:rPr>
        <w:t>identifying, and responding to trafficking</w:t>
      </w:r>
      <w:r w:rsidR="009C13E2">
        <w:rPr>
          <w:rFonts w:ascii="Times New Roman" w:hAnsi="Times New Roman"/>
          <w:snapToGrid/>
          <w:sz w:val="24"/>
          <w:szCs w:val="24"/>
        </w:rPr>
        <w:t>,</w:t>
      </w:r>
      <w:r w:rsidRPr="00232509" w:rsidR="00995DF2">
        <w:rPr>
          <w:rFonts w:ascii="Times New Roman" w:hAnsi="Times New Roman"/>
          <w:snapToGrid/>
          <w:sz w:val="24"/>
          <w:szCs w:val="24"/>
        </w:rPr>
        <w:t xml:space="preserve"> and</w:t>
      </w:r>
      <w:r w:rsidR="009C13E2">
        <w:rPr>
          <w:rFonts w:ascii="Times New Roman" w:hAnsi="Times New Roman"/>
          <w:snapToGrid/>
          <w:sz w:val="24"/>
          <w:szCs w:val="24"/>
        </w:rPr>
        <w:t xml:space="preserve"> to</w:t>
      </w:r>
      <w:r w:rsidRPr="00232509" w:rsidR="00995DF2">
        <w:rPr>
          <w:rFonts w:ascii="Times New Roman" w:hAnsi="Times New Roman"/>
          <w:snapToGrid/>
          <w:sz w:val="24"/>
          <w:szCs w:val="24"/>
        </w:rPr>
        <w:t xml:space="preserve"> </w:t>
      </w:r>
      <w:r w:rsidRPr="7ED91B82" w:rsidR="00995DF2">
        <w:rPr>
          <w:rFonts w:ascii="Times New Roman" w:hAnsi="Times New Roman"/>
          <w:sz w:val="24"/>
          <w:szCs w:val="24"/>
        </w:rPr>
        <w:t xml:space="preserve">determine the level of satisfaction with services provided by NHTTAC. </w:t>
      </w:r>
      <w:r w:rsidRPr="00232509">
        <w:rPr>
          <w:rFonts w:ascii="Times New Roman" w:hAnsi="Times New Roman"/>
          <w:snapToGrid/>
          <w:sz w:val="24"/>
          <w:szCs w:val="24"/>
        </w:rPr>
        <w:t>Th</w:t>
      </w:r>
      <w:r w:rsidRPr="00232509" w:rsidR="00F8273F">
        <w:rPr>
          <w:rFonts w:ascii="Times New Roman" w:hAnsi="Times New Roman"/>
          <w:snapToGrid/>
          <w:sz w:val="24"/>
          <w:szCs w:val="24"/>
        </w:rPr>
        <w:t>is</w:t>
      </w:r>
      <w:r w:rsidRPr="00232509">
        <w:rPr>
          <w:rFonts w:ascii="Times New Roman" w:hAnsi="Times New Roman"/>
          <w:snapToGrid/>
          <w:sz w:val="24"/>
          <w:szCs w:val="24"/>
        </w:rPr>
        <w:t xml:space="preserve"> package </w:t>
      </w:r>
      <w:r w:rsidRPr="7ED91B82">
        <w:rPr>
          <w:rFonts w:ascii="Times New Roman" w:hAnsi="Times New Roman"/>
          <w:sz w:val="24"/>
          <w:szCs w:val="24"/>
        </w:rPr>
        <w:t xml:space="preserve">includes </w:t>
      </w:r>
      <w:r w:rsidRPr="008A434A" w:rsidR="00462BF1">
        <w:rPr>
          <w:rFonts w:ascii="Times New Roman" w:hAnsi="Times New Roman"/>
          <w:snapToGrid/>
          <w:sz w:val="24"/>
          <w:szCs w:val="24"/>
        </w:rPr>
        <w:t>eight</w:t>
      </w:r>
      <w:r w:rsidRPr="00232509">
        <w:rPr>
          <w:rFonts w:ascii="Times New Roman" w:hAnsi="Times New Roman"/>
          <w:snapToGrid/>
          <w:sz w:val="24"/>
          <w:szCs w:val="24"/>
        </w:rPr>
        <w:t xml:space="preserve"> instruments</w:t>
      </w:r>
      <w:r w:rsidRPr="7ED91B82">
        <w:rPr>
          <w:rFonts w:ascii="Times New Roman" w:hAnsi="Times New Roman"/>
          <w:sz w:val="24"/>
          <w:szCs w:val="24"/>
        </w:rPr>
        <w:t xml:space="preserve"> to assist with a comprehensive evaluation of NHTTAC’s T/TA events</w:t>
      </w:r>
      <w:r w:rsidR="003124C6">
        <w:rPr>
          <w:rFonts w:ascii="Times New Roman" w:hAnsi="Times New Roman"/>
          <w:snapToGrid/>
          <w:sz w:val="24"/>
          <w:szCs w:val="24"/>
        </w:rPr>
        <w:t xml:space="preserve"> and </w:t>
      </w:r>
      <w:r w:rsidR="00C20095">
        <w:rPr>
          <w:rFonts w:ascii="Times New Roman" w:hAnsi="Times New Roman"/>
          <w:snapToGrid/>
          <w:sz w:val="24"/>
          <w:szCs w:val="24"/>
        </w:rPr>
        <w:t>associated efforts</w:t>
      </w:r>
      <w:r w:rsidRPr="00232509">
        <w:rPr>
          <w:rFonts w:ascii="Times New Roman" w:hAnsi="Times New Roman"/>
          <w:snapToGrid/>
          <w:sz w:val="24"/>
          <w:szCs w:val="24"/>
        </w:rPr>
        <w:t xml:space="preserve">. This collection of information is necessary to enable NHTTAC to collect recipient and </w:t>
      </w:r>
      <w:r w:rsidR="00651FCA">
        <w:rPr>
          <w:rFonts w:ascii="Times New Roman" w:hAnsi="Times New Roman"/>
          <w:snapToGrid/>
          <w:sz w:val="24"/>
          <w:szCs w:val="24"/>
        </w:rPr>
        <w:t>partner</w:t>
      </w:r>
      <w:r w:rsidRPr="00232509" w:rsidR="00651FCA">
        <w:rPr>
          <w:rFonts w:ascii="Times New Roman" w:hAnsi="Times New Roman"/>
          <w:snapToGrid/>
          <w:sz w:val="24"/>
          <w:szCs w:val="24"/>
        </w:rPr>
        <w:t xml:space="preserve"> </w:t>
      </w:r>
      <w:r w:rsidRPr="00232509">
        <w:rPr>
          <w:rFonts w:ascii="Times New Roman" w:hAnsi="Times New Roman"/>
          <w:snapToGrid/>
          <w:sz w:val="24"/>
          <w:szCs w:val="24"/>
        </w:rPr>
        <w:t xml:space="preserve">feedback in an efficient, </w:t>
      </w:r>
      <w:r w:rsidRPr="7ED91B82">
        <w:rPr>
          <w:rFonts w:ascii="Times New Roman" w:hAnsi="Times New Roman"/>
          <w:sz w:val="24"/>
          <w:szCs w:val="24"/>
        </w:rPr>
        <w:t xml:space="preserve">timely manner and in accordance with OTIP’s commitment to improving service delivery. The information collected from recipients and </w:t>
      </w:r>
      <w:r w:rsidRPr="00FC4A6A" w:rsidR="00651FCA">
        <w:rPr>
          <w:rFonts w:ascii="Times New Roman" w:hAnsi="Times New Roman"/>
          <w:snapToGrid/>
          <w:sz w:val="24"/>
          <w:szCs w:val="24"/>
        </w:rPr>
        <w:t xml:space="preserve">partners </w:t>
      </w:r>
      <w:r w:rsidRPr="00FC4A6A">
        <w:rPr>
          <w:rFonts w:ascii="Times New Roman" w:hAnsi="Times New Roman"/>
          <w:snapToGrid/>
          <w:sz w:val="24"/>
          <w:szCs w:val="24"/>
        </w:rPr>
        <w:t>will help ensure that users have an effective, efficient, and satisfying experience with NHTTAC’s</w:t>
      </w:r>
      <w:r w:rsidRPr="00232509">
        <w:rPr>
          <w:rFonts w:ascii="Times New Roman" w:hAnsi="Times New Roman"/>
          <w:snapToGrid/>
          <w:sz w:val="24"/>
          <w:szCs w:val="24"/>
        </w:rPr>
        <w:t xml:space="preserve"> T/TA services. This feedback provide</w:t>
      </w:r>
      <w:r w:rsidR="00FF47C0">
        <w:rPr>
          <w:rFonts w:ascii="Times New Roman" w:hAnsi="Times New Roman"/>
          <w:snapToGrid/>
          <w:sz w:val="24"/>
          <w:szCs w:val="24"/>
        </w:rPr>
        <w:t>s</w:t>
      </w:r>
      <w:r w:rsidRPr="00232509">
        <w:rPr>
          <w:rFonts w:ascii="Times New Roman" w:hAnsi="Times New Roman"/>
          <w:snapToGrid/>
          <w:sz w:val="24"/>
          <w:szCs w:val="24"/>
        </w:rPr>
        <w:t xml:space="preserve"> insights into recipient or </w:t>
      </w:r>
      <w:r w:rsidR="00FC4A6A">
        <w:rPr>
          <w:rFonts w:ascii="Times New Roman" w:hAnsi="Times New Roman"/>
          <w:snapToGrid/>
          <w:sz w:val="24"/>
          <w:szCs w:val="24"/>
        </w:rPr>
        <w:t>partner</w:t>
      </w:r>
      <w:r w:rsidRPr="00232509" w:rsidR="00FC4A6A">
        <w:rPr>
          <w:rFonts w:ascii="Times New Roman" w:hAnsi="Times New Roman"/>
          <w:snapToGrid/>
          <w:sz w:val="24"/>
          <w:szCs w:val="24"/>
        </w:rPr>
        <w:t xml:space="preserve"> </w:t>
      </w:r>
      <w:r w:rsidRPr="00232509">
        <w:rPr>
          <w:rFonts w:ascii="Times New Roman" w:hAnsi="Times New Roman"/>
          <w:snapToGrid/>
          <w:sz w:val="24"/>
          <w:szCs w:val="24"/>
        </w:rPr>
        <w:t>perceptions</w:t>
      </w:r>
      <w:r w:rsidRPr="7ED91B82">
        <w:rPr>
          <w:rFonts w:ascii="Times New Roman" w:hAnsi="Times New Roman"/>
          <w:sz w:val="24"/>
          <w:szCs w:val="24"/>
        </w:rPr>
        <w:t>, expectations, and experiences; provide</w:t>
      </w:r>
      <w:r w:rsidR="00FF47C0">
        <w:rPr>
          <w:rFonts w:ascii="Times New Roman" w:hAnsi="Times New Roman"/>
          <w:snapToGrid/>
          <w:sz w:val="24"/>
          <w:szCs w:val="24"/>
        </w:rPr>
        <w:t>s</w:t>
      </w:r>
      <w:r w:rsidRPr="00232509">
        <w:rPr>
          <w:rFonts w:ascii="Times New Roman" w:hAnsi="Times New Roman"/>
          <w:snapToGrid/>
          <w:sz w:val="24"/>
          <w:szCs w:val="24"/>
        </w:rPr>
        <w:t xml:space="preserve"> an early warning of issues with T/TA; and focus</w:t>
      </w:r>
      <w:r w:rsidR="00FF47C0">
        <w:rPr>
          <w:rFonts w:ascii="Times New Roman" w:hAnsi="Times New Roman"/>
          <w:snapToGrid/>
          <w:sz w:val="24"/>
          <w:szCs w:val="24"/>
        </w:rPr>
        <w:t>es</w:t>
      </w:r>
      <w:r w:rsidRPr="00232509">
        <w:rPr>
          <w:rFonts w:ascii="Times New Roman" w:hAnsi="Times New Roman"/>
          <w:snapToGrid/>
          <w:sz w:val="24"/>
          <w:szCs w:val="24"/>
        </w:rPr>
        <w:t xml:space="preserve"> attention on areas </w:t>
      </w:r>
      <w:r w:rsidRPr="7ED91B82">
        <w:rPr>
          <w:rFonts w:ascii="Times New Roman" w:hAnsi="Times New Roman"/>
          <w:sz w:val="24"/>
          <w:szCs w:val="24"/>
        </w:rPr>
        <w:t xml:space="preserve">where communication, training, or changes in operations might improve the delivery of T/TA or the responsiveness of NHTTAC. These collections allow for ongoing, collaborative, and actionable communications between NHTTAC and its recipients and </w:t>
      </w:r>
      <w:r w:rsidR="00FC4A6A">
        <w:rPr>
          <w:rFonts w:ascii="Times New Roman" w:hAnsi="Times New Roman"/>
          <w:snapToGrid/>
          <w:sz w:val="24"/>
          <w:szCs w:val="24"/>
        </w:rPr>
        <w:t>partners</w:t>
      </w:r>
      <w:r w:rsidRPr="00232509">
        <w:rPr>
          <w:rFonts w:ascii="Times New Roman" w:hAnsi="Times New Roman"/>
          <w:snapToGrid/>
          <w:sz w:val="24"/>
          <w:szCs w:val="24"/>
        </w:rPr>
        <w:t>. It</w:t>
      </w:r>
      <w:r w:rsidR="00E51E83">
        <w:rPr>
          <w:rFonts w:ascii="Times New Roman" w:hAnsi="Times New Roman"/>
          <w:snapToGrid/>
          <w:sz w:val="24"/>
          <w:szCs w:val="24"/>
        </w:rPr>
        <w:t xml:space="preserve"> </w:t>
      </w:r>
      <w:r w:rsidRPr="00232509">
        <w:rPr>
          <w:rFonts w:ascii="Times New Roman" w:hAnsi="Times New Roman"/>
          <w:snapToGrid/>
          <w:sz w:val="24"/>
          <w:szCs w:val="24"/>
        </w:rPr>
        <w:t>also allow</w:t>
      </w:r>
      <w:r w:rsidR="00E51E83">
        <w:rPr>
          <w:rFonts w:ascii="Times New Roman" w:hAnsi="Times New Roman"/>
          <w:snapToGrid/>
          <w:sz w:val="24"/>
          <w:szCs w:val="24"/>
        </w:rPr>
        <w:t>s</w:t>
      </w:r>
      <w:r w:rsidRPr="00232509">
        <w:rPr>
          <w:rFonts w:ascii="Times New Roman" w:hAnsi="Times New Roman"/>
          <w:snapToGrid/>
          <w:sz w:val="24"/>
          <w:szCs w:val="24"/>
        </w:rPr>
        <w:t xml:space="preserve"> feedback to contribute directly to the improvement of program management</w:t>
      </w:r>
      <w:r w:rsidRPr="7ED91B82" w:rsidR="000948CA">
        <w:rPr>
          <w:rFonts w:ascii="Times New Roman" w:hAnsi="Times New Roman"/>
          <w:sz w:val="24"/>
          <w:szCs w:val="24"/>
        </w:rPr>
        <w:t xml:space="preserve"> and efficiency</w:t>
      </w:r>
      <w:r w:rsidRPr="00232509">
        <w:rPr>
          <w:rFonts w:ascii="Times New Roman" w:hAnsi="Times New Roman"/>
          <w:snapToGrid/>
          <w:sz w:val="24"/>
          <w:szCs w:val="24"/>
        </w:rPr>
        <w:t xml:space="preserve">. </w:t>
      </w:r>
    </w:p>
    <w:p w:rsidR="00232509" w:rsidRPr="00232509" w:rsidP="00993C66" w14:paraId="453EA0FA" w14:textId="77777777">
      <w:pPr>
        <w:widowControl/>
        <w:ind w:left="360"/>
        <w:rPr>
          <w:rFonts w:ascii="Times New Roman" w:hAnsi="Times New Roman"/>
          <w:snapToGrid/>
          <w:sz w:val="24"/>
          <w:szCs w:val="24"/>
        </w:rPr>
      </w:pPr>
    </w:p>
    <w:p w:rsidR="002C3C4F" w:rsidRPr="00232509" w:rsidP="001F7317" w14:paraId="7DC1D922" w14:textId="77777777">
      <w:pPr>
        <w:keepNext/>
        <w:widowControl/>
        <w:numPr>
          <w:ilvl w:val="0"/>
          <w:numId w:val="3"/>
        </w:numPr>
        <w:tabs>
          <w:tab w:val="num" w:pos="0"/>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P</w:t>
      </w:r>
      <w:r w:rsidRPr="00232509">
        <w:rPr>
          <w:rFonts w:ascii="Times New Roman" w:hAnsi="Times New Roman"/>
          <w:b/>
          <w:snapToGrid/>
          <w:sz w:val="24"/>
          <w:szCs w:val="24"/>
        </w:rPr>
        <w:t xml:space="preserve">urpose and Use of the Information Collection </w:t>
      </w:r>
    </w:p>
    <w:p w:rsidR="000B5A93" w:rsidP="000B5A93" w14:paraId="09B06F80" w14:textId="2C97871E">
      <w:pPr>
        <w:keepNext/>
        <w:widowControl/>
        <w:spacing w:after="120"/>
        <w:ind w:left="360"/>
        <w:rPr>
          <w:rFonts w:ascii="Times New Roman" w:hAnsi="Times New Roman"/>
          <w:b/>
          <w:snapToGrid/>
          <w:sz w:val="24"/>
          <w:szCs w:val="24"/>
        </w:rPr>
      </w:pPr>
      <w:r w:rsidRPr="00232509">
        <w:rPr>
          <w:rFonts w:ascii="Times New Roman" w:hAnsi="Times New Roman"/>
          <w:snapToGrid/>
          <w:sz w:val="24"/>
          <w:szCs w:val="24"/>
        </w:rPr>
        <w:t xml:space="preserve">On OTIP’s behalf, </w:t>
      </w:r>
      <w:r w:rsidRPr="00232509" w:rsidR="00097A10">
        <w:rPr>
          <w:rFonts w:ascii="Times New Roman" w:hAnsi="Times New Roman"/>
          <w:snapToGrid/>
          <w:sz w:val="24"/>
          <w:szCs w:val="24"/>
        </w:rPr>
        <w:t xml:space="preserve">the </w:t>
      </w:r>
      <w:r w:rsidRPr="00232509">
        <w:rPr>
          <w:rFonts w:ascii="Times New Roman" w:hAnsi="Times New Roman"/>
          <w:snapToGrid/>
          <w:sz w:val="24"/>
          <w:szCs w:val="24"/>
        </w:rPr>
        <w:t>NHTTAC Evaluation Team</w:t>
      </w:r>
      <w:r w:rsidR="00B81CCC">
        <w:rPr>
          <w:rFonts w:ascii="Times New Roman" w:hAnsi="Times New Roman"/>
          <w:snapToGrid/>
          <w:sz w:val="24"/>
          <w:szCs w:val="24"/>
        </w:rPr>
        <w:t>, a</w:t>
      </w:r>
      <w:r w:rsidR="004B770F">
        <w:rPr>
          <w:rFonts w:ascii="Times New Roman" w:hAnsi="Times New Roman"/>
          <w:snapToGrid/>
          <w:sz w:val="24"/>
          <w:szCs w:val="24"/>
        </w:rPr>
        <w:t>nd designated partners,</w:t>
      </w:r>
      <w:r w:rsidRPr="00232509">
        <w:rPr>
          <w:rFonts w:ascii="Times New Roman" w:hAnsi="Times New Roman"/>
          <w:snapToGrid/>
          <w:sz w:val="24"/>
          <w:szCs w:val="24"/>
        </w:rPr>
        <w:t xml:space="preserve"> collect, analyze, and interpret information gathered through this </w:t>
      </w:r>
      <w:r w:rsidR="0011663B">
        <w:rPr>
          <w:rFonts w:ascii="Times New Roman" w:hAnsi="Times New Roman"/>
          <w:snapToGrid/>
          <w:sz w:val="24"/>
          <w:szCs w:val="24"/>
        </w:rPr>
        <w:t>information collection</w:t>
      </w:r>
      <w:r w:rsidRPr="00232509" w:rsidR="0011663B">
        <w:rPr>
          <w:rFonts w:ascii="Times New Roman" w:hAnsi="Times New Roman"/>
          <w:snapToGrid/>
          <w:sz w:val="24"/>
          <w:szCs w:val="24"/>
        </w:rPr>
        <w:t xml:space="preserve"> </w:t>
      </w:r>
      <w:r w:rsidRPr="00232509">
        <w:rPr>
          <w:rFonts w:ascii="Times New Roman" w:hAnsi="Times New Roman"/>
          <w:snapToGrid/>
          <w:sz w:val="24"/>
          <w:szCs w:val="24"/>
        </w:rPr>
        <w:t xml:space="preserve">to identify strengths and weaknesses of </w:t>
      </w:r>
      <w:r w:rsidR="001C4B4B">
        <w:rPr>
          <w:rFonts w:ascii="Times New Roman" w:hAnsi="Times New Roman"/>
          <w:snapToGrid/>
          <w:sz w:val="24"/>
          <w:szCs w:val="24"/>
        </w:rPr>
        <w:t>NHTTAC’s</w:t>
      </w:r>
      <w:r w:rsidRPr="00232509" w:rsidR="001C4B4B">
        <w:rPr>
          <w:rFonts w:ascii="Times New Roman" w:hAnsi="Times New Roman"/>
          <w:snapToGrid/>
          <w:sz w:val="24"/>
          <w:szCs w:val="24"/>
        </w:rPr>
        <w:t xml:space="preserve"> </w:t>
      </w:r>
      <w:r w:rsidRPr="00232509">
        <w:rPr>
          <w:rFonts w:ascii="Times New Roman" w:hAnsi="Times New Roman"/>
          <w:snapToGrid/>
          <w:sz w:val="24"/>
          <w:szCs w:val="24"/>
        </w:rPr>
        <w:t>T/TA</w:t>
      </w:r>
      <w:r w:rsidR="00BE3D8C">
        <w:rPr>
          <w:rFonts w:ascii="Times New Roman" w:hAnsi="Times New Roman"/>
          <w:snapToGrid/>
          <w:sz w:val="24"/>
          <w:szCs w:val="24"/>
        </w:rPr>
        <w:t xml:space="preserve"> and associated efforts</w:t>
      </w:r>
      <w:r w:rsidRPr="00232509">
        <w:rPr>
          <w:rFonts w:ascii="Times New Roman" w:hAnsi="Times New Roman"/>
          <w:snapToGrid/>
          <w:sz w:val="24"/>
          <w:szCs w:val="24"/>
        </w:rPr>
        <w:t>, make improvements based on this feedback, and identify the types of T/TA services needed. The solicitation of feedback will target areas such as timeliness, appropriateness, accuracy of information, courtesy, efficiency of T/TA delivery,</w:t>
      </w:r>
      <w:r w:rsidRPr="00232509" w:rsidR="00066756">
        <w:rPr>
          <w:rFonts w:ascii="Times New Roman" w:hAnsi="Times New Roman"/>
          <w:snapToGrid/>
          <w:sz w:val="24"/>
          <w:szCs w:val="24"/>
        </w:rPr>
        <w:t xml:space="preserve"> </w:t>
      </w:r>
      <w:r w:rsidRPr="00232509" w:rsidR="00815E24">
        <w:rPr>
          <w:rFonts w:ascii="Times New Roman" w:hAnsi="Times New Roman"/>
          <w:snapToGrid/>
          <w:sz w:val="24"/>
          <w:szCs w:val="24"/>
        </w:rPr>
        <w:t>knowledge and skill building,</w:t>
      </w:r>
      <w:r w:rsidRPr="00232509">
        <w:rPr>
          <w:rFonts w:ascii="Times New Roman" w:hAnsi="Times New Roman"/>
          <w:snapToGrid/>
          <w:sz w:val="24"/>
          <w:szCs w:val="24"/>
        </w:rPr>
        <w:t xml:space="preserve"> </w:t>
      </w:r>
      <w:r w:rsidRPr="00232509" w:rsidR="002F5339">
        <w:rPr>
          <w:rFonts w:ascii="Times New Roman" w:hAnsi="Times New Roman"/>
          <w:snapToGrid/>
          <w:sz w:val="24"/>
          <w:szCs w:val="24"/>
        </w:rPr>
        <w:t xml:space="preserve">networking, </w:t>
      </w:r>
      <w:r w:rsidRPr="00232509">
        <w:rPr>
          <w:rFonts w:ascii="Times New Roman" w:hAnsi="Times New Roman"/>
          <w:snapToGrid/>
          <w:sz w:val="24"/>
          <w:szCs w:val="24"/>
        </w:rPr>
        <w:t>and resolution of issues encountered while interacting with NHTTAC. Responses will be assessed to plan and inform efforts to improve or maintain the quality of T/TA offered to the public</w:t>
      </w:r>
      <w:r>
        <w:rPr>
          <w:rFonts w:ascii="Times New Roman" w:hAnsi="Times New Roman"/>
          <w:snapToGrid/>
          <w:sz w:val="24"/>
          <w:szCs w:val="24"/>
        </w:rPr>
        <w:t xml:space="preserve"> and ensure alignment with agency and Administration priorities: </w:t>
      </w:r>
    </w:p>
    <w:p w:rsidR="000B5A93" w:rsidRPr="00AE6BB9" w:rsidP="000B5A93" w14:paraId="50B2362D" w14:textId="51D68E26">
      <w:pPr>
        <w:keepNext/>
        <w:widowControl/>
        <w:numPr>
          <w:ilvl w:val="0"/>
          <w:numId w:val="27"/>
        </w:numPr>
        <w:spacing w:after="120"/>
        <w:rPr>
          <w:rFonts w:ascii="Times New Roman" w:eastAsia="Calibri" w:hAnsi="Times New Roman"/>
          <w:iCs/>
          <w:snapToGrid/>
          <w:sz w:val="24"/>
          <w:szCs w:val="24"/>
        </w:rPr>
      </w:pPr>
      <w:r w:rsidRPr="00AE6BB9">
        <w:rPr>
          <w:rFonts w:ascii="Times New Roman" w:eastAsia="Calibri" w:hAnsi="Times New Roman"/>
          <w:i/>
          <w:iCs/>
          <w:snapToGrid/>
          <w:sz w:val="24"/>
          <w:szCs w:val="24"/>
        </w:rPr>
        <w:t>ACF Priority 1 (Promoting quality early learning environments and improved child outcomes)</w:t>
      </w:r>
      <w:r w:rsidRPr="00AE6BB9">
        <w:rPr>
          <w:rFonts w:ascii="Times New Roman" w:eastAsia="Calibri" w:hAnsi="Times New Roman"/>
          <w:iCs/>
          <w:snapToGrid/>
          <w:sz w:val="24"/>
          <w:szCs w:val="24"/>
        </w:rPr>
        <w:t xml:space="preserve"> evaluating outcomes associated with T/TA focused on building capacity at the community level through training and partnerships to create environments where children, youth, families, and individuals can collectively thrive.</w:t>
      </w:r>
    </w:p>
    <w:p w:rsidR="000B5A93" w:rsidRPr="00AE6BB9" w:rsidP="000B5A93" w14:paraId="5FD52A6C" w14:textId="795EF15E">
      <w:pPr>
        <w:keepNext/>
        <w:widowControl/>
        <w:numPr>
          <w:ilvl w:val="0"/>
          <w:numId w:val="27"/>
        </w:numPr>
        <w:spacing w:after="120"/>
        <w:rPr>
          <w:rFonts w:ascii="Times New Roman" w:eastAsia="Calibri" w:hAnsi="Times New Roman"/>
          <w:iCs/>
          <w:snapToGrid/>
          <w:sz w:val="24"/>
          <w:szCs w:val="24"/>
        </w:rPr>
      </w:pPr>
      <w:r w:rsidRPr="00AE6BB9">
        <w:rPr>
          <w:rFonts w:ascii="Times New Roman" w:eastAsia="Calibri" w:hAnsi="Times New Roman"/>
          <w:i/>
          <w:iCs/>
          <w:snapToGrid/>
          <w:sz w:val="24"/>
          <w:szCs w:val="24"/>
        </w:rPr>
        <w:t>ACF Priority 2 (Promoting work and self-sufficiency)</w:t>
      </w:r>
      <w:r w:rsidRPr="00AE6BB9">
        <w:rPr>
          <w:rFonts w:ascii="Times New Roman" w:eastAsia="Calibri" w:hAnsi="Times New Roman"/>
          <w:iCs/>
          <w:snapToGrid/>
          <w:sz w:val="24"/>
          <w:szCs w:val="24"/>
        </w:rPr>
        <w:t xml:space="preserve"> evaluating outcomes associated with T/TA focused on professional development in various fields (e.g., public health, behavioral health, healthcare, education, child welfare) and focusing on state innovation through intensive T/TA with state child welfare systems designed to enhance outcomes for youth involved in the child welfare system, increasing self-sufficiency.</w:t>
      </w:r>
    </w:p>
    <w:p w:rsidR="000B5A93" w:rsidP="00786A24" w14:paraId="42109AAC" w14:textId="7CFFE284">
      <w:pPr>
        <w:keepNext/>
        <w:widowControl/>
        <w:numPr>
          <w:ilvl w:val="0"/>
          <w:numId w:val="27"/>
        </w:numPr>
        <w:spacing w:after="120"/>
        <w:rPr>
          <w:rFonts w:ascii="Times New Roman" w:hAnsi="Times New Roman"/>
          <w:snapToGrid/>
          <w:sz w:val="24"/>
          <w:szCs w:val="24"/>
        </w:rPr>
      </w:pPr>
      <w:r w:rsidRPr="00AE6BB9">
        <w:rPr>
          <w:rFonts w:ascii="Times New Roman" w:eastAsia="Calibri" w:hAnsi="Times New Roman"/>
          <w:i/>
          <w:iCs/>
          <w:snapToGrid/>
          <w:sz w:val="24"/>
          <w:szCs w:val="24"/>
        </w:rPr>
        <w:t>ACF Priority 3 (Promoting marriage and family formation)</w:t>
      </w:r>
      <w:r w:rsidRPr="00AE6BB9">
        <w:rPr>
          <w:rFonts w:ascii="Times New Roman" w:eastAsia="Calibri" w:hAnsi="Times New Roman"/>
          <w:iCs/>
          <w:snapToGrid/>
          <w:sz w:val="24"/>
          <w:szCs w:val="24"/>
        </w:rPr>
        <w:t xml:space="preserve"> evaluating outcomes associated with T/TA focused on strengthening family bonds, fostering positive family environments, and supporting healthy child and youth development, including NHTTAC's efforts to promote 2-Generation/Whole Family approaches to preventing and addressing trafficking.</w:t>
      </w:r>
    </w:p>
    <w:p w:rsidR="005C1D6E" w:rsidRPr="00232509" w:rsidP="00730227" w14:paraId="169784EE" w14:textId="267DC58E">
      <w:pPr>
        <w:widowControl/>
        <w:ind w:left="360"/>
        <w:rPr>
          <w:rFonts w:ascii="Times New Roman" w:hAnsi="Times New Roman"/>
          <w:snapToGrid/>
          <w:sz w:val="24"/>
          <w:szCs w:val="24"/>
        </w:rPr>
      </w:pPr>
      <w:r>
        <w:rPr>
          <w:rFonts w:ascii="Times New Roman" w:hAnsi="Times New Roman"/>
          <w:snapToGrid/>
          <w:sz w:val="24"/>
          <w:szCs w:val="24"/>
        </w:rPr>
        <w:t xml:space="preserve">An overview of the purpose and use of each form type under this collection follows. </w:t>
      </w:r>
    </w:p>
    <w:p w:rsidR="00CF06F9" w:rsidRPr="00232509" w:rsidP="0037227D" w14:paraId="5ED8D2EC" w14:textId="04BFB744">
      <w:pPr>
        <w:widowControl/>
        <w:rPr>
          <w:rFonts w:ascii="Times New Roman" w:hAnsi="Times New Roman"/>
          <w:snapToGrid/>
          <w:sz w:val="24"/>
          <w:szCs w:val="24"/>
        </w:rPr>
      </w:pPr>
    </w:p>
    <w:p w:rsidR="005F43E2" w:rsidRPr="00232509" w:rsidP="009A3CF5" w14:paraId="0191CDE5" w14:textId="7DE9C4DA">
      <w:pPr>
        <w:widowControl/>
        <w:ind w:left="360"/>
        <w:rPr>
          <w:rFonts w:ascii="Times New Roman" w:hAnsi="Times New Roman"/>
          <w:snapToGrid/>
          <w:sz w:val="24"/>
          <w:szCs w:val="24"/>
        </w:rPr>
      </w:pPr>
      <w:r w:rsidRPr="00232509">
        <w:rPr>
          <w:rFonts w:ascii="Times New Roman" w:hAnsi="Times New Roman"/>
          <w:i/>
          <w:iCs/>
          <w:snapToGrid/>
          <w:sz w:val="24"/>
          <w:szCs w:val="24"/>
        </w:rPr>
        <w:t>Universal T/TA Participant Feedback</w:t>
      </w:r>
      <w:r w:rsidR="001F7317">
        <w:rPr>
          <w:rFonts w:ascii="Times New Roman" w:hAnsi="Times New Roman"/>
          <w:i/>
          <w:iCs/>
          <w:snapToGrid/>
          <w:sz w:val="24"/>
          <w:szCs w:val="24"/>
        </w:rPr>
        <w:br/>
      </w:r>
      <w:r w:rsidRPr="00232509" w:rsidR="004122CE">
        <w:rPr>
          <w:rFonts w:ascii="Times New Roman" w:hAnsi="Times New Roman"/>
          <w:snapToGrid/>
          <w:sz w:val="24"/>
          <w:szCs w:val="24"/>
        </w:rPr>
        <w:t xml:space="preserve">Individuals who </w:t>
      </w:r>
      <w:r w:rsidRPr="00232509" w:rsidR="0070723F">
        <w:rPr>
          <w:rFonts w:ascii="Times New Roman" w:hAnsi="Times New Roman"/>
          <w:snapToGrid/>
          <w:sz w:val="24"/>
          <w:szCs w:val="24"/>
        </w:rPr>
        <w:t xml:space="preserve">participate in NHTTAC T/TA </w:t>
      </w:r>
      <w:r w:rsidR="00991CC2">
        <w:rPr>
          <w:rFonts w:ascii="Times New Roman" w:hAnsi="Times New Roman"/>
          <w:snapToGrid/>
          <w:sz w:val="24"/>
          <w:szCs w:val="24"/>
        </w:rPr>
        <w:t>that is shorter in length</w:t>
      </w:r>
      <w:r w:rsidR="00C662B6">
        <w:rPr>
          <w:rFonts w:ascii="Times New Roman" w:hAnsi="Times New Roman"/>
          <w:snapToGrid/>
          <w:sz w:val="24"/>
          <w:szCs w:val="24"/>
        </w:rPr>
        <w:t xml:space="preserve"> (i.e., up to three hours)</w:t>
      </w:r>
      <w:r w:rsidR="0037598D">
        <w:rPr>
          <w:rFonts w:ascii="Times New Roman" w:hAnsi="Times New Roman"/>
          <w:snapToGrid/>
          <w:sz w:val="24"/>
          <w:szCs w:val="24"/>
        </w:rPr>
        <w:t>—</w:t>
      </w:r>
      <w:r w:rsidRPr="00232509" w:rsidR="0070723F">
        <w:rPr>
          <w:rFonts w:ascii="Times New Roman" w:hAnsi="Times New Roman"/>
          <w:snapToGrid/>
          <w:sz w:val="24"/>
          <w:szCs w:val="24"/>
        </w:rPr>
        <w:t xml:space="preserve">including </w:t>
      </w:r>
      <w:r w:rsidRPr="00232509" w:rsidR="009E63E9">
        <w:rPr>
          <w:rFonts w:ascii="Times New Roman" w:hAnsi="Times New Roman"/>
          <w:snapToGrid/>
          <w:sz w:val="24"/>
          <w:szCs w:val="24"/>
        </w:rPr>
        <w:t>webinars, conferences,</w:t>
      </w:r>
      <w:r w:rsidRPr="00232509" w:rsidR="00C4113B">
        <w:rPr>
          <w:rFonts w:ascii="Times New Roman" w:hAnsi="Times New Roman"/>
          <w:snapToGrid/>
          <w:sz w:val="24"/>
          <w:szCs w:val="24"/>
        </w:rPr>
        <w:t xml:space="preserve"> meetings,</w:t>
      </w:r>
      <w:r w:rsidRPr="00232509" w:rsidR="00446818">
        <w:rPr>
          <w:rFonts w:ascii="Times New Roman" w:hAnsi="Times New Roman"/>
          <w:snapToGrid/>
          <w:sz w:val="24"/>
          <w:szCs w:val="24"/>
        </w:rPr>
        <w:t xml:space="preserve"> </w:t>
      </w:r>
      <w:r w:rsidRPr="00232509" w:rsidR="00F5089D">
        <w:rPr>
          <w:rFonts w:ascii="Times New Roman" w:hAnsi="Times New Roman"/>
          <w:snapToGrid/>
          <w:sz w:val="24"/>
          <w:szCs w:val="24"/>
        </w:rPr>
        <w:t>SOAR Tier I activities (</w:t>
      </w:r>
      <w:r w:rsidRPr="00232509" w:rsidR="006C0673">
        <w:rPr>
          <w:rFonts w:ascii="Times New Roman" w:hAnsi="Times New Roman"/>
          <w:snapToGrid/>
          <w:sz w:val="24"/>
          <w:szCs w:val="24"/>
        </w:rPr>
        <w:t>i.e.</w:t>
      </w:r>
      <w:r w:rsidRPr="00232509" w:rsidR="00F5089D">
        <w:rPr>
          <w:rFonts w:ascii="Times New Roman" w:hAnsi="Times New Roman"/>
          <w:snapToGrid/>
          <w:sz w:val="24"/>
          <w:szCs w:val="24"/>
        </w:rPr>
        <w:t xml:space="preserve">, </w:t>
      </w:r>
      <w:r w:rsidRPr="00232509" w:rsidR="00446818">
        <w:rPr>
          <w:rFonts w:ascii="Times New Roman" w:hAnsi="Times New Roman"/>
          <w:snapToGrid/>
          <w:sz w:val="24"/>
          <w:szCs w:val="24"/>
        </w:rPr>
        <w:t xml:space="preserve">SOAR </w:t>
      </w:r>
      <w:r w:rsidRPr="00232509" w:rsidR="00446818">
        <w:rPr>
          <w:rFonts w:ascii="Times New Roman" w:hAnsi="Times New Roman"/>
          <w:i/>
          <w:iCs/>
          <w:snapToGrid/>
          <w:sz w:val="24"/>
          <w:szCs w:val="24"/>
        </w:rPr>
        <w:t>Online</w:t>
      </w:r>
      <w:r w:rsidRPr="00232509" w:rsidR="00446818">
        <w:rPr>
          <w:rFonts w:ascii="Times New Roman" w:hAnsi="Times New Roman"/>
          <w:snapToGrid/>
          <w:sz w:val="24"/>
          <w:szCs w:val="24"/>
        </w:rPr>
        <w:t>, SOAR pilots, and live SOAR for Indivi</w:t>
      </w:r>
      <w:r w:rsidRPr="00232509" w:rsidR="00F5089D">
        <w:rPr>
          <w:rFonts w:ascii="Times New Roman" w:hAnsi="Times New Roman"/>
          <w:snapToGrid/>
          <w:sz w:val="24"/>
          <w:szCs w:val="24"/>
        </w:rPr>
        <w:t>duals)</w:t>
      </w:r>
      <w:r w:rsidR="00E81FCB">
        <w:rPr>
          <w:rFonts w:ascii="Times New Roman" w:hAnsi="Times New Roman"/>
          <w:snapToGrid/>
          <w:sz w:val="24"/>
          <w:szCs w:val="24"/>
        </w:rPr>
        <w:t>, and other short-term T/TA</w:t>
      </w:r>
      <w:r w:rsidR="0037598D">
        <w:rPr>
          <w:rFonts w:ascii="Times New Roman" w:hAnsi="Times New Roman"/>
          <w:snapToGrid/>
          <w:sz w:val="24"/>
          <w:szCs w:val="24"/>
        </w:rPr>
        <w:t>—</w:t>
      </w:r>
      <w:r w:rsidRPr="00232509" w:rsidR="007C29EE">
        <w:rPr>
          <w:rFonts w:ascii="Times New Roman" w:hAnsi="Times New Roman"/>
          <w:snapToGrid/>
          <w:sz w:val="24"/>
          <w:szCs w:val="24"/>
        </w:rPr>
        <w:t xml:space="preserve">are asked to complete </w:t>
      </w:r>
      <w:r w:rsidRPr="00232509" w:rsidR="006958CA">
        <w:rPr>
          <w:rFonts w:ascii="Times New Roman" w:hAnsi="Times New Roman"/>
          <w:snapToGrid/>
          <w:sz w:val="24"/>
          <w:szCs w:val="24"/>
        </w:rPr>
        <w:t xml:space="preserve">the </w:t>
      </w:r>
      <w:r w:rsidRPr="00232509" w:rsidR="007C29EE">
        <w:rPr>
          <w:rFonts w:ascii="Times New Roman" w:hAnsi="Times New Roman"/>
          <w:snapToGrid/>
          <w:sz w:val="24"/>
          <w:szCs w:val="24"/>
        </w:rPr>
        <w:t xml:space="preserve">Universal T/TA Participant Feedback </w:t>
      </w:r>
      <w:r w:rsidRPr="00232509" w:rsidR="00DD301D">
        <w:rPr>
          <w:rFonts w:ascii="Times New Roman" w:hAnsi="Times New Roman"/>
          <w:snapToGrid/>
          <w:sz w:val="24"/>
          <w:szCs w:val="24"/>
        </w:rPr>
        <w:t>F</w:t>
      </w:r>
      <w:r w:rsidRPr="00232509" w:rsidR="007C29EE">
        <w:rPr>
          <w:rFonts w:ascii="Times New Roman" w:hAnsi="Times New Roman"/>
          <w:snapToGrid/>
          <w:sz w:val="24"/>
          <w:szCs w:val="24"/>
        </w:rPr>
        <w:t>orm upon completion of the T/TA</w:t>
      </w:r>
      <w:r w:rsidRPr="00232509" w:rsidR="0060029A">
        <w:rPr>
          <w:rFonts w:ascii="Times New Roman" w:hAnsi="Times New Roman"/>
          <w:snapToGrid/>
          <w:sz w:val="24"/>
          <w:szCs w:val="24"/>
        </w:rPr>
        <w:t xml:space="preserve">. Participants are asked to provide </w:t>
      </w:r>
      <w:r w:rsidRPr="00232509" w:rsidR="00256EE3">
        <w:rPr>
          <w:rFonts w:ascii="Times New Roman" w:hAnsi="Times New Roman"/>
          <w:snapToGrid/>
          <w:sz w:val="24"/>
          <w:szCs w:val="24"/>
        </w:rPr>
        <w:t>feedback on their knowledge and skills built through the T/TA,</w:t>
      </w:r>
      <w:r w:rsidRPr="00232509" w:rsidR="00D02585">
        <w:rPr>
          <w:rFonts w:ascii="Times New Roman" w:hAnsi="Times New Roman"/>
          <w:snapToGrid/>
          <w:sz w:val="24"/>
          <w:szCs w:val="24"/>
        </w:rPr>
        <w:t xml:space="preserve"> satisfaction with</w:t>
      </w:r>
      <w:r w:rsidRPr="00232509" w:rsidR="00256EE3">
        <w:rPr>
          <w:rFonts w:ascii="Times New Roman" w:hAnsi="Times New Roman"/>
          <w:snapToGrid/>
          <w:sz w:val="24"/>
          <w:szCs w:val="24"/>
        </w:rPr>
        <w:t xml:space="preserve"> </w:t>
      </w:r>
      <w:r w:rsidRPr="00232509" w:rsidR="00D02585">
        <w:rPr>
          <w:rFonts w:ascii="Times New Roman" w:hAnsi="Times New Roman"/>
          <w:snapToGrid/>
          <w:sz w:val="24"/>
          <w:szCs w:val="24"/>
        </w:rPr>
        <w:t xml:space="preserve">the T/TA delivery, </w:t>
      </w:r>
      <w:r w:rsidRPr="00232509" w:rsidR="00A50507">
        <w:rPr>
          <w:rFonts w:ascii="Times New Roman" w:hAnsi="Times New Roman"/>
          <w:snapToGrid/>
          <w:sz w:val="24"/>
          <w:szCs w:val="24"/>
        </w:rPr>
        <w:t xml:space="preserve">relevance to their work, and suggestions for improvements for future deliveries. </w:t>
      </w:r>
      <w:r w:rsidRPr="00232509" w:rsidR="009A3CF5">
        <w:rPr>
          <w:rFonts w:ascii="Times New Roman" w:hAnsi="Times New Roman"/>
          <w:snapToGrid/>
          <w:sz w:val="24"/>
          <w:szCs w:val="24"/>
        </w:rPr>
        <w:t xml:space="preserve">SOAR </w:t>
      </w:r>
      <w:r w:rsidRPr="00232509" w:rsidR="00941CA7">
        <w:rPr>
          <w:rFonts w:ascii="Times New Roman" w:hAnsi="Times New Roman"/>
          <w:snapToGrid/>
          <w:sz w:val="24"/>
          <w:szCs w:val="24"/>
        </w:rPr>
        <w:t>Tier I</w:t>
      </w:r>
      <w:r w:rsidRPr="00232509" w:rsidR="009A3CF5">
        <w:rPr>
          <w:rFonts w:ascii="Times New Roman" w:hAnsi="Times New Roman"/>
          <w:snapToGrid/>
          <w:sz w:val="24"/>
          <w:szCs w:val="24"/>
        </w:rPr>
        <w:t xml:space="preserve"> participants </w:t>
      </w:r>
      <w:r w:rsidRPr="00232509" w:rsidR="00941CA7">
        <w:rPr>
          <w:rFonts w:ascii="Times New Roman" w:hAnsi="Times New Roman"/>
          <w:snapToGrid/>
          <w:sz w:val="24"/>
          <w:szCs w:val="24"/>
        </w:rPr>
        <w:t>seeking continuing education credit</w:t>
      </w:r>
      <w:r w:rsidRPr="00232509" w:rsidR="00E61DC7">
        <w:rPr>
          <w:rFonts w:ascii="Times New Roman" w:hAnsi="Times New Roman"/>
          <w:snapToGrid/>
          <w:sz w:val="24"/>
          <w:szCs w:val="24"/>
        </w:rPr>
        <w:t xml:space="preserve"> must complete the pre- and post</w:t>
      </w:r>
      <w:r w:rsidR="00681A8C">
        <w:rPr>
          <w:rFonts w:ascii="Times New Roman" w:hAnsi="Times New Roman"/>
          <w:snapToGrid/>
          <w:sz w:val="24"/>
          <w:szCs w:val="24"/>
        </w:rPr>
        <w:t>-</w:t>
      </w:r>
      <w:r w:rsidR="00ED7FA5">
        <w:rPr>
          <w:rFonts w:ascii="Times New Roman" w:hAnsi="Times New Roman"/>
          <w:snapToGrid/>
          <w:sz w:val="24"/>
          <w:szCs w:val="24"/>
        </w:rPr>
        <w:t xml:space="preserve">training </w:t>
      </w:r>
      <w:r w:rsidRPr="00232509" w:rsidR="00E61DC7">
        <w:rPr>
          <w:rFonts w:ascii="Times New Roman" w:hAnsi="Times New Roman"/>
          <w:snapToGrid/>
          <w:sz w:val="24"/>
          <w:szCs w:val="24"/>
        </w:rPr>
        <w:t>test</w:t>
      </w:r>
      <w:r w:rsidR="00ED7FA5">
        <w:rPr>
          <w:rFonts w:ascii="Times New Roman" w:hAnsi="Times New Roman"/>
          <w:snapToGrid/>
          <w:sz w:val="24"/>
          <w:szCs w:val="24"/>
        </w:rPr>
        <w:t>s</w:t>
      </w:r>
      <w:r w:rsidRPr="00232509" w:rsidR="00392C15">
        <w:rPr>
          <w:rFonts w:ascii="Times New Roman" w:hAnsi="Times New Roman"/>
          <w:snapToGrid/>
          <w:sz w:val="24"/>
          <w:szCs w:val="24"/>
        </w:rPr>
        <w:t xml:space="preserve">, which are </w:t>
      </w:r>
      <w:r w:rsidRPr="00232509" w:rsidR="006C0673">
        <w:rPr>
          <w:rFonts w:ascii="Times New Roman" w:hAnsi="Times New Roman"/>
          <w:snapToGrid/>
          <w:sz w:val="24"/>
          <w:szCs w:val="24"/>
        </w:rPr>
        <w:t xml:space="preserve">composed </w:t>
      </w:r>
      <w:r w:rsidRPr="00232509" w:rsidR="00392C15">
        <w:rPr>
          <w:rFonts w:ascii="Times New Roman" w:hAnsi="Times New Roman"/>
          <w:snapToGrid/>
          <w:sz w:val="24"/>
          <w:szCs w:val="24"/>
        </w:rPr>
        <w:t>of the same questions,</w:t>
      </w:r>
      <w:r w:rsidRPr="00232509" w:rsidR="00E61DC7">
        <w:rPr>
          <w:rFonts w:ascii="Times New Roman" w:hAnsi="Times New Roman"/>
          <w:snapToGrid/>
          <w:sz w:val="24"/>
          <w:szCs w:val="24"/>
        </w:rPr>
        <w:t xml:space="preserve"> to receive credit</w:t>
      </w:r>
      <w:r w:rsidRPr="00232509" w:rsidR="00392C15">
        <w:rPr>
          <w:rFonts w:ascii="Times New Roman" w:hAnsi="Times New Roman"/>
          <w:snapToGrid/>
          <w:sz w:val="24"/>
          <w:szCs w:val="24"/>
        </w:rPr>
        <w:t>.</w:t>
      </w:r>
      <w:r w:rsidRPr="00232509" w:rsidR="006C0E6A">
        <w:rPr>
          <w:rFonts w:ascii="Times New Roman" w:hAnsi="Times New Roman"/>
          <w:snapToGrid/>
          <w:sz w:val="24"/>
          <w:szCs w:val="24"/>
        </w:rPr>
        <w:t xml:space="preserve"> </w:t>
      </w:r>
    </w:p>
    <w:p w:rsidR="003C4664" w:rsidRPr="00232509" w:rsidP="00730227" w14:paraId="2EBB1FC3" w14:textId="77777777">
      <w:pPr>
        <w:widowControl/>
        <w:ind w:left="360"/>
        <w:rPr>
          <w:rFonts w:ascii="Times New Roman" w:hAnsi="Times New Roman"/>
          <w:snapToGrid/>
          <w:sz w:val="24"/>
          <w:szCs w:val="24"/>
        </w:rPr>
      </w:pPr>
    </w:p>
    <w:p w:rsidR="003C4664" w:rsidRPr="00232509" w:rsidP="003C4664" w14:paraId="620E0EB1" w14:textId="6D547483">
      <w:pPr>
        <w:widowControl/>
        <w:ind w:left="360"/>
        <w:rPr>
          <w:rFonts w:ascii="Times New Roman" w:hAnsi="Times New Roman"/>
          <w:snapToGrid/>
          <w:sz w:val="24"/>
          <w:szCs w:val="24"/>
        </w:rPr>
      </w:pPr>
      <w:r w:rsidRPr="00232509">
        <w:rPr>
          <w:rFonts w:ascii="Times New Roman" w:hAnsi="Times New Roman"/>
          <w:i/>
          <w:iCs/>
          <w:snapToGrid/>
          <w:sz w:val="24"/>
          <w:szCs w:val="24"/>
        </w:rPr>
        <w:t xml:space="preserve">Intensive T/TA Participant Feedback </w:t>
      </w:r>
      <w:r w:rsidR="001F7317">
        <w:rPr>
          <w:rFonts w:ascii="Times New Roman" w:hAnsi="Times New Roman"/>
          <w:i/>
          <w:iCs/>
          <w:snapToGrid/>
          <w:sz w:val="24"/>
          <w:szCs w:val="24"/>
        </w:rPr>
        <w:br/>
      </w:r>
      <w:r w:rsidRPr="00232509" w:rsidR="00A53C5A">
        <w:rPr>
          <w:rFonts w:ascii="Times New Roman" w:hAnsi="Times New Roman"/>
          <w:snapToGrid/>
          <w:sz w:val="24"/>
          <w:szCs w:val="24"/>
        </w:rPr>
        <w:t>Individuals</w:t>
      </w:r>
      <w:r w:rsidRPr="00232509" w:rsidR="00AE45DD">
        <w:rPr>
          <w:rFonts w:ascii="Times New Roman" w:hAnsi="Times New Roman"/>
          <w:snapToGrid/>
          <w:sz w:val="24"/>
          <w:szCs w:val="24"/>
        </w:rPr>
        <w:t xml:space="preserve"> who participate in NHTTAC’s intensive T/TA </w:t>
      </w:r>
      <w:r w:rsidRPr="00232509" w:rsidR="00BB4506">
        <w:rPr>
          <w:rFonts w:ascii="Times New Roman" w:hAnsi="Times New Roman"/>
          <w:snapToGrid/>
          <w:sz w:val="24"/>
          <w:szCs w:val="24"/>
        </w:rPr>
        <w:t>offerings</w:t>
      </w:r>
      <w:r w:rsidR="00F8341A">
        <w:rPr>
          <w:rFonts w:ascii="Times New Roman" w:hAnsi="Times New Roman"/>
          <w:snapToGrid/>
          <w:sz w:val="24"/>
          <w:szCs w:val="24"/>
        </w:rPr>
        <w:t>—</w:t>
      </w:r>
      <w:r w:rsidRPr="00232509" w:rsidR="00BB4506">
        <w:rPr>
          <w:rFonts w:ascii="Times New Roman" w:hAnsi="Times New Roman"/>
          <w:snapToGrid/>
          <w:sz w:val="24"/>
          <w:szCs w:val="24"/>
        </w:rPr>
        <w:t xml:space="preserve">including </w:t>
      </w:r>
      <w:r w:rsidRPr="00232509" w:rsidR="00740352">
        <w:rPr>
          <w:rFonts w:ascii="Times New Roman" w:hAnsi="Times New Roman"/>
          <w:snapToGrid/>
          <w:sz w:val="24"/>
          <w:szCs w:val="24"/>
        </w:rPr>
        <w:t>SOAR for Organizations, SOAR for Communities, and other specialized T/TA</w:t>
      </w:r>
      <w:r w:rsidR="00037E91">
        <w:rPr>
          <w:rFonts w:ascii="Times New Roman" w:hAnsi="Times New Roman"/>
          <w:snapToGrid/>
          <w:sz w:val="24"/>
          <w:szCs w:val="24"/>
        </w:rPr>
        <w:t xml:space="preserve"> including intensive T/TA offerings for SOAR </w:t>
      </w:r>
      <w:r w:rsidR="000942FA">
        <w:rPr>
          <w:rFonts w:ascii="Times New Roman" w:hAnsi="Times New Roman"/>
          <w:snapToGrid/>
          <w:sz w:val="24"/>
          <w:szCs w:val="24"/>
        </w:rPr>
        <w:t>Demonstration Grant recipients</w:t>
      </w:r>
      <w:r w:rsidR="00F8341A">
        <w:rPr>
          <w:rFonts w:ascii="Times New Roman" w:hAnsi="Times New Roman"/>
          <w:snapToGrid/>
          <w:sz w:val="24"/>
          <w:szCs w:val="24"/>
        </w:rPr>
        <w:t>—</w:t>
      </w:r>
      <w:r w:rsidRPr="00232509" w:rsidR="00740352">
        <w:rPr>
          <w:rFonts w:ascii="Times New Roman" w:hAnsi="Times New Roman"/>
          <w:snapToGrid/>
          <w:sz w:val="24"/>
          <w:szCs w:val="24"/>
        </w:rPr>
        <w:t xml:space="preserve">are asked to complete the Intensive </w:t>
      </w:r>
      <w:r w:rsidR="00F8341A">
        <w:rPr>
          <w:rFonts w:ascii="Times New Roman" w:hAnsi="Times New Roman"/>
          <w:snapToGrid/>
          <w:sz w:val="24"/>
          <w:szCs w:val="24"/>
        </w:rPr>
        <w:t xml:space="preserve">T/TA </w:t>
      </w:r>
      <w:r w:rsidRPr="00232509" w:rsidR="00740352">
        <w:rPr>
          <w:rFonts w:ascii="Times New Roman" w:hAnsi="Times New Roman"/>
          <w:snapToGrid/>
          <w:sz w:val="24"/>
          <w:szCs w:val="24"/>
        </w:rPr>
        <w:t>Pre</w:t>
      </w:r>
      <w:r w:rsidR="00A80493">
        <w:rPr>
          <w:rFonts w:ascii="Times New Roman" w:hAnsi="Times New Roman"/>
          <w:snapToGrid/>
          <w:sz w:val="24"/>
          <w:szCs w:val="24"/>
        </w:rPr>
        <w:t>-T</w:t>
      </w:r>
      <w:r w:rsidRPr="00232509" w:rsidR="003C5F46">
        <w:rPr>
          <w:rFonts w:ascii="Times New Roman" w:hAnsi="Times New Roman"/>
          <w:snapToGrid/>
          <w:sz w:val="24"/>
          <w:szCs w:val="24"/>
        </w:rPr>
        <w:t>raining</w:t>
      </w:r>
      <w:r w:rsidRPr="00232509" w:rsidR="00740352">
        <w:rPr>
          <w:rFonts w:ascii="Times New Roman" w:hAnsi="Times New Roman"/>
          <w:snapToGrid/>
          <w:sz w:val="24"/>
          <w:szCs w:val="24"/>
        </w:rPr>
        <w:t>, Mid</w:t>
      </w:r>
      <w:r w:rsidRPr="00232509" w:rsidR="00775334">
        <w:rPr>
          <w:rFonts w:ascii="Times New Roman" w:hAnsi="Times New Roman"/>
          <w:snapToGrid/>
          <w:sz w:val="24"/>
          <w:szCs w:val="24"/>
        </w:rPr>
        <w:t>-</w:t>
      </w:r>
      <w:r w:rsidRPr="00232509" w:rsidR="00DD301D">
        <w:rPr>
          <w:rFonts w:ascii="Times New Roman" w:hAnsi="Times New Roman"/>
          <w:snapToGrid/>
          <w:sz w:val="24"/>
          <w:szCs w:val="24"/>
        </w:rPr>
        <w:t>S</w:t>
      </w:r>
      <w:r w:rsidRPr="00232509" w:rsidR="00740352">
        <w:rPr>
          <w:rFonts w:ascii="Times New Roman" w:hAnsi="Times New Roman"/>
          <w:snapToGrid/>
          <w:sz w:val="24"/>
          <w:szCs w:val="24"/>
        </w:rPr>
        <w:t>tream, and Post</w:t>
      </w:r>
      <w:r w:rsidR="00A80493">
        <w:rPr>
          <w:rFonts w:ascii="Times New Roman" w:hAnsi="Times New Roman"/>
          <w:snapToGrid/>
          <w:sz w:val="24"/>
          <w:szCs w:val="24"/>
        </w:rPr>
        <w:t>-</w:t>
      </w:r>
      <w:r w:rsidR="00483434">
        <w:rPr>
          <w:rFonts w:ascii="Times New Roman" w:hAnsi="Times New Roman"/>
          <w:snapToGrid/>
          <w:sz w:val="24"/>
          <w:szCs w:val="24"/>
        </w:rPr>
        <w:t>T</w:t>
      </w:r>
      <w:r w:rsidRPr="00232509" w:rsidR="003C5F46">
        <w:rPr>
          <w:rFonts w:ascii="Times New Roman" w:hAnsi="Times New Roman"/>
          <w:snapToGrid/>
          <w:sz w:val="24"/>
          <w:szCs w:val="24"/>
        </w:rPr>
        <w:t>raining</w:t>
      </w:r>
      <w:r w:rsidRPr="00232509" w:rsidR="00740352">
        <w:rPr>
          <w:rFonts w:ascii="Times New Roman" w:hAnsi="Times New Roman"/>
          <w:snapToGrid/>
          <w:sz w:val="24"/>
          <w:szCs w:val="24"/>
        </w:rPr>
        <w:t xml:space="preserve"> </w:t>
      </w:r>
      <w:r w:rsidRPr="00232509" w:rsidR="00DD301D">
        <w:rPr>
          <w:rFonts w:ascii="Times New Roman" w:hAnsi="Times New Roman"/>
          <w:snapToGrid/>
          <w:sz w:val="24"/>
          <w:szCs w:val="24"/>
        </w:rPr>
        <w:t>Surveys</w:t>
      </w:r>
      <w:r w:rsidRPr="00232509" w:rsidR="00740352">
        <w:rPr>
          <w:rFonts w:ascii="Times New Roman" w:hAnsi="Times New Roman"/>
          <w:snapToGrid/>
          <w:sz w:val="24"/>
          <w:szCs w:val="24"/>
        </w:rPr>
        <w:t xml:space="preserve">. The </w:t>
      </w:r>
      <w:r w:rsidRPr="00232509" w:rsidR="00DD301D">
        <w:rPr>
          <w:rFonts w:ascii="Times New Roman" w:hAnsi="Times New Roman"/>
          <w:snapToGrid/>
          <w:sz w:val="24"/>
          <w:szCs w:val="24"/>
        </w:rPr>
        <w:t>P</w:t>
      </w:r>
      <w:r w:rsidRPr="00232509" w:rsidR="00D9799E">
        <w:rPr>
          <w:rFonts w:ascii="Times New Roman" w:hAnsi="Times New Roman"/>
          <w:snapToGrid/>
          <w:sz w:val="24"/>
          <w:szCs w:val="24"/>
        </w:rPr>
        <w:t>re</w:t>
      </w:r>
      <w:r w:rsidR="00A80493">
        <w:rPr>
          <w:rFonts w:ascii="Times New Roman" w:hAnsi="Times New Roman"/>
          <w:snapToGrid/>
          <w:sz w:val="24"/>
          <w:szCs w:val="24"/>
        </w:rPr>
        <w:t>-T</w:t>
      </w:r>
      <w:r w:rsidRPr="00232509" w:rsidR="00AF3FAF">
        <w:rPr>
          <w:rFonts w:ascii="Times New Roman" w:hAnsi="Times New Roman"/>
          <w:snapToGrid/>
          <w:sz w:val="24"/>
          <w:szCs w:val="24"/>
        </w:rPr>
        <w:t xml:space="preserve">raining </w:t>
      </w:r>
      <w:r w:rsidRPr="00232509" w:rsidR="00DD301D">
        <w:rPr>
          <w:rFonts w:ascii="Times New Roman" w:hAnsi="Times New Roman"/>
          <w:snapToGrid/>
          <w:sz w:val="24"/>
          <w:szCs w:val="24"/>
        </w:rPr>
        <w:t>S</w:t>
      </w:r>
      <w:r w:rsidRPr="00232509" w:rsidR="00D9799E">
        <w:rPr>
          <w:rFonts w:ascii="Times New Roman" w:hAnsi="Times New Roman"/>
          <w:snapToGrid/>
          <w:sz w:val="24"/>
          <w:szCs w:val="24"/>
        </w:rPr>
        <w:t xml:space="preserve">urvey asks participants to </w:t>
      </w:r>
      <w:r w:rsidRPr="00232509" w:rsidR="00AF3FAF">
        <w:rPr>
          <w:rFonts w:ascii="Times New Roman" w:hAnsi="Times New Roman"/>
          <w:snapToGrid/>
          <w:sz w:val="24"/>
          <w:szCs w:val="24"/>
        </w:rPr>
        <w:t xml:space="preserve">provide their </w:t>
      </w:r>
      <w:r w:rsidRPr="00232509" w:rsidR="00CB1203">
        <w:rPr>
          <w:rFonts w:ascii="Times New Roman" w:hAnsi="Times New Roman"/>
          <w:snapToGrid/>
          <w:sz w:val="24"/>
          <w:szCs w:val="24"/>
        </w:rPr>
        <w:t xml:space="preserve">levels of knowledge and skill in the competencies to be taught through the T/TA, </w:t>
      </w:r>
      <w:r w:rsidR="00347267">
        <w:rPr>
          <w:rFonts w:ascii="Times New Roman" w:hAnsi="Times New Roman"/>
          <w:snapToGrid/>
          <w:sz w:val="24"/>
          <w:szCs w:val="24"/>
        </w:rPr>
        <w:t xml:space="preserve">ability to </w:t>
      </w:r>
      <w:r w:rsidRPr="00232509" w:rsidR="00CB1203">
        <w:rPr>
          <w:rFonts w:ascii="Times New Roman" w:hAnsi="Times New Roman"/>
          <w:snapToGrid/>
          <w:sz w:val="24"/>
          <w:szCs w:val="24"/>
        </w:rPr>
        <w:t xml:space="preserve">apply </w:t>
      </w:r>
      <w:r w:rsidRPr="00232509" w:rsidR="00775334">
        <w:rPr>
          <w:rFonts w:ascii="Times New Roman" w:hAnsi="Times New Roman"/>
          <w:snapToGrid/>
          <w:sz w:val="24"/>
          <w:szCs w:val="24"/>
        </w:rPr>
        <w:t>NHTTAC’s guiding principles in their work, and satisfaction with planning for the T/TA. The Mid-</w:t>
      </w:r>
      <w:r w:rsidRPr="00232509" w:rsidR="00DD301D">
        <w:rPr>
          <w:rFonts w:ascii="Times New Roman" w:hAnsi="Times New Roman"/>
          <w:snapToGrid/>
          <w:sz w:val="24"/>
          <w:szCs w:val="24"/>
        </w:rPr>
        <w:t>S</w:t>
      </w:r>
      <w:r w:rsidRPr="00232509" w:rsidR="00775334">
        <w:rPr>
          <w:rFonts w:ascii="Times New Roman" w:hAnsi="Times New Roman"/>
          <w:snapToGrid/>
          <w:sz w:val="24"/>
          <w:szCs w:val="24"/>
        </w:rPr>
        <w:t xml:space="preserve">tream </w:t>
      </w:r>
      <w:r w:rsidRPr="00232509" w:rsidR="00DD301D">
        <w:rPr>
          <w:rFonts w:ascii="Times New Roman" w:hAnsi="Times New Roman"/>
          <w:snapToGrid/>
          <w:sz w:val="24"/>
          <w:szCs w:val="24"/>
        </w:rPr>
        <w:t>S</w:t>
      </w:r>
      <w:r w:rsidRPr="00232509" w:rsidR="00775334">
        <w:rPr>
          <w:rFonts w:ascii="Times New Roman" w:hAnsi="Times New Roman"/>
          <w:snapToGrid/>
          <w:sz w:val="24"/>
          <w:szCs w:val="24"/>
        </w:rPr>
        <w:t>urvey</w:t>
      </w:r>
      <w:r w:rsidRPr="00232509" w:rsidR="002859C4">
        <w:rPr>
          <w:rFonts w:ascii="Times New Roman" w:hAnsi="Times New Roman"/>
          <w:snapToGrid/>
          <w:sz w:val="24"/>
          <w:szCs w:val="24"/>
        </w:rPr>
        <w:t xml:space="preserve">, to be </w:t>
      </w:r>
      <w:r w:rsidRPr="00232509" w:rsidR="001240CA">
        <w:rPr>
          <w:rFonts w:ascii="Times New Roman" w:hAnsi="Times New Roman"/>
          <w:snapToGrid/>
          <w:sz w:val="24"/>
          <w:szCs w:val="24"/>
        </w:rPr>
        <w:t xml:space="preserve">deployed during the </w:t>
      </w:r>
      <w:r w:rsidR="005808E7">
        <w:rPr>
          <w:rFonts w:ascii="Times New Roman" w:hAnsi="Times New Roman"/>
          <w:snapToGrid/>
          <w:sz w:val="24"/>
          <w:szCs w:val="24"/>
        </w:rPr>
        <w:t>intensive</w:t>
      </w:r>
      <w:r w:rsidRPr="00232509" w:rsidR="001240CA">
        <w:rPr>
          <w:rFonts w:ascii="Times New Roman" w:hAnsi="Times New Roman"/>
          <w:snapToGrid/>
          <w:sz w:val="24"/>
          <w:szCs w:val="24"/>
        </w:rPr>
        <w:t xml:space="preserve"> T/TA,</w:t>
      </w:r>
      <w:r w:rsidRPr="00232509" w:rsidR="00775334">
        <w:rPr>
          <w:rFonts w:ascii="Times New Roman" w:hAnsi="Times New Roman"/>
          <w:snapToGrid/>
          <w:sz w:val="24"/>
          <w:szCs w:val="24"/>
        </w:rPr>
        <w:t xml:space="preserve"> asks participants to provide </w:t>
      </w:r>
      <w:r w:rsidRPr="00232509" w:rsidR="002859C4">
        <w:rPr>
          <w:rFonts w:ascii="Times New Roman" w:hAnsi="Times New Roman"/>
          <w:snapToGrid/>
          <w:sz w:val="24"/>
          <w:szCs w:val="24"/>
        </w:rPr>
        <w:t xml:space="preserve">ratings of </w:t>
      </w:r>
      <w:r w:rsidRPr="00232509" w:rsidR="00775334">
        <w:rPr>
          <w:rFonts w:ascii="Times New Roman" w:hAnsi="Times New Roman"/>
          <w:snapToGrid/>
          <w:sz w:val="24"/>
          <w:szCs w:val="24"/>
        </w:rPr>
        <w:t xml:space="preserve">readiness </w:t>
      </w:r>
      <w:r w:rsidRPr="00232509" w:rsidR="002859C4">
        <w:rPr>
          <w:rFonts w:ascii="Times New Roman" w:hAnsi="Times New Roman"/>
          <w:snapToGrid/>
          <w:sz w:val="24"/>
          <w:szCs w:val="24"/>
        </w:rPr>
        <w:t>for the T/TA activities and provide open-ended feedback on improvements for the T/TA offerings.</w:t>
      </w:r>
      <w:r w:rsidRPr="00232509" w:rsidR="001240CA">
        <w:rPr>
          <w:rFonts w:ascii="Times New Roman" w:hAnsi="Times New Roman"/>
          <w:snapToGrid/>
          <w:sz w:val="24"/>
          <w:szCs w:val="24"/>
        </w:rPr>
        <w:t xml:space="preserve"> </w:t>
      </w:r>
      <w:r w:rsidRPr="00232509" w:rsidR="00BD4403">
        <w:rPr>
          <w:rFonts w:ascii="Times New Roman" w:hAnsi="Times New Roman"/>
          <w:snapToGrid/>
          <w:sz w:val="24"/>
          <w:szCs w:val="24"/>
        </w:rPr>
        <w:t>The Post</w:t>
      </w:r>
      <w:r w:rsidR="00483434">
        <w:rPr>
          <w:rFonts w:ascii="Times New Roman" w:hAnsi="Times New Roman"/>
          <w:snapToGrid/>
          <w:sz w:val="24"/>
          <w:szCs w:val="24"/>
        </w:rPr>
        <w:t>-T</w:t>
      </w:r>
      <w:r w:rsidRPr="00232509" w:rsidR="00BD4403">
        <w:rPr>
          <w:rFonts w:ascii="Times New Roman" w:hAnsi="Times New Roman"/>
          <w:snapToGrid/>
          <w:sz w:val="24"/>
          <w:szCs w:val="24"/>
        </w:rPr>
        <w:t xml:space="preserve">raining </w:t>
      </w:r>
      <w:r w:rsidRPr="00232509" w:rsidR="00DD301D">
        <w:rPr>
          <w:rFonts w:ascii="Times New Roman" w:hAnsi="Times New Roman"/>
          <w:snapToGrid/>
          <w:sz w:val="24"/>
          <w:szCs w:val="24"/>
        </w:rPr>
        <w:t>S</w:t>
      </w:r>
      <w:r w:rsidRPr="00232509" w:rsidR="00BD4403">
        <w:rPr>
          <w:rFonts w:ascii="Times New Roman" w:hAnsi="Times New Roman"/>
          <w:snapToGrid/>
          <w:sz w:val="24"/>
          <w:szCs w:val="24"/>
        </w:rPr>
        <w:t>urvey</w:t>
      </w:r>
      <w:r w:rsidRPr="00232509" w:rsidR="00E456F2">
        <w:rPr>
          <w:rFonts w:ascii="Times New Roman" w:hAnsi="Times New Roman"/>
          <w:snapToGrid/>
          <w:sz w:val="24"/>
          <w:szCs w:val="24"/>
        </w:rPr>
        <w:t>, to be deployed following completion of the intensive T/TA, asks participants to provide their levels of knowledge and skill in the competencies taught through the T/TA, abili</w:t>
      </w:r>
      <w:r w:rsidRPr="00232509" w:rsidR="00D149A8">
        <w:rPr>
          <w:rFonts w:ascii="Times New Roman" w:hAnsi="Times New Roman"/>
          <w:snapToGrid/>
          <w:sz w:val="24"/>
          <w:szCs w:val="24"/>
        </w:rPr>
        <w:t xml:space="preserve">ty to apply NHTTAC’s guiding principles in their work, </w:t>
      </w:r>
      <w:r w:rsidRPr="00232509" w:rsidR="00CB600B">
        <w:rPr>
          <w:rFonts w:ascii="Times New Roman" w:hAnsi="Times New Roman"/>
          <w:snapToGrid/>
          <w:sz w:val="24"/>
          <w:szCs w:val="24"/>
        </w:rPr>
        <w:t>satisfaction with the T/TA and facilitators, progress made on T/TA plan goals, and relevance to their work.</w:t>
      </w:r>
    </w:p>
    <w:p w:rsidR="003C4664" w:rsidRPr="00232509" w:rsidP="003C4664" w14:paraId="78F12C9D" w14:textId="77777777">
      <w:pPr>
        <w:widowControl/>
        <w:ind w:left="360"/>
        <w:rPr>
          <w:rFonts w:ascii="Times New Roman" w:hAnsi="Times New Roman"/>
          <w:snapToGrid/>
          <w:sz w:val="24"/>
          <w:szCs w:val="24"/>
        </w:rPr>
      </w:pPr>
    </w:p>
    <w:p w:rsidR="003C4664" w:rsidRPr="00232509" w:rsidP="003C4664" w14:paraId="43A008C5" w14:textId="72F12311">
      <w:pPr>
        <w:widowControl/>
        <w:ind w:left="360"/>
        <w:rPr>
          <w:rFonts w:ascii="Times New Roman" w:hAnsi="Times New Roman"/>
          <w:snapToGrid/>
          <w:sz w:val="24"/>
          <w:szCs w:val="24"/>
        </w:rPr>
      </w:pPr>
      <w:r w:rsidRPr="00232509">
        <w:rPr>
          <w:rFonts w:ascii="Times New Roman" w:hAnsi="Times New Roman"/>
          <w:i/>
          <w:iCs/>
          <w:snapToGrid/>
          <w:sz w:val="24"/>
          <w:szCs w:val="24"/>
        </w:rPr>
        <w:t>Follow</w:t>
      </w:r>
      <w:r w:rsidRPr="00232509" w:rsidR="00DD301D">
        <w:rPr>
          <w:rFonts w:ascii="Times New Roman" w:hAnsi="Times New Roman"/>
          <w:i/>
          <w:iCs/>
          <w:snapToGrid/>
          <w:sz w:val="24"/>
          <w:szCs w:val="24"/>
        </w:rPr>
        <w:t>-</w:t>
      </w:r>
      <w:r w:rsidRPr="00232509">
        <w:rPr>
          <w:rFonts w:ascii="Times New Roman" w:hAnsi="Times New Roman"/>
          <w:i/>
          <w:iCs/>
          <w:snapToGrid/>
          <w:sz w:val="24"/>
          <w:szCs w:val="24"/>
        </w:rPr>
        <w:t>Up Feedback</w:t>
      </w:r>
      <w:r w:rsidR="001F7317">
        <w:rPr>
          <w:rFonts w:ascii="Times New Roman" w:hAnsi="Times New Roman"/>
          <w:i/>
          <w:iCs/>
          <w:snapToGrid/>
          <w:sz w:val="24"/>
          <w:szCs w:val="24"/>
        </w:rPr>
        <w:br/>
      </w:r>
      <w:r w:rsidRPr="00232509" w:rsidR="00716F45">
        <w:rPr>
          <w:rFonts w:ascii="Times New Roman" w:hAnsi="Times New Roman"/>
          <w:snapToGrid/>
          <w:sz w:val="24"/>
          <w:szCs w:val="24"/>
        </w:rPr>
        <w:t xml:space="preserve">Individuals who participate in NHTTAC’s short-term and </w:t>
      </w:r>
      <w:r w:rsidRPr="00232509" w:rsidR="004051F6">
        <w:rPr>
          <w:rFonts w:ascii="Times New Roman" w:hAnsi="Times New Roman"/>
          <w:snapToGrid/>
          <w:sz w:val="24"/>
          <w:szCs w:val="24"/>
        </w:rPr>
        <w:t xml:space="preserve">intensive T/TA offerings are asked to provide detailed feedback about outcomes in intervals of </w:t>
      </w:r>
      <w:r w:rsidRPr="00232509" w:rsidR="00BE5FA6">
        <w:rPr>
          <w:rFonts w:ascii="Times New Roman" w:hAnsi="Times New Roman"/>
          <w:snapToGrid/>
          <w:sz w:val="24"/>
          <w:szCs w:val="24"/>
        </w:rPr>
        <w:t>3, 6, 9, or 12</w:t>
      </w:r>
      <w:r w:rsidRPr="00232509" w:rsidR="00DD301D">
        <w:rPr>
          <w:rFonts w:ascii="Times New Roman" w:hAnsi="Times New Roman"/>
          <w:snapToGrid/>
          <w:sz w:val="24"/>
          <w:szCs w:val="24"/>
        </w:rPr>
        <w:t xml:space="preserve"> </w:t>
      </w:r>
      <w:r w:rsidRPr="00232509" w:rsidR="00BE5FA6">
        <w:rPr>
          <w:rFonts w:ascii="Times New Roman" w:hAnsi="Times New Roman"/>
          <w:snapToGrid/>
          <w:sz w:val="24"/>
          <w:szCs w:val="24"/>
        </w:rPr>
        <w:t>months</w:t>
      </w:r>
      <w:r w:rsidRPr="00232509" w:rsidR="004051F6">
        <w:rPr>
          <w:rFonts w:ascii="Times New Roman" w:hAnsi="Times New Roman"/>
          <w:snapToGrid/>
          <w:sz w:val="24"/>
          <w:szCs w:val="24"/>
        </w:rPr>
        <w:t xml:space="preserve"> following completion </w:t>
      </w:r>
      <w:r w:rsidRPr="00232509" w:rsidR="00DD301D">
        <w:rPr>
          <w:rFonts w:ascii="Times New Roman" w:hAnsi="Times New Roman"/>
          <w:snapToGrid/>
          <w:sz w:val="24"/>
          <w:szCs w:val="24"/>
        </w:rPr>
        <w:t xml:space="preserve">of </w:t>
      </w:r>
      <w:r w:rsidR="006E5611">
        <w:rPr>
          <w:rFonts w:ascii="Times New Roman" w:hAnsi="Times New Roman"/>
          <w:snapToGrid/>
          <w:sz w:val="24"/>
          <w:szCs w:val="24"/>
        </w:rPr>
        <w:t xml:space="preserve">the </w:t>
      </w:r>
      <w:r w:rsidRPr="00232509" w:rsidR="004051F6">
        <w:rPr>
          <w:rFonts w:ascii="Times New Roman" w:hAnsi="Times New Roman"/>
          <w:snapToGrid/>
          <w:sz w:val="24"/>
          <w:szCs w:val="24"/>
        </w:rPr>
        <w:t xml:space="preserve">T/TA. </w:t>
      </w:r>
      <w:r w:rsidRPr="00232509" w:rsidR="00E04400">
        <w:rPr>
          <w:rFonts w:ascii="Times New Roman" w:hAnsi="Times New Roman"/>
          <w:snapToGrid/>
          <w:sz w:val="24"/>
          <w:szCs w:val="24"/>
        </w:rPr>
        <w:t>Participants are asked to provide feedback on their application of competencies, impact of the T/TA,</w:t>
      </w:r>
      <w:r w:rsidRPr="00232509" w:rsidR="00C75C50">
        <w:rPr>
          <w:rFonts w:ascii="Times New Roman" w:hAnsi="Times New Roman"/>
          <w:snapToGrid/>
          <w:sz w:val="24"/>
          <w:szCs w:val="24"/>
        </w:rPr>
        <w:t xml:space="preserve"> and suggestions for follow-on support in the future.</w:t>
      </w:r>
    </w:p>
    <w:p w:rsidR="003C4664" w:rsidRPr="00232509" w:rsidP="003C4664" w14:paraId="4B4DD990" w14:textId="77777777">
      <w:pPr>
        <w:widowControl/>
        <w:ind w:left="360"/>
        <w:rPr>
          <w:rFonts w:ascii="Times New Roman" w:hAnsi="Times New Roman"/>
          <w:snapToGrid/>
          <w:sz w:val="24"/>
          <w:szCs w:val="24"/>
        </w:rPr>
      </w:pPr>
    </w:p>
    <w:p w:rsidR="003C4664" w:rsidRPr="00232509" w:rsidP="001F7317" w14:paraId="152A383C" w14:textId="45D320E2">
      <w:pPr>
        <w:widowControl/>
        <w:ind w:left="360"/>
        <w:rPr>
          <w:rFonts w:ascii="Times New Roman" w:hAnsi="Times New Roman"/>
          <w:snapToGrid/>
          <w:sz w:val="24"/>
          <w:szCs w:val="24"/>
        </w:rPr>
      </w:pPr>
      <w:r w:rsidRPr="00232509">
        <w:rPr>
          <w:rFonts w:ascii="Times New Roman" w:hAnsi="Times New Roman"/>
          <w:i/>
          <w:iCs/>
          <w:snapToGrid/>
          <w:sz w:val="24"/>
          <w:szCs w:val="24"/>
        </w:rPr>
        <w:t>Qualitative Guide</w:t>
      </w:r>
      <w:r w:rsidR="001F7317">
        <w:rPr>
          <w:rFonts w:ascii="Times New Roman" w:hAnsi="Times New Roman"/>
          <w:i/>
          <w:iCs/>
          <w:snapToGrid/>
          <w:sz w:val="24"/>
          <w:szCs w:val="24"/>
        </w:rPr>
        <w:br/>
      </w:r>
      <w:r w:rsidRPr="00232509" w:rsidR="007E7D2C">
        <w:rPr>
          <w:rFonts w:ascii="Times New Roman" w:hAnsi="Times New Roman"/>
          <w:snapToGrid/>
          <w:sz w:val="24"/>
          <w:szCs w:val="24"/>
        </w:rPr>
        <w:t xml:space="preserve">The Qualitative Guide is a consolidated list of questions for </w:t>
      </w:r>
      <w:r w:rsidRPr="00232509" w:rsidR="00B40DBC">
        <w:rPr>
          <w:rFonts w:ascii="Times New Roman" w:hAnsi="Times New Roman"/>
          <w:snapToGrid/>
          <w:sz w:val="24"/>
          <w:szCs w:val="24"/>
        </w:rPr>
        <w:t xml:space="preserve">interviews, </w:t>
      </w:r>
      <w:r w:rsidRPr="00232509" w:rsidR="007E7D2C">
        <w:rPr>
          <w:rFonts w:ascii="Times New Roman" w:hAnsi="Times New Roman"/>
          <w:snapToGrid/>
          <w:sz w:val="24"/>
          <w:szCs w:val="24"/>
        </w:rPr>
        <w:t xml:space="preserve">focus groups, </w:t>
      </w:r>
      <w:r w:rsidRPr="00232509" w:rsidR="00B40DBC">
        <w:rPr>
          <w:rFonts w:ascii="Times New Roman" w:hAnsi="Times New Roman"/>
          <w:snapToGrid/>
          <w:sz w:val="24"/>
          <w:szCs w:val="24"/>
        </w:rPr>
        <w:t xml:space="preserve">and listening sessions. The guide contains questions about standard NHTTAC evaluation and special topics/projects, which allows for use in a variety of settings. </w:t>
      </w:r>
      <w:r w:rsidRPr="00232509" w:rsidR="00040268">
        <w:rPr>
          <w:rFonts w:ascii="Times New Roman" w:hAnsi="Times New Roman"/>
          <w:snapToGrid/>
          <w:sz w:val="24"/>
          <w:szCs w:val="24"/>
        </w:rPr>
        <w:t>The guide</w:t>
      </w:r>
      <w:r w:rsidRPr="00232509" w:rsidR="001411B0">
        <w:rPr>
          <w:rFonts w:ascii="Times New Roman" w:hAnsi="Times New Roman"/>
          <w:snapToGrid/>
          <w:sz w:val="24"/>
          <w:szCs w:val="24"/>
        </w:rPr>
        <w:t xml:space="preserve"> contains questions about experiences with T/TA, consultant </w:t>
      </w:r>
      <w:r w:rsidRPr="00232509" w:rsidR="008676ED">
        <w:rPr>
          <w:rFonts w:ascii="Times New Roman" w:hAnsi="Times New Roman"/>
          <w:snapToGrid/>
          <w:sz w:val="24"/>
          <w:szCs w:val="24"/>
        </w:rPr>
        <w:t>feedback</w:t>
      </w:r>
      <w:r w:rsidRPr="7ED91B82" w:rsidR="002C6521">
        <w:rPr>
          <w:rFonts w:ascii="Times New Roman" w:hAnsi="Times New Roman"/>
          <w:sz w:val="24"/>
          <w:szCs w:val="24"/>
        </w:rPr>
        <w:t>,</w:t>
      </w:r>
      <w:r w:rsidRPr="005B5842" w:rsidR="008676ED">
        <w:rPr>
          <w:rFonts w:ascii="Times New Roman" w:hAnsi="Times New Roman"/>
          <w:snapToGrid/>
          <w:sz w:val="24"/>
          <w:szCs w:val="24"/>
        </w:rPr>
        <w:t xml:space="preserve"> </w:t>
      </w:r>
      <w:r w:rsidRPr="7ED91B82" w:rsidR="002C6521">
        <w:rPr>
          <w:rFonts w:ascii="Times New Roman" w:hAnsi="Times New Roman"/>
          <w:sz w:val="24"/>
          <w:szCs w:val="24"/>
        </w:rPr>
        <w:t>SOAR Demonstration G</w:t>
      </w:r>
      <w:r w:rsidRPr="005B5842" w:rsidR="008676ED">
        <w:rPr>
          <w:rFonts w:ascii="Times New Roman" w:hAnsi="Times New Roman"/>
          <w:snapToGrid/>
          <w:sz w:val="24"/>
          <w:szCs w:val="24"/>
        </w:rPr>
        <w:t>rant programming</w:t>
      </w:r>
      <w:r w:rsidRPr="7ED91B82" w:rsidR="008676ED">
        <w:rPr>
          <w:rFonts w:ascii="Times New Roman" w:hAnsi="Times New Roman"/>
          <w:sz w:val="24"/>
          <w:szCs w:val="24"/>
        </w:rPr>
        <w:t>,</w:t>
      </w:r>
      <w:r w:rsidRPr="00232509" w:rsidR="008676ED">
        <w:rPr>
          <w:rFonts w:ascii="Times New Roman" w:hAnsi="Times New Roman"/>
          <w:snapToGrid/>
          <w:sz w:val="24"/>
          <w:szCs w:val="24"/>
        </w:rPr>
        <w:t xml:space="preserve"> service provision, </w:t>
      </w:r>
      <w:r w:rsidRPr="00232509" w:rsidR="00C27839">
        <w:rPr>
          <w:rFonts w:ascii="Times New Roman" w:hAnsi="Times New Roman"/>
          <w:snapToGrid/>
          <w:sz w:val="24"/>
          <w:szCs w:val="24"/>
        </w:rPr>
        <w:t xml:space="preserve">trauma-informed care, peer support, </w:t>
      </w:r>
      <w:r w:rsidRPr="00232509" w:rsidR="00615413">
        <w:rPr>
          <w:rFonts w:ascii="Times New Roman" w:hAnsi="Times New Roman"/>
          <w:snapToGrid/>
          <w:sz w:val="24"/>
          <w:szCs w:val="24"/>
        </w:rPr>
        <w:t xml:space="preserve">and </w:t>
      </w:r>
      <w:r w:rsidRPr="00232509" w:rsidR="00C27839">
        <w:rPr>
          <w:rFonts w:ascii="Times New Roman" w:hAnsi="Times New Roman"/>
          <w:snapToGrid/>
          <w:sz w:val="24"/>
          <w:szCs w:val="24"/>
        </w:rPr>
        <w:t>tools and resources</w:t>
      </w:r>
      <w:r w:rsidRPr="00232509" w:rsidR="00615413">
        <w:rPr>
          <w:rFonts w:ascii="Times New Roman" w:hAnsi="Times New Roman"/>
          <w:snapToGrid/>
          <w:sz w:val="24"/>
          <w:szCs w:val="24"/>
        </w:rPr>
        <w:t>.</w:t>
      </w:r>
      <w:r w:rsidRPr="00232509" w:rsidR="001411B0">
        <w:rPr>
          <w:rFonts w:ascii="Times New Roman" w:hAnsi="Times New Roman"/>
          <w:snapToGrid/>
          <w:sz w:val="24"/>
          <w:szCs w:val="24"/>
        </w:rPr>
        <w:t xml:space="preserve"> </w:t>
      </w:r>
      <w:r w:rsidRPr="007A4312" w:rsidR="007A4312">
        <w:rPr>
          <w:rFonts w:ascii="Times New Roman" w:hAnsi="Times New Roman"/>
          <w:snapToGrid/>
          <w:sz w:val="24"/>
          <w:szCs w:val="24"/>
        </w:rPr>
        <w:t>Potential audiences include short-term and intensive T/TA recipients; NHTTAC consultants; program support staff; service populations; and other practitioners and organizations in health care, behavioral health, public health, and social services.</w:t>
      </w:r>
    </w:p>
    <w:p w:rsidR="003C4664" w:rsidRPr="00232509" w:rsidP="003C4664" w14:paraId="36EAFF5A" w14:textId="77777777">
      <w:pPr>
        <w:widowControl/>
        <w:ind w:left="360"/>
        <w:rPr>
          <w:rFonts w:ascii="Times New Roman" w:hAnsi="Times New Roman"/>
          <w:snapToGrid/>
          <w:sz w:val="24"/>
          <w:szCs w:val="24"/>
        </w:rPr>
      </w:pPr>
    </w:p>
    <w:p w:rsidR="003C4664" w:rsidRPr="00232509" w:rsidP="003C4664" w14:paraId="474FB07C" w14:textId="24024B07">
      <w:pPr>
        <w:widowControl/>
        <w:ind w:left="360"/>
        <w:rPr>
          <w:rFonts w:ascii="Times New Roman" w:hAnsi="Times New Roman"/>
          <w:snapToGrid/>
          <w:sz w:val="24"/>
          <w:szCs w:val="24"/>
        </w:rPr>
      </w:pPr>
      <w:r w:rsidRPr="00232509">
        <w:rPr>
          <w:rFonts w:ascii="Times New Roman" w:hAnsi="Times New Roman"/>
          <w:i/>
          <w:iCs/>
          <w:snapToGrid/>
          <w:sz w:val="24"/>
          <w:szCs w:val="24"/>
        </w:rPr>
        <w:t>Network Survey</w:t>
      </w:r>
      <w:r w:rsidR="001F7317">
        <w:rPr>
          <w:rFonts w:ascii="Times New Roman" w:hAnsi="Times New Roman"/>
          <w:i/>
          <w:iCs/>
          <w:snapToGrid/>
          <w:sz w:val="24"/>
          <w:szCs w:val="24"/>
        </w:rPr>
        <w:br/>
      </w:r>
      <w:r w:rsidRPr="00232509" w:rsidR="004C2307">
        <w:rPr>
          <w:rFonts w:ascii="Times New Roman" w:hAnsi="Times New Roman"/>
          <w:snapToGrid/>
          <w:sz w:val="24"/>
          <w:szCs w:val="24"/>
        </w:rPr>
        <w:t xml:space="preserve">Participants of </w:t>
      </w:r>
      <w:r w:rsidRPr="00232509" w:rsidR="002A2EE0">
        <w:rPr>
          <w:rFonts w:ascii="Times New Roman" w:hAnsi="Times New Roman"/>
          <w:snapToGrid/>
          <w:sz w:val="24"/>
          <w:szCs w:val="24"/>
        </w:rPr>
        <w:t xml:space="preserve">intensive T/TA (e.g., </w:t>
      </w:r>
      <w:r w:rsidRPr="00232509" w:rsidR="00431B8C">
        <w:rPr>
          <w:rFonts w:ascii="Times New Roman" w:hAnsi="Times New Roman"/>
          <w:snapToGrid/>
          <w:sz w:val="24"/>
          <w:szCs w:val="24"/>
        </w:rPr>
        <w:t>SOAR for Organizations, SOAR for Communities</w:t>
      </w:r>
      <w:r w:rsidRPr="7ED91B82" w:rsidR="00F03FEB">
        <w:rPr>
          <w:rFonts w:ascii="Times New Roman" w:hAnsi="Times New Roman"/>
          <w:sz w:val="24"/>
          <w:szCs w:val="24"/>
        </w:rPr>
        <w:t>, intensive T/TA for SOAR Demonstration Grant recipients</w:t>
      </w:r>
      <w:r w:rsidRPr="00232509" w:rsidR="00431B8C">
        <w:rPr>
          <w:rFonts w:ascii="Times New Roman" w:hAnsi="Times New Roman"/>
          <w:snapToGrid/>
          <w:sz w:val="24"/>
          <w:szCs w:val="24"/>
        </w:rPr>
        <w:t>) are asked to provide feedback on workgroup and peer networks</w:t>
      </w:r>
      <w:r w:rsidRPr="00232509" w:rsidR="002917A6">
        <w:rPr>
          <w:rFonts w:ascii="Times New Roman" w:hAnsi="Times New Roman"/>
          <w:snapToGrid/>
          <w:sz w:val="24"/>
          <w:szCs w:val="24"/>
        </w:rPr>
        <w:t xml:space="preserve">. Workgroup measures collect information on collaboration and coordination within a group of organizations or individuals on a common action area. Peer measures </w:t>
      </w:r>
      <w:r w:rsidRPr="00232509" w:rsidR="004062D9">
        <w:rPr>
          <w:rFonts w:ascii="Times New Roman" w:hAnsi="Times New Roman"/>
          <w:snapToGrid/>
          <w:sz w:val="24"/>
          <w:szCs w:val="24"/>
        </w:rPr>
        <w:t>collect information on developing partnerships and coordination efforts of an individual that were a result of the T/TA.</w:t>
      </w:r>
    </w:p>
    <w:p w:rsidR="003C4664" w:rsidRPr="00232509" w:rsidP="003C4664" w14:paraId="1C0E6987" w14:textId="77777777">
      <w:pPr>
        <w:widowControl/>
        <w:ind w:left="360"/>
        <w:rPr>
          <w:rFonts w:ascii="Times New Roman" w:hAnsi="Times New Roman"/>
          <w:snapToGrid/>
          <w:sz w:val="24"/>
          <w:szCs w:val="24"/>
        </w:rPr>
      </w:pPr>
    </w:p>
    <w:p w:rsidR="003C4664" w:rsidRPr="00232509" w:rsidP="003C4664" w14:paraId="30465131" w14:textId="52A5EDCA">
      <w:pPr>
        <w:widowControl/>
        <w:ind w:left="360"/>
        <w:rPr>
          <w:rFonts w:ascii="Times New Roman" w:hAnsi="Times New Roman"/>
          <w:snapToGrid/>
          <w:sz w:val="24"/>
          <w:szCs w:val="24"/>
        </w:rPr>
      </w:pPr>
      <w:r w:rsidRPr="00232509">
        <w:rPr>
          <w:rFonts w:ascii="Times New Roman" w:hAnsi="Times New Roman"/>
          <w:i/>
          <w:iCs/>
          <w:snapToGrid/>
          <w:sz w:val="24"/>
          <w:szCs w:val="24"/>
        </w:rPr>
        <w:t>Client Satisfaction Survey</w:t>
      </w:r>
      <w:r w:rsidR="001F7317">
        <w:rPr>
          <w:rFonts w:ascii="Times New Roman" w:hAnsi="Times New Roman"/>
          <w:i/>
          <w:iCs/>
          <w:snapToGrid/>
          <w:sz w:val="24"/>
          <w:szCs w:val="24"/>
        </w:rPr>
        <w:br/>
      </w:r>
      <w:r w:rsidRPr="00232509" w:rsidR="004062D9">
        <w:rPr>
          <w:rFonts w:ascii="Times New Roman" w:hAnsi="Times New Roman"/>
          <w:snapToGrid/>
          <w:sz w:val="24"/>
          <w:szCs w:val="24"/>
        </w:rPr>
        <w:t>The Client Satisfaction Survey is to be administered with T/TA participant organizations to collect perspectives from patients/service populations/clients</w:t>
      </w:r>
      <w:r w:rsidRPr="00232509" w:rsidR="00C35C48">
        <w:rPr>
          <w:rFonts w:ascii="Times New Roman" w:hAnsi="Times New Roman"/>
          <w:snapToGrid/>
          <w:sz w:val="24"/>
          <w:szCs w:val="24"/>
        </w:rPr>
        <w:t xml:space="preserve">. </w:t>
      </w:r>
      <w:r w:rsidRPr="00232509" w:rsidR="00C865F8">
        <w:rPr>
          <w:rFonts w:ascii="Times New Roman" w:hAnsi="Times New Roman"/>
          <w:snapToGrid/>
          <w:sz w:val="24"/>
          <w:szCs w:val="24"/>
        </w:rPr>
        <w:t xml:space="preserve">Feedback includes measuring satisfaction with services, </w:t>
      </w:r>
      <w:r w:rsidRPr="00232509" w:rsidR="00B261A1">
        <w:rPr>
          <w:rFonts w:ascii="Times New Roman" w:hAnsi="Times New Roman"/>
          <w:snapToGrid/>
          <w:sz w:val="24"/>
          <w:szCs w:val="24"/>
        </w:rPr>
        <w:t>helpful aspects of services, and areas of improvement for client/patient care.</w:t>
      </w:r>
      <w:r w:rsidRPr="00232509" w:rsidR="003860D6">
        <w:rPr>
          <w:rFonts w:ascii="Times New Roman" w:hAnsi="Times New Roman"/>
          <w:snapToGrid/>
          <w:sz w:val="24"/>
          <w:szCs w:val="24"/>
        </w:rPr>
        <w:t xml:space="preserve"> Should data already be collected</w:t>
      </w:r>
      <w:r w:rsidRPr="00232509" w:rsidR="001774DA">
        <w:rPr>
          <w:rFonts w:ascii="Times New Roman" w:hAnsi="Times New Roman"/>
          <w:snapToGrid/>
          <w:sz w:val="24"/>
          <w:szCs w:val="24"/>
        </w:rPr>
        <w:t xml:space="preserve"> by an organization</w:t>
      </w:r>
      <w:r w:rsidRPr="00232509" w:rsidR="00116710">
        <w:rPr>
          <w:rFonts w:ascii="Times New Roman" w:hAnsi="Times New Roman"/>
          <w:snapToGrid/>
          <w:sz w:val="24"/>
          <w:szCs w:val="24"/>
        </w:rPr>
        <w:t xml:space="preserve">, </w:t>
      </w:r>
      <w:r w:rsidRPr="00232509" w:rsidR="002552F8">
        <w:rPr>
          <w:rFonts w:ascii="Times New Roman" w:hAnsi="Times New Roman"/>
          <w:snapToGrid/>
          <w:sz w:val="24"/>
          <w:szCs w:val="24"/>
        </w:rPr>
        <w:t>that data would be used in place of this survey</w:t>
      </w:r>
      <w:r w:rsidRPr="00232509" w:rsidR="00F63951">
        <w:rPr>
          <w:rFonts w:ascii="Times New Roman" w:hAnsi="Times New Roman"/>
          <w:snapToGrid/>
          <w:sz w:val="24"/>
          <w:szCs w:val="24"/>
        </w:rPr>
        <w:t xml:space="preserve"> for further analysis</w:t>
      </w:r>
      <w:r w:rsidR="0087239A">
        <w:rPr>
          <w:rFonts w:ascii="Times New Roman" w:hAnsi="Times New Roman"/>
          <w:snapToGrid/>
          <w:sz w:val="24"/>
          <w:szCs w:val="24"/>
        </w:rPr>
        <w:t xml:space="preserve"> to inform T/TA plan goals, </w:t>
      </w:r>
      <w:r w:rsidR="00970F02">
        <w:rPr>
          <w:rFonts w:ascii="Times New Roman" w:hAnsi="Times New Roman"/>
          <w:snapToGrid/>
          <w:sz w:val="24"/>
          <w:szCs w:val="24"/>
        </w:rPr>
        <w:t xml:space="preserve">future </w:t>
      </w:r>
      <w:r w:rsidR="0087239A">
        <w:rPr>
          <w:rFonts w:ascii="Times New Roman" w:hAnsi="Times New Roman"/>
          <w:snapToGrid/>
          <w:sz w:val="24"/>
          <w:szCs w:val="24"/>
        </w:rPr>
        <w:t>offerings, and impact</w:t>
      </w:r>
      <w:r w:rsidRPr="00232509" w:rsidR="00C53698">
        <w:rPr>
          <w:rFonts w:ascii="Times New Roman" w:hAnsi="Times New Roman"/>
          <w:snapToGrid/>
          <w:sz w:val="24"/>
          <w:szCs w:val="24"/>
        </w:rPr>
        <w:t>.</w:t>
      </w:r>
    </w:p>
    <w:p w:rsidR="003C4664" w:rsidRPr="00232509" w:rsidP="003C4664" w14:paraId="45BA9A79" w14:textId="77777777">
      <w:pPr>
        <w:widowControl/>
        <w:ind w:left="360"/>
        <w:rPr>
          <w:rFonts w:ascii="Times New Roman" w:hAnsi="Times New Roman"/>
          <w:snapToGrid/>
          <w:sz w:val="24"/>
          <w:szCs w:val="24"/>
        </w:rPr>
      </w:pPr>
    </w:p>
    <w:p w:rsidR="003C4664" w:rsidRPr="00232509" w:rsidP="00354D08" w14:paraId="504C6D92" w14:textId="6972898D">
      <w:pPr>
        <w:widowControl/>
        <w:ind w:left="360"/>
        <w:rPr>
          <w:rFonts w:ascii="Times New Roman" w:hAnsi="Times New Roman"/>
          <w:snapToGrid/>
          <w:sz w:val="24"/>
          <w:szCs w:val="24"/>
        </w:rPr>
      </w:pPr>
      <w:r w:rsidRPr="00232509">
        <w:rPr>
          <w:rFonts w:ascii="Times New Roman" w:hAnsi="Times New Roman"/>
          <w:i/>
          <w:iCs/>
          <w:snapToGrid/>
          <w:sz w:val="24"/>
          <w:szCs w:val="24"/>
        </w:rPr>
        <w:t>Resources Feedback</w:t>
      </w:r>
      <w:r w:rsidR="001F7317">
        <w:rPr>
          <w:rFonts w:ascii="Times New Roman" w:hAnsi="Times New Roman"/>
          <w:i/>
          <w:iCs/>
          <w:snapToGrid/>
          <w:sz w:val="24"/>
          <w:szCs w:val="24"/>
        </w:rPr>
        <w:br/>
      </w:r>
      <w:r w:rsidRPr="00232509" w:rsidR="00354D08">
        <w:rPr>
          <w:rFonts w:ascii="Times New Roman" w:hAnsi="Times New Roman"/>
          <w:snapToGrid/>
          <w:sz w:val="24"/>
          <w:szCs w:val="24"/>
        </w:rPr>
        <w:t xml:space="preserve">Individuals who access NHTTAC resources (e.g., </w:t>
      </w:r>
      <w:r w:rsidR="00756DAE">
        <w:rPr>
          <w:rFonts w:ascii="Times New Roman" w:hAnsi="Times New Roman"/>
          <w:snapToGrid/>
          <w:sz w:val="24"/>
          <w:szCs w:val="24"/>
        </w:rPr>
        <w:t>NHTTAC</w:t>
      </w:r>
      <w:r w:rsidRPr="00232509" w:rsidR="00756DAE">
        <w:rPr>
          <w:rFonts w:ascii="Times New Roman" w:hAnsi="Times New Roman"/>
          <w:snapToGrid/>
          <w:sz w:val="24"/>
          <w:szCs w:val="24"/>
        </w:rPr>
        <w:t xml:space="preserve"> </w:t>
      </w:r>
      <w:r w:rsidRPr="00B74B29" w:rsidR="00354D08">
        <w:rPr>
          <w:rFonts w:ascii="Times New Roman" w:hAnsi="Times New Roman"/>
          <w:snapToGrid/>
          <w:sz w:val="24"/>
          <w:szCs w:val="24"/>
        </w:rPr>
        <w:t>Customer Support Center,</w:t>
      </w:r>
      <w:r w:rsidRPr="00232509" w:rsidR="00354D08">
        <w:rPr>
          <w:rFonts w:ascii="Times New Roman" w:hAnsi="Times New Roman"/>
          <w:snapToGrid/>
          <w:sz w:val="24"/>
          <w:szCs w:val="24"/>
        </w:rPr>
        <w:t xml:space="preserve"> NHTTAC tools) are asked to provide </w:t>
      </w:r>
      <w:r w:rsidRPr="00232509" w:rsidR="006D0A46">
        <w:rPr>
          <w:rFonts w:ascii="Times New Roman" w:hAnsi="Times New Roman"/>
          <w:snapToGrid/>
          <w:sz w:val="24"/>
          <w:szCs w:val="24"/>
        </w:rPr>
        <w:t xml:space="preserve">feedback on </w:t>
      </w:r>
      <w:r w:rsidRPr="00232509" w:rsidR="0044093D">
        <w:rPr>
          <w:rFonts w:ascii="Times New Roman" w:hAnsi="Times New Roman"/>
          <w:snapToGrid/>
          <w:sz w:val="24"/>
          <w:szCs w:val="24"/>
        </w:rPr>
        <w:t xml:space="preserve">their </w:t>
      </w:r>
      <w:r w:rsidRPr="00232509" w:rsidR="00753E86">
        <w:rPr>
          <w:rFonts w:ascii="Times New Roman" w:hAnsi="Times New Roman"/>
          <w:snapToGrid/>
          <w:sz w:val="24"/>
          <w:szCs w:val="24"/>
        </w:rPr>
        <w:t>experience using the resource</w:t>
      </w:r>
      <w:r w:rsidRPr="00232509" w:rsidR="00A13FD6">
        <w:rPr>
          <w:rFonts w:ascii="Times New Roman" w:hAnsi="Times New Roman"/>
          <w:snapToGrid/>
          <w:sz w:val="24"/>
          <w:szCs w:val="24"/>
        </w:rPr>
        <w:t>,</w:t>
      </w:r>
      <w:r w:rsidRPr="00232509" w:rsidR="00E75C09">
        <w:rPr>
          <w:rFonts w:ascii="Times New Roman" w:hAnsi="Times New Roman"/>
          <w:snapToGrid/>
          <w:sz w:val="24"/>
          <w:szCs w:val="24"/>
        </w:rPr>
        <w:t xml:space="preserve"> including reasons for obtaining the resource,</w:t>
      </w:r>
      <w:r w:rsidRPr="00232509" w:rsidR="00A13FD6">
        <w:rPr>
          <w:rFonts w:ascii="Times New Roman" w:hAnsi="Times New Roman"/>
          <w:snapToGrid/>
          <w:sz w:val="24"/>
          <w:szCs w:val="24"/>
        </w:rPr>
        <w:t xml:space="preserve"> satisfaction</w:t>
      </w:r>
      <w:r w:rsidRPr="00232509" w:rsidR="0044093D">
        <w:rPr>
          <w:rFonts w:ascii="Times New Roman" w:hAnsi="Times New Roman"/>
          <w:snapToGrid/>
          <w:sz w:val="24"/>
          <w:szCs w:val="24"/>
        </w:rPr>
        <w:t xml:space="preserve"> with the resource</w:t>
      </w:r>
      <w:r w:rsidRPr="00232509" w:rsidR="00A13FD6">
        <w:rPr>
          <w:rFonts w:ascii="Times New Roman" w:hAnsi="Times New Roman"/>
          <w:snapToGrid/>
          <w:sz w:val="24"/>
          <w:szCs w:val="24"/>
        </w:rPr>
        <w:t xml:space="preserve">, </w:t>
      </w:r>
      <w:r w:rsidRPr="00232509" w:rsidR="001B27A6">
        <w:rPr>
          <w:rFonts w:ascii="Times New Roman" w:hAnsi="Times New Roman"/>
          <w:snapToGrid/>
          <w:sz w:val="24"/>
          <w:szCs w:val="24"/>
        </w:rPr>
        <w:t>and comments and suggestions.</w:t>
      </w:r>
    </w:p>
    <w:p w:rsidR="003C4664" w:rsidRPr="00232509" w:rsidP="003C4664" w14:paraId="67B8DFF9" w14:textId="77777777">
      <w:pPr>
        <w:widowControl/>
        <w:ind w:left="360"/>
        <w:rPr>
          <w:rFonts w:ascii="Times New Roman" w:hAnsi="Times New Roman"/>
          <w:snapToGrid/>
          <w:sz w:val="24"/>
          <w:szCs w:val="24"/>
        </w:rPr>
      </w:pPr>
    </w:p>
    <w:p w:rsidR="003C4664" w:rsidP="003C4664" w14:paraId="4923CC56" w14:textId="5B503F45">
      <w:pPr>
        <w:widowControl/>
        <w:ind w:left="360"/>
        <w:rPr>
          <w:rFonts w:ascii="Times New Roman" w:hAnsi="Times New Roman"/>
          <w:snapToGrid/>
          <w:sz w:val="24"/>
          <w:szCs w:val="24"/>
        </w:rPr>
      </w:pPr>
      <w:r w:rsidRPr="00232509">
        <w:rPr>
          <w:rFonts w:ascii="Times New Roman" w:hAnsi="Times New Roman"/>
          <w:i/>
          <w:iCs/>
          <w:snapToGrid/>
          <w:sz w:val="24"/>
          <w:szCs w:val="24"/>
        </w:rPr>
        <w:t>Requester Feedback</w:t>
      </w:r>
      <w:r w:rsidR="001F7317">
        <w:rPr>
          <w:rFonts w:ascii="Times New Roman" w:hAnsi="Times New Roman"/>
          <w:i/>
          <w:iCs/>
          <w:snapToGrid/>
          <w:sz w:val="24"/>
          <w:szCs w:val="24"/>
        </w:rPr>
        <w:br/>
      </w:r>
      <w:r w:rsidRPr="00232509" w:rsidR="00887624">
        <w:rPr>
          <w:rFonts w:ascii="Times New Roman" w:hAnsi="Times New Roman"/>
          <w:snapToGrid/>
          <w:sz w:val="24"/>
          <w:szCs w:val="24"/>
        </w:rPr>
        <w:t>Individuals who re</w:t>
      </w:r>
      <w:r w:rsidRPr="00232509" w:rsidR="00C24B4A">
        <w:rPr>
          <w:rFonts w:ascii="Times New Roman" w:hAnsi="Times New Roman"/>
          <w:snapToGrid/>
          <w:sz w:val="24"/>
          <w:szCs w:val="24"/>
        </w:rPr>
        <w:t xml:space="preserve">quest </w:t>
      </w:r>
      <w:r w:rsidRPr="00232509" w:rsidR="00666D22">
        <w:rPr>
          <w:rFonts w:ascii="Times New Roman" w:hAnsi="Times New Roman"/>
          <w:snapToGrid/>
          <w:sz w:val="24"/>
          <w:szCs w:val="24"/>
        </w:rPr>
        <w:t>T/TA (e.g., peer reviews, needs assessments) are asked to provide feedback following the T/TA</w:t>
      </w:r>
      <w:r w:rsidRPr="00232509" w:rsidR="001F26A6">
        <w:rPr>
          <w:rFonts w:ascii="Times New Roman" w:hAnsi="Times New Roman"/>
          <w:snapToGrid/>
          <w:sz w:val="24"/>
          <w:szCs w:val="24"/>
        </w:rPr>
        <w:t>. Re</w:t>
      </w:r>
      <w:r w:rsidRPr="00232509" w:rsidR="008A1C79">
        <w:rPr>
          <w:rFonts w:ascii="Times New Roman" w:hAnsi="Times New Roman"/>
          <w:snapToGrid/>
          <w:sz w:val="24"/>
          <w:szCs w:val="24"/>
        </w:rPr>
        <w:t>questers are asked to provide feedback on NHTTAC support, planning processes, recommendations made,</w:t>
      </w:r>
      <w:r w:rsidRPr="00232509" w:rsidR="00A722A4">
        <w:rPr>
          <w:rFonts w:ascii="Times New Roman" w:hAnsi="Times New Roman"/>
          <w:snapToGrid/>
          <w:sz w:val="24"/>
          <w:szCs w:val="24"/>
        </w:rPr>
        <w:t xml:space="preserve"> and</w:t>
      </w:r>
      <w:r w:rsidRPr="00232509" w:rsidR="008A1C79">
        <w:rPr>
          <w:rFonts w:ascii="Times New Roman" w:hAnsi="Times New Roman"/>
          <w:snapToGrid/>
          <w:sz w:val="24"/>
          <w:szCs w:val="24"/>
        </w:rPr>
        <w:t xml:space="preserve"> consultants</w:t>
      </w:r>
      <w:r w:rsidRPr="00232509" w:rsidR="00A722A4">
        <w:rPr>
          <w:rFonts w:ascii="Times New Roman" w:hAnsi="Times New Roman"/>
          <w:snapToGrid/>
          <w:sz w:val="24"/>
          <w:szCs w:val="24"/>
        </w:rPr>
        <w:t>.</w:t>
      </w:r>
    </w:p>
    <w:p w:rsidR="00DC31EE" w:rsidP="003C4664" w14:paraId="30981495" w14:textId="555A5BCA">
      <w:pPr>
        <w:widowControl/>
        <w:ind w:left="360"/>
        <w:rPr>
          <w:rFonts w:ascii="Times New Roman" w:hAnsi="Times New Roman"/>
          <w:snapToGrid/>
          <w:sz w:val="24"/>
          <w:szCs w:val="24"/>
        </w:rPr>
      </w:pPr>
    </w:p>
    <w:p w:rsidR="00DC31EE" w:rsidRPr="00232509" w:rsidP="003C4664" w14:paraId="06802F0D" w14:textId="14992205">
      <w:pPr>
        <w:widowControl/>
        <w:ind w:left="360"/>
        <w:rPr>
          <w:rFonts w:ascii="Times New Roman" w:hAnsi="Times New Roman"/>
          <w:snapToGrid/>
          <w:sz w:val="24"/>
          <w:szCs w:val="24"/>
        </w:rPr>
      </w:pPr>
      <w:r w:rsidRPr="00DC31EE">
        <w:rPr>
          <w:rFonts w:ascii="Times New Roman" w:hAnsi="Times New Roman"/>
          <w:snapToGrid/>
          <w:sz w:val="24"/>
          <w:szCs w:val="24"/>
        </w:rPr>
        <w:t xml:space="preserve">In order to continue to meet the provisions of Pub. L. No. 115–398, NHTTAC has continued to expand the administration of SOAR each year; deeper measurements of the impact of these efforts are necessary. In addition, two performance measures required through the Government Performance and Results Act for the Agency are </w:t>
      </w:r>
      <w:r w:rsidR="00CF615D">
        <w:rPr>
          <w:rFonts w:ascii="Times New Roman" w:hAnsi="Times New Roman"/>
          <w:snapToGrid/>
          <w:sz w:val="24"/>
          <w:szCs w:val="24"/>
        </w:rPr>
        <w:t xml:space="preserve">informed by information </w:t>
      </w:r>
      <w:r w:rsidRPr="00DC31EE">
        <w:rPr>
          <w:rFonts w:ascii="Times New Roman" w:hAnsi="Times New Roman"/>
          <w:snapToGrid/>
          <w:sz w:val="24"/>
          <w:szCs w:val="24"/>
        </w:rPr>
        <w:t>captured across all SOAR offerings and therefore will be administered to a larger population using this information collection</w:t>
      </w:r>
      <w:r w:rsidR="00CF615D">
        <w:rPr>
          <w:rFonts w:ascii="Times New Roman" w:hAnsi="Times New Roman"/>
          <w:snapToGrid/>
          <w:sz w:val="24"/>
          <w:szCs w:val="24"/>
        </w:rPr>
        <w:t>.</w:t>
      </w:r>
    </w:p>
    <w:p w:rsidR="00790D2C" w:rsidRPr="00232509" w:rsidP="0051278C" w14:paraId="6C1BB764" w14:textId="77777777">
      <w:pPr>
        <w:widowControl/>
        <w:tabs>
          <w:tab w:val="num" w:pos="360"/>
        </w:tabs>
        <w:ind w:left="720" w:hanging="360"/>
        <w:rPr>
          <w:rFonts w:ascii="Times New Roman" w:hAnsi="Times New Roman"/>
          <w:snapToGrid/>
          <w:sz w:val="24"/>
          <w:szCs w:val="24"/>
        </w:rPr>
      </w:pPr>
    </w:p>
    <w:p w:rsidR="002C3C4F" w:rsidRPr="00232509" w:rsidP="001F7317" w14:paraId="7E576D69"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Use of Improved Information Technology and Burden Reduction </w:t>
      </w:r>
    </w:p>
    <w:p w:rsidR="00596939" w:rsidRPr="00232509" w:rsidP="00677441" w14:paraId="4B16F77D" w14:textId="09C96FC4">
      <w:pPr>
        <w:widowControl/>
        <w:ind w:left="360"/>
        <w:rPr>
          <w:rFonts w:ascii="Times New Roman" w:hAnsi="Times New Roman"/>
          <w:snapToGrid/>
          <w:sz w:val="24"/>
          <w:szCs w:val="24"/>
        </w:rPr>
      </w:pPr>
      <w:r w:rsidRPr="00232509">
        <w:rPr>
          <w:rFonts w:ascii="Times New Roman" w:hAnsi="Times New Roman"/>
          <w:snapToGrid/>
          <w:sz w:val="24"/>
          <w:szCs w:val="24"/>
        </w:rPr>
        <w:t xml:space="preserve">To the extent possible, OTIP is committed to reducing the burden on applicants. The use of online evaluation forms allows recipients to complete the evaluation at a time and location convenient for them and minimizes data entry. Online responses are </w:t>
      </w:r>
      <w:r w:rsidR="006C23E2">
        <w:rPr>
          <w:rFonts w:ascii="Times New Roman" w:hAnsi="Times New Roman"/>
          <w:snapToGrid/>
          <w:sz w:val="24"/>
          <w:szCs w:val="24"/>
        </w:rPr>
        <w:t>private.</w:t>
      </w:r>
      <w:r w:rsidRPr="00232509">
        <w:rPr>
          <w:rFonts w:ascii="Times New Roman" w:hAnsi="Times New Roman"/>
          <w:snapToGrid/>
          <w:sz w:val="24"/>
          <w:szCs w:val="24"/>
        </w:rPr>
        <w:t xml:space="preserve"> Customizable instruments with a menu of questions that can be tailored to the most relevant questions for each T/TA help minimize the burden on responden</w:t>
      </w:r>
      <w:r w:rsidRPr="00232509" w:rsidR="00283A36">
        <w:rPr>
          <w:rFonts w:ascii="Times New Roman" w:hAnsi="Times New Roman"/>
          <w:snapToGrid/>
          <w:sz w:val="24"/>
          <w:szCs w:val="24"/>
        </w:rPr>
        <w:t>ts</w:t>
      </w:r>
      <w:r w:rsidRPr="00232509">
        <w:rPr>
          <w:rFonts w:ascii="Times New Roman" w:hAnsi="Times New Roman"/>
          <w:snapToGrid/>
          <w:sz w:val="24"/>
          <w:szCs w:val="24"/>
        </w:rPr>
        <w:t xml:space="preserve">. During the </w:t>
      </w:r>
      <w:r w:rsidR="005429CC">
        <w:rPr>
          <w:rFonts w:ascii="Times New Roman" w:hAnsi="Times New Roman"/>
          <w:snapToGrid/>
          <w:sz w:val="24"/>
          <w:szCs w:val="24"/>
        </w:rPr>
        <w:t>revision</w:t>
      </w:r>
      <w:r w:rsidRPr="00232509" w:rsidR="005429CC">
        <w:rPr>
          <w:rFonts w:ascii="Times New Roman" w:hAnsi="Times New Roman"/>
          <w:snapToGrid/>
          <w:sz w:val="24"/>
          <w:szCs w:val="24"/>
        </w:rPr>
        <w:t xml:space="preserve"> </w:t>
      </w:r>
      <w:r w:rsidRPr="00232509">
        <w:rPr>
          <w:rFonts w:ascii="Times New Roman" w:hAnsi="Times New Roman"/>
          <w:snapToGrid/>
          <w:sz w:val="24"/>
          <w:szCs w:val="24"/>
        </w:rPr>
        <w:t xml:space="preserve">process, the evaluation forms </w:t>
      </w:r>
      <w:r w:rsidR="00717F25">
        <w:rPr>
          <w:rFonts w:ascii="Times New Roman" w:hAnsi="Times New Roman"/>
          <w:snapToGrid/>
          <w:sz w:val="24"/>
          <w:szCs w:val="24"/>
        </w:rPr>
        <w:t xml:space="preserve">and respondent pools </w:t>
      </w:r>
      <w:r w:rsidRPr="00232509">
        <w:rPr>
          <w:rFonts w:ascii="Times New Roman" w:hAnsi="Times New Roman"/>
          <w:snapToGrid/>
          <w:sz w:val="24"/>
          <w:szCs w:val="24"/>
        </w:rPr>
        <w:t>were streamlined to focus on including the most relevant questions to reduce the time burden on respondents</w:t>
      </w:r>
      <w:r w:rsidR="00FF4653">
        <w:rPr>
          <w:rFonts w:ascii="Times New Roman" w:hAnsi="Times New Roman"/>
          <w:snapToGrid/>
          <w:sz w:val="24"/>
          <w:szCs w:val="24"/>
        </w:rPr>
        <w:t>, resulting in a 3</w:t>
      </w:r>
      <w:r w:rsidR="0045524C">
        <w:rPr>
          <w:rFonts w:ascii="Times New Roman" w:hAnsi="Times New Roman"/>
          <w:snapToGrid/>
          <w:sz w:val="24"/>
          <w:szCs w:val="24"/>
        </w:rPr>
        <w:t>3</w:t>
      </w:r>
      <w:r w:rsidR="000F496B">
        <w:rPr>
          <w:rFonts w:ascii="Times New Roman" w:hAnsi="Times New Roman"/>
          <w:snapToGrid/>
          <w:sz w:val="24"/>
          <w:szCs w:val="24"/>
        </w:rPr>
        <w:t xml:space="preserve"> </w:t>
      </w:r>
      <w:r w:rsidR="001002FE">
        <w:rPr>
          <w:rFonts w:ascii="Times New Roman" w:hAnsi="Times New Roman"/>
          <w:snapToGrid/>
          <w:sz w:val="24"/>
          <w:szCs w:val="24"/>
        </w:rPr>
        <w:t>percent decrease</w:t>
      </w:r>
      <w:r w:rsidR="00FF4653">
        <w:rPr>
          <w:rFonts w:ascii="Times New Roman" w:hAnsi="Times New Roman"/>
          <w:snapToGrid/>
          <w:sz w:val="24"/>
          <w:szCs w:val="24"/>
        </w:rPr>
        <w:t xml:space="preserve"> in burden </w:t>
      </w:r>
      <w:r w:rsidR="00977C01">
        <w:rPr>
          <w:rFonts w:ascii="Times New Roman" w:hAnsi="Times New Roman"/>
          <w:snapToGrid/>
          <w:sz w:val="24"/>
          <w:szCs w:val="24"/>
        </w:rPr>
        <w:t>for this information collection</w:t>
      </w:r>
      <w:r w:rsidRPr="00232509">
        <w:rPr>
          <w:rFonts w:ascii="Times New Roman" w:hAnsi="Times New Roman"/>
          <w:snapToGrid/>
          <w:sz w:val="24"/>
          <w:szCs w:val="24"/>
        </w:rPr>
        <w:t>.</w:t>
      </w:r>
    </w:p>
    <w:p w:rsidR="00232509" w:rsidRPr="00232509" w:rsidP="00677441" w14:paraId="30A803C3" w14:textId="77777777">
      <w:pPr>
        <w:widowControl/>
        <w:ind w:left="360"/>
        <w:rPr>
          <w:rFonts w:ascii="Times New Roman" w:hAnsi="Times New Roman"/>
          <w:snapToGrid/>
          <w:sz w:val="24"/>
          <w:szCs w:val="24"/>
        </w:rPr>
      </w:pPr>
    </w:p>
    <w:p w:rsidR="002C3C4F" w:rsidRPr="00232509" w:rsidP="001F7317" w14:paraId="5B4C53AD"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Efforts to Identify Duplication and Use of Similar Information </w:t>
      </w:r>
    </w:p>
    <w:p w:rsidR="009F5543" w:rsidRPr="00232509" w:rsidP="00677441" w14:paraId="2F200740" w14:textId="77777777">
      <w:pPr>
        <w:widowControl/>
        <w:ind w:left="360"/>
        <w:rPr>
          <w:rFonts w:ascii="Times New Roman" w:hAnsi="Times New Roman"/>
          <w:snapToGrid/>
          <w:sz w:val="24"/>
          <w:szCs w:val="24"/>
        </w:rPr>
      </w:pPr>
      <w:r w:rsidRPr="00232509">
        <w:rPr>
          <w:rFonts w:ascii="Times New Roman" w:hAnsi="Times New Roman"/>
          <w:snapToGrid/>
          <w:sz w:val="24"/>
          <w:szCs w:val="24"/>
        </w:rPr>
        <w:t>No similar data are gathered or maintained by NHTTAC or are available from other sources known to OTIP.</w:t>
      </w:r>
    </w:p>
    <w:p w:rsidR="009C2DE1" w:rsidRPr="00232509" w:rsidP="0051278C" w14:paraId="7AC2DD37" w14:textId="77777777">
      <w:pPr>
        <w:widowControl/>
        <w:tabs>
          <w:tab w:val="num" w:pos="360"/>
        </w:tabs>
        <w:ind w:left="720" w:hanging="360"/>
        <w:rPr>
          <w:rFonts w:ascii="Times New Roman" w:hAnsi="Times New Roman"/>
          <w:snapToGrid/>
          <w:sz w:val="24"/>
          <w:szCs w:val="24"/>
        </w:rPr>
      </w:pPr>
    </w:p>
    <w:p w:rsidR="002C3C4F" w:rsidRPr="00232509" w:rsidP="001F7317" w14:paraId="20AD8550"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Impact on Small Businesses or Other Small Entities </w:t>
      </w:r>
    </w:p>
    <w:p w:rsidR="00D60543" w:rsidRPr="00232509" w:rsidP="00677441" w14:paraId="1D17CC41" w14:textId="7268E1B6">
      <w:pPr>
        <w:widowControl/>
        <w:ind w:left="360"/>
        <w:rPr>
          <w:rFonts w:ascii="Times New Roman" w:hAnsi="Times New Roman"/>
          <w:snapToGrid/>
          <w:sz w:val="24"/>
          <w:szCs w:val="24"/>
        </w:rPr>
      </w:pPr>
      <w:r w:rsidRPr="00232509">
        <w:rPr>
          <w:rFonts w:ascii="Times New Roman" w:hAnsi="Times New Roman"/>
          <w:snapToGrid/>
          <w:sz w:val="24"/>
          <w:szCs w:val="24"/>
        </w:rPr>
        <w:t>Small business</w:t>
      </w:r>
      <w:r w:rsidRPr="00232509" w:rsidR="0027505D">
        <w:rPr>
          <w:rFonts w:ascii="Times New Roman" w:hAnsi="Times New Roman"/>
          <w:snapToGrid/>
          <w:sz w:val="24"/>
          <w:szCs w:val="24"/>
        </w:rPr>
        <w:t>es</w:t>
      </w:r>
      <w:r w:rsidRPr="00232509">
        <w:rPr>
          <w:rFonts w:ascii="Times New Roman" w:hAnsi="Times New Roman"/>
          <w:snapToGrid/>
          <w:sz w:val="24"/>
          <w:szCs w:val="24"/>
        </w:rPr>
        <w:t xml:space="preserve"> or other small entities may </w:t>
      </w:r>
      <w:r w:rsidR="005704E8">
        <w:rPr>
          <w:rFonts w:ascii="Times New Roman" w:hAnsi="Times New Roman"/>
          <w:snapToGrid/>
          <w:sz w:val="24"/>
          <w:szCs w:val="24"/>
        </w:rPr>
        <w:t xml:space="preserve">participate in NHTTAC offerings. </w:t>
      </w:r>
      <w:r w:rsidRPr="00232509">
        <w:rPr>
          <w:rFonts w:ascii="Times New Roman" w:hAnsi="Times New Roman"/>
          <w:snapToGrid/>
          <w:sz w:val="24"/>
          <w:szCs w:val="24"/>
        </w:rPr>
        <w:t>OTIP minimize</w:t>
      </w:r>
      <w:r w:rsidR="005704E8">
        <w:rPr>
          <w:rFonts w:ascii="Times New Roman" w:hAnsi="Times New Roman"/>
          <w:snapToGrid/>
          <w:sz w:val="24"/>
          <w:szCs w:val="24"/>
        </w:rPr>
        <w:t>s</w:t>
      </w:r>
      <w:r w:rsidRPr="00232509">
        <w:rPr>
          <w:rFonts w:ascii="Times New Roman" w:hAnsi="Times New Roman"/>
          <w:snapToGrid/>
          <w:sz w:val="24"/>
          <w:szCs w:val="24"/>
        </w:rPr>
        <w:t xml:space="preserve"> the </w:t>
      </w:r>
      <w:r w:rsidR="00B774EF">
        <w:rPr>
          <w:rFonts w:ascii="Times New Roman" w:hAnsi="Times New Roman"/>
          <w:snapToGrid/>
          <w:sz w:val="24"/>
          <w:szCs w:val="24"/>
        </w:rPr>
        <w:t xml:space="preserve">reporting </w:t>
      </w:r>
      <w:r w:rsidRPr="00232509">
        <w:rPr>
          <w:rFonts w:ascii="Times New Roman" w:hAnsi="Times New Roman"/>
          <w:snapToGrid/>
          <w:sz w:val="24"/>
          <w:szCs w:val="24"/>
        </w:rPr>
        <w:t xml:space="preserve">burden on </w:t>
      </w:r>
      <w:r w:rsidR="005704E8">
        <w:rPr>
          <w:rFonts w:ascii="Times New Roman" w:hAnsi="Times New Roman"/>
          <w:snapToGrid/>
          <w:sz w:val="24"/>
          <w:szCs w:val="24"/>
        </w:rPr>
        <w:t>these entities by a</w:t>
      </w:r>
      <w:r w:rsidRPr="00232509">
        <w:rPr>
          <w:rFonts w:ascii="Times New Roman" w:hAnsi="Times New Roman"/>
          <w:snapToGrid/>
          <w:sz w:val="24"/>
          <w:szCs w:val="24"/>
        </w:rPr>
        <w:t>sking for readily available information, and using short, easy-to-complete information collection instruments.</w:t>
      </w:r>
    </w:p>
    <w:p w:rsidR="00D60543" w:rsidRPr="00232509" w:rsidP="0051278C" w14:paraId="3503963B" w14:textId="77777777">
      <w:pPr>
        <w:widowControl/>
        <w:tabs>
          <w:tab w:val="num" w:pos="360"/>
        </w:tabs>
        <w:ind w:left="720" w:hanging="360"/>
        <w:rPr>
          <w:rFonts w:ascii="Times New Roman" w:hAnsi="Times New Roman"/>
          <w:snapToGrid/>
          <w:sz w:val="24"/>
          <w:szCs w:val="24"/>
        </w:rPr>
      </w:pPr>
    </w:p>
    <w:p w:rsidR="002C3C4F" w:rsidRPr="00232509" w:rsidP="001F7317" w14:paraId="65A72D3F"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Consequences of Collecting the Information Less Frequently </w:t>
      </w:r>
    </w:p>
    <w:p w:rsidR="00D60543" w:rsidRPr="00232509" w:rsidP="00730227" w14:paraId="15CC2DCA" w14:textId="6B926373">
      <w:pPr>
        <w:widowControl/>
        <w:tabs>
          <w:tab w:val="num" w:pos="360"/>
        </w:tabs>
        <w:ind w:left="360"/>
        <w:rPr>
          <w:rFonts w:ascii="Times New Roman" w:hAnsi="Times New Roman"/>
          <w:snapToGrid/>
          <w:sz w:val="24"/>
          <w:szCs w:val="24"/>
        </w:rPr>
      </w:pPr>
      <w:r w:rsidRPr="00232509">
        <w:rPr>
          <w:rFonts w:ascii="Times New Roman" w:hAnsi="Times New Roman"/>
          <w:snapToGrid/>
          <w:sz w:val="24"/>
          <w:szCs w:val="24"/>
        </w:rPr>
        <w:t>Without feedback</w:t>
      </w:r>
      <w:r w:rsidR="00B774EF">
        <w:rPr>
          <w:rFonts w:ascii="Times New Roman" w:hAnsi="Times New Roman"/>
          <w:snapToGrid/>
          <w:sz w:val="24"/>
          <w:szCs w:val="24"/>
        </w:rPr>
        <w:t xml:space="preserve"> on NHTTAC’s T/TA offerings</w:t>
      </w:r>
      <w:r w:rsidRPr="00232509">
        <w:rPr>
          <w:rFonts w:ascii="Times New Roman" w:hAnsi="Times New Roman"/>
          <w:snapToGrid/>
          <w:sz w:val="24"/>
          <w:szCs w:val="24"/>
        </w:rPr>
        <w:t xml:space="preserve">, OTIP will not have timely information </w:t>
      </w:r>
      <w:r w:rsidR="00B774EF">
        <w:rPr>
          <w:rFonts w:ascii="Times New Roman" w:hAnsi="Times New Roman"/>
          <w:snapToGrid/>
          <w:sz w:val="24"/>
          <w:szCs w:val="24"/>
        </w:rPr>
        <w:t xml:space="preserve">to fulfill the </w:t>
      </w:r>
      <w:r w:rsidRPr="00232509" w:rsidR="004F0786">
        <w:rPr>
          <w:rFonts w:ascii="Times New Roman" w:hAnsi="Times New Roman"/>
          <w:snapToGrid/>
          <w:sz w:val="24"/>
          <w:szCs w:val="24"/>
        </w:rPr>
        <w:t xml:space="preserve">requirements of </w:t>
      </w:r>
      <w:r w:rsidRPr="00DC31EE" w:rsidR="001F562D">
        <w:rPr>
          <w:rFonts w:ascii="Times New Roman" w:hAnsi="Times New Roman"/>
          <w:snapToGrid/>
          <w:sz w:val="24"/>
          <w:szCs w:val="24"/>
        </w:rPr>
        <w:t>Pub. L. No. 115–398</w:t>
      </w:r>
      <w:r w:rsidRPr="00232509" w:rsidR="004F0786">
        <w:rPr>
          <w:rFonts w:ascii="Times New Roman" w:hAnsi="Times New Roman"/>
          <w:snapToGrid/>
          <w:sz w:val="24"/>
          <w:szCs w:val="24"/>
        </w:rPr>
        <w:t xml:space="preserve">, </w:t>
      </w:r>
      <w:r w:rsidR="00B774EF">
        <w:rPr>
          <w:rFonts w:ascii="Times New Roman" w:hAnsi="Times New Roman"/>
          <w:snapToGrid/>
          <w:sz w:val="24"/>
          <w:szCs w:val="24"/>
        </w:rPr>
        <w:t>or to make continuous improvements to its offerings to ensure offerings are m</w:t>
      </w:r>
      <w:r w:rsidRPr="00232509">
        <w:rPr>
          <w:rFonts w:ascii="Times New Roman" w:hAnsi="Times New Roman"/>
          <w:snapToGrid/>
          <w:sz w:val="24"/>
          <w:szCs w:val="24"/>
        </w:rPr>
        <w:t>eet</w:t>
      </w:r>
      <w:r w:rsidR="00B774EF">
        <w:rPr>
          <w:rFonts w:ascii="Times New Roman" w:hAnsi="Times New Roman"/>
          <w:snapToGrid/>
          <w:sz w:val="24"/>
          <w:szCs w:val="24"/>
        </w:rPr>
        <w:t>ing</w:t>
      </w:r>
      <w:r w:rsidRPr="00232509">
        <w:rPr>
          <w:rFonts w:ascii="Times New Roman" w:hAnsi="Times New Roman"/>
          <w:snapToGrid/>
          <w:sz w:val="24"/>
          <w:szCs w:val="24"/>
        </w:rPr>
        <w:t xml:space="preserve"> recipient needs and address</w:t>
      </w:r>
      <w:r w:rsidR="00B774EF">
        <w:rPr>
          <w:rFonts w:ascii="Times New Roman" w:hAnsi="Times New Roman"/>
          <w:snapToGrid/>
          <w:sz w:val="24"/>
          <w:szCs w:val="24"/>
        </w:rPr>
        <w:t>ing</w:t>
      </w:r>
      <w:r w:rsidRPr="00232509">
        <w:rPr>
          <w:rFonts w:ascii="Times New Roman" w:hAnsi="Times New Roman"/>
          <w:snapToGrid/>
          <w:sz w:val="24"/>
          <w:szCs w:val="24"/>
        </w:rPr>
        <w:t xml:space="preserve"> </w:t>
      </w:r>
      <w:r w:rsidR="00B774EF">
        <w:rPr>
          <w:rFonts w:ascii="Times New Roman" w:hAnsi="Times New Roman"/>
          <w:snapToGrid/>
          <w:sz w:val="24"/>
          <w:szCs w:val="24"/>
        </w:rPr>
        <w:t xml:space="preserve">emerging issues and other </w:t>
      </w:r>
      <w:r w:rsidRPr="00232509">
        <w:rPr>
          <w:rFonts w:ascii="Times New Roman" w:hAnsi="Times New Roman"/>
          <w:snapToGrid/>
          <w:sz w:val="24"/>
          <w:szCs w:val="24"/>
        </w:rPr>
        <w:t>the needs of</w:t>
      </w:r>
      <w:r w:rsidR="003240CF">
        <w:rPr>
          <w:rFonts w:ascii="Times New Roman" w:hAnsi="Times New Roman"/>
          <w:snapToGrid/>
          <w:sz w:val="24"/>
          <w:szCs w:val="24"/>
        </w:rPr>
        <w:t xml:space="preserve"> practitioners in</w:t>
      </w:r>
      <w:r w:rsidRPr="00232509">
        <w:rPr>
          <w:rFonts w:ascii="Times New Roman" w:hAnsi="Times New Roman"/>
          <w:snapToGrid/>
          <w:sz w:val="24"/>
          <w:szCs w:val="24"/>
        </w:rPr>
        <w:t xml:space="preserve"> the field. </w:t>
      </w:r>
    </w:p>
    <w:p w:rsidR="00232509" w:rsidRPr="00232509" w:rsidP="00730227" w14:paraId="2AD9795F" w14:textId="77777777">
      <w:pPr>
        <w:widowControl/>
        <w:tabs>
          <w:tab w:val="num" w:pos="360"/>
        </w:tabs>
        <w:ind w:left="360"/>
        <w:rPr>
          <w:rFonts w:ascii="Times New Roman" w:hAnsi="Times New Roman"/>
          <w:snapToGrid/>
          <w:sz w:val="24"/>
          <w:szCs w:val="24"/>
        </w:rPr>
      </w:pPr>
    </w:p>
    <w:p w:rsidR="002C3C4F" w:rsidRPr="00232509" w:rsidP="001F7317" w14:paraId="4AA059E2" w14:textId="3785584A">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Special Circumstances Relating to the Guidelines of 5 CFR 1320.5 </w:t>
      </w:r>
    </w:p>
    <w:p w:rsidR="004F0786" w:rsidRPr="00232509" w:rsidP="00677441" w14:paraId="4BBD41E9" w14:textId="77777777">
      <w:pPr>
        <w:widowControl/>
        <w:tabs>
          <w:tab w:val="num" w:pos="360"/>
        </w:tabs>
        <w:ind w:left="360"/>
        <w:rPr>
          <w:rFonts w:ascii="Times New Roman" w:hAnsi="Times New Roman"/>
          <w:snapToGrid/>
          <w:sz w:val="24"/>
          <w:szCs w:val="24"/>
        </w:rPr>
      </w:pPr>
      <w:r w:rsidRPr="00232509">
        <w:rPr>
          <w:rFonts w:ascii="Times New Roman" w:hAnsi="Times New Roman"/>
          <w:snapToGrid/>
          <w:sz w:val="24"/>
          <w:szCs w:val="24"/>
        </w:rPr>
        <w:t>There are no special circumstances. The information collected will be voluntary and will not be used for statistical purposes.</w:t>
      </w:r>
    </w:p>
    <w:p w:rsidR="00232509" w:rsidRPr="00232509" w:rsidP="00677441" w14:paraId="47E64DE0" w14:textId="77777777">
      <w:pPr>
        <w:widowControl/>
        <w:tabs>
          <w:tab w:val="num" w:pos="360"/>
        </w:tabs>
        <w:ind w:left="360"/>
        <w:rPr>
          <w:rFonts w:ascii="Times New Roman" w:hAnsi="Times New Roman"/>
          <w:snapToGrid/>
          <w:sz w:val="24"/>
          <w:szCs w:val="24"/>
        </w:rPr>
      </w:pPr>
    </w:p>
    <w:p w:rsidR="002C3C4F" w:rsidRPr="00232509" w:rsidP="001F7317" w14:paraId="439C52E8"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Comments in Response to the Federal Register Notice and Efforts to Consult Outside the Agency </w:t>
      </w:r>
    </w:p>
    <w:p w:rsidR="0084609A" w:rsidRPr="00232509" w:rsidP="00677441" w14:paraId="393ABD62" w14:textId="7381E30E">
      <w:pPr>
        <w:tabs>
          <w:tab w:val="num" w:pos="360"/>
        </w:tabs>
        <w:ind w:left="360"/>
        <w:rPr>
          <w:rFonts w:ascii="Times New Roman" w:hAnsi="Times New Roman"/>
          <w:sz w:val="24"/>
          <w:szCs w:val="24"/>
        </w:rPr>
      </w:pPr>
      <w:r w:rsidRPr="6DC26FA8">
        <w:rPr>
          <w:rFonts w:ascii="Times New Roman" w:hAnsi="Times New Roman"/>
          <w:sz w:val="24"/>
          <w:szCs w:val="24"/>
        </w:rPr>
        <w:t>In accordance with the Paperwork Reduction Act of 1995 (Pub. L. 104</w:t>
      </w:r>
      <w:r w:rsidRPr="6DC26FA8" w:rsidR="001A5D6E">
        <w:rPr>
          <w:rFonts w:ascii="Times New Roman" w:hAnsi="Times New Roman"/>
          <w:sz w:val="24"/>
          <w:szCs w:val="24"/>
        </w:rPr>
        <w:t>‒</w:t>
      </w:r>
      <w:r w:rsidRPr="6DC26FA8">
        <w:rPr>
          <w:rFonts w:ascii="Times New Roman" w:hAnsi="Times New Roman"/>
          <w:sz w:val="24"/>
          <w:szCs w:val="24"/>
        </w:rPr>
        <w:t xml:space="preserve">13) and OMB regulations at 5 CFR Part 1320 (60 FR 44978, August 29, 1995), ACF published a notice in the Federal Register announcing the agency’s intention to request an OMB review of this </w:t>
      </w:r>
      <w:r w:rsidRPr="6DC26FA8" w:rsidR="00C30955">
        <w:rPr>
          <w:rFonts w:ascii="Times New Roman" w:hAnsi="Times New Roman"/>
          <w:sz w:val="24"/>
          <w:szCs w:val="24"/>
        </w:rPr>
        <w:t xml:space="preserve">revised </w:t>
      </w:r>
      <w:r w:rsidRPr="6DC26FA8">
        <w:rPr>
          <w:rFonts w:ascii="Times New Roman" w:hAnsi="Times New Roman"/>
          <w:sz w:val="24"/>
          <w:szCs w:val="24"/>
        </w:rPr>
        <w:t>information collection activity. This notice</w:t>
      </w:r>
      <w:r w:rsidRPr="6DC26FA8" w:rsidR="00C30955">
        <w:rPr>
          <w:rFonts w:ascii="Times New Roman" w:hAnsi="Times New Roman"/>
          <w:sz w:val="24"/>
          <w:szCs w:val="24"/>
        </w:rPr>
        <w:t>,</w:t>
      </w:r>
      <w:r w:rsidRPr="6DC26FA8">
        <w:rPr>
          <w:rFonts w:ascii="Times New Roman" w:hAnsi="Times New Roman"/>
          <w:sz w:val="24"/>
          <w:szCs w:val="24"/>
        </w:rPr>
        <w:t xml:space="preserve"> </w:t>
      </w:r>
      <w:r w:rsidRPr="6DC26FA8" w:rsidR="00C30955">
        <w:rPr>
          <w:rFonts w:ascii="Times New Roman" w:hAnsi="Times New Roman"/>
          <w:sz w:val="24"/>
          <w:szCs w:val="24"/>
        </w:rPr>
        <w:t xml:space="preserve">which </w:t>
      </w:r>
      <w:r w:rsidRPr="6DC26FA8" w:rsidR="000C39EB">
        <w:rPr>
          <w:rFonts w:ascii="Times New Roman" w:hAnsi="Times New Roman"/>
          <w:sz w:val="24"/>
          <w:szCs w:val="24"/>
        </w:rPr>
        <w:t xml:space="preserve">was </w:t>
      </w:r>
      <w:r w:rsidRPr="6DC26FA8">
        <w:rPr>
          <w:rFonts w:ascii="Times New Roman" w:hAnsi="Times New Roman"/>
          <w:sz w:val="24"/>
          <w:szCs w:val="24"/>
        </w:rPr>
        <w:t xml:space="preserve">published on </w:t>
      </w:r>
      <w:r w:rsidRPr="00501C66" w:rsidR="0002049E">
        <w:rPr>
          <w:rFonts w:ascii="Times New Roman" w:hAnsi="Times New Roman"/>
          <w:sz w:val="24"/>
          <w:szCs w:val="24"/>
        </w:rPr>
        <w:t>May</w:t>
      </w:r>
      <w:r w:rsidRPr="00501C66" w:rsidR="00DE62C4">
        <w:rPr>
          <w:rFonts w:ascii="Times New Roman" w:hAnsi="Times New Roman"/>
          <w:sz w:val="24"/>
          <w:szCs w:val="24"/>
        </w:rPr>
        <w:t xml:space="preserve"> 7, 2026</w:t>
      </w:r>
      <w:r w:rsidRPr="00501C66" w:rsidR="00DD692F">
        <w:rPr>
          <w:rFonts w:ascii="Times New Roman" w:hAnsi="Times New Roman"/>
          <w:sz w:val="24"/>
          <w:szCs w:val="24"/>
        </w:rPr>
        <w:t xml:space="preserve"> </w:t>
      </w:r>
      <w:r w:rsidRPr="00501C66" w:rsidR="000C39EB">
        <w:rPr>
          <w:rFonts w:ascii="Times New Roman" w:hAnsi="Times New Roman"/>
          <w:sz w:val="24"/>
          <w:szCs w:val="24"/>
        </w:rPr>
        <w:t>(</w:t>
      </w:r>
      <w:r w:rsidRPr="00501C66" w:rsidR="00DE62C4">
        <w:rPr>
          <w:rFonts w:ascii="Times New Roman" w:hAnsi="Times New Roman"/>
          <w:sz w:val="24"/>
          <w:szCs w:val="24"/>
        </w:rPr>
        <w:t>91</w:t>
      </w:r>
      <w:r w:rsidR="00065D56">
        <w:rPr>
          <w:rFonts w:ascii="Times New Roman" w:hAnsi="Times New Roman"/>
          <w:sz w:val="24"/>
          <w:szCs w:val="24"/>
        </w:rPr>
        <w:t xml:space="preserve"> FR</w:t>
      </w:r>
      <w:r w:rsidRPr="00501C66" w:rsidR="005924E7">
        <w:rPr>
          <w:rFonts w:ascii="Times New Roman" w:hAnsi="Times New Roman"/>
          <w:sz w:val="24"/>
          <w:szCs w:val="24"/>
        </w:rPr>
        <w:t>.</w:t>
      </w:r>
      <w:r w:rsidRPr="00501C66" w:rsidR="00DE62C4">
        <w:rPr>
          <w:rFonts w:ascii="Times New Roman" w:hAnsi="Times New Roman"/>
          <w:sz w:val="24"/>
          <w:szCs w:val="24"/>
        </w:rPr>
        <w:t>24875</w:t>
      </w:r>
      <w:r w:rsidR="00065D56">
        <w:rPr>
          <w:rFonts w:ascii="Times New Roman" w:hAnsi="Times New Roman"/>
          <w:sz w:val="24"/>
          <w:szCs w:val="24"/>
        </w:rPr>
        <w:t>)</w:t>
      </w:r>
      <w:r w:rsidRPr="6DC26FA8" w:rsidR="00C30955">
        <w:rPr>
          <w:rFonts w:ascii="Times New Roman" w:hAnsi="Times New Roman"/>
          <w:sz w:val="24"/>
          <w:szCs w:val="24"/>
        </w:rPr>
        <w:t xml:space="preserve"> </w:t>
      </w:r>
      <w:r w:rsidRPr="6DC26FA8" w:rsidR="00154B8E">
        <w:rPr>
          <w:rFonts w:ascii="Times New Roman" w:hAnsi="Times New Roman"/>
          <w:sz w:val="24"/>
          <w:szCs w:val="24"/>
        </w:rPr>
        <w:t>provided a 60-day period for public comment</w:t>
      </w:r>
      <w:r w:rsidRPr="00A70FEE" w:rsidR="00154B8E">
        <w:rPr>
          <w:rFonts w:ascii="Times New Roman" w:hAnsi="Times New Roman"/>
          <w:sz w:val="24"/>
          <w:szCs w:val="24"/>
        </w:rPr>
        <w:t>.</w:t>
      </w:r>
      <w:r w:rsidRPr="00A70FEE" w:rsidR="005E5E49">
        <w:rPr>
          <w:rFonts w:ascii="Times New Roman" w:hAnsi="Times New Roman"/>
          <w:sz w:val="24"/>
          <w:szCs w:val="24"/>
        </w:rPr>
        <w:t xml:space="preserve"> OTIP did not receive any substantive public comments.</w:t>
      </w:r>
      <w:r w:rsidRPr="6DC26FA8" w:rsidR="00C30955">
        <w:rPr>
          <w:rFonts w:ascii="Times New Roman" w:hAnsi="Times New Roman"/>
          <w:sz w:val="24"/>
          <w:szCs w:val="24"/>
        </w:rPr>
        <w:t xml:space="preserve"> </w:t>
      </w:r>
    </w:p>
    <w:p w:rsidR="00232509" w:rsidRPr="00232509" w:rsidP="00677441" w14:paraId="79D85DFA" w14:textId="77777777">
      <w:pPr>
        <w:tabs>
          <w:tab w:val="num" w:pos="360"/>
        </w:tabs>
        <w:ind w:left="360"/>
        <w:rPr>
          <w:rFonts w:ascii="Times New Roman" w:hAnsi="Times New Roman"/>
          <w:sz w:val="24"/>
          <w:szCs w:val="24"/>
        </w:rPr>
      </w:pPr>
    </w:p>
    <w:p w:rsidR="002C3C4F" w:rsidRPr="002B0ABC" w:rsidP="001F7317" w14:paraId="58613EA3"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B0ABC">
        <w:rPr>
          <w:rFonts w:ascii="Times New Roman" w:hAnsi="Times New Roman"/>
          <w:b/>
          <w:snapToGrid/>
          <w:sz w:val="24"/>
          <w:szCs w:val="24"/>
        </w:rPr>
        <w:t xml:space="preserve">Explanation of Any Payment or Gift to Respondents </w:t>
      </w:r>
    </w:p>
    <w:p w:rsidR="004F0786" w:rsidRPr="002B0ABC" w:rsidP="00CE6A37" w14:paraId="6C276520" w14:textId="4AE5E8D5">
      <w:pPr>
        <w:widowControl/>
        <w:tabs>
          <w:tab w:val="num" w:pos="360"/>
        </w:tabs>
        <w:ind w:left="360"/>
        <w:rPr>
          <w:rFonts w:ascii="Times New Roman" w:hAnsi="Times New Roman"/>
          <w:sz w:val="24"/>
          <w:szCs w:val="24"/>
        </w:rPr>
      </w:pPr>
      <w:r w:rsidRPr="002B0ABC">
        <w:rPr>
          <w:rFonts w:ascii="Times New Roman" w:hAnsi="Times New Roman"/>
          <w:sz w:val="24"/>
          <w:szCs w:val="24"/>
        </w:rPr>
        <w:t xml:space="preserve">NHTTAC </w:t>
      </w:r>
      <w:r w:rsidRPr="002B0ABC" w:rsidR="008A76B9">
        <w:rPr>
          <w:rFonts w:ascii="Times New Roman" w:hAnsi="Times New Roman"/>
          <w:sz w:val="24"/>
          <w:szCs w:val="24"/>
        </w:rPr>
        <w:t>plan</w:t>
      </w:r>
      <w:r w:rsidRPr="002B0ABC" w:rsidR="000170B2">
        <w:rPr>
          <w:rFonts w:ascii="Times New Roman" w:hAnsi="Times New Roman"/>
          <w:sz w:val="24"/>
          <w:szCs w:val="24"/>
        </w:rPr>
        <w:t>s</w:t>
      </w:r>
      <w:r w:rsidRPr="002B0ABC" w:rsidR="008A76B9">
        <w:rPr>
          <w:rFonts w:ascii="Times New Roman" w:hAnsi="Times New Roman"/>
          <w:sz w:val="24"/>
          <w:szCs w:val="24"/>
        </w:rPr>
        <w:t xml:space="preserve"> to </w:t>
      </w:r>
      <w:r w:rsidR="00065D56">
        <w:rPr>
          <w:rFonts w:ascii="Times New Roman" w:hAnsi="Times New Roman"/>
          <w:sz w:val="24"/>
          <w:szCs w:val="24"/>
        </w:rPr>
        <w:t xml:space="preserve">continue to </w:t>
      </w:r>
      <w:r w:rsidRPr="002B0ABC" w:rsidR="008A76B9">
        <w:rPr>
          <w:rFonts w:ascii="Times New Roman" w:hAnsi="Times New Roman"/>
          <w:sz w:val="24"/>
          <w:szCs w:val="24"/>
        </w:rPr>
        <w:t xml:space="preserve">offer a token of appreciation </w:t>
      </w:r>
      <w:r w:rsidRPr="002B0ABC" w:rsidR="008B782E">
        <w:rPr>
          <w:rFonts w:ascii="Times New Roman" w:hAnsi="Times New Roman"/>
          <w:sz w:val="24"/>
          <w:szCs w:val="24"/>
        </w:rPr>
        <w:t>(</w:t>
      </w:r>
      <w:r w:rsidRPr="002B0ABC" w:rsidR="001C69D0">
        <w:rPr>
          <w:rFonts w:ascii="Times New Roman" w:hAnsi="Times New Roman"/>
          <w:sz w:val="24"/>
          <w:szCs w:val="24"/>
        </w:rPr>
        <w:t xml:space="preserve">estimated at </w:t>
      </w:r>
      <w:r w:rsidRPr="002B0ABC" w:rsidR="008B782E">
        <w:rPr>
          <w:rFonts w:ascii="Times New Roman" w:hAnsi="Times New Roman"/>
          <w:sz w:val="24"/>
          <w:szCs w:val="24"/>
        </w:rPr>
        <w:t>up to $</w:t>
      </w:r>
      <w:r w:rsidRPr="002B0ABC" w:rsidR="00B8492A">
        <w:rPr>
          <w:rFonts w:ascii="Times New Roman" w:hAnsi="Times New Roman"/>
          <w:sz w:val="24"/>
          <w:szCs w:val="24"/>
        </w:rPr>
        <w:t>8</w:t>
      </w:r>
      <w:r w:rsidRPr="002B0ABC" w:rsidR="008A583A">
        <w:rPr>
          <w:rFonts w:ascii="Times New Roman" w:hAnsi="Times New Roman"/>
          <w:sz w:val="24"/>
          <w:szCs w:val="24"/>
        </w:rPr>
        <w:t>1.25</w:t>
      </w:r>
      <w:r w:rsidRPr="002B0ABC" w:rsidR="00B8492A">
        <w:rPr>
          <w:rFonts w:ascii="Times New Roman" w:hAnsi="Times New Roman"/>
          <w:sz w:val="24"/>
          <w:szCs w:val="24"/>
        </w:rPr>
        <w:t xml:space="preserve"> </w:t>
      </w:r>
      <w:r w:rsidRPr="002B0ABC" w:rsidR="001C69D0">
        <w:rPr>
          <w:rFonts w:ascii="Times New Roman" w:hAnsi="Times New Roman"/>
          <w:sz w:val="24"/>
          <w:szCs w:val="24"/>
        </w:rPr>
        <w:t>per person</w:t>
      </w:r>
      <w:r w:rsidRPr="002B0ABC" w:rsidR="00AF6177">
        <w:rPr>
          <w:rFonts w:ascii="Times New Roman" w:hAnsi="Times New Roman"/>
          <w:sz w:val="24"/>
          <w:szCs w:val="24"/>
        </w:rPr>
        <w:t>/hour</w:t>
      </w:r>
      <w:r>
        <w:rPr>
          <w:rStyle w:val="FootnoteReference"/>
          <w:rFonts w:ascii="Times New Roman" w:hAnsi="Times New Roman"/>
          <w:sz w:val="24"/>
          <w:szCs w:val="24"/>
        </w:rPr>
        <w:footnoteReference w:id="3"/>
      </w:r>
      <w:r w:rsidRPr="002B0ABC" w:rsidR="001C69D0">
        <w:rPr>
          <w:rFonts w:ascii="Times New Roman" w:hAnsi="Times New Roman"/>
          <w:sz w:val="24"/>
          <w:szCs w:val="24"/>
        </w:rPr>
        <w:t xml:space="preserve"> based on the length of the engagement)</w:t>
      </w:r>
      <w:r w:rsidRPr="002B0ABC" w:rsidR="008A76B9">
        <w:rPr>
          <w:rFonts w:ascii="Times New Roman" w:hAnsi="Times New Roman"/>
          <w:sz w:val="24"/>
          <w:szCs w:val="24"/>
        </w:rPr>
        <w:t xml:space="preserve"> </w:t>
      </w:r>
      <w:r w:rsidRPr="002B0ABC" w:rsidR="000801EC">
        <w:rPr>
          <w:rFonts w:ascii="Times New Roman" w:hAnsi="Times New Roman"/>
          <w:sz w:val="24"/>
          <w:szCs w:val="24"/>
        </w:rPr>
        <w:t xml:space="preserve">for respondents participating in </w:t>
      </w:r>
      <w:r w:rsidRPr="002B0ABC" w:rsidR="00D8132D">
        <w:rPr>
          <w:rFonts w:ascii="Times New Roman" w:hAnsi="Times New Roman"/>
          <w:sz w:val="24"/>
          <w:szCs w:val="24"/>
        </w:rPr>
        <w:t xml:space="preserve">time-intensive data collection (e.g., </w:t>
      </w:r>
      <w:r w:rsidRPr="002B0ABC" w:rsidR="0020797D">
        <w:rPr>
          <w:rFonts w:ascii="Times New Roman" w:hAnsi="Times New Roman"/>
          <w:sz w:val="24"/>
          <w:szCs w:val="24"/>
        </w:rPr>
        <w:t>focus groups, interviews, listening sessions</w:t>
      </w:r>
      <w:r w:rsidRPr="002B0ABC" w:rsidR="00D8132D">
        <w:rPr>
          <w:rFonts w:ascii="Times New Roman" w:hAnsi="Times New Roman"/>
          <w:sz w:val="24"/>
          <w:szCs w:val="24"/>
        </w:rPr>
        <w:t>)</w:t>
      </w:r>
      <w:r w:rsidRPr="002B0ABC" w:rsidR="0020797D">
        <w:rPr>
          <w:rFonts w:ascii="Times New Roman" w:hAnsi="Times New Roman"/>
          <w:sz w:val="24"/>
          <w:szCs w:val="24"/>
        </w:rPr>
        <w:t xml:space="preserve">, </w:t>
      </w:r>
      <w:r w:rsidR="00A45384">
        <w:rPr>
          <w:rFonts w:ascii="Times New Roman" w:hAnsi="Times New Roman"/>
          <w:sz w:val="24"/>
          <w:szCs w:val="24"/>
        </w:rPr>
        <w:t>consistent with</w:t>
      </w:r>
      <w:r w:rsidR="007B5A47">
        <w:rPr>
          <w:rFonts w:ascii="Times New Roman" w:hAnsi="Times New Roman"/>
          <w:sz w:val="24"/>
          <w:szCs w:val="24"/>
        </w:rPr>
        <w:t xml:space="preserve"> </w:t>
      </w:r>
      <w:r w:rsidR="00636160">
        <w:rPr>
          <w:rFonts w:ascii="Times New Roman" w:hAnsi="Times New Roman"/>
          <w:sz w:val="24"/>
          <w:szCs w:val="24"/>
        </w:rPr>
        <w:t>other federal information collections that engage those with lived experience, including lived human trafficking experience.</w:t>
      </w:r>
      <w:r w:rsidRPr="002B0ABC" w:rsidR="008A76B9">
        <w:rPr>
          <w:rFonts w:ascii="Times New Roman" w:hAnsi="Times New Roman"/>
          <w:sz w:val="24"/>
          <w:szCs w:val="24"/>
        </w:rPr>
        <w:t>.</w:t>
      </w:r>
      <w:r w:rsidRPr="002B0ABC" w:rsidR="00C31E5C">
        <w:rPr>
          <w:rFonts w:ascii="Times New Roman" w:hAnsi="Times New Roman"/>
          <w:sz w:val="24"/>
          <w:szCs w:val="24"/>
        </w:rPr>
        <w:t xml:space="preserve"> </w:t>
      </w:r>
    </w:p>
    <w:p w:rsidR="00A158B8" w:rsidRPr="002B0ABC" w:rsidP="00CE6A37" w14:paraId="60E15CA7" w14:textId="77777777">
      <w:pPr>
        <w:widowControl/>
        <w:tabs>
          <w:tab w:val="num" w:pos="360"/>
        </w:tabs>
        <w:ind w:left="360"/>
        <w:rPr>
          <w:rFonts w:ascii="Times New Roman" w:hAnsi="Times New Roman"/>
          <w:sz w:val="24"/>
          <w:szCs w:val="24"/>
        </w:rPr>
      </w:pPr>
    </w:p>
    <w:p w:rsidR="00232509" w:rsidRPr="00232509" w:rsidP="003333A7" w14:paraId="589A8766" w14:textId="00861537">
      <w:pPr>
        <w:widowControl/>
        <w:tabs>
          <w:tab w:val="num" w:pos="360"/>
        </w:tabs>
        <w:ind w:left="360"/>
        <w:rPr>
          <w:rFonts w:ascii="Times New Roman" w:hAnsi="Times New Roman"/>
          <w:sz w:val="24"/>
          <w:szCs w:val="24"/>
        </w:rPr>
      </w:pPr>
      <w:r w:rsidRPr="00167659">
        <w:rPr>
          <w:rFonts w:ascii="Times New Roman" w:hAnsi="Times New Roman"/>
          <w:sz w:val="24"/>
          <w:szCs w:val="24"/>
        </w:rPr>
        <w:t>Hearing the perspective of those</w:t>
      </w:r>
      <w:r>
        <w:rPr>
          <w:rFonts w:ascii="Times New Roman" w:hAnsi="Times New Roman"/>
          <w:sz w:val="24"/>
          <w:szCs w:val="24"/>
        </w:rPr>
        <w:t xml:space="preserve"> who participate in, benefit from, are</w:t>
      </w:r>
      <w:r w:rsidRPr="00167659">
        <w:rPr>
          <w:rFonts w:ascii="Times New Roman" w:hAnsi="Times New Roman"/>
          <w:sz w:val="24"/>
          <w:szCs w:val="24"/>
        </w:rPr>
        <w:t xml:space="preserve"> affected by, interested in, or potentially interested in </w:t>
      </w:r>
      <w:r>
        <w:rPr>
          <w:rFonts w:ascii="Times New Roman" w:hAnsi="Times New Roman"/>
          <w:sz w:val="24"/>
          <w:szCs w:val="24"/>
        </w:rPr>
        <w:t>NHTTAC’s T/TA offerings i</w:t>
      </w:r>
      <w:r w:rsidRPr="00167659">
        <w:rPr>
          <w:rFonts w:ascii="Times New Roman" w:hAnsi="Times New Roman"/>
          <w:sz w:val="24"/>
          <w:szCs w:val="24"/>
        </w:rPr>
        <w:t xml:space="preserve">s vital to ensure </w:t>
      </w:r>
      <w:r>
        <w:rPr>
          <w:rFonts w:ascii="Times New Roman" w:hAnsi="Times New Roman"/>
          <w:sz w:val="24"/>
          <w:szCs w:val="24"/>
        </w:rPr>
        <w:t>the T/TA offered</w:t>
      </w:r>
      <w:r w:rsidRPr="00167659">
        <w:rPr>
          <w:rFonts w:ascii="Times New Roman" w:hAnsi="Times New Roman"/>
          <w:sz w:val="24"/>
          <w:szCs w:val="24"/>
        </w:rPr>
        <w:t xml:space="preserve"> is responsive to the needs of those it serves</w:t>
      </w:r>
      <w:r>
        <w:rPr>
          <w:rFonts w:ascii="Times New Roman" w:hAnsi="Times New Roman"/>
          <w:sz w:val="24"/>
          <w:szCs w:val="24"/>
        </w:rPr>
        <w:t xml:space="preserve">, and </w:t>
      </w:r>
      <w:r w:rsidRPr="00167659">
        <w:rPr>
          <w:rFonts w:ascii="Times New Roman" w:hAnsi="Times New Roman"/>
          <w:sz w:val="24"/>
          <w:szCs w:val="24"/>
        </w:rPr>
        <w:t>helps to ensure that</w:t>
      </w:r>
      <w:r>
        <w:rPr>
          <w:rFonts w:ascii="Times New Roman" w:hAnsi="Times New Roman"/>
          <w:sz w:val="24"/>
          <w:szCs w:val="24"/>
        </w:rPr>
        <w:t xml:space="preserve"> both</w:t>
      </w:r>
      <w:r w:rsidRPr="00167659">
        <w:rPr>
          <w:rFonts w:ascii="Times New Roman" w:hAnsi="Times New Roman"/>
          <w:sz w:val="24"/>
          <w:szCs w:val="24"/>
        </w:rPr>
        <w:t xml:space="preserve"> </w:t>
      </w:r>
      <w:r>
        <w:rPr>
          <w:rFonts w:ascii="Times New Roman" w:hAnsi="Times New Roman"/>
          <w:sz w:val="24"/>
          <w:szCs w:val="24"/>
        </w:rPr>
        <w:t>resources</w:t>
      </w:r>
      <w:r w:rsidRPr="00167659">
        <w:rPr>
          <w:rFonts w:ascii="Times New Roman" w:hAnsi="Times New Roman"/>
          <w:sz w:val="24"/>
          <w:szCs w:val="24"/>
        </w:rPr>
        <w:t xml:space="preserve"> and programming </w:t>
      </w:r>
      <w:r>
        <w:rPr>
          <w:rFonts w:ascii="Times New Roman" w:hAnsi="Times New Roman"/>
          <w:sz w:val="24"/>
          <w:szCs w:val="24"/>
        </w:rPr>
        <w:t>are</w:t>
      </w:r>
      <w:r w:rsidRPr="00167659">
        <w:rPr>
          <w:rFonts w:ascii="Times New Roman" w:hAnsi="Times New Roman"/>
          <w:sz w:val="24"/>
          <w:szCs w:val="24"/>
        </w:rPr>
        <w:t xml:space="preserve"> appropriate, useful, and relevant for audiences. </w:t>
      </w:r>
      <w:r w:rsidRPr="002B0ABC" w:rsidR="00A158B8">
        <w:rPr>
          <w:rFonts w:ascii="Times New Roman" w:hAnsi="Times New Roman"/>
          <w:sz w:val="24"/>
          <w:szCs w:val="24"/>
        </w:rPr>
        <w:t xml:space="preserve">Leading practices for developing human trafficking-specific </w:t>
      </w:r>
      <w:r w:rsidRPr="002B0ABC" w:rsidR="001C1C59">
        <w:rPr>
          <w:rFonts w:ascii="Times New Roman" w:hAnsi="Times New Roman"/>
          <w:sz w:val="24"/>
          <w:szCs w:val="24"/>
        </w:rPr>
        <w:t>T/TA</w:t>
      </w:r>
      <w:r w:rsidRPr="002B0ABC" w:rsidR="00A158B8">
        <w:rPr>
          <w:rFonts w:ascii="Times New Roman" w:hAnsi="Times New Roman"/>
          <w:sz w:val="24"/>
          <w:szCs w:val="24"/>
        </w:rPr>
        <w:t xml:space="preserve"> call</w:t>
      </w:r>
      <w:r w:rsidRPr="002B0ABC" w:rsidR="00E6437A">
        <w:rPr>
          <w:rFonts w:ascii="Times New Roman" w:hAnsi="Times New Roman"/>
          <w:sz w:val="24"/>
          <w:szCs w:val="24"/>
        </w:rPr>
        <w:t>s</w:t>
      </w:r>
      <w:r w:rsidRPr="002B0ABC" w:rsidR="00A158B8">
        <w:rPr>
          <w:rFonts w:ascii="Times New Roman" w:hAnsi="Times New Roman"/>
          <w:sz w:val="24"/>
          <w:szCs w:val="24"/>
        </w:rPr>
        <w:t xml:space="preserve"> for accurate and </w:t>
      </w:r>
      <w:r w:rsidRPr="00A15588" w:rsidR="00554F9E">
        <w:rPr>
          <w:rFonts w:ascii="Times New Roman" w:hAnsi="Times New Roman"/>
          <w:sz w:val="24"/>
          <w:szCs w:val="24"/>
        </w:rPr>
        <w:t>varied</w:t>
      </w:r>
      <w:r w:rsidRPr="00A15588" w:rsidR="00A158B8">
        <w:rPr>
          <w:rFonts w:ascii="Times New Roman" w:hAnsi="Times New Roman"/>
          <w:sz w:val="24"/>
          <w:szCs w:val="24"/>
        </w:rPr>
        <w:t xml:space="preserve"> </w:t>
      </w:r>
      <w:r w:rsidRPr="002B0ABC" w:rsidR="00714D90">
        <w:rPr>
          <w:rFonts w:ascii="Times New Roman" w:hAnsi="Times New Roman"/>
          <w:sz w:val="24"/>
          <w:szCs w:val="24"/>
        </w:rPr>
        <w:t>experiences</w:t>
      </w:r>
      <w:r w:rsidRPr="002B0ABC" w:rsidR="00A158B8">
        <w:rPr>
          <w:rFonts w:ascii="Times New Roman" w:hAnsi="Times New Roman"/>
          <w:sz w:val="24"/>
          <w:szCs w:val="24"/>
        </w:rPr>
        <w:t xml:space="preserve"> </w:t>
      </w:r>
      <w:r w:rsidRPr="002B0ABC" w:rsidR="00DA06EA">
        <w:rPr>
          <w:rFonts w:ascii="Times New Roman" w:hAnsi="Times New Roman"/>
          <w:sz w:val="24"/>
          <w:szCs w:val="24"/>
        </w:rPr>
        <w:t>reflected</w:t>
      </w:r>
      <w:r w:rsidRPr="002B0ABC" w:rsidR="00E6437A">
        <w:rPr>
          <w:rFonts w:ascii="Times New Roman" w:hAnsi="Times New Roman"/>
          <w:sz w:val="24"/>
          <w:szCs w:val="24"/>
        </w:rPr>
        <w:t xml:space="preserve"> in the curriculum </w:t>
      </w:r>
      <w:r w:rsidRPr="002B0ABC" w:rsidR="00A158B8">
        <w:rPr>
          <w:rFonts w:ascii="Times New Roman" w:hAnsi="Times New Roman"/>
          <w:sz w:val="24"/>
          <w:szCs w:val="24"/>
        </w:rPr>
        <w:t xml:space="preserve">and </w:t>
      </w:r>
      <w:r w:rsidRPr="002B0ABC" w:rsidR="00A61FC6">
        <w:rPr>
          <w:rFonts w:ascii="Times New Roman" w:hAnsi="Times New Roman"/>
          <w:sz w:val="24"/>
          <w:szCs w:val="24"/>
        </w:rPr>
        <w:t xml:space="preserve">timely </w:t>
      </w:r>
      <w:r w:rsidRPr="002B0ABC" w:rsidR="00A158B8">
        <w:rPr>
          <w:rFonts w:ascii="Times New Roman" w:hAnsi="Times New Roman"/>
          <w:sz w:val="24"/>
          <w:szCs w:val="24"/>
        </w:rPr>
        <w:t>communication</w:t>
      </w:r>
      <w:r w:rsidRPr="002B0ABC" w:rsidR="00B74CEE">
        <w:rPr>
          <w:rFonts w:ascii="Times New Roman" w:hAnsi="Times New Roman"/>
          <w:sz w:val="24"/>
          <w:szCs w:val="24"/>
        </w:rPr>
        <w:t xml:space="preserve"> about anti-trafficking policies and practices</w:t>
      </w:r>
      <w:r w:rsidRPr="002B0ABC" w:rsidR="00A158B8">
        <w:rPr>
          <w:rFonts w:ascii="Times New Roman" w:hAnsi="Times New Roman"/>
          <w:sz w:val="24"/>
          <w:szCs w:val="24"/>
        </w:rPr>
        <w:t xml:space="preserve">. </w:t>
      </w:r>
      <w:r w:rsidRPr="002B0ABC" w:rsidR="00BF6711">
        <w:rPr>
          <w:rFonts w:ascii="Times New Roman" w:hAnsi="Times New Roman"/>
          <w:sz w:val="24"/>
          <w:szCs w:val="24"/>
        </w:rPr>
        <w:t xml:space="preserve"> </w:t>
      </w:r>
      <w:r w:rsidRPr="002B0ABC" w:rsidR="00A158B8">
        <w:rPr>
          <w:rFonts w:ascii="Times New Roman" w:hAnsi="Times New Roman"/>
          <w:sz w:val="24"/>
          <w:szCs w:val="24"/>
        </w:rPr>
        <w:t xml:space="preserve">Failing to provide a token of appreciation for the </w:t>
      </w:r>
      <w:r w:rsidRPr="002B0ABC" w:rsidR="00AA1175">
        <w:rPr>
          <w:rFonts w:ascii="Times New Roman" w:hAnsi="Times New Roman"/>
          <w:sz w:val="24"/>
          <w:szCs w:val="24"/>
        </w:rPr>
        <w:t xml:space="preserve">persons with lived experience and </w:t>
      </w:r>
      <w:r w:rsidRPr="002B0ABC" w:rsidR="00A158B8">
        <w:rPr>
          <w:rFonts w:ascii="Times New Roman" w:hAnsi="Times New Roman"/>
          <w:sz w:val="24"/>
          <w:szCs w:val="24"/>
        </w:rPr>
        <w:t xml:space="preserve">anti-trafficking practitioners will meaningfully increase response bias and may impact the quality of the information that is ultimately </w:t>
      </w:r>
      <w:r w:rsidRPr="002B0ABC" w:rsidR="000170B2">
        <w:rPr>
          <w:rFonts w:ascii="Times New Roman" w:hAnsi="Times New Roman"/>
          <w:sz w:val="24"/>
          <w:szCs w:val="24"/>
        </w:rPr>
        <w:t xml:space="preserve">used </w:t>
      </w:r>
      <w:r w:rsidRPr="002B0ABC" w:rsidR="00514C4D">
        <w:rPr>
          <w:rFonts w:ascii="Times New Roman" w:hAnsi="Times New Roman"/>
          <w:sz w:val="24"/>
          <w:szCs w:val="24"/>
        </w:rPr>
        <w:t>in the T/TA</w:t>
      </w:r>
      <w:r w:rsidRPr="002B0ABC" w:rsidR="00A158B8">
        <w:rPr>
          <w:rFonts w:ascii="Times New Roman" w:hAnsi="Times New Roman"/>
          <w:sz w:val="24"/>
          <w:szCs w:val="24"/>
        </w:rPr>
        <w:t>.</w:t>
      </w:r>
      <w:r w:rsidRPr="002B0ABC" w:rsidR="008A583A">
        <w:rPr>
          <w:rFonts w:ascii="Times New Roman" w:hAnsi="Times New Roman"/>
          <w:sz w:val="24"/>
          <w:szCs w:val="24"/>
        </w:rPr>
        <w:t xml:space="preserve">  </w:t>
      </w:r>
    </w:p>
    <w:p w:rsidR="00A158B8" w:rsidRPr="00232509" w:rsidP="00CE6A37" w14:paraId="101D0AE6" w14:textId="30284014">
      <w:pPr>
        <w:widowControl/>
        <w:tabs>
          <w:tab w:val="num" w:pos="360"/>
        </w:tabs>
        <w:ind w:left="360"/>
        <w:rPr>
          <w:rFonts w:ascii="Times New Roman" w:hAnsi="Times New Roman"/>
          <w:sz w:val="24"/>
          <w:szCs w:val="24"/>
        </w:rPr>
      </w:pPr>
    </w:p>
    <w:p w:rsidR="00232509" w:rsidRPr="00232509" w:rsidP="001F7317" w14:paraId="57F5F4E3"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 </w:t>
      </w:r>
      <w:r w:rsidRPr="00232509" w:rsidR="002C3C4F">
        <w:rPr>
          <w:rFonts w:ascii="Times New Roman" w:hAnsi="Times New Roman"/>
          <w:b/>
          <w:snapToGrid/>
          <w:sz w:val="24"/>
          <w:szCs w:val="24"/>
        </w:rPr>
        <w:t>Assurance of Confidentiality Provided to Respondents</w:t>
      </w:r>
    </w:p>
    <w:p w:rsidR="00D60543" w:rsidP="00351771" w14:paraId="6D607347" w14:textId="3E192660">
      <w:pPr>
        <w:pStyle w:val="1"/>
        <w:widowControl/>
        <w:tabs>
          <w:tab w:val="left" w:pos="-1440"/>
        </w:tabs>
        <w:ind w:left="360"/>
        <w:rPr>
          <w:sz w:val="24"/>
          <w:szCs w:val="24"/>
        </w:rPr>
      </w:pPr>
      <w:r>
        <w:rPr>
          <w:sz w:val="24"/>
          <w:szCs w:val="24"/>
        </w:rPr>
        <w:t xml:space="preserve">In </w:t>
      </w:r>
      <w:r w:rsidRPr="005D2D42" w:rsidR="005D2D42">
        <w:rPr>
          <w:sz w:val="24"/>
          <w:szCs w:val="24"/>
        </w:rPr>
        <w:t>accordance with the requirements of the Privacy Act of 1974 (5 U.S.C. 552a), OTIP established a system of records for NHTTAC. OTIP’s system of records notice, titled 09–80–0392, National</w:t>
      </w:r>
      <w:r w:rsidR="005D2D42">
        <w:rPr>
          <w:sz w:val="24"/>
          <w:szCs w:val="24"/>
        </w:rPr>
        <w:t xml:space="preserve"> </w:t>
      </w:r>
      <w:r w:rsidRPr="005D2D42" w:rsidR="005D2D42">
        <w:rPr>
          <w:sz w:val="24"/>
          <w:szCs w:val="24"/>
        </w:rPr>
        <w:t xml:space="preserve">Human Trafficking Training and Technical Assistance Center (NHTTAC) Participant Records, was published on May 2, 2024 at 89 FR 35825.  </w:t>
      </w:r>
      <w:r w:rsidR="00301EEE">
        <w:rPr>
          <w:sz w:val="24"/>
          <w:szCs w:val="24"/>
        </w:rPr>
        <w:t>NHTTAC protects the privacy of respondent’s information and responses in accordance with the Privacy Act.</w:t>
      </w:r>
      <w:r w:rsidR="001A613E">
        <w:rPr>
          <w:sz w:val="24"/>
          <w:szCs w:val="24"/>
        </w:rPr>
        <w:t xml:space="preserve"> </w:t>
      </w:r>
      <w:r w:rsidRPr="00232509" w:rsidR="004F0786">
        <w:rPr>
          <w:sz w:val="24"/>
          <w:szCs w:val="24"/>
        </w:rPr>
        <w:t xml:space="preserve">Any release of information will conform to the guidelines of the Institutional Review Board (IRB) as determined by Title 45 Part 46 of the Code of Federal Regulations. Only NHTTAC </w:t>
      </w:r>
      <w:r w:rsidR="004011ED">
        <w:rPr>
          <w:sz w:val="24"/>
          <w:szCs w:val="24"/>
        </w:rPr>
        <w:t xml:space="preserve">evaluation </w:t>
      </w:r>
      <w:r w:rsidRPr="00232509" w:rsidR="004F0786">
        <w:rPr>
          <w:sz w:val="24"/>
          <w:szCs w:val="24"/>
        </w:rPr>
        <w:t xml:space="preserve">team </w:t>
      </w:r>
      <w:r w:rsidR="003A35F0">
        <w:rPr>
          <w:sz w:val="24"/>
          <w:szCs w:val="24"/>
        </w:rPr>
        <w:t xml:space="preserve">members </w:t>
      </w:r>
      <w:r w:rsidRPr="00232509" w:rsidR="004F0786">
        <w:rPr>
          <w:sz w:val="24"/>
          <w:szCs w:val="24"/>
        </w:rPr>
        <w:t xml:space="preserve">will have access to completed forms. Once the information from each form </w:t>
      </w:r>
      <w:r w:rsidRPr="00232509" w:rsidR="00871AFE">
        <w:rPr>
          <w:sz w:val="24"/>
          <w:szCs w:val="24"/>
        </w:rPr>
        <w:t>is</w:t>
      </w:r>
      <w:r w:rsidRPr="00232509" w:rsidR="004F0786">
        <w:rPr>
          <w:sz w:val="24"/>
          <w:szCs w:val="24"/>
        </w:rPr>
        <w:t xml:space="preserve"> entered into an electronic database, only those NHTTAC </w:t>
      </w:r>
      <w:r w:rsidR="004011ED">
        <w:rPr>
          <w:sz w:val="24"/>
          <w:szCs w:val="24"/>
        </w:rPr>
        <w:t xml:space="preserve">evaluation </w:t>
      </w:r>
      <w:r w:rsidRPr="00232509" w:rsidR="004F0786">
        <w:rPr>
          <w:sz w:val="24"/>
          <w:szCs w:val="24"/>
        </w:rPr>
        <w:t>team members with valid identification, password, and permissions will have access to the information and raw data. Any physical forms will be maintained in a locked filing cabinet with limited access. Transmission of data from NHTTAC to OTIP will be restricted to de-identified data to protect the identity of the respondent (e.g., redacting open-ended comments with contact information</w:t>
      </w:r>
      <w:r w:rsidR="001020FD">
        <w:rPr>
          <w:sz w:val="24"/>
          <w:szCs w:val="24"/>
        </w:rPr>
        <w:t>,</w:t>
      </w:r>
      <w:r w:rsidRPr="00232509" w:rsidR="004F0786">
        <w:rPr>
          <w:sz w:val="24"/>
          <w:szCs w:val="24"/>
        </w:rPr>
        <w:t xml:space="preserve"> providing interview results in aggregate form). </w:t>
      </w:r>
    </w:p>
    <w:p w:rsidR="00924E67" w:rsidP="00351771" w14:paraId="7F65305F" w14:textId="67FD982E">
      <w:pPr>
        <w:pStyle w:val="1"/>
        <w:widowControl/>
        <w:tabs>
          <w:tab w:val="left" w:pos="-1440"/>
        </w:tabs>
        <w:ind w:left="360"/>
        <w:rPr>
          <w:sz w:val="24"/>
          <w:szCs w:val="24"/>
        </w:rPr>
      </w:pPr>
    </w:p>
    <w:p w:rsidR="00924E67" w:rsidRPr="00672FF9" w:rsidP="00672FF9" w14:paraId="06C41DAB" w14:textId="7124DA24">
      <w:pPr>
        <w:widowControl/>
        <w:ind w:left="360"/>
        <w:rPr>
          <w:rFonts w:ascii="Times New Roman" w:hAnsi="Times New Roman"/>
          <w:snapToGrid/>
          <w:sz w:val="24"/>
          <w:szCs w:val="24"/>
        </w:rPr>
      </w:pPr>
      <w:r w:rsidRPr="00232509">
        <w:rPr>
          <w:rFonts w:ascii="Times New Roman" w:hAnsi="Times New Roman"/>
          <w:snapToGrid/>
          <w:sz w:val="24"/>
          <w:szCs w:val="24"/>
        </w:rPr>
        <w:t xml:space="preserve">With the exception of focus groups and interviews, all evaluations will be disseminated </w:t>
      </w:r>
      <w:r w:rsidRPr="00232509">
        <w:rPr>
          <w:rFonts w:ascii="Times New Roman" w:hAnsi="Times New Roman"/>
          <w:snapToGrid/>
          <w:sz w:val="24"/>
          <w:szCs w:val="24"/>
        </w:rPr>
        <w:t>electronically, and</w:t>
      </w:r>
      <w:r w:rsidRPr="00232509">
        <w:rPr>
          <w:rFonts w:ascii="Times New Roman" w:hAnsi="Times New Roman"/>
          <w:snapToGrid/>
          <w:sz w:val="24"/>
          <w:szCs w:val="24"/>
        </w:rPr>
        <w:t xml:space="preserve"> limited personally identifiable information will be collected. All quantitative findings will be reported in aggregate form. When applicable, qualitative data collection efforts will collect the minimal amount of personally identifiable information (e.g., name and contact information) necessary for scheduling purposes. Any contact information will be stored separately from any notes, and all files will be password protected and stored on a secure server. </w:t>
      </w:r>
    </w:p>
    <w:p w:rsidR="00D60543" w:rsidRPr="00232509" w:rsidP="0051278C" w14:paraId="283352B8" w14:textId="77777777">
      <w:pPr>
        <w:widowControl/>
        <w:tabs>
          <w:tab w:val="num" w:pos="360"/>
        </w:tabs>
        <w:ind w:left="720" w:hanging="360"/>
        <w:rPr>
          <w:rFonts w:ascii="Times New Roman" w:hAnsi="Times New Roman"/>
          <w:snapToGrid/>
          <w:sz w:val="24"/>
          <w:szCs w:val="24"/>
        </w:rPr>
      </w:pPr>
    </w:p>
    <w:p w:rsidR="002C3C4F" w:rsidRPr="00232509" w:rsidP="001F7317" w14:paraId="53F93449"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Justification for Sensitive Questions </w:t>
      </w:r>
    </w:p>
    <w:p w:rsidR="00CB1A12" w:rsidRPr="00232509" w:rsidP="00677441" w14:paraId="30A372C7" w14:textId="02B993A0">
      <w:pPr>
        <w:widowControl/>
        <w:tabs>
          <w:tab w:val="num" w:pos="360"/>
        </w:tabs>
        <w:ind w:left="360"/>
        <w:rPr>
          <w:rFonts w:ascii="Times New Roman" w:hAnsi="Times New Roman"/>
          <w:sz w:val="24"/>
          <w:szCs w:val="24"/>
        </w:rPr>
      </w:pPr>
      <w:r w:rsidRPr="00232509">
        <w:rPr>
          <w:rFonts w:ascii="Times New Roman" w:hAnsi="Times New Roman"/>
          <w:sz w:val="24"/>
          <w:szCs w:val="24"/>
        </w:rPr>
        <w:t xml:space="preserve">No questions of a personal or sensitive nature will be asked on the evaluation forms. </w:t>
      </w:r>
      <w:r w:rsidRPr="00232509" w:rsidR="00E30FEB">
        <w:rPr>
          <w:rFonts w:ascii="Times New Roman" w:hAnsi="Times New Roman"/>
          <w:sz w:val="24"/>
          <w:szCs w:val="24"/>
        </w:rPr>
        <w:t>Only</w:t>
      </w:r>
      <w:r w:rsidRPr="00232509">
        <w:rPr>
          <w:rFonts w:ascii="Times New Roman" w:hAnsi="Times New Roman"/>
          <w:sz w:val="24"/>
          <w:szCs w:val="24"/>
        </w:rPr>
        <w:t xml:space="preserve"> information necessary to determine eligibility requirements</w:t>
      </w:r>
      <w:r w:rsidRPr="00232509" w:rsidR="00E30FEB">
        <w:rPr>
          <w:rFonts w:ascii="Times New Roman" w:hAnsi="Times New Roman"/>
          <w:sz w:val="24"/>
          <w:szCs w:val="24"/>
        </w:rPr>
        <w:t xml:space="preserve"> will be captured</w:t>
      </w:r>
      <w:r w:rsidRPr="00232509">
        <w:rPr>
          <w:rFonts w:ascii="Times New Roman" w:hAnsi="Times New Roman"/>
          <w:sz w:val="24"/>
          <w:szCs w:val="24"/>
        </w:rPr>
        <w:t>.</w:t>
      </w:r>
    </w:p>
    <w:p w:rsidR="00677441" w:rsidRPr="00232509" w:rsidP="00677441" w14:paraId="350F70C3" w14:textId="77777777">
      <w:pPr>
        <w:widowControl/>
        <w:tabs>
          <w:tab w:val="num" w:pos="360"/>
        </w:tabs>
        <w:ind w:left="360"/>
        <w:rPr>
          <w:rFonts w:ascii="Times New Roman" w:hAnsi="Times New Roman"/>
          <w:sz w:val="24"/>
          <w:szCs w:val="24"/>
        </w:rPr>
      </w:pPr>
    </w:p>
    <w:p w:rsidR="002C3C4F" w:rsidRPr="00232509" w:rsidP="001F7317" w14:paraId="2C65BC03" w14:textId="77777777">
      <w:pPr>
        <w:keepNext/>
        <w:widowControl/>
        <w:numPr>
          <w:ilvl w:val="0"/>
          <w:numId w:val="3"/>
        </w:numPr>
        <w:tabs>
          <w:tab w:val="num" w:pos="360"/>
          <w:tab w:val="clear" w:pos="720"/>
        </w:tabs>
        <w:spacing w:after="120"/>
        <w:ind w:left="360"/>
        <w:rPr>
          <w:rFonts w:ascii="Times New Roman" w:hAnsi="Times New Roman"/>
          <w:b/>
          <w:sz w:val="24"/>
          <w:szCs w:val="24"/>
        </w:rPr>
      </w:pPr>
      <w:r w:rsidRPr="00232509">
        <w:rPr>
          <w:rFonts w:ascii="Times New Roman" w:hAnsi="Times New Roman"/>
          <w:b/>
          <w:sz w:val="24"/>
          <w:szCs w:val="24"/>
        </w:rPr>
        <w:t xml:space="preserve">Estimates of Annualized Burden Hours and Costs </w:t>
      </w:r>
    </w:p>
    <w:p w:rsidR="001F7317" w:rsidP="008B77D3" w14:paraId="3313123D" w14:textId="281F7536">
      <w:pPr>
        <w:widowControl/>
        <w:ind w:left="360"/>
        <w:rPr>
          <w:rFonts w:ascii="Times New Roman" w:hAnsi="Times New Roman"/>
          <w:sz w:val="24"/>
          <w:szCs w:val="24"/>
        </w:rPr>
      </w:pPr>
      <w:r w:rsidRPr="00232509">
        <w:rPr>
          <w:rFonts w:ascii="Times New Roman" w:hAnsi="Times New Roman"/>
          <w:sz w:val="24"/>
          <w:szCs w:val="24"/>
        </w:rPr>
        <w:t xml:space="preserve">A variety of instruments and platforms will be used to collect information from respondents. The annual burden hours </w:t>
      </w:r>
      <w:r w:rsidR="00F858CF">
        <w:rPr>
          <w:rFonts w:ascii="Times New Roman" w:hAnsi="Times New Roman"/>
          <w:sz w:val="24"/>
          <w:szCs w:val="24"/>
        </w:rPr>
        <w:t>and costs are</w:t>
      </w:r>
      <w:r w:rsidRPr="00232509">
        <w:rPr>
          <w:rFonts w:ascii="Times New Roman" w:hAnsi="Times New Roman"/>
          <w:sz w:val="24"/>
          <w:szCs w:val="24"/>
        </w:rPr>
        <w:t xml:space="preserve"> based on the </w:t>
      </w:r>
      <w:r w:rsidR="00F858CF">
        <w:rPr>
          <w:rFonts w:ascii="Times New Roman" w:hAnsi="Times New Roman"/>
          <w:sz w:val="24"/>
          <w:szCs w:val="24"/>
        </w:rPr>
        <w:t xml:space="preserve">total </w:t>
      </w:r>
      <w:r w:rsidRPr="00232509">
        <w:rPr>
          <w:rFonts w:ascii="Times New Roman" w:hAnsi="Times New Roman"/>
          <w:sz w:val="24"/>
          <w:szCs w:val="24"/>
        </w:rPr>
        <w:t xml:space="preserve">number of collections </w:t>
      </w:r>
      <w:r w:rsidR="00DD0853">
        <w:rPr>
          <w:rFonts w:ascii="Times New Roman" w:hAnsi="Times New Roman"/>
          <w:sz w:val="24"/>
          <w:szCs w:val="24"/>
        </w:rPr>
        <w:t>NHTTAC</w:t>
      </w:r>
      <w:r w:rsidRPr="00232509" w:rsidR="00DD0853">
        <w:rPr>
          <w:rFonts w:ascii="Times New Roman" w:hAnsi="Times New Roman"/>
          <w:sz w:val="24"/>
          <w:szCs w:val="24"/>
        </w:rPr>
        <w:t xml:space="preserve"> </w:t>
      </w:r>
      <w:r w:rsidRPr="00232509">
        <w:rPr>
          <w:rFonts w:ascii="Times New Roman" w:hAnsi="Times New Roman"/>
          <w:sz w:val="24"/>
          <w:szCs w:val="24"/>
        </w:rPr>
        <w:t>expect</w:t>
      </w:r>
      <w:r w:rsidR="00DD0853">
        <w:rPr>
          <w:rFonts w:ascii="Times New Roman" w:hAnsi="Times New Roman"/>
          <w:sz w:val="24"/>
          <w:szCs w:val="24"/>
        </w:rPr>
        <w:t>s</w:t>
      </w:r>
      <w:r w:rsidRPr="00232509">
        <w:rPr>
          <w:rFonts w:ascii="Times New Roman" w:hAnsi="Times New Roman"/>
          <w:sz w:val="24"/>
          <w:szCs w:val="24"/>
        </w:rPr>
        <w:t xml:space="preserve"> to conduct </w:t>
      </w:r>
      <w:r w:rsidR="00F858CF">
        <w:rPr>
          <w:rFonts w:ascii="Times New Roman" w:hAnsi="Times New Roman"/>
          <w:sz w:val="24"/>
          <w:szCs w:val="24"/>
        </w:rPr>
        <w:t xml:space="preserve">over a </w:t>
      </w:r>
      <w:r w:rsidR="0037763F">
        <w:rPr>
          <w:rFonts w:ascii="Times New Roman" w:hAnsi="Times New Roman"/>
          <w:sz w:val="24"/>
          <w:szCs w:val="24"/>
        </w:rPr>
        <w:t>three-year</w:t>
      </w:r>
      <w:r w:rsidR="00F858CF">
        <w:rPr>
          <w:rFonts w:ascii="Times New Roman" w:hAnsi="Times New Roman"/>
          <w:sz w:val="24"/>
          <w:szCs w:val="24"/>
        </w:rPr>
        <w:t xml:space="preserve"> period, divided by three</w:t>
      </w:r>
      <w:r w:rsidRPr="00232509">
        <w:rPr>
          <w:rFonts w:ascii="Times New Roman" w:hAnsi="Times New Roman"/>
          <w:sz w:val="24"/>
          <w:szCs w:val="24"/>
        </w:rPr>
        <w:t>.</w:t>
      </w:r>
    </w:p>
    <w:p w:rsidR="00D87F5B" w:rsidP="008B77D3" w14:paraId="489574E2" w14:textId="77777777">
      <w:pPr>
        <w:widowControl/>
        <w:ind w:left="360"/>
        <w:rPr>
          <w:rFonts w:ascii="Times New Roman" w:hAnsi="Times New Roman"/>
          <w:sz w:val="24"/>
          <w:szCs w:val="24"/>
        </w:rPr>
      </w:pPr>
    </w:p>
    <w:p w:rsidR="00D87F5B" w:rsidP="008B77D3" w14:paraId="4F34D3EE" w14:textId="28687175">
      <w:pPr>
        <w:widowControl/>
        <w:ind w:left="360"/>
        <w:rPr>
          <w:rFonts w:ascii="Times New Roman" w:hAnsi="Times New Roman"/>
          <w:sz w:val="24"/>
          <w:szCs w:val="24"/>
        </w:rPr>
      </w:pPr>
      <w:r w:rsidRPr="00F47BF8">
        <w:rPr>
          <w:rFonts w:ascii="Times New Roman" w:hAnsi="Times New Roman"/>
          <w:bCs/>
          <w:i/>
          <w:iCs/>
          <w:snapToGrid/>
          <w:sz w:val="24"/>
          <w:szCs w:val="24"/>
        </w:rPr>
        <w:t xml:space="preserve">Table 1. Annual Burden </w:t>
      </w:r>
      <w:r w:rsidR="003D749F">
        <w:rPr>
          <w:rFonts w:ascii="Times New Roman" w:hAnsi="Times New Roman"/>
          <w:bCs/>
          <w:i/>
          <w:iCs/>
          <w:snapToGrid/>
          <w:sz w:val="24"/>
          <w:szCs w:val="24"/>
        </w:rPr>
        <w:t xml:space="preserve">Hour and Cost </w:t>
      </w:r>
      <w:r w:rsidRPr="00F47BF8">
        <w:rPr>
          <w:rFonts w:ascii="Times New Roman" w:hAnsi="Times New Roman"/>
          <w:bCs/>
          <w:i/>
          <w:iCs/>
          <w:snapToGrid/>
          <w:sz w:val="24"/>
          <w:szCs w:val="24"/>
        </w:rPr>
        <w:t xml:space="preserve">Estimates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1331"/>
        <w:gridCol w:w="1371"/>
        <w:gridCol w:w="1193"/>
        <w:gridCol w:w="861"/>
        <w:gridCol w:w="924"/>
        <w:gridCol w:w="928"/>
        <w:gridCol w:w="1216"/>
      </w:tblGrid>
      <w:tr w14:paraId="16AB498B" w14:textId="04631665" w:rsidTr="006E7E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16" w:type="pct"/>
            <w:shd w:val="clear" w:color="auto" w:fill="D0CECE" w:themeFill="background2" w:themeFillShade="E6"/>
            <w:vAlign w:val="center"/>
          </w:tcPr>
          <w:p w:rsidR="003D749F" w:rsidRPr="00BB0A08" w:rsidP="003D749F" w14:paraId="420D9CB9" w14:textId="77777777">
            <w:pPr>
              <w:jc w:val="center"/>
              <w:rPr>
                <w:rFonts w:ascii="Times New Roman" w:hAnsi="Times New Roman"/>
                <w:b/>
                <w:bCs/>
              </w:rPr>
            </w:pPr>
            <w:r w:rsidRPr="00BB0A08">
              <w:rPr>
                <w:rFonts w:ascii="Times New Roman" w:hAnsi="Times New Roman"/>
                <w:b/>
                <w:bCs/>
              </w:rPr>
              <w:t>Instrument</w:t>
            </w:r>
          </w:p>
        </w:tc>
        <w:tc>
          <w:tcPr>
            <w:tcW w:w="712" w:type="pct"/>
            <w:shd w:val="clear" w:color="auto" w:fill="D0CECE" w:themeFill="background2" w:themeFillShade="E6"/>
            <w:vAlign w:val="center"/>
          </w:tcPr>
          <w:p w:rsidR="003D749F" w:rsidRPr="00BB0A08" w:rsidP="003D749F" w14:paraId="1F422DE4" w14:textId="77777777">
            <w:pPr>
              <w:jc w:val="center"/>
              <w:rPr>
                <w:rFonts w:ascii="Times New Roman" w:hAnsi="Times New Roman"/>
                <w:b/>
                <w:bCs/>
              </w:rPr>
            </w:pPr>
            <w:r w:rsidRPr="00BB0A08">
              <w:rPr>
                <w:rFonts w:ascii="Times New Roman" w:hAnsi="Times New Roman"/>
                <w:b/>
                <w:bCs/>
              </w:rPr>
              <w:t>Total Number of Respondents</w:t>
            </w:r>
          </w:p>
        </w:tc>
        <w:tc>
          <w:tcPr>
            <w:tcW w:w="733" w:type="pct"/>
            <w:shd w:val="clear" w:color="auto" w:fill="D0CECE" w:themeFill="background2" w:themeFillShade="E6"/>
            <w:vAlign w:val="center"/>
          </w:tcPr>
          <w:p w:rsidR="003D749F" w:rsidRPr="00BB0A08" w:rsidP="003D749F" w14:paraId="48E73EA6" w14:textId="77777777">
            <w:pPr>
              <w:jc w:val="center"/>
              <w:rPr>
                <w:rFonts w:ascii="Times New Roman" w:hAnsi="Times New Roman"/>
                <w:b/>
                <w:bCs/>
              </w:rPr>
            </w:pPr>
            <w:r w:rsidRPr="00BB0A08">
              <w:rPr>
                <w:rFonts w:ascii="Times New Roman" w:hAnsi="Times New Roman"/>
                <w:b/>
                <w:bCs/>
              </w:rPr>
              <w:t>Total Number of Responses Per Respondent</w:t>
            </w:r>
          </w:p>
        </w:tc>
        <w:tc>
          <w:tcPr>
            <w:tcW w:w="638" w:type="pct"/>
            <w:shd w:val="clear" w:color="auto" w:fill="D0CECE" w:themeFill="background2" w:themeFillShade="E6"/>
            <w:vAlign w:val="center"/>
          </w:tcPr>
          <w:p w:rsidR="003D749F" w:rsidRPr="00BB0A08" w:rsidP="003D749F" w14:paraId="6A5B3055" w14:textId="77777777">
            <w:pPr>
              <w:jc w:val="center"/>
              <w:rPr>
                <w:rFonts w:ascii="Times New Roman" w:hAnsi="Times New Roman"/>
                <w:b/>
                <w:bCs/>
              </w:rPr>
            </w:pPr>
            <w:r w:rsidRPr="00BB0A08">
              <w:rPr>
                <w:rFonts w:ascii="Times New Roman" w:hAnsi="Times New Roman"/>
                <w:b/>
                <w:bCs/>
              </w:rPr>
              <w:t>Average Burden Hours Per Response</w:t>
            </w:r>
          </w:p>
        </w:tc>
        <w:tc>
          <w:tcPr>
            <w:tcW w:w="460" w:type="pct"/>
            <w:shd w:val="clear" w:color="auto" w:fill="D0CECE" w:themeFill="background2" w:themeFillShade="E6"/>
            <w:vAlign w:val="center"/>
          </w:tcPr>
          <w:p w:rsidR="003D749F" w:rsidRPr="00BB0A08" w:rsidP="003D749F" w14:paraId="475A1867" w14:textId="77777777">
            <w:pPr>
              <w:jc w:val="center"/>
              <w:rPr>
                <w:rFonts w:ascii="Times New Roman" w:hAnsi="Times New Roman"/>
                <w:b/>
                <w:bCs/>
              </w:rPr>
            </w:pPr>
            <w:r w:rsidRPr="00BB0A08">
              <w:rPr>
                <w:rFonts w:ascii="Times New Roman" w:hAnsi="Times New Roman"/>
                <w:b/>
                <w:bCs/>
              </w:rPr>
              <w:t>Total Burden Hours</w:t>
            </w:r>
          </w:p>
        </w:tc>
        <w:tc>
          <w:tcPr>
            <w:tcW w:w="494" w:type="pct"/>
            <w:shd w:val="clear" w:color="auto" w:fill="D0CECE" w:themeFill="background2" w:themeFillShade="E6"/>
            <w:vAlign w:val="center"/>
          </w:tcPr>
          <w:p w:rsidR="003D749F" w:rsidRPr="00BB0A08" w:rsidP="003D749F" w14:paraId="6666F3FE" w14:textId="77777777">
            <w:pPr>
              <w:jc w:val="center"/>
              <w:rPr>
                <w:rFonts w:ascii="Times New Roman" w:hAnsi="Times New Roman"/>
                <w:b/>
                <w:bCs/>
              </w:rPr>
            </w:pPr>
            <w:r w:rsidRPr="00BB0A08">
              <w:rPr>
                <w:rFonts w:ascii="Times New Roman" w:hAnsi="Times New Roman"/>
                <w:b/>
                <w:bCs/>
              </w:rPr>
              <w:t>Annual Burden Hours</w:t>
            </w:r>
          </w:p>
        </w:tc>
        <w:tc>
          <w:tcPr>
            <w:tcW w:w="496" w:type="pct"/>
            <w:shd w:val="clear" w:color="auto" w:fill="D0CECE" w:themeFill="background2" w:themeFillShade="E6"/>
            <w:vAlign w:val="center"/>
          </w:tcPr>
          <w:p w:rsidR="003D749F" w:rsidRPr="00BB0A08" w:rsidP="003D749F" w14:paraId="6377B912" w14:textId="62490C2B">
            <w:pPr>
              <w:jc w:val="center"/>
              <w:rPr>
                <w:rFonts w:ascii="Times New Roman" w:hAnsi="Times New Roman"/>
                <w:b/>
                <w:bCs/>
              </w:rPr>
            </w:pPr>
            <w:r w:rsidRPr="003D749F">
              <w:rPr>
                <w:rFonts w:ascii="Times New Roman" w:hAnsi="Times New Roman"/>
                <w:b/>
                <w:snapToGrid/>
                <w:color w:val="000000"/>
              </w:rPr>
              <w:t>Average Hourly Wage</w:t>
            </w:r>
          </w:p>
        </w:tc>
        <w:tc>
          <w:tcPr>
            <w:tcW w:w="650" w:type="pct"/>
            <w:shd w:val="clear" w:color="auto" w:fill="D0CECE" w:themeFill="background2" w:themeFillShade="E6"/>
            <w:vAlign w:val="center"/>
          </w:tcPr>
          <w:p w:rsidR="003D749F" w:rsidRPr="00BB0A08" w:rsidP="003D749F" w14:paraId="685ECF5F" w14:textId="2764ABBC">
            <w:pPr>
              <w:jc w:val="center"/>
              <w:rPr>
                <w:rFonts w:ascii="Times New Roman" w:hAnsi="Times New Roman"/>
                <w:b/>
                <w:bCs/>
              </w:rPr>
            </w:pPr>
            <w:r w:rsidRPr="003D749F">
              <w:rPr>
                <w:rFonts w:ascii="Times New Roman" w:hAnsi="Times New Roman"/>
                <w:b/>
                <w:snapToGrid/>
                <w:color w:val="000000"/>
              </w:rPr>
              <w:t>Total Annual Cost</w:t>
            </w:r>
          </w:p>
        </w:tc>
      </w:tr>
      <w:tr w14:paraId="12EC36E3" w14:textId="18464F93" w:rsidTr="006E7EE2">
        <w:tblPrEx>
          <w:tblW w:w="5000" w:type="pct"/>
          <w:tblLook w:val="0000"/>
        </w:tblPrEx>
        <w:trPr>
          <w:trHeight w:val="593"/>
        </w:trPr>
        <w:tc>
          <w:tcPr>
            <w:tcW w:w="816" w:type="pct"/>
            <w:vAlign w:val="center"/>
          </w:tcPr>
          <w:p w:rsidR="00007F08" w:rsidRPr="003D749F" w:rsidP="00007F08" w14:paraId="44310D0C" w14:textId="77777777">
            <w:pPr>
              <w:rPr>
                <w:rFonts w:ascii="Times New Roman" w:hAnsi="Times New Roman"/>
              </w:rPr>
            </w:pPr>
            <w:r w:rsidRPr="003D749F">
              <w:rPr>
                <w:rFonts w:ascii="Times New Roman" w:hAnsi="Times New Roman"/>
              </w:rPr>
              <w:t xml:space="preserve">Universal T/TA Participant Feedback </w:t>
            </w:r>
          </w:p>
          <w:p w:rsidR="00007F08" w:rsidRPr="003D749F" w:rsidP="00007F08" w14:paraId="28CE5E00" w14:textId="77777777">
            <w:pPr>
              <w:rPr>
                <w:rFonts w:ascii="Times New Roman" w:hAnsi="Times New Roman"/>
              </w:rPr>
            </w:pPr>
          </w:p>
          <w:p w:rsidR="00007F08" w:rsidP="00007F08" w14:paraId="0FF8FB46" w14:textId="77777777">
            <w:pPr>
              <w:rPr>
                <w:rFonts w:ascii="Times New Roman" w:hAnsi="Times New Roman"/>
              </w:rPr>
            </w:pPr>
            <w:r w:rsidRPr="003D749F">
              <w:rPr>
                <w:rFonts w:ascii="Times New Roman" w:hAnsi="Times New Roman"/>
              </w:rPr>
              <w:t>Long Version (full form)</w:t>
            </w:r>
          </w:p>
          <w:p w:rsidR="00C00FF7" w:rsidRPr="003D749F" w:rsidP="00007F08" w14:paraId="54912779" w14:textId="77777777">
            <w:pPr>
              <w:rPr>
                <w:rFonts w:ascii="Times New Roman" w:hAnsi="Times New Roman"/>
              </w:rPr>
            </w:pPr>
          </w:p>
          <w:p w:rsidR="00007F08" w:rsidRPr="003D749F" w:rsidP="00007F08" w14:paraId="02D8EC5B" w14:textId="24691C71">
            <w:pPr>
              <w:rPr>
                <w:rFonts w:ascii="Times New Roman" w:hAnsi="Times New Roman"/>
              </w:rPr>
            </w:pPr>
            <w:r w:rsidRPr="003D749F">
              <w:rPr>
                <w:rFonts w:ascii="Times New Roman" w:hAnsi="Times New Roman"/>
              </w:rPr>
              <w:t>Short Version (partial form)</w:t>
            </w:r>
          </w:p>
        </w:tc>
        <w:tc>
          <w:tcPr>
            <w:tcW w:w="712" w:type="pct"/>
            <w:vAlign w:val="center"/>
          </w:tcPr>
          <w:p w:rsidR="00007F08" w:rsidRPr="003D749F" w:rsidP="00C00FF7" w14:paraId="56F0166E" w14:textId="77777777">
            <w:pPr>
              <w:jc w:val="center"/>
              <w:rPr>
                <w:rFonts w:ascii="Times New Roman" w:hAnsi="Times New Roman"/>
              </w:rPr>
            </w:pPr>
          </w:p>
          <w:p w:rsidR="00007F08" w:rsidRPr="003D749F" w:rsidP="00C00FF7" w14:paraId="53995CB8" w14:textId="77777777">
            <w:pPr>
              <w:jc w:val="center"/>
              <w:rPr>
                <w:rFonts w:ascii="Times New Roman" w:hAnsi="Times New Roman"/>
              </w:rPr>
            </w:pPr>
          </w:p>
          <w:p w:rsidR="00007F08" w:rsidP="00C00FF7" w14:paraId="3D86D8C2" w14:textId="77777777">
            <w:pPr>
              <w:jc w:val="center"/>
              <w:rPr>
                <w:rFonts w:ascii="Times New Roman" w:hAnsi="Times New Roman"/>
              </w:rPr>
            </w:pPr>
          </w:p>
          <w:p w:rsidR="00C00FF7" w:rsidRPr="003D749F" w:rsidP="00C00FF7" w14:paraId="17E970C7" w14:textId="77777777">
            <w:pPr>
              <w:jc w:val="center"/>
              <w:rPr>
                <w:rFonts w:ascii="Times New Roman" w:hAnsi="Times New Roman"/>
              </w:rPr>
            </w:pPr>
          </w:p>
          <w:p w:rsidR="00007F08" w:rsidRPr="003D749F" w:rsidP="00C00FF7" w14:paraId="7936631D" w14:textId="77777777">
            <w:pPr>
              <w:jc w:val="center"/>
              <w:rPr>
                <w:rFonts w:ascii="Times New Roman" w:hAnsi="Times New Roman"/>
              </w:rPr>
            </w:pPr>
            <w:r w:rsidRPr="003D749F">
              <w:rPr>
                <w:rFonts w:ascii="Times New Roman" w:hAnsi="Times New Roman"/>
              </w:rPr>
              <w:t>1,500</w:t>
            </w:r>
          </w:p>
          <w:p w:rsidR="00007F08" w:rsidP="00C00FF7" w14:paraId="36854B2B" w14:textId="77777777">
            <w:pPr>
              <w:jc w:val="center"/>
              <w:rPr>
                <w:rFonts w:ascii="Times New Roman" w:hAnsi="Times New Roman"/>
              </w:rPr>
            </w:pPr>
          </w:p>
          <w:p w:rsidR="00C00FF7" w:rsidRPr="003D749F" w:rsidP="00C00FF7" w14:paraId="7E70617D" w14:textId="77777777">
            <w:pPr>
              <w:jc w:val="center"/>
              <w:rPr>
                <w:rFonts w:ascii="Times New Roman" w:hAnsi="Times New Roman"/>
              </w:rPr>
            </w:pPr>
          </w:p>
          <w:p w:rsidR="00007F08" w:rsidRPr="003D749F" w:rsidP="00C00FF7" w14:paraId="32A17F5F" w14:textId="77777777">
            <w:pPr>
              <w:jc w:val="center"/>
              <w:rPr>
                <w:rFonts w:ascii="Times New Roman" w:hAnsi="Times New Roman"/>
              </w:rPr>
            </w:pPr>
            <w:r w:rsidRPr="003D749F">
              <w:rPr>
                <w:rFonts w:ascii="Times New Roman" w:hAnsi="Times New Roman"/>
              </w:rPr>
              <w:t>225,000</w:t>
            </w:r>
          </w:p>
        </w:tc>
        <w:tc>
          <w:tcPr>
            <w:tcW w:w="733" w:type="pct"/>
            <w:vAlign w:val="center"/>
          </w:tcPr>
          <w:p w:rsidR="00007F08" w:rsidRPr="003D749F" w:rsidP="00C00FF7" w14:paraId="78A035AD" w14:textId="77777777">
            <w:pPr>
              <w:ind w:left="-22"/>
              <w:jc w:val="center"/>
              <w:rPr>
                <w:rFonts w:ascii="Times New Roman" w:hAnsi="Times New Roman"/>
              </w:rPr>
            </w:pPr>
          </w:p>
          <w:p w:rsidR="00007F08" w:rsidRPr="003D749F" w:rsidP="00C00FF7" w14:paraId="353829B5" w14:textId="77777777">
            <w:pPr>
              <w:ind w:left="-22"/>
              <w:jc w:val="center"/>
              <w:rPr>
                <w:rFonts w:ascii="Times New Roman" w:hAnsi="Times New Roman"/>
              </w:rPr>
            </w:pPr>
          </w:p>
          <w:p w:rsidR="00007F08" w:rsidP="00C00FF7" w14:paraId="46A4C1F8" w14:textId="77777777">
            <w:pPr>
              <w:ind w:left="-22"/>
              <w:jc w:val="center"/>
              <w:rPr>
                <w:rFonts w:ascii="Times New Roman" w:hAnsi="Times New Roman"/>
              </w:rPr>
            </w:pPr>
          </w:p>
          <w:p w:rsidR="00C00FF7" w:rsidRPr="003D749F" w:rsidP="00C00FF7" w14:paraId="361CADEA" w14:textId="77777777">
            <w:pPr>
              <w:ind w:left="-22"/>
              <w:jc w:val="center"/>
              <w:rPr>
                <w:rFonts w:ascii="Times New Roman" w:hAnsi="Times New Roman"/>
              </w:rPr>
            </w:pPr>
          </w:p>
          <w:p w:rsidR="00007F08" w:rsidRPr="003D749F" w:rsidP="00C00FF7" w14:paraId="39B2304B" w14:textId="77777777">
            <w:pPr>
              <w:ind w:left="-22"/>
              <w:jc w:val="center"/>
              <w:rPr>
                <w:rFonts w:ascii="Times New Roman" w:hAnsi="Times New Roman"/>
              </w:rPr>
            </w:pPr>
            <w:r w:rsidRPr="003D749F">
              <w:rPr>
                <w:rFonts w:ascii="Times New Roman" w:hAnsi="Times New Roman"/>
              </w:rPr>
              <w:t>1</w:t>
            </w:r>
          </w:p>
          <w:p w:rsidR="00007F08" w:rsidP="00C00FF7" w14:paraId="03F387FD" w14:textId="77777777">
            <w:pPr>
              <w:ind w:left="-22"/>
              <w:jc w:val="center"/>
              <w:rPr>
                <w:rFonts w:ascii="Times New Roman" w:hAnsi="Times New Roman"/>
              </w:rPr>
            </w:pPr>
          </w:p>
          <w:p w:rsidR="00C00FF7" w:rsidRPr="003D749F" w:rsidP="00C00FF7" w14:paraId="05C6ED19" w14:textId="77777777">
            <w:pPr>
              <w:ind w:left="-22"/>
              <w:jc w:val="center"/>
              <w:rPr>
                <w:rFonts w:ascii="Times New Roman" w:hAnsi="Times New Roman"/>
              </w:rPr>
            </w:pPr>
          </w:p>
          <w:p w:rsidR="00007F08" w:rsidRPr="003D749F" w:rsidP="00C00FF7" w14:paraId="30B4A71D"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C00FF7" w14:paraId="1D7BD1D6" w14:textId="77777777">
            <w:pPr>
              <w:jc w:val="center"/>
              <w:rPr>
                <w:rFonts w:ascii="Times New Roman" w:hAnsi="Times New Roman"/>
              </w:rPr>
            </w:pPr>
          </w:p>
          <w:p w:rsidR="00007F08" w:rsidRPr="003D749F" w:rsidP="00C00FF7" w14:paraId="322DD177" w14:textId="77777777">
            <w:pPr>
              <w:jc w:val="center"/>
              <w:rPr>
                <w:rFonts w:ascii="Times New Roman" w:hAnsi="Times New Roman"/>
              </w:rPr>
            </w:pPr>
          </w:p>
          <w:p w:rsidR="00007F08" w:rsidP="00C00FF7" w14:paraId="22C98A17" w14:textId="77777777">
            <w:pPr>
              <w:jc w:val="center"/>
              <w:rPr>
                <w:rFonts w:ascii="Times New Roman" w:hAnsi="Times New Roman"/>
              </w:rPr>
            </w:pPr>
          </w:p>
          <w:p w:rsidR="00C00FF7" w:rsidRPr="003D749F" w:rsidP="00C00FF7" w14:paraId="349FF3EA" w14:textId="77777777">
            <w:pPr>
              <w:jc w:val="center"/>
              <w:rPr>
                <w:rFonts w:ascii="Times New Roman" w:hAnsi="Times New Roman"/>
              </w:rPr>
            </w:pPr>
          </w:p>
          <w:p w:rsidR="00007F08" w:rsidRPr="003D749F" w:rsidP="00C00FF7" w14:paraId="28C34F40" w14:textId="77777777">
            <w:pPr>
              <w:jc w:val="center"/>
              <w:rPr>
                <w:rFonts w:ascii="Times New Roman" w:hAnsi="Times New Roman"/>
              </w:rPr>
            </w:pPr>
            <w:r w:rsidRPr="003D749F">
              <w:rPr>
                <w:rFonts w:ascii="Times New Roman" w:hAnsi="Times New Roman"/>
              </w:rPr>
              <w:t>0.43</w:t>
            </w:r>
          </w:p>
          <w:p w:rsidR="00007F08" w:rsidP="00C00FF7" w14:paraId="67C41B3F" w14:textId="77777777">
            <w:pPr>
              <w:jc w:val="center"/>
              <w:rPr>
                <w:rFonts w:ascii="Times New Roman" w:hAnsi="Times New Roman"/>
              </w:rPr>
            </w:pPr>
          </w:p>
          <w:p w:rsidR="00C00FF7" w:rsidRPr="003D749F" w:rsidP="00C00FF7" w14:paraId="74342BC4" w14:textId="77777777">
            <w:pPr>
              <w:jc w:val="center"/>
              <w:rPr>
                <w:rFonts w:ascii="Times New Roman" w:hAnsi="Times New Roman"/>
              </w:rPr>
            </w:pPr>
          </w:p>
          <w:p w:rsidR="00007F08" w:rsidRPr="003D749F" w:rsidP="00C00FF7" w14:paraId="69562749" w14:textId="77777777">
            <w:pPr>
              <w:jc w:val="center"/>
              <w:rPr>
                <w:rFonts w:ascii="Times New Roman" w:hAnsi="Times New Roman"/>
              </w:rPr>
            </w:pPr>
            <w:r w:rsidRPr="003D749F">
              <w:rPr>
                <w:rFonts w:ascii="Times New Roman" w:hAnsi="Times New Roman"/>
              </w:rPr>
              <w:t>0.10</w:t>
            </w:r>
          </w:p>
        </w:tc>
        <w:tc>
          <w:tcPr>
            <w:tcW w:w="460" w:type="pct"/>
            <w:vAlign w:val="center"/>
          </w:tcPr>
          <w:p w:rsidR="00007F08" w:rsidRPr="003D749F" w:rsidP="00C00FF7" w14:paraId="292E0ED6" w14:textId="77777777">
            <w:pPr>
              <w:ind w:left="18"/>
              <w:jc w:val="center"/>
              <w:rPr>
                <w:rFonts w:ascii="Times New Roman" w:hAnsi="Times New Roman"/>
              </w:rPr>
            </w:pPr>
          </w:p>
          <w:p w:rsidR="00007F08" w:rsidRPr="003D749F" w:rsidP="00C00FF7" w14:paraId="66FBF01F" w14:textId="77777777">
            <w:pPr>
              <w:ind w:left="18"/>
              <w:jc w:val="center"/>
              <w:rPr>
                <w:rFonts w:ascii="Times New Roman" w:hAnsi="Times New Roman"/>
              </w:rPr>
            </w:pPr>
          </w:p>
          <w:p w:rsidR="00007F08" w:rsidP="00C00FF7" w14:paraId="6A37C0EE" w14:textId="77777777">
            <w:pPr>
              <w:ind w:left="18"/>
              <w:jc w:val="center"/>
              <w:rPr>
                <w:rFonts w:ascii="Times New Roman" w:hAnsi="Times New Roman"/>
              </w:rPr>
            </w:pPr>
          </w:p>
          <w:p w:rsidR="00C00FF7" w:rsidRPr="003D749F" w:rsidP="00C00FF7" w14:paraId="613A34FB" w14:textId="77777777">
            <w:pPr>
              <w:ind w:left="18"/>
              <w:jc w:val="center"/>
              <w:rPr>
                <w:rFonts w:ascii="Times New Roman" w:hAnsi="Times New Roman"/>
              </w:rPr>
            </w:pPr>
          </w:p>
          <w:p w:rsidR="00007F08" w:rsidRPr="003D749F" w:rsidP="00C00FF7" w14:paraId="77F16B56" w14:textId="77777777">
            <w:pPr>
              <w:ind w:left="18"/>
              <w:jc w:val="center"/>
              <w:rPr>
                <w:rFonts w:ascii="Times New Roman" w:hAnsi="Times New Roman"/>
              </w:rPr>
            </w:pPr>
            <w:r w:rsidRPr="003D749F">
              <w:rPr>
                <w:rFonts w:ascii="Times New Roman" w:hAnsi="Times New Roman"/>
              </w:rPr>
              <w:t>645</w:t>
            </w:r>
          </w:p>
          <w:p w:rsidR="00007F08" w:rsidP="00C00FF7" w14:paraId="03AFAC45" w14:textId="77777777">
            <w:pPr>
              <w:ind w:left="18"/>
              <w:jc w:val="center"/>
              <w:rPr>
                <w:rFonts w:ascii="Times New Roman" w:hAnsi="Times New Roman"/>
              </w:rPr>
            </w:pPr>
          </w:p>
          <w:p w:rsidR="00C00FF7" w:rsidRPr="003D749F" w:rsidP="00C00FF7" w14:paraId="232E960D" w14:textId="77777777">
            <w:pPr>
              <w:ind w:left="18"/>
              <w:jc w:val="center"/>
              <w:rPr>
                <w:rFonts w:ascii="Times New Roman" w:hAnsi="Times New Roman"/>
              </w:rPr>
            </w:pPr>
          </w:p>
          <w:p w:rsidR="00007F08" w:rsidRPr="003D749F" w:rsidP="00C00FF7" w14:paraId="05708772" w14:textId="77777777">
            <w:pPr>
              <w:jc w:val="center"/>
              <w:rPr>
                <w:rFonts w:ascii="Times New Roman" w:hAnsi="Times New Roman"/>
              </w:rPr>
            </w:pPr>
            <w:r w:rsidRPr="003D749F">
              <w:rPr>
                <w:rFonts w:ascii="Times New Roman" w:hAnsi="Times New Roman"/>
              </w:rPr>
              <w:t>22,500</w:t>
            </w:r>
          </w:p>
        </w:tc>
        <w:tc>
          <w:tcPr>
            <w:tcW w:w="494" w:type="pct"/>
            <w:vAlign w:val="center"/>
          </w:tcPr>
          <w:p w:rsidR="00007F08" w:rsidRPr="003D749F" w:rsidP="00C00FF7" w14:paraId="4908D29E" w14:textId="77777777">
            <w:pPr>
              <w:jc w:val="center"/>
              <w:rPr>
                <w:rFonts w:ascii="Times New Roman" w:hAnsi="Times New Roman"/>
              </w:rPr>
            </w:pPr>
          </w:p>
          <w:p w:rsidR="00007F08" w:rsidRPr="003D749F" w:rsidP="00C00FF7" w14:paraId="7284C5B2" w14:textId="77777777">
            <w:pPr>
              <w:jc w:val="center"/>
              <w:rPr>
                <w:rFonts w:ascii="Times New Roman" w:hAnsi="Times New Roman"/>
              </w:rPr>
            </w:pPr>
          </w:p>
          <w:p w:rsidR="00007F08" w:rsidP="00C00FF7" w14:paraId="6AA136BF" w14:textId="77777777">
            <w:pPr>
              <w:jc w:val="center"/>
              <w:rPr>
                <w:rFonts w:ascii="Times New Roman" w:hAnsi="Times New Roman"/>
              </w:rPr>
            </w:pPr>
          </w:p>
          <w:p w:rsidR="00C00FF7" w:rsidRPr="003D749F" w:rsidP="00C00FF7" w14:paraId="64B2C96B" w14:textId="77777777">
            <w:pPr>
              <w:jc w:val="center"/>
              <w:rPr>
                <w:rFonts w:ascii="Times New Roman" w:hAnsi="Times New Roman"/>
              </w:rPr>
            </w:pPr>
          </w:p>
          <w:p w:rsidR="00007F08" w:rsidRPr="003D749F" w:rsidP="00C00FF7" w14:paraId="45BE2B9B" w14:textId="77777777">
            <w:pPr>
              <w:jc w:val="center"/>
              <w:rPr>
                <w:rFonts w:ascii="Times New Roman" w:hAnsi="Times New Roman"/>
              </w:rPr>
            </w:pPr>
            <w:r w:rsidRPr="003D749F">
              <w:rPr>
                <w:rFonts w:ascii="Times New Roman" w:hAnsi="Times New Roman"/>
              </w:rPr>
              <w:t>215</w:t>
            </w:r>
          </w:p>
          <w:p w:rsidR="00007F08" w:rsidP="00C00FF7" w14:paraId="2B9BBA91" w14:textId="77777777">
            <w:pPr>
              <w:jc w:val="center"/>
              <w:rPr>
                <w:rFonts w:ascii="Times New Roman" w:hAnsi="Times New Roman"/>
              </w:rPr>
            </w:pPr>
          </w:p>
          <w:p w:rsidR="00C00FF7" w:rsidRPr="003D749F" w:rsidP="00C00FF7" w14:paraId="1BCCE1BD" w14:textId="77777777">
            <w:pPr>
              <w:jc w:val="center"/>
              <w:rPr>
                <w:rFonts w:ascii="Times New Roman" w:hAnsi="Times New Roman"/>
              </w:rPr>
            </w:pPr>
          </w:p>
          <w:p w:rsidR="00007F08" w:rsidRPr="003D749F" w:rsidP="00C00FF7" w14:paraId="10511DAD" w14:textId="77777777">
            <w:pPr>
              <w:jc w:val="center"/>
              <w:rPr>
                <w:rFonts w:ascii="Times New Roman" w:hAnsi="Times New Roman"/>
              </w:rPr>
            </w:pPr>
            <w:r w:rsidRPr="003D749F">
              <w:rPr>
                <w:rFonts w:ascii="Times New Roman" w:hAnsi="Times New Roman"/>
              </w:rPr>
              <w:t>7,500</w:t>
            </w:r>
          </w:p>
        </w:tc>
        <w:tc>
          <w:tcPr>
            <w:tcW w:w="496" w:type="pct"/>
            <w:vAlign w:val="center"/>
          </w:tcPr>
          <w:p w:rsidR="00007F08" w:rsidP="00C00FF7" w14:paraId="00E551C2" w14:textId="77777777">
            <w:pPr>
              <w:widowControl/>
              <w:jc w:val="center"/>
              <w:rPr>
                <w:rFonts w:ascii="Times New Roman" w:hAnsi="Times New Roman"/>
                <w:snapToGrid/>
              </w:rPr>
            </w:pPr>
          </w:p>
          <w:p w:rsidR="00007F08" w:rsidP="00C00FF7" w14:paraId="787E2AC8" w14:textId="77777777">
            <w:pPr>
              <w:widowControl/>
              <w:jc w:val="center"/>
              <w:rPr>
                <w:rFonts w:ascii="Times New Roman" w:hAnsi="Times New Roman"/>
                <w:snapToGrid/>
              </w:rPr>
            </w:pPr>
          </w:p>
          <w:p w:rsidR="00007F08" w:rsidP="00C00FF7" w14:paraId="1B3C3A6A" w14:textId="77777777">
            <w:pPr>
              <w:widowControl/>
              <w:jc w:val="center"/>
              <w:rPr>
                <w:rFonts w:ascii="Times New Roman" w:hAnsi="Times New Roman"/>
                <w:snapToGrid/>
              </w:rPr>
            </w:pPr>
          </w:p>
          <w:p w:rsidR="00C00FF7" w:rsidP="00C00FF7" w14:paraId="3F45FCF6" w14:textId="77777777">
            <w:pPr>
              <w:widowControl/>
              <w:jc w:val="center"/>
              <w:rPr>
                <w:rFonts w:ascii="Times New Roman" w:hAnsi="Times New Roman"/>
                <w:snapToGrid/>
              </w:rPr>
            </w:pPr>
          </w:p>
          <w:p w:rsidR="00007F08" w:rsidP="00C00FF7" w14:paraId="7099A7FB" w14:textId="359DB084">
            <w:pPr>
              <w:widowControl/>
              <w:jc w:val="center"/>
              <w:rPr>
                <w:rFonts w:ascii="Times New Roman" w:hAnsi="Times New Roman"/>
                <w:snapToGrid/>
              </w:rPr>
            </w:pPr>
            <w:r>
              <w:rPr>
                <w:rFonts w:ascii="Times New Roman" w:hAnsi="Times New Roman"/>
                <w:snapToGrid/>
              </w:rPr>
              <w:t>$7</w:t>
            </w:r>
            <w:r w:rsidR="00941DFE">
              <w:rPr>
                <w:rFonts w:ascii="Times New Roman" w:hAnsi="Times New Roman"/>
                <w:snapToGrid/>
              </w:rPr>
              <w:t>3</w:t>
            </w:r>
            <w:r>
              <w:rPr>
                <w:rFonts w:ascii="Times New Roman" w:hAnsi="Times New Roman"/>
                <w:snapToGrid/>
              </w:rPr>
              <w:t>.</w:t>
            </w:r>
            <w:r w:rsidR="00941DFE">
              <w:rPr>
                <w:rFonts w:ascii="Times New Roman" w:hAnsi="Times New Roman"/>
                <w:snapToGrid/>
              </w:rPr>
              <w:t>7</w:t>
            </w:r>
            <w:r>
              <w:rPr>
                <w:rFonts w:ascii="Times New Roman" w:hAnsi="Times New Roman"/>
                <w:snapToGrid/>
              </w:rPr>
              <w:t>8</w:t>
            </w:r>
          </w:p>
          <w:p w:rsidR="00007F08" w:rsidP="00C00FF7" w14:paraId="51CE4038" w14:textId="77777777">
            <w:pPr>
              <w:widowControl/>
              <w:jc w:val="center"/>
              <w:rPr>
                <w:rFonts w:ascii="Times New Roman" w:hAnsi="Times New Roman"/>
                <w:snapToGrid/>
              </w:rPr>
            </w:pPr>
          </w:p>
          <w:p w:rsidR="00C00FF7" w:rsidP="00C00FF7" w14:paraId="4B78A52B" w14:textId="77777777">
            <w:pPr>
              <w:widowControl/>
              <w:jc w:val="center"/>
              <w:rPr>
                <w:rFonts w:ascii="Times New Roman" w:hAnsi="Times New Roman"/>
                <w:snapToGrid/>
              </w:rPr>
            </w:pPr>
          </w:p>
          <w:p w:rsidR="00007F08" w:rsidRPr="003D749F" w:rsidP="00C00FF7" w14:paraId="44B959E8" w14:textId="2CF8A06C">
            <w:pPr>
              <w:jc w:val="center"/>
              <w:rPr>
                <w:rFonts w:ascii="Times New Roman" w:hAnsi="Times New Roman"/>
              </w:rPr>
            </w:pPr>
            <w:r>
              <w:rPr>
                <w:rFonts w:ascii="Times New Roman" w:hAnsi="Times New Roman"/>
                <w:snapToGrid/>
              </w:rPr>
              <w:t>$7</w:t>
            </w:r>
            <w:r w:rsidR="00941DFE">
              <w:rPr>
                <w:rFonts w:ascii="Times New Roman" w:hAnsi="Times New Roman"/>
                <w:snapToGrid/>
              </w:rPr>
              <w:t>3</w:t>
            </w:r>
            <w:r>
              <w:rPr>
                <w:rFonts w:ascii="Times New Roman" w:hAnsi="Times New Roman"/>
                <w:snapToGrid/>
              </w:rPr>
              <w:t>.</w:t>
            </w:r>
            <w:r w:rsidR="00941DFE">
              <w:rPr>
                <w:rFonts w:ascii="Times New Roman" w:hAnsi="Times New Roman"/>
                <w:snapToGrid/>
              </w:rPr>
              <w:t>7</w:t>
            </w:r>
            <w:r>
              <w:rPr>
                <w:rFonts w:ascii="Times New Roman" w:hAnsi="Times New Roman"/>
                <w:snapToGrid/>
              </w:rPr>
              <w:t>8</w:t>
            </w:r>
          </w:p>
        </w:tc>
        <w:tc>
          <w:tcPr>
            <w:tcW w:w="650" w:type="pct"/>
            <w:vAlign w:val="center"/>
          </w:tcPr>
          <w:p w:rsidR="00007F08" w:rsidP="00C00FF7" w14:paraId="59242343" w14:textId="77777777">
            <w:pPr>
              <w:widowControl/>
              <w:jc w:val="center"/>
              <w:rPr>
                <w:rFonts w:ascii="Times New Roman" w:hAnsi="Times New Roman"/>
                <w:snapToGrid/>
              </w:rPr>
            </w:pPr>
          </w:p>
          <w:p w:rsidR="00007F08" w:rsidP="00C00FF7" w14:paraId="5A69AB5D" w14:textId="77777777">
            <w:pPr>
              <w:widowControl/>
              <w:jc w:val="center"/>
              <w:rPr>
                <w:rFonts w:ascii="Times New Roman" w:hAnsi="Times New Roman"/>
                <w:snapToGrid/>
              </w:rPr>
            </w:pPr>
          </w:p>
          <w:p w:rsidR="00007F08" w:rsidP="00C00FF7" w14:paraId="22DFE973" w14:textId="77777777">
            <w:pPr>
              <w:widowControl/>
              <w:jc w:val="center"/>
              <w:rPr>
                <w:rFonts w:ascii="Times New Roman" w:hAnsi="Times New Roman"/>
                <w:snapToGrid/>
              </w:rPr>
            </w:pPr>
          </w:p>
          <w:p w:rsidR="00C00FF7" w:rsidP="00C00FF7" w14:paraId="5A4D6728" w14:textId="77777777">
            <w:pPr>
              <w:widowControl/>
              <w:jc w:val="center"/>
              <w:rPr>
                <w:rFonts w:ascii="Times New Roman" w:hAnsi="Times New Roman"/>
                <w:snapToGrid/>
              </w:rPr>
            </w:pPr>
          </w:p>
          <w:p w:rsidR="00007F08" w:rsidP="00C00FF7" w14:paraId="030BB261" w14:textId="1DEF0AA5">
            <w:pPr>
              <w:widowControl/>
              <w:jc w:val="center"/>
              <w:rPr>
                <w:rFonts w:ascii="Times New Roman" w:hAnsi="Times New Roman"/>
                <w:snapToGrid/>
              </w:rPr>
            </w:pPr>
            <w:r w:rsidRPr="000D2DDF">
              <w:rPr>
                <w:rFonts w:ascii="Times New Roman" w:hAnsi="Times New Roman"/>
                <w:snapToGrid/>
              </w:rPr>
              <w:t>$</w:t>
            </w:r>
            <w:r>
              <w:rPr>
                <w:rFonts w:ascii="Times New Roman" w:hAnsi="Times New Roman"/>
                <w:snapToGrid/>
              </w:rPr>
              <w:t>15</w:t>
            </w:r>
            <w:r w:rsidRPr="000D2DDF">
              <w:rPr>
                <w:rFonts w:ascii="Times New Roman" w:hAnsi="Times New Roman"/>
                <w:snapToGrid/>
              </w:rPr>
              <w:t>,</w:t>
            </w:r>
            <w:r w:rsidR="00195D11">
              <w:rPr>
                <w:rFonts w:ascii="Times New Roman" w:hAnsi="Times New Roman"/>
                <w:snapToGrid/>
              </w:rPr>
              <w:t>862</w:t>
            </w:r>
            <w:r w:rsidRPr="000D2DDF">
              <w:rPr>
                <w:rFonts w:ascii="Times New Roman" w:hAnsi="Times New Roman"/>
                <w:snapToGrid/>
              </w:rPr>
              <w:t>.</w:t>
            </w:r>
            <w:r>
              <w:rPr>
                <w:rFonts w:ascii="Times New Roman" w:hAnsi="Times New Roman"/>
                <w:snapToGrid/>
              </w:rPr>
              <w:t>70</w:t>
            </w:r>
          </w:p>
          <w:p w:rsidR="00007F08" w:rsidP="00C00FF7" w14:paraId="72C6DF4B" w14:textId="77777777">
            <w:pPr>
              <w:widowControl/>
              <w:jc w:val="center"/>
              <w:rPr>
                <w:rFonts w:ascii="Times New Roman" w:hAnsi="Times New Roman"/>
                <w:snapToGrid/>
              </w:rPr>
            </w:pPr>
          </w:p>
          <w:p w:rsidR="00C00FF7" w:rsidP="00C00FF7" w14:paraId="549D14E8" w14:textId="77777777">
            <w:pPr>
              <w:widowControl/>
              <w:jc w:val="center"/>
              <w:rPr>
                <w:rFonts w:ascii="Times New Roman" w:hAnsi="Times New Roman"/>
                <w:snapToGrid/>
              </w:rPr>
            </w:pPr>
          </w:p>
          <w:p w:rsidR="00007F08" w:rsidRPr="003D749F" w:rsidP="00C00FF7" w14:paraId="5C6768A2" w14:textId="279BBC3A">
            <w:pPr>
              <w:jc w:val="center"/>
              <w:rPr>
                <w:rFonts w:ascii="Times New Roman" w:hAnsi="Times New Roman"/>
              </w:rPr>
            </w:pPr>
            <w:r>
              <w:rPr>
                <w:rFonts w:ascii="Times New Roman" w:hAnsi="Times New Roman"/>
                <w:snapToGrid/>
              </w:rPr>
              <w:t>$</w:t>
            </w:r>
            <w:r w:rsidR="00F4329E">
              <w:rPr>
                <w:rFonts w:ascii="Times New Roman" w:hAnsi="Times New Roman"/>
                <w:snapToGrid/>
              </w:rPr>
              <w:t>553</w:t>
            </w:r>
            <w:r>
              <w:rPr>
                <w:rFonts w:ascii="Times New Roman" w:hAnsi="Times New Roman"/>
                <w:snapToGrid/>
              </w:rPr>
              <w:t>,</w:t>
            </w:r>
            <w:r w:rsidR="00F4329E">
              <w:rPr>
                <w:rFonts w:ascii="Times New Roman" w:hAnsi="Times New Roman"/>
                <w:snapToGrid/>
              </w:rPr>
              <w:t>350</w:t>
            </w:r>
            <w:r>
              <w:rPr>
                <w:rFonts w:ascii="Times New Roman" w:hAnsi="Times New Roman"/>
                <w:snapToGrid/>
              </w:rPr>
              <w:t>.00</w:t>
            </w:r>
          </w:p>
        </w:tc>
      </w:tr>
      <w:tr w14:paraId="40382B64" w14:textId="0625EB77" w:rsidTr="006E7EE2">
        <w:tblPrEx>
          <w:tblW w:w="5000" w:type="pct"/>
          <w:tblLook w:val="0000"/>
        </w:tblPrEx>
        <w:trPr>
          <w:trHeight w:val="530"/>
        </w:trPr>
        <w:tc>
          <w:tcPr>
            <w:tcW w:w="816" w:type="pct"/>
            <w:vAlign w:val="center"/>
          </w:tcPr>
          <w:p w:rsidR="00007F08" w:rsidRPr="003D749F" w:rsidP="00007F08" w14:paraId="0B026F6B" w14:textId="77777777">
            <w:pPr>
              <w:rPr>
                <w:rFonts w:ascii="Times New Roman" w:hAnsi="Times New Roman"/>
                <w:lang w:val="fr-CA"/>
              </w:rPr>
            </w:pPr>
            <w:r w:rsidRPr="003D749F">
              <w:rPr>
                <w:rFonts w:ascii="Times New Roman" w:hAnsi="Times New Roman"/>
                <w:lang w:val="fr-CA"/>
              </w:rPr>
              <w:t xml:space="preserve">Intensive T/TA Participant Feedback </w:t>
            </w:r>
          </w:p>
        </w:tc>
        <w:tc>
          <w:tcPr>
            <w:tcW w:w="712" w:type="pct"/>
            <w:vAlign w:val="center"/>
          </w:tcPr>
          <w:p w:rsidR="00007F08" w:rsidRPr="003D749F" w:rsidP="00007F08" w14:paraId="77792440" w14:textId="77777777">
            <w:pPr>
              <w:jc w:val="center"/>
              <w:rPr>
                <w:rFonts w:ascii="Times New Roman" w:hAnsi="Times New Roman"/>
              </w:rPr>
            </w:pPr>
            <w:r w:rsidRPr="003D749F">
              <w:rPr>
                <w:rFonts w:ascii="Times New Roman" w:hAnsi="Times New Roman"/>
              </w:rPr>
              <w:t>600</w:t>
            </w:r>
          </w:p>
        </w:tc>
        <w:tc>
          <w:tcPr>
            <w:tcW w:w="733" w:type="pct"/>
            <w:vAlign w:val="center"/>
          </w:tcPr>
          <w:p w:rsidR="00007F08" w:rsidRPr="003D749F" w:rsidP="00007F08" w14:paraId="7D7096EB"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007F08" w14:paraId="635AB652" w14:textId="77777777">
            <w:pPr>
              <w:jc w:val="center"/>
              <w:rPr>
                <w:rFonts w:ascii="Times New Roman" w:hAnsi="Times New Roman"/>
              </w:rPr>
            </w:pPr>
            <w:r w:rsidRPr="003D749F">
              <w:rPr>
                <w:rFonts w:ascii="Times New Roman" w:hAnsi="Times New Roman"/>
              </w:rPr>
              <w:t>1.17</w:t>
            </w:r>
          </w:p>
        </w:tc>
        <w:tc>
          <w:tcPr>
            <w:tcW w:w="460" w:type="pct"/>
            <w:vAlign w:val="center"/>
          </w:tcPr>
          <w:p w:rsidR="00007F08" w:rsidRPr="003D749F" w:rsidP="00007F08" w14:paraId="2A1158DC" w14:textId="77777777">
            <w:pPr>
              <w:jc w:val="center"/>
              <w:rPr>
                <w:rFonts w:ascii="Times New Roman" w:hAnsi="Times New Roman"/>
              </w:rPr>
            </w:pPr>
            <w:r w:rsidRPr="003D749F">
              <w:rPr>
                <w:rFonts w:ascii="Times New Roman" w:hAnsi="Times New Roman"/>
              </w:rPr>
              <w:t>702</w:t>
            </w:r>
          </w:p>
        </w:tc>
        <w:tc>
          <w:tcPr>
            <w:tcW w:w="494" w:type="pct"/>
            <w:vAlign w:val="center"/>
          </w:tcPr>
          <w:p w:rsidR="00007F08" w:rsidRPr="003D749F" w:rsidP="00007F08" w14:paraId="768AA711" w14:textId="77777777">
            <w:pPr>
              <w:jc w:val="center"/>
              <w:rPr>
                <w:rFonts w:ascii="Times New Roman" w:hAnsi="Times New Roman"/>
              </w:rPr>
            </w:pPr>
            <w:r w:rsidRPr="003D749F">
              <w:rPr>
                <w:rFonts w:ascii="Times New Roman" w:hAnsi="Times New Roman"/>
              </w:rPr>
              <w:t>234</w:t>
            </w:r>
          </w:p>
        </w:tc>
        <w:tc>
          <w:tcPr>
            <w:tcW w:w="496" w:type="pct"/>
            <w:vAlign w:val="center"/>
          </w:tcPr>
          <w:p w:rsidR="00007F08" w:rsidRPr="003D749F" w:rsidP="00941DFE" w14:paraId="406F908A" w14:textId="4A37CF5F">
            <w:pPr>
              <w:jc w:val="center"/>
              <w:rPr>
                <w:rFonts w:ascii="Times New Roman" w:hAnsi="Times New Roman"/>
              </w:rPr>
            </w:pPr>
            <w:r>
              <w:rPr>
                <w:rFonts w:ascii="Times New Roman" w:hAnsi="Times New Roman"/>
                <w:snapToGrid/>
              </w:rPr>
              <w:t>$60.</w:t>
            </w:r>
            <w:r w:rsidR="003319B9">
              <w:rPr>
                <w:rFonts w:ascii="Times New Roman" w:hAnsi="Times New Roman"/>
                <w:snapToGrid/>
              </w:rPr>
              <w:t>98</w:t>
            </w:r>
          </w:p>
        </w:tc>
        <w:tc>
          <w:tcPr>
            <w:tcW w:w="650" w:type="pct"/>
            <w:vAlign w:val="center"/>
          </w:tcPr>
          <w:p w:rsidR="00007F08" w:rsidRPr="003D749F" w:rsidP="00941DFE" w14:paraId="77C6FB2F" w14:textId="0968A6F7">
            <w:pPr>
              <w:jc w:val="center"/>
              <w:rPr>
                <w:rFonts w:ascii="Times New Roman" w:hAnsi="Times New Roman"/>
              </w:rPr>
            </w:pPr>
            <w:r w:rsidRPr="000D2DDF">
              <w:rPr>
                <w:rFonts w:ascii="Times New Roman" w:hAnsi="Times New Roman"/>
                <w:snapToGrid/>
              </w:rPr>
              <w:t>$</w:t>
            </w:r>
            <w:r>
              <w:rPr>
                <w:rFonts w:ascii="Times New Roman" w:hAnsi="Times New Roman"/>
                <w:snapToGrid/>
              </w:rPr>
              <w:t>14</w:t>
            </w:r>
            <w:r w:rsidRPr="000D2DDF">
              <w:rPr>
                <w:rFonts w:ascii="Times New Roman" w:hAnsi="Times New Roman"/>
                <w:snapToGrid/>
              </w:rPr>
              <w:t>,</w:t>
            </w:r>
            <w:r w:rsidR="00F4329E">
              <w:rPr>
                <w:rFonts w:ascii="Times New Roman" w:hAnsi="Times New Roman"/>
                <w:snapToGrid/>
              </w:rPr>
              <w:t>269</w:t>
            </w:r>
            <w:r w:rsidRPr="000D2DDF">
              <w:rPr>
                <w:rFonts w:ascii="Times New Roman" w:hAnsi="Times New Roman"/>
                <w:snapToGrid/>
              </w:rPr>
              <w:t>.</w:t>
            </w:r>
            <w:r w:rsidR="00F4329E">
              <w:rPr>
                <w:rFonts w:ascii="Times New Roman" w:hAnsi="Times New Roman"/>
                <w:snapToGrid/>
              </w:rPr>
              <w:t>32</w:t>
            </w:r>
          </w:p>
        </w:tc>
      </w:tr>
      <w:tr w14:paraId="426C53D2" w14:textId="279F3ACE" w:rsidTr="006E7EE2">
        <w:tblPrEx>
          <w:tblW w:w="5000" w:type="pct"/>
          <w:tblLook w:val="0000"/>
        </w:tblPrEx>
        <w:trPr>
          <w:trHeight w:val="557"/>
        </w:trPr>
        <w:tc>
          <w:tcPr>
            <w:tcW w:w="816" w:type="pct"/>
            <w:vAlign w:val="center"/>
          </w:tcPr>
          <w:p w:rsidR="00007F08" w:rsidRPr="003D749F" w:rsidP="00007F08" w14:paraId="45E56AAD" w14:textId="77777777">
            <w:pPr>
              <w:rPr>
                <w:rFonts w:ascii="Times New Roman" w:hAnsi="Times New Roman"/>
              </w:rPr>
            </w:pPr>
            <w:r w:rsidRPr="003D749F">
              <w:rPr>
                <w:rFonts w:ascii="Times New Roman" w:hAnsi="Times New Roman"/>
              </w:rPr>
              <w:t>Follow-Up Feedback  </w:t>
            </w:r>
          </w:p>
        </w:tc>
        <w:tc>
          <w:tcPr>
            <w:tcW w:w="712" w:type="pct"/>
            <w:vAlign w:val="center"/>
          </w:tcPr>
          <w:p w:rsidR="00007F08" w:rsidRPr="003D749F" w:rsidP="00007F08" w14:paraId="0D3A5667" w14:textId="77777777">
            <w:pPr>
              <w:jc w:val="center"/>
              <w:rPr>
                <w:rFonts w:ascii="Times New Roman" w:hAnsi="Times New Roman"/>
              </w:rPr>
            </w:pPr>
            <w:r w:rsidRPr="003D749F">
              <w:rPr>
                <w:rFonts w:ascii="Times New Roman" w:hAnsi="Times New Roman"/>
              </w:rPr>
              <w:t>8,000</w:t>
            </w:r>
          </w:p>
        </w:tc>
        <w:tc>
          <w:tcPr>
            <w:tcW w:w="733" w:type="pct"/>
            <w:vAlign w:val="center"/>
          </w:tcPr>
          <w:p w:rsidR="00007F08" w:rsidRPr="003D749F" w:rsidP="00007F08" w14:paraId="121161F2"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007F08" w14:paraId="3FE7410E" w14:textId="77777777">
            <w:pPr>
              <w:jc w:val="center"/>
              <w:rPr>
                <w:rFonts w:ascii="Times New Roman" w:hAnsi="Times New Roman"/>
              </w:rPr>
            </w:pPr>
            <w:r w:rsidRPr="003D749F">
              <w:rPr>
                <w:rFonts w:ascii="Times New Roman" w:hAnsi="Times New Roman"/>
              </w:rPr>
              <w:t>0.50</w:t>
            </w:r>
          </w:p>
        </w:tc>
        <w:tc>
          <w:tcPr>
            <w:tcW w:w="460" w:type="pct"/>
            <w:vAlign w:val="center"/>
          </w:tcPr>
          <w:p w:rsidR="00007F08" w:rsidRPr="003D749F" w:rsidP="00007F08" w14:paraId="25B77C25" w14:textId="77777777">
            <w:pPr>
              <w:jc w:val="center"/>
              <w:rPr>
                <w:rFonts w:ascii="Times New Roman" w:hAnsi="Times New Roman"/>
              </w:rPr>
            </w:pPr>
            <w:r w:rsidRPr="003D749F">
              <w:rPr>
                <w:rFonts w:ascii="Times New Roman" w:hAnsi="Times New Roman"/>
              </w:rPr>
              <w:t>4,000</w:t>
            </w:r>
          </w:p>
        </w:tc>
        <w:tc>
          <w:tcPr>
            <w:tcW w:w="494" w:type="pct"/>
            <w:vAlign w:val="center"/>
          </w:tcPr>
          <w:p w:rsidR="00007F08" w:rsidRPr="003D749F" w:rsidP="00007F08" w14:paraId="0B226AEA" w14:textId="77777777">
            <w:pPr>
              <w:jc w:val="center"/>
              <w:rPr>
                <w:rFonts w:ascii="Times New Roman" w:hAnsi="Times New Roman"/>
              </w:rPr>
            </w:pPr>
            <w:r w:rsidRPr="003D749F">
              <w:rPr>
                <w:rFonts w:ascii="Times New Roman" w:hAnsi="Times New Roman"/>
              </w:rPr>
              <w:t>1,333</w:t>
            </w:r>
          </w:p>
        </w:tc>
        <w:tc>
          <w:tcPr>
            <w:tcW w:w="496" w:type="pct"/>
            <w:vAlign w:val="center"/>
          </w:tcPr>
          <w:p w:rsidR="00007F08" w:rsidRPr="003D749F" w:rsidP="00941DFE" w14:paraId="55E4D688" w14:textId="4D13712E">
            <w:pPr>
              <w:jc w:val="center"/>
              <w:rPr>
                <w:rFonts w:ascii="Times New Roman" w:hAnsi="Times New Roman"/>
              </w:rPr>
            </w:pPr>
            <w:r>
              <w:rPr>
                <w:rFonts w:ascii="Times New Roman" w:hAnsi="Times New Roman"/>
                <w:snapToGrid/>
              </w:rPr>
              <w:t>$60.</w:t>
            </w:r>
            <w:r w:rsidR="003319B9">
              <w:rPr>
                <w:rFonts w:ascii="Times New Roman" w:hAnsi="Times New Roman"/>
                <w:snapToGrid/>
              </w:rPr>
              <w:t>98</w:t>
            </w:r>
          </w:p>
        </w:tc>
        <w:tc>
          <w:tcPr>
            <w:tcW w:w="650" w:type="pct"/>
            <w:vAlign w:val="center"/>
          </w:tcPr>
          <w:p w:rsidR="00007F08" w:rsidRPr="003D749F" w:rsidP="00941DFE" w14:paraId="229FA6B6" w14:textId="78CCC4DC">
            <w:pPr>
              <w:jc w:val="center"/>
              <w:rPr>
                <w:rFonts w:ascii="Times New Roman" w:hAnsi="Times New Roman"/>
              </w:rPr>
            </w:pPr>
            <w:r w:rsidRPr="000D2DDF">
              <w:rPr>
                <w:rFonts w:ascii="Times New Roman" w:hAnsi="Times New Roman"/>
                <w:snapToGrid/>
              </w:rPr>
              <w:t>$</w:t>
            </w:r>
            <w:r>
              <w:rPr>
                <w:rFonts w:ascii="Times New Roman" w:hAnsi="Times New Roman"/>
                <w:snapToGrid/>
              </w:rPr>
              <w:t>8</w:t>
            </w:r>
            <w:r w:rsidR="001D66D8">
              <w:rPr>
                <w:rFonts w:ascii="Times New Roman" w:hAnsi="Times New Roman"/>
                <w:snapToGrid/>
              </w:rPr>
              <w:t>1</w:t>
            </w:r>
            <w:r w:rsidRPr="000D2DDF">
              <w:rPr>
                <w:rFonts w:ascii="Times New Roman" w:hAnsi="Times New Roman"/>
                <w:snapToGrid/>
              </w:rPr>
              <w:t>,</w:t>
            </w:r>
            <w:r w:rsidR="00E20139">
              <w:rPr>
                <w:rFonts w:ascii="Times New Roman" w:hAnsi="Times New Roman"/>
                <w:snapToGrid/>
              </w:rPr>
              <w:t>286</w:t>
            </w:r>
            <w:r>
              <w:rPr>
                <w:rFonts w:ascii="Times New Roman" w:hAnsi="Times New Roman"/>
                <w:snapToGrid/>
              </w:rPr>
              <w:t>.</w:t>
            </w:r>
            <w:r w:rsidR="00E20139">
              <w:rPr>
                <w:rFonts w:ascii="Times New Roman" w:hAnsi="Times New Roman"/>
                <w:snapToGrid/>
              </w:rPr>
              <w:t>34</w:t>
            </w:r>
          </w:p>
        </w:tc>
      </w:tr>
      <w:tr w14:paraId="6FBEDFC7" w14:textId="61CB5E98" w:rsidTr="006E7EE2">
        <w:tblPrEx>
          <w:tblW w:w="5000" w:type="pct"/>
          <w:tblLook w:val="0000"/>
        </w:tblPrEx>
        <w:trPr>
          <w:trHeight w:val="557"/>
        </w:trPr>
        <w:tc>
          <w:tcPr>
            <w:tcW w:w="816" w:type="pct"/>
            <w:vAlign w:val="center"/>
          </w:tcPr>
          <w:p w:rsidR="00007F08" w:rsidRPr="003D749F" w:rsidP="00007F08" w14:paraId="50D87DB3" w14:textId="77777777">
            <w:pPr>
              <w:rPr>
                <w:rFonts w:ascii="Times New Roman" w:hAnsi="Times New Roman"/>
              </w:rPr>
            </w:pPr>
            <w:r w:rsidRPr="003D749F">
              <w:rPr>
                <w:rFonts w:ascii="Times New Roman" w:hAnsi="Times New Roman"/>
              </w:rPr>
              <w:t>Qualitative Guide</w:t>
            </w:r>
          </w:p>
        </w:tc>
        <w:tc>
          <w:tcPr>
            <w:tcW w:w="712" w:type="pct"/>
            <w:vAlign w:val="center"/>
          </w:tcPr>
          <w:p w:rsidR="00007F08" w:rsidRPr="003D749F" w:rsidP="00007F08" w14:paraId="1C5B10C6" w14:textId="77777777">
            <w:pPr>
              <w:jc w:val="center"/>
              <w:rPr>
                <w:rFonts w:ascii="Times New Roman" w:hAnsi="Times New Roman"/>
              </w:rPr>
            </w:pPr>
            <w:r w:rsidRPr="003D749F">
              <w:rPr>
                <w:rFonts w:ascii="Times New Roman" w:hAnsi="Times New Roman"/>
              </w:rPr>
              <w:t>2,000</w:t>
            </w:r>
          </w:p>
        </w:tc>
        <w:tc>
          <w:tcPr>
            <w:tcW w:w="733" w:type="pct"/>
            <w:vAlign w:val="center"/>
          </w:tcPr>
          <w:p w:rsidR="00007F08" w:rsidRPr="003D749F" w:rsidP="00007F08" w14:paraId="6C9F401D"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007F08" w14:paraId="346B7D9D" w14:textId="77777777">
            <w:pPr>
              <w:jc w:val="center"/>
              <w:rPr>
                <w:rFonts w:ascii="Times New Roman" w:hAnsi="Times New Roman"/>
              </w:rPr>
            </w:pPr>
            <w:r w:rsidRPr="003D749F">
              <w:rPr>
                <w:rFonts w:ascii="Times New Roman" w:hAnsi="Times New Roman"/>
              </w:rPr>
              <w:t>1.50</w:t>
            </w:r>
          </w:p>
        </w:tc>
        <w:tc>
          <w:tcPr>
            <w:tcW w:w="460" w:type="pct"/>
            <w:vAlign w:val="center"/>
          </w:tcPr>
          <w:p w:rsidR="00007F08" w:rsidRPr="003D749F" w:rsidP="00007F08" w14:paraId="1ABECB3A" w14:textId="77777777">
            <w:pPr>
              <w:jc w:val="center"/>
              <w:rPr>
                <w:rFonts w:ascii="Times New Roman" w:hAnsi="Times New Roman"/>
              </w:rPr>
            </w:pPr>
            <w:r w:rsidRPr="003D749F">
              <w:rPr>
                <w:rFonts w:ascii="Times New Roman" w:hAnsi="Times New Roman"/>
              </w:rPr>
              <w:t>3,000</w:t>
            </w:r>
          </w:p>
        </w:tc>
        <w:tc>
          <w:tcPr>
            <w:tcW w:w="494" w:type="pct"/>
            <w:vAlign w:val="center"/>
          </w:tcPr>
          <w:p w:rsidR="00007F08" w:rsidRPr="003D749F" w:rsidP="00007F08" w14:paraId="248725B9" w14:textId="77777777">
            <w:pPr>
              <w:jc w:val="center"/>
              <w:rPr>
                <w:rFonts w:ascii="Times New Roman" w:hAnsi="Times New Roman"/>
              </w:rPr>
            </w:pPr>
            <w:r w:rsidRPr="003D749F">
              <w:rPr>
                <w:rFonts w:ascii="Times New Roman" w:hAnsi="Times New Roman"/>
              </w:rPr>
              <w:t>1,000</w:t>
            </w:r>
          </w:p>
        </w:tc>
        <w:tc>
          <w:tcPr>
            <w:tcW w:w="496" w:type="pct"/>
            <w:vAlign w:val="center"/>
          </w:tcPr>
          <w:p w:rsidR="00007F08" w:rsidRPr="003D749F" w:rsidP="00941DFE" w14:paraId="7482F5CD" w14:textId="3F0A9502">
            <w:pPr>
              <w:jc w:val="center"/>
              <w:rPr>
                <w:rFonts w:ascii="Times New Roman" w:hAnsi="Times New Roman"/>
              </w:rPr>
            </w:pPr>
            <w:r>
              <w:rPr>
                <w:rFonts w:ascii="Times New Roman" w:hAnsi="Times New Roman"/>
                <w:snapToGrid/>
              </w:rPr>
              <w:t>$7</w:t>
            </w:r>
            <w:r w:rsidR="00941DFE">
              <w:rPr>
                <w:rFonts w:ascii="Times New Roman" w:hAnsi="Times New Roman"/>
                <w:snapToGrid/>
              </w:rPr>
              <w:t>3</w:t>
            </w:r>
            <w:r>
              <w:rPr>
                <w:rFonts w:ascii="Times New Roman" w:hAnsi="Times New Roman"/>
                <w:snapToGrid/>
              </w:rPr>
              <w:t>.</w:t>
            </w:r>
            <w:r w:rsidR="00941DFE">
              <w:rPr>
                <w:rFonts w:ascii="Times New Roman" w:hAnsi="Times New Roman"/>
                <w:snapToGrid/>
              </w:rPr>
              <w:t>7</w:t>
            </w:r>
            <w:r>
              <w:rPr>
                <w:rFonts w:ascii="Times New Roman" w:hAnsi="Times New Roman"/>
                <w:snapToGrid/>
              </w:rPr>
              <w:t>8</w:t>
            </w:r>
          </w:p>
        </w:tc>
        <w:tc>
          <w:tcPr>
            <w:tcW w:w="650" w:type="pct"/>
            <w:vAlign w:val="center"/>
          </w:tcPr>
          <w:p w:rsidR="00007F08" w:rsidRPr="003D749F" w:rsidP="00941DFE" w14:paraId="51F8DC30" w14:textId="5A22794C">
            <w:pPr>
              <w:jc w:val="center"/>
              <w:rPr>
                <w:rFonts w:ascii="Times New Roman" w:hAnsi="Times New Roman"/>
              </w:rPr>
            </w:pPr>
            <w:r w:rsidRPr="000D2DDF">
              <w:rPr>
                <w:rFonts w:ascii="Times New Roman" w:hAnsi="Times New Roman"/>
                <w:snapToGrid/>
              </w:rPr>
              <w:t>$</w:t>
            </w:r>
            <w:r>
              <w:rPr>
                <w:rFonts w:ascii="Times New Roman" w:hAnsi="Times New Roman"/>
                <w:snapToGrid/>
              </w:rPr>
              <w:t>7</w:t>
            </w:r>
            <w:r w:rsidR="00CC627E">
              <w:rPr>
                <w:rFonts w:ascii="Times New Roman" w:hAnsi="Times New Roman"/>
                <w:snapToGrid/>
              </w:rPr>
              <w:t>3</w:t>
            </w:r>
            <w:r>
              <w:rPr>
                <w:rFonts w:ascii="Times New Roman" w:hAnsi="Times New Roman"/>
                <w:snapToGrid/>
              </w:rPr>
              <w:t>,</w:t>
            </w:r>
            <w:r w:rsidR="00CC627E">
              <w:rPr>
                <w:rFonts w:ascii="Times New Roman" w:hAnsi="Times New Roman"/>
                <w:snapToGrid/>
              </w:rPr>
              <w:t>7</w:t>
            </w:r>
            <w:r>
              <w:rPr>
                <w:rFonts w:ascii="Times New Roman" w:hAnsi="Times New Roman"/>
                <w:snapToGrid/>
              </w:rPr>
              <w:t>80.00</w:t>
            </w:r>
          </w:p>
        </w:tc>
      </w:tr>
      <w:tr w14:paraId="1004CD6D" w14:textId="5323F7A6" w:rsidTr="006E7EE2">
        <w:tblPrEx>
          <w:tblW w:w="5000" w:type="pct"/>
          <w:tblLook w:val="0000"/>
        </w:tblPrEx>
        <w:trPr>
          <w:trHeight w:val="557"/>
        </w:trPr>
        <w:tc>
          <w:tcPr>
            <w:tcW w:w="816" w:type="pct"/>
            <w:vAlign w:val="center"/>
          </w:tcPr>
          <w:p w:rsidR="00007F08" w:rsidRPr="003D749F" w:rsidP="00007F08" w14:paraId="089BD0A1" w14:textId="77777777">
            <w:pPr>
              <w:rPr>
                <w:rFonts w:ascii="Times New Roman" w:hAnsi="Times New Roman"/>
              </w:rPr>
            </w:pPr>
            <w:r w:rsidRPr="003D749F">
              <w:rPr>
                <w:rFonts w:ascii="Times New Roman" w:hAnsi="Times New Roman"/>
              </w:rPr>
              <w:t>Network Survey</w:t>
            </w:r>
          </w:p>
        </w:tc>
        <w:tc>
          <w:tcPr>
            <w:tcW w:w="712" w:type="pct"/>
            <w:vAlign w:val="center"/>
          </w:tcPr>
          <w:p w:rsidR="00007F08" w:rsidRPr="003D749F" w:rsidP="00007F08" w14:paraId="5C9F635D" w14:textId="77777777">
            <w:pPr>
              <w:jc w:val="center"/>
              <w:rPr>
                <w:rFonts w:ascii="Times New Roman" w:hAnsi="Times New Roman"/>
              </w:rPr>
            </w:pPr>
            <w:r w:rsidRPr="003D749F">
              <w:rPr>
                <w:rFonts w:ascii="Times New Roman" w:hAnsi="Times New Roman"/>
              </w:rPr>
              <w:t>600</w:t>
            </w:r>
          </w:p>
        </w:tc>
        <w:tc>
          <w:tcPr>
            <w:tcW w:w="733" w:type="pct"/>
            <w:vAlign w:val="center"/>
          </w:tcPr>
          <w:p w:rsidR="00007F08" w:rsidRPr="003D749F" w:rsidP="00007F08" w14:paraId="69B3CD6F"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007F08" w14:paraId="31DD15AF" w14:textId="77777777">
            <w:pPr>
              <w:jc w:val="center"/>
              <w:rPr>
                <w:rFonts w:ascii="Times New Roman" w:hAnsi="Times New Roman"/>
              </w:rPr>
            </w:pPr>
            <w:r w:rsidRPr="003D749F">
              <w:rPr>
                <w:rFonts w:ascii="Times New Roman" w:hAnsi="Times New Roman"/>
              </w:rPr>
              <w:t>1.00</w:t>
            </w:r>
          </w:p>
        </w:tc>
        <w:tc>
          <w:tcPr>
            <w:tcW w:w="460" w:type="pct"/>
            <w:vAlign w:val="center"/>
          </w:tcPr>
          <w:p w:rsidR="00007F08" w:rsidRPr="003D749F" w:rsidP="00007F08" w14:paraId="0995A5CE" w14:textId="77777777">
            <w:pPr>
              <w:jc w:val="center"/>
              <w:rPr>
                <w:rFonts w:ascii="Times New Roman" w:hAnsi="Times New Roman"/>
              </w:rPr>
            </w:pPr>
            <w:r w:rsidRPr="003D749F">
              <w:rPr>
                <w:rFonts w:ascii="Times New Roman" w:hAnsi="Times New Roman"/>
              </w:rPr>
              <w:t>600</w:t>
            </w:r>
          </w:p>
        </w:tc>
        <w:tc>
          <w:tcPr>
            <w:tcW w:w="494" w:type="pct"/>
            <w:vAlign w:val="center"/>
          </w:tcPr>
          <w:p w:rsidR="00007F08" w:rsidRPr="003D749F" w:rsidP="00007F08" w14:paraId="4D069166" w14:textId="77777777">
            <w:pPr>
              <w:jc w:val="center"/>
              <w:rPr>
                <w:rFonts w:ascii="Times New Roman" w:hAnsi="Times New Roman"/>
              </w:rPr>
            </w:pPr>
            <w:r w:rsidRPr="003D749F">
              <w:rPr>
                <w:rFonts w:ascii="Times New Roman" w:hAnsi="Times New Roman"/>
              </w:rPr>
              <w:t>200</w:t>
            </w:r>
          </w:p>
        </w:tc>
        <w:tc>
          <w:tcPr>
            <w:tcW w:w="496" w:type="pct"/>
            <w:vAlign w:val="center"/>
          </w:tcPr>
          <w:p w:rsidR="00007F08" w:rsidRPr="003D749F" w:rsidP="00941DFE" w14:paraId="6BC416E6" w14:textId="34EB7086">
            <w:pPr>
              <w:jc w:val="center"/>
              <w:rPr>
                <w:rFonts w:ascii="Times New Roman" w:hAnsi="Times New Roman"/>
              </w:rPr>
            </w:pPr>
            <w:r>
              <w:rPr>
                <w:rFonts w:ascii="Times New Roman" w:hAnsi="Times New Roman"/>
                <w:snapToGrid/>
              </w:rPr>
              <w:t>$60.</w:t>
            </w:r>
            <w:r w:rsidR="003319B9">
              <w:rPr>
                <w:rFonts w:ascii="Times New Roman" w:hAnsi="Times New Roman"/>
                <w:snapToGrid/>
              </w:rPr>
              <w:t>98</w:t>
            </w:r>
          </w:p>
        </w:tc>
        <w:tc>
          <w:tcPr>
            <w:tcW w:w="650" w:type="pct"/>
            <w:vAlign w:val="center"/>
          </w:tcPr>
          <w:p w:rsidR="00007F08" w:rsidRPr="003D749F" w:rsidP="00941DFE" w14:paraId="25E08FD2" w14:textId="2EEFA97B">
            <w:pPr>
              <w:jc w:val="center"/>
              <w:rPr>
                <w:rFonts w:ascii="Times New Roman" w:hAnsi="Times New Roman"/>
              </w:rPr>
            </w:pPr>
            <w:r w:rsidRPr="000D2DDF">
              <w:rPr>
                <w:rFonts w:ascii="Times New Roman" w:hAnsi="Times New Roman"/>
                <w:snapToGrid/>
              </w:rPr>
              <w:t>$</w:t>
            </w:r>
            <w:r>
              <w:rPr>
                <w:rFonts w:ascii="Times New Roman" w:hAnsi="Times New Roman"/>
                <w:snapToGrid/>
              </w:rPr>
              <w:t>12</w:t>
            </w:r>
            <w:r w:rsidRPr="000D2DDF">
              <w:rPr>
                <w:rFonts w:ascii="Times New Roman" w:hAnsi="Times New Roman"/>
                <w:snapToGrid/>
              </w:rPr>
              <w:t>,1</w:t>
            </w:r>
            <w:r w:rsidR="002F6E2C">
              <w:rPr>
                <w:rFonts w:ascii="Times New Roman" w:hAnsi="Times New Roman"/>
                <w:snapToGrid/>
              </w:rPr>
              <w:t>96</w:t>
            </w:r>
            <w:r w:rsidRPr="000D2DDF">
              <w:rPr>
                <w:rFonts w:ascii="Times New Roman" w:hAnsi="Times New Roman"/>
                <w:snapToGrid/>
              </w:rPr>
              <w:t>.00</w:t>
            </w:r>
          </w:p>
        </w:tc>
      </w:tr>
      <w:tr w14:paraId="18F79BBB" w14:textId="32FA3013" w:rsidTr="006E7EE2">
        <w:tblPrEx>
          <w:tblW w:w="5000" w:type="pct"/>
          <w:tblLook w:val="0000"/>
        </w:tblPrEx>
        <w:trPr>
          <w:trHeight w:val="557"/>
        </w:trPr>
        <w:tc>
          <w:tcPr>
            <w:tcW w:w="816" w:type="pct"/>
            <w:vAlign w:val="center"/>
          </w:tcPr>
          <w:p w:rsidR="00007F08" w:rsidRPr="003D749F" w:rsidP="00007F08" w14:paraId="23497A22" w14:textId="77777777">
            <w:pPr>
              <w:rPr>
                <w:rFonts w:ascii="Times New Roman" w:hAnsi="Times New Roman"/>
              </w:rPr>
            </w:pPr>
            <w:r w:rsidRPr="003D749F">
              <w:rPr>
                <w:rFonts w:ascii="Times New Roman" w:hAnsi="Times New Roman"/>
              </w:rPr>
              <w:t>Client Satisfaction Survey</w:t>
            </w:r>
          </w:p>
        </w:tc>
        <w:tc>
          <w:tcPr>
            <w:tcW w:w="712" w:type="pct"/>
            <w:vAlign w:val="center"/>
          </w:tcPr>
          <w:p w:rsidR="00007F08" w:rsidRPr="003D749F" w:rsidP="00007F08" w14:paraId="54DF3248" w14:textId="77777777">
            <w:pPr>
              <w:jc w:val="center"/>
              <w:rPr>
                <w:rFonts w:ascii="Times New Roman" w:hAnsi="Times New Roman"/>
              </w:rPr>
            </w:pPr>
            <w:r w:rsidRPr="003D749F">
              <w:rPr>
                <w:rFonts w:ascii="Times New Roman" w:hAnsi="Times New Roman"/>
              </w:rPr>
              <w:t>1,000</w:t>
            </w:r>
          </w:p>
        </w:tc>
        <w:tc>
          <w:tcPr>
            <w:tcW w:w="733" w:type="pct"/>
            <w:vAlign w:val="center"/>
          </w:tcPr>
          <w:p w:rsidR="00007F08" w:rsidRPr="003D749F" w:rsidP="00007F08" w14:paraId="1198DC62"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007F08" w14:paraId="304B687B" w14:textId="77777777">
            <w:pPr>
              <w:jc w:val="center"/>
              <w:rPr>
                <w:rFonts w:ascii="Times New Roman" w:hAnsi="Times New Roman"/>
              </w:rPr>
            </w:pPr>
            <w:r w:rsidRPr="003D749F">
              <w:rPr>
                <w:rFonts w:ascii="Times New Roman" w:hAnsi="Times New Roman"/>
              </w:rPr>
              <w:t>0.08</w:t>
            </w:r>
          </w:p>
        </w:tc>
        <w:tc>
          <w:tcPr>
            <w:tcW w:w="460" w:type="pct"/>
            <w:vAlign w:val="center"/>
          </w:tcPr>
          <w:p w:rsidR="00007F08" w:rsidRPr="003D749F" w:rsidP="00007F08" w14:paraId="57F3F818" w14:textId="77777777">
            <w:pPr>
              <w:jc w:val="center"/>
              <w:rPr>
                <w:rFonts w:ascii="Times New Roman" w:hAnsi="Times New Roman"/>
              </w:rPr>
            </w:pPr>
            <w:r w:rsidRPr="003D749F">
              <w:rPr>
                <w:rFonts w:ascii="Times New Roman" w:hAnsi="Times New Roman"/>
              </w:rPr>
              <w:t>80</w:t>
            </w:r>
          </w:p>
        </w:tc>
        <w:tc>
          <w:tcPr>
            <w:tcW w:w="494" w:type="pct"/>
            <w:vAlign w:val="center"/>
          </w:tcPr>
          <w:p w:rsidR="00007F08" w:rsidRPr="003D749F" w:rsidP="00007F08" w14:paraId="4581A083" w14:textId="77777777">
            <w:pPr>
              <w:jc w:val="center"/>
              <w:rPr>
                <w:rFonts w:ascii="Times New Roman" w:hAnsi="Times New Roman"/>
              </w:rPr>
            </w:pPr>
            <w:r w:rsidRPr="003D749F">
              <w:rPr>
                <w:rFonts w:ascii="Times New Roman" w:hAnsi="Times New Roman"/>
              </w:rPr>
              <w:t>27</w:t>
            </w:r>
          </w:p>
        </w:tc>
        <w:tc>
          <w:tcPr>
            <w:tcW w:w="496" w:type="pct"/>
            <w:vAlign w:val="center"/>
          </w:tcPr>
          <w:p w:rsidR="00007F08" w:rsidRPr="003D749F" w:rsidP="00941DFE" w14:paraId="527C02D7" w14:textId="1BB18D44">
            <w:pPr>
              <w:jc w:val="center"/>
              <w:rPr>
                <w:rFonts w:ascii="Times New Roman" w:hAnsi="Times New Roman"/>
              </w:rPr>
            </w:pPr>
            <w:r>
              <w:rPr>
                <w:rFonts w:ascii="Times New Roman" w:hAnsi="Times New Roman"/>
                <w:snapToGrid/>
              </w:rPr>
              <w:t>$60.</w:t>
            </w:r>
            <w:r w:rsidR="003319B9">
              <w:rPr>
                <w:rFonts w:ascii="Times New Roman" w:hAnsi="Times New Roman"/>
                <w:snapToGrid/>
              </w:rPr>
              <w:t>98</w:t>
            </w:r>
          </w:p>
        </w:tc>
        <w:tc>
          <w:tcPr>
            <w:tcW w:w="650" w:type="pct"/>
            <w:vAlign w:val="center"/>
          </w:tcPr>
          <w:p w:rsidR="00007F08" w:rsidRPr="003D749F" w:rsidP="00941DFE" w14:paraId="43131900" w14:textId="6AFDE0D4">
            <w:pPr>
              <w:jc w:val="center"/>
              <w:rPr>
                <w:rFonts w:ascii="Times New Roman" w:hAnsi="Times New Roman"/>
              </w:rPr>
            </w:pPr>
            <w:r w:rsidRPr="000D2DDF">
              <w:rPr>
                <w:rFonts w:ascii="Times New Roman" w:hAnsi="Times New Roman"/>
                <w:snapToGrid/>
              </w:rPr>
              <w:t>$</w:t>
            </w:r>
            <w:r>
              <w:rPr>
                <w:rFonts w:ascii="Times New Roman" w:hAnsi="Times New Roman"/>
                <w:snapToGrid/>
              </w:rPr>
              <w:t>1</w:t>
            </w:r>
            <w:r w:rsidRPr="000D2DDF">
              <w:rPr>
                <w:rFonts w:ascii="Times New Roman" w:hAnsi="Times New Roman"/>
                <w:snapToGrid/>
              </w:rPr>
              <w:t>,</w:t>
            </w:r>
            <w:r>
              <w:rPr>
                <w:rFonts w:ascii="Times New Roman" w:hAnsi="Times New Roman"/>
                <w:snapToGrid/>
              </w:rPr>
              <w:t>6</w:t>
            </w:r>
            <w:r w:rsidR="002F6E2C">
              <w:rPr>
                <w:rFonts w:ascii="Times New Roman" w:hAnsi="Times New Roman"/>
                <w:snapToGrid/>
              </w:rPr>
              <w:t>46</w:t>
            </w:r>
            <w:r w:rsidRPr="000D2DDF">
              <w:rPr>
                <w:rFonts w:ascii="Times New Roman" w:hAnsi="Times New Roman"/>
                <w:snapToGrid/>
              </w:rPr>
              <w:t>.</w:t>
            </w:r>
            <w:r>
              <w:rPr>
                <w:rFonts w:ascii="Times New Roman" w:hAnsi="Times New Roman"/>
                <w:snapToGrid/>
              </w:rPr>
              <w:t>4</w:t>
            </w:r>
            <w:r w:rsidR="002F6E2C">
              <w:rPr>
                <w:rFonts w:ascii="Times New Roman" w:hAnsi="Times New Roman"/>
                <w:snapToGrid/>
              </w:rPr>
              <w:t>6</w:t>
            </w:r>
          </w:p>
        </w:tc>
      </w:tr>
      <w:tr w14:paraId="57166AA4" w14:textId="4EB2F582" w:rsidTr="006E7EE2">
        <w:tblPrEx>
          <w:tblW w:w="5000" w:type="pct"/>
          <w:tblLook w:val="0000"/>
        </w:tblPrEx>
        <w:trPr>
          <w:trHeight w:val="557"/>
        </w:trPr>
        <w:tc>
          <w:tcPr>
            <w:tcW w:w="816" w:type="pct"/>
            <w:vAlign w:val="center"/>
          </w:tcPr>
          <w:p w:rsidR="00007F08" w:rsidRPr="003D749F" w:rsidP="00007F08" w14:paraId="6E1E1C1D" w14:textId="77777777">
            <w:pPr>
              <w:rPr>
                <w:rFonts w:ascii="Times New Roman" w:hAnsi="Times New Roman"/>
              </w:rPr>
            </w:pPr>
            <w:r w:rsidRPr="003D749F">
              <w:rPr>
                <w:rFonts w:ascii="Times New Roman" w:hAnsi="Times New Roman"/>
              </w:rPr>
              <w:t>Resources Feedback</w:t>
            </w:r>
          </w:p>
        </w:tc>
        <w:tc>
          <w:tcPr>
            <w:tcW w:w="712" w:type="pct"/>
            <w:vAlign w:val="center"/>
          </w:tcPr>
          <w:p w:rsidR="00007F08" w:rsidRPr="003D749F" w:rsidP="00007F08" w14:paraId="142973CF" w14:textId="77777777">
            <w:pPr>
              <w:jc w:val="center"/>
              <w:rPr>
                <w:rFonts w:ascii="Times New Roman" w:hAnsi="Times New Roman"/>
              </w:rPr>
            </w:pPr>
            <w:r w:rsidRPr="003D749F">
              <w:rPr>
                <w:rFonts w:ascii="Times New Roman" w:hAnsi="Times New Roman"/>
              </w:rPr>
              <w:t>500</w:t>
            </w:r>
          </w:p>
        </w:tc>
        <w:tc>
          <w:tcPr>
            <w:tcW w:w="733" w:type="pct"/>
            <w:vAlign w:val="center"/>
          </w:tcPr>
          <w:p w:rsidR="00007F08" w:rsidRPr="003D749F" w:rsidP="00007F08" w14:paraId="154C75A3"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007F08" w14:paraId="3149B2DA" w14:textId="77777777">
            <w:pPr>
              <w:jc w:val="center"/>
              <w:rPr>
                <w:rFonts w:ascii="Times New Roman" w:hAnsi="Times New Roman"/>
              </w:rPr>
            </w:pPr>
            <w:r w:rsidRPr="003D749F">
              <w:rPr>
                <w:rFonts w:ascii="Times New Roman" w:hAnsi="Times New Roman"/>
              </w:rPr>
              <w:t>0.08</w:t>
            </w:r>
          </w:p>
        </w:tc>
        <w:tc>
          <w:tcPr>
            <w:tcW w:w="460" w:type="pct"/>
            <w:vAlign w:val="center"/>
          </w:tcPr>
          <w:p w:rsidR="00007F08" w:rsidRPr="003D749F" w:rsidP="00007F08" w14:paraId="735F175B" w14:textId="77777777">
            <w:pPr>
              <w:jc w:val="center"/>
              <w:rPr>
                <w:rFonts w:ascii="Times New Roman" w:hAnsi="Times New Roman"/>
              </w:rPr>
            </w:pPr>
            <w:r w:rsidRPr="003D749F">
              <w:rPr>
                <w:rFonts w:ascii="Times New Roman" w:hAnsi="Times New Roman"/>
              </w:rPr>
              <w:t>40</w:t>
            </w:r>
          </w:p>
        </w:tc>
        <w:tc>
          <w:tcPr>
            <w:tcW w:w="494" w:type="pct"/>
            <w:vAlign w:val="center"/>
          </w:tcPr>
          <w:p w:rsidR="00007F08" w:rsidRPr="003D749F" w:rsidP="00007F08" w14:paraId="220FE6CF" w14:textId="77777777">
            <w:pPr>
              <w:jc w:val="center"/>
              <w:rPr>
                <w:rFonts w:ascii="Times New Roman" w:hAnsi="Times New Roman"/>
              </w:rPr>
            </w:pPr>
            <w:r w:rsidRPr="003D749F">
              <w:rPr>
                <w:rFonts w:ascii="Times New Roman" w:hAnsi="Times New Roman"/>
              </w:rPr>
              <w:t>13</w:t>
            </w:r>
          </w:p>
        </w:tc>
        <w:tc>
          <w:tcPr>
            <w:tcW w:w="496" w:type="pct"/>
            <w:vAlign w:val="center"/>
          </w:tcPr>
          <w:p w:rsidR="00007F08" w:rsidRPr="003D749F" w:rsidP="00941DFE" w14:paraId="7BB6E005" w14:textId="6787F3D0">
            <w:pPr>
              <w:jc w:val="center"/>
              <w:rPr>
                <w:rFonts w:ascii="Times New Roman" w:hAnsi="Times New Roman"/>
              </w:rPr>
            </w:pPr>
            <w:r>
              <w:rPr>
                <w:rFonts w:ascii="Times New Roman" w:hAnsi="Times New Roman"/>
                <w:snapToGrid/>
              </w:rPr>
              <w:t>$60.</w:t>
            </w:r>
            <w:r w:rsidR="003319B9">
              <w:rPr>
                <w:rFonts w:ascii="Times New Roman" w:hAnsi="Times New Roman"/>
                <w:snapToGrid/>
              </w:rPr>
              <w:t>98</w:t>
            </w:r>
          </w:p>
        </w:tc>
        <w:tc>
          <w:tcPr>
            <w:tcW w:w="650" w:type="pct"/>
            <w:vAlign w:val="center"/>
          </w:tcPr>
          <w:p w:rsidR="00007F08" w:rsidRPr="003D749F" w:rsidP="00941DFE" w14:paraId="42815444" w14:textId="5AFB0B30">
            <w:pPr>
              <w:jc w:val="center"/>
              <w:rPr>
                <w:rFonts w:ascii="Times New Roman" w:hAnsi="Times New Roman"/>
              </w:rPr>
            </w:pPr>
            <w:r w:rsidRPr="000D2DDF">
              <w:rPr>
                <w:rFonts w:ascii="Times New Roman" w:hAnsi="Times New Roman"/>
                <w:snapToGrid/>
              </w:rPr>
              <w:t>$</w:t>
            </w:r>
            <w:r w:rsidR="002F6E2C">
              <w:rPr>
                <w:rFonts w:ascii="Times New Roman" w:hAnsi="Times New Roman"/>
                <w:snapToGrid/>
              </w:rPr>
              <w:t>792.74</w:t>
            </w:r>
          </w:p>
        </w:tc>
      </w:tr>
      <w:tr w14:paraId="15BE0D15" w14:textId="768A9EF3" w:rsidTr="006E7EE2">
        <w:tblPrEx>
          <w:tblW w:w="5000" w:type="pct"/>
          <w:tblLook w:val="0000"/>
        </w:tblPrEx>
        <w:trPr>
          <w:trHeight w:val="557"/>
        </w:trPr>
        <w:tc>
          <w:tcPr>
            <w:tcW w:w="816" w:type="pct"/>
            <w:vAlign w:val="center"/>
          </w:tcPr>
          <w:p w:rsidR="00007F08" w:rsidRPr="003D749F" w:rsidP="00007F08" w14:paraId="1205EE72" w14:textId="77777777">
            <w:pPr>
              <w:rPr>
                <w:rFonts w:ascii="Times New Roman" w:hAnsi="Times New Roman"/>
              </w:rPr>
            </w:pPr>
            <w:r w:rsidRPr="003D749F">
              <w:rPr>
                <w:rFonts w:ascii="Times New Roman" w:hAnsi="Times New Roman"/>
              </w:rPr>
              <w:t>Requester Feedback</w:t>
            </w:r>
          </w:p>
        </w:tc>
        <w:tc>
          <w:tcPr>
            <w:tcW w:w="712" w:type="pct"/>
            <w:vAlign w:val="center"/>
          </w:tcPr>
          <w:p w:rsidR="00007F08" w:rsidRPr="003D749F" w:rsidP="00007F08" w14:paraId="08994F3A" w14:textId="77777777">
            <w:pPr>
              <w:jc w:val="center"/>
              <w:rPr>
                <w:rFonts w:ascii="Times New Roman" w:hAnsi="Times New Roman"/>
              </w:rPr>
            </w:pPr>
            <w:r w:rsidRPr="003D749F">
              <w:rPr>
                <w:rFonts w:ascii="Times New Roman" w:hAnsi="Times New Roman"/>
              </w:rPr>
              <w:t>200</w:t>
            </w:r>
          </w:p>
        </w:tc>
        <w:tc>
          <w:tcPr>
            <w:tcW w:w="733" w:type="pct"/>
            <w:vAlign w:val="center"/>
          </w:tcPr>
          <w:p w:rsidR="00007F08" w:rsidRPr="003D749F" w:rsidP="00007F08" w14:paraId="7C81264E" w14:textId="77777777">
            <w:pPr>
              <w:jc w:val="center"/>
              <w:rPr>
                <w:rFonts w:ascii="Times New Roman" w:hAnsi="Times New Roman"/>
              </w:rPr>
            </w:pPr>
            <w:r w:rsidRPr="003D749F">
              <w:rPr>
                <w:rFonts w:ascii="Times New Roman" w:hAnsi="Times New Roman"/>
              </w:rPr>
              <w:t>1</w:t>
            </w:r>
          </w:p>
        </w:tc>
        <w:tc>
          <w:tcPr>
            <w:tcW w:w="638" w:type="pct"/>
            <w:vAlign w:val="center"/>
          </w:tcPr>
          <w:p w:rsidR="00007F08" w:rsidRPr="003D749F" w:rsidP="00007F08" w14:paraId="01A76E0F" w14:textId="77777777">
            <w:pPr>
              <w:jc w:val="center"/>
              <w:rPr>
                <w:rFonts w:ascii="Times New Roman" w:hAnsi="Times New Roman"/>
              </w:rPr>
            </w:pPr>
            <w:r w:rsidRPr="003D749F">
              <w:rPr>
                <w:rFonts w:ascii="Times New Roman" w:hAnsi="Times New Roman"/>
              </w:rPr>
              <w:t>0.12</w:t>
            </w:r>
          </w:p>
        </w:tc>
        <w:tc>
          <w:tcPr>
            <w:tcW w:w="460" w:type="pct"/>
            <w:vAlign w:val="center"/>
          </w:tcPr>
          <w:p w:rsidR="00007F08" w:rsidRPr="003D749F" w:rsidP="00007F08" w14:paraId="0F35E256" w14:textId="77777777">
            <w:pPr>
              <w:jc w:val="center"/>
              <w:rPr>
                <w:rFonts w:ascii="Times New Roman" w:hAnsi="Times New Roman"/>
              </w:rPr>
            </w:pPr>
            <w:r w:rsidRPr="003D749F">
              <w:rPr>
                <w:rFonts w:ascii="Times New Roman" w:hAnsi="Times New Roman"/>
              </w:rPr>
              <w:t>24</w:t>
            </w:r>
          </w:p>
        </w:tc>
        <w:tc>
          <w:tcPr>
            <w:tcW w:w="494" w:type="pct"/>
            <w:vAlign w:val="center"/>
          </w:tcPr>
          <w:p w:rsidR="00007F08" w:rsidRPr="003D749F" w:rsidP="00007F08" w14:paraId="2138A927" w14:textId="77777777">
            <w:pPr>
              <w:jc w:val="center"/>
              <w:rPr>
                <w:rFonts w:ascii="Times New Roman" w:hAnsi="Times New Roman"/>
              </w:rPr>
            </w:pPr>
            <w:r w:rsidRPr="003D749F">
              <w:rPr>
                <w:rFonts w:ascii="Times New Roman" w:hAnsi="Times New Roman"/>
              </w:rPr>
              <w:t>8</w:t>
            </w:r>
          </w:p>
        </w:tc>
        <w:tc>
          <w:tcPr>
            <w:tcW w:w="496" w:type="pct"/>
            <w:vAlign w:val="center"/>
          </w:tcPr>
          <w:p w:rsidR="00007F08" w:rsidRPr="003D749F" w:rsidP="00941DFE" w14:paraId="3EFDF783" w14:textId="498C9997">
            <w:pPr>
              <w:jc w:val="center"/>
              <w:rPr>
                <w:rFonts w:ascii="Times New Roman" w:hAnsi="Times New Roman"/>
              </w:rPr>
            </w:pPr>
            <w:r>
              <w:rPr>
                <w:rFonts w:ascii="Times New Roman" w:hAnsi="Times New Roman"/>
                <w:snapToGrid/>
              </w:rPr>
              <w:t>$13</w:t>
            </w:r>
            <w:r w:rsidR="00964D37">
              <w:rPr>
                <w:rFonts w:ascii="Times New Roman" w:hAnsi="Times New Roman"/>
                <w:snapToGrid/>
              </w:rPr>
              <w:t>5</w:t>
            </w:r>
            <w:r>
              <w:rPr>
                <w:rFonts w:ascii="Times New Roman" w:hAnsi="Times New Roman"/>
                <w:snapToGrid/>
              </w:rPr>
              <w:t>.</w:t>
            </w:r>
            <w:r w:rsidR="00964D37">
              <w:rPr>
                <w:rFonts w:ascii="Times New Roman" w:hAnsi="Times New Roman"/>
                <w:snapToGrid/>
              </w:rPr>
              <w:t>5</w:t>
            </w:r>
            <w:r>
              <w:rPr>
                <w:rFonts w:ascii="Times New Roman" w:hAnsi="Times New Roman"/>
                <w:snapToGrid/>
              </w:rPr>
              <w:t>4</w:t>
            </w:r>
          </w:p>
        </w:tc>
        <w:tc>
          <w:tcPr>
            <w:tcW w:w="650" w:type="pct"/>
            <w:vAlign w:val="center"/>
          </w:tcPr>
          <w:p w:rsidR="00007F08" w:rsidRPr="003D749F" w:rsidP="00941DFE" w14:paraId="3F00BFD9" w14:textId="79B4595C">
            <w:pPr>
              <w:jc w:val="center"/>
              <w:rPr>
                <w:rFonts w:ascii="Times New Roman" w:hAnsi="Times New Roman"/>
              </w:rPr>
            </w:pPr>
            <w:r w:rsidRPr="000D2DDF">
              <w:rPr>
                <w:rFonts w:ascii="Times New Roman" w:hAnsi="Times New Roman"/>
                <w:snapToGrid/>
              </w:rPr>
              <w:t>$</w:t>
            </w:r>
            <w:r>
              <w:rPr>
                <w:rFonts w:ascii="Times New Roman" w:hAnsi="Times New Roman"/>
                <w:snapToGrid/>
              </w:rPr>
              <w:t>1</w:t>
            </w:r>
            <w:r w:rsidRPr="000D2DDF">
              <w:rPr>
                <w:rFonts w:ascii="Times New Roman" w:hAnsi="Times New Roman"/>
                <w:snapToGrid/>
              </w:rPr>
              <w:t>,</w:t>
            </w:r>
            <w:r>
              <w:rPr>
                <w:rFonts w:ascii="Times New Roman" w:hAnsi="Times New Roman"/>
                <w:snapToGrid/>
              </w:rPr>
              <w:t>0</w:t>
            </w:r>
            <w:r w:rsidR="002F6E2C">
              <w:rPr>
                <w:rFonts w:ascii="Times New Roman" w:hAnsi="Times New Roman"/>
                <w:snapToGrid/>
              </w:rPr>
              <w:t>84</w:t>
            </w:r>
            <w:r w:rsidRPr="000D2DDF">
              <w:rPr>
                <w:rFonts w:ascii="Times New Roman" w:hAnsi="Times New Roman"/>
                <w:snapToGrid/>
              </w:rPr>
              <w:t>.</w:t>
            </w:r>
            <w:r w:rsidR="002F6E2C">
              <w:rPr>
                <w:rFonts w:ascii="Times New Roman" w:hAnsi="Times New Roman"/>
                <w:snapToGrid/>
              </w:rPr>
              <w:t>3</w:t>
            </w:r>
            <w:r>
              <w:rPr>
                <w:rFonts w:ascii="Times New Roman" w:hAnsi="Times New Roman"/>
                <w:snapToGrid/>
              </w:rPr>
              <w:t>2</w:t>
            </w:r>
          </w:p>
        </w:tc>
      </w:tr>
      <w:tr w14:paraId="57879B13" w14:textId="1ACCAD25" w:rsidTr="00BB0A08">
        <w:tblPrEx>
          <w:tblW w:w="5000" w:type="pct"/>
          <w:tblLook w:val="0000"/>
        </w:tblPrEx>
        <w:trPr>
          <w:trHeight w:val="557"/>
        </w:trPr>
        <w:tc>
          <w:tcPr>
            <w:tcW w:w="2899" w:type="pct"/>
            <w:gridSpan w:val="4"/>
            <w:shd w:val="clear" w:color="auto" w:fill="D0CECE" w:themeFill="background2" w:themeFillShade="E6"/>
            <w:vAlign w:val="center"/>
          </w:tcPr>
          <w:p w:rsidR="006F7E43" w:rsidRPr="00BB0A08" w:rsidP="00BB0A08" w14:paraId="3DA5AD39" w14:textId="3A7BF240">
            <w:pPr>
              <w:jc w:val="right"/>
              <w:rPr>
                <w:rFonts w:ascii="Times New Roman" w:hAnsi="Times New Roman"/>
                <w:b/>
                <w:bCs/>
              </w:rPr>
            </w:pPr>
            <w:r w:rsidRPr="003D749F">
              <w:rPr>
                <w:rFonts w:ascii="Times New Roman" w:hAnsi="Times New Roman"/>
                <w:b/>
                <w:bCs/>
                <w:snapToGrid/>
              </w:rPr>
              <w:t>Estimated Totals:</w:t>
            </w:r>
          </w:p>
        </w:tc>
        <w:tc>
          <w:tcPr>
            <w:tcW w:w="460" w:type="pct"/>
            <w:shd w:val="clear" w:color="auto" w:fill="D0CECE" w:themeFill="background2" w:themeFillShade="E6"/>
            <w:vAlign w:val="center"/>
          </w:tcPr>
          <w:p w:rsidR="006F7E43" w:rsidRPr="00BB0A08" w:rsidP="00007F08" w14:paraId="7EC8DCDF" w14:textId="0B189C7A">
            <w:pPr>
              <w:jc w:val="center"/>
              <w:rPr>
                <w:rFonts w:ascii="Times New Roman" w:hAnsi="Times New Roman"/>
                <w:b/>
                <w:bCs/>
              </w:rPr>
            </w:pPr>
            <w:r w:rsidRPr="00BB0A08">
              <w:rPr>
                <w:rFonts w:ascii="Times New Roman" w:hAnsi="Times New Roman"/>
                <w:b/>
                <w:bCs/>
              </w:rPr>
              <w:t>31,591</w:t>
            </w:r>
          </w:p>
        </w:tc>
        <w:tc>
          <w:tcPr>
            <w:tcW w:w="494" w:type="pct"/>
            <w:shd w:val="clear" w:color="auto" w:fill="D0CECE" w:themeFill="background2" w:themeFillShade="E6"/>
            <w:vAlign w:val="center"/>
          </w:tcPr>
          <w:p w:rsidR="006F7E43" w:rsidRPr="00BB0A08" w:rsidP="00007F08" w14:paraId="7ACE4DB2" w14:textId="77777777">
            <w:pPr>
              <w:jc w:val="center"/>
              <w:rPr>
                <w:rFonts w:ascii="Times New Roman" w:hAnsi="Times New Roman"/>
                <w:b/>
                <w:bCs/>
              </w:rPr>
            </w:pPr>
            <w:r w:rsidRPr="00426C97">
              <w:rPr>
                <w:rFonts w:ascii="Times New Roman" w:hAnsi="Times New Roman"/>
                <w:b/>
                <w:bCs/>
              </w:rPr>
              <w:t>10,530</w:t>
            </w:r>
          </w:p>
        </w:tc>
        <w:tc>
          <w:tcPr>
            <w:tcW w:w="496" w:type="pct"/>
            <w:shd w:val="clear" w:color="auto" w:fill="D0CECE" w:themeFill="background2" w:themeFillShade="E6"/>
            <w:vAlign w:val="center"/>
          </w:tcPr>
          <w:p w:rsidR="006F7E43" w:rsidRPr="003D749F" w:rsidP="00007F08" w14:paraId="0691C444" w14:textId="529D0E94">
            <w:pPr>
              <w:jc w:val="center"/>
              <w:rPr>
                <w:rFonts w:ascii="Times New Roman" w:hAnsi="Times New Roman"/>
                <w:b/>
                <w:bCs/>
              </w:rPr>
            </w:pPr>
            <w:r w:rsidRPr="003D749F">
              <w:rPr>
                <w:rFonts w:ascii="Times New Roman" w:hAnsi="Times New Roman"/>
                <w:b/>
                <w:bCs/>
              </w:rPr>
              <w:t>-</w:t>
            </w:r>
          </w:p>
        </w:tc>
        <w:tc>
          <w:tcPr>
            <w:tcW w:w="650" w:type="pct"/>
            <w:shd w:val="clear" w:color="auto" w:fill="D0CECE" w:themeFill="background2" w:themeFillShade="E6"/>
            <w:vAlign w:val="center"/>
          </w:tcPr>
          <w:p w:rsidR="006F7E43" w:rsidRPr="003D749F" w:rsidP="00007F08" w14:paraId="391B1898" w14:textId="668E01FF">
            <w:pPr>
              <w:jc w:val="center"/>
              <w:rPr>
                <w:rFonts w:ascii="Times New Roman" w:hAnsi="Times New Roman"/>
                <w:b/>
                <w:bCs/>
              </w:rPr>
            </w:pPr>
            <w:r>
              <w:rPr>
                <w:rFonts w:ascii="Times New Roman" w:hAnsi="Times New Roman"/>
                <w:b/>
                <w:bCs/>
                <w:snapToGrid/>
              </w:rPr>
              <w:t>$754,267.88</w:t>
            </w:r>
          </w:p>
        </w:tc>
      </w:tr>
    </w:tbl>
    <w:p w:rsidR="00426C97" w:rsidP="00426C97" w14:paraId="585EF912" w14:textId="77777777">
      <w:pPr>
        <w:widowControl/>
        <w:spacing w:after="60"/>
        <w:ind w:left="360"/>
        <w:rPr>
          <w:rFonts w:ascii="Times New Roman" w:hAnsi="Times New Roman"/>
          <w:i/>
          <w:iCs/>
          <w:sz w:val="24"/>
          <w:szCs w:val="24"/>
        </w:rPr>
      </w:pPr>
    </w:p>
    <w:p w:rsidR="00426C97" w:rsidP="00426C97" w14:paraId="2821A058" w14:textId="2C33C024">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426C97" w:rsidP="00BB0A08" w14:paraId="09963428" w14:textId="6AC5A87D">
      <w:pPr>
        <w:widowControl/>
        <w:ind w:left="360"/>
        <w:rPr>
          <w:rFonts w:ascii="Times New Roman" w:hAnsi="Times New Roman"/>
          <w:sz w:val="24"/>
          <w:szCs w:val="24"/>
        </w:rPr>
      </w:pPr>
      <w:r>
        <w:rPr>
          <w:rFonts w:ascii="Times New Roman" w:hAnsi="Times New Roman"/>
          <w:sz w:val="24"/>
          <w:szCs w:val="24"/>
        </w:rPr>
        <w:t xml:space="preserve">Burden hours for each instrument were estimated </w:t>
      </w:r>
      <w:r w:rsidR="00DD60B8">
        <w:rPr>
          <w:rFonts w:ascii="Times New Roman" w:hAnsi="Times New Roman"/>
          <w:sz w:val="24"/>
          <w:szCs w:val="24"/>
        </w:rPr>
        <w:t xml:space="preserve">by calculating the estimated number of </w:t>
      </w:r>
      <w:r w:rsidR="001149C1">
        <w:rPr>
          <w:rFonts w:ascii="Times New Roman" w:hAnsi="Times New Roman"/>
          <w:sz w:val="24"/>
          <w:szCs w:val="24"/>
        </w:rPr>
        <w:t>events</w:t>
      </w:r>
      <w:r w:rsidR="008661CA">
        <w:rPr>
          <w:rFonts w:ascii="Times New Roman" w:hAnsi="Times New Roman"/>
          <w:sz w:val="24"/>
          <w:szCs w:val="24"/>
        </w:rPr>
        <w:t xml:space="preserve"> and participation rates per year, the number of evaluation </w:t>
      </w:r>
      <w:r w:rsidR="00C05D55">
        <w:rPr>
          <w:rFonts w:ascii="Times New Roman" w:hAnsi="Times New Roman"/>
          <w:sz w:val="24"/>
          <w:szCs w:val="24"/>
        </w:rPr>
        <w:t xml:space="preserve">respondents per year, the number of times the respondent is expected to complete the instrument per year, and the average time </w:t>
      </w:r>
      <w:r w:rsidR="00FF72F0">
        <w:rPr>
          <w:rFonts w:ascii="Times New Roman" w:hAnsi="Times New Roman"/>
          <w:sz w:val="24"/>
          <w:szCs w:val="24"/>
        </w:rPr>
        <w:t xml:space="preserve">(in hours) </w:t>
      </w:r>
      <w:r w:rsidR="00A31C83">
        <w:rPr>
          <w:rFonts w:ascii="Times New Roman" w:hAnsi="Times New Roman"/>
          <w:sz w:val="24"/>
          <w:szCs w:val="24"/>
        </w:rPr>
        <w:t xml:space="preserve">required to the response. These estimates were </w:t>
      </w:r>
      <w:r w:rsidR="00477F86">
        <w:rPr>
          <w:rFonts w:ascii="Times New Roman" w:hAnsi="Times New Roman"/>
          <w:sz w:val="24"/>
          <w:szCs w:val="24"/>
        </w:rPr>
        <w:t xml:space="preserve">also </w:t>
      </w:r>
      <w:r w:rsidR="00A31C83">
        <w:rPr>
          <w:rFonts w:ascii="Times New Roman" w:hAnsi="Times New Roman"/>
          <w:sz w:val="24"/>
          <w:szCs w:val="24"/>
        </w:rPr>
        <w:t xml:space="preserve">informed by </w:t>
      </w:r>
      <w:r w:rsidR="00B33814">
        <w:rPr>
          <w:rFonts w:ascii="Times New Roman" w:hAnsi="Times New Roman"/>
          <w:sz w:val="24"/>
          <w:szCs w:val="24"/>
        </w:rPr>
        <w:t xml:space="preserve">prior experience </w:t>
      </w:r>
      <w:r w:rsidR="00052BDB">
        <w:rPr>
          <w:rFonts w:ascii="Times New Roman" w:hAnsi="Times New Roman"/>
          <w:sz w:val="24"/>
          <w:szCs w:val="24"/>
        </w:rPr>
        <w:t>collecting data with</w:t>
      </w:r>
      <w:r w:rsidR="00B33814">
        <w:rPr>
          <w:rFonts w:ascii="Times New Roman" w:hAnsi="Times New Roman"/>
          <w:sz w:val="24"/>
          <w:szCs w:val="24"/>
        </w:rPr>
        <w:t xml:space="preserve"> the previously approved OMB </w:t>
      </w:r>
      <w:r w:rsidR="00052BDB">
        <w:rPr>
          <w:rFonts w:ascii="Times New Roman" w:hAnsi="Times New Roman"/>
          <w:sz w:val="24"/>
          <w:szCs w:val="24"/>
        </w:rPr>
        <w:t>information collection</w:t>
      </w:r>
      <w:r w:rsidR="006135FF">
        <w:rPr>
          <w:rFonts w:ascii="Times New Roman" w:hAnsi="Times New Roman"/>
          <w:sz w:val="24"/>
          <w:szCs w:val="24"/>
        </w:rPr>
        <w:t xml:space="preserve"> and standards for calculating </w:t>
      </w:r>
      <w:r w:rsidR="009A2FC8">
        <w:rPr>
          <w:rFonts w:ascii="Times New Roman" w:hAnsi="Times New Roman"/>
          <w:sz w:val="24"/>
          <w:szCs w:val="24"/>
        </w:rPr>
        <w:t>burden based on each question type included</w:t>
      </w:r>
      <w:r w:rsidR="00477F86">
        <w:rPr>
          <w:rFonts w:ascii="Times New Roman" w:hAnsi="Times New Roman"/>
          <w:sz w:val="24"/>
          <w:szCs w:val="24"/>
        </w:rPr>
        <w:t xml:space="preserve"> in the instrument</w:t>
      </w:r>
      <w:r w:rsidR="00052BDB">
        <w:rPr>
          <w:rFonts w:ascii="Times New Roman" w:hAnsi="Times New Roman"/>
          <w:sz w:val="24"/>
          <w:szCs w:val="24"/>
        </w:rPr>
        <w:t>.</w:t>
      </w:r>
    </w:p>
    <w:p w:rsidR="00052BDB" w:rsidRPr="001527BD" w:rsidP="00BB0A08" w14:paraId="69FFB21F" w14:textId="77777777">
      <w:pPr>
        <w:widowControl/>
        <w:ind w:left="360"/>
        <w:rPr>
          <w:rFonts w:ascii="Times New Roman" w:hAnsi="Times New Roman"/>
          <w:sz w:val="24"/>
          <w:szCs w:val="24"/>
        </w:rPr>
      </w:pPr>
    </w:p>
    <w:p w:rsidR="00426C97" w:rsidRPr="004F7B95" w:rsidP="00426C97" w14:paraId="30944991" w14:textId="77777777">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DD0EA5" w:rsidRPr="00232509" w:rsidP="00232509" w14:paraId="62E627D1" w14:textId="0B097F9E">
      <w:pPr>
        <w:ind w:left="360"/>
        <w:rPr>
          <w:rFonts w:ascii="Times New Roman" w:hAnsi="Times New Roman"/>
          <w:snapToGrid/>
          <w:sz w:val="24"/>
          <w:szCs w:val="24"/>
        </w:rPr>
      </w:pPr>
      <w:r w:rsidRPr="00232509">
        <w:rPr>
          <w:rFonts w:ascii="Times New Roman" w:hAnsi="Times New Roman"/>
          <w:snapToGrid/>
          <w:sz w:val="24"/>
          <w:szCs w:val="24"/>
        </w:rPr>
        <w:t xml:space="preserve">The </w:t>
      </w:r>
      <w:r w:rsidRPr="00232509" w:rsidR="00552A64">
        <w:rPr>
          <w:rFonts w:ascii="Times New Roman" w:hAnsi="Times New Roman"/>
          <w:snapToGrid/>
          <w:sz w:val="24"/>
          <w:szCs w:val="24"/>
        </w:rPr>
        <w:t>p</w:t>
      </w:r>
      <w:r w:rsidRPr="00232509">
        <w:rPr>
          <w:rFonts w:ascii="Times New Roman" w:hAnsi="Times New Roman"/>
          <w:snapToGrid/>
          <w:sz w:val="24"/>
          <w:szCs w:val="24"/>
        </w:rPr>
        <w:t xml:space="preserve">ackage contains forms that will require varying levels of burden hours to complete, which </w:t>
      </w:r>
      <w:r w:rsidR="004B73BD">
        <w:rPr>
          <w:rFonts w:ascii="Times New Roman" w:hAnsi="Times New Roman"/>
          <w:snapToGrid/>
          <w:sz w:val="24"/>
          <w:szCs w:val="24"/>
        </w:rPr>
        <w:t>impacts</w:t>
      </w:r>
      <w:r w:rsidRPr="00232509">
        <w:rPr>
          <w:rFonts w:ascii="Times New Roman" w:hAnsi="Times New Roman"/>
          <w:snapToGrid/>
          <w:sz w:val="24"/>
          <w:szCs w:val="24"/>
        </w:rPr>
        <w:t xml:space="preserve"> the estimated cost burden. The estimates of annualized cost to respondents are based on appropriate wage rate categories and annual salaries for position types in which respondents serve.</w:t>
      </w:r>
      <w:r w:rsidRPr="00232509">
        <w:rPr>
          <w:rFonts w:ascii="Times New Roman" w:hAnsi="Times New Roman"/>
          <w:snapToGrid/>
          <w:sz w:val="24"/>
          <w:szCs w:val="24"/>
        </w:rPr>
        <w:t xml:space="preserve"> Estimates for the average hourly wage for respondents are based on the </w:t>
      </w:r>
      <w:r w:rsidRPr="00232509" w:rsidR="00552A64">
        <w:rPr>
          <w:rFonts w:ascii="Times New Roman" w:hAnsi="Times New Roman"/>
          <w:snapToGrid/>
          <w:sz w:val="24"/>
          <w:szCs w:val="24"/>
        </w:rPr>
        <w:t xml:space="preserve">U.S. </w:t>
      </w:r>
      <w:r w:rsidRPr="00232509">
        <w:rPr>
          <w:rFonts w:ascii="Times New Roman" w:hAnsi="Times New Roman"/>
          <w:snapToGrid/>
          <w:sz w:val="24"/>
          <w:szCs w:val="24"/>
        </w:rPr>
        <w:t>Department of Labor National Compensation Survey estimate for the occupations presented below</w:t>
      </w:r>
      <w:r w:rsidRPr="00232509" w:rsidR="006A7E2B">
        <w:rPr>
          <w:rFonts w:ascii="Times New Roman" w:hAnsi="Times New Roman"/>
          <w:snapToGrid/>
          <w:sz w:val="24"/>
          <w:szCs w:val="24"/>
        </w:rPr>
        <w:t xml:space="preserve">, </w:t>
      </w:r>
      <w:r w:rsidR="00FF7C8E">
        <w:rPr>
          <w:rFonts w:ascii="Times New Roman" w:hAnsi="Times New Roman"/>
          <w:snapToGrid/>
          <w:sz w:val="24"/>
          <w:szCs w:val="24"/>
        </w:rPr>
        <w:t>which</w:t>
      </w:r>
      <w:r w:rsidRPr="00232509" w:rsidR="006A7E2B">
        <w:rPr>
          <w:rFonts w:ascii="Times New Roman" w:hAnsi="Times New Roman"/>
          <w:snapToGrid/>
          <w:sz w:val="24"/>
          <w:szCs w:val="24"/>
        </w:rPr>
        <w:t xml:space="preserve"> were</w:t>
      </w:r>
      <w:r w:rsidRPr="00232509">
        <w:rPr>
          <w:rFonts w:ascii="Times New Roman" w:hAnsi="Times New Roman"/>
          <w:snapToGrid/>
          <w:sz w:val="24"/>
          <w:szCs w:val="24"/>
        </w:rPr>
        <w:t xml:space="preserve"> gathered from the following website: </w:t>
      </w:r>
      <w:hyperlink r:id="rId11" w:history="1">
        <w:r w:rsidRPr="00232509" w:rsidR="006357B1">
          <w:rPr>
            <w:rStyle w:val="Hyperlink"/>
            <w:rFonts w:ascii="Times New Roman" w:hAnsi="Times New Roman"/>
            <w:sz w:val="24"/>
            <w:szCs w:val="24"/>
          </w:rPr>
          <w:t>https://www.bls.gov/oes/current/oes_stru.htm</w:t>
        </w:r>
      </w:hyperlink>
      <w:r w:rsidRPr="00232509">
        <w:rPr>
          <w:rFonts w:ascii="Times New Roman" w:hAnsi="Times New Roman"/>
          <w:snapToGrid/>
          <w:sz w:val="24"/>
          <w:szCs w:val="24"/>
        </w:rPr>
        <w:t>.</w:t>
      </w:r>
    </w:p>
    <w:p w:rsidR="00DD0EA5" w:rsidRPr="00232509" w:rsidP="00232509" w14:paraId="329265AD" w14:textId="77777777">
      <w:pPr>
        <w:ind w:left="360"/>
        <w:rPr>
          <w:rFonts w:ascii="Times New Roman" w:hAnsi="Times New Roman"/>
          <w:sz w:val="24"/>
          <w:szCs w:val="24"/>
        </w:rPr>
      </w:pPr>
    </w:p>
    <w:p w:rsidR="00567ECE" w:rsidRPr="00232509" w:rsidP="00A65CBC" w14:paraId="35537524" w14:textId="7D4FFCAB">
      <w:pPr>
        <w:keepNext/>
        <w:ind w:left="360"/>
        <w:rPr>
          <w:rFonts w:ascii="Times New Roman" w:hAnsi="Times New Roman"/>
          <w:sz w:val="24"/>
          <w:szCs w:val="24"/>
        </w:rPr>
      </w:pPr>
      <w:r w:rsidRPr="6DC26FA8">
        <w:rPr>
          <w:rFonts w:ascii="Times New Roman" w:hAnsi="Times New Roman"/>
          <w:sz w:val="24"/>
          <w:szCs w:val="24"/>
        </w:rPr>
        <w:t xml:space="preserve">The </w:t>
      </w:r>
      <w:r w:rsidRPr="6DC26FA8">
        <w:rPr>
          <w:rFonts w:ascii="Times New Roman" w:hAnsi="Times New Roman"/>
          <w:sz w:val="24"/>
          <w:szCs w:val="24"/>
        </w:rPr>
        <w:t xml:space="preserve">wage data from May </w:t>
      </w:r>
      <w:r w:rsidRPr="6DC26FA8" w:rsidR="004608C0">
        <w:rPr>
          <w:rFonts w:ascii="Times New Roman" w:hAnsi="Times New Roman"/>
          <w:sz w:val="24"/>
          <w:szCs w:val="24"/>
        </w:rPr>
        <w:t>202</w:t>
      </w:r>
      <w:r w:rsidR="000619B7">
        <w:rPr>
          <w:rFonts w:ascii="Times New Roman" w:hAnsi="Times New Roman"/>
          <w:sz w:val="24"/>
          <w:szCs w:val="24"/>
        </w:rPr>
        <w:t>5</w:t>
      </w:r>
      <w:r w:rsidRPr="6DC26FA8" w:rsidR="00671777">
        <w:rPr>
          <w:rFonts w:ascii="Times New Roman" w:hAnsi="Times New Roman"/>
          <w:sz w:val="24"/>
          <w:szCs w:val="24"/>
        </w:rPr>
        <w:t xml:space="preserve"> </w:t>
      </w:r>
      <w:r w:rsidRPr="6DC26FA8" w:rsidR="00552A64">
        <w:rPr>
          <w:rFonts w:ascii="Times New Roman" w:hAnsi="Times New Roman"/>
          <w:sz w:val="24"/>
          <w:szCs w:val="24"/>
        </w:rPr>
        <w:t xml:space="preserve">were </w:t>
      </w:r>
      <w:r w:rsidRPr="6DC26FA8">
        <w:rPr>
          <w:rFonts w:ascii="Times New Roman" w:hAnsi="Times New Roman"/>
          <w:sz w:val="24"/>
          <w:szCs w:val="24"/>
        </w:rPr>
        <w:t xml:space="preserve">applied for the following </w:t>
      </w:r>
      <w:r w:rsidRPr="6DC26FA8">
        <w:rPr>
          <w:rFonts w:ascii="Times New Roman" w:hAnsi="Times New Roman"/>
          <w:sz w:val="24"/>
          <w:szCs w:val="24"/>
        </w:rPr>
        <w:t>job code</w:t>
      </w:r>
      <w:r w:rsidRPr="6DC26FA8">
        <w:rPr>
          <w:rFonts w:ascii="Times New Roman" w:hAnsi="Times New Roman"/>
          <w:sz w:val="24"/>
          <w:szCs w:val="24"/>
        </w:rPr>
        <w:t>s:</w:t>
      </w:r>
    </w:p>
    <w:p w:rsidR="00567ECE" w:rsidRPr="00232509" w:rsidP="00A65CBC" w14:paraId="5DC1B101" w14:textId="0630D4BA">
      <w:pPr>
        <w:keepNext/>
        <w:numPr>
          <w:ilvl w:val="0"/>
          <w:numId w:val="20"/>
        </w:numPr>
        <w:rPr>
          <w:rFonts w:ascii="Times New Roman" w:hAnsi="Times New Roman"/>
          <w:snapToGrid/>
          <w:sz w:val="24"/>
          <w:szCs w:val="24"/>
        </w:rPr>
      </w:pPr>
      <w:r w:rsidRPr="00232509">
        <w:rPr>
          <w:rFonts w:ascii="Times New Roman" w:hAnsi="Times New Roman"/>
          <w:sz w:val="24"/>
          <w:szCs w:val="24"/>
        </w:rPr>
        <w:t>21-</w:t>
      </w:r>
      <w:r w:rsidRPr="00232509" w:rsidR="00BF31ED">
        <w:rPr>
          <w:rFonts w:ascii="Times New Roman" w:hAnsi="Times New Roman"/>
          <w:sz w:val="24"/>
          <w:szCs w:val="24"/>
        </w:rPr>
        <w:t>0</w:t>
      </w:r>
      <w:r w:rsidRPr="00232509">
        <w:rPr>
          <w:rFonts w:ascii="Times New Roman" w:hAnsi="Times New Roman"/>
          <w:sz w:val="24"/>
          <w:szCs w:val="24"/>
        </w:rPr>
        <w:t>000—</w:t>
      </w:r>
      <w:r w:rsidRPr="00232509" w:rsidR="00B10669">
        <w:rPr>
          <w:rFonts w:ascii="Times New Roman" w:hAnsi="Times New Roman"/>
          <w:sz w:val="24"/>
          <w:szCs w:val="24"/>
        </w:rPr>
        <w:t>Community and Social Service Occupations</w:t>
      </w:r>
      <w:r w:rsidRPr="00232509">
        <w:rPr>
          <w:rFonts w:ascii="Times New Roman" w:hAnsi="Times New Roman"/>
          <w:sz w:val="24"/>
          <w:szCs w:val="24"/>
        </w:rPr>
        <w:t xml:space="preserve">—at </w:t>
      </w:r>
      <w:r w:rsidRPr="00232509">
        <w:rPr>
          <w:rFonts w:ascii="Times New Roman" w:hAnsi="Times New Roman"/>
          <w:sz w:val="24"/>
          <w:szCs w:val="24"/>
        </w:rPr>
        <w:t>$</w:t>
      </w:r>
      <w:r w:rsidR="00760FD1">
        <w:rPr>
          <w:rFonts w:ascii="Times New Roman" w:hAnsi="Times New Roman"/>
          <w:sz w:val="24"/>
          <w:szCs w:val="24"/>
        </w:rPr>
        <w:t>30</w:t>
      </w:r>
      <w:r w:rsidRPr="00232509">
        <w:rPr>
          <w:rFonts w:ascii="Times New Roman" w:hAnsi="Times New Roman"/>
          <w:sz w:val="24"/>
          <w:szCs w:val="24"/>
        </w:rPr>
        <w:t>.</w:t>
      </w:r>
      <w:r w:rsidR="004B036C">
        <w:rPr>
          <w:rFonts w:ascii="Times New Roman" w:hAnsi="Times New Roman"/>
          <w:sz w:val="24"/>
          <w:szCs w:val="24"/>
        </w:rPr>
        <w:t>49</w:t>
      </w:r>
      <w:r w:rsidRPr="00232509" w:rsidR="0069493D">
        <w:rPr>
          <w:rFonts w:ascii="Times New Roman" w:hAnsi="Times New Roman"/>
          <w:sz w:val="24"/>
          <w:szCs w:val="24"/>
        </w:rPr>
        <w:t xml:space="preserve"> </w:t>
      </w:r>
      <w:r w:rsidRPr="00232509">
        <w:rPr>
          <w:rFonts w:ascii="Times New Roman" w:hAnsi="Times New Roman"/>
          <w:sz w:val="24"/>
          <w:szCs w:val="24"/>
        </w:rPr>
        <w:t>per hour</w:t>
      </w:r>
    </w:p>
    <w:p w:rsidR="00567ECE" w:rsidRPr="00232509" w:rsidP="00A65CBC" w14:paraId="0C3D6B26" w14:textId="3E79865D">
      <w:pPr>
        <w:keepNext/>
        <w:numPr>
          <w:ilvl w:val="0"/>
          <w:numId w:val="20"/>
        </w:numPr>
        <w:rPr>
          <w:rFonts w:ascii="Times New Roman" w:hAnsi="Times New Roman"/>
          <w:snapToGrid/>
          <w:sz w:val="24"/>
          <w:szCs w:val="24"/>
        </w:rPr>
      </w:pPr>
      <w:r w:rsidRPr="00232509">
        <w:rPr>
          <w:rFonts w:ascii="Times New Roman" w:hAnsi="Times New Roman"/>
          <w:snapToGrid/>
          <w:sz w:val="24"/>
          <w:szCs w:val="24"/>
        </w:rPr>
        <w:t>29-9099</w:t>
      </w:r>
      <w:r w:rsidRPr="00232509">
        <w:rPr>
          <w:rFonts w:ascii="Times New Roman" w:hAnsi="Times New Roman"/>
          <w:sz w:val="24"/>
          <w:szCs w:val="24"/>
        </w:rPr>
        <w:t>—Healthcare Practitioner/Technical Workers—at $</w:t>
      </w:r>
      <w:r w:rsidRPr="00232509" w:rsidR="00664FA4">
        <w:rPr>
          <w:rFonts w:ascii="Times New Roman" w:hAnsi="Times New Roman"/>
          <w:sz w:val="24"/>
          <w:szCs w:val="24"/>
        </w:rPr>
        <w:t>3</w:t>
      </w:r>
      <w:r w:rsidR="00457D10">
        <w:rPr>
          <w:rFonts w:ascii="Times New Roman" w:hAnsi="Times New Roman"/>
          <w:sz w:val="24"/>
          <w:szCs w:val="24"/>
        </w:rPr>
        <w:t>6</w:t>
      </w:r>
      <w:r w:rsidRPr="00232509">
        <w:rPr>
          <w:rFonts w:ascii="Times New Roman" w:hAnsi="Times New Roman"/>
          <w:sz w:val="24"/>
          <w:szCs w:val="24"/>
        </w:rPr>
        <w:t>.</w:t>
      </w:r>
      <w:r w:rsidR="00457D10">
        <w:rPr>
          <w:rFonts w:ascii="Times New Roman" w:hAnsi="Times New Roman"/>
          <w:sz w:val="24"/>
          <w:szCs w:val="24"/>
        </w:rPr>
        <w:t>89</w:t>
      </w:r>
      <w:r w:rsidRPr="00232509" w:rsidR="00457D10">
        <w:rPr>
          <w:rFonts w:ascii="Times New Roman" w:hAnsi="Times New Roman"/>
          <w:sz w:val="24"/>
          <w:szCs w:val="24"/>
        </w:rPr>
        <w:t xml:space="preserve"> </w:t>
      </w:r>
      <w:r w:rsidRPr="00232509">
        <w:rPr>
          <w:rFonts w:ascii="Times New Roman" w:hAnsi="Times New Roman"/>
          <w:sz w:val="24"/>
          <w:szCs w:val="24"/>
        </w:rPr>
        <w:t>per hour</w:t>
      </w:r>
    </w:p>
    <w:p w:rsidR="00567ECE" w:rsidRPr="00232509" w:rsidP="00A65CBC" w14:paraId="2B443AD7" w14:textId="454B7487">
      <w:pPr>
        <w:keepNext/>
        <w:numPr>
          <w:ilvl w:val="0"/>
          <w:numId w:val="20"/>
        </w:numPr>
        <w:rPr>
          <w:rFonts w:ascii="Times New Roman" w:hAnsi="Times New Roman"/>
          <w:snapToGrid/>
          <w:sz w:val="24"/>
          <w:szCs w:val="24"/>
        </w:rPr>
      </w:pPr>
      <w:r w:rsidRPr="00232509">
        <w:rPr>
          <w:rFonts w:ascii="Times New Roman" w:hAnsi="Times New Roman"/>
          <w:snapToGrid/>
          <w:sz w:val="24"/>
          <w:szCs w:val="24"/>
        </w:rPr>
        <w:t>11-9111</w:t>
      </w:r>
      <w:r w:rsidRPr="00232509">
        <w:rPr>
          <w:rFonts w:ascii="Times New Roman" w:hAnsi="Times New Roman"/>
          <w:sz w:val="24"/>
          <w:szCs w:val="24"/>
        </w:rPr>
        <w:t>—Medical and Health Services Manager—at $</w:t>
      </w:r>
      <w:r w:rsidR="00AD7AF0">
        <w:rPr>
          <w:rFonts w:ascii="Times New Roman" w:hAnsi="Times New Roman"/>
          <w:sz w:val="24"/>
          <w:szCs w:val="24"/>
        </w:rPr>
        <w:t>6</w:t>
      </w:r>
      <w:r w:rsidR="00457D10">
        <w:rPr>
          <w:rFonts w:ascii="Times New Roman" w:hAnsi="Times New Roman"/>
          <w:sz w:val="24"/>
          <w:szCs w:val="24"/>
        </w:rPr>
        <w:t>7</w:t>
      </w:r>
      <w:r w:rsidRPr="00232509">
        <w:rPr>
          <w:rFonts w:ascii="Times New Roman" w:hAnsi="Times New Roman"/>
          <w:sz w:val="24"/>
          <w:szCs w:val="24"/>
        </w:rPr>
        <w:t>.</w:t>
      </w:r>
      <w:r w:rsidR="00457D10">
        <w:rPr>
          <w:rFonts w:ascii="Times New Roman" w:hAnsi="Times New Roman"/>
          <w:sz w:val="24"/>
          <w:szCs w:val="24"/>
        </w:rPr>
        <w:t>77</w:t>
      </w:r>
      <w:r w:rsidRPr="00232509">
        <w:rPr>
          <w:rFonts w:ascii="Times New Roman" w:hAnsi="Times New Roman"/>
          <w:sz w:val="24"/>
          <w:szCs w:val="24"/>
        </w:rPr>
        <w:t xml:space="preserve"> per hour</w:t>
      </w:r>
    </w:p>
    <w:p w:rsidR="00232509" w:rsidRPr="00232509" w:rsidP="006357B1" w14:paraId="27AA9732" w14:textId="77777777">
      <w:pPr>
        <w:ind w:left="360"/>
        <w:rPr>
          <w:rFonts w:ascii="Times New Roman" w:hAnsi="Times New Roman"/>
          <w:sz w:val="24"/>
          <w:szCs w:val="24"/>
        </w:rPr>
      </w:pPr>
    </w:p>
    <w:p w:rsidR="004F0786" w:rsidRPr="00232509" w:rsidP="006357B1" w14:paraId="7392201F" w14:textId="0732919B">
      <w:pPr>
        <w:ind w:left="360"/>
        <w:rPr>
          <w:rFonts w:ascii="Times New Roman" w:hAnsi="Times New Roman"/>
          <w:snapToGrid/>
          <w:sz w:val="24"/>
          <w:szCs w:val="24"/>
        </w:rPr>
      </w:pPr>
      <w:r w:rsidRPr="00232509">
        <w:rPr>
          <w:rFonts w:ascii="Times New Roman" w:hAnsi="Times New Roman"/>
          <w:sz w:val="24"/>
          <w:szCs w:val="24"/>
        </w:rPr>
        <w:t>T</w:t>
      </w:r>
      <w:r w:rsidRPr="00232509" w:rsidR="00DD0EA5">
        <w:rPr>
          <w:rFonts w:ascii="Times New Roman" w:hAnsi="Times New Roman"/>
          <w:sz w:val="24"/>
          <w:szCs w:val="24"/>
        </w:rPr>
        <w:t>o account for fringe benefits and overhead</w:t>
      </w:r>
      <w:r w:rsidRPr="00232509" w:rsidR="00AA6C11">
        <w:rPr>
          <w:rFonts w:ascii="Times New Roman" w:hAnsi="Times New Roman"/>
          <w:sz w:val="24"/>
          <w:szCs w:val="24"/>
        </w:rPr>
        <w:t>,</w:t>
      </w:r>
      <w:r w:rsidRPr="00232509" w:rsidR="00DD0EA5">
        <w:rPr>
          <w:rFonts w:ascii="Times New Roman" w:hAnsi="Times New Roman"/>
          <w:sz w:val="24"/>
          <w:szCs w:val="24"/>
        </w:rPr>
        <w:t xml:space="preserve"> the rate</w:t>
      </w:r>
      <w:r w:rsidRPr="00232509">
        <w:rPr>
          <w:rFonts w:ascii="Times New Roman" w:hAnsi="Times New Roman"/>
          <w:sz w:val="24"/>
          <w:szCs w:val="24"/>
        </w:rPr>
        <w:t>s above</w:t>
      </w:r>
      <w:r w:rsidRPr="00232509" w:rsidR="00DD0EA5">
        <w:rPr>
          <w:rFonts w:ascii="Times New Roman" w:hAnsi="Times New Roman"/>
          <w:sz w:val="24"/>
          <w:szCs w:val="24"/>
        </w:rPr>
        <w:t xml:space="preserve"> </w:t>
      </w:r>
      <w:r w:rsidRPr="00232509">
        <w:rPr>
          <w:rFonts w:ascii="Times New Roman" w:hAnsi="Times New Roman"/>
          <w:sz w:val="24"/>
          <w:szCs w:val="24"/>
        </w:rPr>
        <w:t>were</w:t>
      </w:r>
      <w:r w:rsidRPr="00232509" w:rsidR="00DD0EA5">
        <w:rPr>
          <w:rFonts w:ascii="Times New Roman" w:hAnsi="Times New Roman"/>
          <w:sz w:val="24"/>
          <w:szCs w:val="24"/>
        </w:rPr>
        <w:t xml:space="preserve"> multiplied by two </w:t>
      </w:r>
      <w:r w:rsidRPr="00232509">
        <w:rPr>
          <w:rFonts w:ascii="Times New Roman" w:hAnsi="Times New Roman"/>
          <w:sz w:val="24"/>
          <w:szCs w:val="24"/>
        </w:rPr>
        <w:t xml:space="preserve">and then </w:t>
      </w:r>
      <w:r w:rsidRPr="00232509" w:rsidR="00CC7658">
        <w:rPr>
          <w:rFonts w:ascii="Times New Roman" w:hAnsi="Times New Roman"/>
          <w:sz w:val="24"/>
          <w:szCs w:val="24"/>
        </w:rPr>
        <w:t xml:space="preserve">multiplied by </w:t>
      </w:r>
      <w:r w:rsidRPr="00232509">
        <w:rPr>
          <w:rFonts w:ascii="Times New Roman" w:hAnsi="Times New Roman"/>
          <w:sz w:val="24"/>
          <w:szCs w:val="24"/>
        </w:rPr>
        <w:t>the associated number of annual burden hours to obtain the total cost by instrument</w:t>
      </w:r>
      <w:r w:rsidRPr="00232509" w:rsidR="00DD0EA5">
        <w:rPr>
          <w:rFonts w:ascii="Times New Roman" w:hAnsi="Times New Roman"/>
          <w:sz w:val="24"/>
          <w:szCs w:val="24"/>
        </w:rPr>
        <w:t>. </w:t>
      </w:r>
      <w:r w:rsidRPr="00232509" w:rsidR="00C31788">
        <w:rPr>
          <w:rFonts w:ascii="Times New Roman" w:hAnsi="Times New Roman"/>
          <w:snapToGrid/>
          <w:sz w:val="24"/>
          <w:szCs w:val="24"/>
        </w:rPr>
        <w:t>T</w:t>
      </w:r>
      <w:r w:rsidRPr="00232509" w:rsidR="00DD0EA5">
        <w:rPr>
          <w:rFonts w:ascii="Times New Roman" w:hAnsi="Times New Roman"/>
          <w:snapToGrid/>
          <w:sz w:val="24"/>
          <w:szCs w:val="24"/>
        </w:rPr>
        <w:t xml:space="preserve">able </w:t>
      </w:r>
      <w:r w:rsidR="00007F08">
        <w:rPr>
          <w:rFonts w:ascii="Times New Roman" w:hAnsi="Times New Roman"/>
          <w:snapToGrid/>
          <w:sz w:val="24"/>
          <w:szCs w:val="24"/>
        </w:rPr>
        <w:t>1</w:t>
      </w:r>
      <w:r w:rsidRPr="00232509" w:rsidR="00007F08">
        <w:rPr>
          <w:rFonts w:ascii="Times New Roman" w:hAnsi="Times New Roman"/>
          <w:snapToGrid/>
          <w:sz w:val="24"/>
          <w:szCs w:val="24"/>
        </w:rPr>
        <w:t xml:space="preserve"> </w:t>
      </w:r>
      <w:r w:rsidRPr="00232509" w:rsidR="00DD0EA5">
        <w:rPr>
          <w:rFonts w:ascii="Times New Roman" w:hAnsi="Times New Roman"/>
          <w:snapToGrid/>
          <w:sz w:val="24"/>
          <w:szCs w:val="24"/>
        </w:rPr>
        <w:t xml:space="preserve">shows </w:t>
      </w:r>
      <w:r w:rsidRPr="00232509">
        <w:rPr>
          <w:rFonts w:ascii="Times New Roman" w:hAnsi="Times New Roman"/>
          <w:snapToGrid/>
          <w:sz w:val="24"/>
          <w:szCs w:val="24"/>
        </w:rPr>
        <w:t xml:space="preserve">the </w:t>
      </w:r>
      <w:r w:rsidRPr="00232509" w:rsidR="00DD0EA5">
        <w:rPr>
          <w:rFonts w:ascii="Times New Roman" w:hAnsi="Times New Roman"/>
          <w:snapToGrid/>
          <w:sz w:val="24"/>
          <w:szCs w:val="24"/>
        </w:rPr>
        <w:t xml:space="preserve">estimated burden and </w:t>
      </w:r>
      <w:r w:rsidRPr="00232509">
        <w:rPr>
          <w:rFonts w:ascii="Times New Roman" w:hAnsi="Times New Roman"/>
          <w:snapToGrid/>
          <w:sz w:val="24"/>
          <w:szCs w:val="24"/>
        </w:rPr>
        <w:t>annualized cost</w:t>
      </w:r>
      <w:r w:rsidRPr="00232509" w:rsidR="00DD0EA5">
        <w:rPr>
          <w:rFonts w:ascii="Times New Roman" w:hAnsi="Times New Roman"/>
          <w:snapToGrid/>
          <w:sz w:val="24"/>
          <w:szCs w:val="24"/>
        </w:rPr>
        <w:t xml:space="preserve"> information</w:t>
      </w:r>
      <w:r w:rsidRPr="00232509">
        <w:rPr>
          <w:rFonts w:ascii="Times New Roman" w:hAnsi="Times New Roman"/>
          <w:snapToGrid/>
          <w:sz w:val="24"/>
          <w:szCs w:val="24"/>
        </w:rPr>
        <w:t xml:space="preserve"> per instrument</w:t>
      </w:r>
      <w:r w:rsidRPr="00232509" w:rsidR="00DD0EA5">
        <w:rPr>
          <w:rFonts w:ascii="Times New Roman" w:hAnsi="Times New Roman"/>
          <w:snapToGrid/>
          <w:sz w:val="24"/>
          <w:szCs w:val="24"/>
        </w:rPr>
        <w:t>.</w:t>
      </w:r>
    </w:p>
    <w:p w:rsidR="00E25BAD" w:rsidP="001527BD" w14:paraId="3D6D39B7" w14:textId="768B0FB0">
      <w:pPr>
        <w:widowControl/>
        <w:rPr>
          <w:rFonts w:ascii="Times New Roman" w:hAnsi="Times New Roman"/>
          <w:snapToGrid/>
          <w:sz w:val="24"/>
          <w:szCs w:val="24"/>
        </w:rPr>
      </w:pPr>
    </w:p>
    <w:p w:rsidR="003C6354" w:rsidRPr="00232509" w:rsidP="001F7317" w14:paraId="426E29AA" w14:textId="6455F151">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Estimates of Other Total Annual Cost Burden to Respondents and Record Keepers </w:t>
      </w:r>
    </w:p>
    <w:p w:rsidR="00D60543" w:rsidRPr="00232509" w:rsidP="00A65CBC" w14:paraId="1741366D" w14:textId="45867251">
      <w:pPr>
        <w:widowControl/>
        <w:ind w:firstLine="360"/>
        <w:rPr>
          <w:rFonts w:ascii="Times New Roman" w:hAnsi="Times New Roman"/>
          <w:snapToGrid/>
          <w:sz w:val="24"/>
          <w:szCs w:val="24"/>
        </w:rPr>
      </w:pPr>
      <w:r w:rsidRPr="00232509">
        <w:rPr>
          <w:rFonts w:ascii="Times New Roman" w:hAnsi="Times New Roman"/>
          <w:snapToGrid/>
          <w:sz w:val="24"/>
          <w:szCs w:val="24"/>
        </w:rPr>
        <w:t xml:space="preserve">There are no additional costs to respondents and record keepers. </w:t>
      </w:r>
    </w:p>
    <w:p w:rsidR="00232509" w:rsidRPr="00232509" w:rsidP="00A65CBC" w14:paraId="18D1CC63" w14:textId="77777777">
      <w:pPr>
        <w:widowControl/>
        <w:ind w:firstLine="360"/>
        <w:rPr>
          <w:rFonts w:ascii="Times New Roman" w:hAnsi="Times New Roman"/>
          <w:snapToGrid/>
          <w:sz w:val="24"/>
          <w:szCs w:val="24"/>
        </w:rPr>
      </w:pPr>
    </w:p>
    <w:p w:rsidR="002C3C4F" w:rsidRPr="00232509" w:rsidP="001F7317" w14:paraId="77FFF32C"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A</w:t>
      </w:r>
      <w:r w:rsidRPr="00232509">
        <w:rPr>
          <w:rFonts w:ascii="Times New Roman" w:hAnsi="Times New Roman"/>
          <w:b/>
          <w:snapToGrid/>
          <w:sz w:val="24"/>
          <w:szCs w:val="24"/>
        </w:rPr>
        <w:t xml:space="preserve">nnualized Cost to the Federal Government </w:t>
      </w:r>
    </w:p>
    <w:p w:rsidR="004F0786" w:rsidRPr="00232509" w:rsidP="00232509" w14:paraId="51C0ACFB" w14:textId="7D93A0D2">
      <w:pPr>
        <w:widowControl/>
        <w:ind w:left="360"/>
        <w:rPr>
          <w:rFonts w:ascii="Times New Roman" w:hAnsi="Times New Roman"/>
          <w:snapToGrid/>
          <w:sz w:val="24"/>
          <w:szCs w:val="24"/>
        </w:rPr>
      </w:pPr>
      <w:r w:rsidRPr="00232509">
        <w:rPr>
          <w:rFonts w:ascii="Times New Roman" w:hAnsi="Times New Roman"/>
          <w:snapToGrid/>
          <w:sz w:val="24"/>
          <w:szCs w:val="24"/>
        </w:rPr>
        <w:t xml:space="preserve">The estimated annual cost to the </w:t>
      </w:r>
      <w:r w:rsidRPr="00232509" w:rsidR="000140DF">
        <w:rPr>
          <w:rFonts w:ascii="Times New Roman" w:hAnsi="Times New Roman"/>
          <w:snapToGrid/>
          <w:sz w:val="24"/>
          <w:szCs w:val="24"/>
        </w:rPr>
        <w:t>f</w:t>
      </w:r>
      <w:r w:rsidRPr="00232509">
        <w:rPr>
          <w:rFonts w:ascii="Times New Roman" w:hAnsi="Times New Roman"/>
          <w:snapToGrid/>
          <w:sz w:val="24"/>
          <w:szCs w:val="24"/>
        </w:rPr>
        <w:t xml:space="preserve">ederal government staff is minimal and limited to staff review time of applications. </w:t>
      </w:r>
      <w:r w:rsidRPr="00232509">
        <w:rPr>
          <w:rFonts w:ascii="Times New Roman" w:hAnsi="Times New Roman"/>
          <w:sz w:val="24"/>
          <w:szCs w:val="24"/>
        </w:rPr>
        <w:t xml:space="preserve">We estimate the overall </w:t>
      </w:r>
      <w:r w:rsidRPr="00232509">
        <w:rPr>
          <w:rFonts w:ascii="Times New Roman" w:hAnsi="Times New Roman"/>
          <w:b/>
          <w:bCs/>
          <w:sz w:val="24"/>
          <w:szCs w:val="24"/>
        </w:rPr>
        <w:t>annualized cost</w:t>
      </w:r>
      <w:r w:rsidRPr="00232509">
        <w:rPr>
          <w:rFonts w:ascii="Times New Roman" w:hAnsi="Times New Roman"/>
          <w:sz w:val="24"/>
          <w:szCs w:val="24"/>
        </w:rPr>
        <w:t xml:space="preserve"> </w:t>
      </w:r>
      <w:r w:rsidRPr="00232509">
        <w:rPr>
          <w:rFonts w:ascii="Times New Roman" w:hAnsi="Times New Roman"/>
          <w:b/>
          <w:bCs/>
          <w:sz w:val="24"/>
          <w:szCs w:val="24"/>
        </w:rPr>
        <w:t xml:space="preserve">to the </w:t>
      </w:r>
      <w:r w:rsidRPr="00232509" w:rsidR="000140DF">
        <w:rPr>
          <w:rFonts w:ascii="Times New Roman" w:hAnsi="Times New Roman"/>
          <w:b/>
          <w:bCs/>
          <w:sz w:val="24"/>
          <w:szCs w:val="24"/>
        </w:rPr>
        <w:t>f</w:t>
      </w:r>
      <w:r w:rsidRPr="00232509">
        <w:rPr>
          <w:rFonts w:ascii="Times New Roman" w:hAnsi="Times New Roman"/>
          <w:b/>
          <w:bCs/>
          <w:sz w:val="24"/>
          <w:szCs w:val="24"/>
        </w:rPr>
        <w:t>ederal government</w:t>
      </w:r>
      <w:r w:rsidRPr="00232509">
        <w:rPr>
          <w:rFonts w:ascii="Times New Roman" w:hAnsi="Times New Roman"/>
          <w:sz w:val="24"/>
          <w:szCs w:val="24"/>
        </w:rPr>
        <w:t xml:space="preserve"> to be $</w:t>
      </w:r>
      <w:r w:rsidR="000F721E">
        <w:rPr>
          <w:rFonts w:ascii="Times New Roman" w:hAnsi="Times New Roman"/>
          <w:sz w:val="24"/>
          <w:szCs w:val="24"/>
        </w:rPr>
        <w:t>25</w:t>
      </w:r>
      <w:r w:rsidRPr="00232509" w:rsidR="000F721E">
        <w:rPr>
          <w:rFonts w:ascii="Times New Roman" w:hAnsi="Times New Roman"/>
          <w:sz w:val="24"/>
          <w:szCs w:val="24"/>
        </w:rPr>
        <w:t>8</w:t>
      </w:r>
      <w:r w:rsidRPr="00232509" w:rsidR="008C5422">
        <w:rPr>
          <w:rFonts w:ascii="Times New Roman" w:hAnsi="Times New Roman"/>
          <w:sz w:val="24"/>
          <w:szCs w:val="24"/>
        </w:rPr>
        <w:t>,0</w:t>
      </w:r>
      <w:r w:rsidRPr="00232509" w:rsidR="008E2620">
        <w:rPr>
          <w:rFonts w:ascii="Times New Roman" w:hAnsi="Times New Roman"/>
          <w:sz w:val="24"/>
          <w:szCs w:val="24"/>
        </w:rPr>
        <w:t>62</w:t>
      </w:r>
      <w:r w:rsidRPr="00232509">
        <w:rPr>
          <w:rFonts w:ascii="Times New Roman" w:hAnsi="Times New Roman"/>
          <w:sz w:val="24"/>
          <w:szCs w:val="24"/>
        </w:rPr>
        <w:t xml:space="preserve">. This cost estimate is based on the task order of work projected for completion under the contract for this </w:t>
      </w:r>
      <w:r w:rsidRPr="00232509" w:rsidR="000F01FE">
        <w:rPr>
          <w:rFonts w:ascii="Times New Roman" w:hAnsi="Times New Roman"/>
          <w:sz w:val="24"/>
          <w:szCs w:val="24"/>
        </w:rPr>
        <w:t>T/TA</w:t>
      </w:r>
      <w:r w:rsidRPr="00232509">
        <w:rPr>
          <w:rFonts w:ascii="Times New Roman" w:hAnsi="Times New Roman"/>
          <w:sz w:val="24"/>
          <w:szCs w:val="24"/>
        </w:rPr>
        <w:t xml:space="preserve"> effort. As outlined below, the estimated annual </w:t>
      </w:r>
      <w:r w:rsidRPr="00232509" w:rsidR="000140DF">
        <w:rPr>
          <w:rFonts w:ascii="Times New Roman" w:hAnsi="Times New Roman"/>
          <w:sz w:val="24"/>
          <w:szCs w:val="24"/>
        </w:rPr>
        <w:t>f</w:t>
      </w:r>
      <w:r w:rsidRPr="00232509">
        <w:rPr>
          <w:rFonts w:ascii="Times New Roman" w:hAnsi="Times New Roman"/>
          <w:sz w:val="24"/>
          <w:szCs w:val="24"/>
        </w:rPr>
        <w:t xml:space="preserve">ederal costs associated with </w:t>
      </w:r>
      <w:r w:rsidRPr="00232509" w:rsidR="000140DF">
        <w:rPr>
          <w:rFonts w:ascii="Times New Roman" w:hAnsi="Times New Roman"/>
          <w:sz w:val="24"/>
          <w:szCs w:val="24"/>
        </w:rPr>
        <w:t xml:space="preserve">the </w:t>
      </w:r>
      <w:r w:rsidRPr="00232509">
        <w:rPr>
          <w:rFonts w:ascii="Times New Roman" w:hAnsi="Times New Roman"/>
          <w:sz w:val="24"/>
          <w:szCs w:val="24"/>
        </w:rPr>
        <w:t>NHTTAC Evaluation Package include the capital/startup and operating and maintenance costs necessary for this information collection</w:t>
      </w:r>
      <w:r w:rsidR="00160B38">
        <w:rPr>
          <w:rFonts w:ascii="Times New Roman" w:hAnsi="Times New Roman"/>
          <w:sz w:val="24"/>
          <w:szCs w:val="24"/>
        </w:rPr>
        <w:t>,</w:t>
      </w:r>
      <w:r w:rsidRPr="00232509">
        <w:rPr>
          <w:rFonts w:ascii="Times New Roman" w:hAnsi="Times New Roman"/>
          <w:sz w:val="24"/>
          <w:szCs w:val="24"/>
        </w:rPr>
        <w:t xml:space="preserve"> to include the quantification of hours for managerial and support staff to administer the Consultant and Evaluation Package process</w:t>
      </w:r>
      <w:r w:rsidR="00397224">
        <w:rPr>
          <w:rFonts w:ascii="Times New Roman" w:hAnsi="Times New Roman"/>
          <w:sz w:val="24"/>
          <w:szCs w:val="24"/>
        </w:rPr>
        <w:t>,</w:t>
      </w:r>
      <w:r w:rsidRPr="00232509">
        <w:rPr>
          <w:rFonts w:ascii="Times New Roman" w:hAnsi="Times New Roman"/>
          <w:sz w:val="24"/>
          <w:szCs w:val="24"/>
        </w:rPr>
        <w:t xml:space="preserve"> the acquisition or development of collection techniques</w:t>
      </w:r>
      <w:r w:rsidR="00397224">
        <w:rPr>
          <w:rFonts w:ascii="Times New Roman" w:hAnsi="Times New Roman"/>
          <w:sz w:val="24"/>
          <w:szCs w:val="24"/>
        </w:rPr>
        <w:t>,</w:t>
      </w:r>
      <w:r w:rsidRPr="00232509">
        <w:rPr>
          <w:rFonts w:ascii="Times New Roman" w:hAnsi="Times New Roman"/>
          <w:sz w:val="24"/>
          <w:szCs w:val="24"/>
        </w:rPr>
        <w:t xml:space="preserve"> and operational expenses (e.g., equipment, overhead, printing) for the </w:t>
      </w:r>
      <w:r w:rsidRPr="00232509" w:rsidR="000140DF">
        <w:rPr>
          <w:rFonts w:ascii="Times New Roman" w:hAnsi="Times New Roman"/>
          <w:sz w:val="24"/>
          <w:szCs w:val="24"/>
        </w:rPr>
        <w:t xml:space="preserve">3 </w:t>
      </w:r>
      <w:r w:rsidRPr="00232509">
        <w:rPr>
          <w:rFonts w:ascii="Times New Roman" w:hAnsi="Times New Roman"/>
          <w:sz w:val="24"/>
          <w:szCs w:val="24"/>
        </w:rPr>
        <w:t>years for which this approval is sought.</w:t>
      </w:r>
    </w:p>
    <w:p w:rsidR="004F0786" w:rsidRPr="00232509" w:rsidP="002A1EEB" w14:paraId="67B9023B" w14:textId="4858FFF9">
      <w:pPr>
        <w:pStyle w:val="Level1"/>
        <w:widowControl/>
        <w:numPr>
          <w:ilvl w:val="0"/>
          <w:numId w:val="24"/>
        </w:numPr>
        <w:tabs>
          <w:tab w:val="left" w:pos="-1440"/>
        </w:tabs>
        <w:outlineLvl w:val="9"/>
        <w:rPr>
          <w:szCs w:val="24"/>
        </w:rPr>
      </w:pPr>
      <w:r w:rsidRPr="00232509">
        <w:rPr>
          <w:szCs w:val="24"/>
        </w:rPr>
        <w:t>Capital/</w:t>
      </w:r>
      <w:r w:rsidRPr="00232509" w:rsidR="000140DF">
        <w:rPr>
          <w:szCs w:val="24"/>
        </w:rPr>
        <w:t>s</w:t>
      </w:r>
      <w:r w:rsidRPr="00232509">
        <w:rPr>
          <w:szCs w:val="24"/>
        </w:rPr>
        <w:t>tartup costs: $0. Th</w:t>
      </w:r>
      <w:r w:rsidRPr="00232509" w:rsidR="008C5422">
        <w:rPr>
          <w:szCs w:val="24"/>
        </w:rPr>
        <w:t xml:space="preserve">e capital and startup costs </w:t>
      </w:r>
      <w:r w:rsidRPr="00232509" w:rsidR="000140DF">
        <w:rPr>
          <w:szCs w:val="24"/>
        </w:rPr>
        <w:t xml:space="preserve">were </w:t>
      </w:r>
      <w:r w:rsidRPr="00232509" w:rsidR="008C5422">
        <w:rPr>
          <w:szCs w:val="24"/>
        </w:rPr>
        <w:t>already incurred through the previous approval, which</w:t>
      </w:r>
      <w:r w:rsidRPr="00232509">
        <w:rPr>
          <w:szCs w:val="24"/>
        </w:rPr>
        <w:t xml:space="preserve"> include</w:t>
      </w:r>
      <w:r w:rsidRPr="00232509" w:rsidR="008C5422">
        <w:rPr>
          <w:szCs w:val="24"/>
        </w:rPr>
        <w:t>d</w:t>
      </w:r>
      <w:r w:rsidRPr="00232509">
        <w:rPr>
          <w:szCs w:val="24"/>
        </w:rPr>
        <w:t xml:space="preserve"> instrument design and development. </w:t>
      </w:r>
    </w:p>
    <w:p w:rsidR="004F0786" w:rsidRPr="00232509" w:rsidP="002A1EEB" w14:paraId="32C6C264" w14:textId="50FB55D9">
      <w:pPr>
        <w:pStyle w:val="Level1"/>
        <w:widowControl/>
        <w:numPr>
          <w:ilvl w:val="0"/>
          <w:numId w:val="24"/>
        </w:numPr>
        <w:tabs>
          <w:tab w:val="left" w:pos="-1440"/>
        </w:tabs>
        <w:outlineLvl w:val="9"/>
        <w:rPr>
          <w:szCs w:val="24"/>
        </w:rPr>
      </w:pPr>
      <w:r w:rsidRPr="00232509">
        <w:rPr>
          <w:szCs w:val="24"/>
        </w:rPr>
        <w:t xml:space="preserve">Operating and </w:t>
      </w:r>
      <w:r w:rsidRPr="00232509" w:rsidR="000140DF">
        <w:rPr>
          <w:szCs w:val="24"/>
        </w:rPr>
        <w:t>m</w:t>
      </w:r>
      <w:r w:rsidRPr="00232509">
        <w:rPr>
          <w:szCs w:val="24"/>
        </w:rPr>
        <w:t>aintenance costs: $</w:t>
      </w:r>
      <w:r w:rsidR="000F721E">
        <w:rPr>
          <w:szCs w:val="24"/>
        </w:rPr>
        <w:t>25</w:t>
      </w:r>
      <w:r w:rsidRPr="00232509" w:rsidR="000F721E">
        <w:rPr>
          <w:szCs w:val="24"/>
        </w:rPr>
        <w:t>8</w:t>
      </w:r>
      <w:r w:rsidRPr="00232509" w:rsidR="008C5422">
        <w:rPr>
          <w:szCs w:val="24"/>
        </w:rPr>
        <w:t>,0</w:t>
      </w:r>
      <w:r w:rsidRPr="00232509" w:rsidR="008E2620">
        <w:rPr>
          <w:szCs w:val="24"/>
        </w:rPr>
        <w:t>62</w:t>
      </w:r>
      <w:r w:rsidRPr="00232509">
        <w:rPr>
          <w:szCs w:val="24"/>
        </w:rPr>
        <w:t xml:space="preserve">. This amount reflects the </w:t>
      </w:r>
      <w:r w:rsidRPr="00232509">
        <w:rPr>
          <w:b/>
          <w:bCs/>
          <w:szCs w:val="24"/>
        </w:rPr>
        <w:t>total annual costs</w:t>
      </w:r>
      <w:r w:rsidRPr="00232509">
        <w:rPr>
          <w:szCs w:val="24"/>
        </w:rPr>
        <w:t xml:space="preserve"> for operating and maintaining any automated, electronic, mechanical</w:t>
      </w:r>
      <w:r w:rsidRPr="00232509" w:rsidR="000140DF">
        <w:rPr>
          <w:szCs w:val="24"/>
        </w:rPr>
        <w:t>,</w:t>
      </w:r>
      <w:r w:rsidRPr="00232509">
        <w:rPr>
          <w:szCs w:val="24"/>
        </w:rPr>
        <w:t xml:space="preserve"> or technological collection techniques, as well as the labor necessary to implement, analyze</w:t>
      </w:r>
      <w:r w:rsidRPr="00232509" w:rsidR="000140DF">
        <w:rPr>
          <w:szCs w:val="24"/>
        </w:rPr>
        <w:t>,</w:t>
      </w:r>
      <w:r w:rsidRPr="00232509">
        <w:rPr>
          <w:szCs w:val="24"/>
        </w:rPr>
        <w:t xml:space="preserve"> and report on this effort.</w:t>
      </w:r>
    </w:p>
    <w:p w:rsidR="007935D5" w:rsidRPr="00232509" w:rsidP="00232509" w14:paraId="0E1C43E2" w14:textId="77777777">
      <w:pPr>
        <w:widowControl/>
        <w:ind w:left="360"/>
        <w:rPr>
          <w:rFonts w:ascii="Times New Roman" w:hAnsi="Times New Roman"/>
          <w:snapToGrid/>
          <w:sz w:val="24"/>
          <w:szCs w:val="24"/>
        </w:rPr>
      </w:pPr>
    </w:p>
    <w:p w:rsidR="00232509" w:rsidP="6DC26FA8" w14:paraId="61E256EF" w14:textId="0630EF92">
      <w:pPr>
        <w:keepNext/>
        <w:widowControl/>
        <w:numPr>
          <w:ilvl w:val="0"/>
          <w:numId w:val="3"/>
        </w:numPr>
        <w:tabs>
          <w:tab w:val="num" w:pos="360"/>
          <w:tab w:val="clear" w:pos="720"/>
        </w:tabs>
        <w:spacing w:after="120"/>
        <w:ind w:left="360"/>
        <w:rPr>
          <w:rFonts w:ascii="Times New Roman" w:hAnsi="Times New Roman"/>
          <w:b/>
          <w:bCs/>
          <w:snapToGrid/>
          <w:sz w:val="24"/>
          <w:szCs w:val="24"/>
        </w:rPr>
      </w:pPr>
      <w:r w:rsidRPr="6DC26FA8">
        <w:rPr>
          <w:rFonts w:ascii="Times New Roman" w:hAnsi="Times New Roman"/>
          <w:b/>
          <w:bCs/>
          <w:snapToGrid/>
          <w:sz w:val="24"/>
          <w:szCs w:val="24"/>
        </w:rPr>
        <w:t>Explanation for Program Changes or Adjustments</w:t>
      </w:r>
    </w:p>
    <w:p w:rsidR="00415945" w:rsidP="00764D9F" w14:paraId="40C20D68" w14:textId="37E12BAC">
      <w:pPr>
        <w:keepNext/>
        <w:widowControl/>
        <w:spacing w:after="120"/>
        <w:ind w:left="360"/>
        <w:rPr>
          <w:rFonts w:ascii="Times New Roman" w:hAnsi="Times New Roman"/>
          <w:snapToGrid/>
          <w:sz w:val="24"/>
          <w:szCs w:val="24"/>
        </w:rPr>
      </w:pPr>
      <w:r>
        <w:rPr>
          <w:rFonts w:ascii="Times New Roman" w:hAnsi="Times New Roman"/>
          <w:snapToGrid/>
          <w:sz w:val="24"/>
          <w:szCs w:val="24"/>
        </w:rPr>
        <w:t>To</w:t>
      </w:r>
      <w:r w:rsidRPr="00232509">
        <w:rPr>
          <w:rFonts w:ascii="Times New Roman" w:hAnsi="Times New Roman"/>
          <w:snapToGrid/>
          <w:sz w:val="24"/>
          <w:szCs w:val="24"/>
        </w:rPr>
        <w:t xml:space="preserve"> continue to meet the provisions of</w:t>
      </w:r>
      <w:r w:rsidRPr="00232509">
        <w:rPr>
          <w:rFonts w:ascii="Times New Roman" w:eastAsia="Calibri" w:hAnsi="Times New Roman"/>
          <w:snapToGrid/>
          <w:sz w:val="24"/>
          <w:szCs w:val="24"/>
        </w:rPr>
        <w:t xml:space="preserve"> </w:t>
      </w:r>
      <w:r w:rsidRPr="00232509">
        <w:rPr>
          <w:rFonts w:ascii="Times New Roman" w:hAnsi="Times New Roman"/>
          <w:snapToGrid/>
          <w:sz w:val="24"/>
          <w:szCs w:val="24"/>
        </w:rPr>
        <w:t xml:space="preserve">the </w:t>
      </w:r>
      <w:r w:rsidRPr="00232509">
        <w:rPr>
          <w:rFonts w:ascii="Times New Roman" w:eastAsia="Calibri" w:hAnsi="Times New Roman"/>
          <w:snapToGrid/>
          <w:sz w:val="24"/>
          <w:szCs w:val="24"/>
        </w:rPr>
        <w:t>Pub. L. 115–398</w:t>
      </w:r>
      <w:r w:rsidRPr="00232509">
        <w:rPr>
          <w:rFonts w:ascii="Times New Roman" w:hAnsi="Times New Roman"/>
          <w:snapToGrid/>
          <w:sz w:val="24"/>
          <w:szCs w:val="24"/>
        </w:rPr>
        <w:t xml:space="preserve">, NHTTAC </w:t>
      </w:r>
      <w:r w:rsidR="00507B80">
        <w:rPr>
          <w:rFonts w:ascii="Times New Roman" w:hAnsi="Times New Roman"/>
          <w:snapToGrid/>
          <w:sz w:val="24"/>
          <w:szCs w:val="24"/>
        </w:rPr>
        <w:t>will continue</w:t>
      </w:r>
      <w:r w:rsidRPr="00232509">
        <w:rPr>
          <w:rFonts w:ascii="Times New Roman" w:hAnsi="Times New Roman"/>
          <w:snapToGrid/>
          <w:sz w:val="24"/>
          <w:szCs w:val="24"/>
        </w:rPr>
        <w:t xml:space="preserve"> administration </w:t>
      </w:r>
      <w:r w:rsidR="006D0301">
        <w:rPr>
          <w:rFonts w:ascii="Times New Roman" w:hAnsi="Times New Roman"/>
          <w:snapToGrid/>
          <w:sz w:val="24"/>
          <w:szCs w:val="24"/>
        </w:rPr>
        <w:t xml:space="preserve">and evaluation </w:t>
      </w:r>
      <w:r w:rsidRPr="00232509">
        <w:rPr>
          <w:rFonts w:ascii="Times New Roman" w:hAnsi="Times New Roman"/>
          <w:snapToGrid/>
          <w:sz w:val="24"/>
          <w:szCs w:val="24"/>
        </w:rPr>
        <w:t>of SOAR</w:t>
      </w:r>
      <w:r w:rsidR="006E5B7C">
        <w:rPr>
          <w:rFonts w:ascii="Times New Roman" w:hAnsi="Times New Roman"/>
          <w:snapToGrid/>
          <w:sz w:val="24"/>
          <w:szCs w:val="24"/>
        </w:rPr>
        <w:t xml:space="preserve"> T/TA provided each year</w:t>
      </w:r>
      <w:r w:rsidR="006D0301">
        <w:rPr>
          <w:rFonts w:ascii="Times New Roman" w:hAnsi="Times New Roman"/>
          <w:snapToGrid/>
          <w:sz w:val="24"/>
          <w:szCs w:val="24"/>
        </w:rPr>
        <w:t>.</w:t>
      </w:r>
      <w:r w:rsidRPr="00232509">
        <w:rPr>
          <w:rFonts w:ascii="Times New Roman" w:hAnsi="Times New Roman"/>
          <w:snapToGrid/>
          <w:sz w:val="24"/>
          <w:szCs w:val="24"/>
        </w:rPr>
        <w:t xml:space="preserve"> </w:t>
      </w:r>
      <w:r w:rsidR="00E84E1D">
        <w:rPr>
          <w:rFonts w:ascii="Times New Roman" w:hAnsi="Times New Roman"/>
          <w:snapToGrid/>
          <w:sz w:val="24"/>
          <w:szCs w:val="24"/>
        </w:rPr>
        <w:t>This detailed</w:t>
      </w:r>
      <w:r w:rsidRPr="00764D9F" w:rsidR="00764D9F">
        <w:rPr>
          <w:rFonts w:ascii="Times New Roman" w:hAnsi="Times New Roman"/>
          <w:snapToGrid/>
          <w:sz w:val="24"/>
          <w:szCs w:val="24"/>
        </w:rPr>
        <w:t xml:space="preserve"> evaluation data </w:t>
      </w:r>
      <w:r w:rsidR="006E5B7C">
        <w:rPr>
          <w:rFonts w:ascii="Times New Roman" w:hAnsi="Times New Roman"/>
          <w:snapToGrid/>
          <w:sz w:val="24"/>
          <w:szCs w:val="24"/>
        </w:rPr>
        <w:t>will</w:t>
      </w:r>
      <w:r w:rsidRPr="00764D9F" w:rsidR="006E5B7C">
        <w:rPr>
          <w:rFonts w:ascii="Times New Roman" w:hAnsi="Times New Roman"/>
          <w:snapToGrid/>
          <w:sz w:val="24"/>
          <w:szCs w:val="24"/>
        </w:rPr>
        <w:t xml:space="preserve"> </w:t>
      </w:r>
      <w:r w:rsidR="00E84E1D">
        <w:rPr>
          <w:rFonts w:ascii="Times New Roman" w:hAnsi="Times New Roman"/>
          <w:snapToGrid/>
          <w:sz w:val="24"/>
          <w:szCs w:val="24"/>
        </w:rPr>
        <w:t>continue</w:t>
      </w:r>
      <w:r w:rsidRPr="00764D9F" w:rsidR="00E84E1D">
        <w:rPr>
          <w:rFonts w:ascii="Times New Roman" w:hAnsi="Times New Roman"/>
          <w:snapToGrid/>
          <w:sz w:val="24"/>
          <w:szCs w:val="24"/>
        </w:rPr>
        <w:t xml:space="preserve"> </w:t>
      </w:r>
      <w:r w:rsidRPr="00764D9F" w:rsidR="00764D9F">
        <w:rPr>
          <w:rFonts w:ascii="Times New Roman" w:hAnsi="Times New Roman"/>
          <w:snapToGrid/>
          <w:sz w:val="24"/>
          <w:szCs w:val="24"/>
        </w:rPr>
        <w:t>facilitat</w:t>
      </w:r>
      <w:r w:rsidR="00E84E1D">
        <w:rPr>
          <w:rFonts w:ascii="Times New Roman" w:hAnsi="Times New Roman"/>
          <w:snapToGrid/>
          <w:sz w:val="24"/>
          <w:szCs w:val="24"/>
        </w:rPr>
        <w:t>ing</w:t>
      </w:r>
      <w:r w:rsidRPr="00764D9F" w:rsidR="00764D9F">
        <w:rPr>
          <w:rFonts w:ascii="Times New Roman" w:hAnsi="Times New Roman"/>
          <w:snapToGrid/>
          <w:sz w:val="24"/>
          <w:szCs w:val="24"/>
        </w:rPr>
        <w:t xml:space="preserve"> improvements in NHTTAC T/TA. </w:t>
      </w:r>
      <w:r w:rsidR="006A5127">
        <w:rPr>
          <w:rFonts w:ascii="Times New Roman" w:hAnsi="Times New Roman"/>
          <w:snapToGrid/>
          <w:sz w:val="24"/>
          <w:szCs w:val="24"/>
        </w:rPr>
        <w:t>NHTTAC</w:t>
      </w:r>
      <w:r w:rsidR="00E664D7">
        <w:rPr>
          <w:rFonts w:ascii="Times New Roman" w:hAnsi="Times New Roman"/>
          <w:snapToGrid/>
          <w:sz w:val="24"/>
          <w:szCs w:val="24"/>
        </w:rPr>
        <w:t xml:space="preserve"> examined the number of respondents to each form under this collection and determined </w:t>
      </w:r>
      <w:r w:rsidR="009435EA">
        <w:rPr>
          <w:rFonts w:ascii="Times New Roman" w:hAnsi="Times New Roman"/>
          <w:snapToGrid/>
          <w:sz w:val="24"/>
          <w:szCs w:val="24"/>
        </w:rPr>
        <w:t>that the annual number of respondents for instruments that require more intensive responses and higher individual burden estimates could be reduced.</w:t>
      </w:r>
      <w:r w:rsidR="006A5127">
        <w:rPr>
          <w:rFonts w:ascii="Times New Roman" w:hAnsi="Times New Roman"/>
          <w:snapToGrid/>
          <w:sz w:val="24"/>
          <w:szCs w:val="24"/>
        </w:rPr>
        <w:t xml:space="preserve"> </w:t>
      </w:r>
      <w:r w:rsidR="00426C97">
        <w:rPr>
          <w:rFonts w:ascii="Times New Roman" w:hAnsi="Times New Roman"/>
          <w:snapToGrid/>
          <w:sz w:val="24"/>
          <w:szCs w:val="24"/>
        </w:rPr>
        <w:t>Compared to</w:t>
      </w:r>
      <w:r w:rsidRPr="6DC26FA8" w:rsidR="00426C97">
        <w:rPr>
          <w:rFonts w:ascii="Times New Roman" w:hAnsi="Times New Roman"/>
          <w:sz w:val="24"/>
          <w:szCs w:val="24"/>
        </w:rPr>
        <w:t xml:space="preserve"> the previously approved NHTTAC Evaluation Package</w:t>
      </w:r>
      <w:r w:rsidR="00426C97">
        <w:rPr>
          <w:rFonts w:ascii="Times New Roman" w:hAnsi="Times New Roman"/>
          <w:sz w:val="24"/>
          <w:szCs w:val="24"/>
        </w:rPr>
        <w:t xml:space="preserve">, the annual burden estimates have been reduced by 33 percent, </w:t>
      </w:r>
      <w:r w:rsidRPr="6DC26FA8" w:rsidR="00426C97">
        <w:rPr>
          <w:rFonts w:ascii="Times New Roman" w:hAnsi="Times New Roman"/>
          <w:sz w:val="24"/>
          <w:szCs w:val="24"/>
        </w:rPr>
        <w:t xml:space="preserve">from </w:t>
      </w:r>
      <w:r w:rsidR="00426C97">
        <w:rPr>
          <w:rFonts w:ascii="Times New Roman" w:hAnsi="Times New Roman"/>
          <w:sz w:val="24"/>
          <w:szCs w:val="24"/>
        </w:rPr>
        <w:t>15</w:t>
      </w:r>
      <w:r w:rsidRPr="6DC26FA8" w:rsidR="00426C97">
        <w:rPr>
          <w:rFonts w:ascii="Times New Roman" w:hAnsi="Times New Roman"/>
          <w:sz w:val="24"/>
          <w:szCs w:val="24"/>
        </w:rPr>
        <w:t>,</w:t>
      </w:r>
      <w:r w:rsidR="00426C97">
        <w:rPr>
          <w:rFonts w:ascii="Times New Roman" w:hAnsi="Times New Roman"/>
          <w:sz w:val="24"/>
          <w:szCs w:val="24"/>
        </w:rPr>
        <w:t>714</w:t>
      </w:r>
      <w:r w:rsidRPr="6DC26FA8" w:rsidR="00426C97">
        <w:rPr>
          <w:rFonts w:ascii="Times New Roman" w:hAnsi="Times New Roman"/>
          <w:sz w:val="24"/>
          <w:szCs w:val="24"/>
        </w:rPr>
        <w:t xml:space="preserve"> hours to 1</w:t>
      </w:r>
      <w:r w:rsidR="00426C97">
        <w:rPr>
          <w:rFonts w:ascii="Times New Roman" w:hAnsi="Times New Roman"/>
          <w:sz w:val="24"/>
          <w:szCs w:val="24"/>
        </w:rPr>
        <w:t>0</w:t>
      </w:r>
      <w:r w:rsidRPr="6DC26FA8" w:rsidR="00426C97">
        <w:rPr>
          <w:rFonts w:ascii="Times New Roman" w:hAnsi="Times New Roman"/>
          <w:sz w:val="24"/>
          <w:szCs w:val="24"/>
        </w:rPr>
        <w:t>,</w:t>
      </w:r>
      <w:r w:rsidR="00426C97">
        <w:rPr>
          <w:rFonts w:ascii="Times New Roman" w:hAnsi="Times New Roman"/>
          <w:sz w:val="24"/>
          <w:szCs w:val="24"/>
        </w:rPr>
        <w:t>530</w:t>
      </w:r>
      <w:r w:rsidRPr="6DC26FA8" w:rsidR="00426C97">
        <w:rPr>
          <w:rFonts w:ascii="Times New Roman" w:hAnsi="Times New Roman"/>
          <w:sz w:val="24"/>
          <w:szCs w:val="24"/>
        </w:rPr>
        <w:t xml:space="preserve"> hours</w:t>
      </w:r>
      <w:r w:rsidR="00426C97">
        <w:rPr>
          <w:rFonts w:ascii="Times New Roman" w:hAnsi="Times New Roman"/>
          <w:sz w:val="24"/>
          <w:szCs w:val="24"/>
        </w:rPr>
        <w:t xml:space="preserve">. </w:t>
      </w:r>
      <w:r w:rsidR="00C50BB4">
        <w:rPr>
          <w:rFonts w:ascii="Times New Roman" w:hAnsi="Times New Roman"/>
          <w:snapToGrid/>
          <w:sz w:val="24"/>
          <w:szCs w:val="24"/>
        </w:rPr>
        <w:t>The revisions described below are proposed to align the collection with</w:t>
      </w:r>
      <w:r w:rsidR="00154C42">
        <w:rPr>
          <w:rFonts w:ascii="Times New Roman" w:hAnsi="Times New Roman"/>
          <w:snapToGrid/>
          <w:sz w:val="24"/>
          <w:szCs w:val="24"/>
        </w:rPr>
        <w:t xml:space="preserve"> </w:t>
      </w:r>
      <w:r w:rsidR="00387020">
        <w:rPr>
          <w:rFonts w:ascii="Times New Roman" w:hAnsi="Times New Roman"/>
          <w:snapToGrid/>
          <w:sz w:val="24"/>
          <w:szCs w:val="24"/>
        </w:rPr>
        <w:t xml:space="preserve">agency and Administration priorities. </w:t>
      </w:r>
    </w:p>
    <w:p w:rsidR="00995DF2" w:rsidRPr="002613EC" w:rsidP="001527BD" w14:paraId="51D638E9" w14:textId="108E0F30">
      <w:pPr>
        <w:rPr>
          <w:rFonts w:eastAsia="Calibri"/>
          <w:snapToGrid/>
        </w:rPr>
      </w:pPr>
    </w:p>
    <w:p w:rsidR="00F026A3" w:rsidRPr="00BB0A08" w:rsidP="002613EC" w14:paraId="3B0FA7B9" w14:textId="744CF176">
      <w:pPr>
        <w:spacing w:after="240"/>
        <w:ind w:left="360"/>
        <w:rPr>
          <w:rFonts w:ascii="Times New Roman" w:eastAsia="Calibri" w:hAnsi="Times New Roman"/>
          <w:i/>
          <w:iCs/>
          <w:snapToGrid/>
          <w:sz w:val="24"/>
          <w:szCs w:val="24"/>
        </w:rPr>
      </w:pPr>
      <w:r>
        <w:rPr>
          <w:rFonts w:ascii="Times New Roman" w:eastAsia="Calibri" w:hAnsi="Times New Roman"/>
          <w:i/>
          <w:iCs/>
          <w:snapToGrid/>
          <w:sz w:val="24"/>
          <w:szCs w:val="24"/>
        </w:rPr>
        <w:t>Overview of Revisions</w:t>
      </w:r>
    </w:p>
    <w:p w:rsidR="00F026A3" w:rsidP="002613EC" w14:paraId="254357D7" w14:textId="7D09D07C">
      <w:pPr>
        <w:spacing w:after="240"/>
        <w:ind w:left="360"/>
        <w:rPr>
          <w:rFonts w:ascii="Times New Roman" w:eastAsia="Calibri" w:hAnsi="Times New Roman"/>
          <w:snapToGrid/>
          <w:sz w:val="24"/>
          <w:szCs w:val="24"/>
        </w:rPr>
      </w:pPr>
      <w:r w:rsidRPr="002613EC">
        <w:rPr>
          <w:rFonts w:ascii="Times New Roman" w:eastAsia="Calibri" w:hAnsi="Times New Roman"/>
          <w:snapToGrid/>
          <w:sz w:val="24"/>
          <w:szCs w:val="24"/>
        </w:rPr>
        <w:t>In 2025</w:t>
      </w:r>
      <w:r>
        <w:rPr>
          <w:rFonts w:ascii="Times New Roman" w:eastAsia="Calibri" w:hAnsi="Times New Roman"/>
          <w:snapToGrid/>
          <w:sz w:val="24"/>
          <w:szCs w:val="24"/>
        </w:rPr>
        <w:t>,</w:t>
      </w:r>
      <w:r w:rsidRPr="002613EC">
        <w:rPr>
          <w:rFonts w:ascii="Times New Roman" w:eastAsia="Calibri" w:hAnsi="Times New Roman"/>
          <w:snapToGrid/>
          <w:sz w:val="24"/>
          <w:szCs w:val="24"/>
        </w:rPr>
        <w:t xml:space="preserve"> OMB approved the following</w:t>
      </w:r>
      <w:r w:rsidR="00926A6A">
        <w:rPr>
          <w:rFonts w:ascii="Times New Roman" w:eastAsia="Calibri" w:hAnsi="Times New Roman"/>
          <w:snapToGrid/>
          <w:sz w:val="24"/>
          <w:szCs w:val="24"/>
        </w:rPr>
        <w:t xml:space="preserve"> nonsubstantive</w:t>
      </w:r>
      <w:r w:rsidRPr="002613EC">
        <w:rPr>
          <w:rFonts w:ascii="Times New Roman" w:eastAsia="Calibri" w:hAnsi="Times New Roman"/>
          <w:snapToGrid/>
          <w:sz w:val="24"/>
          <w:szCs w:val="24"/>
        </w:rPr>
        <w:t xml:space="preserve"> updates</w:t>
      </w:r>
      <w:r w:rsidR="00926A6A">
        <w:rPr>
          <w:rFonts w:ascii="Times New Roman" w:eastAsia="Calibri" w:hAnsi="Times New Roman"/>
          <w:snapToGrid/>
          <w:sz w:val="24"/>
          <w:szCs w:val="24"/>
        </w:rPr>
        <w:t xml:space="preserve"> to this collection</w:t>
      </w:r>
      <w:r w:rsidRPr="002613EC">
        <w:rPr>
          <w:rFonts w:ascii="Times New Roman" w:eastAsia="Calibri" w:hAnsi="Times New Roman"/>
          <w:snapToGrid/>
          <w:sz w:val="24"/>
          <w:szCs w:val="24"/>
        </w:rPr>
        <w:t> in response to the </w:t>
      </w:r>
      <w:r w:rsidRPr="002613EC">
        <w:rPr>
          <w:rFonts w:ascii="Times New Roman" w:eastAsia="Calibri" w:hAnsi="Times New Roman"/>
          <w:i/>
          <w:iCs/>
          <w:snapToGrid/>
          <w:sz w:val="24"/>
          <w:szCs w:val="24"/>
        </w:rPr>
        <w:t>Defending Women from Gender Ideology Extremism and Restoring Biological Truth to the Federal Government </w:t>
      </w:r>
      <w:r w:rsidRPr="002613EC">
        <w:rPr>
          <w:rFonts w:ascii="Times New Roman" w:eastAsia="Calibri" w:hAnsi="Times New Roman"/>
          <w:snapToGrid/>
          <w:sz w:val="24"/>
          <w:szCs w:val="24"/>
        </w:rPr>
        <w:t>Executive Order (Defending Women EO 14168): </w:t>
      </w:r>
    </w:p>
    <w:p w:rsidR="007C4787" w:rsidRPr="00BB0D31" w:rsidP="00BB0A08" w14:paraId="5234DA57" w14:textId="5657A4AF">
      <w:pPr>
        <w:autoSpaceDE w:val="0"/>
        <w:autoSpaceDN w:val="0"/>
        <w:spacing w:after="240"/>
        <w:ind w:left="360"/>
        <w:rPr>
          <w:rFonts w:ascii="Times New Roman" w:hAnsi="Times New Roman"/>
          <w:sz w:val="24"/>
          <w:szCs w:val="24"/>
        </w:rPr>
      </w:pPr>
      <w:r>
        <w:rPr>
          <w:rFonts w:ascii="Times New Roman" w:hAnsi="Times New Roman"/>
          <w:sz w:val="24"/>
          <w:szCs w:val="24"/>
        </w:rPr>
        <w:t>Q</w:t>
      </w:r>
      <w:r w:rsidRPr="00BB0A08" w:rsidR="002613EC">
        <w:rPr>
          <w:rFonts w:ascii="Times New Roman" w:hAnsi="Times New Roman"/>
          <w:sz w:val="24"/>
          <w:szCs w:val="24"/>
        </w:rPr>
        <w:t xml:space="preserve">uestions </w:t>
      </w:r>
      <w:r w:rsidR="00926A6A">
        <w:rPr>
          <w:rFonts w:ascii="Times New Roman" w:hAnsi="Times New Roman"/>
          <w:sz w:val="24"/>
          <w:szCs w:val="24"/>
        </w:rPr>
        <w:t xml:space="preserve">on evaluation forms </w:t>
      </w:r>
      <w:r w:rsidRPr="00BB0A08" w:rsidR="002613EC">
        <w:rPr>
          <w:rFonts w:ascii="Times New Roman" w:hAnsi="Times New Roman"/>
          <w:sz w:val="24"/>
          <w:szCs w:val="24"/>
        </w:rPr>
        <w:t xml:space="preserve">referencing gender </w:t>
      </w:r>
      <w:r>
        <w:rPr>
          <w:rFonts w:ascii="Times New Roman" w:hAnsi="Times New Roman"/>
          <w:sz w:val="24"/>
          <w:szCs w:val="24"/>
        </w:rPr>
        <w:t>were</w:t>
      </w:r>
      <w:r w:rsidRPr="00BB0A08" w:rsidR="002613EC">
        <w:rPr>
          <w:rFonts w:ascii="Times New Roman" w:hAnsi="Times New Roman"/>
          <w:sz w:val="24"/>
          <w:szCs w:val="24"/>
        </w:rPr>
        <w:t xml:space="preserve"> updated to reference sex, and </w:t>
      </w:r>
      <w:r>
        <w:rPr>
          <w:rFonts w:ascii="Times New Roman" w:hAnsi="Times New Roman"/>
          <w:sz w:val="24"/>
          <w:szCs w:val="24"/>
        </w:rPr>
        <w:t>response options</w:t>
      </w:r>
      <w:r w:rsidRPr="00BB0A08" w:rsidR="002613EC">
        <w:rPr>
          <w:rFonts w:ascii="Times New Roman" w:hAnsi="Times New Roman"/>
          <w:sz w:val="24"/>
          <w:szCs w:val="24"/>
        </w:rPr>
        <w:t xml:space="preserve"> </w:t>
      </w:r>
      <w:r>
        <w:rPr>
          <w:rFonts w:ascii="Times New Roman" w:hAnsi="Times New Roman"/>
          <w:sz w:val="24"/>
          <w:szCs w:val="24"/>
        </w:rPr>
        <w:t>were</w:t>
      </w:r>
      <w:r w:rsidRPr="00BB0A08" w:rsidR="002613EC">
        <w:rPr>
          <w:rFonts w:ascii="Times New Roman" w:hAnsi="Times New Roman"/>
          <w:sz w:val="24"/>
          <w:szCs w:val="24"/>
        </w:rPr>
        <w:t xml:space="preserve"> </w:t>
      </w:r>
      <w:r>
        <w:rPr>
          <w:rFonts w:ascii="Times New Roman" w:hAnsi="Times New Roman"/>
          <w:sz w:val="24"/>
          <w:szCs w:val="24"/>
        </w:rPr>
        <w:t>updated to</w:t>
      </w:r>
      <w:r w:rsidRPr="00BB0A08" w:rsidR="002613EC">
        <w:rPr>
          <w:rFonts w:ascii="Times New Roman" w:hAnsi="Times New Roman"/>
          <w:sz w:val="24"/>
          <w:szCs w:val="24"/>
        </w:rPr>
        <w:t xml:space="preserve"> male and female.  </w:t>
      </w:r>
      <w:r w:rsidR="00E664D7">
        <w:rPr>
          <w:rFonts w:ascii="Times New Roman" w:hAnsi="Times New Roman"/>
          <w:sz w:val="24"/>
          <w:szCs w:val="24"/>
        </w:rPr>
        <w:t xml:space="preserve">For this reinstatement, </w:t>
      </w:r>
      <w:r w:rsidRPr="00C868AC">
        <w:rPr>
          <w:rFonts w:ascii="Times New Roman" w:hAnsi="Times New Roman"/>
          <w:sz w:val="24"/>
          <w:szCs w:val="24"/>
        </w:rPr>
        <w:t>additional edits have been identified</w:t>
      </w:r>
      <w:r>
        <w:rPr>
          <w:rFonts w:ascii="Times New Roman" w:hAnsi="Times New Roman"/>
          <w:sz w:val="24"/>
          <w:szCs w:val="24"/>
        </w:rPr>
        <w:t xml:space="preserve"> </w:t>
      </w:r>
      <w:r w:rsidRPr="00C868AC">
        <w:rPr>
          <w:rFonts w:ascii="Times New Roman" w:hAnsi="Times New Roman"/>
          <w:sz w:val="24"/>
          <w:szCs w:val="24"/>
        </w:rPr>
        <w:t>to be responsive to 2025 Presidential Actions related to diversity, equity, and inclusion (DEI), such as those covered under the EO Initial Recissions of Harmful Executive Orders and Actions.  Specifically, all questions referencing DEI have been removed or updated to remove these references. </w:t>
      </w:r>
    </w:p>
    <w:p w:rsidR="002C3C4F" w:rsidRPr="00232509" w:rsidP="001F7317" w14:paraId="102A0038"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Plans for Tabulation and Publication and Project Time Schedule </w:t>
      </w:r>
    </w:p>
    <w:p w:rsidR="00944304" w:rsidRPr="00232509" w:rsidP="00232509" w14:paraId="47369995" w14:textId="6EBFAE22">
      <w:pPr>
        <w:widowControl/>
        <w:ind w:left="360"/>
        <w:rPr>
          <w:rFonts w:ascii="Times New Roman" w:hAnsi="Times New Roman"/>
          <w:snapToGrid/>
          <w:sz w:val="24"/>
          <w:szCs w:val="24"/>
        </w:rPr>
      </w:pPr>
      <w:r w:rsidRPr="00232509">
        <w:rPr>
          <w:rFonts w:ascii="Times New Roman" w:hAnsi="Times New Roman"/>
          <w:sz w:val="24"/>
          <w:szCs w:val="24"/>
        </w:rPr>
        <w:t xml:space="preserve">The evaluation results will be tabulated using parametric and nonparametric statistical tests. All findings will be reported de-identified and in aggregate form. </w:t>
      </w:r>
      <w:r w:rsidRPr="00232509" w:rsidR="004F5348">
        <w:rPr>
          <w:rFonts w:ascii="Times New Roman" w:hAnsi="Times New Roman"/>
          <w:sz w:val="24"/>
          <w:szCs w:val="24"/>
        </w:rPr>
        <w:t>OTIP</w:t>
      </w:r>
      <w:r w:rsidRPr="00232509">
        <w:rPr>
          <w:rFonts w:ascii="Times New Roman" w:hAnsi="Times New Roman"/>
          <w:sz w:val="24"/>
          <w:szCs w:val="24"/>
        </w:rPr>
        <w:t xml:space="preserve"> may receive requests to release the information (e.g., congressional inquiry</w:t>
      </w:r>
      <w:r w:rsidR="00056DDA">
        <w:rPr>
          <w:rFonts w:ascii="Times New Roman" w:hAnsi="Times New Roman"/>
          <w:sz w:val="24"/>
          <w:szCs w:val="24"/>
        </w:rPr>
        <w:t>,</w:t>
      </w:r>
      <w:r w:rsidRPr="00232509">
        <w:rPr>
          <w:rFonts w:ascii="Times New Roman" w:hAnsi="Times New Roman"/>
          <w:sz w:val="24"/>
          <w:szCs w:val="24"/>
        </w:rPr>
        <w:t xml:space="preserve"> Freedom of Information Act requests). OTIP will disseminate the findings when appropriate, strictly following </w:t>
      </w:r>
      <w:r w:rsidRPr="00232509" w:rsidR="002C4A8F">
        <w:rPr>
          <w:rFonts w:ascii="Times New Roman" w:hAnsi="Times New Roman"/>
          <w:sz w:val="24"/>
          <w:szCs w:val="24"/>
        </w:rPr>
        <w:t xml:space="preserve">the U.S. Department of Health and Human Services’ </w:t>
      </w:r>
      <w:hyperlink r:id="rId12" w:history="1">
        <w:r w:rsidRPr="00232509">
          <w:rPr>
            <w:rStyle w:val="Hyperlink"/>
            <w:rFonts w:ascii="Times New Roman" w:hAnsi="Times New Roman"/>
            <w:sz w:val="24"/>
            <w:szCs w:val="24"/>
          </w:rPr>
          <w:t xml:space="preserve">Guidelines for Ensuring </w:t>
        </w:r>
        <w:r w:rsidRPr="00232509" w:rsidR="004D6EFE">
          <w:rPr>
            <w:rStyle w:val="Hyperlink"/>
            <w:rFonts w:ascii="Times New Roman" w:hAnsi="Times New Roman"/>
            <w:sz w:val="24"/>
            <w:szCs w:val="24"/>
          </w:rPr>
          <w:t xml:space="preserve">and Maximizing </w:t>
        </w:r>
        <w:r w:rsidRPr="00232509">
          <w:rPr>
            <w:rStyle w:val="Hyperlink"/>
            <w:rFonts w:ascii="Times New Roman" w:hAnsi="Times New Roman"/>
            <w:sz w:val="24"/>
            <w:szCs w:val="24"/>
          </w:rPr>
          <w:t>the Quality</w:t>
        </w:r>
        <w:r w:rsidRPr="00232509" w:rsidR="004D6EFE">
          <w:rPr>
            <w:rStyle w:val="Hyperlink"/>
            <w:rFonts w:ascii="Times New Roman" w:hAnsi="Times New Roman"/>
            <w:sz w:val="24"/>
            <w:szCs w:val="24"/>
          </w:rPr>
          <w:t>, Objectivity, Utility, and Integrity</w:t>
        </w:r>
        <w:r w:rsidRPr="00232509">
          <w:rPr>
            <w:rStyle w:val="Hyperlink"/>
            <w:rFonts w:ascii="Times New Roman" w:hAnsi="Times New Roman"/>
            <w:sz w:val="24"/>
            <w:szCs w:val="24"/>
          </w:rPr>
          <w:t xml:space="preserve"> of Information Disseminated to the Public</w:t>
        </w:r>
      </w:hyperlink>
      <w:r w:rsidRPr="00232509">
        <w:rPr>
          <w:rFonts w:ascii="Times New Roman" w:hAnsi="Times New Roman"/>
          <w:sz w:val="24"/>
          <w:szCs w:val="24"/>
        </w:rPr>
        <w:t>, and will include specific discussion of the limitation of the data.</w:t>
      </w:r>
      <w:r w:rsidRPr="00232509">
        <w:rPr>
          <w:rFonts w:ascii="Times New Roman" w:hAnsi="Times New Roman"/>
          <w:snapToGrid/>
          <w:sz w:val="24"/>
          <w:szCs w:val="24"/>
        </w:rPr>
        <w:t xml:space="preserve"> </w:t>
      </w:r>
      <w:r w:rsidR="00C413C5">
        <w:rPr>
          <w:rFonts w:ascii="Times New Roman" w:hAnsi="Times New Roman"/>
          <w:snapToGrid/>
          <w:sz w:val="24"/>
          <w:szCs w:val="24"/>
        </w:rPr>
        <w:t>Additionally, over the past year, OTIP and NHTTAC have been working closely with ACF’s Office of the Chief Data Officer (OCDO) to explore opportunities to make NHTTAC’s T/TA</w:t>
      </w:r>
      <w:r w:rsidRPr="00C413C5" w:rsidR="00C413C5">
        <w:rPr>
          <w:rFonts w:ascii="Times New Roman" w:hAnsi="Times New Roman"/>
          <w:snapToGrid/>
          <w:sz w:val="24"/>
          <w:szCs w:val="24"/>
        </w:rPr>
        <w:t xml:space="preserve"> data more open and accessible</w:t>
      </w:r>
      <w:r w:rsidR="00C413C5">
        <w:rPr>
          <w:rFonts w:ascii="Times New Roman" w:hAnsi="Times New Roman"/>
          <w:snapToGrid/>
          <w:sz w:val="24"/>
          <w:szCs w:val="24"/>
        </w:rPr>
        <w:t xml:space="preserve"> to the general public. </w:t>
      </w:r>
    </w:p>
    <w:p w:rsidR="00232509" w:rsidRPr="00232509" w:rsidP="00232509" w14:paraId="62F705F5" w14:textId="77777777">
      <w:pPr>
        <w:widowControl/>
        <w:ind w:left="360"/>
        <w:rPr>
          <w:rFonts w:ascii="Times New Roman" w:hAnsi="Times New Roman"/>
          <w:snapToGrid/>
          <w:sz w:val="24"/>
          <w:szCs w:val="24"/>
        </w:rPr>
      </w:pPr>
    </w:p>
    <w:p w:rsidR="002C3C4F" w:rsidRPr="00232509" w:rsidP="001F7317" w14:paraId="0CCE548C" w14:textId="4D35AE65">
      <w:pPr>
        <w:keepNext/>
        <w:widowControl/>
        <w:numPr>
          <w:ilvl w:val="0"/>
          <w:numId w:val="3"/>
        </w:numPr>
        <w:tabs>
          <w:tab w:val="left"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Reason(s) Display of OMB Expiration Date is Inappropriate</w:t>
      </w:r>
    </w:p>
    <w:p w:rsidR="00944304" w:rsidRPr="00232509" w:rsidP="00232509" w14:paraId="075E3A30" w14:textId="17153695">
      <w:pPr>
        <w:widowControl/>
        <w:ind w:left="360"/>
        <w:rPr>
          <w:rFonts w:ascii="Times New Roman" w:hAnsi="Times New Roman"/>
          <w:snapToGrid/>
          <w:sz w:val="24"/>
          <w:szCs w:val="24"/>
        </w:rPr>
      </w:pPr>
      <w:r w:rsidRPr="00232509">
        <w:rPr>
          <w:rFonts w:ascii="Times New Roman" w:hAnsi="Times New Roman"/>
          <w:snapToGrid/>
          <w:sz w:val="24"/>
          <w:szCs w:val="24"/>
        </w:rPr>
        <w:t>OTIP is not requesting an exemption. The OMB control number and expiration date will be displayed on all forms.</w:t>
      </w:r>
    </w:p>
    <w:p w:rsidR="00232509" w:rsidRPr="00232509" w:rsidP="00232509" w14:paraId="2E3B9241" w14:textId="77777777">
      <w:pPr>
        <w:widowControl/>
        <w:ind w:left="360"/>
        <w:rPr>
          <w:rFonts w:ascii="Times New Roman" w:hAnsi="Times New Roman"/>
          <w:snapToGrid/>
          <w:sz w:val="24"/>
          <w:szCs w:val="24"/>
        </w:rPr>
      </w:pPr>
    </w:p>
    <w:p w:rsidR="002C3C4F" w:rsidRPr="00232509" w:rsidP="001F7317" w14:paraId="07D260DF"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Exceptions to Certification for Paperwork Reduction Act Submissions</w:t>
      </w:r>
    </w:p>
    <w:p w:rsidR="00944304" w:rsidRPr="00232509" w:rsidP="00232509" w14:paraId="0E4EFE83" w14:textId="3A02D71C">
      <w:pPr>
        <w:widowControl/>
        <w:ind w:firstLine="360"/>
        <w:rPr>
          <w:rFonts w:ascii="Times New Roman" w:hAnsi="Times New Roman"/>
          <w:bCs/>
          <w:snapToGrid/>
          <w:sz w:val="24"/>
          <w:szCs w:val="24"/>
        </w:rPr>
      </w:pPr>
      <w:r w:rsidRPr="00232509">
        <w:rPr>
          <w:rFonts w:ascii="Times New Roman" w:hAnsi="Times New Roman"/>
          <w:bCs/>
          <w:snapToGrid/>
          <w:sz w:val="24"/>
          <w:szCs w:val="24"/>
        </w:rPr>
        <w:t>These activities comply with the requirements in 5 CFR 1320.9.</w:t>
      </w:r>
    </w:p>
    <w:sectPr w:rsidSect="00A918E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A5836" w14:paraId="47BCFB4D" w14:textId="77777777">
      <w:pPr>
        <w:spacing w:line="20" w:lineRule="exact"/>
        <w:rPr>
          <w:sz w:val="24"/>
        </w:rPr>
      </w:pPr>
    </w:p>
  </w:endnote>
  <w:endnote w:type="continuationSeparator" w:id="1">
    <w:p w:rsidR="00FA5836" w14:paraId="2EC90E7A" w14:textId="77777777">
      <w:r>
        <w:rPr>
          <w:sz w:val="24"/>
        </w:rPr>
        <w:t xml:space="preserve"> </w:t>
      </w:r>
    </w:p>
  </w:endnote>
  <w:endnote w:type="continuationNotice" w:id="2">
    <w:p w:rsidR="00FA5836" w14:paraId="31A60E4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00" w14:paraId="687BC669" w14:textId="77777777">
    <w:pPr>
      <w:spacing w:before="140" w:line="100" w:lineRule="exact"/>
      <w:rPr>
        <w:sz w:val="10"/>
      </w:rPr>
    </w:pPr>
  </w:p>
  <w:p w:rsidR="000B7900" w14:paraId="6F77979D" w14:textId="77777777">
    <w:pPr>
      <w:tabs>
        <w:tab w:val="left" w:pos="-720"/>
      </w:tabs>
      <w:suppressAutoHyphens/>
      <w:rPr>
        <w:sz w:val="24"/>
      </w:rPr>
    </w:pPr>
  </w:p>
  <w:p w:rsidR="000B7900" w14:paraId="5A004A56" w14:textId="21F6ADC8">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B7900"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511FA">
                            <w:rPr>
                              <w:noProof/>
                              <w:sz w:val="24"/>
                            </w:rPr>
                            <w:t>4</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0B7900" w14:paraId="1DDEAECB"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511FA">
                      <w:rPr>
                        <w:noProof/>
                        <w:sz w:val="24"/>
                      </w:rPr>
                      <w:t>4</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5836" w14:paraId="5DA41556" w14:textId="77777777">
      <w:r>
        <w:rPr>
          <w:sz w:val="24"/>
        </w:rPr>
        <w:separator/>
      </w:r>
    </w:p>
  </w:footnote>
  <w:footnote w:type="continuationSeparator" w:id="1">
    <w:p w:rsidR="00FA5836" w14:paraId="1D34161E" w14:textId="77777777">
      <w:r>
        <w:continuationSeparator/>
      </w:r>
    </w:p>
  </w:footnote>
  <w:footnote w:type="continuationNotice" w:id="2">
    <w:p w:rsidR="00FA5836" w14:paraId="4C734752" w14:textId="77777777"/>
  </w:footnote>
  <w:footnote w:id="3">
    <w:p w:rsidR="00802EF1" w:rsidRPr="00BB0A08" w:rsidP="00802EF1" w14:paraId="1FC35677" w14:textId="6696A77D">
      <w:pPr>
        <w:pStyle w:val="FootnoteText"/>
        <w:rPr>
          <w:rFonts w:ascii="Times New Roman" w:hAnsi="Times New Roman"/>
        </w:rPr>
      </w:pPr>
      <w:r w:rsidRPr="00BB0A08">
        <w:rPr>
          <w:rStyle w:val="FootnoteReference"/>
          <w:rFonts w:ascii="Times New Roman" w:hAnsi="Times New Roman"/>
        </w:rPr>
        <w:footnoteRef/>
      </w:r>
      <w:r>
        <w:t xml:space="preserve"> </w:t>
      </w:r>
      <w:r w:rsidR="00A63BBE">
        <w:rPr>
          <w:rFonts w:ascii="Times New Roman" w:hAnsi="Times New Roman"/>
        </w:rPr>
        <w:t>See U</w:t>
      </w:r>
      <w:r w:rsidRPr="00BB0A08">
        <w:rPr>
          <w:rFonts w:ascii="Times New Roman" w:hAnsi="Times New Roman"/>
        </w:rPr>
        <w:t xml:space="preserve">.S. Department of Justice (DOJ), Office of Justice Programs (OJP), </w:t>
      </w:r>
      <w:hyperlink r:id="rId1" w:history="1">
        <w:r w:rsidRPr="00BB0A08">
          <w:rPr>
            <w:rStyle w:val="Hyperlink"/>
            <w:rFonts w:ascii="Times New Roman" w:hAnsi="Times New Roman"/>
            <w:i/>
            <w:iCs/>
          </w:rPr>
          <w:t>DOJ Grants Financial Guide</w:t>
        </w:r>
      </w:hyperlink>
      <w:r w:rsidRPr="00BB0A08">
        <w:rPr>
          <w:rFonts w:ascii="Times New Roman" w:hAnsi="Times New Roman"/>
        </w:rPr>
        <w:t xml:space="preserve"> (2025)</w:t>
      </w:r>
      <w:r w:rsidR="00E64AE6">
        <w:rPr>
          <w:rFonts w:ascii="Times New Roman" w:hAnsi="Times New Roman"/>
        </w:rPr>
        <w:t>, Page 40</w:t>
      </w:r>
      <w:r w:rsidR="00A63BBE">
        <w:rPr>
          <w:rFonts w:ascii="Times New Roman" w:hAnsi="Times New Roman"/>
        </w:rPr>
        <w:t xml:space="preserve"> for additional information.</w:t>
      </w:r>
      <w:r w:rsidRPr="00BB0A08">
        <w:rPr>
          <w:rFonts w:ascii="Times New Roman" w:hAnsi="Times New Roman"/>
        </w:rPr>
        <w:t xml:space="preserve"> </w:t>
      </w:r>
    </w:p>
    <w:p w:rsidR="00BA5EF1" w:rsidP="00802EF1" w14:paraId="26D89370" w14:textId="23D8CE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204A21"/>
    <w:multiLevelType w:val="hybridMultilevel"/>
    <w:tmpl w:val="39106A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713062"/>
    <w:multiLevelType w:val="hybridMultilevel"/>
    <w:tmpl w:val="B74A23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D7E3D77"/>
    <w:multiLevelType w:val="hybridMultilevel"/>
    <w:tmpl w:val="7C9AB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101594"/>
    <w:multiLevelType w:val="hybridMultilevel"/>
    <w:tmpl w:val="15025B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D17CD7"/>
    <w:multiLevelType w:val="hybridMultilevel"/>
    <w:tmpl w:val="402645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49E183A"/>
    <w:multiLevelType w:val="hybridMultilevel"/>
    <w:tmpl w:val="1E8C682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8F27E4"/>
    <w:multiLevelType w:val="hybridMultilevel"/>
    <w:tmpl w:val="22D2554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4042E5"/>
    <w:multiLevelType w:val="hybridMultilevel"/>
    <w:tmpl w:val="0BE82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66072C"/>
    <w:multiLevelType w:val="hybridMultilevel"/>
    <w:tmpl w:val="90989B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2CC18F3"/>
    <w:multiLevelType w:val="hybridMultilevel"/>
    <w:tmpl w:val="BE30E3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6472674"/>
    <w:multiLevelType w:val="hybridMultilevel"/>
    <w:tmpl w:val="EB6AC61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5D0B88"/>
    <w:multiLevelType w:val="hybridMultilevel"/>
    <w:tmpl w:val="11960F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8AD0F47"/>
    <w:multiLevelType w:val="hybridMultilevel"/>
    <w:tmpl w:val="B8FE81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A406D3D"/>
    <w:multiLevelType w:val="hybridMultilevel"/>
    <w:tmpl w:val="ABD479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47998498">
    <w:abstractNumId w:val="18"/>
  </w:num>
  <w:num w:numId="2" w16cid:durableId="918518060">
    <w:abstractNumId w:val="22"/>
  </w:num>
  <w:num w:numId="3" w16cid:durableId="1839686673">
    <w:abstractNumId w:val="25"/>
  </w:num>
  <w:num w:numId="4" w16cid:durableId="1450589660">
    <w:abstractNumId w:val="9"/>
  </w:num>
  <w:num w:numId="5" w16cid:durableId="55319454">
    <w:abstractNumId w:val="14"/>
  </w:num>
  <w:num w:numId="6" w16cid:durableId="807820056">
    <w:abstractNumId w:val="17"/>
  </w:num>
  <w:num w:numId="7" w16cid:durableId="1551840892">
    <w:abstractNumId w:val="4"/>
  </w:num>
  <w:num w:numId="8" w16cid:durableId="782383323">
    <w:abstractNumId w:val="16"/>
  </w:num>
  <w:num w:numId="9" w16cid:durableId="1252355036">
    <w:abstractNumId w:val="27"/>
  </w:num>
  <w:num w:numId="10" w16cid:durableId="1652368486">
    <w:abstractNumId w:val="15"/>
  </w:num>
  <w:num w:numId="11" w16cid:durableId="133373027">
    <w:abstractNumId w:val="12"/>
  </w:num>
  <w:num w:numId="12" w16cid:durableId="661012139">
    <w:abstractNumId w:val="1"/>
  </w:num>
  <w:num w:numId="13" w16cid:durableId="638074316">
    <w:abstractNumId w:val="30"/>
  </w:num>
  <w:num w:numId="14" w16cid:durableId="1874228684">
    <w:abstractNumId w:val="2"/>
  </w:num>
  <w:num w:numId="15" w16cid:durableId="665478948">
    <w:abstractNumId w:val="8"/>
  </w:num>
  <w:num w:numId="16" w16cid:durableId="1217857505">
    <w:abstractNumId w:val="24"/>
  </w:num>
  <w:num w:numId="17" w16cid:durableId="1615018337">
    <w:abstractNumId w:val="31"/>
  </w:num>
  <w:num w:numId="18" w16cid:durableId="115560405">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948704518">
    <w:abstractNumId w:val="28"/>
  </w:num>
  <w:num w:numId="20" w16cid:durableId="2041929427">
    <w:abstractNumId w:val="6"/>
  </w:num>
  <w:num w:numId="21" w16cid:durableId="564487858">
    <w:abstractNumId w:val="19"/>
  </w:num>
  <w:num w:numId="22" w16cid:durableId="1696733421">
    <w:abstractNumId w:val="5"/>
  </w:num>
  <w:num w:numId="23" w16cid:durableId="282149755">
    <w:abstractNumId w:val="29"/>
  </w:num>
  <w:num w:numId="24" w16cid:durableId="1733696121">
    <w:abstractNumId w:val="20"/>
  </w:num>
  <w:num w:numId="25" w16cid:durableId="777142076">
    <w:abstractNumId w:val="7"/>
  </w:num>
  <w:num w:numId="26" w16cid:durableId="724261350">
    <w:abstractNumId w:val="3"/>
  </w:num>
  <w:num w:numId="27" w16cid:durableId="1189101837">
    <w:abstractNumId w:val="21"/>
  </w:num>
  <w:num w:numId="28" w16cid:durableId="955794961">
    <w:abstractNumId w:val="10"/>
  </w:num>
  <w:num w:numId="29" w16cid:durableId="444157832">
    <w:abstractNumId w:val="11"/>
  </w:num>
  <w:num w:numId="30" w16cid:durableId="842863240">
    <w:abstractNumId w:val="26"/>
  </w:num>
  <w:num w:numId="31" w16cid:durableId="1561357524">
    <w:abstractNumId w:val="23"/>
  </w:num>
  <w:num w:numId="32" w16cid:durableId="2002544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0276"/>
    <w:rsid w:val="00003ACE"/>
    <w:rsid w:val="00007F08"/>
    <w:rsid w:val="000130F5"/>
    <w:rsid w:val="000140DF"/>
    <w:rsid w:val="00016EB9"/>
    <w:rsid w:val="000170B2"/>
    <w:rsid w:val="00017919"/>
    <w:rsid w:val="0002049E"/>
    <w:rsid w:val="00025492"/>
    <w:rsid w:val="00026DFC"/>
    <w:rsid w:val="00027386"/>
    <w:rsid w:val="000372E3"/>
    <w:rsid w:val="00037E91"/>
    <w:rsid w:val="00040268"/>
    <w:rsid w:val="000403D8"/>
    <w:rsid w:val="000408A6"/>
    <w:rsid w:val="00041135"/>
    <w:rsid w:val="00041622"/>
    <w:rsid w:val="0005185E"/>
    <w:rsid w:val="000523D8"/>
    <w:rsid w:val="00052BDB"/>
    <w:rsid w:val="00056DDA"/>
    <w:rsid w:val="000571DE"/>
    <w:rsid w:val="00060905"/>
    <w:rsid w:val="000619B7"/>
    <w:rsid w:val="000629CA"/>
    <w:rsid w:val="00063A4A"/>
    <w:rsid w:val="00063F94"/>
    <w:rsid w:val="00065559"/>
    <w:rsid w:val="00065D56"/>
    <w:rsid w:val="00065DA3"/>
    <w:rsid w:val="00066756"/>
    <w:rsid w:val="00066B6D"/>
    <w:rsid w:val="000716DD"/>
    <w:rsid w:val="00071DA1"/>
    <w:rsid w:val="00072CB0"/>
    <w:rsid w:val="00074679"/>
    <w:rsid w:val="000801EC"/>
    <w:rsid w:val="00082CB8"/>
    <w:rsid w:val="0008311B"/>
    <w:rsid w:val="000834E9"/>
    <w:rsid w:val="000853B0"/>
    <w:rsid w:val="0009007E"/>
    <w:rsid w:val="000903DA"/>
    <w:rsid w:val="000916D4"/>
    <w:rsid w:val="00091D69"/>
    <w:rsid w:val="00093D01"/>
    <w:rsid w:val="000942FA"/>
    <w:rsid w:val="000948CA"/>
    <w:rsid w:val="00094D6C"/>
    <w:rsid w:val="00097A10"/>
    <w:rsid w:val="000A2E20"/>
    <w:rsid w:val="000A4DF8"/>
    <w:rsid w:val="000A594A"/>
    <w:rsid w:val="000A5F14"/>
    <w:rsid w:val="000A7C5F"/>
    <w:rsid w:val="000B1056"/>
    <w:rsid w:val="000B1B70"/>
    <w:rsid w:val="000B2A24"/>
    <w:rsid w:val="000B34E6"/>
    <w:rsid w:val="000B5A93"/>
    <w:rsid w:val="000B7900"/>
    <w:rsid w:val="000C0914"/>
    <w:rsid w:val="000C2E24"/>
    <w:rsid w:val="000C39EB"/>
    <w:rsid w:val="000C4773"/>
    <w:rsid w:val="000C6B04"/>
    <w:rsid w:val="000D2DDF"/>
    <w:rsid w:val="000D30AE"/>
    <w:rsid w:val="000D3B3B"/>
    <w:rsid w:val="000D6A05"/>
    <w:rsid w:val="000D7990"/>
    <w:rsid w:val="000E73D3"/>
    <w:rsid w:val="000F01FE"/>
    <w:rsid w:val="000F069F"/>
    <w:rsid w:val="000F092A"/>
    <w:rsid w:val="000F496B"/>
    <w:rsid w:val="000F70A2"/>
    <w:rsid w:val="000F721E"/>
    <w:rsid w:val="000F739A"/>
    <w:rsid w:val="001002FE"/>
    <w:rsid w:val="001020FD"/>
    <w:rsid w:val="00102200"/>
    <w:rsid w:val="00103BBA"/>
    <w:rsid w:val="001040E0"/>
    <w:rsid w:val="00106F96"/>
    <w:rsid w:val="0011136C"/>
    <w:rsid w:val="00113E18"/>
    <w:rsid w:val="001149C1"/>
    <w:rsid w:val="0011663B"/>
    <w:rsid w:val="00116710"/>
    <w:rsid w:val="00116892"/>
    <w:rsid w:val="00116B98"/>
    <w:rsid w:val="0012098B"/>
    <w:rsid w:val="001210C3"/>
    <w:rsid w:val="001214ED"/>
    <w:rsid w:val="001218F4"/>
    <w:rsid w:val="001230F5"/>
    <w:rsid w:val="001240CA"/>
    <w:rsid w:val="001250D6"/>
    <w:rsid w:val="00127252"/>
    <w:rsid w:val="00130306"/>
    <w:rsid w:val="001309B7"/>
    <w:rsid w:val="001337B5"/>
    <w:rsid w:val="00133B31"/>
    <w:rsid w:val="00134588"/>
    <w:rsid w:val="00134CDD"/>
    <w:rsid w:val="00134F65"/>
    <w:rsid w:val="00136604"/>
    <w:rsid w:val="00137888"/>
    <w:rsid w:val="001409AB"/>
    <w:rsid w:val="00140ADC"/>
    <w:rsid w:val="001411B0"/>
    <w:rsid w:val="0014145B"/>
    <w:rsid w:val="00145265"/>
    <w:rsid w:val="00145ACA"/>
    <w:rsid w:val="00146112"/>
    <w:rsid w:val="001507B3"/>
    <w:rsid w:val="001527BD"/>
    <w:rsid w:val="00153AF3"/>
    <w:rsid w:val="00153E01"/>
    <w:rsid w:val="001541D7"/>
    <w:rsid w:val="00154B8E"/>
    <w:rsid w:val="00154C42"/>
    <w:rsid w:val="001559D1"/>
    <w:rsid w:val="00160443"/>
    <w:rsid w:val="00160621"/>
    <w:rsid w:val="00160B38"/>
    <w:rsid w:val="001627B5"/>
    <w:rsid w:val="00162869"/>
    <w:rsid w:val="0016372D"/>
    <w:rsid w:val="0016584D"/>
    <w:rsid w:val="0016584F"/>
    <w:rsid w:val="00167659"/>
    <w:rsid w:val="00172A25"/>
    <w:rsid w:val="001732BD"/>
    <w:rsid w:val="001774DA"/>
    <w:rsid w:val="00180805"/>
    <w:rsid w:val="001839ED"/>
    <w:rsid w:val="00184C1A"/>
    <w:rsid w:val="00186385"/>
    <w:rsid w:val="00186F43"/>
    <w:rsid w:val="0019046B"/>
    <w:rsid w:val="001909B2"/>
    <w:rsid w:val="00192A3B"/>
    <w:rsid w:val="00195D11"/>
    <w:rsid w:val="0019681E"/>
    <w:rsid w:val="001A539F"/>
    <w:rsid w:val="001A5D6E"/>
    <w:rsid w:val="001A613E"/>
    <w:rsid w:val="001A6E4F"/>
    <w:rsid w:val="001B1AE5"/>
    <w:rsid w:val="001B2089"/>
    <w:rsid w:val="001B27A6"/>
    <w:rsid w:val="001B2FF5"/>
    <w:rsid w:val="001B664C"/>
    <w:rsid w:val="001B6A03"/>
    <w:rsid w:val="001C1C59"/>
    <w:rsid w:val="001C27DD"/>
    <w:rsid w:val="001C4740"/>
    <w:rsid w:val="001C483C"/>
    <w:rsid w:val="001C4B4B"/>
    <w:rsid w:val="001C69D0"/>
    <w:rsid w:val="001C7864"/>
    <w:rsid w:val="001C7FFE"/>
    <w:rsid w:val="001D145E"/>
    <w:rsid w:val="001D1651"/>
    <w:rsid w:val="001D2799"/>
    <w:rsid w:val="001D4262"/>
    <w:rsid w:val="001D5C00"/>
    <w:rsid w:val="001D66D8"/>
    <w:rsid w:val="001E037E"/>
    <w:rsid w:val="001E1051"/>
    <w:rsid w:val="001E353E"/>
    <w:rsid w:val="001E5CB4"/>
    <w:rsid w:val="001E7750"/>
    <w:rsid w:val="001F26A6"/>
    <w:rsid w:val="001F286C"/>
    <w:rsid w:val="001F3525"/>
    <w:rsid w:val="001F3D92"/>
    <w:rsid w:val="001F473D"/>
    <w:rsid w:val="001F562D"/>
    <w:rsid w:val="001F5D17"/>
    <w:rsid w:val="001F7317"/>
    <w:rsid w:val="00200741"/>
    <w:rsid w:val="002014BA"/>
    <w:rsid w:val="00202718"/>
    <w:rsid w:val="0020797D"/>
    <w:rsid w:val="0021428A"/>
    <w:rsid w:val="00214907"/>
    <w:rsid w:val="00217640"/>
    <w:rsid w:val="00221ABB"/>
    <w:rsid w:val="00222C7F"/>
    <w:rsid w:val="00224A48"/>
    <w:rsid w:val="00226C42"/>
    <w:rsid w:val="002274F4"/>
    <w:rsid w:val="0022791C"/>
    <w:rsid w:val="00232509"/>
    <w:rsid w:val="00234235"/>
    <w:rsid w:val="00241152"/>
    <w:rsid w:val="0024156F"/>
    <w:rsid w:val="00250363"/>
    <w:rsid w:val="002509BD"/>
    <w:rsid w:val="002537F9"/>
    <w:rsid w:val="00253B75"/>
    <w:rsid w:val="002552F8"/>
    <w:rsid w:val="00256EE3"/>
    <w:rsid w:val="00257F93"/>
    <w:rsid w:val="00260816"/>
    <w:rsid w:val="00260E19"/>
    <w:rsid w:val="002612FC"/>
    <w:rsid w:val="002613EC"/>
    <w:rsid w:val="00261620"/>
    <w:rsid w:val="00263EE9"/>
    <w:rsid w:val="00265407"/>
    <w:rsid w:val="00266F87"/>
    <w:rsid w:val="0027029C"/>
    <w:rsid w:val="00271655"/>
    <w:rsid w:val="00271E2B"/>
    <w:rsid w:val="00274ABE"/>
    <w:rsid w:val="0027505D"/>
    <w:rsid w:val="0027526F"/>
    <w:rsid w:val="002805BC"/>
    <w:rsid w:val="00283A36"/>
    <w:rsid w:val="0028531A"/>
    <w:rsid w:val="002859C4"/>
    <w:rsid w:val="0028604D"/>
    <w:rsid w:val="002871D7"/>
    <w:rsid w:val="00290088"/>
    <w:rsid w:val="00290A1C"/>
    <w:rsid w:val="002917A6"/>
    <w:rsid w:val="00291C69"/>
    <w:rsid w:val="0029589B"/>
    <w:rsid w:val="00296738"/>
    <w:rsid w:val="002A1EEB"/>
    <w:rsid w:val="002A2EE0"/>
    <w:rsid w:val="002A3868"/>
    <w:rsid w:val="002A4FBC"/>
    <w:rsid w:val="002B0ABC"/>
    <w:rsid w:val="002B121A"/>
    <w:rsid w:val="002B4834"/>
    <w:rsid w:val="002B627C"/>
    <w:rsid w:val="002B7BAC"/>
    <w:rsid w:val="002C0593"/>
    <w:rsid w:val="002C0EF2"/>
    <w:rsid w:val="002C0EF5"/>
    <w:rsid w:val="002C1C2F"/>
    <w:rsid w:val="002C3C4F"/>
    <w:rsid w:val="002C4A8F"/>
    <w:rsid w:val="002C5FA9"/>
    <w:rsid w:val="002C6521"/>
    <w:rsid w:val="002C7E8B"/>
    <w:rsid w:val="002D01EB"/>
    <w:rsid w:val="002D3434"/>
    <w:rsid w:val="002D469B"/>
    <w:rsid w:val="002D4B16"/>
    <w:rsid w:val="002D696F"/>
    <w:rsid w:val="002D7172"/>
    <w:rsid w:val="002E10D1"/>
    <w:rsid w:val="002E58B7"/>
    <w:rsid w:val="002E6917"/>
    <w:rsid w:val="002E78AB"/>
    <w:rsid w:val="002F12EE"/>
    <w:rsid w:val="002F35C6"/>
    <w:rsid w:val="002F4E75"/>
    <w:rsid w:val="002F5339"/>
    <w:rsid w:val="002F6E2C"/>
    <w:rsid w:val="002F7D8E"/>
    <w:rsid w:val="002F7DE3"/>
    <w:rsid w:val="003015C5"/>
    <w:rsid w:val="00301B12"/>
    <w:rsid w:val="00301EEE"/>
    <w:rsid w:val="00303BDE"/>
    <w:rsid w:val="0030468B"/>
    <w:rsid w:val="00304B98"/>
    <w:rsid w:val="00305EC3"/>
    <w:rsid w:val="00310970"/>
    <w:rsid w:val="00310B20"/>
    <w:rsid w:val="003124C6"/>
    <w:rsid w:val="00313EE6"/>
    <w:rsid w:val="003175AB"/>
    <w:rsid w:val="0032011C"/>
    <w:rsid w:val="003223C8"/>
    <w:rsid w:val="00322A0D"/>
    <w:rsid w:val="003240CF"/>
    <w:rsid w:val="003245F5"/>
    <w:rsid w:val="00325FDB"/>
    <w:rsid w:val="00326497"/>
    <w:rsid w:val="00327C13"/>
    <w:rsid w:val="003303E1"/>
    <w:rsid w:val="003305FE"/>
    <w:rsid w:val="003319B9"/>
    <w:rsid w:val="0033333D"/>
    <w:rsid w:val="003333A7"/>
    <w:rsid w:val="0033455D"/>
    <w:rsid w:val="00334AD9"/>
    <w:rsid w:val="00336801"/>
    <w:rsid w:val="003400FB"/>
    <w:rsid w:val="003405A4"/>
    <w:rsid w:val="003427F9"/>
    <w:rsid w:val="0034580D"/>
    <w:rsid w:val="003461A2"/>
    <w:rsid w:val="00346B6B"/>
    <w:rsid w:val="00346E33"/>
    <w:rsid w:val="00347267"/>
    <w:rsid w:val="0035053D"/>
    <w:rsid w:val="003509AC"/>
    <w:rsid w:val="00350C2A"/>
    <w:rsid w:val="00351771"/>
    <w:rsid w:val="00354319"/>
    <w:rsid w:val="00354D08"/>
    <w:rsid w:val="00356299"/>
    <w:rsid w:val="00362C00"/>
    <w:rsid w:val="00364DE7"/>
    <w:rsid w:val="00365574"/>
    <w:rsid w:val="00370A08"/>
    <w:rsid w:val="0037227D"/>
    <w:rsid w:val="00374EB6"/>
    <w:rsid w:val="0037598D"/>
    <w:rsid w:val="00375C1E"/>
    <w:rsid w:val="003768C4"/>
    <w:rsid w:val="003772CD"/>
    <w:rsid w:val="0037763F"/>
    <w:rsid w:val="003807B1"/>
    <w:rsid w:val="0038209B"/>
    <w:rsid w:val="003825BF"/>
    <w:rsid w:val="00383419"/>
    <w:rsid w:val="003860D6"/>
    <w:rsid w:val="00387020"/>
    <w:rsid w:val="0038750D"/>
    <w:rsid w:val="00392C15"/>
    <w:rsid w:val="00393386"/>
    <w:rsid w:val="00396466"/>
    <w:rsid w:val="00397224"/>
    <w:rsid w:val="003A0143"/>
    <w:rsid w:val="003A1264"/>
    <w:rsid w:val="003A2885"/>
    <w:rsid w:val="003A35F0"/>
    <w:rsid w:val="003A3735"/>
    <w:rsid w:val="003A461E"/>
    <w:rsid w:val="003B4C8B"/>
    <w:rsid w:val="003B5421"/>
    <w:rsid w:val="003B5524"/>
    <w:rsid w:val="003B7A50"/>
    <w:rsid w:val="003C1D6E"/>
    <w:rsid w:val="003C4664"/>
    <w:rsid w:val="003C4B03"/>
    <w:rsid w:val="003C5F46"/>
    <w:rsid w:val="003C6354"/>
    <w:rsid w:val="003C746B"/>
    <w:rsid w:val="003D099C"/>
    <w:rsid w:val="003D4AC4"/>
    <w:rsid w:val="003D685B"/>
    <w:rsid w:val="003D749F"/>
    <w:rsid w:val="003E190B"/>
    <w:rsid w:val="003E38BB"/>
    <w:rsid w:val="003E5DA7"/>
    <w:rsid w:val="003E6EA3"/>
    <w:rsid w:val="003F223B"/>
    <w:rsid w:val="003F5AD9"/>
    <w:rsid w:val="004011ED"/>
    <w:rsid w:val="004051F6"/>
    <w:rsid w:val="0040539D"/>
    <w:rsid w:val="0040570F"/>
    <w:rsid w:val="00405C10"/>
    <w:rsid w:val="004062D9"/>
    <w:rsid w:val="00411C5D"/>
    <w:rsid w:val="004122CE"/>
    <w:rsid w:val="00412EFC"/>
    <w:rsid w:val="0041560D"/>
    <w:rsid w:val="00415945"/>
    <w:rsid w:val="00416521"/>
    <w:rsid w:val="004176B0"/>
    <w:rsid w:val="00417D52"/>
    <w:rsid w:val="00421581"/>
    <w:rsid w:val="004216EA"/>
    <w:rsid w:val="00422D2B"/>
    <w:rsid w:val="00426C97"/>
    <w:rsid w:val="00426CAE"/>
    <w:rsid w:val="00427019"/>
    <w:rsid w:val="004305C7"/>
    <w:rsid w:val="00431B8C"/>
    <w:rsid w:val="00432338"/>
    <w:rsid w:val="004326FB"/>
    <w:rsid w:val="0044093D"/>
    <w:rsid w:val="00440EAC"/>
    <w:rsid w:val="00442C63"/>
    <w:rsid w:val="004448A3"/>
    <w:rsid w:val="004451AF"/>
    <w:rsid w:val="00446818"/>
    <w:rsid w:val="00450BF8"/>
    <w:rsid w:val="00451BD2"/>
    <w:rsid w:val="00452C96"/>
    <w:rsid w:val="0045393E"/>
    <w:rsid w:val="0045524C"/>
    <w:rsid w:val="004561B2"/>
    <w:rsid w:val="00456E19"/>
    <w:rsid w:val="00457D10"/>
    <w:rsid w:val="004602FE"/>
    <w:rsid w:val="004608C0"/>
    <w:rsid w:val="00460E20"/>
    <w:rsid w:val="00461232"/>
    <w:rsid w:val="00462BF1"/>
    <w:rsid w:val="00467954"/>
    <w:rsid w:val="00470BC2"/>
    <w:rsid w:val="00471235"/>
    <w:rsid w:val="00472E1A"/>
    <w:rsid w:val="00473AA8"/>
    <w:rsid w:val="00474278"/>
    <w:rsid w:val="00476C1F"/>
    <w:rsid w:val="00477F86"/>
    <w:rsid w:val="00480072"/>
    <w:rsid w:val="00481D7E"/>
    <w:rsid w:val="00483434"/>
    <w:rsid w:val="0048518D"/>
    <w:rsid w:val="004861E4"/>
    <w:rsid w:val="00490457"/>
    <w:rsid w:val="0049119A"/>
    <w:rsid w:val="004943E0"/>
    <w:rsid w:val="00494D99"/>
    <w:rsid w:val="004978F7"/>
    <w:rsid w:val="00497ABF"/>
    <w:rsid w:val="00497F84"/>
    <w:rsid w:val="004A2109"/>
    <w:rsid w:val="004A4095"/>
    <w:rsid w:val="004A75AE"/>
    <w:rsid w:val="004A7C0F"/>
    <w:rsid w:val="004B036C"/>
    <w:rsid w:val="004B1F04"/>
    <w:rsid w:val="004B2AF6"/>
    <w:rsid w:val="004B4C95"/>
    <w:rsid w:val="004B73BD"/>
    <w:rsid w:val="004B770F"/>
    <w:rsid w:val="004C2307"/>
    <w:rsid w:val="004C3ABC"/>
    <w:rsid w:val="004C4FB1"/>
    <w:rsid w:val="004C531E"/>
    <w:rsid w:val="004C5EA5"/>
    <w:rsid w:val="004C5F02"/>
    <w:rsid w:val="004D50A4"/>
    <w:rsid w:val="004D6EFE"/>
    <w:rsid w:val="004D6F05"/>
    <w:rsid w:val="004D7E42"/>
    <w:rsid w:val="004E01CD"/>
    <w:rsid w:val="004E1C33"/>
    <w:rsid w:val="004E6173"/>
    <w:rsid w:val="004E75ED"/>
    <w:rsid w:val="004F0786"/>
    <w:rsid w:val="004F28E5"/>
    <w:rsid w:val="004F45CE"/>
    <w:rsid w:val="004F5348"/>
    <w:rsid w:val="004F7B95"/>
    <w:rsid w:val="004F7E88"/>
    <w:rsid w:val="00500C0A"/>
    <w:rsid w:val="00501C66"/>
    <w:rsid w:val="005020FB"/>
    <w:rsid w:val="00504BB9"/>
    <w:rsid w:val="00504F69"/>
    <w:rsid w:val="0050754E"/>
    <w:rsid w:val="00507B80"/>
    <w:rsid w:val="00512708"/>
    <w:rsid w:val="0051278C"/>
    <w:rsid w:val="00514628"/>
    <w:rsid w:val="00514C4D"/>
    <w:rsid w:val="00514CE2"/>
    <w:rsid w:val="00515E42"/>
    <w:rsid w:val="00516326"/>
    <w:rsid w:val="00516CBC"/>
    <w:rsid w:val="00516EBC"/>
    <w:rsid w:val="00521991"/>
    <w:rsid w:val="00522C18"/>
    <w:rsid w:val="00524BAC"/>
    <w:rsid w:val="00524E1F"/>
    <w:rsid w:val="005315FB"/>
    <w:rsid w:val="0053313C"/>
    <w:rsid w:val="00533AFA"/>
    <w:rsid w:val="005340F9"/>
    <w:rsid w:val="00534D8C"/>
    <w:rsid w:val="00536568"/>
    <w:rsid w:val="00540516"/>
    <w:rsid w:val="0054134E"/>
    <w:rsid w:val="00541E51"/>
    <w:rsid w:val="0054279B"/>
    <w:rsid w:val="005429CC"/>
    <w:rsid w:val="00547E06"/>
    <w:rsid w:val="00550C9F"/>
    <w:rsid w:val="005520C3"/>
    <w:rsid w:val="00552A64"/>
    <w:rsid w:val="005534BA"/>
    <w:rsid w:val="00554F9E"/>
    <w:rsid w:val="00556056"/>
    <w:rsid w:val="00557D4E"/>
    <w:rsid w:val="00562592"/>
    <w:rsid w:val="00566BA0"/>
    <w:rsid w:val="00567ECE"/>
    <w:rsid w:val="005704E8"/>
    <w:rsid w:val="00574433"/>
    <w:rsid w:val="005764F0"/>
    <w:rsid w:val="00576CE8"/>
    <w:rsid w:val="005808E7"/>
    <w:rsid w:val="005824BD"/>
    <w:rsid w:val="00584FD3"/>
    <w:rsid w:val="00585DC2"/>
    <w:rsid w:val="00586D2C"/>
    <w:rsid w:val="005924E7"/>
    <w:rsid w:val="00593EF7"/>
    <w:rsid w:val="00596939"/>
    <w:rsid w:val="00597CD2"/>
    <w:rsid w:val="00597E7F"/>
    <w:rsid w:val="005A04FF"/>
    <w:rsid w:val="005A0C6D"/>
    <w:rsid w:val="005A10BF"/>
    <w:rsid w:val="005A1510"/>
    <w:rsid w:val="005A3193"/>
    <w:rsid w:val="005A34C5"/>
    <w:rsid w:val="005A5D37"/>
    <w:rsid w:val="005B22D4"/>
    <w:rsid w:val="005B49B5"/>
    <w:rsid w:val="005B5842"/>
    <w:rsid w:val="005C1D6E"/>
    <w:rsid w:val="005C2AF6"/>
    <w:rsid w:val="005C4684"/>
    <w:rsid w:val="005C60F1"/>
    <w:rsid w:val="005D1B7E"/>
    <w:rsid w:val="005D274E"/>
    <w:rsid w:val="005D2D42"/>
    <w:rsid w:val="005D46B4"/>
    <w:rsid w:val="005D5BB8"/>
    <w:rsid w:val="005D61DB"/>
    <w:rsid w:val="005D73F6"/>
    <w:rsid w:val="005E190A"/>
    <w:rsid w:val="005E2DF8"/>
    <w:rsid w:val="005E333F"/>
    <w:rsid w:val="005E498D"/>
    <w:rsid w:val="005E547F"/>
    <w:rsid w:val="005E5E49"/>
    <w:rsid w:val="005F0B59"/>
    <w:rsid w:val="005F0ED4"/>
    <w:rsid w:val="005F2169"/>
    <w:rsid w:val="005F43E2"/>
    <w:rsid w:val="005F47BF"/>
    <w:rsid w:val="0060029A"/>
    <w:rsid w:val="00603498"/>
    <w:rsid w:val="00604340"/>
    <w:rsid w:val="00605AA5"/>
    <w:rsid w:val="00606726"/>
    <w:rsid w:val="00607728"/>
    <w:rsid w:val="00612E56"/>
    <w:rsid w:val="006135FF"/>
    <w:rsid w:val="0061407C"/>
    <w:rsid w:val="00615413"/>
    <w:rsid w:val="006172E2"/>
    <w:rsid w:val="006204F6"/>
    <w:rsid w:val="0062770F"/>
    <w:rsid w:val="00630BC9"/>
    <w:rsid w:val="00634D0E"/>
    <w:rsid w:val="00634E1D"/>
    <w:rsid w:val="006357B1"/>
    <w:rsid w:val="00636160"/>
    <w:rsid w:val="00640565"/>
    <w:rsid w:val="006414F2"/>
    <w:rsid w:val="006457C9"/>
    <w:rsid w:val="00646508"/>
    <w:rsid w:val="00651F0F"/>
    <w:rsid w:val="00651FCA"/>
    <w:rsid w:val="00660FB4"/>
    <w:rsid w:val="00664FA4"/>
    <w:rsid w:val="00666D22"/>
    <w:rsid w:val="00671777"/>
    <w:rsid w:val="00671CDE"/>
    <w:rsid w:val="00672FF9"/>
    <w:rsid w:val="0067479E"/>
    <w:rsid w:val="00677441"/>
    <w:rsid w:val="00680D97"/>
    <w:rsid w:val="006815B5"/>
    <w:rsid w:val="00681904"/>
    <w:rsid w:val="00681A8C"/>
    <w:rsid w:val="00681E38"/>
    <w:rsid w:val="00684A10"/>
    <w:rsid w:val="0069016B"/>
    <w:rsid w:val="0069493D"/>
    <w:rsid w:val="006958CA"/>
    <w:rsid w:val="006A15B3"/>
    <w:rsid w:val="006A5127"/>
    <w:rsid w:val="006A786B"/>
    <w:rsid w:val="006A7E2B"/>
    <w:rsid w:val="006B1006"/>
    <w:rsid w:val="006B12B4"/>
    <w:rsid w:val="006B2726"/>
    <w:rsid w:val="006B2BE5"/>
    <w:rsid w:val="006B6D77"/>
    <w:rsid w:val="006C0673"/>
    <w:rsid w:val="006C0E6A"/>
    <w:rsid w:val="006C1EEA"/>
    <w:rsid w:val="006C23E2"/>
    <w:rsid w:val="006C5FAD"/>
    <w:rsid w:val="006C7E9F"/>
    <w:rsid w:val="006D0301"/>
    <w:rsid w:val="006D0A46"/>
    <w:rsid w:val="006D1643"/>
    <w:rsid w:val="006D34F7"/>
    <w:rsid w:val="006D66A2"/>
    <w:rsid w:val="006E1ACC"/>
    <w:rsid w:val="006E5611"/>
    <w:rsid w:val="006E5B7C"/>
    <w:rsid w:val="006E6629"/>
    <w:rsid w:val="006E7EE2"/>
    <w:rsid w:val="006F2C95"/>
    <w:rsid w:val="006F2FD8"/>
    <w:rsid w:val="006F36DC"/>
    <w:rsid w:val="006F3DE8"/>
    <w:rsid w:val="006F68BE"/>
    <w:rsid w:val="006F7507"/>
    <w:rsid w:val="006F7E43"/>
    <w:rsid w:val="007004A0"/>
    <w:rsid w:val="00701DDE"/>
    <w:rsid w:val="007024E4"/>
    <w:rsid w:val="00703595"/>
    <w:rsid w:val="0070723F"/>
    <w:rsid w:val="00707AFB"/>
    <w:rsid w:val="00710A2A"/>
    <w:rsid w:val="00714D90"/>
    <w:rsid w:val="00716F45"/>
    <w:rsid w:val="00717F25"/>
    <w:rsid w:val="00720914"/>
    <w:rsid w:val="00723205"/>
    <w:rsid w:val="007261E0"/>
    <w:rsid w:val="00726C88"/>
    <w:rsid w:val="00730227"/>
    <w:rsid w:val="0073246D"/>
    <w:rsid w:val="0073537F"/>
    <w:rsid w:val="00740352"/>
    <w:rsid w:val="00740605"/>
    <w:rsid w:val="00743059"/>
    <w:rsid w:val="007432F6"/>
    <w:rsid w:val="00743A25"/>
    <w:rsid w:val="00744757"/>
    <w:rsid w:val="00744791"/>
    <w:rsid w:val="007460C6"/>
    <w:rsid w:val="00747E4A"/>
    <w:rsid w:val="007525A9"/>
    <w:rsid w:val="00753E86"/>
    <w:rsid w:val="00756DAE"/>
    <w:rsid w:val="00760FD1"/>
    <w:rsid w:val="0076219D"/>
    <w:rsid w:val="00762C40"/>
    <w:rsid w:val="00763B98"/>
    <w:rsid w:val="007648C4"/>
    <w:rsid w:val="00764D9F"/>
    <w:rsid w:val="007730A6"/>
    <w:rsid w:val="00773748"/>
    <w:rsid w:val="00775334"/>
    <w:rsid w:val="00775F06"/>
    <w:rsid w:val="0077760F"/>
    <w:rsid w:val="00781178"/>
    <w:rsid w:val="00781376"/>
    <w:rsid w:val="0078151D"/>
    <w:rsid w:val="00786793"/>
    <w:rsid w:val="00786A24"/>
    <w:rsid w:val="00790902"/>
    <w:rsid w:val="00790D2C"/>
    <w:rsid w:val="00792CDB"/>
    <w:rsid w:val="007933C5"/>
    <w:rsid w:val="007935D5"/>
    <w:rsid w:val="00794A49"/>
    <w:rsid w:val="007958C7"/>
    <w:rsid w:val="007A0FBE"/>
    <w:rsid w:val="007A2117"/>
    <w:rsid w:val="007A2182"/>
    <w:rsid w:val="007A4312"/>
    <w:rsid w:val="007B55D8"/>
    <w:rsid w:val="007B5A47"/>
    <w:rsid w:val="007B6210"/>
    <w:rsid w:val="007C0689"/>
    <w:rsid w:val="007C29EE"/>
    <w:rsid w:val="007C3088"/>
    <w:rsid w:val="007C4711"/>
    <w:rsid w:val="007C4787"/>
    <w:rsid w:val="007C493F"/>
    <w:rsid w:val="007C57FA"/>
    <w:rsid w:val="007C7472"/>
    <w:rsid w:val="007D684D"/>
    <w:rsid w:val="007D6991"/>
    <w:rsid w:val="007D6A1C"/>
    <w:rsid w:val="007D7227"/>
    <w:rsid w:val="007E5222"/>
    <w:rsid w:val="007E52AB"/>
    <w:rsid w:val="007E7D2C"/>
    <w:rsid w:val="007F669C"/>
    <w:rsid w:val="007F67E0"/>
    <w:rsid w:val="007F7539"/>
    <w:rsid w:val="00800441"/>
    <w:rsid w:val="00802EF1"/>
    <w:rsid w:val="0080325F"/>
    <w:rsid w:val="008036D8"/>
    <w:rsid w:val="00803BC1"/>
    <w:rsid w:val="008150AC"/>
    <w:rsid w:val="00815E24"/>
    <w:rsid w:val="00820632"/>
    <w:rsid w:val="00821589"/>
    <w:rsid w:val="00821D8B"/>
    <w:rsid w:val="0082205C"/>
    <w:rsid w:val="008306C6"/>
    <w:rsid w:val="00832DE4"/>
    <w:rsid w:val="00836FD5"/>
    <w:rsid w:val="00841BDF"/>
    <w:rsid w:val="0084234D"/>
    <w:rsid w:val="00842E4B"/>
    <w:rsid w:val="0084306E"/>
    <w:rsid w:val="0084609A"/>
    <w:rsid w:val="0084685A"/>
    <w:rsid w:val="00846E18"/>
    <w:rsid w:val="008471F7"/>
    <w:rsid w:val="00847488"/>
    <w:rsid w:val="00860B7C"/>
    <w:rsid w:val="00866127"/>
    <w:rsid w:val="008661CA"/>
    <w:rsid w:val="0086757B"/>
    <w:rsid w:val="008676ED"/>
    <w:rsid w:val="00871AFE"/>
    <w:rsid w:val="0087239A"/>
    <w:rsid w:val="008732C3"/>
    <w:rsid w:val="00874076"/>
    <w:rsid w:val="008762B7"/>
    <w:rsid w:val="00884F12"/>
    <w:rsid w:val="008859FC"/>
    <w:rsid w:val="008872B9"/>
    <w:rsid w:val="00887624"/>
    <w:rsid w:val="00887EE5"/>
    <w:rsid w:val="008900A8"/>
    <w:rsid w:val="008917C4"/>
    <w:rsid w:val="00893573"/>
    <w:rsid w:val="008955AC"/>
    <w:rsid w:val="00895CCC"/>
    <w:rsid w:val="0089775C"/>
    <w:rsid w:val="008977DD"/>
    <w:rsid w:val="00897B9A"/>
    <w:rsid w:val="008A1C79"/>
    <w:rsid w:val="008A3EF4"/>
    <w:rsid w:val="008A434A"/>
    <w:rsid w:val="008A583A"/>
    <w:rsid w:val="008A76B9"/>
    <w:rsid w:val="008B2521"/>
    <w:rsid w:val="008B4505"/>
    <w:rsid w:val="008B471F"/>
    <w:rsid w:val="008B5602"/>
    <w:rsid w:val="008B77D3"/>
    <w:rsid w:val="008B782E"/>
    <w:rsid w:val="008C217E"/>
    <w:rsid w:val="008C502C"/>
    <w:rsid w:val="008C5422"/>
    <w:rsid w:val="008C5C0D"/>
    <w:rsid w:val="008D224C"/>
    <w:rsid w:val="008D2FE5"/>
    <w:rsid w:val="008D3D6C"/>
    <w:rsid w:val="008D67F2"/>
    <w:rsid w:val="008E05D1"/>
    <w:rsid w:val="008E2620"/>
    <w:rsid w:val="008E2E74"/>
    <w:rsid w:val="008E34A1"/>
    <w:rsid w:val="008F2B62"/>
    <w:rsid w:val="008F5EDE"/>
    <w:rsid w:val="00902C39"/>
    <w:rsid w:val="00902CE1"/>
    <w:rsid w:val="00904A30"/>
    <w:rsid w:val="00904EAE"/>
    <w:rsid w:val="00905524"/>
    <w:rsid w:val="00905529"/>
    <w:rsid w:val="00905572"/>
    <w:rsid w:val="009113FF"/>
    <w:rsid w:val="00914D4A"/>
    <w:rsid w:val="00915864"/>
    <w:rsid w:val="00923E30"/>
    <w:rsid w:val="00924B40"/>
    <w:rsid w:val="00924E67"/>
    <w:rsid w:val="00926A6A"/>
    <w:rsid w:val="00926ACB"/>
    <w:rsid w:val="00930259"/>
    <w:rsid w:val="009302CF"/>
    <w:rsid w:val="00932A0E"/>
    <w:rsid w:val="00936724"/>
    <w:rsid w:val="00936A53"/>
    <w:rsid w:val="00941271"/>
    <w:rsid w:val="00941612"/>
    <w:rsid w:val="00941CA7"/>
    <w:rsid w:val="00941DFE"/>
    <w:rsid w:val="009435EA"/>
    <w:rsid w:val="00944304"/>
    <w:rsid w:val="009451B1"/>
    <w:rsid w:val="00945B72"/>
    <w:rsid w:val="00946687"/>
    <w:rsid w:val="00951486"/>
    <w:rsid w:val="00953277"/>
    <w:rsid w:val="00957799"/>
    <w:rsid w:val="00957818"/>
    <w:rsid w:val="00957C54"/>
    <w:rsid w:val="00960279"/>
    <w:rsid w:val="00962045"/>
    <w:rsid w:val="00964D37"/>
    <w:rsid w:val="009659E5"/>
    <w:rsid w:val="00965A26"/>
    <w:rsid w:val="00966622"/>
    <w:rsid w:val="00970305"/>
    <w:rsid w:val="00970F02"/>
    <w:rsid w:val="00975487"/>
    <w:rsid w:val="00976822"/>
    <w:rsid w:val="00977C01"/>
    <w:rsid w:val="009816B7"/>
    <w:rsid w:val="00983870"/>
    <w:rsid w:val="00987760"/>
    <w:rsid w:val="0099054D"/>
    <w:rsid w:val="00991C5D"/>
    <w:rsid w:val="00991CC2"/>
    <w:rsid w:val="009922F1"/>
    <w:rsid w:val="00992B0B"/>
    <w:rsid w:val="00993C66"/>
    <w:rsid w:val="009944E0"/>
    <w:rsid w:val="00995DF2"/>
    <w:rsid w:val="00996976"/>
    <w:rsid w:val="009A27B9"/>
    <w:rsid w:val="009A2FC8"/>
    <w:rsid w:val="009A3CF5"/>
    <w:rsid w:val="009A60FD"/>
    <w:rsid w:val="009B2019"/>
    <w:rsid w:val="009C13E2"/>
    <w:rsid w:val="009C2DE1"/>
    <w:rsid w:val="009C3929"/>
    <w:rsid w:val="009C48BB"/>
    <w:rsid w:val="009C4B05"/>
    <w:rsid w:val="009C6280"/>
    <w:rsid w:val="009C6372"/>
    <w:rsid w:val="009D56B3"/>
    <w:rsid w:val="009D68CA"/>
    <w:rsid w:val="009E1397"/>
    <w:rsid w:val="009E33D6"/>
    <w:rsid w:val="009E6157"/>
    <w:rsid w:val="009E62B5"/>
    <w:rsid w:val="009E63E9"/>
    <w:rsid w:val="009E68F6"/>
    <w:rsid w:val="009E752B"/>
    <w:rsid w:val="009F103B"/>
    <w:rsid w:val="009F2748"/>
    <w:rsid w:val="009F36D6"/>
    <w:rsid w:val="009F4766"/>
    <w:rsid w:val="009F5543"/>
    <w:rsid w:val="009F58E1"/>
    <w:rsid w:val="00A011D1"/>
    <w:rsid w:val="00A012C9"/>
    <w:rsid w:val="00A01AE2"/>
    <w:rsid w:val="00A04EF3"/>
    <w:rsid w:val="00A13FD6"/>
    <w:rsid w:val="00A15588"/>
    <w:rsid w:val="00A158B8"/>
    <w:rsid w:val="00A160B5"/>
    <w:rsid w:val="00A1615E"/>
    <w:rsid w:val="00A168EB"/>
    <w:rsid w:val="00A1769B"/>
    <w:rsid w:val="00A22D79"/>
    <w:rsid w:val="00A244AD"/>
    <w:rsid w:val="00A25EE1"/>
    <w:rsid w:val="00A30C59"/>
    <w:rsid w:val="00A31C83"/>
    <w:rsid w:val="00A32423"/>
    <w:rsid w:val="00A3300F"/>
    <w:rsid w:val="00A3313A"/>
    <w:rsid w:val="00A33C2C"/>
    <w:rsid w:val="00A355ED"/>
    <w:rsid w:val="00A4051F"/>
    <w:rsid w:val="00A4119D"/>
    <w:rsid w:val="00A412C5"/>
    <w:rsid w:val="00A4148C"/>
    <w:rsid w:val="00A41C4D"/>
    <w:rsid w:val="00A42856"/>
    <w:rsid w:val="00A45384"/>
    <w:rsid w:val="00A4577E"/>
    <w:rsid w:val="00A4689B"/>
    <w:rsid w:val="00A47038"/>
    <w:rsid w:val="00A50507"/>
    <w:rsid w:val="00A50E27"/>
    <w:rsid w:val="00A53C5A"/>
    <w:rsid w:val="00A5622F"/>
    <w:rsid w:val="00A614D6"/>
    <w:rsid w:val="00A61AC0"/>
    <w:rsid w:val="00A61FC6"/>
    <w:rsid w:val="00A63BBE"/>
    <w:rsid w:val="00A65CBC"/>
    <w:rsid w:val="00A67CC6"/>
    <w:rsid w:val="00A70FEE"/>
    <w:rsid w:val="00A722A4"/>
    <w:rsid w:val="00A72D12"/>
    <w:rsid w:val="00A74994"/>
    <w:rsid w:val="00A7512C"/>
    <w:rsid w:val="00A755FF"/>
    <w:rsid w:val="00A77AC0"/>
    <w:rsid w:val="00A80493"/>
    <w:rsid w:val="00A81C9F"/>
    <w:rsid w:val="00A82D07"/>
    <w:rsid w:val="00A836A1"/>
    <w:rsid w:val="00A918E4"/>
    <w:rsid w:val="00A971AE"/>
    <w:rsid w:val="00A9795A"/>
    <w:rsid w:val="00A97A0A"/>
    <w:rsid w:val="00AA0416"/>
    <w:rsid w:val="00AA1175"/>
    <w:rsid w:val="00AA1841"/>
    <w:rsid w:val="00AA3C56"/>
    <w:rsid w:val="00AA5FDB"/>
    <w:rsid w:val="00AA6C11"/>
    <w:rsid w:val="00AA7B9B"/>
    <w:rsid w:val="00AB2467"/>
    <w:rsid w:val="00AB3957"/>
    <w:rsid w:val="00AB45BC"/>
    <w:rsid w:val="00AB6F0D"/>
    <w:rsid w:val="00AC4B9C"/>
    <w:rsid w:val="00AC4EFF"/>
    <w:rsid w:val="00AD0C19"/>
    <w:rsid w:val="00AD2136"/>
    <w:rsid w:val="00AD5ED7"/>
    <w:rsid w:val="00AD6037"/>
    <w:rsid w:val="00AD7AF0"/>
    <w:rsid w:val="00AE0E6F"/>
    <w:rsid w:val="00AE21E3"/>
    <w:rsid w:val="00AE45DD"/>
    <w:rsid w:val="00AE55B8"/>
    <w:rsid w:val="00AE6BB9"/>
    <w:rsid w:val="00AF0FB1"/>
    <w:rsid w:val="00AF1D19"/>
    <w:rsid w:val="00AF2DA3"/>
    <w:rsid w:val="00AF399C"/>
    <w:rsid w:val="00AF3FAF"/>
    <w:rsid w:val="00AF4347"/>
    <w:rsid w:val="00AF4A38"/>
    <w:rsid w:val="00AF5F19"/>
    <w:rsid w:val="00AF5FE7"/>
    <w:rsid w:val="00AF6177"/>
    <w:rsid w:val="00AF655A"/>
    <w:rsid w:val="00AF6FCD"/>
    <w:rsid w:val="00AF7F4A"/>
    <w:rsid w:val="00B03627"/>
    <w:rsid w:val="00B060D1"/>
    <w:rsid w:val="00B066D1"/>
    <w:rsid w:val="00B06FF8"/>
    <w:rsid w:val="00B10669"/>
    <w:rsid w:val="00B1295D"/>
    <w:rsid w:val="00B17B32"/>
    <w:rsid w:val="00B21694"/>
    <w:rsid w:val="00B261A1"/>
    <w:rsid w:val="00B26241"/>
    <w:rsid w:val="00B27347"/>
    <w:rsid w:val="00B33814"/>
    <w:rsid w:val="00B34920"/>
    <w:rsid w:val="00B34F58"/>
    <w:rsid w:val="00B366F5"/>
    <w:rsid w:val="00B40DBC"/>
    <w:rsid w:val="00B41845"/>
    <w:rsid w:val="00B42A0E"/>
    <w:rsid w:val="00B46705"/>
    <w:rsid w:val="00B53270"/>
    <w:rsid w:val="00B6329F"/>
    <w:rsid w:val="00B63454"/>
    <w:rsid w:val="00B6586B"/>
    <w:rsid w:val="00B73686"/>
    <w:rsid w:val="00B74B29"/>
    <w:rsid w:val="00B74CEE"/>
    <w:rsid w:val="00B76095"/>
    <w:rsid w:val="00B774EF"/>
    <w:rsid w:val="00B8085D"/>
    <w:rsid w:val="00B814D6"/>
    <w:rsid w:val="00B81CCC"/>
    <w:rsid w:val="00B82450"/>
    <w:rsid w:val="00B82984"/>
    <w:rsid w:val="00B84243"/>
    <w:rsid w:val="00B8492A"/>
    <w:rsid w:val="00B87BCA"/>
    <w:rsid w:val="00B9331E"/>
    <w:rsid w:val="00B9609F"/>
    <w:rsid w:val="00B968DF"/>
    <w:rsid w:val="00B96E51"/>
    <w:rsid w:val="00BA0FDA"/>
    <w:rsid w:val="00BA1335"/>
    <w:rsid w:val="00BA3414"/>
    <w:rsid w:val="00BA3662"/>
    <w:rsid w:val="00BA5EF1"/>
    <w:rsid w:val="00BB05CF"/>
    <w:rsid w:val="00BB0A08"/>
    <w:rsid w:val="00BB0D31"/>
    <w:rsid w:val="00BB20F5"/>
    <w:rsid w:val="00BB3E85"/>
    <w:rsid w:val="00BB4506"/>
    <w:rsid w:val="00BC0706"/>
    <w:rsid w:val="00BC0CC9"/>
    <w:rsid w:val="00BC3BFA"/>
    <w:rsid w:val="00BC4B2F"/>
    <w:rsid w:val="00BC649E"/>
    <w:rsid w:val="00BD378C"/>
    <w:rsid w:val="00BD4403"/>
    <w:rsid w:val="00BD5EAA"/>
    <w:rsid w:val="00BE3D8C"/>
    <w:rsid w:val="00BE4ADB"/>
    <w:rsid w:val="00BE5D01"/>
    <w:rsid w:val="00BE5FA6"/>
    <w:rsid w:val="00BF31ED"/>
    <w:rsid w:val="00BF4137"/>
    <w:rsid w:val="00BF6711"/>
    <w:rsid w:val="00C002E9"/>
    <w:rsid w:val="00C00844"/>
    <w:rsid w:val="00C00FF7"/>
    <w:rsid w:val="00C01055"/>
    <w:rsid w:val="00C0291D"/>
    <w:rsid w:val="00C04D54"/>
    <w:rsid w:val="00C05D55"/>
    <w:rsid w:val="00C05EB7"/>
    <w:rsid w:val="00C0699A"/>
    <w:rsid w:val="00C07729"/>
    <w:rsid w:val="00C111C0"/>
    <w:rsid w:val="00C13BA6"/>
    <w:rsid w:val="00C13ED7"/>
    <w:rsid w:val="00C175A4"/>
    <w:rsid w:val="00C20016"/>
    <w:rsid w:val="00C20095"/>
    <w:rsid w:val="00C22D3C"/>
    <w:rsid w:val="00C23390"/>
    <w:rsid w:val="00C23F84"/>
    <w:rsid w:val="00C24B4A"/>
    <w:rsid w:val="00C25CE4"/>
    <w:rsid w:val="00C25EF9"/>
    <w:rsid w:val="00C26329"/>
    <w:rsid w:val="00C27839"/>
    <w:rsid w:val="00C30955"/>
    <w:rsid w:val="00C31788"/>
    <w:rsid w:val="00C31E5C"/>
    <w:rsid w:val="00C328A4"/>
    <w:rsid w:val="00C332BB"/>
    <w:rsid w:val="00C3370C"/>
    <w:rsid w:val="00C35C48"/>
    <w:rsid w:val="00C36824"/>
    <w:rsid w:val="00C4113B"/>
    <w:rsid w:val="00C413C5"/>
    <w:rsid w:val="00C42D73"/>
    <w:rsid w:val="00C439BC"/>
    <w:rsid w:val="00C507DC"/>
    <w:rsid w:val="00C50BB4"/>
    <w:rsid w:val="00C511FA"/>
    <w:rsid w:val="00C517E4"/>
    <w:rsid w:val="00C53694"/>
    <w:rsid w:val="00C53698"/>
    <w:rsid w:val="00C56612"/>
    <w:rsid w:val="00C6046C"/>
    <w:rsid w:val="00C62C37"/>
    <w:rsid w:val="00C662B6"/>
    <w:rsid w:val="00C700F9"/>
    <w:rsid w:val="00C71414"/>
    <w:rsid w:val="00C74D3F"/>
    <w:rsid w:val="00C75C50"/>
    <w:rsid w:val="00C75CC8"/>
    <w:rsid w:val="00C77DD0"/>
    <w:rsid w:val="00C80047"/>
    <w:rsid w:val="00C83DB0"/>
    <w:rsid w:val="00C865F8"/>
    <w:rsid w:val="00C868AC"/>
    <w:rsid w:val="00C8797F"/>
    <w:rsid w:val="00C92094"/>
    <w:rsid w:val="00C9720E"/>
    <w:rsid w:val="00C97E10"/>
    <w:rsid w:val="00C97F04"/>
    <w:rsid w:val="00CA09CA"/>
    <w:rsid w:val="00CA10B3"/>
    <w:rsid w:val="00CA3DA5"/>
    <w:rsid w:val="00CA7788"/>
    <w:rsid w:val="00CB1203"/>
    <w:rsid w:val="00CB1A12"/>
    <w:rsid w:val="00CB4EC3"/>
    <w:rsid w:val="00CB4F88"/>
    <w:rsid w:val="00CB558D"/>
    <w:rsid w:val="00CB600B"/>
    <w:rsid w:val="00CB72DF"/>
    <w:rsid w:val="00CC088C"/>
    <w:rsid w:val="00CC627E"/>
    <w:rsid w:val="00CC7658"/>
    <w:rsid w:val="00CD3BF2"/>
    <w:rsid w:val="00CD50E4"/>
    <w:rsid w:val="00CE02E1"/>
    <w:rsid w:val="00CE4B0E"/>
    <w:rsid w:val="00CE53AB"/>
    <w:rsid w:val="00CE6551"/>
    <w:rsid w:val="00CE6A37"/>
    <w:rsid w:val="00CE7EC8"/>
    <w:rsid w:val="00CF06F9"/>
    <w:rsid w:val="00CF4C4D"/>
    <w:rsid w:val="00CF615D"/>
    <w:rsid w:val="00D00CA5"/>
    <w:rsid w:val="00D01A19"/>
    <w:rsid w:val="00D02585"/>
    <w:rsid w:val="00D02EF1"/>
    <w:rsid w:val="00D0362E"/>
    <w:rsid w:val="00D06F50"/>
    <w:rsid w:val="00D105DB"/>
    <w:rsid w:val="00D129EA"/>
    <w:rsid w:val="00D130C7"/>
    <w:rsid w:val="00D149A8"/>
    <w:rsid w:val="00D15B27"/>
    <w:rsid w:val="00D16C96"/>
    <w:rsid w:val="00D176EB"/>
    <w:rsid w:val="00D2351B"/>
    <w:rsid w:val="00D23AD8"/>
    <w:rsid w:val="00D32554"/>
    <w:rsid w:val="00D3538C"/>
    <w:rsid w:val="00D36185"/>
    <w:rsid w:val="00D369D1"/>
    <w:rsid w:val="00D43867"/>
    <w:rsid w:val="00D43CD9"/>
    <w:rsid w:val="00D44725"/>
    <w:rsid w:val="00D45283"/>
    <w:rsid w:val="00D459D4"/>
    <w:rsid w:val="00D51109"/>
    <w:rsid w:val="00D51754"/>
    <w:rsid w:val="00D52BB1"/>
    <w:rsid w:val="00D54D16"/>
    <w:rsid w:val="00D55259"/>
    <w:rsid w:val="00D57DE8"/>
    <w:rsid w:val="00D60543"/>
    <w:rsid w:val="00D650AE"/>
    <w:rsid w:val="00D6693B"/>
    <w:rsid w:val="00D67D80"/>
    <w:rsid w:val="00D700B5"/>
    <w:rsid w:val="00D719AD"/>
    <w:rsid w:val="00D74716"/>
    <w:rsid w:val="00D779D3"/>
    <w:rsid w:val="00D806D3"/>
    <w:rsid w:val="00D8132D"/>
    <w:rsid w:val="00D84833"/>
    <w:rsid w:val="00D84E38"/>
    <w:rsid w:val="00D85B3A"/>
    <w:rsid w:val="00D87F5B"/>
    <w:rsid w:val="00D9648C"/>
    <w:rsid w:val="00D9704F"/>
    <w:rsid w:val="00D972D8"/>
    <w:rsid w:val="00D9799E"/>
    <w:rsid w:val="00DA06EA"/>
    <w:rsid w:val="00DA15B1"/>
    <w:rsid w:val="00DA357E"/>
    <w:rsid w:val="00DA5D04"/>
    <w:rsid w:val="00DA6C66"/>
    <w:rsid w:val="00DB131E"/>
    <w:rsid w:val="00DB2443"/>
    <w:rsid w:val="00DB35B8"/>
    <w:rsid w:val="00DB38CB"/>
    <w:rsid w:val="00DC1C23"/>
    <w:rsid w:val="00DC24D7"/>
    <w:rsid w:val="00DC31EE"/>
    <w:rsid w:val="00DC4605"/>
    <w:rsid w:val="00DC5D1B"/>
    <w:rsid w:val="00DC5E3E"/>
    <w:rsid w:val="00DD0853"/>
    <w:rsid w:val="00DD0EA5"/>
    <w:rsid w:val="00DD301D"/>
    <w:rsid w:val="00DD3629"/>
    <w:rsid w:val="00DD526D"/>
    <w:rsid w:val="00DD60B8"/>
    <w:rsid w:val="00DD6896"/>
    <w:rsid w:val="00DD692F"/>
    <w:rsid w:val="00DE1520"/>
    <w:rsid w:val="00DE19CE"/>
    <w:rsid w:val="00DE2570"/>
    <w:rsid w:val="00DE5790"/>
    <w:rsid w:val="00DE62C4"/>
    <w:rsid w:val="00DE7CDC"/>
    <w:rsid w:val="00DF0904"/>
    <w:rsid w:val="00DF11F9"/>
    <w:rsid w:val="00E01B4E"/>
    <w:rsid w:val="00E04400"/>
    <w:rsid w:val="00E06E0B"/>
    <w:rsid w:val="00E078CB"/>
    <w:rsid w:val="00E20139"/>
    <w:rsid w:val="00E25BAD"/>
    <w:rsid w:val="00E268A4"/>
    <w:rsid w:val="00E26BDB"/>
    <w:rsid w:val="00E30638"/>
    <w:rsid w:val="00E30FEB"/>
    <w:rsid w:val="00E317E8"/>
    <w:rsid w:val="00E31887"/>
    <w:rsid w:val="00E31ED3"/>
    <w:rsid w:val="00E349E0"/>
    <w:rsid w:val="00E368FB"/>
    <w:rsid w:val="00E40623"/>
    <w:rsid w:val="00E4383A"/>
    <w:rsid w:val="00E449A3"/>
    <w:rsid w:val="00E456F2"/>
    <w:rsid w:val="00E4753A"/>
    <w:rsid w:val="00E51E83"/>
    <w:rsid w:val="00E51EFC"/>
    <w:rsid w:val="00E534D6"/>
    <w:rsid w:val="00E601EA"/>
    <w:rsid w:val="00E61DC7"/>
    <w:rsid w:val="00E6387C"/>
    <w:rsid w:val="00E6437A"/>
    <w:rsid w:val="00E64409"/>
    <w:rsid w:val="00E64AE6"/>
    <w:rsid w:val="00E664D7"/>
    <w:rsid w:val="00E671C3"/>
    <w:rsid w:val="00E707EE"/>
    <w:rsid w:val="00E70E45"/>
    <w:rsid w:val="00E72F35"/>
    <w:rsid w:val="00E75C09"/>
    <w:rsid w:val="00E81FCB"/>
    <w:rsid w:val="00E84E1D"/>
    <w:rsid w:val="00E90FE3"/>
    <w:rsid w:val="00E91968"/>
    <w:rsid w:val="00E91E6C"/>
    <w:rsid w:val="00E93620"/>
    <w:rsid w:val="00EA1079"/>
    <w:rsid w:val="00EA478A"/>
    <w:rsid w:val="00EA546E"/>
    <w:rsid w:val="00EA69CE"/>
    <w:rsid w:val="00EA6CDD"/>
    <w:rsid w:val="00EA7D7A"/>
    <w:rsid w:val="00EB7C5D"/>
    <w:rsid w:val="00EC698B"/>
    <w:rsid w:val="00EC6A9C"/>
    <w:rsid w:val="00EC7F61"/>
    <w:rsid w:val="00ED0C73"/>
    <w:rsid w:val="00ED160E"/>
    <w:rsid w:val="00ED1FB3"/>
    <w:rsid w:val="00ED3570"/>
    <w:rsid w:val="00ED5402"/>
    <w:rsid w:val="00ED6299"/>
    <w:rsid w:val="00ED720E"/>
    <w:rsid w:val="00ED782E"/>
    <w:rsid w:val="00ED7AB5"/>
    <w:rsid w:val="00ED7BAB"/>
    <w:rsid w:val="00ED7FA5"/>
    <w:rsid w:val="00EE010A"/>
    <w:rsid w:val="00EE0EBD"/>
    <w:rsid w:val="00EE1428"/>
    <w:rsid w:val="00EE1521"/>
    <w:rsid w:val="00EE36A9"/>
    <w:rsid w:val="00EE70DC"/>
    <w:rsid w:val="00EF0E78"/>
    <w:rsid w:val="00EF1158"/>
    <w:rsid w:val="00EF35DF"/>
    <w:rsid w:val="00EF3D8B"/>
    <w:rsid w:val="00EF3E77"/>
    <w:rsid w:val="00EF529A"/>
    <w:rsid w:val="00EF728D"/>
    <w:rsid w:val="00F00D2D"/>
    <w:rsid w:val="00F02021"/>
    <w:rsid w:val="00F026A3"/>
    <w:rsid w:val="00F02CA4"/>
    <w:rsid w:val="00F03FEB"/>
    <w:rsid w:val="00F0617D"/>
    <w:rsid w:val="00F10B17"/>
    <w:rsid w:val="00F124D5"/>
    <w:rsid w:val="00F169F6"/>
    <w:rsid w:val="00F17BB9"/>
    <w:rsid w:val="00F17CBC"/>
    <w:rsid w:val="00F20D9C"/>
    <w:rsid w:val="00F210CA"/>
    <w:rsid w:val="00F222E8"/>
    <w:rsid w:val="00F225D2"/>
    <w:rsid w:val="00F227DF"/>
    <w:rsid w:val="00F23B73"/>
    <w:rsid w:val="00F31742"/>
    <w:rsid w:val="00F418A5"/>
    <w:rsid w:val="00F4329E"/>
    <w:rsid w:val="00F438E3"/>
    <w:rsid w:val="00F47BF8"/>
    <w:rsid w:val="00F50243"/>
    <w:rsid w:val="00F5089D"/>
    <w:rsid w:val="00F53E57"/>
    <w:rsid w:val="00F608FF"/>
    <w:rsid w:val="00F6215C"/>
    <w:rsid w:val="00F6299A"/>
    <w:rsid w:val="00F63951"/>
    <w:rsid w:val="00F64FE4"/>
    <w:rsid w:val="00F72473"/>
    <w:rsid w:val="00F734F2"/>
    <w:rsid w:val="00F74493"/>
    <w:rsid w:val="00F75F23"/>
    <w:rsid w:val="00F8054F"/>
    <w:rsid w:val="00F8258F"/>
    <w:rsid w:val="00F8273F"/>
    <w:rsid w:val="00F83116"/>
    <w:rsid w:val="00F8341A"/>
    <w:rsid w:val="00F83A0A"/>
    <w:rsid w:val="00F84D66"/>
    <w:rsid w:val="00F858CF"/>
    <w:rsid w:val="00F8733F"/>
    <w:rsid w:val="00F90631"/>
    <w:rsid w:val="00F972F3"/>
    <w:rsid w:val="00FA39BF"/>
    <w:rsid w:val="00FA485C"/>
    <w:rsid w:val="00FA5092"/>
    <w:rsid w:val="00FA530A"/>
    <w:rsid w:val="00FA5836"/>
    <w:rsid w:val="00FB3DF3"/>
    <w:rsid w:val="00FB6835"/>
    <w:rsid w:val="00FB7547"/>
    <w:rsid w:val="00FC1C3A"/>
    <w:rsid w:val="00FC3BA7"/>
    <w:rsid w:val="00FC45CE"/>
    <w:rsid w:val="00FC4A6A"/>
    <w:rsid w:val="00FC5293"/>
    <w:rsid w:val="00FD0421"/>
    <w:rsid w:val="00FE0FDC"/>
    <w:rsid w:val="00FE3F56"/>
    <w:rsid w:val="00FE4C8C"/>
    <w:rsid w:val="00FF1D3E"/>
    <w:rsid w:val="00FF2E41"/>
    <w:rsid w:val="00FF4653"/>
    <w:rsid w:val="00FF47C0"/>
    <w:rsid w:val="00FF72F0"/>
    <w:rsid w:val="00FF7C0E"/>
    <w:rsid w:val="00FF7C8E"/>
    <w:rsid w:val="00FF7EC6"/>
    <w:rsid w:val="04B5E47B"/>
    <w:rsid w:val="09F0C651"/>
    <w:rsid w:val="0AAA30B1"/>
    <w:rsid w:val="1874A6A2"/>
    <w:rsid w:val="19236DDA"/>
    <w:rsid w:val="1BE36F19"/>
    <w:rsid w:val="1F417ED1"/>
    <w:rsid w:val="23E615A0"/>
    <w:rsid w:val="2A58DEF7"/>
    <w:rsid w:val="32536B50"/>
    <w:rsid w:val="389C6AC3"/>
    <w:rsid w:val="4D9D3FB2"/>
    <w:rsid w:val="54A9CFC6"/>
    <w:rsid w:val="558B3575"/>
    <w:rsid w:val="560EB55B"/>
    <w:rsid w:val="5A2CDE21"/>
    <w:rsid w:val="5A42027D"/>
    <w:rsid w:val="5C18656D"/>
    <w:rsid w:val="63D3B64A"/>
    <w:rsid w:val="6A678C1C"/>
    <w:rsid w:val="6DC26FA8"/>
    <w:rsid w:val="6E93DD68"/>
    <w:rsid w:val="6EB90878"/>
    <w:rsid w:val="6EC0D0D4"/>
    <w:rsid w:val="7412C7AC"/>
    <w:rsid w:val="7EC969A3"/>
    <w:rsid w:val="7ED91B82"/>
  </w:rsids>
  <w:docVars>
    <w:docVar w:name="__Grammarly_42___1" w:val="H4sIAAAAAAAEAKtWcslP9kxRslIyNDY2NDQ0MDWxtDCzMDQ0NjJR0lEKTi0uzszPAykwrAUAsxFzb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9EC247"/>
  <w15:docId w15:val="{F24C4A36-9804-4BBA-A6B2-24FCD5DD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A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1">
    <w:name w:val="1"/>
    <w:basedOn w:val="Normal"/>
    <w:rsid w:val="004F0786"/>
    <w:rPr>
      <w:rFonts w:ascii="Times New Roman" w:hAnsi="Times New Roman"/>
      <w:sz w:val="22"/>
    </w:rPr>
  </w:style>
  <w:style w:type="paragraph" w:customStyle="1" w:styleId="Level1">
    <w:name w:val="Level 1"/>
    <w:basedOn w:val="Normal"/>
    <w:rsid w:val="004F0786"/>
    <w:pPr>
      <w:numPr>
        <w:numId w:val="18"/>
      </w:numPr>
      <w:ind w:left="720" w:hanging="720"/>
      <w:outlineLvl w:val="0"/>
    </w:pPr>
    <w:rPr>
      <w:rFonts w:ascii="Times New Roman" w:hAnsi="Times New Roman"/>
      <w:sz w:val="24"/>
    </w:rPr>
  </w:style>
  <w:style w:type="character" w:styleId="FollowedHyperlink">
    <w:name w:val="FollowedHyperlink"/>
    <w:rsid w:val="007D684D"/>
    <w:rPr>
      <w:color w:val="954F72"/>
      <w:u w:val="single"/>
    </w:rPr>
  </w:style>
  <w:style w:type="character" w:styleId="UnresolvedMention">
    <w:name w:val="Unresolved Mention"/>
    <w:basedOn w:val="DefaultParagraphFont"/>
    <w:uiPriority w:val="99"/>
    <w:semiHidden/>
    <w:unhideWhenUsed/>
    <w:rsid w:val="002E78AB"/>
    <w:rPr>
      <w:color w:val="605E5C"/>
      <w:shd w:val="clear" w:color="auto" w:fill="E1DFDD"/>
    </w:rPr>
  </w:style>
  <w:style w:type="character" w:styleId="Mention">
    <w:name w:val="Mention"/>
    <w:basedOn w:val="DefaultParagraphFont"/>
    <w:uiPriority w:val="99"/>
    <w:unhideWhenUsed/>
    <w:rsid w:val="001D42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ls.gov/oes/current/oes_stru.htm" TargetMode="External" /><Relationship Id="rId12" Type="http://schemas.openxmlformats.org/officeDocument/2006/relationships/hyperlink" Target="https://aspe.hhs.gov/hhs-guidelines-ensuring-maximizing-disseminated-information"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ojp.gov/doj-financial-guide-2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AF90-0B9F-40DC-84F0-E73B08F8DEA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2.xml><?xml version="1.0" encoding="utf-8"?>
<ds:datastoreItem xmlns:ds="http://schemas.openxmlformats.org/officeDocument/2006/customXml" ds:itemID="{1D1890A0-7033-47BD-B313-FD12E516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C1A-FE44-47B8-9192-8C288727B387}">
  <ds:schemaRefs>
    <ds:schemaRef ds:uri="http://schemas.microsoft.com/sharepoint/v3/contenttype/forms"/>
  </ds:schemaRefs>
</ds:datastoreItem>
</file>

<file path=customXml/itemProps4.xml><?xml version="1.0" encoding="utf-8"?>
<ds:datastoreItem xmlns:ds="http://schemas.openxmlformats.org/officeDocument/2006/customXml" ds:itemID="{0A847E0A-9A44-4BC9-94FC-57B8D1B5B040}">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47</TotalTime>
  <Pages>10</Pages>
  <Words>3525</Words>
  <Characters>20026</Characters>
  <Application>Microsoft Office Word</Application>
  <DocSecurity>0</DocSecurity>
  <Lines>606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Kiefer, Vera J.</dc:creator>
  <cp:lastModifiedBy>ACF PRA</cp:lastModifiedBy>
  <cp:revision>7</cp:revision>
  <dcterms:created xsi:type="dcterms:W3CDTF">2026-07-07T17:04:00Z</dcterms:created>
  <dcterms:modified xsi:type="dcterms:W3CDTF">2026-07-07T20:12:00Z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GrammarlyDocumentId">
    <vt:lpwstr>5cc668f4460c3322c7db2d6b3d1216eae182d94f53d8993393add879f6e00a2e</vt:lpwstr>
  </property>
  <property fmtid="{D5CDD505-2E9C-101B-9397-08002B2CF9AE}" pid="4" name="MediaServiceImageTags">
    <vt:lpwstr/>
  </property>
</Properties>
</file>