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510C1" w:rsidP="00BD6AB4" w14:paraId="5C355F3D" w14:textId="38AF806A">
      <w:pPr>
        <w:pStyle w:val="Heading1Black"/>
      </w:pPr>
      <w:r>
        <w:t xml:space="preserve">INFORMATION COLLECTION </w:t>
      </w:r>
      <w:r w:rsidR="008F1217">
        <w:t xml:space="preserve">ACTIVITY </w:t>
      </w:r>
      <w:r>
        <w:t>#</w:t>
      </w:r>
      <w:r w:rsidR="753243D5">
        <w:t>2</w:t>
      </w:r>
    </w:p>
    <w:p w:rsidR="00BD6AB4" w:rsidRPr="00212AF7" w:rsidP="00BD6AB4" w14:paraId="1196DD46" w14:textId="06613E28">
      <w:pPr>
        <w:pStyle w:val="Heading1Black"/>
      </w:pPr>
      <w:r>
        <w:t xml:space="preserve">Next Generation of Child support </w:t>
      </w:r>
      <w:r w:rsidR="008B7EFA">
        <w:t>Employment Services Demonstration Evaluation</w:t>
      </w:r>
    </w:p>
    <w:p w:rsidR="00BD6AB4" w:rsidRPr="00212AF7" w:rsidP="00BD6AB4" w14:paraId="63B37D5A" w14:textId="6A35B791">
      <w:pPr>
        <w:pStyle w:val="Heading1Black"/>
      </w:pPr>
      <w:r>
        <w:t xml:space="preserve">TOPIC </w:t>
      </w:r>
      <w:r w:rsidRPr="00212AF7">
        <w:t xml:space="preserve">GUIDE FOR </w:t>
      </w:r>
      <w:r w:rsidR="00C82017">
        <w:t xml:space="preserve">Program staff and community partner </w:t>
      </w:r>
      <w:r>
        <w:t>interviews</w:t>
      </w:r>
    </w:p>
    <w:p w:rsidR="00BD6AB4" w:rsidRPr="00B425AD" w:rsidP="00BD6AB4" w14:paraId="77DCC500" w14:textId="77777777">
      <w:pPr>
        <w:pStyle w:val="NormalSS"/>
        <w:ind w:firstLine="0"/>
      </w:pPr>
    </w:p>
    <w:p w:rsidR="00BD6AB4" w:rsidRPr="00B425AD" w:rsidP="00B425AD" w14:paraId="6B7E9300" w14:textId="3753DD03">
      <w:pPr>
        <w:pStyle w:val="NormalSS"/>
        <w:spacing w:line="276" w:lineRule="auto"/>
        <w:ind w:firstLine="0"/>
      </w:pPr>
      <w:r w:rsidRPr="00B425AD">
        <w:t xml:space="preserve">The </w:t>
      </w:r>
      <w:r w:rsidR="008B7EFA">
        <w:t>NextGen</w:t>
      </w:r>
      <w:r w:rsidRPr="00B425AD">
        <w:t xml:space="preserve"> </w:t>
      </w:r>
      <w:r w:rsidRPr="00B425AD" w:rsidR="004C2776">
        <w:t>implementation</w:t>
      </w:r>
      <w:r w:rsidRPr="00B425AD">
        <w:t xml:space="preserve"> study will include </w:t>
      </w:r>
      <w:r w:rsidR="008B7EFA">
        <w:t>one</w:t>
      </w:r>
      <w:r w:rsidRPr="00B425AD">
        <w:t xml:space="preserve"> multi-day site visit to each participating pr</w:t>
      </w:r>
      <w:r w:rsidRPr="00B425AD" w:rsidR="00B425AD">
        <w:t xml:space="preserve">ogram. Visits will occur in </w:t>
      </w:r>
      <w:r w:rsidR="00B16E56">
        <w:t xml:space="preserve">2026 or </w:t>
      </w:r>
      <w:r w:rsidR="00C620CC">
        <w:t>2027</w:t>
      </w:r>
      <w:r w:rsidRPr="00B425AD">
        <w:t xml:space="preserve">. </w:t>
      </w:r>
      <w:r w:rsidR="00C620CC">
        <w:t>The team will interview NextGen</w:t>
      </w:r>
      <w:r w:rsidRPr="00B425AD" w:rsidR="00B425AD">
        <w:t xml:space="preserve"> </w:t>
      </w:r>
      <w:r w:rsidR="00375A3C">
        <w:t>child support</w:t>
      </w:r>
      <w:r w:rsidR="00C620CC">
        <w:t xml:space="preserve"> case workers, administrators, and </w:t>
      </w:r>
      <w:r w:rsidR="001F5D69">
        <w:t>service provider partners</w:t>
      </w:r>
      <w:r w:rsidR="00C620CC">
        <w:t xml:space="preserve"> </w:t>
      </w:r>
      <w:r w:rsidRPr="00B425AD">
        <w:t xml:space="preserve">who </w:t>
      </w:r>
      <w:r w:rsidR="00622AF6">
        <w:t>are directly involved in</w:t>
      </w:r>
      <w:r w:rsidRPr="00B425AD">
        <w:t xml:space="preserve"> </w:t>
      </w:r>
      <w:r w:rsidRPr="00B425AD" w:rsidR="00B425AD">
        <w:t xml:space="preserve">the implementation </w:t>
      </w:r>
      <w:r w:rsidR="00C620CC">
        <w:t>of N</w:t>
      </w:r>
      <w:r w:rsidR="008C108F">
        <w:t>extGen demonstration services</w:t>
      </w:r>
      <w:r w:rsidRPr="00B425AD">
        <w:t xml:space="preserve">. Interviews </w:t>
      </w:r>
      <w:r w:rsidR="00B425AD">
        <w:t>with staff will</w:t>
      </w:r>
      <w:r w:rsidRPr="00B425AD">
        <w:t xml:space="preserve"> be either one-on-one or small group, depending on staffing structure, </w:t>
      </w:r>
      <w:r w:rsidR="00032CA4">
        <w:t xml:space="preserve">availability, </w:t>
      </w:r>
      <w:r w:rsidRPr="00B425AD">
        <w:t>roles, and the n</w:t>
      </w:r>
      <w:r w:rsidR="00C82017">
        <w:t>umber of individuals in a role.</w:t>
      </w:r>
    </w:p>
    <w:p w:rsidR="00BD6AB4" w:rsidRPr="00B425AD" w:rsidP="00B425AD" w14:paraId="5DD0C006" w14:textId="652133A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jc w:val="both"/>
        <w:rPr>
          <w:sz w:val="24"/>
          <w:szCs w:val="24"/>
        </w:rPr>
      </w:pPr>
      <w:r w:rsidRPr="00B425AD">
        <w:rPr>
          <w:sz w:val="24"/>
          <w:szCs w:val="24"/>
        </w:rPr>
        <w:t xml:space="preserve">Purpose and use of information: </w:t>
      </w:r>
      <w:r w:rsidRPr="00F31F42" w:rsidR="00B425AD">
        <w:rPr>
          <w:sz w:val="24"/>
          <w:szCs w:val="24"/>
        </w:rPr>
        <w:t xml:space="preserve">The goal of the implementation study is to provide a detailed description of the </w:t>
      </w:r>
      <w:r w:rsidRPr="00F31F42" w:rsidR="00014000">
        <w:rPr>
          <w:sz w:val="24"/>
          <w:szCs w:val="24"/>
        </w:rPr>
        <w:t>NextGen demonstration</w:t>
      </w:r>
      <w:r w:rsidRPr="00F31F42" w:rsidR="00B425AD">
        <w:rPr>
          <w:sz w:val="24"/>
          <w:szCs w:val="24"/>
        </w:rPr>
        <w:t xml:space="preserve"> programs – how they are implemented, their participants, the contexts in which they are operated, and their promising practices.</w:t>
      </w:r>
      <w:r w:rsidRPr="00B425AD" w:rsidR="00B425AD">
        <w:rPr>
          <w:sz w:val="24"/>
          <w:szCs w:val="24"/>
        </w:rPr>
        <w:t xml:space="preserve"> </w:t>
      </w:r>
      <w:r w:rsidRPr="00B425AD">
        <w:rPr>
          <w:sz w:val="24"/>
          <w:szCs w:val="24"/>
        </w:rPr>
        <w:t>The purpose is to</w:t>
      </w:r>
      <w:r w:rsidR="00261702">
        <w:rPr>
          <w:sz w:val="24"/>
          <w:szCs w:val="24"/>
        </w:rPr>
        <w:t xml:space="preserve"> </w:t>
      </w:r>
      <w:r w:rsidR="00E62552">
        <w:rPr>
          <w:sz w:val="24"/>
          <w:szCs w:val="24"/>
        </w:rPr>
        <w:t>understand</w:t>
      </w:r>
      <w:r w:rsidR="008D6E8C">
        <w:rPr>
          <w:sz w:val="24"/>
          <w:szCs w:val="24"/>
        </w:rPr>
        <w:t xml:space="preserve"> the s</w:t>
      </w:r>
      <w:r w:rsidR="00E62552">
        <w:rPr>
          <w:sz w:val="24"/>
          <w:szCs w:val="24"/>
        </w:rPr>
        <w:t xml:space="preserve">pecifics of each of the programs </w:t>
      </w:r>
      <w:r w:rsidR="00261702">
        <w:rPr>
          <w:sz w:val="24"/>
          <w:szCs w:val="24"/>
        </w:rPr>
        <w:t>and</w:t>
      </w:r>
      <w:r w:rsidRPr="00B425AD">
        <w:rPr>
          <w:sz w:val="24"/>
          <w:szCs w:val="24"/>
        </w:rPr>
        <w:t xml:space="preserve"> provide information to practitioners and policymakers </w:t>
      </w:r>
      <w:r w:rsidR="00E62552">
        <w:rPr>
          <w:sz w:val="24"/>
          <w:szCs w:val="24"/>
        </w:rPr>
        <w:t xml:space="preserve">involved in federal, local, county, state, or tribal child support </w:t>
      </w:r>
      <w:r w:rsidR="00372C0C">
        <w:rPr>
          <w:sz w:val="24"/>
          <w:szCs w:val="24"/>
        </w:rPr>
        <w:t>programs and their service partners</w:t>
      </w:r>
      <w:r w:rsidRPr="00372C0C">
        <w:rPr>
          <w:sz w:val="24"/>
          <w:szCs w:val="24"/>
        </w:rPr>
        <w:t xml:space="preserve">. The information collected will be used to document the actual operational experiences of agencies and participants over the course of </w:t>
      </w:r>
      <w:r w:rsidRPr="00382970">
        <w:rPr>
          <w:sz w:val="24"/>
          <w:szCs w:val="24"/>
        </w:rPr>
        <w:t xml:space="preserve">the </w:t>
      </w:r>
      <w:r w:rsidRPr="00382970" w:rsidR="000C3C9B">
        <w:rPr>
          <w:sz w:val="24"/>
          <w:szCs w:val="24"/>
        </w:rPr>
        <w:t>project</w:t>
      </w:r>
      <w:r w:rsidRPr="00372C0C">
        <w:rPr>
          <w:sz w:val="24"/>
          <w:szCs w:val="24"/>
        </w:rPr>
        <w:t>.</w:t>
      </w:r>
    </w:p>
    <w:p w:rsidR="00BD6AB4" w:rsidRPr="00B425AD" w:rsidP="00B425AD" w14:paraId="7B4C695C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</w:p>
    <w:p w:rsidR="00BD6AB4" w:rsidRPr="00B425AD" w:rsidP="0047545E" w14:paraId="3D72E483" w14:textId="08C0F3B4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B425AD">
        <w:rPr>
          <w:sz w:val="24"/>
          <w:szCs w:val="24"/>
        </w:rPr>
        <w:t>Privacy:</w:t>
      </w:r>
      <w:r w:rsidRPr="001C6ACA" w:rsidR="001C6ACA">
        <w:rPr>
          <w:sz w:val="24"/>
          <w:szCs w:val="24"/>
        </w:rPr>
        <w:t xml:space="preserve"> </w:t>
      </w:r>
      <w:r w:rsidRPr="00B425AD" w:rsidR="001C6ACA">
        <w:rPr>
          <w:sz w:val="24"/>
          <w:szCs w:val="24"/>
        </w:rPr>
        <w:t xml:space="preserve">The information </w:t>
      </w:r>
      <w:r w:rsidR="001C6ACA">
        <w:rPr>
          <w:sz w:val="24"/>
          <w:szCs w:val="24"/>
        </w:rPr>
        <w:t xml:space="preserve">provided during these interviews </w:t>
      </w:r>
      <w:r w:rsidRPr="00B425AD" w:rsidR="001C6ACA">
        <w:rPr>
          <w:sz w:val="24"/>
          <w:szCs w:val="24"/>
        </w:rPr>
        <w:t xml:space="preserve">will be </w:t>
      </w:r>
      <w:r w:rsidR="001C6ACA">
        <w:rPr>
          <w:sz w:val="24"/>
          <w:szCs w:val="24"/>
        </w:rPr>
        <w:t xml:space="preserve">used for research purposes only. It will only be discussed in </w:t>
      </w:r>
      <w:r w:rsidRPr="00B425AD" w:rsidR="001C6ACA">
        <w:rPr>
          <w:sz w:val="24"/>
          <w:szCs w:val="24"/>
        </w:rPr>
        <w:t>combin</w:t>
      </w:r>
      <w:r w:rsidR="001C6ACA">
        <w:rPr>
          <w:sz w:val="24"/>
          <w:szCs w:val="24"/>
        </w:rPr>
        <w:t xml:space="preserve">ation </w:t>
      </w:r>
      <w:r w:rsidRPr="00B425AD" w:rsidR="001C6ACA">
        <w:rPr>
          <w:sz w:val="24"/>
          <w:szCs w:val="24"/>
        </w:rPr>
        <w:t xml:space="preserve">with </w:t>
      </w:r>
      <w:r w:rsidR="006A70F3">
        <w:rPr>
          <w:sz w:val="24"/>
          <w:szCs w:val="24"/>
        </w:rPr>
        <w:t xml:space="preserve">other people’s responses and reported together as a group. </w:t>
      </w:r>
      <w:r w:rsidR="001C6ACA">
        <w:rPr>
          <w:sz w:val="24"/>
          <w:szCs w:val="24"/>
        </w:rPr>
        <w:t>N</w:t>
      </w:r>
      <w:r w:rsidRPr="00B425AD" w:rsidR="001C6ACA">
        <w:rPr>
          <w:sz w:val="24"/>
          <w:szCs w:val="24"/>
        </w:rPr>
        <w:t xml:space="preserve">o </w:t>
      </w:r>
      <w:r w:rsidR="001C6ACA">
        <w:rPr>
          <w:sz w:val="24"/>
          <w:szCs w:val="24"/>
        </w:rPr>
        <w:t xml:space="preserve">information that identifies the individual </w:t>
      </w:r>
      <w:r w:rsidRPr="00B425AD" w:rsidR="001C6ACA">
        <w:rPr>
          <w:sz w:val="24"/>
          <w:szCs w:val="24"/>
        </w:rPr>
        <w:t xml:space="preserve">will be disseminated </w:t>
      </w:r>
      <w:r w:rsidR="001C6ACA">
        <w:rPr>
          <w:sz w:val="24"/>
          <w:szCs w:val="24"/>
        </w:rPr>
        <w:t xml:space="preserve">outside the evaluation team, except as required </w:t>
      </w:r>
      <w:r w:rsidRPr="00B425AD" w:rsidR="001C6ACA">
        <w:rPr>
          <w:sz w:val="24"/>
          <w:szCs w:val="24"/>
        </w:rPr>
        <w:t>by law.</w:t>
      </w:r>
      <w:r w:rsidR="001C6ACA">
        <w:rPr>
          <w:sz w:val="24"/>
          <w:szCs w:val="24"/>
        </w:rPr>
        <w:t xml:space="preserve">  </w:t>
      </w:r>
      <w:r w:rsidR="006A70F3">
        <w:rPr>
          <w:sz w:val="24"/>
          <w:szCs w:val="24"/>
        </w:rPr>
        <w:t xml:space="preserve"> </w:t>
      </w:r>
    </w:p>
    <w:p w:rsidR="00BD6AB4" w:rsidRPr="00B425AD" w:rsidP="00B425AD" w14:paraId="7BB541A4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</w:p>
    <w:p w:rsidR="00BD6AB4" w:rsidP="00FA398A" w14:paraId="794A0481" w14:textId="6D51E68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  <w:r w:rsidRPr="00B425AD">
        <w:rPr>
          <w:sz w:val="24"/>
          <w:szCs w:val="24"/>
        </w:rPr>
        <w:t>Voluntary Participation: Providing information for the purposes described is voluntary.</w:t>
      </w:r>
      <w:r w:rsidR="0044610C">
        <w:rPr>
          <w:sz w:val="24"/>
          <w:szCs w:val="24"/>
        </w:rPr>
        <w:t xml:space="preserve"> Verbal informed consent will be obtained.</w:t>
      </w:r>
    </w:p>
    <w:p w:rsidR="00FA398A" w:rsidRPr="00FA398A" w:rsidP="00FA398A" w14:paraId="50F07BD4" w14:textId="77777777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  <w:tab w:val="clear" w:pos="720"/>
          <w:tab w:val="clear" w:pos="1080"/>
          <w:tab w:val="clear" w:pos="1440"/>
          <w:tab w:val="clear" w:pos="1800"/>
        </w:tabs>
        <w:spacing w:line="276" w:lineRule="auto"/>
        <w:rPr>
          <w:sz w:val="24"/>
          <w:szCs w:val="24"/>
        </w:rPr>
      </w:pPr>
    </w:p>
    <w:p w:rsidR="00BD6AB4" w:rsidRPr="00B425AD" w:rsidP="00B425AD" w14:paraId="279BD342" w14:textId="7BCC19E9">
      <w:pPr>
        <w:pStyle w:val="NormalSS"/>
        <w:spacing w:line="276" w:lineRule="auto"/>
        <w:ind w:firstLine="0"/>
      </w:pPr>
      <w:r w:rsidRPr="00B425AD">
        <w:t xml:space="preserve">Estimated time: </w:t>
      </w:r>
      <w:r w:rsidR="007F53E3">
        <w:t>Each interview</w:t>
      </w:r>
      <w:r w:rsidRPr="00B425AD">
        <w:t xml:space="preserve"> is expected to take </w:t>
      </w:r>
      <w:r w:rsidR="00382970">
        <w:t xml:space="preserve">an average of </w:t>
      </w:r>
      <w:r w:rsidR="00B425AD">
        <w:t>60</w:t>
      </w:r>
      <w:r w:rsidRPr="00B425AD">
        <w:t xml:space="preserve"> minutes.</w:t>
      </w:r>
    </w:p>
    <w:p w:rsidR="00BD6AB4" w:rsidRPr="00B425AD" w:rsidP="00BD6AB4" w14:paraId="20045156" w14:textId="1F69B9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425AD">
        <w:rPr>
          <w:rFonts w:ascii="Times New Roman" w:hAnsi="Times New Roman"/>
        </w:rPr>
        <w:br w:type="page"/>
      </w:r>
    </w:p>
    <w:p w:rsidR="00BD6AB4" w:rsidRPr="00B425AD" w:rsidP="00BD6AB4" w14:paraId="60B1193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10080" w:type="dxa"/>
        <w:tblInd w:w="-702" w:type="dxa"/>
        <w:tblLayout w:type="fixed"/>
        <w:tblLook w:val="04A0"/>
      </w:tblPr>
      <w:tblGrid>
        <w:gridCol w:w="1638"/>
        <w:gridCol w:w="8442"/>
      </w:tblGrid>
      <w:tr w14:paraId="67BFF863" w14:textId="77777777" w:rsidTr="0056309E">
        <w:tblPrEx>
          <w:tblW w:w="10080" w:type="dxa"/>
          <w:tblInd w:w="-702" w:type="dxa"/>
          <w:tblLayout w:type="fixed"/>
          <w:tblLook w:val="04A0"/>
        </w:tblPrEx>
        <w:trPr>
          <w:trHeight w:val="374"/>
          <w:tblHeader/>
        </w:trPr>
        <w:tc>
          <w:tcPr>
            <w:tcW w:w="1638" w:type="dxa"/>
            <w:vMerge w:val="restart"/>
            <w:shd w:val="clear" w:color="auto" w:fill="BFBFBF" w:themeFill="background1" w:themeFillShade="BF"/>
            <w:vAlign w:val="bottom"/>
          </w:tcPr>
          <w:p w:rsidR="00BD6AB4" w:rsidRPr="00B425AD" w:rsidP="00756FA9" w14:paraId="05217667" w14:textId="1E495B6E">
            <w:pPr>
              <w:pStyle w:val="TableTex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Topic Category</w:t>
            </w:r>
          </w:p>
        </w:tc>
        <w:tc>
          <w:tcPr>
            <w:tcW w:w="8442" w:type="dxa"/>
            <w:vMerge w:val="restart"/>
            <w:shd w:val="clear" w:color="auto" w:fill="BFBFBF" w:themeFill="background1" w:themeFillShade="BF"/>
            <w:vAlign w:val="bottom"/>
          </w:tcPr>
          <w:p w:rsidR="00BD6AB4" w:rsidRPr="00B425AD" w:rsidP="00FA398A" w14:paraId="6FC806F6" w14:textId="13D527D3">
            <w:pPr>
              <w:pStyle w:val="TableTex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25AD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FA398A">
              <w:rPr>
                <w:rFonts w:ascii="Times New Roman" w:hAnsi="Times New Roman"/>
                <w:b/>
                <w:sz w:val="22"/>
                <w:szCs w:val="22"/>
              </w:rPr>
              <w:t>taff</w:t>
            </w:r>
            <w:r w:rsidRPr="00B425AD">
              <w:rPr>
                <w:rFonts w:ascii="Times New Roman" w:hAnsi="Times New Roman"/>
                <w:b/>
                <w:sz w:val="22"/>
                <w:szCs w:val="22"/>
              </w:rPr>
              <w:t xml:space="preserve"> Interview Topic</w:t>
            </w:r>
            <w:r w:rsidR="00FA398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</w:tr>
      <w:tr w14:paraId="6943BB6F" w14:textId="77777777" w:rsidTr="0056309E">
        <w:tblPrEx>
          <w:tblW w:w="10080" w:type="dxa"/>
          <w:tblInd w:w="-702" w:type="dxa"/>
          <w:tblLayout w:type="fixed"/>
          <w:tblLook w:val="04A0"/>
        </w:tblPrEx>
        <w:trPr>
          <w:trHeight w:val="373"/>
          <w:tblHeader/>
        </w:trPr>
        <w:tc>
          <w:tcPr>
            <w:tcW w:w="1638" w:type="dxa"/>
            <w:vMerge/>
            <w:shd w:val="clear" w:color="auto" w:fill="BFBFBF" w:themeFill="background1" w:themeFillShade="BF"/>
            <w:vAlign w:val="bottom"/>
          </w:tcPr>
          <w:p w:rsidR="00BD6AB4" w:rsidRPr="00B425AD" w:rsidP="00756FA9" w14:paraId="4AA8D2E5" w14:textId="77777777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42" w:type="dxa"/>
            <w:vMerge/>
            <w:shd w:val="clear" w:color="auto" w:fill="BFBFBF" w:themeFill="background1" w:themeFillShade="BF"/>
          </w:tcPr>
          <w:p w:rsidR="00BD6AB4" w:rsidRPr="00B425AD" w:rsidP="00756FA9" w14:paraId="49AF685E" w14:textId="77777777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14:paraId="46E07CC4" w14:textId="77777777" w:rsidTr="009C38D7">
        <w:tblPrEx>
          <w:tblW w:w="10080" w:type="dxa"/>
          <w:tblInd w:w="-702" w:type="dxa"/>
          <w:tblLayout w:type="fixed"/>
          <w:tblLook w:val="04A0"/>
        </w:tblPrEx>
        <w:tc>
          <w:tcPr>
            <w:tcW w:w="1638" w:type="dxa"/>
          </w:tcPr>
          <w:p w:rsidR="0010285E" w:rsidRPr="00B425AD" w:rsidP="00756FA9" w14:paraId="77C8BD34" w14:textId="4D8F184A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Staff Characteristics and Background</w:t>
            </w:r>
          </w:p>
        </w:tc>
        <w:tc>
          <w:tcPr>
            <w:tcW w:w="8442" w:type="dxa"/>
          </w:tcPr>
          <w:p w:rsidR="0010285E" w:rsidP="00BD6AB4" w14:paraId="249F9060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Job title</w:t>
            </w:r>
          </w:p>
          <w:p w:rsidR="0010285E" w:rsidP="00BD6AB4" w14:paraId="7A3480B0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Years in current position and with </w:t>
            </w:r>
            <w:r>
              <w:rPr>
                <w:rFonts w:ascii="Times New Roman" w:hAnsi="Times New Roman"/>
              </w:rPr>
              <w:t>agency</w:t>
            </w:r>
          </w:p>
          <w:p w:rsidR="0010285E" w:rsidP="00BD6AB4" w14:paraId="065896D4" w14:textId="005C0C3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Role on </w:t>
            </w:r>
            <w:r w:rsidR="007E1283">
              <w:rPr>
                <w:rFonts w:ascii="Times New Roman" w:hAnsi="Times New Roman"/>
              </w:rPr>
              <w:t>NextGen</w:t>
            </w:r>
          </w:p>
          <w:p w:rsidR="0010285E" w:rsidP="00BD6AB4" w14:paraId="6B0F5944" w14:textId="615D263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Relevant prior experience</w:t>
            </w:r>
          </w:p>
        </w:tc>
      </w:tr>
      <w:tr w14:paraId="02FEF7AD" w14:textId="77777777" w:rsidTr="009C38D7">
        <w:tblPrEx>
          <w:tblW w:w="10080" w:type="dxa"/>
          <w:tblInd w:w="-702" w:type="dxa"/>
          <w:tblLayout w:type="fixed"/>
          <w:tblLook w:val="04A0"/>
        </w:tblPrEx>
        <w:tc>
          <w:tcPr>
            <w:tcW w:w="1638" w:type="dxa"/>
          </w:tcPr>
          <w:p w:rsidR="0010285E" w:rsidRPr="00B425AD" w:rsidP="00756FA9" w14:paraId="22FFC0B8" w14:textId="0A704D2A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Program planning and design</w:t>
            </w:r>
          </w:p>
        </w:tc>
        <w:tc>
          <w:tcPr>
            <w:tcW w:w="8442" w:type="dxa"/>
          </w:tcPr>
          <w:p w:rsidR="0010285E" w:rsidRPr="0010285E" w:rsidP="0010285E" w14:paraId="6E40F0EC" w14:textId="326CF31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Why grantee applied for </w:t>
            </w:r>
            <w:r w:rsidR="007E1283">
              <w:rPr>
                <w:rFonts w:ascii="Times New Roman" w:hAnsi="Times New Roman"/>
              </w:rPr>
              <w:t>NextGen</w:t>
            </w:r>
            <w:r>
              <w:rPr>
                <w:rFonts w:ascii="Times New Roman" w:hAnsi="Times New Roman"/>
              </w:rPr>
              <w:t xml:space="preserve"> grant</w:t>
            </w:r>
          </w:p>
          <w:p w:rsidR="0010285E" w:rsidRPr="0010285E" w:rsidP="00BD6AB4" w14:paraId="5A528ABF" w14:textId="5A8F95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10285E">
              <w:rPr>
                <w:rFonts w:ascii="Times New Roman" w:hAnsi="Times New Roman"/>
              </w:rPr>
              <w:t>Decision</w:t>
            </w:r>
            <w:r w:rsidR="008F1217">
              <w:rPr>
                <w:rFonts w:ascii="Times New Roman" w:hAnsi="Times New Roman"/>
              </w:rPr>
              <w:t xml:space="preserve"> </w:t>
            </w:r>
            <w:r w:rsidRPr="0010285E">
              <w:rPr>
                <w:rFonts w:ascii="Times New Roman" w:hAnsi="Times New Roman"/>
              </w:rPr>
              <w:t>making process and the role of child support agency leadership a</w:t>
            </w:r>
            <w:r w:rsidR="0071421C">
              <w:rPr>
                <w:rFonts w:ascii="Times New Roman" w:hAnsi="Times New Roman"/>
              </w:rPr>
              <w:t>t</w:t>
            </w:r>
            <w:r w:rsidRPr="0010285E">
              <w:rPr>
                <w:rFonts w:ascii="Times New Roman" w:hAnsi="Times New Roman"/>
              </w:rPr>
              <w:t xml:space="preserve"> the state and county levels in deciding to apply</w:t>
            </w:r>
          </w:p>
          <w:p w:rsidR="0010285E" w:rsidP="00BD6AB4" w14:paraId="58FC563C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</w:t>
            </w:r>
            <w:r w:rsidRPr="007C67AE">
              <w:rPr>
                <w:rFonts w:ascii="Times New Roman" w:hAnsi="Times New Roman"/>
              </w:rPr>
              <w:t>organizational culture and leadership within the child support agency supports or poses barriers to applying for demonstration grants or proposing innovations in child support procedures and policies</w:t>
            </w:r>
          </w:p>
          <w:p w:rsidR="0010285E" w:rsidRPr="0010285E" w:rsidP="00742543" w14:paraId="47950276" w14:textId="311BDAAB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10285E">
              <w:rPr>
                <w:rFonts w:ascii="Times New Roman" w:hAnsi="Times New Roman"/>
                <w:noProof w:val="0"/>
                <w:sz w:val="24"/>
              </w:rPr>
              <w:t xml:space="preserve">Grantees’ prior experience with similar programs and how prior experience informed the </w:t>
            </w:r>
            <w:r w:rsidR="00DF1F64">
              <w:rPr>
                <w:rFonts w:ascii="Times New Roman" w:hAnsi="Times New Roman"/>
                <w:noProof w:val="0"/>
                <w:sz w:val="24"/>
              </w:rPr>
              <w:t>design of the NextGen demonstration program</w:t>
            </w:r>
          </w:p>
          <w:p w:rsidR="0095087F" w:rsidP="0095087F" w14:paraId="10C63E55" w14:textId="254C175B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10285E">
              <w:rPr>
                <w:rFonts w:ascii="Times New Roman" w:hAnsi="Times New Roman"/>
                <w:noProof w:val="0"/>
                <w:sz w:val="24"/>
              </w:rPr>
              <w:t xml:space="preserve">Design and planning process for </w:t>
            </w:r>
            <w:r w:rsidR="00DF1F64">
              <w:rPr>
                <w:rFonts w:ascii="Times New Roman" w:hAnsi="Times New Roman"/>
                <w:noProof w:val="0"/>
                <w:sz w:val="24"/>
              </w:rPr>
              <w:t>NextGen</w:t>
            </w:r>
            <w:r w:rsidRPr="0010285E">
              <w:rPr>
                <w:rFonts w:ascii="Times New Roman" w:hAnsi="Times New Roman"/>
                <w:noProof w:val="0"/>
                <w:sz w:val="24"/>
              </w:rPr>
              <w:t>, including any changes if the program is a continuation or adaptation of past efforts</w:t>
            </w:r>
          </w:p>
          <w:p w:rsidR="0095087F" w:rsidRPr="00AF3F3C" w:rsidP="0095087F" w14:paraId="4BAB029D" w14:textId="7EA8BF61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>
              <w:rPr>
                <w:rFonts w:ascii="Times New Roman" w:hAnsi="Times New Roman"/>
                <w:noProof w:val="0"/>
                <w:sz w:val="24"/>
              </w:rPr>
              <w:t xml:space="preserve">Description of </w:t>
            </w:r>
            <w:r w:rsidR="00586537">
              <w:rPr>
                <w:rFonts w:ascii="Times New Roman" w:hAnsi="Times New Roman"/>
                <w:noProof w:val="0"/>
                <w:sz w:val="24"/>
              </w:rPr>
              <w:t xml:space="preserve">planned </w:t>
            </w:r>
            <w:r>
              <w:rPr>
                <w:rFonts w:ascii="Times New Roman" w:hAnsi="Times New Roman"/>
                <w:noProof w:val="0"/>
                <w:sz w:val="24"/>
              </w:rPr>
              <w:t>program components and rationales for each component</w:t>
            </w:r>
          </w:p>
          <w:p w:rsidR="00AF3F3C" w:rsidRPr="00AF3F3C" w:rsidP="00AF3F3C" w14:paraId="65969D2A" w14:textId="5280DB02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>
              <w:rPr>
                <w:rFonts w:ascii="Times New Roman" w:hAnsi="Times New Roman"/>
                <w:noProof w:val="0"/>
                <w:sz w:val="24"/>
              </w:rPr>
              <w:t>Selection</w:t>
            </w:r>
            <w:r w:rsidRPr="0010285E" w:rsidR="0010285E"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="0095087F">
              <w:rPr>
                <w:rFonts w:ascii="Times New Roman" w:hAnsi="Times New Roman"/>
                <w:noProof w:val="0"/>
                <w:sz w:val="24"/>
              </w:rPr>
              <w:t>process for</w:t>
            </w:r>
            <w:r>
              <w:rPr>
                <w:rFonts w:ascii="Times New Roman" w:hAnsi="Times New Roman"/>
                <w:noProof w:val="0"/>
                <w:sz w:val="24"/>
              </w:rPr>
              <w:t xml:space="preserve"> employment service provider</w:t>
            </w:r>
            <w:r w:rsidRPr="0010285E" w:rsidR="0010285E">
              <w:rPr>
                <w:rFonts w:ascii="Times New Roman" w:hAnsi="Times New Roman"/>
                <w:noProof w:val="0"/>
                <w:sz w:val="24"/>
              </w:rPr>
              <w:t xml:space="preserve"> partners and other community organizations</w:t>
            </w:r>
          </w:p>
          <w:p w:rsidR="0010285E" w:rsidRPr="0010285E" w:rsidP="00742543" w14:paraId="30FC3608" w14:textId="25590525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>
              <w:rPr>
                <w:rFonts w:ascii="Times New Roman" w:hAnsi="Times New Roman"/>
                <w:noProof w:val="0"/>
                <w:sz w:val="24"/>
              </w:rPr>
              <w:t>Role of employment service provider partners</w:t>
            </w:r>
            <w:r w:rsidR="0095087F">
              <w:rPr>
                <w:rFonts w:ascii="Times New Roman" w:hAnsi="Times New Roman"/>
                <w:noProof w:val="0"/>
                <w:sz w:val="24"/>
              </w:rPr>
              <w:t xml:space="preserve">, </w:t>
            </w:r>
            <w:r>
              <w:rPr>
                <w:rFonts w:ascii="Times New Roman" w:hAnsi="Times New Roman"/>
                <w:noProof w:val="0"/>
                <w:sz w:val="24"/>
              </w:rPr>
              <w:t>other community organizations</w:t>
            </w:r>
            <w:r w:rsidR="0095087F">
              <w:rPr>
                <w:rFonts w:ascii="Times New Roman" w:hAnsi="Times New Roman"/>
                <w:noProof w:val="0"/>
                <w:sz w:val="24"/>
              </w:rPr>
              <w:t>, and other relevant parties</w:t>
            </w:r>
            <w:r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Pr="0010285E">
              <w:rPr>
                <w:rFonts w:ascii="Times New Roman" w:hAnsi="Times New Roman"/>
                <w:noProof w:val="0"/>
                <w:sz w:val="24"/>
              </w:rPr>
              <w:t xml:space="preserve">in the planning process </w:t>
            </w:r>
          </w:p>
          <w:p w:rsidR="00AF3F3C" w:rsidRPr="00AF3F3C" w:rsidP="00AF3F3C" w14:paraId="33EFF011" w14:textId="6FFC4268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>
              <w:rPr>
                <w:rFonts w:ascii="Times New Roman" w:hAnsi="Times New Roman"/>
                <w:noProof w:val="0"/>
                <w:sz w:val="24"/>
              </w:rPr>
              <w:t>Selection</w:t>
            </w:r>
            <w:r w:rsidRPr="0010285E">
              <w:rPr>
                <w:rFonts w:ascii="Times New Roman" w:hAnsi="Times New Roman"/>
                <w:noProof w:val="0"/>
                <w:sz w:val="24"/>
              </w:rPr>
              <w:t xml:space="preserve"> of</w:t>
            </w:r>
            <w:r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="006D2AAC">
              <w:rPr>
                <w:rFonts w:ascii="Times New Roman" w:hAnsi="Times New Roman"/>
                <w:noProof w:val="0"/>
                <w:sz w:val="24"/>
              </w:rPr>
              <w:t>service population focus and eligibility criteria</w:t>
            </w:r>
          </w:p>
          <w:p w:rsidR="0010285E" w:rsidRPr="0010285E" w:rsidP="00742543" w14:paraId="56B1A2F4" w14:textId="423986AA">
            <w:pPr>
              <w:pStyle w:val="TOC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10285E">
              <w:rPr>
                <w:rFonts w:ascii="Times New Roman" w:hAnsi="Times New Roman"/>
                <w:noProof w:val="0"/>
                <w:sz w:val="24"/>
              </w:rPr>
              <w:t xml:space="preserve">Key design decisions made during the </w:t>
            </w:r>
            <w:r w:rsidR="00DF1F64">
              <w:rPr>
                <w:rFonts w:ascii="Times New Roman" w:hAnsi="Times New Roman"/>
                <w:noProof w:val="0"/>
                <w:sz w:val="24"/>
              </w:rPr>
              <w:t>NextGen</w:t>
            </w:r>
            <w:r w:rsidRPr="0010285E">
              <w:rPr>
                <w:rFonts w:ascii="Times New Roman" w:hAnsi="Times New Roman"/>
                <w:noProof w:val="0"/>
                <w:sz w:val="24"/>
              </w:rPr>
              <w:t xml:space="preserve"> planning </w:t>
            </w:r>
            <w:r w:rsidR="0071421C">
              <w:rPr>
                <w:rFonts w:ascii="Times New Roman" w:hAnsi="Times New Roman"/>
                <w:noProof w:val="0"/>
                <w:sz w:val="24"/>
              </w:rPr>
              <w:t xml:space="preserve">year </w:t>
            </w:r>
            <w:r w:rsidR="00B7662A">
              <w:rPr>
                <w:rFonts w:ascii="Times New Roman" w:hAnsi="Times New Roman"/>
                <w:noProof w:val="0"/>
                <w:sz w:val="24"/>
              </w:rPr>
              <w:t xml:space="preserve">and pilot phase </w:t>
            </w:r>
            <w:r w:rsidR="0071421C">
              <w:rPr>
                <w:rFonts w:ascii="Times New Roman" w:hAnsi="Times New Roman"/>
                <w:noProof w:val="0"/>
                <w:sz w:val="24"/>
              </w:rPr>
              <w:t>and rationale</w:t>
            </w:r>
            <w:r w:rsidR="00B7662A">
              <w:rPr>
                <w:rFonts w:ascii="Times New Roman" w:hAnsi="Times New Roman"/>
                <w:noProof w:val="0"/>
                <w:sz w:val="24"/>
              </w:rPr>
              <w:t>s</w:t>
            </w:r>
          </w:p>
          <w:p w:rsidR="0010285E" w:rsidP="00E321C6" w14:paraId="25697A4D" w14:textId="5B15764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10285E">
              <w:rPr>
                <w:rFonts w:ascii="Times New Roman" w:hAnsi="Times New Roman"/>
              </w:rPr>
              <w:t>Challenges encountered during the planning process and steps taken to address them</w:t>
            </w:r>
            <w:r w:rsidR="00586537">
              <w:rPr>
                <w:rFonts w:ascii="Times New Roman" w:hAnsi="Times New Roman"/>
              </w:rPr>
              <w:t>, any changes to design or eligibility</w:t>
            </w:r>
          </w:p>
          <w:p w:rsidR="00B7662A" w:rsidRPr="00E321C6" w:rsidP="00E321C6" w14:paraId="4891232B" w14:textId="487F16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encountered during the pilot phase and steps taken to address them</w:t>
            </w:r>
            <w:r w:rsidR="00586537">
              <w:rPr>
                <w:rFonts w:ascii="Times New Roman" w:hAnsi="Times New Roman"/>
              </w:rPr>
              <w:t xml:space="preserve">, any changes to design or eligibility </w:t>
            </w:r>
          </w:p>
        </w:tc>
      </w:tr>
      <w:tr w14:paraId="686D675C" w14:textId="77777777" w:rsidTr="009C38D7">
        <w:tblPrEx>
          <w:tblW w:w="10080" w:type="dxa"/>
          <w:tblInd w:w="-702" w:type="dxa"/>
          <w:tblLayout w:type="fixed"/>
          <w:tblLook w:val="04A0"/>
        </w:tblPrEx>
        <w:tc>
          <w:tcPr>
            <w:tcW w:w="1638" w:type="dxa"/>
          </w:tcPr>
          <w:p w:rsidR="00BD6AB4" w:rsidRPr="00B425AD" w:rsidP="00756FA9" w14:paraId="657AE4DE" w14:textId="536971B3">
            <w:pPr>
              <w:pStyle w:val="TableText"/>
              <w:spacing w:before="60" w:beforeLines="25" w:after="60" w:afterLines="25"/>
              <w:rPr>
                <w:rFonts w:ascii="Times New Roman" w:hAnsi="Times New Roman"/>
                <w:sz w:val="22"/>
                <w:szCs w:val="22"/>
              </w:rPr>
            </w:pPr>
            <w:r w:rsidRPr="00B425AD">
              <w:rPr>
                <w:rFonts w:ascii="Times New Roman" w:hAnsi="Times New Roman"/>
                <w:b/>
                <w:bCs/>
              </w:rPr>
              <w:t>Local Context and Service Environment</w:t>
            </w:r>
          </w:p>
        </w:tc>
        <w:tc>
          <w:tcPr>
            <w:tcW w:w="8442" w:type="dxa"/>
          </w:tcPr>
          <w:p w:rsidR="005F13CA" w:rsidP="00BD6AB4" w14:paraId="5D207123" w14:textId="783148A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</w:t>
            </w:r>
            <w:r w:rsidR="00B7662A">
              <w:rPr>
                <w:rFonts w:ascii="Times New Roman" w:hAnsi="Times New Roman"/>
              </w:rPr>
              <w:t xml:space="preserve">, county, </w:t>
            </w:r>
            <w:r>
              <w:rPr>
                <w:rFonts w:ascii="Times New Roman" w:hAnsi="Times New Roman"/>
              </w:rPr>
              <w:t>local</w:t>
            </w:r>
            <w:r w:rsidR="00B7662A">
              <w:rPr>
                <w:rFonts w:ascii="Times New Roman" w:hAnsi="Times New Roman"/>
              </w:rPr>
              <w:t>, or tribal</w:t>
            </w:r>
            <w:r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hild support structure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processes</w:t>
            </w:r>
            <w:r>
              <w:rPr>
                <w:rFonts w:ascii="Times New Roman" w:hAnsi="Times New Roman"/>
              </w:rPr>
              <w:t>, and policies</w:t>
            </w:r>
          </w:p>
          <w:p w:rsidR="00BD6AB4" w:rsidRPr="00B425AD" w:rsidP="00BD6AB4" w14:paraId="4C8B8F5B" w14:textId="1F7C2B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B425AD">
              <w:rPr>
                <w:rFonts w:ascii="Times New Roman" w:hAnsi="Times New Roman"/>
              </w:rPr>
              <w:t>Effect of demographic, economic</w:t>
            </w:r>
            <w:r w:rsidR="00E321C6">
              <w:rPr>
                <w:rFonts w:ascii="Times New Roman" w:hAnsi="Times New Roman"/>
              </w:rPr>
              <w:t>,</w:t>
            </w:r>
            <w:r w:rsidRPr="00B425AD">
              <w:rPr>
                <w:rFonts w:ascii="Times New Roman" w:hAnsi="Times New Roman"/>
              </w:rPr>
              <w:t xml:space="preserve"> or </w:t>
            </w:r>
            <w:r w:rsidR="0031138C">
              <w:rPr>
                <w:rFonts w:ascii="Times New Roman" w:hAnsi="Times New Roman"/>
              </w:rPr>
              <w:t>other local factors</w:t>
            </w:r>
            <w:r w:rsidRPr="00B425AD">
              <w:rPr>
                <w:rFonts w:ascii="Times New Roman" w:hAnsi="Times New Roman"/>
              </w:rPr>
              <w:t xml:space="preserve"> on </w:t>
            </w:r>
            <w:r w:rsidR="00B7662A">
              <w:rPr>
                <w:rFonts w:ascii="Times New Roman" w:hAnsi="Times New Roman"/>
              </w:rPr>
              <w:t>NextGen</w:t>
            </w:r>
            <w:r w:rsidRPr="00B425AD">
              <w:rPr>
                <w:rFonts w:ascii="Times New Roman" w:hAnsi="Times New Roman"/>
              </w:rPr>
              <w:t xml:space="preserve"> operations</w:t>
            </w:r>
          </w:p>
          <w:p w:rsidR="001918C5" w:rsidP="001F5D69" w14:paraId="652B94EF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B425AD">
              <w:rPr>
                <w:rFonts w:ascii="Times New Roman" w:hAnsi="Times New Roman"/>
              </w:rPr>
              <w:t>Linkages with and influences of public s</w:t>
            </w:r>
            <w:r>
              <w:rPr>
                <w:rFonts w:ascii="Times New Roman" w:hAnsi="Times New Roman"/>
              </w:rPr>
              <w:t>ystems (e.g., criminal justice</w:t>
            </w:r>
            <w:r w:rsidR="001F5D69">
              <w:rPr>
                <w:rFonts w:ascii="Times New Roman" w:hAnsi="Times New Roman"/>
              </w:rPr>
              <w:t>, TANF</w:t>
            </w:r>
            <w:r w:rsidR="000337D4">
              <w:rPr>
                <w:rFonts w:ascii="Times New Roman" w:hAnsi="Times New Roman"/>
              </w:rPr>
              <w:t>, court system</w:t>
            </w:r>
            <w:r w:rsidRPr="00B425AD">
              <w:rPr>
                <w:rFonts w:ascii="Times New Roman" w:hAnsi="Times New Roman"/>
              </w:rPr>
              <w:t>)</w:t>
            </w:r>
          </w:p>
          <w:p w:rsidR="005C2C84" w:rsidRPr="000337D4" w:rsidP="001F5D69" w14:paraId="28C35970" w14:textId="5ECFBF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Availability and quality of employment and other services in local community</w:t>
            </w:r>
          </w:p>
          <w:p w:rsidR="000337D4" w:rsidRPr="000337D4" w:rsidP="000337D4" w14:paraId="34096B7D" w14:textId="588FC66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 xml:space="preserve">Other state or community organizations providing any </w:t>
            </w:r>
            <w:r w:rsidR="007F753F">
              <w:rPr>
                <w:rFonts w:ascii="Times New Roman" w:hAnsi="Times New Roman"/>
              </w:rPr>
              <w:t>NextGen</w:t>
            </w:r>
            <w:r w:rsidRPr="000337D4">
              <w:rPr>
                <w:rFonts w:ascii="Times New Roman" w:hAnsi="Times New Roman"/>
              </w:rPr>
              <w:t xml:space="preserve">-like </w:t>
            </w:r>
            <w:r w:rsidRPr="000337D4" w:rsidR="00640E63">
              <w:rPr>
                <w:rFonts w:ascii="Times New Roman" w:hAnsi="Times New Roman"/>
              </w:rPr>
              <w:t>service</w:t>
            </w:r>
            <w:r w:rsidR="00640E63">
              <w:rPr>
                <w:rFonts w:ascii="Times New Roman" w:hAnsi="Times New Roman"/>
              </w:rPr>
              <w:t>s</w:t>
            </w:r>
            <w:r w:rsidRPr="000337D4">
              <w:rPr>
                <w:rFonts w:ascii="Times New Roman" w:hAnsi="Times New Roman"/>
              </w:rPr>
              <w:t xml:space="preserve">; how the services provided by these organizations differ from the </w:t>
            </w:r>
            <w:r w:rsidR="007F753F">
              <w:rPr>
                <w:rFonts w:ascii="Times New Roman" w:hAnsi="Times New Roman"/>
              </w:rPr>
              <w:t xml:space="preserve">NextGen demonstration </w:t>
            </w:r>
            <w:r w:rsidRPr="000337D4">
              <w:rPr>
                <w:rFonts w:ascii="Times New Roman" w:hAnsi="Times New Roman"/>
              </w:rPr>
              <w:t xml:space="preserve">program; whether and how these services may have affected the </w:t>
            </w:r>
            <w:r w:rsidR="007F753F">
              <w:rPr>
                <w:rFonts w:ascii="Times New Roman" w:hAnsi="Times New Roman"/>
              </w:rPr>
              <w:t>NextGen demonstration</w:t>
            </w:r>
            <w:r w:rsidRPr="000337D4">
              <w:rPr>
                <w:rFonts w:ascii="Times New Roman" w:hAnsi="Times New Roman"/>
              </w:rPr>
              <w:t xml:space="preserve"> program; and use of these other services by noncustodial parents</w:t>
            </w:r>
            <w:r w:rsidR="00E17F1A">
              <w:rPr>
                <w:rFonts w:ascii="Times New Roman" w:hAnsi="Times New Roman"/>
              </w:rPr>
              <w:t xml:space="preserve"> </w:t>
            </w:r>
          </w:p>
        </w:tc>
      </w:tr>
      <w:tr w14:paraId="33857EB0" w14:textId="77777777" w:rsidTr="009C38D7">
        <w:tblPrEx>
          <w:tblW w:w="10080" w:type="dxa"/>
          <w:tblInd w:w="-702" w:type="dxa"/>
          <w:tblLayout w:type="fixed"/>
          <w:tblLook w:val="04A0"/>
        </w:tblPrEx>
        <w:tc>
          <w:tcPr>
            <w:tcW w:w="1638" w:type="dxa"/>
          </w:tcPr>
          <w:p w:rsidR="005D52DC" w:rsidRPr="00B425AD" w:rsidP="00E321C6" w14:paraId="02669DD2" w14:textId="34C1DB75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 w:rsidRPr="00B425AD">
              <w:rPr>
                <w:rFonts w:ascii="Times New Roman" w:hAnsi="Times New Roman"/>
                <w:b/>
              </w:rPr>
              <w:t>Study Participant</w:t>
            </w:r>
            <w:r w:rsidRPr="00B425A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Selection </w:t>
            </w:r>
          </w:p>
        </w:tc>
        <w:tc>
          <w:tcPr>
            <w:tcW w:w="8442" w:type="dxa"/>
          </w:tcPr>
          <w:p w:rsidR="008540A4" w14:paraId="1D36EFE4" w14:textId="32992C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Applying eligibility criteria</w:t>
            </w:r>
            <w:r w:rsidR="006D2AAC">
              <w:rPr>
                <w:rFonts w:ascii="Times New Roman" w:hAnsi="Times New Roman"/>
              </w:rPr>
              <w:t xml:space="preserve"> and </w:t>
            </w:r>
            <w:r w:rsidR="008648C7">
              <w:rPr>
                <w:rFonts w:ascii="Times New Roman" w:hAnsi="Times New Roman"/>
              </w:rPr>
              <w:t>identification</w:t>
            </w:r>
            <w:r w:rsidR="006D2AAC">
              <w:rPr>
                <w:rFonts w:ascii="Times New Roman" w:hAnsi="Times New Roman"/>
              </w:rPr>
              <w:t xml:space="preserve"> </w:t>
            </w:r>
            <w:r w:rsidR="008648C7">
              <w:rPr>
                <w:rFonts w:ascii="Times New Roman" w:hAnsi="Times New Roman"/>
              </w:rPr>
              <w:t xml:space="preserve">of </w:t>
            </w:r>
            <w:r w:rsidR="006D2AAC">
              <w:rPr>
                <w:rFonts w:ascii="Times New Roman" w:hAnsi="Times New Roman"/>
              </w:rPr>
              <w:t xml:space="preserve">participants for </w:t>
            </w:r>
            <w:r w:rsidR="008648C7">
              <w:rPr>
                <w:rFonts w:ascii="Times New Roman" w:hAnsi="Times New Roman"/>
              </w:rPr>
              <w:t>NextGen</w:t>
            </w:r>
            <w:r w:rsidR="002B2A43">
              <w:rPr>
                <w:rFonts w:ascii="Times New Roman" w:hAnsi="Times New Roman"/>
              </w:rPr>
              <w:t xml:space="preserve"> and rationale</w:t>
            </w:r>
          </w:p>
          <w:p w:rsidR="005D52DC" w:rsidRPr="00B425AD" w14:paraId="35C13F8E" w14:textId="61040A7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B425AD">
              <w:rPr>
                <w:rFonts w:ascii="Times New Roman" w:hAnsi="Times New Roman"/>
              </w:rPr>
              <w:t xml:space="preserve">Description of the </w:t>
            </w:r>
            <w:r>
              <w:rPr>
                <w:rFonts w:ascii="Times New Roman" w:hAnsi="Times New Roman"/>
              </w:rPr>
              <w:t>process</w:t>
            </w:r>
            <w:r w:rsidR="008648C7">
              <w:rPr>
                <w:rFonts w:ascii="Times New Roman" w:hAnsi="Times New Roman"/>
              </w:rPr>
              <w:t>es and strategies</w:t>
            </w:r>
            <w:r>
              <w:rPr>
                <w:rFonts w:ascii="Times New Roman" w:hAnsi="Times New Roman"/>
              </w:rPr>
              <w:t xml:space="preserve"> </w:t>
            </w:r>
            <w:r w:rsidRPr="00B425AD">
              <w:rPr>
                <w:rFonts w:ascii="Times New Roman" w:hAnsi="Times New Roman"/>
              </w:rPr>
              <w:t xml:space="preserve">used </w:t>
            </w:r>
            <w:r w:rsidR="008648C7">
              <w:rPr>
                <w:rFonts w:ascii="Times New Roman" w:hAnsi="Times New Roman"/>
              </w:rPr>
              <w:t>to recruit</w:t>
            </w:r>
            <w:r w:rsidR="002B2A43">
              <w:rPr>
                <w:rFonts w:ascii="Times New Roman" w:hAnsi="Times New Roman"/>
              </w:rPr>
              <w:t xml:space="preserve"> and enroll</w:t>
            </w:r>
            <w:r>
              <w:rPr>
                <w:rFonts w:ascii="Times New Roman" w:hAnsi="Times New Roman"/>
              </w:rPr>
              <w:t xml:space="preserve"> </w:t>
            </w:r>
            <w:r w:rsidR="008648C7">
              <w:rPr>
                <w:rFonts w:ascii="Times New Roman" w:hAnsi="Times New Roman"/>
              </w:rPr>
              <w:t>NextGen participant, changes over time</w:t>
            </w:r>
            <w:r w:rsidR="002B2A43">
              <w:rPr>
                <w:rFonts w:ascii="Times New Roman" w:hAnsi="Times New Roman"/>
              </w:rPr>
              <w:t>, challenges, and effective strategies for recruitment</w:t>
            </w:r>
          </w:p>
          <w:p w:rsidR="005D52DC" w:rsidP="00DC5976" w14:paraId="533C88DF" w14:textId="72480E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B425AD">
              <w:rPr>
                <w:rFonts w:ascii="Times New Roman" w:hAnsi="Times New Roman"/>
              </w:rPr>
              <w:t xml:space="preserve">Description of the characteristics of </w:t>
            </w:r>
            <w:r w:rsidR="002B2A43">
              <w:rPr>
                <w:rFonts w:ascii="Times New Roman" w:hAnsi="Times New Roman"/>
              </w:rPr>
              <w:t>NextGen</w:t>
            </w:r>
            <w:r>
              <w:rPr>
                <w:rFonts w:ascii="Times New Roman" w:hAnsi="Times New Roman"/>
              </w:rPr>
              <w:t xml:space="preserve"> </w:t>
            </w:r>
            <w:r w:rsidR="005C2C84">
              <w:rPr>
                <w:rFonts w:ascii="Times New Roman" w:hAnsi="Times New Roman"/>
              </w:rPr>
              <w:t>participants</w:t>
            </w:r>
            <w:r w:rsidR="008540A4">
              <w:rPr>
                <w:rFonts w:ascii="Times New Roman" w:hAnsi="Times New Roman"/>
              </w:rPr>
              <w:t xml:space="preserve">, anticipated </w:t>
            </w:r>
            <w:r w:rsidR="00187219">
              <w:rPr>
                <w:rFonts w:ascii="Times New Roman" w:hAnsi="Times New Roman"/>
              </w:rPr>
              <w:t xml:space="preserve">service </w:t>
            </w:r>
            <w:r w:rsidR="008540A4">
              <w:rPr>
                <w:rFonts w:ascii="Times New Roman" w:hAnsi="Times New Roman"/>
              </w:rPr>
              <w:t>needs, and barriers to child support payment</w:t>
            </w:r>
          </w:p>
          <w:p w:rsidR="008540A4" w:rsidRPr="00DC5976" w:rsidP="00DC5976" w14:paraId="2EF2CBE9" w14:textId="521329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of study enrollment</w:t>
            </w:r>
          </w:p>
        </w:tc>
      </w:tr>
      <w:tr w14:paraId="582E69CF" w14:textId="77777777" w:rsidTr="009C38D7">
        <w:tblPrEx>
          <w:tblW w:w="10080" w:type="dxa"/>
          <w:tblInd w:w="-702" w:type="dxa"/>
          <w:tblLayout w:type="fixed"/>
          <w:tblLook w:val="04A0"/>
        </w:tblPrEx>
        <w:trPr>
          <w:trHeight w:val="300"/>
        </w:trPr>
        <w:tc>
          <w:tcPr>
            <w:tcW w:w="1638" w:type="dxa"/>
          </w:tcPr>
          <w:p w:rsidR="1BB395BB" w:rsidP="1BB395BB" w14:paraId="045368AD" w14:textId="236223CB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 w:rsidRPr="1BB395BB">
              <w:rPr>
                <w:rFonts w:ascii="Times New Roman" w:hAnsi="Times New Roman"/>
                <w:b/>
                <w:bCs/>
              </w:rPr>
              <w:t>Target Outcomes</w:t>
            </w:r>
          </w:p>
        </w:tc>
        <w:tc>
          <w:tcPr>
            <w:tcW w:w="8442" w:type="dxa"/>
          </w:tcPr>
          <w:p w:rsidR="1BB395BB" w:rsidP="1BB395BB" w14:paraId="65478FA8" w14:textId="5FED6F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Goals for NextGen program</w:t>
            </w:r>
          </w:p>
          <w:p w:rsidR="1BB395BB" w:rsidP="1BB395BB" w14:paraId="544D5236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Expected outcomes for noncustodial parents, how planned services will contribute to these outcomes, and anticipated length of program participation needed to achieve outcomes</w:t>
            </w:r>
          </w:p>
          <w:p w:rsidR="1BB395BB" w:rsidP="1BB395BB" w14:paraId="6749A09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Program approach to monitoring progress toward goals</w:t>
            </w:r>
          </w:p>
          <w:p w:rsidR="1BB395BB" w:rsidP="1BB395BB" w14:paraId="31FE4359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Program approach to communicating with partners about goals </w:t>
            </w:r>
          </w:p>
          <w:p w:rsidR="1BB395BB" w:rsidP="1BB395BB" w14:paraId="001EFA8A" w14:textId="64167E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Program approach to using data to improve performance and service delivery</w:t>
            </w:r>
          </w:p>
        </w:tc>
      </w:tr>
      <w:tr w14:paraId="639B3787" w14:textId="77777777" w:rsidTr="009C38D7">
        <w:tblPrEx>
          <w:tblW w:w="10080" w:type="dxa"/>
          <w:tblInd w:w="-702" w:type="dxa"/>
          <w:tblLayout w:type="fixed"/>
          <w:tblLook w:val="04A0"/>
        </w:tblPrEx>
        <w:trPr>
          <w:trHeight w:val="300"/>
        </w:trPr>
        <w:tc>
          <w:tcPr>
            <w:tcW w:w="1638" w:type="dxa"/>
          </w:tcPr>
          <w:p w:rsidR="1BB395BB" w:rsidP="1BB395BB" w14:paraId="45B22051" w14:textId="515605F3">
            <w:pPr>
              <w:pStyle w:val="TableText"/>
              <w:spacing w:before="60" w:beforeLines="25" w:after="60" w:afterLines="25"/>
              <w:rPr>
                <w:rFonts w:ascii="Times New Roman" w:hAnsi="Times New Roman"/>
                <w:sz w:val="22"/>
                <w:szCs w:val="22"/>
              </w:rPr>
            </w:pPr>
            <w:r w:rsidRPr="1BB395BB">
              <w:rPr>
                <w:rFonts w:ascii="Times New Roman" w:hAnsi="Times New Roman"/>
                <w:b/>
                <w:bCs/>
              </w:rPr>
              <w:t>Organizational Characteristics of NextGen child support agencies</w:t>
            </w:r>
          </w:p>
        </w:tc>
        <w:tc>
          <w:tcPr>
            <w:tcW w:w="8442" w:type="dxa"/>
          </w:tcPr>
          <w:p w:rsidR="1BB395BB" w:rsidP="1BB395BB" w14:paraId="1DCD566F" w14:textId="1D4980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Description of organizational structure and management (overall and for NextGen grant) including roles and responsibilities, staffing, supervision, training, etc.</w:t>
            </w:r>
          </w:p>
          <w:p w:rsidR="1BB395BB" w:rsidP="1BB395BB" w14:paraId="5B250142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Influence of organizational characteristics in service delivery implementation</w:t>
            </w:r>
          </w:p>
          <w:p w:rsidR="1BB395BB" w:rsidP="1BB395BB" w14:paraId="21AAAF69" w14:textId="1987F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Historical experience with employment services and other community service partnerships</w:t>
            </w:r>
          </w:p>
          <w:p w:rsidR="1BB395BB" w:rsidP="1BB395BB" w14:paraId="03089521" w14:textId="4AE82C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Organizational buy-in to NextGen approach, staff perceptions of nature of problems NextGen are designed to </w:t>
            </w:r>
            <w:r w:rsidRPr="1BB395BB">
              <w:rPr>
                <w:rFonts w:ascii="Times New Roman" w:hAnsi="Times New Roman"/>
              </w:rPr>
              <w:t>address,</w:t>
            </w:r>
            <w:r w:rsidRPr="1BB395BB">
              <w:rPr>
                <w:rFonts w:ascii="Times New Roman" w:hAnsi="Times New Roman"/>
              </w:rPr>
              <w:t xml:space="preserve"> whether NextGen services are aligned with addressing these problems, perceptions of usefulness of NextGen services for noncustodial parents</w:t>
            </w:r>
          </w:p>
          <w:p w:rsidR="1BB395BB" w:rsidP="1BB395BB" w14:paraId="382942FC" w14:textId="4265899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Nature of guidance from OCS</w:t>
            </w:r>
            <w:r w:rsidR="00424202">
              <w:rPr>
                <w:rFonts w:ascii="Times New Roman" w:hAnsi="Times New Roman"/>
              </w:rPr>
              <w:t>S</w:t>
            </w:r>
            <w:r w:rsidRPr="1BB395BB">
              <w:rPr>
                <w:rFonts w:ascii="Times New Roman" w:hAnsi="Times New Roman"/>
              </w:rPr>
              <w:t xml:space="preserve"> on program management; usefulness of guidance and need for additional guidance or support</w:t>
            </w:r>
          </w:p>
        </w:tc>
      </w:tr>
      <w:tr w14:paraId="65AA72A0" w14:textId="77777777" w:rsidTr="009C38D7">
        <w:tblPrEx>
          <w:tblW w:w="10080" w:type="dxa"/>
          <w:tblInd w:w="-702" w:type="dxa"/>
          <w:tblLayout w:type="fixed"/>
          <w:tblLook w:val="04A0"/>
        </w:tblPrEx>
        <w:trPr>
          <w:trHeight w:val="300"/>
        </w:trPr>
        <w:tc>
          <w:tcPr>
            <w:tcW w:w="1638" w:type="dxa"/>
          </w:tcPr>
          <w:p w:rsidR="00CA08E6" w:rsidRPr="1BB395BB" w:rsidP="1BB395BB" w14:paraId="5156F735" w14:textId="2993762C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NextGen services</w:t>
            </w:r>
          </w:p>
        </w:tc>
        <w:tc>
          <w:tcPr>
            <w:tcW w:w="8442" w:type="dxa"/>
          </w:tcPr>
          <w:p w:rsidR="00B45066" w:rsidRPr="009C38D7" w:rsidP="00B45066" w14:paraId="07D843C5" w14:textId="200954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A37AF4">
              <w:rPr>
                <w:rFonts w:ascii="Times New Roman" w:hAnsi="Times New Roman"/>
              </w:rPr>
              <w:t>Description of</w:t>
            </w:r>
            <w:r>
              <w:rPr>
                <w:rFonts w:ascii="Times New Roman" w:hAnsi="Times New Roman"/>
              </w:rPr>
              <w:t xml:space="preserve"> </w:t>
            </w:r>
            <w:r w:rsidR="00B8718C">
              <w:rPr>
                <w:rFonts w:ascii="Times New Roman" w:hAnsi="Times New Roman"/>
              </w:rPr>
              <w:t xml:space="preserve">NextGen child support related actions, including </w:t>
            </w:r>
            <w:r w:rsidR="004859DB">
              <w:rPr>
                <w:rFonts w:ascii="Times New Roman" w:hAnsi="Times New Roman"/>
              </w:rPr>
              <w:t xml:space="preserve">case review, </w:t>
            </w:r>
            <w:r>
              <w:rPr>
                <w:rFonts w:ascii="Times New Roman" w:hAnsi="Times New Roman"/>
              </w:rPr>
              <w:t xml:space="preserve">needs assessments, </w:t>
            </w:r>
            <w:r w:rsidR="006A292F">
              <w:rPr>
                <w:rFonts w:ascii="Times New Roman" w:hAnsi="Times New Roman"/>
              </w:rPr>
              <w:t xml:space="preserve">action plans, </w:t>
            </w:r>
            <w:r>
              <w:rPr>
                <w:rFonts w:ascii="Times New Roman" w:hAnsi="Times New Roman"/>
              </w:rPr>
              <w:t>enforcement actions,</w:t>
            </w:r>
            <w:r w:rsidR="007E0E4E">
              <w:rPr>
                <w:rFonts w:ascii="Times New Roman" w:hAnsi="Times New Roman"/>
              </w:rPr>
              <w:t xml:space="preserve"> </w:t>
            </w:r>
            <w:r w:rsidR="004859DB">
              <w:rPr>
                <w:rFonts w:ascii="Times New Roman" w:hAnsi="Times New Roman"/>
              </w:rPr>
              <w:t xml:space="preserve">suppression of enforcement actions, </w:t>
            </w:r>
            <w:r w:rsidR="00B560D5">
              <w:rPr>
                <w:rFonts w:ascii="Times New Roman" w:hAnsi="Times New Roman"/>
              </w:rPr>
              <w:t xml:space="preserve">support with parenting time orders, </w:t>
            </w:r>
            <w:r w:rsidR="007E0E4E">
              <w:rPr>
                <w:rFonts w:ascii="Times New Roman" w:hAnsi="Times New Roman"/>
              </w:rPr>
              <w:t xml:space="preserve">referrals, </w:t>
            </w:r>
            <w:r>
              <w:rPr>
                <w:rFonts w:ascii="Times New Roman" w:hAnsi="Times New Roman"/>
              </w:rPr>
              <w:t xml:space="preserve">and participant engagement with NextGen </w:t>
            </w:r>
          </w:p>
          <w:p w:rsidR="006B0FF0" w:rsidP="00094569" w14:paraId="51E94D3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Description of </w:t>
            </w:r>
            <w:r w:rsidR="00CB558A">
              <w:rPr>
                <w:rFonts w:ascii="Times New Roman" w:hAnsi="Times New Roman"/>
              </w:rPr>
              <w:t xml:space="preserve">NextGen </w:t>
            </w:r>
            <w:r w:rsidRPr="1BB395BB">
              <w:rPr>
                <w:rFonts w:ascii="Times New Roman" w:hAnsi="Times New Roman"/>
              </w:rPr>
              <w:t xml:space="preserve">employment services, including </w:t>
            </w:r>
            <w:r w:rsidR="00CB558A">
              <w:rPr>
                <w:rFonts w:ascii="Times New Roman" w:hAnsi="Times New Roman"/>
              </w:rPr>
              <w:t>job readiness assistance, job search, job placement, application support,</w:t>
            </w:r>
            <w:r>
              <w:rPr>
                <w:rFonts w:ascii="Times New Roman" w:hAnsi="Times New Roman"/>
              </w:rPr>
              <w:t xml:space="preserve"> job retention services, and other employment services </w:t>
            </w:r>
          </w:p>
          <w:p w:rsidR="00843FEA" w:rsidP="00843FEA" w14:paraId="7DAC509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Description of data tracking and performance management, </w:t>
            </w:r>
            <w:r w:rsidRPr="1BB395BB" w:rsidR="00094569">
              <w:rPr>
                <w:rFonts w:ascii="Times New Roman" w:hAnsi="Times New Roman"/>
              </w:rPr>
              <w:t xml:space="preserve">ongoing communication or case staffing between </w:t>
            </w:r>
            <w:r>
              <w:rPr>
                <w:rFonts w:ascii="Times New Roman" w:hAnsi="Times New Roman"/>
              </w:rPr>
              <w:t xml:space="preserve">child support, </w:t>
            </w:r>
            <w:r w:rsidRPr="1BB395BB" w:rsidR="00094569">
              <w:rPr>
                <w:rFonts w:ascii="Times New Roman" w:hAnsi="Times New Roman"/>
              </w:rPr>
              <w:t>employment service providers</w:t>
            </w:r>
            <w:r>
              <w:rPr>
                <w:rFonts w:ascii="Times New Roman" w:hAnsi="Times New Roman"/>
              </w:rPr>
              <w:t>, and other service providers</w:t>
            </w:r>
          </w:p>
          <w:p w:rsidR="006A292F" w:rsidP="00715E38" w14:paraId="69F7AF9B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Description of other supportive services, including </w:t>
            </w:r>
            <w:r>
              <w:rPr>
                <w:rFonts w:ascii="Times New Roman" w:hAnsi="Times New Roman"/>
              </w:rPr>
              <w:t>legal services, parenting or fatherhood support</w:t>
            </w:r>
            <w:r w:rsidR="008B50B1">
              <w:rPr>
                <w:rFonts w:ascii="Times New Roman" w:hAnsi="Times New Roman"/>
              </w:rPr>
              <w:t xml:space="preserve">, physical or mental health services, </w:t>
            </w:r>
            <w:r>
              <w:rPr>
                <w:rFonts w:ascii="Times New Roman" w:hAnsi="Times New Roman"/>
              </w:rPr>
              <w:t>financial supports, benefits or other social services, and other services</w:t>
            </w:r>
          </w:p>
          <w:p w:rsidR="00CA08E6" w:rsidRPr="00630719" w:rsidP="00630719" w14:paraId="10569BFA" w14:textId="03ED15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Description of specific </w:t>
            </w:r>
            <w:r w:rsidRPr="1BB395BB">
              <w:rPr>
                <w:rFonts w:ascii="Times New Roman" w:hAnsi="Times New Roman"/>
              </w:rPr>
              <w:t xml:space="preserve">adaptations for </w:t>
            </w:r>
            <w:r>
              <w:rPr>
                <w:rFonts w:ascii="Times New Roman" w:hAnsi="Times New Roman"/>
              </w:rPr>
              <w:t xml:space="preserve">NextGen </w:t>
            </w:r>
            <w:r w:rsidRPr="1BB395BB">
              <w:rPr>
                <w:rFonts w:ascii="Times New Roman" w:hAnsi="Times New Roman"/>
              </w:rPr>
              <w:t>service population</w:t>
            </w:r>
            <w:r>
              <w:rPr>
                <w:rFonts w:ascii="Times New Roman" w:hAnsi="Times New Roman"/>
              </w:rPr>
              <w:t xml:space="preserve"> and any changes over time</w:t>
            </w:r>
          </w:p>
        </w:tc>
      </w:tr>
      <w:tr w14:paraId="5EE01433" w14:textId="77777777" w:rsidTr="009C38D7">
        <w:tblPrEx>
          <w:tblW w:w="10080" w:type="dxa"/>
          <w:tblInd w:w="-702" w:type="dxa"/>
          <w:tblLayout w:type="fixed"/>
          <w:tblLook w:val="04A0"/>
        </w:tblPrEx>
        <w:trPr>
          <w:trHeight w:val="300"/>
        </w:trPr>
        <w:tc>
          <w:tcPr>
            <w:tcW w:w="1638" w:type="dxa"/>
          </w:tcPr>
          <w:p w:rsidR="217673E8" w:rsidP="1BB395BB" w14:paraId="0297FB20" w14:textId="6C9B4B16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Child support/partner provider relationship</w:t>
            </w:r>
            <w:r w:rsidRPr="1BB395BB">
              <w:rPr>
                <w:rFonts w:ascii="Times New Roman" w:hAnsi="Times New Roman"/>
                <w:b/>
                <w:bCs/>
              </w:rPr>
              <w:t>s</w:t>
            </w:r>
          </w:p>
          <w:p w:rsidR="1BB395BB" w:rsidP="1BB395BB" w14:paraId="76FC33B1" w14:textId="051A383D">
            <w:pPr>
              <w:pStyle w:val="TableTex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2" w:type="dxa"/>
          </w:tcPr>
          <w:p w:rsidR="217673E8" w:rsidP="009C38D7" w14:paraId="526D470A" w14:textId="6E9E30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Description of partner agencies, including services offered, mission, history, background, organizational structure, and management</w:t>
            </w:r>
          </w:p>
          <w:p w:rsidR="217673E8" w:rsidP="009C38D7" w14:paraId="5D29E5F3" w14:textId="5A726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Description of service delivery partnerships, including type of referrals made, follow-up processes, frequency of referrals, reverse referrals when applicable </w:t>
            </w:r>
          </w:p>
          <w:p w:rsidR="217673E8" w:rsidP="009C38D7" w14:paraId="4F42EF0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Description of overall partnership between child support and employment service providers</w:t>
            </w:r>
          </w:p>
          <w:p w:rsidR="217673E8" w:rsidP="009C38D7" w14:paraId="416B42E9" w14:textId="63FF61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Description of overall partnership between child support and partner agencies; </w:t>
            </w:r>
            <w:r w:rsidRPr="1BB395BB">
              <w:rPr>
                <w:rFonts w:ascii="Times New Roman" w:hAnsi="Times New Roman"/>
              </w:rPr>
              <w:t>benefits and challenges of partnerships; successful strategies for developing partnerships</w:t>
            </w:r>
          </w:p>
          <w:p w:rsidR="217673E8" w:rsidP="009C38D7" w14:paraId="7E5392B7" w14:textId="641FA3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Challenges, successes, and lessons learned</w:t>
            </w:r>
          </w:p>
          <w:p w:rsidR="217673E8" w:rsidP="009C38D7" w14:paraId="5482C72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Extent to which services are available and accessible in the community</w:t>
            </w:r>
          </w:p>
          <w:p w:rsidR="217673E8" w:rsidP="009C38D7" w14:paraId="0CEB9F4E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Extent to which participants follow up on referrals and take up services</w:t>
            </w:r>
          </w:p>
          <w:p w:rsidR="217673E8" w:rsidP="009C38D7" w14:paraId="5CEBE78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Any specific approaches in delivering program components </w:t>
            </w:r>
          </w:p>
          <w:p w:rsidR="217673E8" w:rsidP="009C38D7" w14:paraId="56A1312B" w14:textId="26EE2C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Review of specific cases to walk through service delivery approaches</w:t>
            </w:r>
          </w:p>
        </w:tc>
      </w:tr>
      <w:tr w14:paraId="6159630E" w14:textId="77777777" w:rsidTr="009C38D7">
        <w:tblPrEx>
          <w:tblW w:w="10080" w:type="dxa"/>
          <w:tblInd w:w="-702" w:type="dxa"/>
          <w:tblLayout w:type="fixed"/>
          <w:tblLook w:val="04A0"/>
        </w:tblPrEx>
        <w:tc>
          <w:tcPr>
            <w:tcW w:w="1638" w:type="dxa"/>
          </w:tcPr>
          <w:p w:rsidR="1BB395BB" w:rsidP="1BB395BB" w14:paraId="4BD2487D" w14:textId="368448B7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 w:rsidRPr="1BB395BB">
              <w:rPr>
                <w:rFonts w:ascii="Times New Roman" w:hAnsi="Times New Roman"/>
                <w:b/>
                <w:bCs/>
              </w:rPr>
              <w:t>Implementation Systems Supporting NextGen (technical assistance)</w:t>
            </w:r>
          </w:p>
        </w:tc>
        <w:tc>
          <w:tcPr>
            <w:tcW w:w="8442" w:type="dxa"/>
          </w:tcPr>
          <w:p w:rsidR="1BB395BB" w:rsidP="1BB395BB" w14:paraId="0A1849B5" w14:textId="3A6B8F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Description of NextGen staff roles in delivering services and activities</w:t>
            </w:r>
          </w:p>
          <w:p w:rsidR="1BB395BB" w:rsidP="1BB395BB" w14:paraId="346AD2AA" w14:textId="11C9EB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NextGen staff selection and training, staff development, information system infrastructure</w:t>
            </w:r>
          </w:p>
          <w:p w:rsidR="1BB395BB" w:rsidP="1BB395BB" w14:paraId="167ED75F" w14:textId="662D54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Use of NextGen technical assistance</w:t>
            </w:r>
          </w:p>
          <w:p w:rsidR="1BB395BB" w:rsidP="1BB395BB" w14:paraId="25C1998B" w14:textId="6A168B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Organizational climate and culture influence on NextGen implementation</w:t>
            </w:r>
          </w:p>
          <w:p w:rsidR="1BB395BB" w:rsidP="1BB395BB" w14:paraId="3841CEBA" w14:textId="21C8FD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 xml:space="preserve">Processes used to adopt or modify existing NextGen service components or implementation systems </w:t>
            </w:r>
          </w:p>
          <w:p w:rsidR="00C33925" w:rsidRPr="009C38D7" w:rsidP="00C33925" w14:paraId="5F6C1845" w14:textId="4D7855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1BB395BB">
              <w:rPr>
                <w:rFonts w:ascii="Times New Roman" w:hAnsi="Times New Roman"/>
              </w:rPr>
              <w:t>Use of data systems (including project MIS) to track program participation and services, monitor progress toward goals</w:t>
            </w:r>
            <w:r w:rsidRPr="1BB395BB" w:rsidR="00B45969">
              <w:rPr>
                <w:rFonts w:ascii="Times New Roman" w:hAnsi="Times New Roman"/>
              </w:rPr>
              <w:t>, and oversee</w:t>
            </w:r>
            <w:r w:rsidRPr="1BB395BB">
              <w:rPr>
                <w:rFonts w:ascii="Times New Roman" w:hAnsi="Times New Roman"/>
              </w:rPr>
              <w:t xml:space="preserve"> partner performanc</w:t>
            </w:r>
            <w:r w:rsidR="00B45969">
              <w:rPr>
                <w:rFonts w:ascii="Times New Roman" w:hAnsi="Times New Roman"/>
              </w:rPr>
              <w:t>e</w:t>
            </w:r>
          </w:p>
          <w:p w:rsidR="1BB395BB" w:rsidRPr="00C33925" w:rsidP="009C38D7" w14:paraId="3CDA8E91" w14:textId="2834ED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rPr>
                <w:sz w:val="22"/>
                <w:szCs w:val="22"/>
              </w:rPr>
            </w:pPr>
            <w:r w:rsidRPr="009C38D7">
              <w:rPr>
                <w:rFonts w:ascii="Times New Roman" w:hAnsi="Times New Roman"/>
              </w:rPr>
              <w:t>Helpfulness of management information system designed for NextGen, helpfulness of technical assistance for using MIS</w:t>
            </w:r>
          </w:p>
        </w:tc>
      </w:tr>
      <w:tr w14:paraId="34205409" w14:textId="77777777" w:rsidTr="009C38D7">
        <w:tblPrEx>
          <w:tblW w:w="10080" w:type="dxa"/>
          <w:tblInd w:w="-702" w:type="dxa"/>
          <w:tblLayout w:type="fixed"/>
          <w:tblLook w:val="04A0"/>
        </w:tblPrEx>
        <w:trPr>
          <w:trHeight w:val="1935"/>
        </w:trPr>
        <w:tc>
          <w:tcPr>
            <w:tcW w:w="1638" w:type="dxa"/>
          </w:tcPr>
          <w:p w:rsidR="000337D4" w:rsidP="00756FA9" w14:paraId="6977F9D1" w14:textId="5744B862">
            <w:pPr>
              <w:pStyle w:val="TableText"/>
              <w:spacing w:before="60" w:beforeLines="25" w:after="60" w:afterLines="2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Program participation</w:t>
            </w:r>
          </w:p>
        </w:tc>
        <w:tc>
          <w:tcPr>
            <w:tcW w:w="8442" w:type="dxa"/>
          </w:tcPr>
          <w:p w:rsidR="000337D4" w:rsidRPr="000337D4" w:rsidP="000337D4" w14:paraId="7DF6CE0C" w14:textId="56FC3B3C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0337D4">
              <w:rPr>
                <w:rFonts w:ascii="Times New Roman" w:hAnsi="Times New Roman"/>
                <w:noProof w:val="0"/>
                <w:sz w:val="24"/>
              </w:rPr>
              <w:t>Criteria used by staff for terminating services to a participant</w:t>
            </w:r>
            <w:r>
              <w:rPr>
                <w:rFonts w:ascii="Times New Roman" w:hAnsi="Times New Roman"/>
                <w:noProof w:val="0"/>
                <w:sz w:val="24"/>
              </w:rPr>
              <w:t xml:space="preserve"> and </w:t>
            </w:r>
            <w:r w:rsidR="00BA3B66">
              <w:rPr>
                <w:rFonts w:ascii="Times New Roman" w:hAnsi="Times New Roman"/>
                <w:noProof w:val="0"/>
                <w:sz w:val="24"/>
              </w:rPr>
              <w:t>any follow-up actions, including enforcement actions</w:t>
            </w:r>
          </w:p>
          <w:p w:rsidR="000337D4" w:rsidRPr="000337D4" w:rsidP="000337D4" w14:paraId="4466B8ED" w14:textId="77777777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0337D4">
              <w:rPr>
                <w:rFonts w:ascii="Times New Roman" w:hAnsi="Times New Roman"/>
                <w:noProof w:val="0"/>
                <w:sz w:val="24"/>
              </w:rPr>
              <w:t>Challenges to promoting sustained participation</w:t>
            </w:r>
          </w:p>
          <w:p w:rsidR="000337D4" w:rsidRPr="000337D4" w:rsidP="000337D4" w14:paraId="33D13EEE" w14:textId="77777777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0337D4">
              <w:rPr>
                <w:rFonts w:ascii="Times New Roman" w:hAnsi="Times New Roman"/>
                <w:noProof w:val="0"/>
                <w:sz w:val="24"/>
              </w:rPr>
              <w:t xml:space="preserve">Strategies used to encourage initial and ongoing participation; perceived success of each strategy; new strategies under consideration to encourage participation </w:t>
            </w:r>
          </w:p>
          <w:p w:rsidR="00A73247" w:rsidP="00A73247" w14:paraId="2B839E9D" w14:textId="77777777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0337D4">
              <w:rPr>
                <w:rFonts w:ascii="Times New Roman" w:hAnsi="Times New Roman"/>
                <w:noProof w:val="0"/>
                <w:sz w:val="24"/>
              </w:rPr>
              <w:t>Incentives used to encourage participation in services; types of incentives; timing and frequency of incentives; staff perceptions about which incentives appear to best promote participation</w:t>
            </w:r>
          </w:p>
          <w:p w:rsidR="00A73247" w:rsidRPr="00A73247" w:rsidP="00A73247" w14:paraId="5C1BD46C" w14:textId="2E486CD3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A73247">
              <w:rPr>
                <w:rFonts w:ascii="Times New Roman" w:hAnsi="Times New Roman"/>
                <w:noProof w:val="0"/>
                <w:sz w:val="24"/>
              </w:rPr>
              <w:t xml:space="preserve">Staff perceptions about </w:t>
            </w:r>
            <w:r w:rsidRPr="00A73247">
              <w:rPr>
                <w:rFonts w:ascii="Times New Roman" w:hAnsi="Times New Roman"/>
                <w:noProof w:val="0"/>
                <w:sz w:val="24"/>
              </w:rPr>
              <w:t>particular services</w:t>
            </w:r>
            <w:r w:rsidRPr="00A73247">
              <w:rPr>
                <w:rFonts w:ascii="Times New Roman" w:hAnsi="Times New Roman"/>
                <w:noProof w:val="0"/>
                <w:sz w:val="24"/>
              </w:rPr>
              <w:t xml:space="preserve"> that appear most and less effective or engaging to parents</w:t>
            </w:r>
          </w:p>
          <w:p w:rsidR="000337D4" w:rsidRPr="009C38D7" w:rsidP="00A73247" w14:paraId="18FBB932" w14:textId="55A3A5EE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sz w:val="24"/>
              </w:rPr>
            </w:pPr>
            <w:r w:rsidRPr="00A73247">
              <w:rPr>
                <w:rFonts w:ascii="Times New Roman" w:hAnsi="Times New Roman"/>
                <w:noProof w:val="0"/>
                <w:sz w:val="24"/>
              </w:rPr>
              <w:t>Staff perceptions</w:t>
            </w:r>
            <w:r w:rsidRPr="009C38D7">
              <w:rPr>
                <w:rFonts w:ascii="Times New Roman" w:hAnsi="Times New Roman"/>
                <w:sz w:val="24"/>
              </w:rPr>
              <w:t xml:space="preserve"> about particular subgroups of noncustodial parents who appear most and least responsive to </w:t>
            </w:r>
            <w:r w:rsidRPr="009C38D7" w:rsidR="00A73247">
              <w:rPr>
                <w:rFonts w:ascii="Times New Roman" w:hAnsi="Times New Roman"/>
                <w:sz w:val="24"/>
              </w:rPr>
              <w:t>program services</w:t>
            </w:r>
          </w:p>
          <w:p w:rsidR="000337D4" w:rsidRPr="000337D4" w:rsidP="000337D4" w14:paraId="6C3CBBC8" w14:textId="12930E7F">
            <w:pPr>
              <w:pStyle w:val="TOC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hAnsi="Times New Roman"/>
                <w:noProof w:val="0"/>
                <w:sz w:val="24"/>
              </w:rPr>
            </w:pPr>
            <w:r w:rsidRPr="000337D4">
              <w:rPr>
                <w:rFonts w:ascii="Times New Roman" w:hAnsi="Times New Roman"/>
                <w:noProof w:val="0"/>
                <w:sz w:val="24"/>
              </w:rPr>
              <w:t>Strategies use</w:t>
            </w:r>
            <w:r w:rsidR="00EE2318">
              <w:rPr>
                <w:rFonts w:ascii="Times New Roman" w:hAnsi="Times New Roman"/>
                <w:noProof w:val="0"/>
                <w:sz w:val="24"/>
              </w:rPr>
              <w:t>d</w:t>
            </w:r>
            <w:r w:rsidRPr="000337D4">
              <w:rPr>
                <w:rFonts w:ascii="Times New Roman" w:hAnsi="Times New Roman"/>
                <w:noProof w:val="0"/>
                <w:sz w:val="24"/>
              </w:rPr>
              <w:t xml:space="preserve"> to re-engage </w:t>
            </w:r>
            <w:r>
              <w:rPr>
                <w:rFonts w:ascii="Times New Roman" w:hAnsi="Times New Roman"/>
                <w:noProof w:val="0"/>
                <w:sz w:val="24"/>
              </w:rPr>
              <w:t>noncustodial parents</w:t>
            </w:r>
            <w:r w:rsidRPr="000337D4">
              <w:rPr>
                <w:rFonts w:ascii="Times New Roman" w:hAnsi="Times New Roman"/>
                <w:noProof w:val="0"/>
                <w:sz w:val="24"/>
              </w:rPr>
              <w:t xml:space="preserve"> who have stopped participating; which partners are involved; point at which st</w:t>
            </w:r>
            <w:r>
              <w:rPr>
                <w:rFonts w:ascii="Times New Roman" w:hAnsi="Times New Roman"/>
                <w:noProof w:val="0"/>
                <w:sz w:val="24"/>
              </w:rPr>
              <w:t>aff cease attempts to re-engage</w:t>
            </w:r>
          </w:p>
          <w:p w:rsidR="000337D4" w:rsidP="000337D4" w14:paraId="3AB7B179" w14:textId="70FCEAD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Any changes to these strategies over time and rationale for changes</w:t>
            </w:r>
          </w:p>
        </w:tc>
      </w:tr>
      <w:tr w14:paraId="4C998F5E" w14:textId="77777777" w:rsidTr="009C38D7">
        <w:tblPrEx>
          <w:tblW w:w="10080" w:type="dxa"/>
          <w:tblInd w:w="-702" w:type="dxa"/>
          <w:tblLayout w:type="fixed"/>
          <w:tblLook w:val="04A0"/>
        </w:tblPrEx>
        <w:trPr>
          <w:cantSplit/>
          <w:trHeight w:val="539"/>
        </w:trPr>
        <w:tc>
          <w:tcPr>
            <w:tcW w:w="1638" w:type="dxa"/>
          </w:tcPr>
          <w:p w:rsidR="00A37AF4" w:rsidRPr="00B425AD" w14:paraId="061F717D" w14:textId="6B223EFD">
            <w:pPr>
              <w:pStyle w:val="TableText"/>
              <w:spacing w:before="60" w:beforeLines="25" w:after="60" w:afterLines="25"/>
              <w:rPr>
                <w:rFonts w:ascii="Times New Roman" w:hAnsi="Times New Roman"/>
                <w:sz w:val="22"/>
                <w:szCs w:val="22"/>
              </w:rPr>
            </w:pPr>
            <w:r w:rsidRPr="00B425AD">
              <w:rPr>
                <w:rFonts w:ascii="Times New Roman" w:hAnsi="Times New Roman"/>
                <w:b/>
                <w:bCs/>
              </w:rPr>
              <w:t>Implementation Challenges and Lessons</w:t>
            </w:r>
          </w:p>
        </w:tc>
        <w:tc>
          <w:tcPr>
            <w:tcW w:w="8442" w:type="dxa"/>
          </w:tcPr>
          <w:p w:rsidR="00A37AF4" w:rsidRPr="00B425AD" w14:paraId="7F518DB7" w14:textId="7D2752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B425AD">
              <w:rPr>
                <w:rFonts w:ascii="Times New Roman" w:hAnsi="Times New Roman"/>
              </w:rPr>
              <w:t>Best practices and lessons for replication</w:t>
            </w:r>
          </w:p>
          <w:p w:rsidR="00A37AF4" w:rsidRPr="00E321C6" w:rsidP="00F66283" w14:paraId="30452EE0" w14:textId="42E15CC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 w:rsidRPr="00B425AD">
              <w:rPr>
                <w:rFonts w:ascii="Times New Roman" w:hAnsi="Times New Roman"/>
              </w:rPr>
              <w:t xml:space="preserve">Challenges in operating </w:t>
            </w:r>
            <w:r w:rsidR="007D48E6">
              <w:rPr>
                <w:rFonts w:ascii="Times New Roman" w:hAnsi="Times New Roman"/>
              </w:rPr>
              <w:t>NextGen demonstration program</w:t>
            </w:r>
            <w:r w:rsidRPr="00B425AD">
              <w:rPr>
                <w:rFonts w:ascii="Times New Roman" w:hAnsi="Times New Roman"/>
              </w:rPr>
              <w:t xml:space="preserve"> and meeting goals</w:t>
            </w:r>
          </w:p>
          <w:p w:rsidR="00E321C6" w:rsidRPr="00E321C6" w:rsidP="00F66283" w14:paraId="513BFCDC" w14:textId="0560666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Strategies to address challenges</w:t>
            </w:r>
          </w:p>
          <w:p w:rsidR="00E321C6" w:rsidRPr="00742543" w:rsidP="00E321C6" w14:paraId="2FBB5DDE" w14:textId="602532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Modifications to implementation plans that have occurred since </w:t>
            </w:r>
            <w:r w:rsidR="007D48E6">
              <w:rPr>
                <w:rFonts w:ascii="Times New Roman" w:hAnsi="Times New Roman"/>
              </w:rPr>
              <w:t>NextGen</w:t>
            </w:r>
            <w:r>
              <w:rPr>
                <w:rFonts w:ascii="Times New Roman" w:hAnsi="Times New Roman"/>
              </w:rPr>
              <w:t xml:space="preserve"> began; why modification was necessary, timeline for monitoring and roll-out, how changes affected service delivery</w:t>
            </w:r>
          </w:p>
          <w:p w:rsidR="00E321C6" w:rsidRPr="000337D4" w:rsidP="00E321C6" w14:paraId="0AACAE8D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Potential future modifications to the implementation plan</w:t>
            </w:r>
          </w:p>
          <w:p w:rsidR="000337D4" w:rsidRPr="000337D4" w:rsidP="000337D4" w14:paraId="55A5A344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Identification of significant gaps between the services participants need and those offered by the demonstration</w:t>
            </w:r>
          </w:p>
          <w:p w:rsidR="000337D4" w:rsidRPr="000337D4" w:rsidP="000337D4" w14:paraId="4E755972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Lessons learned about facilitators and barriers to making changes in child support policy and practice</w:t>
            </w:r>
          </w:p>
          <w:p w:rsidR="000337D4" w:rsidRPr="000337D4" w:rsidP="000337D4" w14:paraId="06F539EB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Changes informants would make to the demonstration if they were starting over</w:t>
            </w:r>
          </w:p>
          <w:p w:rsidR="000337D4" w:rsidRPr="000337D4" w:rsidP="000337D4" w14:paraId="08BB9523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Most important strengths of the demonstration</w:t>
            </w:r>
          </w:p>
          <w:p w:rsidR="000337D4" w:rsidRPr="000337D4" w:rsidP="000337D4" w14:paraId="1F550C00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Most important lessons learned about implementing the demonstration</w:t>
            </w:r>
          </w:p>
          <w:p w:rsidR="000337D4" w:rsidRPr="000337D4" w:rsidP="000337D4" w14:paraId="5818DB15" w14:textId="1681AE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0337D4">
              <w:rPr>
                <w:rFonts w:ascii="Times New Roman" w:hAnsi="Times New Roman"/>
              </w:rPr>
              <w:t>Suggestions for how OSCE can best support and encourage child support agency leadership to adopt innovations in child support policy and practice</w:t>
            </w:r>
          </w:p>
        </w:tc>
      </w:tr>
    </w:tbl>
    <w:p w:rsidR="00702655" w14:paraId="1267C553" w14:textId="77777777"/>
    <w:sectPr w:rsidSect="00E11D7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1BEC" w:rsidRPr="00AE5E0B" w:rsidP="00BD6AB4" w14:paraId="5F5EA465" w14:textId="0635F706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>
      <w:rPr>
        <w:szCs w:val="22"/>
      </w:rPr>
      <w:t>XXXX</w:t>
    </w:r>
    <w:r w:rsidRPr="00AE5E0B">
      <w:rPr>
        <w:szCs w:val="22"/>
      </w:rPr>
      <w:t>-</w:t>
    </w:r>
    <w:r>
      <w:rPr>
        <w:szCs w:val="22"/>
      </w:rPr>
      <w:t>XXXX</w:t>
    </w:r>
  </w:p>
  <w:p w:rsidR="00FE1BEC" w:rsidRPr="00BD6AB4" w14:paraId="07CAC6A8" w14:textId="6DA3846A">
    <w:pPr>
      <w:pStyle w:val="Header"/>
      <w:rPr>
        <w:szCs w:val="22"/>
      </w:rPr>
    </w:pPr>
    <w:r w:rsidRPr="00AE5E0B">
      <w:rPr>
        <w:szCs w:val="22"/>
      </w:rPr>
      <w:tab/>
    </w:r>
    <w:r w:rsidRPr="00AE5E0B">
      <w:rPr>
        <w:szCs w:val="22"/>
      </w:rPr>
      <w:tab/>
    </w:r>
    <w:r>
      <w:rPr>
        <w:szCs w:val="22"/>
      </w:rPr>
      <w:t>EXPIRATION</w:t>
    </w:r>
    <w:r w:rsidR="004C5DCD">
      <w:rPr>
        <w:szCs w:val="22"/>
      </w:rPr>
      <w:t xml:space="preserve"> DATE</w:t>
    </w:r>
    <w:r>
      <w:rPr>
        <w:szCs w:val="22"/>
      </w:rPr>
      <w:t>: XX/XX/20</w:t>
    </w:r>
    <w:r w:rsidR="001C6ACA">
      <w:rPr>
        <w:szCs w:val="22"/>
      </w:rPr>
      <w:t>X</w:t>
    </w:r>
    <w:r>
      <w:rPr>
        <w:szCs w:val="22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C4BE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55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8AA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394E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216F70"/>
    <w:multiLevelType w:val="hybridMultilevel"/>
    <w:tmpl w:val="E08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76D2B"/>
    <w:multiLevelType w:val="hybridMultilevel"/>
    <w:tmpl w:val="B2609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E300E"/>
    <w:multiLevelType w:val="hybridMultilevel"/>
    <w:tmpl w:val="6F6A9D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2D81E4B"/>
    <w:multiLevelType w:val="hybridMultilevel"/>
    <w:tmpl w:val="C76E6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E189E"/>
    <w:multiLevelType w:val="hybridMultilevel"/>
    <w:tmpl w:val="58DEC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A79D1"/>
    <w:multiLevelType w:val="hybridMultilevel"/>
    <w:tmpl w:val="96B089C2"/>
    <w:lvl w:ilvl="0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4E333484"/>
    <w:multiLevelType w:val="hybridMultilevel"/>
    <w:tmpl w:val="D07EF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663A2"/>
    <w:multiLevelType w:val="hybridMultilevel"/>
    <w:tmpl w:val="3450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C760B"/>
    <w:multiLevelType w:val="hybridMultilevel"/>
    <w:tmpl w:val="A732D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66917">
    <w:abstractNumId w:val="3"/>
  </w:num>
  <w:num w:numId="2" w16cid:durableId="587813759">
    <w:abstractNumId w:val="2"/>
  </w:num>
  <w:num w:numId="3" w16cid:durableId="1443644176">
    <w:abstractNumId w:val="1"/>
  </w:num>
  <w:num w:numId="4" w16cid:durableId="2144615526">
    <w:abstractNumId w:val="0"/>
  </w:num>
  <w:num w:numId="5" w16cid:durableId="928267669">
    <w:abstractNumId w:val="13"/>
  </w:num>
  <w:num w:numId="6" w16cid:durableId="250241304">
    <w:abstractNumId w:val="9"/>
  </w:num>
  <w:num w:numId="7" w16cid:durableId="1243445930">
    <w:abstractNumId w:val="11"/>
  </w:num>
  <w:num w:numId="8" w16cid:durableId="295524339">
    <w:abstractNumId w:val="8"/>
  </w:num>
  <w:num w:numId="9" w16cid:durableId="841967354">
    <w:abstractNumId w:val="4"/>
  </w:num>
  <w:num w:numId="10" w16cid:durableId="912085473">
    <w:abstractNumId w:val="5"/>
  </w:num>
  <w:num w:numId="11" w16cid:durableId="671757746">
    <w:abstractNumId w:val="6"/>
  </w:num>
  <w:num w:numId="12" w16cid:durableId="1636837901">
    <w:abstractNumId w:val="10"/>
  </w:num>
  <w:num w:numId="13" w16cid:durableId="1201671424">
    <w:abstractNumId w:val="12"/>
  </w:num>
  <w:num w:numId="14" w16cid:durableId="1867985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20D61"/>
    <w:rsid w:val="00001D48"/>
    <w:rsid w:val="00014000"/>
    <w:rsid w:val="0002213A"/>
    <w:rsid w:val="00032CA4"/>
    <w:rsid w:val="000337D4"/>
    <w:rsid w:val="00033A18"/>
    <w:rsid w:val="0005087B"/>
    <w:rsid w:val="00066B93"/>
    <w:rsid w:val="00094569"/>
    <w:rsid w:val="000A1B3B"/>
    <w:rsid w:val="000A224D"/>
    <w:rsid w:val="000A63C2"/>
    <w:rsid w:val="000B4844"/>
    <w:rsid w:val="000B5FB9"/>
    <w:rsid w:val="000B6F94"/>
    <w:rsid w:val="000C3C9B"/>
    <w:rsid w:val="000C5B92"/>
    <w:rsid w:val="000D5CE8"/>
    <w:rsid w:val="0010285E"/>
    <w:rsid w:val="00111EDC"/>
    <w:rsid w:val="00134E38"/>
    <w:rsid w:val="00135D6D"/>
    <w:rsid w:val="0017406B"/>
    <w:rsid w:val="00187219"/>
    <w:rsid w:val="001918C5"/>
    <w:rsid w:val="00192584"/>
    <w:rsid w:val="001A2D56"/>
    <w:rsid w:val="001B4EA9"/>
    <w:rsid w:val="001C3352"/>
    <w:rsid w:val="001C6ACA"/>
    <w:rsid w:val="001E02A8"/>
    <w:rsid w:val="001F5D69"/>
    <w:rsid w:val="00212AF7"/>
    <w:rsid w:val="00223FD3"/>
    <w:rsid w:val="002531D0"/>
    <w:rsid w:val="00261702"/>
    <w:rsid w:val="00265646"/>
    <w:rsid w:val="002B2A43"/>
    <w:rsid w:val="002C0C2A"/>
    <w:rsid w:val="002F4DFF"/>
    <w:rsid w:val="00307446"/>
    <w:rsid w:val="0031138C"/>
    <w:rsid w:val="003203B8"/>
    <w:rsid w:val="00344546"/>
    <w:rsid w:val="00344B95"/>
    <w:rsid w:val="00372C0C"/>
    <w:rsid w:val="00373990"/>
    <w:rsid w:val="00375A3C"/>
    <w:rsid w:val="00382970"/>
    <w:rsid w:val="00387916"/>
    <w:rsid w:val="003A014B"/>
    <w:rsid w:val="003B2141"/>
    <w:rsid w:val="003C2119"/>
    <w:rsid w:val="003D647E"/>
    <w:rsid w:val="00404497"/>
    <w:rsid w:val="00410294"/>
    <w:rsid w:val="00416623"/>
    <w:rsid w:val="00416962"/>
    <w:rsid w:val="00424202"/>
    <w:rsid w:val="0042614C"/>
    <w:rsid w:val="004362C7"/>
    <w:rsid w:val="0044610C"/>
    <w:rsid w:val="00475038"/>
    <w:rsid w:val="0047545E"/>
    <w:rsid w:val="004859DB"/>
    <w:rsid w:val="004B3A04"/>
    <w:rsid w:val="004B66E4"/>
    <w:rsid w:val="004C0DD2"/>
    <w:rsid w:val="004C2776"/>
    <w:rsid w:val="004C5DCD"/>
    <w:rsid w:val="004F6B2C"/>
    <w:rsid w:val="0056309E"/>
    <w:rsid w:val="0057457F"/>
    <w:rsid w:val="00586537"/>
    <w:rsid w:val="00592F19"/>
    <w:rsid w:val="00593BB2"/>
    <w:rsid w:val="005951D2"/>
    <w:rsid w:val="005C2C84"/>
    <w:rsid w:val="005C5467"/>
    <w:rsid w:val="005D52DC"/>
    <w:rsid w:val="005F13CA"/>
    <w:rsid w:val="00622AF6"/>
    <w:rsid w:val="00630719"/>
    <w:rsid w:val="00640E63"/>
    <w:rsid w:val="00681B4E"/>
    <w:rsid w:val="006A292F"/>
    <w:rsid w:val="006A33FA"/>
    <w:rsid w:val="006A3C11"/>
    <w:rsid w:val="006A5434"/>
    <w:rsid w:val="006A70F3"/>
    <w:rsid w:val="006B0FF0"/>
    <w:rsid w:val="006D2AAC"/>
    <w:rsid w:val="006E547F"/>
    <w:rsid w:val="006F508A"/>
    <w:rsid w:val="00702655"/>
    <w:rsid w:val="0071421C"/>
    <w:rsid w:val="00715E38"/>
    <w:rsid w:val="00726014"/>
    <w:rsid w:val="00735EE0"/>
    <w:rsid w:val="00742543"/>
    <w:rsid w:val="00756FA9"/>
    <w:rsid w:val="00762E30"/>
    <w:rsid w:val="00790613"/>
    <w:rsid w:val="00797CE4"/>
    <w:rsid w:val="007A13C9"/>
    <w:rsid w:val="007A6BE2"/>
    <w:rsid w:val="007B04ED"/>
    <w:rsid w:val="007B0989"/>
    <w:rsid w:val="007C19D3"/>
    <w:rsid w:val="007C67AE"/>
    <w:rsid w:val="007D48E6"/>
    <w:rsid w:val="007E0E4E"/>
    <w:rsid w:val="007E1283"/>
    <w:rsid w:val="007F53E3"/>
    <w:rsid w:val="007F69CF"/>
    <w:rsid w:val="007F753F"/>
    <w:rsid w:val="00843FEA"/>
    <w:rsid w:val="00845FA3"/>
    <w:rsid w:val="008510C1"/>
    <w:rsid w:val="008540A4"/>
    <w:rsid w:val="008648C7"/>
    <w:rsid w:val="008707A1"/>
    <w:rsid w:val="00887D60"/>
    <w:rsid w:val="008B50B1"/>
    <w:rsid w:val="008B7EFA"/>
    <w:rsid w:val="008C108F"/>
    <w:rsid w:val="008C3EDA"/>
    <w:rsid w:val="008D6E8C"/>
    <w:rsid w:val="008F1217"/>
    <w:rsid w:val="00910787"/>
    <w:rsid w:val="00930276"/>
    <w:rsid w:val="0095087F"/>
    <w:rsid w:val="0096167A"/>
    <w:rsid w:val="0096236F"/>
    <w:rsid w:val="00975CA5"/>
    <w:rsid w:val="009A4962"/>
    <w:rsid w:val="009B4418"/>
    <w:rsid w:val="009C38D7"/>
    <w:rsid w:val="009C7917"/>
    <w:rsid w:val="00A341F7"/>
    <w:rsid w:val="00A37AF4"/>
    <w:rsid w:val="00A45616"/>
    <w:rsid w:val="00A46BDC"/>
    <w:rsid w:val="00A54203"/>
    <w:rsid w:val="00A66FD9"/>
    <w:rsid w:val="00A73247"/>
    <w:rsid w:val="00A74C5A"/>
    <w:rsid w:val="00AB1B15"/>
    <w:rsid w:val="00AC1A5E"/>
    <w:rsid w:val="00AC7740"/>
    <w:rsid w:val="00AE5E0B"/>
    <w:rsid w:val="00AF3F3C"/>
    <w:rsid w:val="00AF5F1F"/>
    <w:rsid w:val="00B16E56"/>
    <w:rsid w:val="00B37216"/>
    <w:rsid w:val="00B425AD"/>
    <w:rsid w:val="00B45066"/>
    <w:rsid w:val="00B45969"/>
    <w:rsid w:val="00B560D5"/>
    <w:rsid w:val="00B564DD"/>
    <w:rsid w:val="00B6754C"/>
    <w:rsid w:val="00B7662A"/>
    <w:rsid w:val="00B8718C"/>
    <w:rsid w:val="00BA0417"/>
    <w:rsid w:val="00BA3B66"/>
    <w:rsid w:val="00BA724B"/>
    <w:rsid w:val="00BB0F29"/>
    <w:rsid w:val="00BD6AB4"/>
    <w:rsid w:val="00C069A6"/>
    <w:rsid w:val="00C33925"/>
    <w:rsid w:val="00C34C1D"/>
    <w:rsid w:val="00C52844"/>
    <w:rsid w:val="00C620CC"/>
    <w:rsid w:val="00C82017"/>
    <w:rsid w:val="00CA08E6"/>
    <w:rsid w:val="00CB558A"/>
    <w:rsid w:val="00CE2FB1"/>
    <w:rsid w:val="00CE332E"/>
    <w:rsid w:val="00D33528"/>
    <w:rsid w:val="00D45CCF"/>
    <w:rsid w:val="00D827E8"/>
    <w:rsid w:val="00D87EE9"/>
    <w:rsid w:val="00DA492D"/>
    <w:rsid w:val="00DA71A1"/>
    <w:rsid w:val="00DC5976"/>
    <w:rsid w:val="00DE7BC2"/>
    <w:rsid w:val="00DF1F64"/>
    <w:rsid w:val="00DF70F9"/>
    <w:rsid w:val="00DF74B6"/>
    <w:rsid w:val="00DF7D65"/>
    <w:rsid w:val="00E11D70"/>
    <w:rsid w:val="00E17F1A"/>
    <w:rsid w:val="00E20D61"/>
    <w:rsid w:val="00E25D9B"/>
    <w:rsid w:val="00E321C6"/>
    <w:rsid w:val="00E43D4E"/>
    <w:rsid w:val="00E61D15"/>
    <w:rsid w:val="00E62552"/>
    <w:rsid w:val="00E6537D"/>
    <w:rsid w:val="00EA4FF1"/>
    <w:rsid w:val="00EC0ED5"/>
    <w:rsid w:val="00EC2FA7"/>
    <w:rsid w:val="00ED4162"/>
    <w:rsid w:val="00EE2318"/>
    <w:rsid w:val="00F1225B"/>
    <w:rsid w:val="00F1510A"/>
    <w:rsid w:val="00F31F42"/>
    <w:rsid w:val="00F42860"/>
    <w:rsid w:val="00F55C14"/>
    <w:rsid w:val="00F60C8D"/>
    <w:rsid w:val="00F647DA"/>
    <w:rsid w:val="00F66283"/>
    <w:rsid w:val="00FA398A"/>
    <w:rsid w:val="00FA3B04"/>
    <w:rsid w:val="00FB4362"/>
    <w:rsid w:val="00FD071A"/>
    <w:rsid w:val="00FD57CC"/>
    <w:rsid w:val="00FD6694"/>
    <w:rsid w:val="00FE1BEC"/>
    <w:rsid w:val="00FE205F"/>
    <w:rsid w:val="00FF0D67"/>
    <w:rsid w:val="00FF750C"/>
    <w:rsid w:val="04BF7FDE"/>
    <w:rsid w:val="1BB395BB"/>
    <w:rsid w:val="217673E8"/>
    <w:rsid w:val="24405E19"/>
    <w:rsid w:val="444248E6"/>
    <w:rsid w:val="45333F54"/>
    <w:rsid w:val="47215637"/>
    <w:rsid w:val="5AFCE6CF"/>
    <w:rsid w:val="63C770F8"/>
    <w:rsid w:val="66FD6AE1"/>
    <w:rsid w:val="6AFB6DA7"/>
    <w:rsid w:val="753243D5"/>
    <w:rsid w:val="791431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F7716"/>
  <w15:docId w15:val="{F31A75C8-51E6-4E2C-AE8E-AFFF2611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0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paragraph" w:styleId="TOC4">
    <w:name w:val="toc 4"/>
    <w:next w:val="Normal"/>
    <w:autoRedefine/>
    <w:qFormat/>
    <w:rsid w:val="0010285E"/>
    <w:pPr>
      <w:tabs>
        <w:tab w:val="left" w:pos="1440"/>
        <w:tab w:val="right" w:leader="dot" w:pos="9360"/>
      </w:tabs>
      <w:ind w:left="2390" w:hanging="475"/>
    </w:pPr>
    <w:rPr>
      <w:rFonts w:ascii="Lucida Sans" w:eastAsia="Times New Roman" w:hAnsi="Lucida Sans"/>
      <w:noProof/>
      <w:sz w:val="22"/>
      <w:szCs w:val="24"/>
    </w:rPr>
  </w:style>
  <w:style w:type="paragraph" w:customStyle="1" w:styleId="BulletBlue">
    <w:name w:val="Bullet_Blue"/>
    <w:basedOn w:val="Normal"/>
    <w:qFormat/>
    <w:rsid w:val="0010285E"/>
    <w:pPr>
      <w:numPr>
        <w:numId w:val="12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B16E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4CBF0C93DF4C938FB53D79F94BFC" ma:contentTypeVersion="8" ma:contentTypeDescription="Create a new document." ma:contentTypeScope="" ma:versionID="abaf23e6f7b4172359f76c8688c5da42">
  <xsd:schema xmlns:xsd="http://www.w3.org/2001/XMLSchema" xmlns:xs="http://www.w3.org/2001/XMLSchema" xmlns:p="http://schemas.microsoft.com/office/2006/metadata/properties" xmlns:ns2="dc05ca37-01d0-471f-8a49-47e6dab59ae7" targetNamespace="http://schemas.microsoft.com/office/2006/metadata/properties" ma:root="true" ma:fieldsID="c65948d2ada8ca985198329b63f404fd" ns2:_="">
    <xsd:import namespace="dc05ca37-01d0-471f-8a49-47e6dab59ae7"/>
    <xsd:element name="properties">
      <xsd:complexType>
        <xsd:sequence>
          <xsd:element name="documentManagement">
            <xsd:complexType>
              <xsd:all>
                <xsd:element ref="ns2:ICRID" minOccurs="0"/>
                <xsd:element ref="ns2:DocumentType" minOccurs="0"/>
                <xsd:element ref="ns2:ICRIdentifi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Status" minOccurs="0"/>
                <xsd:element ref="ns2:ProcessSt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ca37-01d0-471f-8a49-47e6dab59ae7" elementFormDefault="qualified">
    <xsd:import namespace="http://schemas.microsoft.com/office/2006/documentManagement/types"/>
    <xsd:import namespace="http://schemas.microsoft.com/office/infopath/2007/PartnerControls"/>
    <xsd:element name="ICRID" ma:index="8" nillable="true" ma:displayName="ICR ID" ma:format="Dropdown" ma:indexed="true" ma:internalName="ICRID">
      <xsd:simpleType>
        <xsd:restriction base="dms:Text">
          <xsd:maxLength value="255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IOAS Memo"/>
          <xsd:enumeration value="60-Day FR Notice"/>
          <xsd:enumeration value="30-Day FR Notice"/>
          <xsd:enumeration value="Instruments/Forms (clean)"/>
          <xsd:enumeration value="Instruments/Forms (tracked changes)"/>
          <xsd:enumeration value="Supplementary Materials (consents, legislative text, outreach materials, FAQs, other overarching materials)"/>
          <xsd:enumeration value="Supporting Statement A"/>
          <xsd:enumeration value="Supporting Statement B"/>
          <xsd:enumeration value="Public Comments"/>
          <xsd:enumeration value="Response to Public Comments"/>
          <xsd:enumeration value="Non-sub–Change Memo"/>
          <xsd:enumeration value="Instructions"/>
          <xsd:enumeration value="NOA"/>
          <xsd:enumeration value="30-Day FR Notice Publication"/>
          <xsd:enumeration value="60-Day FR Notice Publication"/>
          <xsd:enumeration value="OS Decision Memo"/>
          <xsd:enumeration value="OMB Passback Comments"/>
          <xsd:enumeration value="GenIC Submission Form"/>
        </xsd:restriction>
      </xsd:simpleType>
    </xsd:element>
    <xsd:element name="ICRIdentifier" ma:index="10" nillable="true" ma:displayName="ICR Identifier" ma:format="Dropdown" ma:indexed="true" ma:internalName="ICRIdentifie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Status" ma:index="14" nillable="true" ma:displayName="Document Status" ma:format="Dropdown" ma:internalName="DocumentStatus">
      <xsd:simpleType>
        <xsd:restriction base="dms:Choice">
          <xsd:enumeration value="Draft"/>
          <xsd:enumeration value="Final"/>
          <xsd:enumeration value="Final Signed"/>
          <xsd:enumeration value="Revised"/>
        </xsd:restriction>
      </xsd:simpleType>
    </xsd:element>
    <xsd:element name="ProcessStep" ma:index="15" nillable="true" ma:displayName="Process Step" ma:format="Dropdown" ma:internalName="ProcessStep">
      <xsd:simpleType>
        <xsd:restriction base="dms:Choice">
          <xsd:enumeration value="IOAS Review"/>
          <xsd:enumeration value="OMB Review"/>
          <xsd:enumeration value="IOAS Re-Review"/>
          <xsd:enumeration value="OMB Passbac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c05ca37-01d0-471f-8a49-47e6dab59ae7">Instruments/Forms (clean)</DocumentType>
    <ICRID xmlns="dc05ca37-01d0-471f-8a49-47e6dab59ae7">326</ICRID>
    <ICRIdentifier xmlns="dc05ca37-01d0-471f-8a49-47e6dab59ae7">159</ICRIdentifier>
    <ProcessStep xmlns="dc05ca37-01d0-471f-8a49-47e6dab59ae7">OMB Review</ProcessStep>
    <DocumentStatus xmlns="dc05ca37-01d0-471f-8a49-47e6dab59ae7" xsi:nil="true"/>
  </documentManagement>
</p:properties>
</file>

<file path=customXml/itemProps1.xml><?xml version="1.0" encoding="utf-8"?>
<ds:datastoreItem xmlns:ds="http://schemas.openxmlformats.org/officeDocument/2006/customXml" ds:itemID="{123DCB7D-CE3F-4048-8D2B-369700AF6A41}">
  <ds:schemaRefs/>
</ds:datastoreItem>
</file>

<file path=customXml/itemProps2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6049A-9335-4D62-B6F1-B747A0B784EA}">
  <ds:schemaRefs>
    <ds:schemaRef ds:uri="http://schemas.microsoft.com/office/2006/metadata/properties"/>
    <ds:schemaRef ds:uri="http://schemas.microsoft.com/office/infopath/2007/PartnerControls"/>
    <ds:schemaRef ds:uri="b3981d9b-8c8f-4741-ad51-397bd86eaf83"/>
    <ds:schemaRef ds:uri="296532c4-5027-4adf-8daa-16405add6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8839</Characters>
  <Application>Microsoft Office Word</Application>
  <DocSecurity>0</DocSecurity>
  <Lines>200</Lines>
  <Paragraphs>109</Paragraphs>
  <ScaleCrop>false</ScaleCrop>
  <Company>DHHS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Morales, Melody (ACF)</cp:lastModifiedBy>
  <cp:revision>84</cp:revision>
  <dcterms:created xsi:type="dcterms:W3CDTF">2025-05-02T12:37:00Z</dcterms:created>
  <dcterms:modified xsi:type="dcterms:W3CDTF">2026-04-15T13:51:00Z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0x010100882C4CBF0C93DF4C938FB53D79F94BFC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perations Category">
    <vt:lpwstr/>
  </property>
  <property fmtid="{D5CDD505-2E9C-101B-9397-08002B2CF9AE}" pid="7" name="Order">
    <vt:r8>52800</vt:r8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">
    <vt:lpwstr/>
  </property>
  <property fmtid="{D5CDD505-2E9C-101B-9397-08002B2CF9AE}" pid="11" name="Site (Program)">
    <vt:lpwstr/>
  </property>
  <property fmtid="{D5CDD505-2E9C-101B-9397-08002B2CF9AE}" pid="12" name="Team">
    <vt:lpwstr>;#Design;#</vt:lpwstr>
  </property>
</Properties>
</file>