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22FD" w:rsidR="0048246C" w:rsidP="0048246C" w:rsidRDefault="0048246C" w14:paraId="58623B6B" w14:textId="77777777">
      <w:r w:rsidRPr="006422FD">
        <w:t>Supporting Statement for Paperwork Reduction Act Submissions</w:t>
      </w:r>
    </w:p>
    <w:p w:rsidRPr="006422FD" w:rsidR="0048246C" w:rsidP="0048246C" w:rsidRDefault="0080297D" w14:paraId="01000969" w14:textId="4F429AE6">
      <w:r w:rsidRPr="006422FD">
        <w:t xml:space="preserve">Request for a </w:t>
      </w:r>
      <w:r w:rsidRPr="006422FD" w:rsidR="00603411">
        <w:t>n</w:t>
      </w:r>
      <w:r w:rsidRPr="006422FD">
        <w:t xml:space="preserve">ew </w:t>
      </w:r>
      <w:r w:rsidRPr="006422FD" w:rsidR="6EDC3FC2">
        <w:t xml:space="preserve">data collection with an </w:t>
      </w:r>
      <w:r w:rsidR="00DE3F8D">
        <w:t xml:space="preserve">Office of Management and </w:t>
      </w:r>
      <w:r w:rsidR="0054425C">
        <w:t>Budget (</w:t>
      </w:r>
      <w:r w:rsidRPr="006422FD" w:rsidR="6EDC3FC2">
        <w:t>OMB</w:t>
      </w:r>
      <w:r w:rsidR="0054425C">
        <w:t>)</w:t>
      </w:r>
      <w:r w:rsidRPr="006422FD" w:rsidR="6EDC3FC2">
        <w:t xml:space="preserve"> control number </w:t>
      </w:r>
      <w:r w:rsidRPr="006422FD" w:rsidR="0048246C">
        <w:t xml:space="preserve">for the </w:t>
      </w:r>
      <w:r w:rsidRPr="006422FD" w:rsidR="00603411">
        <w:t xml:space="preserve">Law Enforcement </w:t>
      </w:r>
      <w:r w:rsidR="00F03607">
        <w:t>Public Contact (LEPC) Data Collection</w:t>
      </w:r>
    </w:p>
    <w:p w:rsidRPr="006422FD" w:rsidR="00CF534E" w:rsidRDefault="00F268ED" w14:paraId="4AE7DFE9" w14:textId="4F060A3A">
      <w:pPr>
        <w:rPr>
          <w:b/>
          <w:bCs/>
        </w:rPr>
      </w:pPr>
      <w:r w:rsidRPr="006422FD">
        <w:rPr>
          <w:b/>
          <w:bCs/>
        </w:rPr>
        <w:t>OMB Control</w:t>
      </w:r>
      <w:r w:rsidRPr="006422FD" w:rsidR="00E17244">
        <w:rPr>
          <w:b/>
          <w:bCs/>
        </w:rPr>
        <w:t xml:space="preserve"> #</w:t>
      </w:r>
    </w:p>
    <w:p w:rsidRPr="006422FD" w:rsidR="004E786C" w:rsidRDefault="004E786C" w14:paraId="672A6659" w14:textId="77777777"/>
    <w:p w:rsidRPr="006422FD" w:rsidR="00CF534E" w:rsidRDefault="00CF534E" w14:paraId="3045337C" w14:textId="77777777">
      <w:r w:rsidRPr="006422FD">
        <w:t xml:space="preserve">Part A. </w:t>
      </w:r>
      <w:r w:rsidRPr="006422FD" w:rsidR="00097654">
        <w:t xml:space="preserve"> </w:t>
      </w:r>
      <w:r w:rsidRPr="006422FD">
        <w:t>Justification</w:t>
      </w:r>
    </w:p>
    <w:p w:rsidRPr="006422FD" w:rsidR="00CF534E" w:rsidRDefault="00CF534E" w14:paraId="0A37501D" w14:textId="77777777"/>
    <w:p w:rsidRPr="006422FD" w:rsidR="00CF534E" w:rsidP="00E52095" w:rsidRDefault="00CF534E" w14:paraId="36254BBC" w14:textId="41E2CD4E">
      <w:r w:rsidRPr="006422FD">
        <w:t xml:space="preserve">1.  Necessity of Information: </w:t>
      </w:r>
    </w:p>
    <w:p w:rsidRPr="006422FD" w:rsidR="00E52095" w:rsidP="00E52095" w:rsidRDefault="00E52095" w14:paraId="0451D574" w14:textId="3B5176E3"/>
    <w:p w:rsidR="00E52095" w:rsidP="00197C46" w:rsidRDefault="009144D4" w14:paraId="22CE9E4F" w14:textId="58F0C08A">
      <w:r>
        <w:t>In 201</w:t>
      </w:r>
      <w:r w:rsidR="00717B17">
        <w:t xml:space="preserve">7, </w:t>
      </w:r>
      <w:r w:rsidR="00902839">
        <w:t>th</w:t>
      </w:r>
      <w:r w:rsidR="00717B17">
        <w:t>e Federal Bureau of Investigation (FBI) Uniform Crime Reporting</w:t>
      </w:r>
      <w:r w:rsidR="0063157B">
        <w:t xml:space="preserve"> (UCR) Program </w:t>
      </w:r>
      <w:r w:rsidR="0032384B">
        <w:t>proposed</w:t>
      </w:r>
      <w:r w:rsidR="009D2003">
        <w:t xml:space="preserve"> the creation of a data collection designed to collect the number of contacts between law enforcement and the public. </w:t>
      </w:r>
      <w:r w:rsidR="00C96315">
        <w:t xml:space="preserve"> </w:t>
      </w:r>
      <w:r w:rsidR="009D2003">
        <w:t xml:space="preserve">The LEPC </w:t>
      </w:r>
      <w:r w:rsidR="00813F62">
        <w:t>D</w:t>
      </w:r>
      <w:r w:rsidR="009D2003">
        <w:t xml:space="preserve">ata </w:t>
      </w:r>
      <w:r w:rsidR="00813F62">
        <w:t>C</w:t>
      </w:r>
      <w:r w:rsidR="009D2003">
        <w:t>ollection will serve to provide context to the National Use-o</w:t>
      </w:r>
      <w:r w:rsidR="00902839">
        <w:t>f-F</w:t>
      </w:r>
      <w:r w:rsidR="009D2003">
        <w:t xml:space="preserve">orce Data Collection and the Law Enforcement Officers Killed and Assaulted </w:t>
      </w:r>
      <w:r w:rsidR="00CB5C5D">
        <w:t xml:space="preserve">(LEOKA) </w:t>
      </w:r>
      <w:r w:rsidR="00967628">
        <w:t>D</w:t>
      </w:r>
      <w:r w:rsidR="00CB5C5D">
        <w:t xml:space="preserve">ata </w:t>
      </w:r>
      <w:r w:rsidR="00967628">
        <w:t>C</w:t>
      </w:r>
      <w:r w:rsidR="00CB5C5D">
        <w:t>ollection.</w:t>
      </w:r>
    </w:p>
    <w:p w:rsidR="00556E8D" w:rsidP="00197C46" w:rsidRDefault="00556E8D" w14:paraId="099151E8" w14:textId="26FFDEEA"/>
    <w:p w:rsidR="00556E8D" w:rsidP="00197C46" w:rsidRDefault="00556E8D" w14:paraId="4117823C" w14:textId="6FCDCA4C">
      <w:r>
        <w:t>The ability to provide context to the data collections will allow a more th</w:t>
      </w:r>
      <w:r w:rsidR="00FA09FF">
        <w:t>orough</w:t>
      </w:r>
      <w:r>
        <w:t xml:space="preserve"> understanding of the data in t</w:t>
      </w:r>
      <w:r w:rsidR="00114FA6">
        <w:t>he National U</w:t>
      </w:r>
      <w:r>
        <w:t xml:space="preserve">se-of-Force </w:t>
      </w:r>
      <w:r w:rsidR="00D84FCB">
        <w:t xml:space="preserve">Data Collection </w:t>
      </w:r>
      <w:r>
        <w:t>and LEOKA</w:t>
      </w:r>
      <w:r w:rsidR="00FA09FF">
        <w:t xml:space="preserve">. </w:t>
      </w:r>
      <w:r w:rsidR="007E5C3A">
        <w:t xml:space="preserve"> </w:t>
      </w:r>
      <w:r w:rsidR="00FA09FF">
        <w:t>Primarily, the LEPC will provide a basic denominator by which uses of force and LEOKA incidents can be calculated to determine the regularity in which these events occur compared to how often law enforcement officers are interacting with the public in a number of situation</w:t>
      </w:r>
      <w:r w:rsidR="005F58E7">
        <w:t>s</w:t>
      </w:r>
      <w:r w:rsidR="00FA09FF">
        <w:t>.</w:t>
      </w:r>
    </w:p>
    <w:p w:rsidR="00C9277F" w:rsidP="005B2D3D" w:rsidRDefault="00C9277F" w14:paraId="7562248A" w14:textId="77777777"/>
    <w:p w:rsidRPr="005B2D3D" w:rsidR="00126AEB" w:rsidP="005B2D3D" w:rsidRDefault="00CF534E" w14:paraId="253C17AD" w14:textId="71FF9774">
      <w:r w:rsidRPr="00A02298">
        <w:t>2.  Needs and Uses:</w:t>
      </w:r>
    </w:p>
    <w:p w:rsidR="00EA0FC4" w:rsidRDefault="00B70BDA" w14:paraId="5B1D1FDD" w14:textId="5B17EF45">
      <w:r>
        <w:t xml:space="preserve"> </w:t>
      </w:r>
    </w:p>
    <w:p w:rsidR="0032384B" w:rsidP="00197C46" w:rsidRDefault="0032384B" w14:paraId="40431451" w14:textId="717B5B07">
      <w:r>
        <w:t xml:space="preserve">The goal of this data collection on </w:t>
      </w:r>
      <w:r w:rsidR="00967628">
        <w:t>LEPC</w:t>
      </w:r>
      <w:r w:rsidR="00FC1678">
        <w:t xml:space="preserve">s </w:t>
      </w:r>
      <w:r>
        <w:t xml:space="preserve">is to produce annual figures across </w:t>
      </w:r>
      <w:r w:rsidR="00FC248D">
        <w:t>three</w:t>
      </w:r>
      <w:r>
        <w:t xml:space="preserve"> categories of</w:t>
      </w:r>
      <w:r w:rsidR="00FC1678">
        <w:t xml:space="preserve"> LEPC</w:t>
      </w:r>
      <w:r w:rsidR="00FA09FF">
        <w:t>.</w:t>
      </w:r>
      <w:r w:rsidR="007E5C3A">
        <w:t xml:space="preserve"> </w:t>
      </w:r>
      <w:r w:rsidR="00FA09FF">
        <w:t xml:space="preserve"> These categories are:</w:t>
      </w:r>
    </w:p>
    <w:p w:rsidR="00FA09FF" w:rsidP="00197C46" w:rsidRDefault="00FA09FF" w14:paraId="7B313B46" w14:textId="2ABBE045"/>
    <w:p w:rsidRPr="008976DF" w:rsidR="00FA09FF" w:rsidP="00197C46" w:rsidRDefault="00FA09FF" w14:paraId="04978A04" w14:textId="5F234482">
      <w:pPr>
        <w:pStyle w:val="ListParagraph"/>
        <w:numPr>
          <w:ilvl w:val="0"/>
          <w:numId w:val="14"/>
        </w:numPr>
        <w:rPr>
          <w:rFonts w:ascii="Times New Roman" w:hAnsi="Times New Roman"/>
          <w:sz w:val="24"/>
          <w:szCs w:val="24"/>
        </w:rPr>
      </w:pPr>
      <w:r w:rsidRPr="008976DF">
        <w:rPr>
          <w:rFonts w:ascii="Times New Roman" w:hAnsi="Times New Roman"/>
          <w:sz w:val="24"/>
          <w:szCs w:val="24"/>
        </w:rPr>
        <w:t xml:space="preserve">Citizen </w:t>
      </w:r>
      <w:r w:rsidR="00FC248D">
        <w:rPr>
          <w:rFonts w:ascii="Times New Roman" w:hAnsi="Times New Roman"/>
          <w:sz w:val="24"/>
          <w:szCs w:val="24"/>
        </w:rPr>
        <w:t>C</w:t>
      </w:r>
      <w:r w:rsidRPr="008976DF">
        <w:rPr>
          <w:rFonts w:ascii="Times New Roman" w:hAnsi="Times New Roman"/>
          <w:sz w:val="24"/>
          <w:szCs w:val="24"/>
        </w:rPr>
        <w:t>alls for Service</w:t>
      </w:r>
    </w:p>
    <w:p w:rsidRPr="008976DF" w:rsidR="00FA09FF" w:rsidP="00197C46" w:rsidRDefault="00FA09FF" w14:paraId="4C3D4FCB" w14:textId="13EE1A80">
      <w:pPr>
        <w:pStyle w:val="ListParagraph"/>
        <w:numPr>
          <w:ilvl w:val="0"/>
          <w:numId w:val="14"/>
        </w:numPr>
        <w:rPr>
          <w:rFonts w:ascii="Times New Roman" w:hAnsi="Times New Roman"/>
          <w:sz w:val="24"/>
          <w:szCs w:val="24"/>
        </w:rPr>
      </w:pPr>
      <w:r w:rsidRPr="008976DF">
        <w:rPr>
          <w:rFonts w:ascii="Times New Roman" w:hAnsi="Times New Roman"/>
          <w:sz w:val="24"/>
          <w:szCs w:val="24"/>
        </w:rPr>
        <w:t>Unit/Officer-initiated contact</w:t>
      </w:r>
    </w:p>
    <w:p w:rsidR="00FA09FF" w:rsidP="00197C46" w:rsidRDefault="00FA09FF" w14:paraId="307B53AD" w14:textId="347B84B5">
      <w:pPr>
        <w:pStyle w:val="ListParagraph"/>
        <w:numPr>
          <w:ilvl w:val="0"/>
          <w:numId w:val="14"/>
        </w:numPr>
        <w:rPr>
          <w:rFonts w:ascii="Times New Roman" w:hAnsi="Times New Roman"/>
        </w:rPr>
      </w:pPr>
      <w:r w:rsidRPr="008976DF">
        <w:rPr>
          <w:rFonts w:ascii="Times New Roman" w:hAnsi="Times New Roman"/>
          <w:sz w:val="24"/>
          <w:szCs w:val="24"/>
        </w:rPr>
        <w:t>Court/bailiff activities</w:t>
      </w:r>
    </w:p>
    <w:p w:rsidR="00973DF7" w:rsidP="00197C46" w:rsidRDefault="001E16C1" w14:paraId="6135F7AD" w14:textId="48B8EC52">
      <w:r>
        <w:t>This collection will include annualized numbers for each of these three categories that will be provided by participating agencies on an annual basis.</w:t>
      </w:r>
      <w:r w:rsidR="00973DF7">
        <w:t xml:space="preserve"> </w:t>
      </w:r>
      <w:r w:rsidR="007E5C3A">
        <w:t xml:space="preserve"> </w:t>
      </w:r>
      <w:r w:rsidR="00973DF7">
        <w:t>The LEPC data being collected will only consist of these three agency counts corresponding to the categories above.</w:t>
      </w:r>
      <w:r w:rsidR="00FC248D">
        <w:t xml:space="preserve">  Agencies will </w:t>
      </w:r>
      <w:r w:rsidR="00B74A57">
        <w:t xml:space="preserve">also </w:t>
      </w:r>
      <w:r w:rsidR="00FC248D">
        <w:t>have the option to</w:t>
      </w:r>
      <w:r w:rsidR="00B74A57">
        <w:t xml:space="preserve"> indicate whether each count submitted is based on actual records or </w:t>
      </w:r>
      <w:r w:rsidR="00957751">
        <w:t>an estimated total.</w:t>
      </w:r>
      <w:r w:rsidR="00FC248D">
        <w:t xml:space="preserve"> </w:t>
      </w:r>
      <w:r w:rsidR="00973DF7">
        <w:t xml:space="preserve"> All data provided by the agency will be u</w:t>
      </w:r>
      <w:r w:rsidR="00FC248D">
        <w:t>sed</w:t>
      </w:r>
      <w:r w:rsidR="00973DF7">
        <w:t xml:space="preserve"> by the FBI UCR Program for furthering the understanding of crime and law enforcement data collected by the FBI UCR Program.</w:t>
      </w:r>
    </w:p>
    <w:p w:rsidRPr="00FA09FF" w:rsidR="00973DF7" w:rsidP="00197C46" w:rsidRDefault="00973DF7" w14:paraId="6F460419" w14:textId="77777777"/>
    <w:p w:rsidR="008976DF" w:rsidP="00197C46" w:rsidRDefault="00C60B43" w14:paraId="175B1C53" w14:textId="639F54D6">
      <w:r>
        <w:t xml:space="preserve">The practical utility of this data is two-fold; </w:t>
      </w:r>
      <w:r w:rsidR="007E5C3A">
        <w:t xml:space="preserve"> </w:t>
      </w:r>
      <w:r>
        <w:t xml:space="preserve">Firstly, </w:t>
      </w:r>
      <w:r w:rsidR="008976DF">
        <w:t>LEPC</w:t>
      </w:r>
      <w:r>
        <w:t xml:space="preserve"> data </w:t>
      </w:r>
      <w:r w:rsidR="008976DF">
        <w:t>provides</w:t>
      </w:r>
      <w:r>
        <w:t xml:space="preserve"> additional cont</w:t>
      </w:r>
      <w:r w:rsidR="008976DF">
        <w:t>ex</w:t>
      </w:r>
      <w:r>
        <w:t xml:space="preserve">t to the National Use-of- Force Data Collection by providing a simple count </w:t>
      </w:r>
      <w:r w:rsidR="008976DF">
        <w:t xml:space="preserve">of </w:t>
      </w:r>
      <w:r>
        <w:t xml:space="preserve">how often law enforcement agencies </w:t>
      </w:r>
      <w:r w:rsidR="008976DF">
        <w:t xml:space="preserve">are interacting with the public in the above three categories. </w:t>
      </w:r>
      <w:r w:rsidR="007E5C3A">
        <w:t xml:space="preserve"> </w:t>
      </w:r>
      <w:r w:rsidR="008976DF">
        <w:t xml:space="preserve">This allows for calculations to determine percentages and rates of how often use of force </w:t>
      </w:r>
      <w:r w:rsidR="00431367">
        <w:t xml:space="preserve">is </w:t>
      </w:r>
      <w:r w:rsidR="008976DF">
        <w:t>occurring compared to how often law enforcement officers are interacting with the public on an annual basis.</w:t>
      </w:r>
    </w:p>
    <w:p w:rsidR="008976DF" w:rsidP="00197C46" w:rsidRDefault="008976DF" w14:paraId="311D1214" w14:textId="2B0FD54F"/>
    <w:p w:rsidR="000D2C06" w:rsidRDefault="000D2C06" w14:paraId="2E35B15D" w14:textId="77777777">
      <w:pPr>
        <w:widowControl/>
        <w:autoSpaceDE/>
        <w:autoSpaceDN/>
        <w:adjustRightInd/>
      </w:pPr>
      <w:r>
        <w:br w:type="page"/>
      </w:r>
    </w:p>
    <w:p w:rsidR="0076090B" w:rsidP="00197C46" w:rsidRDefault="008976DF" w14:paraId="74BC6321" w14:textId="3DE7E6F9">
      <w:r>
        <w:lastRenderedPageBreak/>
        <w:t>Secondly,</w:t>
      </w:r>
      <w:r w:rsidR="0076090B">
        <w:t xml:space="preserve"> the FBI UCR Program </w:t>
      </w:r>
      <w:r w:rsidR="00957751">
        <w:t xml:space="preserve">sees the LEPC </w:t>
      </w:r>
      <w:r w:rsidR="00431367">
        <w:t>D</w:t>
      </w:r>
      <w:r w:rsidR="00957751">
        <w:t xml:space="preserve">ata </w:t>
      </w:r>
      <w:r w:rsidR="00431367">
        <w:t>C</w:t>
      </w:r>
      <w:r w:rsidR="00957751">
        <w:t xml:space="preserve">ollection supporting additional UCR collections once it is established in the National Use-of-Force Data Collection Portal.  </w:t>
      </w:r>
      <w:r w:rsidR="0076090B">
        <w:t xml:space="preserve">Particularly, </w:t>
      </w:r>
      <w:r w:rsidR="00957751">
        <w:t xml:space="preserve">the </w:t>
      </w:r>
      <w:r w:rsidR="0076090B">
        <w:t>LEOKA collection</w:t>
      </w:r>
      <w:r w:rsidR="00957751">
        <w:t xml:space="preserve"> will</w:t>
      </w:r>
      <w:r w:rsidR="0076090B">
        <w:t xml:space="preserve"> benefit</w:t>
      </w:r>
      <w:r w:rsidR="00957751">
        <w:t xml:space="preserve"> greatly</w:t>
      </w:r>
      <w:r w:rsidR="0076090B">
        <w:t xml:space="preserve"> from the additional context provided by the LEPC </w:t>
      </w:r>
      <w:r w:rsidR="00F80D31">
        <w:t>D</w:t>
      </w:r>
      <w:r w:rsidR="0076090B">
        <w:t xml:space="preserve">ata </w:t>
      </w:r>
      <w:r w:rsidR="00F80D31">
        <w:t>C</w:t>
      </w:r>
      <w:r w:rsidR="0076090B">
        <w:t>ollection.</w:t>
      </w:r>
      <w:r w:rsidR="007E5C3A">
        <w:t xml:space="preserve"> </w:t>
      </w:r>
      <w:r w:rsidR="0076090B">
        <w:t xml:space="preserve"> </w:t>
      </w:r>
      <w:proofErr w:type="gramStart"/>
      <w:r w:rsidR="0076090B">
        <w:t>At this time</w:t>
      </w:r>
      <w:proofErr w:type="gramEnd"/>
      <w:r w:rsidR="0076090B">
        <w:t xml:space="preserve">, while the FBI UCR Program intends to only release LEPC data alongside publications of the National Use-of-Force Data Collection, there are plans to </w:t>
      </w:r>
      <w:r w:rsidR="008872E0">
        <w:t xml:space="preserve">use </w:t>
      </w:r>
      <w:r w:rsidR="0076090B">
        <w:t>LEPC for other UCR collections in the future.</w:t>
      </w:r>
    </w:p>
    <w:p w:rsidRPr="009E5DC7" w:rsidR="003E24CF" w:rsidP="001961F8" w:rsidRDefault="003E24CF" w14:paraId="4B94D5A5" w14:textId="58EDB3B8"/>
    <w:p w:rsidR="00CF534E" w:rsidRDefault="00CF534E" w14:paraId="28C96447" w14:textId="4DC89A24">
      <w:r w:rsidRPr="00A02298">
        <w:t>3.  Use of Technology:</w:t>
      </w:r>
    </w:p>
    <w:p w:rsidR="00E71554" w:rsidRDefault="00E71554" w14:paraId="23CE412E" w14:textId="3AA73CFB"/>
    <w:p w:rsidR="00E71554" w:rsidP="00197C46" w:rsidRDefault="00E71554" w14:paraId="0A8F5AA1" w14:textId="78B3CF35">
      <w:pPr>
        <w:pStyle w:val="ListParagraph"/>
        <w:ind w:left="0"/>
        <w:rPr>
          <w:rFonts w:ascii="Times New Roman" w:hAnsi="Times New Roman"/>
          <w:sz w:val="24"/>
          <w:szCs w:val="24"/>
        </w:rPr>
      </w:pPr>
      <w:r w:rsidRPr="100AF4C9">
        <w:rPr>
          <w:rFonts w:ascii="Times New Roman" w:hAnsi="Times New Roman"/>
          <w:sz w:val="24"/>
          <w:szCs w:val="24"/>
        </w:rPr>
        <w:t xml:space="preserve">The </w:t>
      </w:r>
      <w:r w:rsidR="00AE77D3">
        <w:rPr>
          <w:rFonts w:ascii="Times New Roman" w:hAnsi="Times New Roman"/>
          <w:sz w:val="24"/>
          <w:szCs w:val="24"/>
        </w:rPr>
        <w:t>LEPC</w:t>
      </w:r>
      <w:r w:rsidRPr="100AF4C9">
        <w:rPr>
          <w:rFonts w:ascii="Times New Roman" w:hAnsi="Times New Roman"/>
          <w:sz w:val="24"/>
          <w:szCs w:val="24"/>
        </w:rPr>
        <w:t xml:space="preserve"> Data Collection is a feature within the existing National Use-of-Force Data Collection application, which is housed within the </w:t>
      </w:r>
      <w:r w:rsidR="006848D1">
        <w:rPr>
          <w:rFonts w:ascii="Times New Roman" w:hAnsi="Times New Roman"/>
          <w:sz w:val="24"/>
          <w:szCs w:val="24"/>
        </w:rPr>
        <w:t>Law Enforcement Enterprise Portal (</w:t>
      </w:r>
      <w:r w:rsidRPr="100AF4C9">
        <w:rPr>
          <w:rFonts w:ascii="Times New Roman" w:hAnsi="Times New Roman"/>
          <w:sz w:val="24"/>
          <w:szCs w:val="24"/>
        </w:rPr>
        <w:t>LEEP</w:t>
      </w:r>
      <w:r w:rsidR="006848D1">
        <w:rPr>
          <w:rFonts w:ascii="Times New Roman" w:hAnsi="Times New Roman"/>
          <w:sz w:val="24"/>
          <w:szCs w:val="24"/>
        </w:rPr>
        <w:t>).</w:t>
      </w:r>
      <w:r w:rsidRPr="100AF4C9">
        <w:rPr>
          <w:rFonts w:ascii="Times New Roman" w:hAnsi="Times New Roman"/>
          <w:sz w:val="24"/>
          <w:szCs w:val="24"/>
        </w:rPr>
        <w:t xml:space="preserve">  The </w:t>
      </w:r>
      <w:r w:rsidR="00114FA6">
        <w:rPr>
          <w:rFonts w:ascii="Times New Roman" w:hAnsi="Times New Roman"/>
          <w:sz w:val="24"/>
          <w:szCs w:val="24"/>
        </w:rPr>
        <w:t>Criminal Justice Information Services (</w:t>
      </w:r>
      <w:r w:rsidRPr="100AF4C9">
        <w:rPr>
          <w:rFonts w:ascii="Times New Roman" w:hAnsi="Times New Roman"/>
          <w:sz w:val="24"/>
          <w:szCs w:val="24"/>
        </w:rPr>
        <w:t>CJIS</w:t>
      </w:r>
      <w:r w:rsidR="00114FA6">
        <w:rPr>
          <w:rFonts w:ascii="Times New Roman" w:hAnsi="Times New Roman"/>
          <w:sz w:val="24"/>
          <w:szCs w:val="24"/>
        </w:rPr>
        <w:t>) Advisory Policy Board</w:t>
      </w:r>
      <w:r w:rsidRPr="100AF4C9">
        <w:rPr>
          <w:rFonts w:ascii="Times New Roman" w:hAnsi="Times New Roman"/>
          <w:sz w:val="24"/>
          <w:szCs w:val="24"/>
        </w:rPr>
        <w:t xml:space="preserve"> </w:t>
      </w:r>
      <w:r w:rsidR="00114FA6">
        <w:rPr>
          <w:rFonts w:ascii="Times New Roman" w:hAnsi="Times New Roman"/>
          <w:sz w:val="24"/>
          <w:szCs w:val="24"/>
        </w:rPr>
        <w:t>(</w:t>
      </w:r>
      <w:r w:rsidRPr="100AF4C9">
        <w:rPr>
          <w:rFonts w:ascii="Times New Roman" w:hAnsi="Times New Roman"/>
          <w:sz w:val="24"/>
          <w:szCs w:val="24"/>
        </w:rPr>
        <w:t>APB</w:t>
      </w:r>
      <w:r w:rsidR="00114FA6">
        <w:rPr>
          <w:rFonts w:ascii="Times New Roman" w:hAnsi="Times New Roman"/>
          <w:sz w:val="24"/>
          <w:szCs w:val="24"/>
        </w:rPr>
        <w:t>)</w:t>
      </w:r>
      <w:r w:rsidRPr="100AF4C9">
        <w:rPr>
          <w:rFonts w:ascii="Times New Roman" w:hAnsi="Times New Roman"/>
          <w:sz w:val="24"/>
          <w:szCs w:val="24"/>
        </w:rPr>
        <w:t xml:space="preserve"> </w:t>
      </w:r>
      <w:r w:rsidR="00EB5A22">
        <w:rPr>
          <w:rFonts w:ascii="Times New Roman" w:hAnsi="Times New Roman"/>
          <w:sz w:val="24"/>
          <w:szCs w:val="24"/>
        </w:rPr>
        <w:t>recommended</w:t>
      </w:r>
      <w:r w:rsidRPr="100AF4C9" w:rsidR="00EB5A22">
        <w:rPr>
          <w:rFonts w:ascii="Times New Roman" w:hAnsi="Times New Roman"/>
          <w:sz w:val="24"/>
          <w:szCs w:val="24"/>
        </w:rPr>
        <w:t xml:space="preserve"> </w:t>
      </w:r>
      <w:r w:rsidRPr="100AF4C9">
        <w:rPr>
          <w:rFonts w:ascii="Times New Roman" w:hAnsi="Times New Roman"/>
          <w:sz w:val="24"/>
          <w:szCs w:val="24"/>
        </w:rPr>
        <w:t xml:space="preserve">the use of </w:t>
      </w:r>
      <w:r w:rsidRPr="100AF4C9">
        <w:rPr>
          <w:rFonts w:ascii="Times New Roman" w:hAnsi="Times New Roman"/>
          <w:i/>
          <w:iCs/>
          <w:sz w:val="24"/>
          <w:szCs w:val="24"/>
        </w:rPr>
        <w:t xml:space="preserve">Table 1 </w:t>
      </w:r>
      <w:r w:rsidRPr="100AF4C9">
        <w:rPr>
          <w:rFonts w:ascii="Times New Roman" w:hAnsi="Times New Roman"/>
          <w:sz w:val="24"/>
          <w:szCs w:val="24"/>
        </w:rPr>
        <w:t xml:space="preserve">for agencies to report annual police contacts with the public.  The web application resembles </w:t>
      </w:r>
      <w:r w:rsidRPr="100AF4C9">
        <w:rPr>
          <w:rFonts w:ascii="Times New Roman" w:hAnsi="Times New Roman"/>
          <w:i/>
          <w:iCs/>
          <w:sz w:val="24"/>
          <w:szCs w:val="24"/>
        </w:rPr>
        <w:t>Figure 1</w:t>
      </w:r>
      <w:r w:rsidRPr="100AF4C9">
        <w:rPr>
          <w:rFonts w:ascii="Times New Roman" w:hAnsi="Times New Roman"/>
          <w:sz w:val="24"/>
          <w:szCs w:val="24"/>
        </w:rPr>
        <w:t>.</w:t>
      </w:r>
    </w:p>
    <w:p w:rsidRPr="00BC2762" w:rsidR="00E71554" w:rsidP="00197C46" w:rsidRDefault="00E71554" w14:paraId="38948943" w14:textId="2BE6F8C3">
      <w:pPr>
        <w:pStyle w:val="Caption"/>
        <w:keepNext/>
        <w:rPr>
          <w:rFonts w:ascii="Times New Roman" w:hAnsi="Times New Roman"/>
          <w:sz w:val="24"/>
          <w:szCs w:val="24"/>
        </w:rPr>
      </w:pPr>
      <w:r w:rsidRPr="00BC2762">
        <w:rPr>
          <w:rFonts w:ascii="Times New Roman" w:hAnsi="Times New Roman"/>
          <w:sz w:val="24"/>
          <w:szCs w:val="24"/>
        </w:rPr>
        <w:t xml:space="preserve">Table </w:t>
      </w:r>
      <w:r w:rsidRPr="00BC2762">
        <w:rPr>
          <w:rFonts w:ascii="Times New Roman" w:hAnsi="Times New Roman"/>
          <w:sz w:val="24"/>
          <w:szCs w:val="24"/>
        </w:rPr>
        <w:fldChar w:fldCharType="begin"/>
      </w:r>
      <w:r w:rsidRPr="00BC2762">
        <w:rPr>
          <w:rFonts w:ascii="Times New Roman" w:hAnsi="Times New Roman"/>
          <w:sz w:val="24"/>
          <w:szCs w:val="24"/>
        </w:rPr>
        <w:instrText xml:space="preserve"> SEQ Table \* ARABIC </w:instrText>
      </w:r>
      <w:r w:rsidRPr="00BC2762">
        <w:rPr>
          <w:rFonts w:ascii="Times New Roman" w:hAnsi="Times New Roman"/>
          <w:sz w:val="24"/>
          <w:szCs w:val="24"/>
        </w:rPr>
        <w:fldChar w:fldCharType="separate"/>
      </w:r>
      <w:r>
        <w:rPr>
          <w:rFonts w:ascii="Times New Roman" w:hAnsi="Times New Roman"/>
          <w:noProof/>
          <w:sz w:val="24"/>
          <w:szCs w:val="24"/>
        </w:rPr>
        <w:t>1</w:t>
      </w:r>
      <w:r w:rsidRPr="00BC2762">
        <w:rPr>
          <w:rFonts w:ascii="Times New Roman" w:hAnsi="Times New Roman"/>
          <w:sz w:val="24"/>
          <w:szCs w:val="24"/>
        </w:rPr>
        <w:fldChar w:fldCharType="end"/>
      </w:r>
      <w:r w:rsidRPr="00BC2762">
        <w:rPr>
          <w:rFonts w:ascii="Times New Roman" w:hAnsi="Times New Roman"/>
          <w:sz w:val="24"/>
          <w:szCs w:val="24"/>
        </w:rPr>
        <w:t xml:space="preserve"> – Police Calls for Service</w:t>
      </w:r>
    </w:p>
    <w:tbl>
      <w:tblPr>
        <w:tblStyle w:val="TableGrid"/>
        <w:tblW w:w="9350" w:type="dxa"/>
        <w:tblLook w:val="04A0" w:firstRow="1" w:lastRow="0" w:firstColumn="1" w:lastColumn="0" w:noHBand="0" w:noVBand="1"/>
      </w:tblPr>
      <w:tblGrid>
        <w:gridCol w:w="2965"/>
        <w:gridCol w:w="6385"/>
      </w:tblGrid>
      <w:tr w:rsidRPr="00DA0F5C" w:rsidR="00E71554" w:rsidTr="00197C46" w14:paraId="096F9A5A" w14:textId="77777777">
        <w:tc>
          <w:tcPr>
            <w:tcW w:w="2965" w:type="dxa"/>
          </w:tcPr>
          <w:p w:rsidRPr="00DA0F5C" w:rsidR="00E71554" w:rsidP="001E5F48" w:rsidRDefault="00E71554" w14:paraId="3562A0B7" w14:textId="77777777">
            <w:pPr>
              <w:jc w:val="center"/>
              <w:rPr>
                <w:b/>
              </w:rPr>
            </w:pPr>
            <w:r w:rsidRPr="00DA0F5C">
              <w:rPr>
                <w:b/>
              </w:rPr>
              <w:t>Category</w:t>
            </w:r>
          </w:p>
        </w:tc>
        <w:tc>
          <w:tcPr>
            <w:tcW w:w="6385" w:type="dxa"/>
          </w:tcPr>
          <w:p w:rsidRPr="00DA0F5C" w:rsidR="00E71554" w:rsidP="001E5F48" w:rsidRDefault="00E71554" w14:paraId="23BC4A00" w14:textId="77777777">
            <w:pPr>
              <w:jc w:val="center"/>
              <w:rPr>
                <w:b/>
              </w:rPr>
            </w:pPr>
            <w:r w:rsidRPr="00DA0F5C">
              <w:rPr>
                <w:b/>
              </w:rPr>
              <w:t>Call/Req</w:t>
            </w:r>
            <w:r>
              <w:rPr>
                <w:b/>
              </w:rPr>
              <w:t xml:space="preserve">uest </w:t>
            </w:r>
            <w:r w:rsidRPr="00DA0F5C">
              <w:rPr>
                <w:b/>
              </w:rPr>
              <w:t>Call/Individuals on the Docket Count</w:t>
            </w:r>
          </w:p>
        </w:tc>
      </w:tr>
      <w:tr w:rsidRPr="00DA0F5C" w:rsidR="00E71554" w:rsidTr="00197C46" w14:paraId="6532FE6A" w14:textId="77777777">
        <w:tc>
          <w:tcPr>
            <w:tcW w:w="2965" w:type="dxa"/>
          </w:tcPr>
          <w:p w:rsidRPr="00DA0F5C" w:rsidR="00E71554" w:rsidP="001E5F48" w:rsidRDefault="00E71554" w14:paraId="19811297" w14:textId="77777777">
            <w:pPr>
              <w:jc w:val="center"/>
            </w:pPr>
            <w:r w:rsidRPr="00DA0F5C">
              <w:t>Citizen calls for service</w:t>
            </w:r>
          </w:p>
        </w:tc>
        <w:tc>
          <w:tcPr>
            <w:tcW w:w="6385" w:type="dxa"/>
          </w:tcPr>
          <w:p w:rsidRPr="00DA0F5C" w:rsidR="00E71554" w:rsidP="00E71554" w:rsidRDefault="00E71554" w14:paraId="07B2DE8F" w14:textId="77777777">
            <w:pPr>
              <w:pStyle w:val="ListParagraph"/>
              <w:numPr>
                <w:ilvl w:val="0"/>
                <w:numId w:val="13"/>
              </w:numPr>
              <w:spacing w:after="0" w:line="240" w:lineRule="auto"/>
              <w:rPr>
                <w:rFonts w:eastAsiaTheme="minorEastAsia"/>
              </w:rPr>
            </w:pPr>
            <w:r>
              <w:t>Actual</w:t>
            </w:r>
          </w:p>
          <w:p w:rsidRPr="00DA0F5C" w:rsidR="00E71554" w:rsidP="00E71554" w:rsidRDefault="00E71554" w14:paraId="7410D429" w14:textId="77777777">
            <w:pPr>
              <w:pStyle w:val="ListParagraph"/>
              <w:numPr>
                <w:ilvl w:val="0"/>
                <w:numId w:val="13"/>
              </w:numPr>
              <w:spacing w:after="0" w:line="240" w:lineRule="auto"/>
            </w:pPr>
            <w:r>
              <w:t>Estimated</w:t>
            </w:r>
          </w:p>
          <w:p w:rsidRPr="00DA0F5C" w:rsidR="00E71554" w:rsidP="00E71554" w:rsidRDefault="00E71554" w14:paraId="44A81C49" w14:textId="77777777">
            <w:pPr>
              <w:pStyle w:val="ListParagraph"/>
              <w:numPr>
                <w:ilvl w:val="0"/>
                <w:numId w:val="13"/>
              </w:numPr>
              <w:spacing w:after="0" w:line="240" w:lineRule="auto"/>
            </w:pPr>
            <w:r>
              <w:t>Not Available</w:t>
            </w:r>
          </w:p>
          <w:p w:rsidRPr="00DA0F5C" w:rsidR="00E71554" w:rsidP="00E71554" w:rsidRDefault="00E71554" w14:paraId="0051EBDF" w14:textId="77777777">
            <w:pPr>
              <w:pStyle w:val="ListParagraph"/>
              <w:numPr>
                <w:ilvl w:val="0"/>
                <w:numId w:val="13"/>
              </w:numPr>
              <w:spacing w:after="0" w:line="240" w:lineRule="auto"/>
            </w:pPr>
            <w:r>
              <w:t>Not Applicable</w:t>
            </w:r>
          </w:p>
          <w:p w:rsidRPr="00DA0F5C" w:rsidR="00E71554" w:rsidP="001E5F48" w:rsidRDefault="00E71554" w14:paraId="61D28B33" w14:textId="77777777">
            <w:pPr>
              <w:ind w:left="360"/>
              <w:jc w:val="center"/>
            </w:pPr>
          </w:p>
        </w:tc>
      </w:tr>
      <w:tr w:rsidRPr="00DA0F5C" w:rsidR="00E71554" w:rsidTr="00197C46" w14:paraId="115B6211" w14:textId="77777777">
        <w:tc>
          <w:tcPr>
            <w:tcW w:w="2965" w:type="dxa"/>
          </w:tcPr>
          <w:p w:rsidRPr="00DA0F5C" w:rsidR="00E71554" w:rsidP="001E5F48" w:rsidRDefault="00E71554" w14:paraId="70571D65" w14:textId="77777777">
            <w:pPr>
              <w:jc w:val="center"/>
            </w:pPr>
            <w:r w:rsidRPr="00DA0F5C">
              <w:t>Unit/officer-initiated contacts</w:t>
            </w:r>
          </w:p>
        </w:tc>
        <w:tc>
          <w:tcPr>
            <w:tcW w:w="6385" w:type="dxa"/>
          </w:tcPr>
          <w:p w:rsidRPr="00DA0F5C" w:rsidR="00E71554" w:rsidP="00E71554" w:rsidRDefault="00E71554" w14:paraId="590F9351" w14:textId="77777777">
            <w:pPr>
              <w:pStyle w:val="ListParagraph"/>
              <w:numPr>
                <w:ilvl w:val="0"/>
                <w:numId w:val="13"/>
              </w:numPr>
              <w:spacing w:after="0" w:line="240" w:lineRule="auto"/>
              <w:jc w:val="both"/>
              <w:rPr>
                <w:rFonts w:eastAsiaTheme="minorEastAsia"/>
              </w:rPr>
            </w:pPr>
            <w:r>
              <w:t>Actual</w:t>
            </w:r>
          </w:p>
          <w:p w:rsidRPr="00DA0F5C" w:rsidR="00E71554" w:rsidP="00E71554" w:rsidRDefault="00E71554" w14:paraId="45936C5B" w14:textId="77777777">
            <w:pPr>
              <w:pStyle w:val="ListParagraph"/>
              <w:numPr>
                <w:ilvl w:val="0"/>
                <w:numId w:val="13"/>
              </w:numPr>
              <w:spacing w:after="0" w:line="240" w:lineRule="auto"/>
              <w:rPr>
                <w:rFonts w:eastAsiaTheme="minorEastAsia"/>
              </w:rPr>
            </w:pPr>
            <w:r>
              <w:t>Estimated</w:t>
            </w:r>
          </w:p>
          <w:p w:rsidRPr="00DA0F5C" w:rsidR="00E71554" w:rsidP="00E71554" w:rsidRDefault="00E71554" w14:paraId="43B0C868" w14:textId="77777777">
            <w:pPr>
              <w:pStyle w:val="ListParagraph"/>
              <w:numPr>
                <w:ilvl w:val="0"/>
                <w:numId w:val="13"/>
              </w:numPr>
              <w:spacing w:after="0" w:line="240" w:lineRule="auto"/>
              <w:rPr>
                <w:rFonts w:eastAsiaTheme="minorEastAsia"/>
              </w:rPr>
            </w:pPr>
            <w:r>
              <w:t>Not Available</w:t>
            </w:r>
          </w:p>
          <w:p w:rsidRPr="00DA0F5C" w:rsidR="00E71554" w:rsidP="00E71554" w:rsidRDefault="00E71554" w14:paraId="70052674" w14:textId="77777777">
            <w:pPr>
              <w:pStyle w:val="ListParagraph"/>
              <w:numPr>
                <w:ilvl w:val="0"/>
                <w:numId w:val="13"/>
              </w:numPr>
              <w:spacing w:after="0" w:line="240" w:lineRule="auto"/>
              <w:rPr>
                <w:rFonts w:eastAsiaTheme="minorEastAsia"/>
              </w:rPr>
            </w:pPr>
            <w:r>
              <w:t>Not Applicable</w:t>
            </w:r>
          </w:p>
          <w:p w:rsidRPr="00DA0F5C" w:rsidR="00E71554" w:rsidP="001E5F48" w:rsidRDefault="00E71554" w14:paraId="10A126D5" w14:textId="77777777">
            <w:pPr>
              <w:jc w:val="both"/>
            </w:pPr>
          </w:p>
        </w:tc>
      </w:tr>
      <w:tr w:rsidRPr="00DA0F5C" w:rsidR="00E71554" w:rsidTr="00197C46" w14:paraId="6DE03D7B" w14:textId="77777777">
        <w:tc>
          <w:tcPr>
            <w:tcW w:w="2965" w:type="dxa"/>
          </w:tcPr>
          <w:p w:rsidRPr="00DA0F5C" w:rsidR="00E71554" w:rsidP="001E5F48" w:rsidRDefault="00E71554" w14:paraId="79CDF1DA" w14:textId="77777777">
            <w:pPr>
              <w:jc w:val="center"/>
            </w:pPr>
            <w:r>
              <w:t>Court/bailiff a</w:t>
            </w:r>
            <w:r w:rsidRPr="00DA0F5C">
              <w:t>ctivities</w:t>
            </w:r>
          </w:p>
        </w:tc>
        <w:tc>
          <w:tcPr>
            <w:tcW w:w="6385" w:type="dxa"/>
          </w:tcPr>
          <w:p w:rsidRPr="00DA0F5C" w:rsidR="00E71554" w:rsidP="00E71554" w:rsidRDefault="00E71554" w14:paraId="6CC42391" w14:textId="77777777">
            <w:pPr>
              <w:pStyle w:val="ListParagraph"/>
              <w:numPr>
                <w:ilvl w:val="0"/>
                <w:numId w:val="13"/>
              </w:numPr>
              <w:spacing w:after="0" w:line="240" w:lineRule="auto"/>
              <w:rPr>
                <w:rFonts w:eastAsiaTheme="minorEastAsia"/>
              </w:rPr>
            </w:pPr>
            <w:r>
              <w:t>Actual</w:t>
            </w:r>
          </w:p>
          <w:p w:rsidRPr="00DA0F5C" w:rsidR="00E71554" w:rsidP="00E71554" w:rsidRDefault="00E71554" w14:paraId="3B9556C1" w14:textId="77777777">
            <w:pPr>
              <w:pStyle w:val="ListParagraph"/>
              <w:numPr>
                <w:ilvl w:val="0"/>
                <w:numId w:val="13"/>
              </w:numPr>
              <w:spacing w:after="0" w:line="240" w:lineRule="auto"/>
            </w:pPr>
            <w:r>
              <w:t>Estimated</w:t>
            </w:r>
          </w:p>
          <w:p w:rsidRPr="00DA0F5C" w:rsidR="00E71554" w:rsidP="00E71554" w:rsidRDefault="00E71554" w14:paraId="6B2E054C" w14:textId="77777777">
            <w:pPr>
              <w:pStyle w:val="ListParagraph"/>
              <w:numPr>
                <w:ilvl w:val="0"/>
                <w:numId w:val="13"/>
              </w:numPr>
              <w:spacing w:after="0" w:line="240" w:lineRule="auto"/>
            </w:pPr>
            <w:r>
              <w:t>Not Available</w:t>
            </w:r>
          </w:p>
          <w:p w:rsidRPr="00DA0F5C" w:rsidR="00E71554" w:rsidP="00E71554" w:rsidRDefault="00E71554" w14:paraId="5F8E36FC" w14:textId="77777777">
            <w:pPr>
              <w:pStyle w:val="ListParagraph"/>
              <w:numPr>
                <w:ilvl w:val="0"/>
                <w:numId w:val="13"/>
              </w:numPr>
              <w:spacing w:after="0" w:line="240" w:lineRule="auto"/>
            </w:pPr>
            <w:r>
              <w:t>Not Applicable</w:t>
            </w:r>
          </w:p>
        </w:tc>
      </w:tr>
    </w:tbl>
    <w:p w:rsidR="00E71554" w:rsidP="00197C46" w:rsidRDefault="00E71554" w14:paraId="4EA39304" w14:textId="77777777">
      <w:pPr>
        <w:pStyle w:val="ListParagraph"/>
        <w:ind w:left="0"/>
        <w:rPr>
          <w:rFonts w:ascii="Times New Roman" w:hAnsi="Times New Roman"/>
          <w:sz w:val="24"/>
          <w:szCs w:val="24"/>
        </w:rPr>
      </w:pPr>
    </w:p>
    <w:p w:rsidR="00E71554" w:rsidP="00197C46" w:rsidRDefault="00E71554" w14:paraId="744BD9B1" w14:textId="77777777">
      <w:pPr>
        <w:pStyle w:val="ListParagraph"/>
        <w:keepNext/>
        <w:ind w:left="0"/>
      </w:pPr>
      <w:r>
        <w:rPr>
          <w:noProof/>
        </w:rPr>
        <w:lastRenderedPageBreak/>
        <w:drawing>
          <wp:inline distT="0" distB="0" distL="0" distR="0" wp14:anchorId="33A7552F" wp14:editId="357BCBC2">
            <wp:extent cx="5943600" cy="2298065"/>
            <wp:effectExtent l="0" t="0" r="0" b="6985"/>
            <wp:docPr id="2070761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2298065"/>
                    </a:xfrm>
                    <a:prstGeom prst="rect">
                      <a:avLst/>
                    </a:prstGeom>
                  </pic:spPr>
                </pic:pic>
              </a:graphicData>
            </a:graphic>
          </wp:inline>
        </w:drawing>
      </w:r>
    </w:p>
    <w:p w:rsidRPr="00BC2762" w:rsidR="00E71554" w:rsidP="00197C46" w:rsidRDefault="00E71554" w14:paraId="1CEB41F4" w14:textId="41C95D46">
      <w:pPr>
        <w:pStyle w:val="Caption"/>
        <w:rPr>
          <w:rFonts w:ascii="Times New Roman" w:hAnsi="Times New Roman"/>
          <w:sz w:val="24"/>
          <w:szCs w:val="24"/>
        </w:rPr>
      </w:pPr>
      <w:r w:rsidRPr="00BC2762">
        <w:rPr>
          <w:rFonts w:ascii="Times New Roman" w:hAnsi="Times New Roman"/>
          <w:sz w:val="24"/>
          <w:szCs w:val="24"/>
        </w:rPr>
        <w:t xml:space="preserve">Figure </w:t>
      </w:r>
      <w:r w:rsidRPr="00BC2762">
        <w:rPr>
          <w:rFonts w:ascii="Times New Roman" w:hAnsi="Times New Roman"/>
          <w:sz w:val="24"/>
          <w:szCs w:val="24"/>
        </w:rPr>
        <w:fldChar w:fldCharType="begin"/>
      </w:r>
      <w:r w:rsidRPr="00BC2762">
        <w:rPr>
          <w:rFonts w:ascii="Times New Roman" w:hAnsi="Times New Roman"/>
          <w:sz w:val="24"/>
          <w:szCs w:val="24"/>
        </w:rPr>
        <w:instrText xml:space="preserve"> SEQ Figure \* ARABIC </w:instrText>
      </w:r>
      <w:r w:rsidRPr="00BC2762">
        <w:rPr>
          <w:rFonts w:ascii="Times New Roman" w:hAnsi="Times New Roman"/>
          <w:sz w:val="24"/>
          <w:szCs w:val="24"/>
        </w:rPr>
        <w:fldChar w:fldCharType="separate"/>
      </w:r>
      <w:r>
        <w:rPr>
          <w:rFonts w:ascii="Times New Roman" w:hAnsi="Times New Roman"/>
          <w:noProof/>
          <w:sz w:val="24"/>
          <w:szCs w:val="24"/>
        </w:rPr>
        <w:t>1</w:t>
      </w:r>
      <w:r w:rsidRPr="00BC2762">
        <w:rPr>
          <w:rFonts w:ascii="Times New Roman" w:hAnsi="Times New Roman"/>
          <w:sz w:val="24"/>
          <w:szCs w:val="24"/>
        </w:rPr>
        <w:fldChar w:fldCharType="end"/>
      </w:r>
    </w:p>
    <w:p w:rsidR="00B16B45" w:rsidP="00197C46" w:rsidRDefault="00E71554" w14:paraId="3EBC1B3F" w14:textId="1DCDEA56">
      <w:pPr>
        <w:pStyle w:val="ListParagraph"/>
        <w:ind w:left="0"/>
        <w:rPr>
          <w:rFonts w:ascii="Times New Roman" w:hAnsi="Times New Roman"/>
          <w:sz w:val="24"/>
          <w:szCs w:val="24"/>
        </w:rPr>
      </w:pPr>
      <w:r w:rsidRPr="79444010">
        <w:rPr>
          <w:rFonts w:ascii="Times New Roman" w:hAnsi="Times New Roman"/>
          <w:sz w:val="24"/>
          <w:szCs w:val="24"/>
        </w:rPr>
        <w:t>For each of the three categories of contact, agencies reported only one number, either actual or estimated, or indicated the information was not available or not applicable.</w:t>
      </w:r>
      <w:r w:rsidR="003758A5">
        <w:rPr>
          <w:rFonts w:ascii="Times New Roman" w:hAnsi="Times New Roman"/>
          <w:sz w:val="24"/>
          <w:szCs w:val="24"/>
        </w:rPr>
        <w:t xml:space="preserve">  In addition to the information in Figure 1, an additional question will be available for agencies to select if their agency does not participate in </w:t>
      </w:r>
      <w:r w:rsidRPr="003758A5" w:rsidR="003758A5">
        <w:rPr>
          <w:rFonts w:ascii="Times New Roman" w:hAnsi="Times New Roman"/>
          <w:i/>
          <w:iCs/>
          <w:sz w:val="24"/>
          <w:szCs w:val="24"/>
        </w:rPr>
        <w:t xml:space="preserve">Court/Bailiff </w:t>
      </w:r>
      <w:r w:rsidR="003758A5">
        <w:rPr>
          <w:rFonts w:ascii="Times New Roman" w:hAnsi="Times New Roman"/>
          <w:i/>
          <w:iCs/>
          <w:sz w:val="24"/>
          <w:szCs w:val="24"/>
        </w:rPr>
        <w:t>A</w:t>
      </w:r>
      <w:r w:rsidRPr="003758A5" w:rsidR="003758A5">
        <w:rPr>
          <w:rFonts w:ascii="Times New Roman" w:hAnsi="Times New Roman"/>
          <w:i/>
          <w:iCs/>
          <w:sz w:val="24"/>
          <w:szCs w:val="24"/>
        </w:rPr>
        <w:t>ctivitie</w:t>
      </w:r>
      <w:r w:rsidR="003758A5">
        <w:rPr>
          <w:rFonts w:ascii="Times New Roman" w:hAnsi="Times New Roman"/>
          <w:sz w:val="24"/>
          <w:szCs w:val="24"/>
        </w:rPr>
        <w:t xml:space="preserve">s.  Selecting this option would eliminate </w:t>
      </w:r>
      <w:r w:rsidRPr="003758A5" w:rsidR="003758A5">
        <w:rPr>
          <w:rFonts w:ascii="Times New Roman" w:hAnsi="Times New Roman"/>
          <w:i/>
          <w:iCs/>
          <w:sz w:val="24"/>
          <w:szCs w:val="24"/>
        </w:rPr>
        <w:t>Court/Bailiff Activ</w:t>
      </w:r>
      <w:r w:rsidR="003758A5">
        <w:rPr>
          <w:rFonts w:ascii="Times New Roman" w:hAnsi="Times New Roman"/>
          <w:i/>
          <w:iCs/>
          <w:sz w:val="24"/>
          <w:szCs w:val="24"/>
        </w:rPr>
        <w:t>ities</w:t>
      </w:r>
      <w:r w:rsidR="003758A5">
        <w:rPr>
          <w:rFonts w:ascii="Times New Roman" w:hAnsi="Times New Roman"/>
          <w:sz w:val="24"/>
          <w:szCs w:val="24"/>
        </w:rPr>
        <w:t xml:space="preserve"> as a require</w:t>
      </w:r>
      <w:r w:rsidR="00114FA6">
        <w:rPr>
          <w:rFonts w:ascii="Times New Roman" w:hAnsi="Times New Roman"/>
          <w:sz w:val="24"/>
          <w:szCs w:val="24"/>
        </w:rPr>
        <w:t>d</w:t>
      </w:r>
      <w:r w:rsidR="003758A5">
        <w:rPr>
          <w:rFonts w:ascii="Times New Roman" w:hAnsi="Times New Roman"/>
          <w:sz w:val="24"/>
          <w:szCs w:val="24"/>
        </w:rPr>
        <w:t xml:space="preserve"> field.</w:t>
      </w:r>
      <w:r w:rsidRPr="79444010">
        <w:rPr>
          <w:rFonts w:ascii="Times New Roman" w:hAnsi="Times New Roman"/>
          <w:sz w:val="24"/>
          <w:szCs w:val="24"/>
        </w:rPr>
        <w:t xml:space="preserve">  In order to capture this information, the FBI UCR Program’s National Use-of-Force Development Team created a separate web form within LEEP’s National Use-of-Force Data Collection </w:t>
      </w:r>
      <w:r w:rsidR="00277A2D">
        <w:rPr>
          <w:rFonts w:ascii="Times New Roman" w:hAnsi="Times New Roman"/>
          <w:sz w:val="24"/>
          <w:szCs w:val="24"/>
        </w:rPr>
        <w:t>P</w:t>
      </w:r>
      <w:r w:rsidRPr="79444010">
        <w:rPr>
          <w:rFonts w:ascii="Times New Roman" w:hAnsi="Times New Roman"/>
          <w:sz w:val="24"/>
          <w:szCs w:val="24"/>
        </w:rPr>
        <w:t xml:space="preserve">ortal. </w:t>
      </w:r>
    </w:p>
    <w:p w:rsidR="005D447C" w:rsidRDefault="00B16B45" w14:paraId="3BCB5910" w14:textId="77777777">
      <w:r>
        <w:t xml:space="preserve">All users access the portal through the LEEP.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r w:rsidR="005D447C">
        <w:t xml:space="preserve"> </w:t>
      </w:r>
    </w:p>
    <w:p w:rsidR="005D447C" w:rsidRDefault="005D447C" w14:paraId="1C5FFAA0" w14:textId="77777777"/>
    <w:p w:rsidR="00CF534E" w:rsidRDefault="00CF534E" w14:paraId="65AD4A8D" w14:textId="15C75DA3">
      <w:r w:rsidRPr="00A02298">
        <w:t>4.  Efforts to Identify Duplication:</w:t>
      </w:r>
    </w:p>
    <w:p w:rsidR="00B16B45" w:rsidRDefault="00B16B45" w14:paraId="7D53FECF" w14:textId="1A6347CF"/>
    <w:p w:rsidR="006627AB" w:rsidP="00197C46" w:rsidRDefault="00B16B45" w14:paraId="7A2CD290" w14:textId="0C32D902">
      <w:pPr>
        <w:rPr>
          <w:color w:val="000000"/>
        </w:rPr>
      </w:pPr>
      <w:r>
        <w:t xml:space="preserve">The FBI UCR Program has identified </w:t>
      </w:r>
      <w:r w:rsidR="005851B6">
        <w:t>the potential to create duplicative reporting of similar information by law enforcement agencies to the Department of Justice (DOJ).</w:t>
      </w:r>
      <w:r w:rsidR="007E5C3A">
        <w:t xml:space="preserve"> </w:t>
      </w:r>
      <w:r w:rsidR="005851B6">
        <w:t xml:space="preserve"> The </w:t>
      </w:r>
      <w:r w:rsidR="00BF0662">
        <w:t>Bureau</w:t>
      </w:r>
      <w:r w:rsidR="005851B6">
        <w:t xml:space="preserve"> of </w:t>
      </w:r>
      <w:r w:rsidRPr="006627AB" w:rsidR="005851B6">
        <w:t>Justice Statistics currently</w:t>
      </w:r>
      <w:r w:rsidRPr="006627AB" w:rsidR="00BF0662">
        <w:t xml:space="preserve"> maintains the Police-Public Contact Survey which focuses on contacts</w:t>
      </w:r>
      <w:r w:rsidRPr="006627AB" w:rsidR="00E94ED6">
        <w:t xml:space="preserve"> between law enforcement and the public</w:t>
      </w:r>
      <w:r w:rsidR="0061483A">
        <w:t xml:space="preserve"> and is</w:t>
      </w:r>
      <w:r w:rsidRPr="006627AB" w:rsidR="007F7AEC">
        <w:t xml:space="preserve"> </w:t>
      </w:r>
      <w:proofErr w:type="gramStart"/>
      <w:r w:rsidRPr="006627AB" w:rsidR="007F7AEC">
        <w:t>similar to</w:t>
      </w:r>
      <w:proofErr w:type="gramEnd"/>
      <w:r w:rsidRPr="006627AB" w:rsidR="007F7AEC">
        <w:t xml:space="preserve"> the structure of the LEPC data collection. </w:t>
      </w:r>
      <w:r w:rsidR="007E5C3A">
        <w:t xml:space="preserve"> </w:t>
      </w:r>
      <w:r w:rsidRPr="006627AB" w:rsidR="007F7AEC">
        <w:t xml:space="preserve">However, the Police-Public Contact Survey primarily receives its data from reports made by citizens and data provided by the National Crime Victimization Survey (NCVS). </w:t>
      </w:r>
      <w:r w:rsidR="007E5C3A">
        <w:t xml:space="preserve"> </w:t>
      </w:r>
      <w:r w:rsidRPr="006627AB" w:rsidR="007F7AEC">
        <w:t>Th</w:t>
      </w:r>
      <w:r w:rsidR="006627AB">
        <w:t>e NCVS</w:t>
      </w:r>
      <w:r w:rsidR="003549B1">
        <w:t xml:space="preserve"> </w:t>
      </w:r>
      <w:r w:rsidRPr="006627AB" w:rsidR="007F7AEC">
        <w:t xml:space="preserve">collects information from a </w:t>
      </w:r>
      <w:r w:rsidRPr="006627AB" w:rsidR="006627AB">
        <w:t>representative</w:t>
      </w:r>
      <w:r w:rsidRPr="006627AB" w:rsidR="007F7AEC">
        <w:t xml:space="preserve"> sample of </w:t>
      </w:r>
      <w:r w:rsidRPr="006627AB" w:rsidR="006627AB">
        <w:t>individuals</w:t>
      </w:r>
      <w:r w:rsidRPr="006627AB" w:rsidR="007F7AEC">
        <w:t xml:space="preserve"> </w:t>
      </w:r>
      <w:r w:rsidRPr="006627AB" w:rsidR="006627AB">
        <w:rPr>
          <w:color w:val="000000"/>
        </w:rPr>
        <w:t xml:space="preserve">on the frequency, characteristics, and consequences of criminal victimization in the United States. </w:t>
      </w:r>
      <w:r w:rsidR="007E5C3A">
        <w:rPr>
          <w:color w:val="000000"/>
        </w:rPr>
        <w:t xml:space="preserve"> </w:t>
      </w:r>
      <w:r w:rsidRPr="006627AB" w:rsidR="006627AB">
        <w:rPr>
          <w:color w:val="000000"/>
        </w:rPr>
        <w:t>This includes perceptions of police behavior and response during police-public contacts</w:t>
      </w:r>
      <w:r w:rsidR="006627AB">
        <w:rPr>
          <w:color w:val="000000"/>
        </w:rPr>
        <w:t>.</w:t>
      </w:r>
    </w:p>
    <w:p w:rsidR="006627AB" w:rsidP="00197C46" w:rsidRDefault="006627AB" w14:paraId="308AF807" w14:textId="5E59F397">
      <w:pPr>
        <w:rPr>
          <w:color w:val="000000"/>
        </w:rPr>
      </w:pPr>
    </w:p>
    <w:p w:rsidR="00BB36A8" w:rsidP="00197C46" w:rsidRDefault="006627AB" w14:paraId="37887321" w14:textId="1D183F35">
      <w:pPr>
        <w:rPr>
          <w:color w:val="000000"/>
        </w:rPr>
      </w:pPr>
      <w:r>
        <w:rPr>
          <w:color w:val="000000"/>
        </w:rPr>
        <w:t xml:space="preserve">In contrast to the Police-Public Contact Survey, the LEPC is designed to collect the annual counts of law enforcement-public contacts directly from law enforcement agencies participating with the FBI UCR Program. </w:t>
      </w:r>
      <w:r w:rsidR="007E5C3A">
        <w:rPr>
          <w:color w:val="000000"/>
        </w:rPr>
        <w:t xml:space="preserve"> </w:t>
      </w:r>
      <w:r>
        <w:rPr>
          <w:color w:val="000000"/>
        </w:rPr>
        <w:t>This allows the LEPC to benefit directly from the unique collection universe of</w:t>
      </w:r>
      <w:r w:rsidR="004E63FC">
        <w:rPr>
          <w:color w:val="000000"/>
        </w:rPr>
        <w:t xml:space="preserve"> Law Enforcement Agencies (</w:t>
      </w:r>
      <w:r>
        <w:rPr>
          <w:color w:val="000000"/>
        </w:rPr>
        <w:t>LEA</w:t>
      </w:r>
      <w:r w:rsidR="00CF2862">
        <w:rPr>
          <w:color w:val="000000"/>
        </w:rPr>
        <w:t>s</w:t>
      </w:r>
      <w:r w:rsidR="00877952">
        <w:rPr>
          <w:color w:val="000000"/>
        </w:rPr>
        <w:t>)</w:t>
      </w:r>
      <w:r>
        <w:rPr>
          <w:color w:val="000000"/>
        </w:rPr>
        <w:t xml:space="preserve"> established by the FBI UCR Program and collect </w:t>
      </w:r>
      <w:r>
        <w:rPr>
          <w:color w:val="000000"/>
        </w:rPr>
        <w:lastRenderedPageBreak/>
        <w:t xml:space="preserve">these data directly from participating agency </w:t>
      </w:r>
      <w:r w:rsidR="00FB5FFD">
        <w:rPr>
          <w:color w:val="000000"/>
        </w:rPr>
        <w:t>c</w:t>
      </w:r>
      <w:r>
        <w:rPr>
          <w:color w:val="000000"/>
        </w:rPr>
        <w:t xml:space="preserve">omputer </w:t>
      </w:r>
      <w:r w:rsidR="00FB5FFD">
        <w:rPr>
          <w:color w:val="000000"/>
        </w:rPr>
        <w:t>a</w:t>
      </w:r>
      <w:r>
        <w:rPr>
          <w:color w:val="000000"/>
        </w:rPr>
        <w:t xml:space="preserve">ided </w:t>
      </w:r>
      <w:r w:rsidR="00377AE8">
        <w:rPr>
          <w:color w:val="000000"/>
        </w:rPr>
        <w:t>d</w:t>
      </w:r>
      <w:r>
        <w:rPr>
          <w:color w:val="000000"/>
        </w:rPr>
        <w:t xml:space="preserve">ispatch and </w:t>
      </w:r>
      <w:r w:rsidR="004746D4">
        <w:rPr>
          <w:color w:val="000000"/>
        </w:rPr>
        <w:t>re</w:t>
      </w:r>
      <w:r>
        <w:rPr>
          <w:color w:val="000000"/>
        </w:rPr>
        <w:t xml:space="preserve">cord </w:t>
      </w:r>
      <w:r w:rsidR="004746D4">
        <w:rPr>
          <w:color w:val="000000"/>
        </w:rPr>
        <w:t>m</w:t>
      </w:r>
      <w:r>
        <w:rPr>
          <w:color w:val="000000"/>
        </w:rPr>
        <w:t xml:space="preserve">anagement </w:t>
      </w:r>
      <w:r w:rsidR="004746D4">
        <w:rPr>
          <w:color w:val="000000"/>
        </w:rPr>
        <w:t>s</w:t>
      </w:r>
      <w:r>
        <w:rPr>
          <w:color w:val="000000"/>
        </w:rPr>
        <w:t xml:space="preserve">ystems (RMS). </w:t>
      </w:r>
      <w:r w:rsidR="007E5C3A">
        <w:rPr>
          <w:color w:val="000000"/>
        </w:rPr>
        <w:t xml:space="preserve"> </w:t>
      </w:r>
      <w:r>
        <w:rPr>
          <w:color w:val="000000"/>
        </w:rPr>
        <w:t>The benefits of having access to the FBI UCR Programs LEA universe allow for a more comprehensive evaluation of total coverage compared to</w:t>
      </w:r>
      <w:r w:rsidR="00BB36A8">
        <w:rPr>
          <w:color w:val="000000"/>
        </w:rPr>
        <w:t xml:space="preserve"> the Police-Public Contac</w:t>
      </w:r>
      <w:r w:rsidR="00EC385D">
        <w:rPr>
          <w:color w:val="000000"/>
        </w:rPr>
        <w:t>t</w:t>
      </w:r>
      <w:r w:rsidR="00BB36A8">
        <w:rPr>
          <w:color w:val="000000"/>
        </w:rPr>
        <w:t xml:space="preserve"> Survey, which</w:t>
      </w:r>
      <w:r>
        <w:rPr>
          <w:color w:val="000000"/>
        </w:rPr>
        <w:t xml:space="preserve"> </w:t>
      </w:r>
      <w:r w:rsidR="00BB36A8">
        <w:rPr>
          <w:color w:val="000000"/>
        </w:rPr>
        <w:t>focuses</w:t>
      </w:r>
      <w:r>
        <w:rPr>
          <w:color w:val="000000"/>
        </w:rPr>
        <w:t xml:space="preserve"> on </w:t>
      </w:r>
      <w:r w:rsidR="00BB36A8">
        <w:rPr>
          <w:color w:val="000000"/>
        </w:rPr>
        <w:t xml:space="preserve">a </w:t>
      </w:r>
      <w:r>
        <w:rPr>
          <w:color w:val="000000"/>
        </w:rPr>
        <w:t>representative sample</w:t>
      </w:r>
      <w:r w:rsidR="00BB36A8">
        <w:rPr>
          <w:color w:val="000000"/>
        </w:rPr>
        <w:t xml:space="preserve"> of respondents</w:t>
      </w:r>
      <w:r>
        <w:rPr>
          <w:color w:val="000000"/>
        </w:rPr>
        <w:t xml:space="preserve"> </w:t>
      </w:r>
      <w:r w:rsidR="00BB36A8">
        <w:rPr>
          <w:color w:val="000000"/>
        </w:rPr>
        <w:t>and developing population estimates.</w:t>
      </w:r>
    </w:p>
    <w:p w:rsidR="00BB36A8" w:rsidP="00197C46" w:rsidRDefault="00BB36A8" w14:paraId="3A69AE32" w14:textId="77777777">
      <w:pPr>
        <w:rPr>
          <w:color w:val="000000"/>
        </w:rPr>
      </w:pPr>
    </w:p>
    <w:p w:rsidRPr="00A77F2F" w:rsidR="006627AB" w:rsidP="00197C46" w:rsidRDefault="00532961" w14:paraId="56B00778" w14:textId="710B6A52">
      <w:pPr>
        <w:rPr>
          <w:color w:val="FF0000"/>
        </w:rPr>
      </w:pPr>
      <w:r>
        <w:rPr>
          <w:color w:val="000000"/>
        </w:rPr>
        <w:t>Due to</w:t>
      </w:r>
      <w:r w:rsidR="00BB36A8">
        <w:rPr>
          <w:color w:val="000000"/>
        </w:rPr>
        <w:t xml:space="preserve"> these differences, there is </w:t>
      </w:r>
      <w:r>
        <w:rPr>
          <w:color w:val="000000"/>
        </w:rPr>
        <w:t>little to no</w:t>
      </w:r>
      <w:r w:rsidR="00BB36A8">
        <w:rPr>
          <w:color w:val="000000"/>
        </w:rPr>
        <w:t xml:space="preserve"> risk of duplicative reporting between these two collections. </w:t>
      </w:r>
      <w:r>
        <w:rPr>
          <w:color w:val="000000"/>
        </w:rPr>
        <w:t xml:space="preserve"> These </w:t>
      </w:r>
      <w:r w:rsidR="005F1F76">
        <w:rPr>
          <w:color w:val="000000"/>
        </w:rPr>
        <w:t xml:space="preserve">two collections </w:t>
      </w:r>
      <w:r w:rsidR="008076B8">
        <w:rPr>
          <w:color w:val="000000"/>
        </w:rPr>
        <w:t xml:space="preserve">are designed to collect data from separate respondent populations and from separate </w:t>
      </w:r>
      <w:r w:rsidR="00CB635F">
        <w:rPr>
          <w:color w:val="000000"/>
        </w:rPr>
        <w:t>viewpoints</w:t>
      </w:r>
      <w:r w:rsidR="00773E27">
        <w:rPr>
          <w:color w:val="000000"/>
        </w:rPr>
        <w:t xml:space="preserve"> of the population</w:t>
      </w:r>
      <w:r w:rsidR="00CB635F">
        <w:rPr>
          <w:color w:val="000000"/>
        </w:rPr>
        <w:t>.</w:t>
      </w:r>
      <w:r w:rsidR="007E5C3A">
        <w:rPr>
          <w:color w:val="000000"/>
        </w:rPr>
        <w:t xml:space="preserve"> </w:t>
      </w:r>
      <w:r w:rsidR="00CB635F">
        <w:rPr>
          <w:color w:val="000000"/>
        </w:rPr>
        <w:t xml:space="preserve"> </w:t>
      </w:r>
      <w:r w:rsidR="00773E27">
        <w:t>T</w:t>
      </w:r>
      <w:r w:rsidR="00BB36A8">
        <w:t xml:space="preserve">he FBI </w:t>
      </w:r>
      <w:r w:rsidR="00E554C7">
        <w:t>UCR Program</w:t>
      </w:r>
      <w:r w:rsidR="00BB36A8">
        <w:t xml:space="preserve"> is working closely with the DOJ to ensure there is no duplicative recordkeeping by law enforcement.  An important aspect of the LEPC </w:t>
      </w:r>
      <w:r w:rsidR="00F766E7">
        <w:t>D</w:t>
      </w:r>
      <w:r w:rsidR="00BB36A8">
        <w:t xml:space="preserve">ata </w:t>
      </w:r>
      <w:r w:rsidR="00F766E7">
        <w:t>C</w:t>
      </w:r>
      <w:r w:rsidR="00BB36A8">
        <w:t xml:space="preserve">ollection is </w:t>
      </w:r>
      <w:r w:rsidR="008E116E">
        <w:t>it</w:t>
      </w:r>
      <w:r w:rsidR="00BB36A8">
        <w:t xml:space="preserve"> </w:t>
      </w:r>
      <w:r w:rsidR="008E116E">
        <w:t>will be</w:t>
      </w:r>
      <w:r w:rsidR="00BB36A8">
        <w:t xml:space="preserve"> closely tied to the National </w:t>
      </w:r>
      <w:r w:rsidR="00902CCF">
        <w:br/>
        <w:t>Use-of-</w:t>
      </w:r>
      <w:r w:rsidR="00BB36A8">
        <w:t xml:space="preserve">Force Data Collection, thus many of the strategies to minimize duplicative reporting employed for the National Use-of-Force Data Collection will be available to support the LEPC.  </w:t>
      </w:r>
      <w:r w:rsidRPr="009F7BF8" w:rsidR="00BB36A8">
        <w:t xml:space="preserve">The FBI </w:t>
      </w:r>
      <w:r w:rsidR="008E116E">
        <w:t>UCR Program</w:t>
      </w:r>
      <w:r w:rsidRPr="009F7BF8" w:rsidR="00BB36A8">
        <w:t xml:space="preserve"> and the DOJ use information and experiences gathered during interactions with LEPC pilot agencies </w:t>
      </w:r>
      <w:r w:rsidR="00C8052A">
        <w:t>as part of</w:t>
      </w:r>
      <w:r w:rsidRPr="009F7BF8" w:rsidR="00BB36A8">
        <w:t xml:space="preserve"> a study to explore the burden and impact of the duplicative reporting at the federal level on law enforcement agencies.  The </w:t>
      </w:r>
      <w:r w:rsidRPr="009F7BF8" w:rsidR="008E116E">
        <w:t>FBI</w:t>
      </w:r>
      <w:r w:rsidR="008E116E">
        <w:t xml:space="preserve"> UCR Program</w:t>
      </w:r>
      <w:r w:rsidRPr="009F7BF8" w:rsidR="00BB36A8">
        <w:t xml:space="preserve"> will develop a communications strategy in order to manage any release of information </w:t>
      </w:r>
      <w:proofErr w:type="gramStart"/>
      <w:r w:rsidRPr="009F7BF8" w:rsidR="00BB36A8">
        <w:t>on the subject of law</w:t>
      </w:r>
      <w:proofErr w:type="gramEnd"/>
      <w:r w:rsidRPr="009F7BF8" w:rsidR="00BB36A8">
        <w:t xml:space="preserve"> enforcement public contact. </w:t>
      </w:r>
      <w:r w:rsidR="007E5C3A">
        <w:t xml:space="preserve"> </w:t>
      </w:r>
      <w:r w:rsidRPr="009F7BF8" w:rsidR="00BB36A8">
        <w:t xml:space="preserve">This strategy specifically addresses </w:t>
      </w:r>
      <w:r w:rsidRPr="009F7BF8" w:rsidR="009F7BF8">
        <w:t>the</w:t>
      </w:r>
      <w:r w:rsidRPr="009F7BF8" w:rsidR="00BB36A8">
        <w:t xml:space="preserve"> differences between the two agencies’ collections of public contact data in order to facilitate the proper interpretation of the data.  </w:t>
      </w:r>
    </w:p>
    <w:p w:rsidR="000773ED" w:rsidRDefault="000773ED" w14:paraId="0A77D432" w14:textId="77777777"/>
    <w:p w:rsidR="00CF534E" w:rsidRDefault="00CF534E" w14:paraId="34CFE1EE" w14:textId="0AA10A34">
      <w:r w:rsidRPr="00A02298">
        <w:t xml:space="preserve">5.   Methods to Minimize Burden on Small </w:t>
      </w:r>
      <w:r w:rsidR="00B91B31">
        <w:t>Agencies</w:t>
      </w:r>
      <w:r w:rsidRPr="00A02298">
        <w:t>:</w:t>
      </w:r>
    </w:p>
    <w:p w:rsidR="00A77F2F" w:rsidRDefault="00A77F2F" w14:paraId="0AF477C8" w14:textId="5FA3EBDA"/>
    <w:p w:rsidRPr="00A02298" w:rsidR="00A77F2F" w:rsidP="00197C46" w:rsidRDefault="00A77F2F" w14:paraId="2EDB2FAF" w14:textId="236F4D52">
      <w:pPr>
        <w:pStyle w:val="ListParagraph"/>
        <w:autoSpaceDE w:val="0"/>
        <w:autoSpaceDN w:val="0"/>
        <w:adjustRightInd w:val="0"/>
        <w:spacing w:after="0" w:line="240" w:lineRule="auto"/>
        <w:ind w:left="0"/>
        <w:rPr>
          <w:rFonts w:ascii="Times New Roman" w:hAnsi="Times New Roman"/>
          <w:sz w:val="24"/>
          <w:szCs w:val="24"/>
        </w:rPr>
      </w:pPr>
      <w:r w:rsidRPr="00A02298">
        <w:rPr>
          <w:rFonts w:ascii="Times New Roman" w:hAnsi="Times New Roman"/>
          <w:sz w:val="24"/>
          <w:szCs w:val="24"/>
        </w:rPr>
        <w:t xml:space="preserve">Small government entities may be impacted by the </w:t>
      </w:r>
      <w:r>
        <w:rPr>
          <w:rFonts w:ascii="Times New Roman" w:hAnsi="Times New Roman"/>
          <w:sz w:val="24"/>
          <w:szCs w:val="24"/>
        </w:rPr>
        <w:t>LEPC Data Collection.</w:t>
      </w:r>
      <w:r w:rsidR="007E5C3A">
        <w:rPr>
          <w:rFonts w:ascii="Times New Roman" w:hAnsi="Times New Roman"/>
          <w:sz w:val="24"/>
          <w:szCs w:val="24"/>
        </w:rPr>
        <w:t xml:space="preserve"> </w:t>
      </w:r>
      <w:r>
        <w:rPr>
          <w:rFonts w:ascii="Times New Roman" w:hAnsi="Times New Roman"/>
          <w:sz w:val="24"/>
          <w:szCs w:val="24"/>
        </w:rPr>
        <w:t xml:space="preserve"> </w:t>
      </w:r>
      <w:r w:rsidRPr="00A02298">
        <w:rPr>
          <w:rFonts w:ascii="Times New Roman" w:hAnsi="Times New Roman"/>
          <w:sz w:val="24"/>
          <w:szCs w:val="24"/>
        </w:rPr>
        <w:t>In mitigation, the FBI</w:t>
      </w:r>
      <w:r>
        <w:rPr>
          <w:rFonts w:ascii="Times New Roman" w:hAnsi="Times New Roman"/>
          <w:sz w:val="24"/>
          <w:szCs w:val="24"/>
        </w:rPr>
        <w:t xml:space="preserve"> </w:t>
      </w:r>
      <w:r w:rsidR="008E116E">
        <w:rPr>
          <w:rFonts w:ascii="Times New Roman" w:hAnsi="Times New Roman"/>
          <w:sz w:val="24"/>
          <w:szCs w:val="24"/>
        </w:rPr>
        <w:t xml:space="preserve">UCR Program </w:t>
      </w:r>
      <w:r>
        <w:rPr>
          <w:rFonts w:ascii="Times New Roman" w:hAnsi="Times New Roman"/>
          <w:sz w:val="24"/>
          <w:szCs w:val="24"/>
        </w:rPr>
        <w:t xml:space="preserve">will only be offering participation in the LEPC </w:t>
      </w:r>
      <w:r w:rsidR="006B76CB">
        <w:rPr>
          <w:rFonts w:ascii="Times New Roman" w:hAnsi="Times New Roman"/>
          <w:sz w:val="24"/>
          <w:szCs w:val="24"/>
        </w:rPr>
        <w:t>Data Collection to those agencies that are already participating in the National Use-of-Force Data Collection.</w:t>
      </w:r>
      <w:r w:rsidR="007E5C3A">
        <w:rPr>
          <w:rFonts w:ascii="Times New Roman" w:hAnsi="Times New Roman"/>
          <w:sz w:val="24"/>
          <w:szCs w:val="24"/>
        </w:rPr>
        <w:t xml:space="preserve"> </w:t>
      </w:r>
      <w:r w:rsidR="006B76CB">
        <w:rPr>
          <w:rFonts w:ascii="Times New Roman" w:hAnsi="Times New Roman"/>
          <w:sz w:val="24"/>
          <w:szCs w:val="24"/>
        </w:rPr>
        <w:t xml:space="preserve"> As the LEPC collection tool is built within the National Use-of-Force Data Collection Portal, all participating agencies </w:t>
      </w:r>
      <w:r w:rsidR="00902CCF">
        <w:rPr>
          <w:rFonts w:ascii="Times New Roman" w:hAnsi="Times New Roman"/>
          <w:sz w:val="24"/>
          <w:szCs w:val="24"/>
        </w:rPr>
        <w:t xml:space="preserve">already will </w:t>
      </w:r>
      <w:r w:rsidR="006B76CB">
        <w:rPr>
          <w:rFonts w:ascii="Times New Roman" w:hAnsi="Times New Roman"/>
          <w:sz w:val="24"/>
          <w:szCs w:val="24"/>
        </w:rPr>
        <w:t>have access to the web portal for reporting their annual figures.</w:t>
      </w:r>
      <w:r w:rsidRPr="00A02298">
        <w:rPr>
          <w:rFonts w:ascii="Times New Roman" w:hAnsi="Times New Roman"/>
          <w:sz w:val="24"/>
          <w:szCs w:val="24"/>
        </w:rPr>
        <w:t xml:space="preserve"> </w:t>
      </w:r>
    </w:p>
    <w:p w:rsidR="000773ED" w:rsidP="00BF01FF" w:rsidRDefault="000773ED" w14:paraId="4A18E03F" w14:textId="77777777">
      <w:pPr>
        <w:keepNext/>
      </w:pPr>
    </w:p>
    <w:p w:rsidR="00CF534E" w:rsidP="00BF01FF" w:rsidRDefault="00CF534E" w14:paraId="62EBF3C5" w14:textId="32142695">
      <w:pPr>
        <w:keepNext/>
      </w:pPr>
      <w:r w:rsidRPr="00A02298">
        <w:t>6.  Consequences of Less Frequent Collection:</w:t>
      </w:r>
    </w:p>
    <w:p w:rsidR="00EC76E5" w:rsidP="00BF01FF" w:rsidRDefault="00EC76E5" w14:paraId="7F1076A2" w14:textId="35A42ECC">
      <w:pPr>
        <w:keepNext/>
      </w:pPr>
    </w:p>
    <w:p w:rsidR="006F526C" w:rsidP="00CB795B" w:rsidRDefault="00EF181F" w14:paraId="72A665A4" w14:textId="08864EEA">
      <w:pPr>
        <w:keepNext/>
      </w:pPr>
      <w:r>
        <w:t xml:space="preserve">The LEPC is designed to </w:t>
      </w:r>
      <w:r w:rsidR="002D14AA">
        <w:t xml:space="preserve">provide context to the National Use-of-Force Data Collection, which </w:t>
      </w:r>
      <w:r w:rsidR="00EA647B">
        <w:t>provides data based on each given collection year</w:t>
      </w:r>
      <w:r w:rsidR="003E79C8">
        <w:t>.</w:t>
      </w:r>
      <w:r w:rsidR="004D4FF9">
        <w:t xml:space="preserve">  T</w:t>
      </w:r>
      <w:r w:rsidR="003E79C8">
        <w:t xml:space="preserve">he National Use-of-Force </w:t>
      </w:r>
      <w:r w:rsidR="00EC337E">
        <w:t>Data Collection is</w:t>
      </w:r>
      <w:r w:rsidR="00B000A9">
        <w:t xml:space="preserve"> tied to OMB publication thresholds that restrict the amount and type of detail</w:t>
      </w:r>
      <w:r w:rsidR="0002387F">
        <w:t xml:space="preserve"> </w:t>
      </w:r>
      <w:r w:rsidR="00B36F25">
        <w:t>which</w:t>
      </w:r>
      <w:r w:rsidR="0002387F">
        <w:t xml:space="preserve"> can be published based on the total coverage percentage of law enforcement officers</w:t>
      </w:r>
      <w:r w:rsidR="007E5C3A">
        <w:t xml:space="preserve"> </w:t>
      </w:r>
      <w:r w:rsidR="0002387F">
        <w:t>participating in the collection for any given year.</w:t>
      </w:r>
      <w:r w:rsidR="007E5C3A">
        <w:t xml:space="preserve"> </w:t>
      </w:r>
      <w:r w:rsidR="0002387F">
        <w:t xml:space="preserve"> </w:t>
      </w:r>
      <w:r w:rsidR="00E553B3">
        <w:t>As th</w:t>
      </w:r>
      <w:r w:rsidR="006D4794">
        <w:t xml:space="preserve">e LEPC </w:t>
      </w:r>
      <w:r w:rsidR="006909FA">
        <w:t>D</w:t>
      </w:r>
      <w:r w:rsidR="006E62EC">
        <w:t xml:space="preserve">ata </w:t>
      </w:r>
      <w:r w:rsidR="006909FA">
        <w:t>C</w:t>
      </w:r>
      <w:r w:rsidR="006E62EC">
        <w:t>ollection pro</w:t>
      </w:r>
      <w:r w:rsidR="00F0279C">
        <w:t>vide</w:t>
      </w:r>
      <w:r w:rsidR="0053696C">
        <w:t>s</w:t>
      </w:r>
      <w:r w:rsidR="00F0279C">
        <w:t xml:space="preserve"> additional understand</w:t>
      </w:r>
      <w:r w:rsidR="00F0405F">
        <w:t>ing</w:t>
      </w:r>
      <w:r w:rsidR="00F0279C">
        <w:t xml:space="preserve"> to </w:t>
      </w:r>
      <w:r w:rsidR="00027E1A">
        <w:t>use-of-force</w:t>
      </w:r>
      <w:r w:rsidR="00F57C02">
        <w:t xml:space="preserve"> data</w:t>
      </w:r>
      <w:r w:rsidR="000E4F47">
        <w:t xml:space="preserve">, </w:t>
      </w:r>
      <w:r w:rsidR="00027E1A">
        <w:t>not collecting this</w:t>
      </w:r>
      <w:r w:rsidR="006B01E0">
        <w:t xml:space="preserve"> </w:t>
      </w:r>
      <w:r w:rsidR="004714C9">
        <w:t>information will</w:t>
      </w:r>
      <w:r w:rsidR="00AE03AA">
        <w:t xml:space="preserve"> lead to a continued lack of </w:t>
      </w:r>
      <w:r w:rsidR="00A20402">
        <w:t>contextual</w:t>
      </w:r>
      <w:r w:rsidR="008C75A3">
        <w:t xml:space="preserve"> knowledge</w:t>
      </w:r>
      <w:r w:rsidR="00A20402">
        <w:t xml:space="preserve"> of use-of-force </w:t>
      </w:r>
      <w:r w:rsidR="00373E66">
        <w:t>incidents</w:t>
      </w:r>
      <w:r w:rsidR="00447038">
        <w:t>.</w:t>
      </w:r>
      <w:r w:rsidR="007E5C3A">
        <w:t xml:space="preserve"> </w:t>
      </w:r>
      <w:r w:rsidR="00447038">
        <w:t xml:space="preserve"> This lack of context will become more pronounced once </w:t>
      </w:r>
      <w:r w:rsidR="004E1C35">
        <w:t>the National</w:t>
      </w:r>
      <w:r w:rsidR="000E4F47">
        <w:t xml:space="preserve"> </w:t>
      </w:r>
      <w:r w:rsidR="004E1C35">
        <w:t>Use-of-Force</w:t>
      </w:r>
      <w:r w:rsidR="004D4FF9">
        <w:t xml:space="preserve"> D</w:t>
      </w:r>
      <w:r w:rsidR="004E1C35">
        <w:t xml:space="preserve">ata </w:t>
      </w:r>
      <w:r w:rsidR="004D4FF9">
        <w:t>C</w:t>
      </w:r>
      <w:r w:rsidR="004E1C35">
        <w:t>ollection</w:t>
      </w:r>
      <w:r w:rsidR="00A20402">
        <w:t xml:space="preserve"> </w:t>
      </w:r>
      <w:r w:rsidR="00CE1933">
        <w:t>achieve</w:t>
      </w:r>
      <w:r w:rsidR="006909FA">
        <w:t>s</w:t>
      </w:r>
      <w:r w:rsidR="00CE1933">
        <w:t xml:space="preserve"> further levels of thresholds and begin</w:t>
      </w:r>
      <w:r w:rsidR="006909FA">
        <w:t>s</w:t>
      </w:r>
      <w:r w:rsidR="00CE1933">
        <w:t xml:space="preserve"> </w:t>
      </w:r>
      <w:r w:rsidR="008D66EB">
        <w:t>releasing</w:t>
      </w:r>
      <w:r w:rsidR="00CE1933">
        <w:t xml:space="preserve"> </w:t>
      </w:r>
      <w:r w:rsidR="00A73DFF">
        <w:t>additional details around the annual</w:t>
      </w:r>
      <w:r w:rsidR="008D66EB">
        <w:t xml:space="preserve"> use-of-force data.</w:t>
      </w:r>
      <w:r w:rsidR="00CB795B">
        <w:br/>
      </w:r>
    </w:p>
    <w:p w:rsidR="008C04DE" w:rsidP="00197C46" w:rsidRDefault="00E858BA" w14:paraId="0CF70113" w14:textId="3EB3DD05">
      <w:r>
        <w:t>The frequency of submission is in keeping with other</w:t>
      </w:r>
      <w:r w:rsidR="00D47F22">
        <w:t xml:space="preserve"> </w:t>
      </w:r>
      <w:r>
        <w:t>data collections associated with the FBI UCR Program and will ensure the data provided can provide the level of understanding needed on this important topic.</w:t>
      </w:r>
      <w:r w:rsidR="007E5C3A">
        <w:t xml:space="preserve"> </w:t>
      </w:r>
      <w:r w:rsidRPr="00A02298">
        <w:t xml:space="preserve"> </w:t>
      </w:r>
      <w:r>
        <w:t>Collecting LEPC data les</w:t>
      </w:r>
      <w:r w:rsidR="007E5C3A">
        <w:t>s</w:t>
      </w:r>
      <w:r>
        <w:t xml:space="preserve"> </w:t>
      </w:r>
      <w:r w:rsidR="00D47F22">
        <w:t>frequently</w:t>
      </w:r>
      <w:r>
        <w:t xml:space="preserve"> would delay </w:t>
      </w:r>
      <w:r w:rsidR="00D47F22">
        <w:t xml:space="preserve">providing additional </w:t>
      </w:r>
    </w:p>
    <w:p w:rsidRPr="00A02298" w:rsidR="008D66EB" w:rsidP="00197C46" w:rsidRDefault="00D47F22" w14:paraId="3CAE925C" w14:textId="7AF0E9F9">
      <w:r>
        <w:lastRenderedPageBreak/>
        <w:t>context for the annual publication</w:t>
      </w:r>
      <w:r w:rsidR="00C31548">
        <w:t>s</w:t>
      </w:r>
      <w:r>
        <w:t xml:space="preserve"> of the National Use-of-Force Data Collection</w:t>
      </w:r>
      <w:r w:rsidR="00C31548">
        <w:t xml:space="preserve"> and lead to a reduction in utility of both collections.</w:t>
      </w:r>
      <w:r>
        <w:t xml:space="preserve"> </w:t>
      </w:r>
    </w:p>
    <w:p w:rsidRPr="00A02298" w:rsidR="00CF534E" w:rsidRDefault="00CF534E" w14:paraId="52A385A3" w14:textId="77777777"/>
    <w:p w:rsidRPr="00A02298" w:rsidR="00CF534E" w:rsidRDefault="00CF534E" w14:paraId="55905DCF" w14:textId="569FFC6B">
      <w:r w:rsidRPr="00A02298">
        <w:t>7.  Special Circumstances Influencing Collection:</w:t>
      </w:r>
    </w:p>
    <w:p w:rsidRPr="00A02298" w:rsidR="00CF534E" w:rsidRDefault="00CF534E" w14:paraId="5997CC1D" w14:textId="77777777"/>
    <w:p w:rsidR="5C9A64AD" w:rsidP="00197C46" w:rsidRDefault="001F063A" w14:paraId="5F45FA45" w14:textId="59410238">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There are no special circumstances associated with this collection. </w:t>
      </w:r>
      <w:r w:rsidR="007E5C3A">
        <w:rPr>
          <w:rFonts w:ascii="Times New Roman" w:hAnsi="Times New Roman"/>
          <w:sz w:val="24"/>
          <w:szCs w:val="24"/>
        </w:rPr>
        <w:t xml:space="preserve"> </w:t>
      </w:r>
      <w:r w:rsidR="006C6D8F">
        <w:rPr>
          <w:rFonts w:ascii="Times New Roman" w:hAnsi="Times New Roman"/>
          <w:sz w:val="24"/>
          <w:szCs w:val="24"/>
        </w:rPr>
        <w:t xml:space="preserve">The FBI UCR Program is </w:t>
      </w:r>
      <w:r w:rsidR="004D4FF9">
        <w:rPr>
          <w:rFonts w:ascii="Times New Roman" w:hAnsi="Times New Roman"/>
          <w:sz w:val="24"/>
          <w:szCs w:val="24"/>
        </w:rPr>
        <w:t>requesting</w:t>
      </w:r>
      <w:r w:rsidR="006C6D8F">
        <w:rPr>
          <w:rFonts w:ascii="Times New Roman" w:hAnsi="Times New Roman"/>
          <w:sz w:val="24"/>
          <w:szCs w:val="24"/>
        </w:rPr>
        <w:t xml:space="preserve"> all participating agencies</w:t>
      </w:r>
      <w:r w:rsidR="00840962">
        <w:rPr>
          <w:rFonts w:ascii="Times New Roman" w:hAnsi="Times New Roman"/>
          <w:sz w:val="24"/>
          <w:szCs w:val="24"/>
        </w:rPr>
        <w:t xml:space="preserve"> annually</w:t>
      </w:r>
      <w:r w:rsidR="006C6D8F">
        <w:rPr>
          <w:rFonts w:ascii="Times New Roman" w:hAnsi="Times New Roman"/>
          <w:sz w:val="24"/>
          <w:szCs w:val="24"/>
        </w:rPr>
        <w:t xml:space="preserve"> </w:t>
      </w:r>
      <w:r w:rsidR="00AC7FD6">
        <w:rPr>
          <w:rFonts w:ascii="Times New Roman" w:hAnsi="Times New Roman"/>
          <w:sz w:val="24"/>
          <w:szCs w:val="24"/>
        </w:rPr>
        <w:t>submit a single report of LEPC counts to the electronic application</w:t>
      </w:r>
      <w:r w:rsidR="006B6969">
        <w:rPr>
          <w:rFonts w:ascii="Times New Roman" w:hAnsi="Times New Roman"/>
          <w:sz w:val="24"/>
          <w:szCs w:val="24"/>
        </w:rPr>
        <w:t xml:space="preserve">. </w:t>
      </w:r>
      <w:r w:rsidR="007E5C3A">
        <w:rPr>
          <w:rFonts w:ascii="Times New Roman" w:hAnsi="Times New Roman"/>
          <w:sz w:val="24"/>
          <w:szCs w:val="24"/>
        </w:rPr>
        <w:t xml:space="preserve"> </w:t>
      </w:r>
      <w:r w:rsidR="006B6969">
        <w:rPr>
          <w:rFonts w:ascii="Times New Roman" w:hAnsi="Times New Roman"/>
          <w:sz w:val="24"/>
          <w:szCs w:val="24"/>
        </w:rPr>
        <w:t xml:space="preserve">The </w:t>
      </w:r>
      <w:r w:rsidR="00F56BA9">
        <w:rPr>
          <w:rFonts w:ascii="Times New Roman" w:hAnsi="Times New Roman"/>
          <w:sz w:val="24"/>
          <w:szCs w:val="24"/>
        </w:rPr>
        <w:t>electronic</w:t>
      </w:r>
      <w:r w:rsidR="006B6969">
        <w:rPr>
          <w:rFonts w:ascii="Times New Roman" w:hAnsi="Times New Roman"/>
          <w:sz w:val="24"/>
          <w:szCs w:val="24"/>
        </w:rPr>
        <w:t xml:space="preserve"> application is housed on the National Use-of-Force Portal </w:t>
      </w:r>
      <w:r w:rsidR="00F56BA9">
        <w:rPr>
          <w:rFonts w:ascii="Times New Roman" w:hAnsi="Times New Roman"/>
          <w:sz w:val="24"/>
          <w:szCs w:val="24"/>
        </w:rPr>
        <w:t>and available to all agencies currently participating in the National Use-of-Force Data Collection.</w:t>
      </w:r>
    </w:p>
    <w:p w:rsidR="000773ED" w:rsidP="5C9A64AD" w:rsidRDefault="000773ED" w14:paraId="58D76A50" w14:textId="77777777"/>
    <w:p w:rsidR="1F342768" w:rsidP="5C9A64AD" w:rsidRDefault="1F342768" w14:paraId="7D96CC28" w14:textId="664AA637">
      <w:r w:rsidRPr="5C9A64AD">
        <w:t>8.  Public Comments and Consultations:</w:t>
      </w:r>
    </w:p>
    <w:p w:rsidR="5C9A64AD" w:rsidP="5C9A64AD" w:rsidRDefault="5C9A64AD" w14:paraId="05F465F3" w14:textId="3466110F">
      <w:pPr>
        <w:pStyle w:val="ListParagraph"/>
        <w:spacing w:after="0" w:line="240" w:lineRule="auto"/>
        <w:ind w:left="360"/>
        <w:rPr>
          <w:rFonts w:ascii="Times New Roman" w:hAnsi="Times New Roman"/>
          <w:sz w:val="24"/>
          <w:szCs w:val="24"/>
        </w:rPr>
      </w:pPr>
    </w:p>
    <w:p w:rsidRPr="00A02298" w:rsidR="005874E8" w:rsidP="00197C46" w:rsidRDefault="005874E8" w14:paraId="59FA8210" w14:textId="741507CC">
      <w:pPr>
        <w:pStyle w:val="CommentText"/>
        <w:rPr>
          <w:sz w:val="24"/>
          <w:szCs w:val="24"/>
        </w:rPr>
      </w:pPr>
      <w:r w:rsidRPr="102FBE6F">
        <w:rPr>
          <w:sz w:val="24"/>
          <w:szCs w:val="24"/>
        </w:rPr>
        <w:t xml:space="preserve">On </w:t>
      </w:r>
      <w:r w:rsidR="00CB1256">
        <w:rPr>
          <w:sz w:val="24"/>
          <w:szCs w:val="24"/>
        </w:rPr>
        <w:t>February 22</w:t>
      </w:r>
      <w:r>
        <w:rPr>
          <w:sz w:val="24"/>
          <w:szCs w:val="24"/>
        </w:rPr>
        <w:t>, 2021</w:t>
      </w:r>
      <w:r w:rsidRPr="102FBE6F">
        <w:rPr>
          <w:sz w:val="24"/>
          <w:szCs w:val="24"/>
        </w:rPr>
        <w:t xml:space="preserve">, a 60-day </w:t>
      </w:r>
      <w:r w:rsidRPr="00D3569E">
        <w:rPr>
          <w:i/>
          <w:sz w:val="24"/>
          <w:szCs w:val="24"/>
        </w:rPr>
        <w:t>Federal Register</w:t>
      </w:r>
      <w:r w:rsidRPr="102FBE6F">
        <w:rPr>
          <w:sz w:val="24"/>
          <w:szCs w:val="24"/>
        </w:rPr>
        <w:t xml:space="preserve"> Notice was published </w:t>
      </w:r>
      <w:r w:rsidR="00397CB3">
        <w:rPr>
          <w:sz w:val="24"/>
          <w:szCs w:val="24"/>
        </w:rPr>
        <w:t xml:space="preserve">on the </w:t>
      </w:r>
      <w:r w:rsidRPr="00397CB3" w:rsidR="00397CB3">
        <w:rPr>
          <w:i/>
          <w:iCs/>
          <w:sz w:val="24"/>
          <w:szCs w:val="24"/>
        </w:rPr>
        <w:t>Federal Register</w:t>
      </w:r>
      <w:r w:rsidR="00397CB3">
        <w:rPr>
          <w:i/>
          <w:iCs/>
          <w:sz w:val="24"/>
          <w:szCs w:val="24"/>
        </w:rPr>
        <w:t xml:space="preserve"> </w:t>
      </w:r>
      <w:r w:rsidR="00397CB3">
        <w:rPr>
          <w:sz w:val="24"/>
          <w:szCs w:val="24"/>
        </w:rPr>
        <w:t>for public comment</w:t>
      </w:r>
      <w:r w:rsidRPr="102FBE6F">
        <w:rPr>
          <w:sz w:val="24"/>
          <w:szCs w:val="24"/>
        </w:rPr>
        <w:t>.  There were no comments received.</w:t>
      </w:r>
    </w:p>
    <w:p w:rsidRPr="00A02298" w:rsidR="00CF534E" w:rsidP="001961F8" w:rsidRDefault="00CF534E" w14:paraId="1231BE67" w14:textId="405A88DE"/>
    <w:p w:rsidRPr="00A02298" w:rsidR="00CF534E" w:rsidRDefault="692FF196" w14:paraId="1E7F6B89" w14:textId="23CE7AA3">
      <w:r>
        <w:t>9</w:t>
      </w:r>
      <w:r w:rsidR="00CF534E">
        <w:t>.  Payment of Gift to Claimants:</w:t>
      </w:r>
    </w:p>
    <w:p w:rsidRPr="00A02298" w:rsidR="00CF534E" w:rsidRDefault="00CF534E" w14:paraId="36FEB5B0" w14:textId="77777777"/>
    <w:p w:rsidRPr="00A02298" w:rsidR="0048246C" w:rsidP="00197C46" w:rsidRDefault="0048246C" w14:paraId="24980FF5" w14:textId="0746C155">
      <w:pPr>
        <w:pStyle w:val="ListParagraph"/>
        <w:autoSpaceDE w:val="0"/>
        <w:autoSpaceDN w:val="0"/>
        <w:adjustRightInd w:val="0"/>
        <w:spacing w:after="0" w:line="240" w:lineRule="auto"/>
        <w:ind w:left="0"/>
        <w:rPr>
          <w:rFonts w:ascii="Times New Roman" w:hAnsi="Times New Roman"/>
          <w:sz w:val="24"/>
          <w:szCs w:val="24"/>
        </w:rPr>
      </w:pPr>
      <w:r w:rsidRPr="5C9A64AD">
        <w:rPr>
          <w:rFonts w:ascii="Times New Roman" w:hAnsi="Times New Roman"/>
          <w:sz w:val="24"/>
          <w:szCs w:val="24"/>
        </w:rPr>
        <w:t>Not applicable.</w:t>
      </w:r>
    </w:p>
    <w:p w:rsidR="0060666F" w:rsidRDefault="0060666F" w14:paraId="3F184CB6" w14:textId="77777777"/>
    <w:p w:rsidRPr="00A02298" w:rsidR="00CF534E" w:rsidRDefault="1600C808" w14:paraId="031D3FC7" w14:textId="054B9178">
      <w:r>
        <w:t>10</w:t>
      </w:r>
      <w:r w:rsidR="00CF534E">
        <w:t>.  Assurance of Confidentiality:</w:t>
      </w:r>
    </w:p>
    <w:p w:rsidR="00F65D05" w:rsidP="42763F00" w:rsidRDefault="00F65D05" w14:paraId="7196D064" w14:textId="04E47D70"/>
    <w:p w:rsidRPr="00112336" w:rsidR="00657A9C" w:rsidP="00197C46" w:rsidRDefault="009077E7" w14:paraId="4CACE46A" w14:textId="3FAA80EC">
      <w:r w:rsidRPr="00112336">
        <w:t xml:space="preserve">As participating agencies will </w:t>
      </w:r>
      <w:r w:rsidRPr="00112336" w:rsidR="00606261">
        <w:t xml:space="preserve">be asked to </w:t>
      </w:r>
      <w:r w:rsidRPr="00112336" w:rsidR="009036B2">
        <w:t>only provide</w:t>
      </w:r>
      <w:r w:rsidRPr="00112336" w:rsidR="007C13E3">
        <w:t xml:space="preserve"> </w:t>
      </w:r>
      <w:r w:rsidRPr="00112336" w:rsidR="001F0850">
        <w:t xml:space="preserve">simple counts of </w:t>
      </w:r>
      <w:r w:rsidRPr="00112336" w:rsidR="00946548">
        <w:t xml:space="preserve">LEPC </w:t>
      </w:r>
      <w:r w:rsidRPr="00112336" w:rsidR="00832CAE">
        <w:t xml:space="preserve">on an annual basis, there is little risk to </w:t>
      </w:r>
      <w:r w:rsidRPr="00112336" w:rsidR="00507AC5">
        <w:t>the privacy of the individuals, officers, or agenc</w:t>
      </w:r>
      <w:r w:rsidR="004E0E66">
        <w:t>ies</w:t>
      </w:r>
      <w:r w:rsidRPr="00112336" w:rsidR="00507AC5">
        <w:t xml:space="preserve"> involved in a single public contact.</w:t>
      </w:r>
      <w:r w:rsidR="007E5C3A">
        <w:t xml:space="preserve"> </w:t>
      </w:r>
      <w:r w:rsidRPr="00112336" w:rsidR="00507AC5">
        <w:t xml:space="preserve"> The LEPC </w:t>
      </w:r>
      <w:r w:rsidR="008613BE">
        <w:t>D</w:t>
      </w:r>
      <w:r w:rsidRPr="00112336" w:rsidR="00507AC5">
        <w:t xml:space="preserve">ata </w:t>
      </w:r>
      <w:r w:rsidR="008613BE">
        <w:t>C</w:t>
      </w:r>
      <w:r w:rsidRPr="00112336" w:rsidR="00507AC5">
        <w:t>ollection</w:t>
      </w:r>
      <w:r w:rsidRPr="00112336" w:rsidR="009F1505">
        <w:t xml:space="preserve"> </w:t>
      </w:r>
      <w:r w:rsidRPr="00112336" w:rsidR="00A879E1">
        <w:t xml:space="preserve">will not be collecting data on </w:t>
      </w:r>
      <w:r w:rsidRPr="00112336" w:rsidR="00C3239A">
        <w:t>an i</w:t>
      </w:r>
      <w:r w:rsidR="00BA3505">
        <w:t>ndividual</w:t>
      </w:r>
      <w:r w:rsidRPr="00112336" w:rsidR="00C3239A">
        <w:t xml:space="preserve"> incident </w:t>
      </w:r>
      <w:r w:rsidRPr="00112336" w:rsidR="00FF2CC0">
        <w:t xml:space="preserve">or any data that would qualify as personally identifiable information. </w:t>
      </w:r>
      <w:r w:rsidR="007E5C3A">
        <w:t xml:space="preserve"> </w:t>
      </w:r>
      <w:r w:rsidRPr="00112336" w:rsidR="00FF2CC0">
        <w:t xml:space="preserve">The LEPC </w:t>
      </w:r>
      <w:r w:rsidR="004E0E66">
        <w:t>D</w:t>
      </w:r>
      <w:r w:rsidRPr="00112336" w:rsidR="00FF2CC0">
        <w:t xml:space="preserve">ata </w:t>
      </w:r>
      <w:r w:rsidR="004E0E66">
        <w:t>C</w:t>
      </w:r>
      <w:r w:rsidRPr="00112336" w:rsidR="00FF2CC0">
        <w:t xml:space="preserve">ollection is designed to </w:t>
      </w:r>
      <w:r w:rsidRPr="00112336" w:rsidR="00AB7073">
        <w:t>supplement</w:t>
      </w:r>
      <w:r w:rsidRPr="00112336" w:rsidR="00FF2CC0">
        <w:t xml:space="preserve"> the National Use-of Force Data </w:t>
      </w:r>
      <w:r w:rsidRPr="00112336" w:rsidR="00AB7073">
        <w:t>C</w:t>
      </w:r>
      <w:r w:rsidRPr="00112336" w:rsidR="00FF2CC0">
        <w:t>ollection</w:t>
      </w:r>
      <w:r w:rsidRPr="00112336" w:rsidR="00AB7073">
        <w:t>,</w:t>
      </w:r>
      <w:r w:rsidRPr="00112336" w:rsidR="00C370A9">
        <w:t xml:space="preserve"> which involved a full privacy impact assessment before authorization was granted.</w:t>
      </w:r>
    </w:p>
    <w:p w:rsidR="00B118C0" w:rsidP="00197C46" w:rsidRDefault="00B118C0" w14:paraId="5AF59B3D" w14:textId="1B51517F">
      <w:pPr>
        <w:rPr>
          <w:color w:val="FF0000"/>
        </w:rPr>
      </w:pPr>
    </w:p>
    <w:p w:rsidR="00CB795B" w:rsidRDefault="00B118C0" w14:paraId="3853E599" w14:textId="0D53DB42">
      <w:pPr>
        <w:rPr>
          <w:snapToGrid w:val="0"/>
        </w:rPr>
      </w:pPr>
      <w:r w:rsidRPr="00A02298">
        <w:rPr>
          <w:snapToGrid w:val="0"/>
        </w:rPr>
        <w:t xml:space="preserve">Access to </w:t>
      </w:r>
      <w:r>
        <w:rPr>
          <w:snapToGrid w:val="0"/>
        </w:rPr>
        <w:t>any</w:t>
      </w:r>
      <w:r w:rsidRPr="00A02298">
        <w:rPr>
          <w:snapToGrid w:val="0"/>
        </w:rPr>
        <w:t xml:space="preserve"> raw data within the National Use-of-Force Data Collection is restricted to contributing </w:t>
      </w:r>
      <w:r w:rsidR="00B53620">
        <w:rPr>
          <w:snapToGrid w:val="0"/>
        </w:rPr>
        <w:t>LEAs</w:t>
      </w:r>
      <w:r w:rsidRPr="00A02298">
        <w:rPr>
          <w:snapToGrid w:val="0"/>
        </w:rPr>
        <w:t xml:space="preserve"> and FBI personnel supporting the </w:t>
      </w:r>
      <w:r>
        <w:rPr>
          <w:snapToGrid w:val="0"/>
        </w:rPr>
        <w:t xml:space="preserve">LEPC </w:t>
      </w:r>
      <w:r w:rsidR="008613BE">
        <w:rPr>
          <w:snapToGrid w:val="0"/>
        </w:rPr>
        <w:t>D</w:t>
      </w:r>
      <w:r>
        <w:rPr>
          <w:snapToGrid w:val="0"/>
        </w:rPr>
        <w:t xml:space="preserve">ata </w:t>
      </w:r>
      <w:r w:rsidR="008613BE">
        <w:rPr>
          <w:snapToGrid w:val="0"/>
        </w:rPr>
        <w:t>C</w:t>
      </w:r>
      <w:r>
        <w:rPr>
          <w:snapToGrid w:val="0"/>
        </w:rPr>
        <w:t>ollection</w:t>
      </w:r>
      <w:r w:rsidR="00190B80">
        <w:rPr>
          <w:snapToGrid w:val="0"/>
        </w:rPr>
        <w:t>.</w:t>
      </w:r>
    </w:p>
    <w:p w:rsidRPr="00CB795B" w:rsidR="001961F8" w:rsidRDefault="001961F8" w14:paraId="6ADA4325" w14:textId="77777777">
      <w:pPr>
        <w:rPr>
          <w:color w:val="FF0000"/>
        </w:rPr>
      </w:pPr>
    </w:p>
    <w:p w:rsidR="00CF534E" w:rsidRDefault="00CF534E" w14:paraId="3A64EF8E" w14:textId="307939E8">
      <w:r>
        <w:t>1</w:t>
      </w:r>
      <w:r w:rsidR="5C4F8E59">
        <w:t>1</w:t>
      </w:r>
      <w:r>
        <w:t>.  Justification for Sensitive Questions:</w:t>
      </w:r>
    </w:p>
    <w:p w:rsidR="00453B56" w:rsidRDefault="00453B56" w14:paraId="0C658821" w14:textId="2E24164F"/>
    <w:p w:rsidRPr="00A02298" w:rsidR="00CF534E" w:rsidRDefault="00453B56" w14:paraId="4D46F061" w14:textId="5F546358">
      <w:r w:rsidRPr="00A02298">
        <w:t>Not applicable.</w:t>
      </w:r>
    </w:p>
    <w:p w:rsidR="006F526C" w:rsidP="00B63CEE" w:rsidRDefault="006F526C" w14:paraId="4B8527C9" w14:textId="77777777"/>
    <w:p w:rsidRPr="008C2EAB" w:rsidR="008C2EAB" w:rsidP="00B63CEE" w:rsidRDefault="006F47B7" w14:paraId="73051B06" w14:textId="304EDE63">
      <w:r>
        <w:t>1</w:t>
      </w:r>
      <w:r w:rsidR="4F9DF5DE">
        <w:t>2</w:t>
      </w:r>
      <w:r w:rsidR="00B50EA9">
        <w:t>. Estimate of Hour Burden:</w:t>
      </w:r>
    </w:p>
    <w:p w:rsidR="008C2EAB" w:rsidP="00D3569E" w:rsidRDefault="008C2EAB" w14:paraId="4F8ECE90" w14:textId="22836684">
      <w:pPr>
        <w:jc w:val="both"/>
      </w:pPr>
    </w:p>
    <w:p w:rsidR="00B1087D" w:rsidP="00620142" w:rsidRDefault="00450D01" w14:paraId="7AEC5BCE" w14:textId="4BA2D726">
      <w:r>
        <w:t>Burden estimate</w:t>
      </w:r>
      <w:r w:rsidR="00144088">
        <w:t>s</w:t>
      </w:r>
      <w:r>
        <w:t xml:space="preserve"> are based on results from the FBI UCR Program </w:t>
      </w:r>
      <w:r w:rsidR="00217CC4">
        <w:t xml:space="preserve">LEPC </w:t>
      </w:r>
      <w:r w:rsidR="008613BE">
        <w:t>D</w:t>
      </w:r>
      <w:r w:rsidR="00217CC4">
        <w:t xml:space="preserve">ata </w:t>
      </w:r>
      <w:r w:rsidR="008613BE">
        <w:t>C</w:t>
      </w:r>
      <w:r w:rsidR="00217CC4">
        <w:t>ollection pilot results.</w:t>
      </w:r>
      <w:r w:rsidR="007E5C3A">
        <w:t xml:space="preserve"> </w:t>
      </w:r>
      <w:r w:rsidR="00217CC4">
        <w:t xml:space="preserve"> According to the results of the pilot, </w:t>
      </w:r>
      <w:r w:rsidR="0018325D">
        <w:t xml:space="preserve">21 of the </w:t>
      </w:r>
      <w:r w:rsidR="00A134C7">
        <w:t xml:space="preserve">26 agencies that submitted data for the pilot stated it required less than 30 minutes to </w:t>
      </w:r>
      <w:r w:rsidR="000208F2">
        <w:t xml:space="preserve">obtain and submit their data to the electronic application. </w:t>
      </w:r>
      <w:r w:rsidR="007E5C3A">
        <w:t xml:space="preserve"> </w:t>
      </w:r>
      <w:r w:rsidR="00CF522D">
        <w:t xml:space="preserve">The FBI UCR Program is </w:t>
      </w:r>
      <w:r w:rsidR="004E637A">
        <w:t>allowing</w:t>
      </w:r>
      <w:r w:rsidR="00CF522D">
        <w:t xml:space="preserve"> for all agencies participating in the National Use-of-Force Data Collection to</w:t>
      </w:r>
      <w:r w:rsidR="004E637A">
        <w:t xml:space="preserve"> also provide LEPC data.</w:t>
      </w:r>
      <w:r w:rsidR="007E5C3A">
        <w:t xml:space="preserve"> </w:t>
      </w:r>
      <w:r w:rsidR="004E637A">
        <w:t xml:space="preserve"> As it is the goal for the FB</w:t>
      </w:r>
      <w:r w:rsidR="00017C59">
        <w:t>I</w:t>
      </w:r>
      <w:r w:rsidR="004E637A">
        <w:t xml:space="preserve"> UCR Program to </w:t>
      </w:r>
      <w:r w:rsidR="00017C59">
        <w:t xml:space="preserve">increase participation in the National Use-of-Force Data Collection </w:t>
      </w:r>
      <w:r w:rsidR="00F34969">
        <w:t>to all</w:t>
      </w:r>
      <w:r w:rsidR="009C3B8D">
        <w:t xml:space="preserve"> LEAs</w:t>
      </w:r>
      <w:r w:rsidR="00F34969">
        <w:t xml:space="preserve">, the estimation of burden hours will reflect </w:t>
      </w:r>
      <w:r w:rsidR="00B351DD">
        <w:t xml:space="preserve">the required burden for all agencies participating in the </w:t>
      </w:r>
      <w:r w:rsidR="00B351DD">
        <w:lastRenderedPageBreak/>
        <w:t>FBI UCR Program.</w:t>
      </w:r>
      <w:r w:rsidR="007E5C3A">
        <w:t xml:space="preserve"> </w:t>
      </w:r>
      <w:r w:rsidR="00B351DD">
        <w:t xml:space="preserve"> The FBI UCR Program currently </w:t>
      </w:r>
      <w:r w:rsidR="000C2684">
        <w:t>has</w:t>
      </w:r>
      <w:r w:rsidR="00B427AC">
        <w:t xml:space="preserve"> </w:t>
      </w:r>
      <w:r w:rsidR="00CD26E3">
        <w:t>18,671 LEAs</w:t>
      </w:r>
      <w:r w:rsidR="000C2684">
        <w:t xml:space="preserve"> enrolled </w:t>
      </w:r>
      <w:r w:rsidR="00F62C60">
        <w:t>as participating.</w:t>
      </w:r>
      <w:r w:rsidR="007E5C3A">
        <w:t xml:space="preserve"> </w:t>
      </w:r>
      <w:r w:rsidR="00F62C60">
        <w:t xml:space="preserve"> </w:t>
      </w:r>
      <w:r w:rsidR="00BC77D9">
        <w:t xml:space="preserve">The FBI UCR Program estimates the burden hours for the LEPC Data </w:t>
      </w:r>
      <w:r w:rsidR="00BE5E53">
        <w:t>C</w:t>
      </w:r>
      <w:r w:rsidR="00BC77D9">
        <w:t xml:space="preserve">ollection </w:t>
      </w:r>
      <w:r w:rsidR="00BE5E53">
        <w:t xml:space="preserve">at </w:t>
      </w:r>
      <w:r w:rsidR="00D71E90">
        <w:t>9,335.5 hours (18,671 X .5 hours)</w:t>
      </w:r>
      <w:r w:rsidR="00772D36">
        <w:t>.</w:t>
      </w:r>
      <w:r w:rsidR="00B351DD">
        <w:t xml:space="preserve"> </w:t>
      </w:r>
    </w:p>
    <w:p w:rsidR="0060666F" w:rsidP="00B1087D" w:rsidRDefault="0060666F" w14:paraId="57E9D730" w14:textId="77777777"/>
    <w:p w:rsidRPr="00A02298" w:rsidR="00B1087D" w:rsidP="00B1087D" w:rsidRDefault="00B1087D" w14:paraId="588ADAC8" w14:textId="5ACBCFA5">
      <w:r>
        <w:t>13. Estimate of Cost Burden:</w:t>
      </w:r>
    </w:p>
    <w:p w:rsidRPr="00A02298" w:rsidR="00B1087D" w:rsidP="00197C46" w:rsidRDefault="00B1087D" w14:paraId="61F81F9E" w14:textId="77777777"/>
    <w:p w:rsidRPr="00A02298" w:rsidR="00B1087D" w:rsidP="00197C46" w:rsidRDefault="00B1087D" w14:paraId="06E1DEFF" w14:textId="090C2E44">
      <w:pPr>
        <w:pStyle w:val="NormalWeb"/>
        <w:rPr>
          <w:color w:val="000000"/>
        </w:rPr>
      </w:pPr>
      <w:r w:rsidRPr="00A02298">
        <w:rPr>
          <w:color w:val="000000"/>
        </w:rPr>
        <w:t>There are no direct costs to law enforcement to participate in the FBI UCR Program other than their time to respond</w:t>
      </w:r>
      <w:r>
        <w:rPr>
          <w:color w:val="000000"/>
        </w:rPr>
        <w:t xml:space="preserve"> to the data collection and for any additional follow-up between the agency and the FBI UCR Program</w:t>
      </w:r>
      <w:r w:rsidRPr="00A02298">
        <w:rPr>
          <w:color w:val="000000"/>
        </w:rPr>
        <w:t xml:space="preserve">.  Respondents may incur capital or start-up costs associated with this </w:t>
      </w:r>
      <w:r w:rsidR="009C3B8D">
        <w:rPr>
          <w:color w:val="000000"/>
        </w:rPr>
        <w:t>data</w:t>
      </w:r>
      <w:r w:rsidRPr="00A02298">
        <w:rPr>
          <w:color w:val="000000"/>
        </w:rPr>
        <w:t xml:space="preserve"> collection, although it is difficult to obtain the costs to agency </w:t>
      </w:r>
      <w:r w:rsidR="009C3B8D">
        <w:rPr>
          <w:color w:val="000000"/>
        </w:rPr>
        <w:t xml:space="preserve">RMS </w:t>
      </w:r>
      <w:r w:rsidR="00C119E6">
        <w:rPr>
          <w:color w:val="000000"/>
        </w:rPr>
        <w:t>since</w:t>
      </w:r>
      <w:r w:rsidRPr="00A02298">
        <w:rPr>
          <w:color w:val="000000"/>
        </w:rPr>
        <w:t xml:space="preserve"> the v</w:t>
      </w:r>
      <w:r w:rsidR="000C666C">
        <w:rPr>
          <w:color w:val="000000"/>
        </w:rPr>
        <w:t xml:space="preserve">endor costs vary from agency-to-agency.  </w:t>
      </w:r>
      <w:r w:rsidRPr="00A02298">
        <w:rPr>
          <w:color w:val="000000"/>
        </w:rPr>
        <w:t xml:space="preserve">Many costs are built into the </w:t>
      </w:r>
      <w:r w:rsidR="000C666C">
        <w:rPr>
          <w:color w:val="000000"/>
        </w:rPr>
        <w:t xml:space="preserve">vendors Service Level Agreement </w:t>
      </w:r>
      <w:r w:rsidRPr="00A02298" w:rsidR="000C666C">
        <w:rPr>
          <w:color w:val="000000"/>
        </w:rPr>
        <w:t>contracts.</w:t>
      </w:r>
      <w:r w:rsidR="001B6FEF">
        <w:rPr>
          <w:color w:val="000000"/>
        </w:rPr>
        <w:t xml:space="preserve"> </w:t>
      </w:r>
      <w:r w:rsidRPr="00A02298" w:rsidR="000C666C">
        <w:rPr>
          <w:color w:val="000000"/>
        </w:rPr>
        <w:t> </w:t>
      </w:r>
      <w:r w:rsidRPr="00A02298">
        <w:rPr>
          <w:color w:val="000000"/>
        </w:rPr>
        <w:t>Depending on the vendor contracts, changes may be included within the original contract with no additional costs.  An estimate has been projected that agencies pay an $18,000 maintenance fee every year for system maintenance costs.  However, these agencies are required to maintain their systems for their own purposes regardless of whether they report crime data to the FBI UCR Program.</w:t>
      </w:r>
    </w:p>
    <w:p w:rsidRPr="00A02298" w:rsidR="00B1087D" w:rsidP="00B1087D" w:rsidRDefault="00B1087D" w14:paraId="22349403" w14:textId="77777777"/>
    <w:p w:rsidR="00B1087D" w:rsidP="00B1087D" w:rsidRDefault="00B1087D" w14:paraId="561EF37B" w14:textId="422F2423">
      <w:pPr>
        <w:pStyle w:val="ListParagraph"/>
        <w:numPr>
          <w:ilvl w:val="0"/>
          <w:numId w:val="1"/>
        </w:numPr>
        <w:spacing w:line="240" w:lineRule="auto"/>
        <w:ind w:left="360"/>
        <w:rPr>
          <w:rFonts w:ascii="Times New Roman" w:hAnsi="Times New Roman" w:eastAsia="Times New Roman"/>
          <w:sz w:val="24"/>
          <w:szCs w:val="24"/>
        </w:rPr>
      </w:pPr>
      <w:r w:rsidRPr="0060666F">
        <w:rPr>
          <w:rFonts w:ascii="Times New Roman" w:hAnsi="Times New Roman"/>
          <w:sz w:val="24"/>
          <w:szCs w:val="24"/>
        </w:rPr>
        <w:t>Cost to Federal Government:</w:t>
      </w:r>
    </w:p>
    <w:p w:rsidR="009C3B8D" w:rsidP="00197C46" w:rsidRDefault="00144BD7" w14:paraId="4629FA57" w14:textId="57ADE76C">
      <w:r w:rsidRPr="4833D558">
        <w:t>The following is a cost module provided by the FBI CJIS</w:t>
      </w:r>
      <w:r>
        <w:t xml:space="preserve"> Division</w:t>
      </w:r>
      <w:r w:rsidRPr="4833D558">
        <w:t>, Resource</w:t>
      </w:r>
      <w:r w:rsidR="0023340B">
        <w:t>s</w:t>
      </w:r>
      <w:r w:rsidRPr="4833D558">
        <w:t xml:space="preserve"> Management Section, Fee Programs Unit, for the entire FBI UCR Program.  These are projections based upon prior collection activity, as well as activities anticipated over the next three years for both the National Incident-Based Reporting System (NIBRS) and </w:t>
      </w:r>
      <w:r>
        <w:t>the Summary Reporting System (</w:t>
      </w:r>
      <w:r w:rsidRPr="4833D558">
        <w:t>SRS</w:t>
      </w:r>
      <w:r>
        <w:t>)</w:t>
      </w:r>
      <w:r w:rsidRPr="4833D558">
        <w:t xml:space="preserve">. </w:t>
      </w:r>
      <w:r w:rsidR="00A862DB">
        <w:t xml:space="preserve">The FBI UCR Program </w:t>
      </w:r>
      <w:r w:rsidR="00815E11">
        <w:t>discontinued</w:t>
      </w:r>
      <w:r w:rsidR="00A862DB">
        <w:t xml:space="preserve"> the collection of new data through the SRS </w:t>
      </w:r>
      <w:r w:rsidR="00815E11">
        <w:t xml:space="preserve">on </w:t>
      </w:r>
    </w:p>
    <w:p w:rsidRPr="00A02298" w:rsidR="00B520B1" w:rsidP="00144BD7" w:rsidRDefault="00815E11" w14:paraId="77ED9DF0" w14:textId="3193F2C6">
      <w:r>
        <w:t>January 1, 2021.</w:t>
      </w:r>
      <w:r w:rsidR="007E5C3A">
        <w:t xml:space="preserve"> </w:t>
      </w:r>
      <w:r>
        <w:t xml:space="preserve"> However, the numbers included below still contain annualized costs from 2020 for both NIBRS and SRS. </w:t>
      </w:r>
      <w:r w:rsidRPr="4833D558" w:rsidR="00144BD7">
        <w:t xml:space="preserve"> The cost module does not separate the costs between the two methods of collecting UCR data.</w:t>
      </w:r>
    </w:p>
    <w:p w:rsidRPr="00144BD7" w:rsidR="00144BD7" w:rsidP="00144BD7" w:rsidRDefault="00144BD7" w14:paraId="5F1136C4" w14:textId="77777777"/>
    <w:tbl>
      <w:tblPr>
        <w:tblStyle w:val="TableGrid"/>
        <w:tblW w:w="9360" w:type="dxa"/>
        <w:tblLayout w:type="fixed"/>
        <w:tblLook w:val="06A0" w:firstRow="1" w:lastRow="0" w:firstColumn="1" w:lastColumn="0" w:noHBand="1" w:noVBand="1"/>
      </w:tblPr>
      <w:tblGrid>
        <w:gridCol w:w="3120"/>
        <w:gridCol w:w="3120"/>
        <w:gridCol w:w="3120"/>
      </w:tblGrid>
      <w:tr w:rsidR="003E531C" w:rsidTr="003E531C" w14:paraId="48A7A2BD" w14:textId="77777777">
        <w:trPr>
          <w:tblHeader/>
        </w:trPr>
        <w:tc>
          <w:tcPr>
            <w:tcW w:w="3120" w:type="dxa"/>
          </w:tcPr>
          <w:p w:rsidRPr="00466602" w:rsidR="003E531C" w:rsidP="003E531C" w:rsidRDefault="003E531C" w14:paraId="56256584" w14:textId="77777777">
            <w:pPr>
              <w:ind w:left="360"/>
              <w:rPr>
                <w:sz w:val="18"/>
                <w:szCs w:val="18"/>
              </w:rPr>
            </w:pPr>
            <w:r w:rsidRPr="00466602">
              <w:rPr>
                <w:sz w:val="18"/>
                <w:szCs w:val="18"/>
              </w:rPr>
              <w:t>Activity</w:t>
            </w:r>
          </w:p>
        </w:tc>
        <w:tc>
          <w:tcPr>
            <w:tcW w:w="3120" w:type="dxa"/>
          </w:tcPr>
          <w:p w:rsidRPr="00466602" w:rsidR="003E531C" w:rsidP="00C52A22" w:rsidRDefault="003E531C" w14:paraId="73B46239" w14:textId="37AAEA9E">
            <w:pPr>
              <w:rPr>
                <w:sz w:val="18"/>
                <w:szCs w:val="18"/>
              </w:rPr>
            </w:pPr>
            <w:r w:rsidRPr="00466602">
              <w:rPr>
                <w:sz w:val="18"/>
                <w:szCs w:val="18"/>
              </w:rPr>
              <w:t>FY2020 Annualized Cost</w:t>
            </w:r>
          </w:p>
        </w:tc>
        <w:tc>
          <w:tcPr>
            <w:tcW w:w="3120" w:type="dxa"/>
          </w:tcPr>
          <w:p w:rsidRPr="00466602" w:rsidR="003E531C" w:rsidP="00C52A22" w:rsidRDefault="003E531C" w14:paraId="6A292CC6" w14:textId="205D0065">
            <w:pPr>
              <w:rPr>
                <w:sz w:val="18"/>
                <w:szCs w:val="18"/>
              </w:rPr>
            </w:pPr>
            <w:r w:rsidRPr="00466602">
              <w:rPr>
                <w:sz w:val="18"/>
                <w:szCs w:val="18"/>
              </w:rPr>
              <w:t>FY2020 Annualized FTE</w:t>
            </w:r>
          </w:p>
        </w:tc>
      </w:tr>
      <w:tr w:rsidR="003E531C" w:rsidTr="003E531C" w14:paraId="4AE60E63" w14:textId="77777777">
        <w:tc>
          <w:tcPr>
            <w:tcW w:w="3120" w:type="dxa"/>
            <w:vAlign w:val="bottom"/>
          </w:tcPr>
          <w:p w:rsidRPr="00466602" w:rsidR="003E531C" w:rsidP="003E531C" w:rsidRDefault="003E531C" w14:paraId="5A397C21" w14:textId="2068BCDC">
            <w:pPr>
              <w:rPr>
                <w:sz w:val="18"/>
                <w:szCs w:val="18"/>
              </w:rPr>
            </w:pPr>
            <w:r w:rsidRPr="00466602">
              <w:rPr>
                <w:color w:val="000000"/>
                <w:sz w:val="18"/>
                <w:szCs w:val="18"/>
              </w:rPr>
              <w:t>Conduct Assessment / Perform Analysis</w:t>
            </w:r>
          </w:p>
        </w:tc>
        <w:tc>
          <w:tcPr>
            <w:tcW w:w="3120" w:type="dxa"/>
            <w:vAlign w:val="bottom"/>
          </w:tcPr>
          <w:p w:rsidRPr="00466602" w:rsidR="003E531C" w:rsidP="003E531C" w:rsidRDefault="003E531C" w14:paraId="6A5BF1D3" w14:textId="6D221225">
            <w:pPr>
              <w:rPr>
                <w:sz w:val="18"/>
                <w:szCs w:val="18"/>
              </w:rPr>
            </w:pPr>
            <w:r w:rsidRPr="00466602">
              <w:rPr>
                <w:color w:val="000000"/>
                <w:sz w:val="18"/>
                <w:szCs w:val="18"/>
              </w:rPr>
              <w:t xml:space="preserve"> $      91,640.91 </w:t>
            </w:r>
          </w:p>
        </w:tc>
        <w:tc>
          <w:tcPr>
            <w:tcW w:w="3120" w:type="dxa"/>
            <w:vAlign w:val="bottom"/>
          </w:tcPr>
          <w:p w:rsidRPr="00466602" w:rsidR="003E531C" w:rsidP="003E531C" w:rsidRDefault="003E531C" w14:paraId="645924CF" w14:textId="4F1F078E">
            <w:pPr>
              <w:rPr>
                <w:sz w:val="18"/>
                <w:szCs w:val="18"/>
              </w:rPr>
            </w:pPr>
            <w:r w:rsidRPr="00466602">
              <w:rPr>
                <w:color w:val="000000"/>
                <w:sz w:val="18"/>
                <w:szCs w:val="18"/>
              </w:rPr>
              <w:t>0.45</w:t>
            </w:r>
          </w:p>
        </w:tc>
      </w:tr>
      <w:tr w:rsidR="003E531C" w:rsidTr="003E531C" w14:paraId="1471914A" w14:textId="77777777">
        <w:tc>
          <w:tcPr>
            <w:tcW w:w="3120" w:type="dxa"/>
            <w:vAlign w:val="bottom"/>
          </w:tcPr>
          <w:p w:rsidRPr="00466602" w:rsidR="003E531C" w:rsidP="003E531C" w:rsidRDefault="003E531C" w14:paraId="76C2C919" w14:textId="7471C500">
            <w:pPr>
              <w:rPr>
                <w:sz w:val="18"/>
                <w:szCs w:val="18"/>
              </w:rPr>
            </w:pPr>
            <w:r w:rsidRPr="00466602">
              <w:rPr>
                <w:color w:val="000000"/>
                <w:sz w:val="18"/>
                <w:szCs w:val="18"/>
              </w:rPr>
              <w:t>Conduct Liaison, Education, and Promotion</w:t>
            </w:r>
          </w:p>
        </w:tc>
        <w:tc>
          <w:tcPr>
            <w:tcW w:w="3120" w:type="dxa"/>
            <w:vAlign w:val="bottom"/>
          </w:tcPr>
          <w:p w:rsidRPr="00466602" w:rsidR="003E531C" w:rsidP="003E531C" w:rsidRDefault="003E531C" w14:paraId="29A9BBD2" w14:textId="4B9F78DA">
            <w:pPr>
              <w:rPr>
                <w:sz w:val="18"/>
                <w:szCs w:val="18"/>
              </w:rPr>
            </w:pPr>
            <w:r w:rsidRPr="00466602">
              <w:rPr>
                <w:color w:val="000000"/>
                <w:sz w:val="18"/>
                <w:szCs w:val="18"/>
              </w:rPr>
              <w:t xml:space="preserve"> $    460,753.01 </w:t>
            </w:r>
          </w:p>
        </w:tc>
        <w:tc>
          <w:tcPr>
            <w:tcW w:w="3120" w:type="dxa"/>
            <w:vAlign w:val="bottom"/>
          </w:tcPr>
          <w:p w:rsidRPr="00466602" w:rsidR="003E531C" w:rsidP="003E531C" w:rsidRDefault="003E531C" w14:paraId="6F9724F4" w14:textId="3FEC13BE">
            <w:pPr>
              <w:rPr>
                <w:sz w:val="18"/>
                <w:szCs w:val="18"/>
              </w:rPr>
            </w:pPr>
            <w:r w:rsidRPr="00466602">
              <w:rPr>
                <w:color w:val="000000"/>
                <w:sz w:val="18"/>
                <w:szCs w:val="18"/>
              </w:rPr>
              <w:t>3.56</w:t>
            </w:r>
          </w:p>
        </w:tc>
      </w:tr>
      <w:tr w:rsidR="003E531C" w:rsidTr="003E531C" w14:paraId="160BD824" w14:textId="77777777">
        <w:tc>
          <w:tcPr>
            <w:tcW w:w="3120" w:type="dxa"/>
            <w:vAlign w:val="bottom"/>
          </w:tcPr>
          <w:p w:rsidRPr="00466602" w:rsidR="003E531C" w:rsidP="003E531C" w:rsidRDefault="003E531C" w14:paraId="63DF860B" w14:textId="5EBE43FA">
            <w:pPr>
              <w:rPr>
                <w:sz w:val="18"/>
                <w:szCs w:val="18"/>
              </w:rPr>
            </w:pPr>
            <w:r w:rsidRPr="00466602">
              <w:rPr>
                <w:color w:val="000000"/>
                <w:sz w:val="18"/>
                <w:szCs w:val="18"/>
              </w:rPr>
              <w:t>Conduct UCR Audits</w:t>
            </w:r>
          </w:p>
        </w:tc>
        <w:tc>
          <w:tcPr>
            <w:tcW w:w="3120" w:type="dxa"/>
            <w:vAlign w:val="bottom"/>
          </w:tcPr>
          <w:p w:rsidRPr="00466602" w:rsidR="003E531C" w:rsidP="003E531C" w:rsidRDefault="003E531C" w14:paraId="11263CC0" w14:textId="4442B380">
            <w:pPr>
              <w:rPr>
                <w:sz w:val="18"/>
                <w:szCs w:val="18"/>
              </w:rPr>
            </w:pPr>
            <w:r w:rsidRPr="00466602">
              <w:rPr>
                <w:color w:val="000000"/>
                <w:sz w:val="18"/>
                <w:szCs w:val="18"/>
              </w:rPr>
              <w:t xml:space="preserve"> $    473,855.85 </w:t>
            </w:r>
          </w:p>
        </w:tc>
        <w:tc>
          <w:tcPr>
            <w:tcW w:w="3120" w:type="dxa"/>
            <w:vAlign w:val="bottom"/>
          </w:tcPr>
          <w:p w:rsidRPr="00466602" w:rsidR="003E531C" w:rsidP="003E531C" w:rsidRDefault="003E531C" w14:paraId="02F542AF" w14:textId="4DECFBA2">
            <w:pPr>
              <w:rPr>
                <w:sz w:val="18"/>
                <w:szCs w:val="18"/>
              </w:rPr>
            </w:pPr>
            <w:r w:rsidRPr="00466602">
              <w:rPr>
                <w:color w:val="000000"/>
                <w:sz w:val="18"/>
                <w:szCs w:val="18"/>
              </w:rPr>
              <w:t>3.74</w:t>
            </w:r>
          </w:p>
        </w:tc>
      </w:tr>
      <w:tr w:rsidR="003E531C" w:rsidTr="003E531C" w14:paraId="218BBD51" w14:textId="77777777">
        <w:tc>
          <w:tcPr>
            <w:tcW w:w="3120" w:type="dxa"/>
            <w:vAlign w:val="bottom"/>
          </w:tcPr>
          <w:p w:rsidRPr="00466602" w:rsidR="003E531C" w:rsidP="003E531C" w:rsidRDefault="003E531C" w14:paraId="5F6FA922" w14:textId="332ABC82">
            <w:pPr>
              <w:rPr>
                <w:sz w:val="18"/>
                <w:szCs w:val="18"/>
              </w:rPr>
            </w:pPr>
            <w:r w:rsidRPr="00466602">
              <w:rPr>
                <w:color w:val="000000"/>
                <w:sz w:val="18"/>
                <w:szCs w:val="18"/>
              </w:rPr>
              <w:t xml:space="preserve">Define and </w:t>
            </w:r>
            <w:r w:rsidR="0023340B">
              <w:rPr>
                <w:color w:val="000000"/>
                <w:sz w:val="18"/>
                <w:szCs w:val="18"/>
              </w:rPr>
              <w:t>O</w:t>
            </w:r>
            <w:r w:rsidRPr="00466602">
              <w:rPr>
                <w:color w:val="000000"/>
                <w:sz w:val="18"/>
                <w:szCs w:val="18"/>
              </w:rPr>
              <w:t>versee Compliance within IT infrastructure</w:t>
            </w:r>
          </w:p>
        </w:tc>
        <w:tc>
          <w:tcPr>
            <w:tcW w:w="3120" w:type="dxa"/>
            <w:vAlign w:val="bottom"/>
          </w:tcPr>
          <w:p w:rsidRPr="00466602" w:rsidR="003E531C" w:rsidP="003E531C" w:rsidRDefault="003E531C" w14:paraId="59B855D7" w14:textId="63DB09F0">
            <w:pPr>
              <w:rPr>
                <w:sz w:val="18"/>
                <w:szCs w:val="18"/>
              </w:rPr>
            </w:pPr>
            <w:r w:rsidRPr="00466602">
              <w:rPr>
                <w:color w:val="000000"/>
                <w:sz w:val="18"/>
                <w:szCs w:val="18"/>
              </w:rPr>
              <w:t xml:space="preserve"> $      40,363.87 </w:t>
            </w:r>
          </w:p>
        </w:tc>
        <w:tc>
          <w:tcPr>
            <w:tcW w:w="3120" w:type="dxa"/>
            <w:vAlign w:val="bottom"/>
          </w:tcPr>
          <w:p w:rsidRPr="00466602" w:rsidR="003E531C" w:rsidP="003E531C" w:rsidRDefault="003E531C" w14:paraId="0FC206CE" w14:textId="65191AF8">
            <w:pPr>
              <w:rPr>
                <w:sz w:val="18"/>
                <w:szCs w:val="18"/>
              </w:rPr>
            </w:pPr>
            <w:r w:rsidRPr="00466602">
              <w:rPr>
                <w:color w:val="000000"/>
                <w:sz w:val="18"/>
                <w:szCs w:val="18"/>
              </w:rPr>
              <w:t>0.30</w:t>
            </w:r>
          </w:p>
        </w:tc>
      </w:tr>
      <w:tr w:rsidR="003E531C" w:rsidTr="003E531C" w14:paraId="66AAD940" w14:textId="77777777">
        <w:tc>
          <w:tcPr>
            <w:tcW w:w="3120" w:type="dxa"/>
            <w:vAlign w:val="bottom"/>
          </w:tcPr>
          <w:p w:rsidRPr="00466602" w:rsidR="003E531C" w:rsidP="003E531C" w:rsidRDefault="003E531C" w14:paraId="08EA93E9" w14:textId="0F2C93AF">
            <w:pPr>
              <w:rPr>
                <w:sz w:val="18"/>
                <w:szCs w:val="18"/>
              </w:rPr>
            </w:pPr>
            <w:r w:rsidRPr="00466602">
              <w:rPr>
                <w:color w:val="000000"/>
                <w:sz w:val="18"/>
                <w:szCs w:val="18"/>
              </w:rPr>
              <w:t>Deliver Curriculum - External Customer</w:t>
            </w:r>
          </w:p>
        </w:tc>
        <w:tc>
          <w:tcPr>
            <w:tcW w:w="3120" w:type="dxa"/>
            <w:vAlign w:val="bottom"/>
          </w:tcPr>
          <w:p w:rsidRPr="00466602" w:rsidR="003E531C" w:rsidP="003E531C" w:rsidRDefault="003E531C" w14:paraId="2A391010" w14:textId="3C2A5027">
            <w:pPr>
              <w:rPr>
                <w:sz w:val="18"/>
                <w:szCs w:val="18"/>
              </w:rPr>
            </w:pPr>
            <w:r w:rsidRPr="00466602">
              <w:rPr>
                <w:color w:val="000000"/>
                <w:sz w:val="18"/>
                <w:szCs w:val="18"/>
              </w:rPr>
              <w:t xml:space="preserve"> $    167,469.21 </w:t>
            </w:r>
          </w:p>
        </w:tc>
        <w:tc>
          <w:tcPr>
            <w:tcW w:w="3120" w:type="dxa"/>
            <w:vAlign w:val="bottom"/>
          </w:tcPr>
          <w:p w:rsidRPr="00466602" w:rsidR="003E531C" w:rsidP="003E531C" w:rsidRDefault="003E531C" w14:paraId="6A29F50D" w14:textId="3E51CF1F">
            <w:pPr>
              <w:rPr>
                <w:sz w:val="18"/>
                <w:szCs w:val="18"/>
              </w:rPr>
            </w:pPr>
            <w:r w:rsidRPr="00466602">
              <w:rPr>
                <w:color w:val="000000"/>
                <w:sz w:val="18"/>
                <w:szCs w:val="18"/>
              </w:rPr>
              <w:t>1.17</w:t>
            </w:r>
          </w:p>
        </w:tc>
      </w:tr>
      <w:tr w:rsidR="003E531C" w:rsidTr="003E531C" w14:paraId="2E7E4ED3" w14:textId="77777777">
        <w:tc>
          <w:tcPr>
            <w:tcW w:w="3120" w:type="dxa"/>
            <w:vAlign w:val="bottom"/>
          </w:tcPr>
          <w:p w:rsidRPr="00466602" w:rsidR="003E531C" w:rsidP="003E531C" w:rsidRDefault="003E531C" w14:paraId="435D4ACF" w14:textId="6383A1C4">
            <w:pPr>
              <w:rPr>
                <w:sz w:val="18"/>
                <w:szCs w:val="18"/>
              </w:rPr>
            </w:pPr>
            <w:r w:rsidRPr="00466602">
              <w:rPr>
                <w:color w:val="000000"/>
                <w:sz w:val="18"/>
                <w:szCs w:val="18"/>
              </w:rPr>
              <w:t>Deliver Curriculum - External Customers</w:t>
            </w:r>
          </w:p>
        </w:tc>
        <w:tc>
          <w:tcPr>
            <w:tcW w:w="3120" w:type="dxa"/>
            <w:vAlign w:val="bottom"/>
          </w:tcPr>
          <w:p w:rsidRPr="00466602" w:rsidR="003E531C" w:rsidP="003E531C" w:rsidRDefault="003E531C" w14:paraId="6D0BC9E1" w14:textId="4BE1BD4F">
            <w:pPr>
              <w:rPr>
                <w:sz w:val="18"/>
                <w:szCs w:val="18"/>
              </w:rPr>
            </w:pPr>
            <w:r w:rsidRPr="00466602">
              <w:rPr>
                <w:color w:val="000000"/>
                <w:sz w:val="18"/>
                <w:szCs w:val="18"/>
              </w:rPr>
              <w:t xml:space="preserve"> $    226,131.47 </w:t>
            </w:r>
          </w:p>
        </w:tc>
        <w:tc>
          <w:tcPr>
            <w:tcW w:w="3120" w:type="dxa"/>
            <w:vAlign w:val="bottom"/>
          </w:tcPr>
          <w:p w:rsidRPr="00466602" w:rsidR="003E531C" w:rsidP="003E531C" w:rsidRDefault="003E531C" w14:paraId="784C9F0B" w14:textId="2E286920">
            <w:pPr>
              <w:rPr>
                <w:sz w:val="18"/>
                <w:szCs w:val="18"/>
              </w:rPr>
            </w:pPr>
            <w:r w:rsidRPr="00466602">
              <w:rPr>
                <w:color w:val="000000"/>
                <w:sz w:val="18"/>
                <w:szCs w:val="18"/>
              </w:rPr>
              <w:t>0.91</w:t>
            </w:r>
          </w:p>
        </w:tc>
      </w:tr>
      <w:tr w:rsidR="003E531C" w:rsidTr="003E531C" w14:paraId="5FDFE4A6" w14:textId="77777777">
        <w:tc>
          <w:tcPr>
            <w:tcW w:w="3120" w:type="dxa"/>
            <w:vAlign w:val="bottom"/>
          </w:tcPr>
          <w:p w:rsidRPr="00466602" w:rsidR="003E531C" w:rsidP="003E531C" w:rsidRDefault="003E531C" w14:paraId="3EA2C8CC" w14:textId="5F55B9E7">
            <w:pPr>
              <w:rPr>
                <w:sz w:val="18"/>
                <w:szCs w:val="18"/>
              </w:rPr>
            </w:pPr>
            <w:r w:rsidRPr="00466602">
              <w:rPr>
                <w:color w:val="000000"/>
                <w:sz w:val="18"/>
                <w:szCs w:val="18"/>
              </w:rPr>
              <w:t>Develop and Manage Policy</w:t>
            </w:r>
          </w:p>
        </w:tc>
        <w:tc>
          <w:tcPr>
            <w:tcW w:w="3120" w:type="dxa"/>
            <w:vAlign w:val="bottom"/>
          </w:tcPr>
          <w:p w:rsidRPr="00466602" w:rsidR="003E531C" w:rsidP="003E531C" w:rsidRDefault="003E531C" w14:paraId="05FE1347" w14:textId="76C9C57B">
            <w:pPr>
              <w:rPr>
                <w:sz w:val="18"/>
                <w:szCs w:val="18"/>
              </w:rPr>
            </w:pPr>
            <w:r w:rsidRPr="00466602">
              <w:rPr>
                <w:color w:val="000000"/>
                <w:sz w:val="18"/>
                <w:szCs w:val="18"/>
              </w:rPr>
              <w:t xml:space="preserve"> $    357,738.77 </w:t>
            </w:r>
          </w:p>
        </w:tc>
        <w:tc>
          <w:tcPr>
            <w:tcW w:w="3120" w:type="dxa"/>
            <w:vAlign w:val="bottom"/>
          </w:tcPr>
          <w:p w:rsidRPr="00466602" w:rsidR="003E531C" w:rsidP="003E531C" w:rsidRDefault="003E531C" w14:paraId="7F36441C" w14:textId="35A9F579">
            <w:pPr>
              <w:rPr>
                <w:sz w:val="18"/>
                <w:szCs w:val="18"/>
              </w:rPr>
            </w:pPr>
            <w:r w:rsidRPr="00466602">
              <w:rPr>
                <w:color w:val="000000"/>
                <w:sz w:val="18"/>
                <w:szCs w:val="18"/>
              </w:rPr>
              <w:t>2.86</w:t>
            </w:r>
          </w:p>
        </w:tc>
      </w:tr>
      <w:tr w:rsidR="003E531C" w:rsidTr="003E531C" w14:paraId="5F5CA996" w14:textId="77777777">
        <w:tc>
          <w:tcPr>
            <w:tcW w:w="3120" w:type="dxa"/>
            <w:vAlign w:val="bottom"/>
          </w:tcPr>
          <w:p w:rsidRPr="00466602" w:rsidR="003E531C" w:rsidP="003E531C" w:rsidRDefault="003E531C" w14:paraId="2B53A586" w14:textId="543AEB1D">
            <w:pPr>
              <w:rPr>
                <w:sz w:val="18"/>
                <w:szCs w:val="18"/>
              </w:rPr>
            </w:pPr>
            <w:r w:rsidRPr="00466602">
              <w:rPr>
                <w:color w:val="000000"/>
                <w:sz w:val="18"/>
                <w:szCs w:val="18"/>
              </w:rPr>
              <w:t>Develop Curriculum - External Customer</w:t>
            </w:r>
          </w:p>
        </w:tc>
        <w:tc>
          <w:tcPr>
            <w:tcW w:w="3120" w:type="dxa"/>
            <w:vAlign w:val="bottom"/>
          </w:tcPr>
          <w:p w:rsidRPr="00466602" w:rsidR="003E531C" w:rsidP="003E531C" w:rsidRDefault="003E531C" w14:paraId="4301CAC4" w14:textId="735A8E4D">
            <w:pPr>
              <w:rPr>
                <w:sz w:val="18"/>
                <w:szCs w:val="18"/>
              </w:rPr>
            </w:pPr>
            <w:r w:rsidRPr="00466602">
              <w:rPr>
                <w:color w:val="000000"/>
                <w:sz w:val="18"/>
                <w:szCs w:val="18"/>
              </w:rPr>
              <w:t xml:space="preserve"> $    167,469.21 </w:t>
            </w:r>
          </w:p>
        </w:tc>
        <w:tc>
          <w:tcPr>
            <w:tcW w:w="3120" w:type="dxa"/>
            <w:vAlign w:val="bottom"/>
          </w:tcPr>
          <w:p w:rsidRPr="00466602" w:rsidR="003E531C" w:rsidP="003E531C" w:rsidRDefault="003E531C" w14:paraId="36CC86D0" w14:textId="741206D9">
            <w:pPr>
              <w:rPr>
                <w:sz w:val="18"/>
                <w:szCs w:val="18"/>
              </w:rPr>
            </w:pPr>
            <w:r w:rsidRPr="00466602">
              <w:rPr>
                <w:color w:val="000000"/>
                <w:sz w:val="18"/>
                <w:szCs w:val="18"/>
              </w:rPr>
              <w:t>1.17</w:t>
            </w:r>
          </w:p>
        </w:tc>
      </w:tr>
      <w:tr w:rsidR="003E531C" w:rsidTr="003E531C" w14:paraId="2B430CF4" w14:textId="77777777">
        <w:tc>
          <w:tcPr>
            <w:tcW w:w="3120" w:type="dxa"/>
            <w:vAlign w:val="bottom"/>
          </w:tcPr>
          <w:p w:rsidRPr="00466602" w:rsidR="003E531C" w:rsidP="003E531C" w:rsidRDefault="003E531C" w14:paraId="00E2B909" w14:textId="729D9BCE">
            <w:pPr>
              <w:rPr>
                <w:sz w:val="18"/>
                <w:szCs w:val="18"/>
              </w:rPr>
            </w:pPr>
            <w:r w:rsidRPr="00466602">
              <w:rPr>
                <w:color w:val="000000"/>
                <w:sz w:val="18"/>
                <w:szCs w:val="18"/>
              </w:rPr>
              <w:t>Develop Curriculum - External Customers</w:t>
            </w:r>
          </w:p>
        </w:tc>
        <w:tc>
          <w:tcPr>
            <w:tcW w:w="3120" w:type="dxa"/>
            <w:vAlign w:val="bottom"/>
          </w:tcPr>
          <w:p w:rsidRPr="00466602" w:rsidR="003E531C" w:rsidP="003E531C" w:rsidRDefault="003E531C" w14:paraId="14E14412" w14:textId="236F1A1C">
            <w:pPr>
              <w:rPr>
                <w:sz w:val="18"/>
                <w:szCs w:val="18"/>
              </w:rPr>
            </w:pPr>
            <w:r w:rsidRPr="00466602">
              <w:rPr>
                <w:color w:val="000000"/>
                <w:sz w:val="18"/>
                <w:szCs w:val="18"/>
              </w:rPr>
              <w:t xml:space="preserve"> $    233,860.67 </w:t>
            </w:r>
          </w:p>
        </w:tc>
        <w:tc>
          <w:tcPr>
            <w:tcW w:w="3120" w:type="dxa"/>
            <w:vAlign w:val="bottom"/>
          </w:tcPr>
          <w:p w:rsidRPr="00466602" w:rsidR="003E531C" w:rsidP="003E531C" w:rsidRDefault="003E531C" w14:paraId="20FD2A0E" w14:textId="784969C7">
            <w:pPr>
              <w:rPr>
                <w:sz w:val="18"/>
                <w:szCs w:val="18"/>
              </w:rPr>
            </w:pPr>
            <w:r w:rsidRPr="00466602">
              <w:rPr>
                <w:color w:val="000000"/>
                <w:sz w:val="18"/>
                <w:szCs w:val="18"/>
              </w:rPr>
              <w:t>1.13</w:t>
            </w:r>
          </w:p>
        </w:tc>
      </w:tr>
      <w:tr w:rsidR="003E531C" w:rsidTr="003E531C" w14:paraId="786B9BE3" w14:textId="77777777">
        <w:tc>
          <w:tcPr>
            <w:tcW w:w="3120" w:type="dxa"/>
            <w:vAlign w:val="bottom"/>
          </w:tcPr>
          <w:p w:rsidRPr="00466602" w:rsidR="003E531C" w:rsidP="003E531C" w:rsidRDefault="003E531C" w14:paraId="4654AEC4" w14:textId="336BEDAE">
            <w:pPr>
              <w:rPr>
                <w:sz w:val="18"/>
                <w:szCs w:val="18"/>
              </w:rPr>
            </w:pPr>
            <w:r w:rsidRPr="00466602">
              <w:rPr>
                <w:color w:val="000000"/>
                <w:sz w:val="18"/>
                <w:szCs w:val="18"/>
              </w:rPr>
              <w:t>Manage Projects</w:t>
            </w:r>
          </w:p>
        </w:tc>
        <w:tc>
          <w:tcPr>
            <w:tcW w:w="3120" w:type="dxa"/>
            <w:vAlign w:val="bottom"/>
          </w:tcPr>
          <w:p w:rsidRPr="00466602" w:rsidR="003E531C" w:rsidP="003E531C" w:rsidRDefault="003E531C" w14:paraId="39C1674A" w14:textId="4E8A05C0">
            <w:pPr>
              <w:rPr>
                <w:sz w:val="18"/>
                <w:szCs w:val="18"/>
              </w:rPr>
            </w:pPr>
            <w:r w:rsidRPr="00466602">
              <w:rPr>
                <w:color w:val="000000"/>
                <w:sz w:val="18"/>
                <w:szCs w:val="18"/>
              </w:rPr>
              <w:t xml:space="preserve"> $    136,428.30 </w:t>
            </w:r>
          </w:p>
        </w:tc>
        <w:tc>
          <w:tcPr>
            <w:tcW w:w="3120" w:type="dxa"/>
            <w:vAlign w:val="bottom"/>
          </w:tcPr>
          <w:p w:rsidRPr="00466602" w:rsidR="003E531C" w:rsidP="003E531C" w:rsidRDefault="003E531C" w14:paraId="4BA44804" w14:textId="200B72EA">
            <w:pPr>
              <w:rPr>
                <w:sz w:val="18"/>
                <w:szCs w:val="18"/>
              </w:rPr>
            </w:pPr>
            <w:r w:rsidRPr="00466602">
              <w:rPr>
                <w:color w:val="000000"/>
                <w:sz w:val="18"/>
                <w:szCs w:val="18"/>
              </w:rPr>
              <w:t>0.76</w:t>
            </w:r>
          </w:p>
        </w:tc>
      </w:tr>
      <w:tr w:rsidR="003E531C" w:rsidTr="003E531C" w14:paraId="641CD2A9" w14:textId="77777777">
        <w:tc>
          <w:tcPr>
            <w:tcW w:w="3120" w:type="dxa"/>
            <w:vAlign w:val="bottom"/>
          </w:tcPr>
          <w:p w:rsidRPr="00466602" w:rsidR="003E531C" w:rsidP="003E531C" w:rsidRDefault="003E531C" w14:paraId="53485CE2" w14:textId="72443E84">
            <w:pPr>
              <w:rPr>
                <w:sz w:val="18"/>
                <w:szCs w:val="18"/>
              </w:rPr>
            </w:pPr>
            <w:r w:rsidRPr="00466602">
              <w:rPr>
                <w:color w:val="000000"/>
                <w:sz w:val="18"/>
                <w:szCs w:val="18"/>
              </w:rPr>
              <w:t>Perform Administrative and Human Resource tasks</w:t>
            </w:r>
          </w:p>
        </w:tc>
        <w:tc>
          <w:tcPr>
            <w:tcW w:w="3120" w:type="dxa"/>
            <w:vAlign w:val="bottom"/>
          </w:tcPr>
          <w:p w:rsidRPr="00466602" w:rsidR="003E531C" w:rsidP="003E531C" w:rsidRDefault="003E531C" w14:paraId="1A20290A" w14:textId="3F1F410B">
            <w:pPr>
              <w:rPr>
                <w:sz w:val="18"/>
                <w:szCs w:val="18"/>
              </w:rPr>
            </w:pPr>
            <w:r w:rsidRPr="00466602">
              <w:rPr>
                <w:color w:val="000000"/>
                <w:sz w:val="18"/>
                <w:szCs w:val="18"/>
              </w:rPr>
              <w:t xml:space="preserve"> $    812,853.40 </w:t>
            </w:r>
          </w:p>
        </w:tc>
        <w:tc>
          <w:tcPr>
            <w:tcW w:w="3120" w:type="dxa"/>
            <w:vAlign w:val="bottom"/>
          </w:tcPr>
          <w:p w:rsidRPr="00466602" w:rsidR="003E531C" w:rsidP="003E531C" w:rsidRDefault="003E531C" w14:paraId="5ED31D6D" w14:textId="2D0F1CD6">
            <w:pPr>
              <w:rPr>
                <w:sz w:val="18"/>
                <w:szCs w:val="18"/>
              </w:rPr>
            </w:pPr>
            <w:r w:rsidRPr="00466602">
              <w:rPr>
                <w:color w:val="000000"/>
                <w:sz w:val="18"/>
                <w:szCs w:val="18"/>
              </w:rPr>
              <w:t>6.57</w:t>
            </w:r>
          </w:p>
        </w:tc>
      </w:tr>
      <w:tr w:rsidR="003E531C" w:rsidTr="003E531C" w14:paraId="3FE26549" w14:textId="77777777">
        <w:tc>
          <w:tcPr>
            <w:tcW w:w="3120" w:type="dxa"/>
            <w:vAlign w:val="bottom"/>
          </w:tcPr>
          <w:p w:rsidRPr="00466602" w:rsidR="003E531C" w:rsidP="003E531C" w:rsidRDefault="003E531C" w14:paraId="40CA8518" w14:textId="098E91EF">
            <w:pPr>
              <w:rPr>
                <w:sz w:val="18"/>
                <w:szCs w:val="18"/>
              </w:rPr>
            </w:pPr>
            <w:r w:rsidRPr="00466602">
              <w:rPr>
                <w:color w:val="000000"/>
                <w:sz w:val="18"/>
                <w:szCs w:val="18"/>
              </w:rPr>
              <w:t>Perform APB tasks</w:t>
            </w:r>
          </w:p>
        </w:tc>
        <w:tc>
          <w:tcPr>
            <w:tcW w:w="3120" w:type="dxa"/>
            <w:vAlign w:val="bottom"/>
          </w:tcPr>
          <w:p w:rsidRPr="00466602" w:rsidR="003E531C" w:rsidP="003E531C" w:rsidRDefault="003E531C" w14:paraId="3460D28B" w14:textId="10A62EE7">
            <w:pPr>
              <w:rPr>
                <w:sz w:val="18"/>
                <w:szCs w:val="18"/>
              </w:rPr>
            </w:pPr>
            <w:r w:rsidRPr="00466602">
              <w:rPr>
                <w:color w:val="000000"/>
                <w:sz w:val="18"/>
                <w:szCs w:val="18"/>
              </w:rPr>
              <w:t xml:space="preserve"> $    206,528.50 </w:t>
            </w:r>
          </w:p>
        </w:tc>
        <w:tc>
          <w:tcPr>
            <w:tcW w:w="3120" w:type="dxa"/>
            <w:vAlign w:val="bottom"/>
          </w:tcPr>
          <w:p w:rsidRPr="00466602" w:rsidR="003E531C" w:rsidP="003E531C" w:rsidRDefault="003E531C" w14:paraId="0179FCC3" w14:textId="5261FBC7">
            <w:pPr>
              <w:rPr>
                <w:sz w:val="18"/>
                <w:szCs w:val="18"/>
              </w:rPr>
            </w:pPr>
            <w:r w:rsidRPr="00466602">
              <w:rPr>
                <w:color w:val="000000"/>
                <w:sz w:val="18"/>
                <w:szCs w:val="18"/>
              </w:rPr>
              <w:t>1.53</w:t>
            </w:r>
          </w:p>
        </w:tc>
      </w:tr>
      <w:tr w:rsidR="003E531C" w:rsidTr="003E531C" w14:paraId="05C0B961" w14:textId="77777777">
        <w:tc>
          <w:tcPr>
            <w:tcW w:w="3120" w:type="dxa"/>
            <w:vAlign w:val="bottom"/>
          </w:tcPr>
          <w:p w:rsidRPr="00466602" w:rsidR="003E531C" w:rsidP="003E531C" w:rsidRDefault="003E531C" w14:paraId="6B546DF2" w14:textId="3908206D">
            <w:pPr>
              <w:rPr>
                <w:sz w:val="18"/>
                <w:szCs w:val="18"/>
              </w:rPr>
            </w:pPr>
            <w:r w:rsidRPr="00466602">
              <w:rPr>
                <w:color w:val="000000"/>
                <w:sz w:val="18"/>
                <w:szCs w:val="18"/>
              </w:rPr>
              <w:t xml:space="preserve">Perform and </w:t>
            </w:r>
            <w:r w:rsidR="0023340B">
              <w:rPr>
                <w:color w:val="000000"/>
                <w:sz w:val="18"/>
                <w:szCs w:val="18"/>
              </w:rPr>
              <w:t>O</w:t>
            </w:r>
            <w:r w:rsidRPr="00466602">
              <w:rPr>
                <w:color w:val="000000"/>
                <w:sz w:val="18"/>
                <w:szCs w:val="18"/>
              </w:rPr>
              <w:t xml:space="preserve">versee </w:t>
            </w:r>
            <w:r w:rsidR="002B0102">
              <w:rPr>
                <w:color w:val="000000"/>
                <w:sz w:val="18"/>
                <w:szCs w:val="18"/>
              </w:rPr>
              <w:t>Information Technology (</w:t>
            </w:r>
            <w:r w:rsidRPr="00466602">
              <w:rPr>
                <w:color w:val="000000"/>
                <w:sz w:val="18"/>
                <w:szCs w:val="18"/>
              </w:rPr>
              <w:t>IT</w:t>
            </w:r>
            <w:r w:rsidR="002B0102">
              <w:rPr>
                <w:color w:val="000000"/>
                <w:sz w:val="18"/>
                <w:szCs w:val="18"/>
              </w:rPr>
              <w:t>)</w:t>
            </w:r>
            <w:r w:rsidRPr="00466602">
              <w:rPr>
                <w:color w:val="000000"/>
                <w:sz w:val="18"/>
                <w:szCs w:val="18"/>
              </w:rPr>
              <w:t xml:space="preserve"> Service Management </w:t>
            </w:r>
            <w:r w:rsidR="007F5AD4">
              <w:rPr>
                <w:color w:val="000000"/>
                <w:sz w:val="18"/>
                <w:szCs w:val="18"/>
              </w:rPr>
              <w:lastRenderedPageBreak/>
              <w:t>A</w:t>
            </w:r>
            <w:r w:rsidRPr="00466602">
              <w:rPr>
                <w:color w:val="000000"/>
                <w:sz w:val="18"/>
                <w:szCs w:val="18"/>
              </w:rPr>
              <w:t>ctivities</w:t>
            </w:r>
          </w:p>
        </w:tc>
        <w:tc>
          <w:tcPr>
            <w:tcW w:w="3120" w:type="dxa"/>
            <w:vAlign w:val="bottom"/>
          </w:tcPr>
          <w:p w:rsidRPr="00466602" w:rsidR="003E531C" w:rsidP="003E531C" w:rsidRDefault="003E531C" w14:paraId="210ACCB6" w14:textId="1CFACF20">
            <w:pPr>
              <w:rPr>
                <w:sz w:val="18"/>
                <w:szCs w:val="18"/>
              </w:rPr>
            </w:pPr>
            <w:r w:rsidRPr="00466602">
              <w:rPr>
                <w:color w:val="000000"/>
                <w:sz w:val="18"/>
                <w:szCs w:val="18"/>
              </w:rPr>
              <w:lastRenderedPageBreak/>
              <w:t xml:space="preserve"> $      94,125.20 </w:t>
            </w:r>
          </w:p>
        </w:tc>
        <w:tc>
          <w:tcPr>
            <w:tcW w:w="3120" w:type="dxa"/>
            <w:vAlign w:val="bottom"/>
          </w:tcPr>
          <w:p w:rsidRPr="00466602" w:rsidR="003E531C" w:rsidP="003E531C" w:rsidRDefault="003E531C" w14:paraId="365C15E5" w14:textId="5CE8B924">
            <w:pPr>
              <w:rPr>
                <w:sz w:val="18"/>
                <w:szCs w:val="18"/>
              </w:rPr>
            </w:pPr>
            <w:r w:rsidRPr="00466602">
              <w:rPr>
                <w:color w:val="000000"/>
                <w:sz w:val="18"/>
                <w:szCs w:val="18"/>
              </w:rPr>
              <w:t>0.66</w:t>
            </w:r>
          </w:p>
        </w:tc>
      </w:tr>
      <w:tr w:rsidR="003E531C" w:rsidTr="003E531C" w14:paraId="37609E5A" w14:textId="77777777">
        <w:tc>
          <w:tcPr>
            <w:tcW w:w="3120" w:type="dxa"/>
            <w:vAlign w:val="bottom"/>
          </w:tcPr>
          <w:p w:rsidRPr="00466602" w:rsidR="003E531C" w:rsidP="003E531C" w:rsidRDefault="003E531C" w14:paraId="4D9460C8" w14:textId="671394F5">
            <w:pPr>
              <w:rPr>
                <w:sz w:val="18"/>
                <w:szCs w:val="18"/>
              </w:rPr>
            </w:pPr>
            <w:r w:rsidRPr="00466602">
              <w:rPr>
                <w:color w:val="000000"/>
                <w:sz w:val="18"/>
                <w:szCs w:val="18"/>
              </w:rPr>
              <w:t>Perform Budget, Strategic Planning, and Program Control</w:t>
            </w:r>
          </w:p>
        </w:tc>
        <w:tc>
          <w:tcPr>
            <w:tcW w:w="3120" w:type="dxa"/>
            <w:vAlign w:val="bottom"/>
          </w:tcPr>
          <w:p w:rsidRPr="00466602" w:rsidR="003E531C" w:rsidP="003E531C" w:rsidRDefault="003E531C" w14:paraId="5051A861" w14:textId="75467702">
            <w:pPr>
              <w:rPr>
                <w:sz w:val="18"/>
                <w:szCs w:val="18"/>
              </w:rPr>
            </w:pPr>
            <w:r w:rsidRPr="00466602">
              <w:rPr>
                <w:color w:val="000000"/>
                <w:sz w:val="18"/>
                <w:szCs w:val="18"/>
              </w:rPr>
              <w:t xml:space="preserve"> $    273,102.44 </w:t>
            </w:r>
          </w:p>
        </w:tc>
        <w:tc>
          <w:tcPr>
            <w:tcW w:w="3120" w:type="dxa"/>
            <w:vAlign w:val="bottom"/>
          </w:tcPr>
          <w:p w:rsidRPr="00466602" w:rsidR="003E531C" w:rsidP="003E531C" w:rsidRDefault="003E531C" w14:paraId="67B57544" w14:textId="2B50792B">
            <w:pPr>
              <w:rPr>
                <w:sz w:val="18"/>
                <w:szCs w:val="18"/>
              </w:rPr>
            </w:pPr>
            <w:r w:rsidRPr="00466602">
              <w:rPr>
                <w:color w:val="000000"/>
                <w:sz w:val="18"/>
                <w:szCs w:val="18"/>
              </w:rPr>
              <w:t>1.77</w:t>
            </w:r>
          </w:p>
        </w:tc>
      </w:tr>
      <w:tr w:rsidR="003E531C" w:rsidTr="003E531C" w14:paraId="6CDE51CB" w14:textId="77777777">
        <w:tc>
          <w:tcPr>
            <w:tcW w:w="3120" w:type="dxa"/>
            <w:vAlign w:val="bottom"/>
          </w:tcPr>
          <w:p w:rsidRPr="00466602" w:rsidR="003E531C" w:rsidP="003E531C" w:rsidRDefault="003E531C" w14:paraId="10A7A4B6" w14:textId="494540C2">
            <w:pPr>
              <w:rPr>
                <w:sz w:val="18"/>
                <w:szCs w:val="18"/>
              </w:rPr>
            </w:pPr>
            <w:r w:rsidRPr="00466602">
              <w:rPr>
                <w:color w:val="000000"/>
                <w:sz w:val="18"/>
                <w:szCs w:val="18"/>
              </w:rPr>
              <w:t>Perform Duties as the Agile Product Owner</w:t>
            </w:r>
          </w:p>
        </w:tc>
        <w:tc>
          <w:tcPr>
            <w:tcW w:w="3120" w:type="dxa"/>
            <w:vAlign w:val="bottom"/>
          </w:tcPr>
          <w:p w:rsidRPr="00466602" w:rsidR="003E531C" w:rsidP="003E531C" w:rsidRDefault="003E531C" w14:paraId="0A668E92" w14:textId="00D24007">
            <w:pPr>
              <w:rPr>
                <w:sz w:val="18"/>
                <w:szCs w:val="18"/>
              </w:rPr>
            </w:pPr>
            <w:r w:rsidRPr="00466602">
              <w:rPr>
                <w:color w:val="000000"/>
                <w:sz w:val="18"/>
                <w:szCs w:val="18"/>
              </w:rPr>
              <w:t xml:space="preserve"> $    424,564.99 </w:t>
            </w:r>
          </w:p>
        </w:tc>
        <w:tc>
          <w:tcPr>
            <w:tcW w:w="3120" w:type="dxa"/>
            <w:vAlign w:val="bottom"/>
          </w:tcPr>
          <w:p w:rsidRPr="00466602" w:rsidR="003E531C" w:rsidP="003E531C" w:rsidRDefault="003E531C" w14:paraId="1B783036" w14:textId="1CEEEF16">
            <w:pPr>
              <w:rPr>
                <w:sz w:val="18"/>
                <w:szCs w:val="18"/>
              </w:rPr>
            </w:pPr>
            <w:r w:rsidRPr="00466602">
              <w:rPr>
                <w:color w:val="000000"/>
                <w:sz w:val="18"/>
                <w:szCs w:val="18"/>
              </w:rPr>
              <w:t>3.31</w:t>
            </w:r>
          </w:p>
        </w:tc>
      </w:tr>
      <w:tr w:rsidR="003E531C" w:rsidTr="003E531C" w14:paraId="612E87FC" w14:textId="77777777">
        <w:tc>
          <w:tcPr>
            <w:tcW w:w="3120" w:type="dxa"/>
            <w:vAlign w:val="bottom"/>
          </w:tcPr>
          <w:p w:rsidRPr="00466602" w:rsidR="003E531C" w:rsidP="003E531C" w:rsidRDefault="003E531C" w14:paraId="27F4D235" w14:textId="6D3A9552">
            <w:pPr>
              <w:rPr>
                <w:sz w:val="18"/>
                <w:szCs w:val="18"/>
              </w:rPr>
            </w:pPr>
            <w:r w:rsidRPr="00466602">
              <w:rPr>
                <w:color w:val="000000"/>
                <w:sz w:val="18"/>
                <w:szCs w:val="18"/>
              </w:rPr>
              <w:t xml:space="preserve">Perform IT Finance </w:t>
            </w:r>
            <w:r w:rsidR="007F5AD4">
              <w:rPr>
                <w:color w:val="000000"/>
                <w:sz w:val="18"/>
                <w:szCs w:val="18"/>
              </w:rPr>
              <w:t>F</w:t>
            </w:r>
            <w:r w:rsidRPr="00466602">
              <w:rPr>
                <w:color w:val="000000"/>
                <w:sz w:val="18"/>
                <w:szCs w:val="18"/>
              </w:rPr>
              <w:t>unctions</w:t>
            </w:r>
          </w:p>
        </w:tc>
        <w:tc>
          <w:tcPr>
            <w:tcW w:w="3120" w:type="dxa"/>
            <w:vAlign w:val="bottom"/>
          </w:tcPr>
          <w:p w:rsidRPr="00466602" w:rsidR="003E531C" w:rsidP="003E531C" w:rsidRDefault="003E531C" w14:paraId="7630FFA9" w14:textId="4310D203">
            <w:pPr>
              <w:rPr>
                <w:sz w:val="18"/>
                <w:szCs w:val="18"/>
              </w:rPr>
            </w:pPr>
            <w:r w:rsidRPr="00466602">
              <w:rPr>
                <w:color w:val="000000"/>
                <w:sz w:val="18"/>
                <w:szCs w:val="18"/>
              </w:rPr>
              <w:t xml:space="preserve"> $      35,267.21 </w:t>
            </w:r>
          </w:p>
        </w:tc>
        <w:tc>
          <w:tcPr>
            <w:tcW w:w="3120" w:type="dxa"/>
            <w:vAlign w:val="bottom"/>
          </w:tcPr>
          <w:p w:rsidRPr="00466602" w:rsidR="003E531C" w:rsidP="003E531C" w:rsidRDefault="003E531C" w14:paraId="50CCF061" w14:textId="77559205">
            <w:pPr>
              <w:rPr>
                <w:sz w:val="18"/>
                <w:szCs w:val="18"/>
              </w:rPr>
            </w:pPr>
            <w:r w:rsidRPr="00466602">
              <w:rPr>
                <w:color w:val="000000"/>
                <w:sz w:val="18"/>
                <w:szCs w:val="18"/>
              </w:rPr>
              <w:t>0.17</w:t>
            </w:r>
          </w:p>
        </w:tc>
      </w:tr>
      <w:tr w:rsidR="003E531C" w:rsidTr="003E531C" w14:paraId="2C0AEB6B" w14:textId="77777777">
        <w:tc>
          <w:tcPr>
            <w:tcW w:w="3120" w:type="dxa"/>
            <w:vAlign w:val="bottom"/>
          </w:tcPr>
          <w:p w:rsidRPr="00466602" w:rsidR="003E531C" w:rsidP="003E531C" w:rsidRDefault="003E531C" w14:paraId="5123CB14" w14:textId="5D83FA22">
            <w:pPr>
              <w:rPr>
                <w:sz w:val="18"/>
                <w:szCs w:val="18"/>
              </w:rPr>
            </w:pPr>
            <w:r w:rsidRPr="00466602">
              <w:rPr>
                <w:color w:val="000000"/>
                <w:sz w:val="18"/>
                <w:szCs w:val="18"/>
              </w:rPr>
              <w:t xml:space="preserve">Perform </w:t>
            </w:r>
            <w:r w:rsidR="007F5AD4">
              <w:rPr>
                <w:color w:val="000000"/>
                <w:sz w:val="18"/>
                <w:szCs w:val="18"/>
              </w:rPr>
              <w:t>O</w:t>
            </w:r>
            <w:r w:rsidRPr="00466602">
              <w:rPr>
                <w:color w:val="000000"/>
                <w:sz w:val="18"/>
                <w:szCs w:val="18"/>
              </w:rPr>
              <w:t>rganization IT Management and Strategic Planning</w:t>
            </w:r>
          </w:p>
        </w:tc>
        <w:tc>
          <w:tcPr>
            <w:tcW w:w="3120" w:type="dxa"/>
            <w:vAlign w:val="bottom"/>
          </w:tcPr>
          <w:p w:rsidRPr="00466602" w:rsidR="003E531C" w:rsidP="003E531C" w:rsidRDefault="003E531C" w14:paraId="653293C2" w14:textId="43023C1E">
            <w:pPr>
              <w:rPr>
                <w:sz w:val="18"/>
                <w:szCs w:val="18"/>
              </w:rPr>
            </w:pPr>
            <w:r w:rsidRPr="00466602">
              <w:rPr>
                <w:color w:val="000000"/>
                <w:sz w:val="18"/>
                <w:szCs w:val="18"/>
              </w:rPr>
              <w:t xml:space="preserve"> $      30,617.56 </w:t>
            </w:r>
          </w:p>
        </w:tc>
        <w:tc>
          <w:tcPr>
            <w:tcW w:w="3120" w:type="dxa"/>
            <w:vAlign w:val="bottom"/>
          </w:tcPr>
          <w:p w:rsidRPr="00466602" w:rsidR="003E531C" w:rsidP="003E531C" w:rsidRDefault="003E531C" w14:paraId="605B5CFB" w14:textId="47C923C3">
            <w:pPr>
              <w:rPr>
                <w:sz w:val="18"/>
                <w:szCs w:val="18"/>
              </w:rPr>
            </w:pPr>
            <w:r w:rsidRPr="00466602">
              <w:rPr>
                <w:color w:val="000000"/>
                <w:sz w:val="18"/>
                <w:szCs w:val="18"/>
              </w:rPr>
              <w:t>0.18</w:t>
            </w:r>
          </w:p>
        </w:tc>
      </w:tr>
      <w:tr w:rsidR="003E531C" w:rsidTr="003E531C" w14:paraId="50AD49EC" w14:textId="77777777">
        <w:tc>
          <w:tcPr>
            <w:tcW w:w="3120" w:type="dxa"/>
            <w:vAlign w:val="bottom"/>
          </w:tcPr>
          <w:p w:rsidRPr="00466602" w:rsidR="003E531C" w:rsidP="003E531C" w:rsidRDefault="003E531C" w14:paraId="39F6205E" w14:textId="0A6DDA04">
            <w:pPr>
              <w:rPr>
                <w:sz w:val="18"/>
                <w:szCs w:val="18"/>
              </w:rPr>
            </w:pPr>
            <w:r w:rsidRPr="00466602">
              <w:rPr>
                <w:color w:val="000000"/>
                <w:sz w:val="18"/>
                <w:szCs w:val="18"/>
              </w:rPr>
              <w:t>Perform Other Agile Duties</w:t>
            </w:r>
          </w:p>
        </w:tc>
        <w:tc>
          <w:tcPr>
            <w:tcW w:w="3120" w:type="dxa"/>
            <w:vAlign w:val="bottom"/>
          </w:tcPr>
          <w:p w:rsidRPr="00466602" w:rsidR="003E531C" w:rsidP="003E531C" w:rsidRDefault="003E531C" w14:paraId="32448E57" w14:textId="33518DB1">
            <w:pPr>
              <w:rPr>
                <w:sz w:val="18"/>
                <w:szCs w:val="18"/>
              </w:rPr>
            </w:pPr>
            <w:r w:rsidRPr="00466602">
              <w:rPr>
                <w:color w:val="000000"/>
                <w:sz w:val="18"/>
                <w:szCs w:val="18"/>
              </w:rPr>
              <w:t xml:space="preserve"> $    258,005.53 </w:t>
            </w:r>
          </w:p>
        </w:tc>
        <w:tc>
          <w:tcPr>
            <w:tcW w:w="3120" w:type="dxa"/>
            <w:vAlign w:val="bottom"/>
          </w:tcPr>
          <w:p w:rsidRPr="00466602" w:rsidR="003E531C" w:rsidP="003E531C" w:rsidRDefault="003E531C" w14:paraId="0B15716E" w14:textId="5AB588A7">
            <w:pPr>
              <w:rPr>
                <w:sz w:val="18"/>
                <w:szCs w:val="18"/>
              </w:rPr>
            </w:pPr>
            <w:r w:rsidRPr="00466602">
              <w:rPr>
                <w:color w:val="000000"/>
                <w:sz w:val="18"/>
                <w:szCs w:val="18"/>
              </w:rPr>
              <w:t>1.72</w:t>
            </w:r>
          </w:p>
        </w:tc>
      </w:tr>
      <w:tr w:rsidR="003E531C" w:rsidTr="003E531C" w14:paraId="202B248F" w14:textId="77777777">
        <w:tc>
          <w:tcPr>
            <w:tcW w:w="3120" w:type="dxa"/>
            <w:vAlign w:val="bottom"/>
          </w:tcPr>
          <w:p w:rsidRPr="00466602" w:rsidR="003E531C" w:rsidP="003E531C" w:rsidRDefault="003E531C" w14:paraId="22F9CF15" w14:textId="01486835">
            <w:pPr>
              <w:rPr>
                <w:sz w:val="18"/>
                <w:szCs w:val="18"/>
              </w:rPr>
            </w:pPr>
            <w:r w:rsidRPr="00466602">
              <w:rPr>
                <w:color w:val="000000"/>
                <w:sz w:val="18"/>
                <w:szCs w:val="18"/>
              </w:rPr>
              <w:t>Perform Research and Analysis</w:t>
            </w:r>
          </w:p>
        </w:tc>
        <w:tc>
          <w:tcPr>
            <w:tcW w:w="3120" w:type="dxa"/>
            <w:vAlign w:val="bottom"/>
          </w:tcPr>
          <w:p w:rsidRPr="00466602" w:rsidR="003E531C" w:rsidP="003E531C" w:rsidRDefault="003E531C" w14:paraId="648A2521" w14:textId="51D25E31">
            <w:pPr>
              <w:rPr>
                <w:sz w:val="18"/>
                <w:szCs w:val="18"/>
              </w:rPr>
            </w:pPr>
            <w:r w:rsidRPr="00466602">
              <w:rPr>
                <w:color w:val="000000"/>
                <w:sz w:val="18"/>
                <w:szCs w:val="18"/>
              </w:rPr>
              <w:t xml:space="preserve"> $    248,981.39 </w:t>
            </w:r>
          </w:p>
        </w:tc>
        <w:tc>
          <w:tcPr>
            <w:tcW w:w="3120" w:type="dxa"/>
            <w:vAlign w:val="bottom"/>
          </w:tcPr>
          <w:p w:rsidRPr="00466602" w:rsidR="003E531C" w:rsidP="003E531C" w:rsidRDefault="003E531C" w14:paraId="22BF4E4A" w14:textId="0E746CB3">
            <w:pPr>
              <w:rPr>
                <w:sz w:val="18"/>
                <w:szCs w:val="18"/>
              </w:rPr>
            </w:pPr>
            <w:r w:rsidRPr="00466602">
              <w:rPr>
                <w:color w:val="000000"/>
                <w:sz w:val="18"/>
                <w:szCs w:val="18"/>
              </w:rPr>
              <w:t>1.44</w:t>
            </w:r>
          </w:p>
        </w:tc>
      </w:tr>
      <w:tr w:rsidR="003E531C" w:rsidTr="003E531C" w14:paraId="0A3DDA79" w14:textId="77777777">
        <w:tc>
          <w:tcPr>
            <w:tcW w:w="3120" w:type="dxa"/>
            <w:vAlign w:val="bottom"/>
          </w:tcPr>
          <w:p w:rsidRPr="00466602" w:rsidR="003E531C" w:rsidP="003E531C" w:rsidRDefault="003E531C" w14:paraId="322633DA" w14:textId="19E124A1">
            <w:pPr>
              <w:rPr>
                <w:sz w:val="18"/>
                <w:szCs w:val="18"/>
              </w:rPr>
            </w:pPr>
            <w:r w:rsidRPr="00466602">
              <w:rPr>
                <w:color w:val="000000"/>
                <w:sz w:val="18"/>
                <w:szCs w:val="18"/>
              </w:rPr>
              <w:t xml:space="preserve">Perform the Client Management </w:t>
            </w:r>
            <w:r w:rsidR="00750752">
              <w:rPr>
                <w:color w:val="000000"/>
                <w:sz w:val="18"/>
                <w:szCs w:val="18"/>
              </w:rPr>
              <w:t>F F</w:t>
            </w:r>
            <w:r w:rsidRPr="00466602">
              <w:rPr>
                <w:color w:val="000000"/>
                <w:sz w:val="18"/>
                <w:szCs w:val="18"/>
              </w:rPr>
              <w:t>unction</w:t>
            </w:r>
          </w:p>
        </w:tc>
        <w:tc>
          <w:tcPr>
            <w:tcW w:w="3120" w:type="dxa"/>
            <w:vAlign w:val="bottom"/>
          </w:tcPr>
          <w:p w:rsidRPr="00466602" w:rsidR="003E531C" w:rsidP="003E531C" w:rsidRDefault="003E531C" w14:paraId="7EA00AFB" w14:textId="383F7821">
            <w:pPr>
              <w:rPr>
                <w:sz w:val="18"/>
                <w:szCs w:val="18"/>
              </w:rPr>
            </w:pPr>
            <w:r w:rsidRPr="00466602">
              <w:rPr>
                <w:color w:val="000000"/>
                <w:sz w:val="18"/>
                <w:szCs w:val="18"/>
              </w:rPr>
              <w:t xml:space="preserve"> $    103,171.04 </w:t>
            </w:r>
          </w:p>
        </w:tc>
        <w:tc>
          <w:tcPr>
            <w:tcW w:w="3120" w:type="dxa"/>
            <w:vAlign w:val="bottom"/>
          </w:tcPr>
          <w:p w:rsidRPr="00466602" w:rsidR="003E531C" w:rsidP="003E531C" w:rsidRDefault="003E531C" w14:paraId="5CD248C0" w14:textId="75F0640D">
            <w:pPr>
              <w:rPr>
                <w:sz w:val="18"/>
                <w:szCs w:val="18"/>
              </w:rPr>
            </w:pPr>
            <w:r w:rsidRPr="00466602">
              <w:rPr>
                <w:color w:val="000000"/>
                <w:sz w:val="18"/>
                <w:szCs w:val="18"/>
              </w:rPr>
              <w:t>0.65</w:t>
            </w:r>
          </w:p>
        </w:tc>
      </w:tr>
      <w:tr w:rsidR="003E531C" w:rsidTr="003E531C" w14:paraId="44C619F7" w14:textId="77777777">
        <w:tc>
          <w:tcPr>
            <w:tcW w:w="3120" w:type="dxa"/>
            <w:vAlign w:val="bottom"/>
          </w:tcPr>
          <w:p w:rsidRPr="00466602" w:rsidR="003E531C" w:rsidP="003E531C" w:rsidRDefault="003E531C" w14:paraId="01F31CF1" w14:textId="223B2D4D">
            <w:pPr>
              <w:rPr>
                <w:sz w:val="18"/>
                <w:szCs w:val="18"/>
              </w:rPr>
            </w:pPr>
            <w:r w:rsidRPr="00466602">
              <w:rPr>
                <w:color w:val="000000"/>
                <w:sz w:val="18"/>
                <w:szCs w:val="18"/>
              </w:rPr>
              <w:t>Produce Publications</w:t>
            </w:r>
          </w:p>
        </w:tc>
        <w:tc>
          <w:tcPr>
            <w:tcW w:w="3120" w:type="dxa"/>
            <w:vAlign w:val="bottom"/>
          </w:tcPr>
          <w:p w:rsidRPr="00466602" w:rsidR="003E531C" w:rsidP="003E531C" w:rsidRDefault="003E531C" w14:paraId="66A9F9E1" w14:textId="5345B013">
            <w:pPr>
              <w:rPr>
                <w:sz w:val="18"/>
                <w:szCs w:val="18"/>
              </w:rPr>
            </w:pPr>
            <w:r w:rsidRPr="00466602">
              <w:rPr>
                <w:color w:val="000000"/>
                <w:sz w:val="18"/>
                <w:szCs w:val="18"/>
              </w:rPr>
              <w:t xml:space="preserve"> $    101,532.52 </w:t>
            </w:r>
          </w:p>
        </w:tc>
        <w:tc>
          <w:tcPr>
            <w:tcW w:w="3120" w:type="dxa"/>
            <w:vAlign w:val="bottom"/>
          </w:tcPr>
          <w:p w:rsidRPr="00466602" w:rsidR="003E531C" w:rsidP="003E531C" w:rsidRDefault="003E531C" w14:paraId="21E40CA7" w14:textId="33809F39">
            <w:pPr>
              <w:rPr>
                <w:sz w:val="18"/>
                <w:szCs w:val="18"/>
              </w:rPr>
            </w:pPr>
            <w:r w:rsidRPr="00466602">
              <w:rPr>
                <w:color w:val="000000"/>
                <w:sz w:val="18"/>
                <w:szCs w:val="18"/>
              </w:rPr>
              <w:t>0.70</w:t>
            </w:r>
          </w:p>
        </w:tc>
      </w:tr>
      <w:tr w:rsidR="003E531C" w:rsidTr="003E531C" w14:paraId="1A202DBA" w14:textId="77777777">
        <w:tc>
          <w:tcPr>
            <w:tcW w:w="3120" w:type="dxa"/>
            <w:vAlign w:val="bottom"/>
          </w:tcPr>
          <w:p w:rsidRPr="00466602" w:rsidR="003E531C" w:rsidP="003E531C" w:rsidRDefault="003E531C" w14:paraId="7EDEF484" w14:textId="2029823F">
            <w:pPr>
              <w:rPr>
                <w:sz w:val="18"/>
                <w:szCs w:val="18"/>
              </w:rPr>
            </w:pPr>
            <w:r w:rsidRPr="00466602">
              <w:rPr>
                <w:color w:val="000000"/>
                <w:sz w:val="18"/>
                <w:szCs w:val="18"/>
              </w:rPr>
              <w:t xml:space="preserve">Provide and </w:t>
            </w:r>
            <w:r w:rsidR="00750752">
              <w:rPr>
                <w:color w:val="000000"/>
                <w:sz w:val="18"/>
                <w:szCs w:val="18"/>
              </w:rPr>
              <w:t>A</w:t>
            </w:r>
            <w:r w:rsidRPr="00466602">
              <w:rPr>
                <w:color w:val="000000"/>
                <w:sz w:val="18"/>
                <w:szCs w:val="18"/>
              </w:rPr>
              <w:t>dminister</w:t>
            </w:r>
            <w:r w:rsidRPr="00466602" w:rsidR="00466602">
              <w:rPr>
                <w:color w:val="000000"/>
                <w:sz w:val="18"/>
                <w:szCs w:val="18"/>
              </w:rPr>
              <w:t xml:space="preserve"> Databases and Database </w:t>
            </w:r>
            <w:r w:rsidR="00750752">
              <w:rPr>
                <w:color w:val="000000"/>
                <w:sz w:val="18"/>
                <w:szCs w:val="18"/>
              </w:rPr>
              <w:t>S</w:t>
            </w:r>
            <w:r w:rsidRPr="00466602" w:rsidR="00466602">
              <w:rPr>
                <w:color w:val="000000"/>
                <w:sz w:val="18"/>
                <w:szCs w:val="18"/>
              </w:rPr>
              <w:t>ervices</w:t>
            </w:r>
            <w:r w:rsidRPr="00466602">
              <w:rPr>
                <w:color w:val="000000"/>
                <w:sz w:val="18"/>
                <w:szCs w:val="18"/>
              </w:rPr>
              <w:t xml:space="preserve"> </w:t>
            </w:r>
          </w:p>
        </w:tc>
        <w:tc>
          <w:tcPr>
            <w:tcW w:w="3120" w:type="dxa"/>
            <w:vAlign w:val="bottom"/>
          </w:tcPr>
          <w:p w:rsidRPr="00466602" w:rsidR="003E531C" w:rsidP="003E531C" w:rsidRDefault="003E531C" w14:paraId="4A575959" w14:textId="20CF2932">
            <w:pPr>
              <w:rPr>
                <w:sz w:val="18"/>
                <w:szCs w:val="18"/>
              </w:rPr>
            </w:pPr>
            <w:r w:rsidRPr="00466602">
              <w:rPr>
                <w:color w:val="000000"/>
                <w:sz w:val="18"/>
                <w:szCs w:val="18"/>
              </w:rPr>
              <w:t xml:space="preserve"> $    163,856.22 </w:t>
            </w:r>
          </w:p>
        </w:tc>
        <w:tc>
          <w:tcPr>
            <w:tcW w:w="3120" w:type="dxa"/>
            <w:vAlign w:val="bottom"/>
          </w:tcPr>
          <w:p w:rsidRPr="00466602" w:rsidR="003E531C" w:rsidP="003E531C" w:rsidRDefault="003E531C" w14:paraId="140B8CAB" w14:textId="466C1FC8">
            <w:pPr>
              <w:rPr>
                <w:sz w:val="18"/>
                <w:szCs w:val="18"/>
              </w:rPr>
            </w:pPr>
            <w:r w:rsidRPr="00466602">
              <w:rPr>
                <w:color w:val="000000"/>
                <w:sz w:val="18"/>
                <w:szCs w:val="18"/>
              </w:rPr>
              <w:t>1.01</w:t>
            </w:r>
          </w:p>
        </w:tc>
      </w:tr>
      <w:tr w:rsidR="003E531C" w:rsidTr="003E531C" w14:paraId="59ACB162" w14:textId="77777777">
        <w:tc>
          <w:tcPr>
            <w:tcW w:w="3120" w:type="dxa"/>
            <w:vAlign w:val="bottom"/>
          </w:tcPr>
          <w:p w:rsidRPr="00466602" w:rsidR="003E531C" w:rsidP="003E531C" w:rsidRDefault="003E531C" w14:paraId="5F86F57C" w14:textId="7ADA7E79">
            <w:pPr>
              <w:rPr>
                <w:sz w:val="18"/>
                <w:szCs w:val="18"/>
              </w:rPr>
            </w:pPr>
            <w:r w:rsidRPr="00466602">
              <w:rPr>
                <w:color w:val="000000"/>
                <w:sz w:val="18"/>
                <w:szCs w:val="18"/>
              </w:rPr>
              <w:t xml:space="preserve">Provide and </w:t>
            </w:r>
            <w:r w:rsidR="00750752">
              <w:rPr>
                <w:color w:val="000000"/>
                <w:sz w:val="18"/>
                <w:szCs w:val="18"/>
              </w:rPr>
              <w:t>A</w:t>
            </w:r>
            <w:r w:rsidRPr="00466602">
              <w:rPr>
                <w:color w:val="000000"/>
                <w:sz w:val="18"/>
                <w:szCs w:val="18"/>
              </w:rPr>
              <w:t xml:space="preserve">dminister Middleware </w:t>
            </w:r>
            <w:r w:rsidR="00750752">
              <w:rPr>
                <w:color w:val="000000"/>
                <w:sz w:val="18"/>
                <w:szCs w:val="18"/>
              </w:rPr>
              <w:t>S</w:t>
            </w:r>
            <w:r w:rsidRPr="00466602">
              <w:rPr>
                <w:color w:val="000000"/>
                <w:sz w:val="18"/>
                <w:szCs w:val="18"/>
              </w:rPr>
              <w:t>ervices</w:t>
            </w:r>
          </w:p>
        </w:tc>
        <w:tc>
          <w:tcPr>
            <w:tcW w:w="3120" w:type="dxa"/>
            <w:vAlign w:val="bottom"/>
          </w:tcPr>
          <w:p w:rsidRPr="00466602" w:rsidR="003E531C" w:rsidP="003E531C" w:rsidRDefault="003E531C" w14:paraId="578489BC" w14:textId="1353DE4E">
            <w:pPr>
              <w:rPr>
                <w:sz w:val="18"/>
                <w:szCs w:val="18"/>
              </w:rPr>
            </w:pPr>
            <w:r w:rsidRPr="00466602">
              <w:rPr>
                <w:color w:val="000000"/>
                <w:sz w:val="18"/>
                <w:szCs w:val="18"/>
              </w:rPr>
              <w:t xml:space="preserve"> $    120,329.50 </w:t>
            </w:r>
          </w:p>
        </w:tc>
        <w:tc>
          <w:tcPr>
            <w:tcW w:w="3120" w:type="dxa"/>
            <w:vAlign w:val="bottom"/>
          </w:tcPr>
          <w:p w:rsidRPr="00466602" w:rsidR="003E531C" w:rsidP="003E531C" w:rsidRDefault="003E531C" w14:paraId="12A4DC86" w14:textId="1384058B">
            <w:pPr>
              <w:rPr>
                <w:sz w:val="18"/>
                <w:szCs w:val="18"/>
              </w:rPr>
            </w:pPr>
            <w:r w:rsidRPr="00466602">
              <w:rPr>
                <w:color w:val="000000"/>
                <w:sz w:val="18"/>
                <w:szCs w:val="18"/>
              </w:rPr>
              <w:t>0.94</w:t>
            </w:r>
          </w:p>
        </w:tc>
      </w:tr>
      <w:tr w:rsidR="003E531C" w:rsidTr="003E531C" w14:paraId="36905AB4" w14:textId="77777777">
        <w:tc>
          <w:tcPr>
            <w:tcW w:w="3120" w:type="dxa"/>
            <w:vAlign w:val="bottom"/>
          </w:tcPr>
          <w:p w:rsidRPr="00466602" w:rsidR="003E531C" w:rsidP="003E531C" w:rsidRDefault="003E531C" w14:paraId="511DD8FD" w14:textId="572C938A">
            <w:pPr>
              <w:rPr>
                <w:sz w:val="18"/>
                <w:szCs w:val="18"/>
              </w:rPr>
            </w:pPr>
            <w:r w:rsidRPr="00466602">
              <w:rPr>
                <w:color w:val="000000"/>
                <w:sz w:val="18"/>
                <w:szCs w:val="18"/>
              </w:rPr>
              <w:t xml:space="preserve">Provide and </w:t>
            </w:r>
            <w:r w:rsidR="007F3511">
              <w:rPr>
                <w:color w:val="000000"/>
                <w:sz w:val="18"/>
                <w:szCs w:val="18"/>
              </w:rPr>
              <w:t>M</w:t>
            </w:r>
            <w:r w:rsidRPr="00466602">
              <w:rPr>
                <w:color w:val="000000"/>
                <w:sz w:val="18"/>
                <w:szCs w:val="18"/>
              </w:rPr>
              <w:t>aintain Servers</w:t>
            </w:r>
          </w:p>
        </w:tc>
        <w:tc>
          <w:tcPr>
            <w:tcW w:w="3120" w:type="dxa"/>
            <w:vAlign w:val="bottom"/>
          </w:tcPr>
          <w:p w:rsidRPr="00466602" w:rsidR="003E531C" w:rsidP="003E531C" w:rsidRDefault="003E531C" w14:paraId="011A3A54" w14:textId="78413D6A">
            <w:pPr>
              <w:rPr>
                <w:sz w:val="18"/>
                <w:szCs w:val="18"/>
              </w:rPr>
            </w:pPr>
            <w:r w:rsidRPr="00466602">
              <w:rPr>
                <w:color w:val="000000"/>
                <w:sz w:val="18"/>
                <w:szCs w:val="18"/>
              </w:rPr>
              <w:t xml:space="preserve"> $      54,086.46 </w:t>
            </w:r>
          </w:p>
        </w:tc>
        <w:tc>
          <w:tcPr>
            <w:tcW w:w="3120" w:type="dxa"/>
            <w:vAlign w:val="bottom"/>
          </w:tcPr>
          <w:p w:rsidRPr="00466602" w:rsidR="003E531C" w:rsidP="003E531C" w:rsidRDefault="003E531C" w14:paraId="663C68E1" w14:textId="79DE111A">
            <w:pPr>
              <w:rPr>
                <w:sz w:val="18"/>
                <w:szCs w:val="18"/>
              </w:rPr>
            </w:pPr>
            <w:r w:rsidRPr="00466602">
              <w:rPr>
                <w:color w:val="000000"/>
                <w:sz w:val="18"/>
                <w:szCs w:val="18"/>
              </w:rPr>
              <w:t>0.41</w:t>
            </w:r>
          </w:p>
        </w:tc>
      </w:tr>
      <w:tr w:rsidR="003E531C" w:rsidTr="003E531C" w14:paraId="78C08A15" w14:textId="77777777">
        <w:tc>
          <w:tcPr>
            <w:tcW w:w="3120" w:type="dxa"/>
            <w:vAlign w:val="bottom"/>
          </w:tcPr>
          <w:p w:rsidRPr="00466602" w:rsidR="003E531C" w:rsidP="003E531C" w:rsidRDefault="003E531C" w14:paraId="5AF47DF6" w14:textId="7B9A2BF6">
            <w:pPr>
              <w:rPr>
                <w:sz w:val="18"/>
                <w:szCs w:val="18"/>
              </w:rPr>
            </w:pPr>
            <w:r w:rsidRPr="00466602">
              <w:rPr>
                <w:color w:val="000000"/>
                <w:sz w:val="18"/>
                <w:szCs w:val="18"/>
              </w:rPr>
              <w:t xml:space="preserve">Provide and </w:t>
            </w:r>
            <w:r w:rsidR="007F3511">
              <w:rPr>
                <w:color w:val="000000"/>
                <w:sz w:val="18"/>
                <w:szCs w:val="18"/>
              </w:rPr>
              <w:t>M</w:t>
            </w:r>
            <w:r w:rsidRPr="00466602">
              <w:rPr>
                <w:color w:val="000000"/>
                <w:sz w:val="18"/>
                <w:szCs w:val="18"/>
              </w:rPr>
              <w:t xml:space="preserve">aintain UNIX </w:t>
            </w:r>
            <w:r w:rsidR="007F3511">
              <w:rPr>
                <w:color w:val="000000"/>
                <w:sz w:val="18"/>
                <w:szCs w:val="18"/>
              </w:rPr>
              <w:t>O</w:t>
            </w:r>
            <w:r w:rsidRPr="00466602">
              <w:rPr>
                <w:color w:val="000000"/>
                <w:sz w:val="18"/>
                <w:szCs w:val="18"/>
              </w:rPr>
              <w:t xml:space="preserve">perating </w:t>
            </w:r>
            <w:r w:rsidR="007F3511">
              <w:rPr>
                <w:color w:val="000000"/>
                <w:sz w:val="18"/>
                <w:szCs w:val="18"/>
              </w:rPr>
              <w:t>S</w:t>
            </w:r>
            <w:r w:rsidRPr="00466602">
              <w:rPr>
                <w:color w:val="000000"/>
                <w:sz w:val="18"/>
                <w:szCs w:val="18"/>
              </w:rPr>
              <w:t>ystems</w:t>
            </w:r>
          </w:p>
        </w:tc>
        <w:tc>
          <w:tcPr>
            <w:tcW w:w="3120" w:type="dxa"/>
            <w:vAlign w:val="bottom"/>
          </w:tcPr>
          <w:p w:rsidRPr="00466602" w:rsidR="003E531C" w:rsidP="003E531C" w:rsidRDefault="003E531C" w14:paraId="709126A6" w14:textId="426BC4D9">
            <w:pPr>
              <w:rPr>
                <w:sz w:val="18"/>
                <w:szCs w:val="18"/>
              </w:rPr>
            </w:pPr>
            <w:r w:rsidRPr="00466602">
              <w:rPr>
                <w:color w:val="000000"/>
                <w:sz w:val="18"/>
                <w:szCs w:val="18"/>
              </w:rPr>
              <w:t xml:space="preserve"> $      27,370.28 </w:t>
            </w:r>
          </w:p>
        </w:tc>
        <w:tc>
          <w:tcPr>
            <w:tcW w:w="3120" w:type="dxa"/>
            <w:vAlign w:val="bottom"/>
          </w:tcPr>
          <w:p w:rsidRPr="00466602" w:rsidR="003E531C" w:rsidP="003E531C" w:rsidRDefault="003E531C" w14:paraId="0B8497CF" w14:textId="3B6B7E84">
            <w:pPr>
              <w:rPr>
                <w:sz w:val="18"/>
                <w:szCs w:val="18"/>
              </w:rPr>
            </w:pPr>
            <w:r w:rsidRPr="00466602">
              <w:rPr>
                <w:color w:val="000000"/>
                <w:sz w:val="18"/>
                <w:szCs w:val="18"/>
              </w:rPr>
              <w:t>0.23</w:t>
            </w:r>
          </w:p>
        </w:tc>
      </w:tr>
      <w:tr w:rsidR="003E531C" w:rsidTr="003E531C" w14:paraId="41389E7C" w14:textId="77777777">
        <w:tc>
          <w:tcPr>
            <w:tcW w:w="3120" w:type="dxa"/>
            <w:vAlign w:val="bottom"/>
          </w:tcPr>
          <w:p w:rsidRPr="00466602" w:rsidR="003E531C" w:rsidP="003E531C" w:rsidRDefault="003E531C" w14:paraId="0D7E3614" w14:textId="61E44962">
            <w:pPr>
              <w:rPr>
                <w:sz w:val="18"/>
                <w:szCs w:val="18"/>
              </w:rPr>
            </w:pPr>
            <w:r w:rsidRPr="00466602">
              <w:rPr>
                <w:color w:val="000000"/>
                <w:sz w:val="18"/>
                <w:szCs w:val="18"/>
              </w:rPr>
              <w:t xml:space="preserve">Provide Application Development </w:t>
            </w:r>
            <w:r w:rsidR="00762D87">
              <w:rPr>
                <w:color w:val="000000"/>
                <w:sz w:val="18"/>
                <w:szCs w:val="18"/>
              </w:rPr>
              <w:t>S</w:t>
            </w:r>
            <w:r w:rsidRPr="00466602">
              <w:rPr>
                <w:color w:val="000000"/>
                <w:sz w:val="18"/>
                <w:szCs w:val="18"/>
              </w:rPr>
              <w:t>ervices</w:t>
            </w:r>
          </w:p>
        </w:tc>
        <w:tc>
          <w:tcPr>
            <w:tcW w:w="3120" w:type="dxa"/>
            <w:vAlign w:val="bottom"/>
          </w:tcPr>
          <w:p w:rsidRPr="00466602" w:rsidR="003E531C" w:rsidP="003E531C" w:rsidRDefault="003E531C" w14:paraId="3DED46DA" w14:textId="52EA6D55">
            <w:pPr>
              <w:rPr>
                <w:sz w:val="18"/>
                <w:szCs w:val="18"/>
              </w:rPr>
            </w:pPr>
            <w:r w:rsidRPr="00466602">
              <w:rPr>
                <w:color w:val="000000"/>
                <w:sz w:val="18"/>
                <w:szCs w:val="18"/>
              </w:rPr>
              <w:t xml:space="preserve"> $    687,257.21 </w:t>
            </w:r>
          </w:p>
        </w:tc>
        <w:tc>
          <w:tcPr>
            <w:tcW w:w="3120" w:type="dxa"/>
            <w:vAlign w:val="bottom"/>
          </w:tcPr>
          <w:p w:rsidRPr="00466602" w:rsidR="003E531C" w:rsidP="003E531C" w:rsidRDefault="003E531C" w14:paraId="52C3EBC4" w14:textId="0671326B">
            <w:pPr>
              <w:rPr>
                <w:sz w:val="18"/>
                <w:szCs w:val="18"/>
              </w:rPr>
            </w:pPr>
            <w:r w:rsidRPr="00466602">
              <w:rPr>
                <w:color w:val="000000"/>
                <w:sz w:val="18"/>
                <w:szCs w:val="18"/>
              </w:rPr>
              <w:t>4.79</w:t>
            </w:r>
          </w:p>
        </w:tc>
      </w:tr>
      <w:tr w:rsidR="003E531C" w:rsidTr="003E531C" w14:paraId="6D9D3669" w14:textId="77777777">
        <w:tc>
          <w:tcPr>
            <w:tcW w:w="3120" w:type="dxa"/>
            <w:vAlign w:val="bottom"/>
          </w:tcPr>
          <w:p w:rsidRPr="00466602" w:rsidR="003E531C" w:rsidP="003E531C" w:rsidRDefault="003E531C" w14:paraId="3424E48C" w14:textId="5058F9BA">
            <w:pPr>
              <w:rPr>
                <w:sz w:val="18"/>
                <w:szCs w:val="18"/>
              </w:rPr>
            </w:pPr>
            <w:r w:rsidRPr="00466602">
              <w:rPr>
                <w:color w:val="000000"/>
                <w:sz w:val="18"/>
                <w:szCs w:val="18"/>
              </w:rPr>
              <w:t xml:space="preserve">Provide Application Support and Operations </w:t>
            </w:r>
            <w:r w:rsidR="00017D2F">
              <w:rPr>
                <w:color w:val="000000"/>
                <w:sz w:val="18"/>
                <w:szCs w:val="18"/>
              </w:rPr>
              <w:t>S</w:t>
            </w:r>
            <w:r w:rsidRPr="00466602">
              <w:rPr>
                <w:color w:val="000000"/>
                <w:sz w:val="18"/>
                <w:szCs w:val="18"/>
              </w:rPr>
              <w:t>ervices</w:t>
            </w:r>
          </w:p>
        </w:tc>
        <w:tc>
          <w:tcPr>
            <w:tcW w:w="3120" w:type="dxa"/>
            <w:vAlign w:val="bottom"/>
          </w:tcPr>
          <w:p w:rsidRPr="00466602" w:rsidR="003E531C" w:rsidP="003E531C" w:rsidRDefault="003E531C" w14:paraId="06609F1D" w14:textId="291CC068">
            <w:pPr>
              <w:rPr>
                <w:sz w:val="18"/>
                <w:szCs w:val="18"/>
              </w:rPr>
            </w:pPr>
            <w:r w:rsidRPr="00466602">
              <w:rPr>
                <w:color w:val="000000"/>
                <w:sz w:val="18"/>
                <w:szCs w:val="18"/>
              </w:rPr>
              <w:t xml:space="preserve"> $    111,365.30 </w:t>
            </w:r>
          </w:p>
        </w:tc>
        <w:tc>
          <w:tcPr>
            <w:tcW w:w="3120" w:type="dxa"/>
            <w:vAlign w:val="bottom"/>
          </w:tcPr>
          <w:p w:rsidRPr="00466602" w:rsidR="003E531C" w:rsidP="003E531C" w:rsidRDefault="003E531C" w14:paraId="43C4BD41" w14:textId="4F0E317E">
            <w:pPr>
              <w:rPr>
                <w:sz w:val="18"/>
                <w:szCs w:val="18"/>
              </w:rPr>
            </w:pPr>
            <w:r w:rsidRPr="00466602">
              <w:rPr>
                <w:color w:val="000000"/>
                <w:sz w:val="18"/>
                <w:szCs w:val="18"/>
              </w:rPr>
              <w:t>0.84</w:t>
            </w:r>
          </w:p>
        </w:tc>
      </w:tr>
      <w:tr w:rsidR="003E531C" w:rsidTr="003E531C" w14:paraId="12F3DDF5" w14:textId="77777777">
        <w:tc>
          <w:tcPr>
            <w:tcW w:w="3120" w:type="dxa"/>
            <w:vAlign w:val="bottom"/>
          </w:tcPr>
          <w:p w:rsidRPr="00466602" w:rsidR="003E531C" w:rsidP="003E531C" w:rsidRDefault="003E531C" w14:paraId="433D4524" w14:textId="35F7CEA3">
            <w:pPr>
              <w:rPr>
                <w:sz w:val="18"/>
                <w:szCs w:val="18"/>
              </w:rPr>
            </w:pPr>
            <w:r w:rsidRPr="00466602">
              <w:rPr>
                <w:color w:val="000000"/>
                <w:sz w:val="18"/>
                <w:szCs w:val="18"/>
              </w:rPr>
              <w:t xml:space="preserve">Provide Editing </w:t>
            </w:r>
            <w:r w:rsidRPr="00466602" w:rsidR="00466602">
              <w:rPr>
                <w:color w:val="000000"/>
                <w:sz w:val="18"/>
                <w:szCs w:val="18"/>
              </w:rPr>
              <w:t>Services/</w:t>
            </w:r>
            <w:r w:rsidRPr="00466602" w:rsidR="00335739">
              <w:rPr>
                <w:color w:val="000000"/>
                <w:sz w:val="18"/>
                <w:szCs w:val="18"/>
              </w:rPr>
              <w:t>Support</w:t>
            </w:r>
            <w:r w:rsidRPr="00466602" w:rsidR="00466602">
              <w:rPr>
                <w:color w:val="000000"/>
                <w:sz w:val="18"/>
                <w:szCs w:val="18"/>
              </w:rPr>
              <w:t xml:space="preserve"> </w:t>
            </w:r>
            <w:r w:rsidRPr="00466602">
              <w:rPr>
                <w:color w:val="000000"/>
                <w:sz w:val="18"/>
                <w:szCs w:val="18"/>
              </w:rPr>
              <w:t>Services/Support</w:t>
            </w:r>
          </w:p>
        </w:tc>
        <w:tc>
          <w:tcPr>
            <w:tcW w:w="3120" w:type="dxa"/>
            <w:vAlign w:val="bottom"/>
          </w:tcPr>
          <w:p w:rsidRPr="00466602" w:rsidR="003E531C" w:rsidP="003E531C" w:rsidRDefault="003E531C" w14:paraId="20925E9B" w14:textId="48A1AAFB">
            <w:pPr>
              <w:rPr>
                <w:sz w:val="18"/>
                <w:szCs w:val="18"/>
              </w:rPr>
            </w:pPr>
            <w:r w:rsidRPr="00466602">
              <w:rPr>
                <w:color w:val="000000"/>
                <w:sz w:val="18"/>
                <w:szCs w:val="18"/>
              </w:rPr>
              <w:t xml:space="preserve"> $    201,792.18 </w:t>
            </w:r>
          </w:p>
        </w:tc>
        <w:tc>
          <w:tcPr>
            <w:tcW w:w="3120" w:type="dxa"/>
            <w:vAlign w:val="bottom"/>
          </w:tcPr>
          <w:p w:rsidRPr="00466602" w:rsidR="003E531C" w:rsidP="003E531C" w:rsidRDefault="003E531C" w14:paraId="2A4422B2" w14:textId="7D2936EC">
            <w:pPr>
              <w:rPr>
                <w:sz w:val="18"/>
                <w:szCs w:val="18"/>
              </w:rPr>
            </w:pPr>
            <w:r w:rsidRPr="00466602">
              <w:rPr>
                <w:color w:val="000000"/>
                <w:sz w:val="18"/>
                <w:szCs w:val="18"/>
              </w:rPr>
              <w:t>1.20</w:t>
            </w:r>
          </w:p>
        </w:tc>
      </w:tr>
      <w:tr w:rsidR="003E531C" w:rsidTr="003E531C" w14:paraId="4005E478" w14:textId="77777777">
        <w:tc>
          <w:tcPr>
            <w:tcW w:w="3120" w:type="dxa"/>
            <w:vAlign w:val="bottom"/>
          </w:tcPr>
          <w:p w:rsidRPr="00466602" w:rsidR="003E531C" w:rsidP="003E531C" w:rsidRDefault="003E531C" w14:paraId="3096CAEF" w14:textId="312CF079">
            <w:pPr>
              <w:rPr>
                <w:sz w:val="18"/>
                <w:szCs w:val="18"/>
              </w:rPr>
            </w:pPr>
            <w:r w:rsidRPr="00466602">
              <w:rPr>
                <w:color w:val="000000"/>
                <w:sz w:val="18"/>
                <w:szCs w:val="18"/>
              </w:rPr>
              <w:t>Provide Supervisory Review/Oversight</w:t>
            </w:r>
          </w:p>
        </w:tc>
        <w:tc>
          <w:tcPr>
            <w:tcW w:w="3120" w:type="dxa"/>
            <w:vAlign w:val="bottom"/>
          </w:tcPr>
          <w:p w:rsidRPr="00466602" w:rsidR="003E531C" w:rsidP="003E531C" w:rsidRDefault="003E531C" w14:paraId="23F3FEE1" w14:textId="24122BCC">
            <w:pPr>
              <w:rPr>
                <w:sz w:val="18"/>
                <w:szCs w:val="18"/>
              </w:rPr>
            </w:pPr>
            <w:r w:rsidRPr="00466602">
              <w:rPr>
                <w:color w:val="000000"/>
                <w:sz w:val="18"/>
                <w:szCs w:val="18"/>
              </w:rPr>
              <w:t xml:space="preserve"> $      35,091.60 </w:t>
            </w:r>
          </w:p>
        </w:tc>
        <w:tc>
          <w:tcPr>
            <w:tcW w:w="3120" w:type="dxa"/>
            <w:vAlign w:val="bottom"/>
          </w:tcPr>
          <w:p w:rsidRPr="00466602" w:rsidR="003E531C" w:rsidP="003E531C" w:rsidRDefault="003E531C" w14:paraId="6285BF39" w14:textId="682702C7">
            <w:pPr>
              <w:rPr>
                <w:sz w:val="18"/>
                <w:szCs w:val="18"/>
              </w:rPr>
            </w:pPr>
            <w:r w:rsidRPr="00466602">
              <w:rPr>
                <w:color w:val="000000"/>
                <w:sz w:val="18"/>
                <w:szCs w:val="18"/>
              </w:rPr>
              <w:t>0.18</w:t>
            </w:r>
          </w:p>
        </w:tc>
      </w:tr>
      <w:tr w:rsidR="003E531C" w:rsidTr="003E531C" w14:paraId="0E5A486E" w14:textId="77777777">
        <w:tc>
          <w:tcPr>
            <w:tcW w:w="3120" w:type="dxa"/>
            <w:vAlign w:val="bottom"/>
          </w:tcPr>
          <w:p w:rsidRPr="00466602" w:rsidR="003E531C" w:rsidP="003E531C" w:rsidRDefault="003E531C" w14:paraId="3D1AA59D" w14:textId="3BA28C0C">
            <w:pPr>
              <w:rPr>
                <w:sz w:val="18"/>
                <w:szCs w:val="18"/>
              </w:rPr>
            </w:pPr>
            <w:r w:rsidRPr="00466602">
              <w:rPr>
                <w:color w:val="000000"/>
                <w:sz w:val="18"/>
                <w:szCs w:val="18"/>
              </w:rPr>
              <w:t>Provide Writing Services/Support</w:t>
            </w:r>
          </w:p>
        </w:tc>
        <w:tc>
          <w:tcPr>
            <w:tcW w:w="3120" w:type="dxa"/>
            <w:vAlign w:val="bottom"/>
          </w:tcPr>
          <w:p w:rsidRPr="00466602" w:rsidR="003E531C" w:rsidP="003E531C" w:rsidRDefault="003E531C" w14:paraId="42503F98" w14:textId="65E37695">
            <w:pPr>
              <w:rPr>
                <w:sz w:val="18"/>
                <w:szCs w:val="18"/>
              </w:rPr>
            </w:pPr>
            <w:r w:rsidRPr="00466602">
              <w:rPr>
                <w:color w:val="000000"/>
                <w:sz w:val="18"/>
                <w:szCs w:val="18"/>
              </w:rPr>
              <w:t xml:space="preserve"> $    179,656.15 </w:t>
            </w:r>
          </w:p>
        </w:tc>
        <w:tc>
          <w:tcPr>
            <w:tcW w:w="3120" w:type="dxa"/>
            <w:vAlign w:val="bottom"/>
          </w:tcPr>
          <w:p w:rsidRPr="00466602" w:rsidR="003E531C" w:rsidP="003E531C" w:rsidRDefault="003E531C" w14:paraId="1BA46F9B" w14:textId="6249243E">
            <w:pPr>
              <w:rPr>
                <w:sz w:val="18"/>
                <w:szCs w:val="18"/>
              </w:rPr>
            </w:pPr>
            <w:r w:rsidRPr="00466602">
              <w:rPr>
                <w:color w:val="000000"/>
                <w:sz w:val="18"/>
                <w:szCs w:val="18"/>
              </w:rPr>
              <w:t>1.07</w:t>
            </w:r>
          </w:p>
        </w:tc>
      </w:tr>
      <w:tr w:rsidR="003E531C" w:rsidTr="003E531C" w14:paraId="21C9E196" w14:textId="77777777">
        <w:tc>
          <w:tcPr>
            <w:tcW w:w="3120" w:type="dxa"/>
            <w:vAlign w:val="bottom"/>
          </w:tcPr>
          <w:p w:rsidRPr="00466602" w:rsidR="003E531C" w:rsidP="003E531C" w:rsidRDefault="003E531C" w14:paraId="38996380" w14:textId="00F31BDC">
            <w:pPr>
              <w:rPr>
                <w:sz w:val="18"/>
                <w:szCs w:val="18"/>
              </w:rPr>
            </w:pPr>
            <w:r w:rsidRPr="00466602">
              <w:rPr>
                <w:color w:val="000000"/>
                <w:sz w:val="18"/>
                <w:szCs w:val="18"/>
              </w:rPr>
              <w:t xml:space="preserve">Select and </w:t>
            </w:r>
            <w:r w:rsidR="00017D2F">
              <w:rPr>
                <w:color w:val="000000"/>
                <w:sz w:val="18"/>
                <w:szCs w:val="18"/>
              </w:rPr>
              <w:t>O</w:t>
            </w:r>
            <w:r w:rsidRPr="00466602">
              <w:rPr>
                <w:color w:val="000000"/>
                <w:sz w:val="18"/>
                <w:szCs w:val="18"/>
              </w:rPr>
              <w:t xml:space="preserve">versee </w:t>
            </w:r>
            <w:r w:rsidR="00017D2F">
              <w:rPr>
                <w:color w:val="000000"/>
                <w:sz w:val="18"/>
                <w:szCs w:val="18"/>
              </w:rPr>
              <w:t>V</w:t>
            </w:r>
            <w:r w:rsidRPr="00466602">
              <w:rPr>
                <w:color w:val="000000"/>
                <w:sz w:val="18"/>
                <w:szCs w:val="18"/>
              </w:rPr>
              <w:t xml:space="preserve">endors via the IT Vendor Management </w:t>
            </w:r>
            <w:r w:rsidR="00017D2F">
              <w:rPr>
                <w:color w:val="000000"/>
                <w:sz w:val="18"/>
                <w:szCs w:val="18"/>
              </w:rPr>
              <w:t>P</w:t>
            </w:r>
            <w:r w:rsidRPr="00466602">
              <w:rPr>
                <w:color w:val="000000"/>
                <w:sz w:val="18"/>
                <w:szCs w:val="18"/>
              </w:rPr>
              <w:t>rocess</w:t>
            </w:r>
          </w:p>
        </w:tc>
        <w:tc>
          <w:tcPr>
            <w:tcW w:w="3120" w:type="dxa"/>
            <w:vAlign w:val="bottom"/>
          </w:tcPr>
          <w:p w:rsidRPr="00466602" w:rsidR="003E531C" w:rsidP="003E531C" w:rsidRDefault="003E531C" w14:paraId="6F8B0089" w14:textId="462B0F2B">
            <w:pPr>
              <w:rPr>
                <w:sz w:val="18"/>
                <w:szCs w:val="18"/>
              </w:rPr>
            </w:pPr>
            <w:r w:rsidRPr="00466602">
              <w:rPr>
                <w:color w:val="000000"/>
                <w:sz w:val="18"/>
                <w:szCs w:val="18"/>
              </w:rPr>
              <w:t xml:space="preserve"> $      35,267.21 </w:t>
            </w:r>
          </w:p>
        </w:tc>
        <w:tc>
          <w:tcPr>
            <w:tcW w:w="3120" w:type="dxa"/>
            <w:vAlign w:val="bottom"/>
          </w:tcPr>
          <w:p w:rsidRPr="00466602" w:rsidR="003E531C" w:rsidP="003E531C" w:rsidRDefault="003E531C" w14:paraId="42A07C35" w14:textId="7CF1B923">
            <w:pPr>
              <w:rPr>
                <w:sz w:val="18"/>
                <w:szCs w:val="18"/>
              </w:rPr>
            </w:pPr>
            <w:r w:rsidRPr="00466602">
              <w:rPr>
                <w:color w:val="000000"/>
                <w:sz w:val="18"/>
                <w:szCs w:val="18"/>
              </w:rPr>
              <w:t>0.17</w:t>
            </w:r>
          </w:p>
        </w:tc>
      </w:tr>
      <w:tr w:rsidR="003E531C" w:rsidTr="003E531C" w14:paraId="3A9D58F4" w14:textId="77777777">
        <w:tc>
          <w:tcPr>
            <w:tcW w:w="3120" w:type="dxa"/>
            <w:vAlign w:val="bottom"/>
          </w:tcPr>
          <w:p w:rsidRPr="00466602" w:rsidR="003E531C" w:rsidP="003E531C" w:rsidRDefault="003E531C" w14:paraId="58DFF349" w14:textId="60586FB8">
            <w:pPr>
              <w:rPr>
                <w:sz w:val="18"/>
                <w:szCs w:val="18"/>
              </w:rPr>
            </w:pPr>
            <w:r w:rsidRPr="00466602">
              <w:rPr>
                <w:color w:val="000000"/>
                <w:sz w:val="18"/>
                <w:szCs w:val="18"/>
              </w:rPr>
              <w:t>Support and Manage IT Programs, Product Initiatives</w:t>
            </w:r>
          </w:p>
        </w:tc>
        <w:tc>
          <w:tcPr>
            <w:tcW w:w="3120" w:type="dxa"/>
            <w:vAlign w:val="bottom"/>
          </w:tcPr>
          <w:p w:rsidRPr="00466602" w:rsidR="003E531C" w:rsidP="003E531C" w:rsidRDefault="003E531C" w14:paraId="22850F6A" w14:textId="3BC2D75C">
            <w:pPr>
              <w:rPr>
                <w:sz w:val="18"/>
                <w:szCs w:val="18"/>
              </w:rPr>
            </w:pPr>
            <w:r w:rsidRPr="00466602">
              <w:rPr>
                <w:color w:val="000000"/>
                <w:sz w:val="18"/>
                <w:szCs w:val="18"/>
              </w:rPr>
              <w:t xml:space="preserve"> $    344,140.46 </w:t>
            </w:r>
          </w:p>
        </w:tc>
        <w:tc>
          <w:tcPr>
            <w:tcW w:w="3120" w:type="dxa"/>
            <w:vAlign w:val="bottom"/>
          </w:tcPr>
          <w:p w:rsidRPr="00466602" w:rsidR="003E531C" w:rsidP="003E531C" w:rsidRDefault="003E531C" w14:paraId="65AD0B74" w14:textId="3CCCC561">
            <w:pPr>
              <w:rPr>
                <w:sz w:val="18"/>
                <w:szCs w:val="18"/>
              </w:rPr>
            </w:pPr>
            <w:r w:rsidRPr="00466602">
              <w:rPr>
                <w:color w:val="000000"/>
                <w:sz w:val="18"/>
                <w:szCs w:val="18"/>
              </w:rPr>
              <w:t>2.45</w:t>
            </w:r>
          </w:p>
        </w:tc>
      </w:tr>
    </w:tbl>
    <w:p w:rsidR="00CB795B" w:rsidRDefault="00CB795B" w14:paraId="2E2DB0D9" w14:textId="77777777"/>
    <w:p w:rsidRPr="00A02298" w:rsidR="00CF534E" w:rsidRDefault="00CF534E" w14:paraId="1805A4F3" w14:textId="15F664C7">
      <w:r w:rsidRPr="00A02298">
        <w:t>15.  Reasons for Change in Burden:</w:t>
      </w:r>
    </w:p>
    <w:p w:rsidRPr="00A02298" w:rsidR="00CF534E" w:rsidRDefault="00CF534E" w14:paraId="2B95C310" w14:textId="77777777"/>
    <w:p w:rsidRPr="00A02298" w:rsidR="0048246C" w:rsidP="00197C46" w:rsidRDefault="0048246C" w14:paraId="2B690CEA" w14:textId="77777777">
      <w:pPr>
        <w:pStyle w:val="ListParagraph"/>
        <w:autoSpaceDE w:val="0"/>
        <w:autoSpaceDN w:val="0"/>
        <w:adjustRightInd w:val="0"/>
        <w:spacing w:after="0" w:line="240" w:lineRule="auto"/>
        <w:ind w:left="0"/>
        <w:rPr>
          <w:rFonts w:ascii="Times New Roman" w:hAnsi="Times New Roman"/>
          <w:sz w:val="24"/>
          <w:szCs w:val="24"/>
        </w:rPr>
      </w:pPr>
      <w:r w:rsidRPr="00A02298">
        <w:rPr>
          <w:rFonts w:ascii="Times New Roman" w:hAnsi="Times New Roman"/>
          <w:sz w:val="24"/>
          <w:szCs w:val="24"/>
        </w:rPr>
        <w:t>Not applicable.</w:t>
      </w:r>
    </w:p>
    <w:p w:rsidR="006F526C" w:rsidRDefault="006F526C" w14:paraId="78EE736A" w14:textId="77777777"/>
    <w:p w:rsidR="48FF4D46" w:rsidRDefault="00CF534E" w14:paraId="2AE7DB36" w14:textId="02C916C6">
      <w:r>
        <w:t>16.  Plans for Publication:</w:t>
      </w:r>
    </w:p>
    <w:p w:rsidR="0065270B" w:rsidRDefault="0065270B" w14:paraId="6EEAA512" w14:textId="1CFB642D"/>
    <w:p w:rsidR="009170BB" w:rsidP="00197C46" w:rsidRDefault="001D31A2" w14:paraId="604B4071" w14:textId="72F81E67">
      <w:r w:rsidRPr="00A9458F">
        <w:t xml:space="preserve">As the LEPC Data Collection is </w:t>
      </w:r>
      <w:r w:rsidRPr="00A9458F" w:rsidR="00C21E6D">
        <w:t xml:space="preserve">primarily </w:t>
      </w:r>
      <w:r w:rsidRPr="00A9458F">
        <w:t>designed to support the National Use-of-Force Data Collection</w:t>
      </w:r>
      <w:r w:rsidRPr="00A9458F" w:rsidR="00C21E6D">
        <w:t>, the FBI UCR Program intends to publish</w:t>
      </w:r>
      <w:r w:rsidRPr="00A9458F" w:rsidR="008A2699">
        <w:t xml:space="preserve"> </w:t>
      </w:r>
      <w:r w:rsidRPr="00A9458F" w:rsidR="000C31A5">
        <w:t>the annual LEPC data alongside the annual publication of the National Use-of-Force Data Collection</w:t>
      </w:r>
      <w:r w:rsidRPr="00A9458F" w:rsidR="00F458FE">
        <w:t xml:space="preserve">. </w:t>
      </w:r>
      <w:r w:rsidR="007E5C3A">
        <w:t xml:space="preserve"> </w:t>
      </w:r>
      <w:r w:rsidRPr="00A9458F" w:rsidR="00F458FE">
        <w:t>This publication strategy will largely be d</w:t>
      </w:r>
      <w:r w:rsidRPr="00A9458F" w:rsidR="00A440FE">
        <w:t>ependent</w:t>
      </w:r>
      <w:r w:rsidRPr="00A9458F" w:rsidR="00F458FE">
        <w:t xml:space="preserve"> by the level of coverage obtained by the National Use-of-Force Data Collection and the </w:t>
      </w:r>
      <w:r w:rsidRPr="00A9458F" w:rsidR="00031C7A">
        <w:t>coverage threshold requirements established by OMB.</w:t>
      </w:r>
      <w:r w:rsidR="00920A24">
        <w:t xml:space="preserve"> </w:t>
      </w:r>
      <w:r w:rsidR="007E5C3A">
        <w:t xml:space="preserve"> </w:t>
      </w:r>
      <w:r w:rsidR="00920A24">
        <w:t>The details of the OMB thresholds for the National Use-of-Force Data Collection are provided below:</w:t>
      </w:r>
    </w:p>
    <w:p w:rsidR="00920A24" w:rsidP="00197C46" w:rsidRDefault="00920A24" w14:paraId="3949ADB5" w14:textId="5A99B85E"/>
    <w:p w:rsidRPr="00920A24" w:rsidR="00920A24" w:rsidP="00197C46" w:rsidRDefault="00920A24" w14:paraId="5C38587C" w14:textId="77777777">
      <w:pPr>
        <w:ind w:left="360"/>
        <w:rPr>
          <w:i/>
          <w:iCs/>
        </w:rPr>
      </w:pPr>
      <w:r w:rsidRPr="00920A24">
        <w:rPr>
          <w:i/>
          <w:iCs/>
        </w:rPr>
        <w:t>For the first year of collection,</w:t>
      </w:r>
    </w:p>
    <w:p w:rsidRPr="00920A24" w:rsidR="00920A24" w:rsidP="00197C46" w:rsidRDefault="00920A24" w14:paraId="78A77199" w14:textId="77777777">
      <w:pPr>
        <w:ind w:left="360"/>
        <w:rPr>
          <w:i/>
          <w:iCs/>
        </w:rPr>
      </w:pPr>
      <w:r w:rsidRPr="00920A24">
        <w:rPr>
          <w:i/>
          <w:iCs/>
        </w:rPr>
        <w:t xml:space="preserve"> </w:t>
      </w:r>
    </w:p>
    <w:p w:rsidRPr="00920A24" w:rsidR="00920A24" w:rsidP="00197C46" w:rsidRDefault="00920A24" w14:paraId="4ABDF1A5" w14:textId="44B216AA">
      <w:pPr>
        <w:pStyle w:val="ListParagraph"/>
        <w:numPr>
          <w:ilvl w:val="1"/>
          <w:numId w:val="2"/>
        </w:numPr>
        <w:spacing w:line="252" w:lineRule="auto"/>
        <w:rPr>
          <w:rFonts w:ascii="Times New Roman" w:hAnsi="Times New Roman" w:eastAsia="Times New Roman"/>
          <w:i/>
          <w:iCs/>
          <w:color w:val="000000" w:themeColor="text1"/>
          <w:sz w:val="24"/>
          <w:szCs w:val="24"/>
        </w:rPr>
      </w:pPr>
      <w:r w:rsidRPr="00920A24">
        <w:rPr>
          <w:rFonts w:ascii="Times New Roman" w:hAnsi="Times New Roman" w:eastAsia="Times New Roman"/>
          <w:i/>
          <w:iCs/>
          <w:sz w:val="24"/>
          <w:szCs w:val="24"/>
        </w:rPr>
        <w:t>If the coverage rate is 80 percent or greater and the item nonresponse is 30 percent or less, no conditions apply to the dissemination of the results.</w:t>
      </w:r>
    </w:p>
    <w:p w:rsidRPr="00920A24" w:rsidR="00920A24" w:rsidP="00197C46" w:rsidRDefault="00920A24" w14:paraId="73EC128B" w14:textId="449A2C0E">
      <w:pPr>
        <w:pStyle w:val="ListParagraph"/>
        <w:numPr>
          <w:ilvl w:val="1"/>
          <w:numId w:val="2"/>
        </w:numPr>
        <w:spacing w:line="252" w:lineRule="auto"/>
        <w:rPr>
          <w:rFonts w:ascii="Times New Roman" w:hAnsi="Times New Roman" w:eastAsia="Times New Roman"/>
          <w:i/>
          <w:iCs/>
          <w:color w:val="000000" w:themeColor="text1"/>
          <w:sz w:val="24"/>
          <w:szCs w:val="24"/>
        </w:rPr>
      </w:pPr>
      <w:r w:rsidRPr="00920A24">
        <w:rPr>
          <w:rFonts w:ascii="Times New Roman" w:hAnsi="Times New Roman" w:eastAsia="Times New Roman"/>
          <w:i/>
          <w:iCs/>
          <w:sz w:val="24"/>
          <w:szCs w:val="24"/>
        </w:rPr>
        <w:lastRenderedPageBreak/>
        <w:t>If the coverage rate is between 60 percent and 80 percent or the item nonresponse is greater than 30 percent, the FBI will not release counts or totals, but may release ratios or percentages.</w:t>
      </w:r>
    </w:p>
    <w:p w:rsidRPr="00920A24" w:rsidR="00920A24" w:rsidP="00197C46" w:rsidRDefault="00920A24" w14:paraId="429042E6" w14:textId="77777777">
      <w:pPr>
        <w:pStyle w:val="ListParagraph"/>
        <w:numPr>
          <w:ilvl w:val="1"/>
          <w:numId w:val="2"/>
        </w:numPr>
        <w:spacing w:line="252" w:lineRule="auto"/>
        <w:rPr>
          <w:rFonts w:ascii="Times New Roman" w:hAnsi="Times New Roman" w:eastAsia="Times New Roman"/>
          <w:i/>
          <w:iCs/>
          <w:color w:val="000000" w:themeColor="text1"/>
          <w:sz w:val="24"/>
          <w:szCs w:val="24"/>
        </w:rPr>
      </w:pPr>
      <w:r w:rsidRPr="00920A24">
        <w:rPr>
          <w:rFonts w:ascii="Times New Roman" w:hAnsi="Times New Roman" w:eastAsia="Times New Roman"/>
          <w:i/>
          <w:iCs/>
          <w:sz w:val="24"/>
          <w:szCs w:val="24"/>
        </w:rPr>
        <w:t>If the coverage rate is between 40 percent and 60 percent, the FBI may release only the response percentages for the key variables across the entire population and for subpopulations which represent 20 percent or more of the total population.</w:t>
      </w:r>
    </w:p>
    <w:p w:rsidRPr="00920A24" w:rsidR="00920A24" w:rsidP="00197C46" w:rsidRDefault="00920A24" w14:paraId="33635AAE" w14:textId="77777777">
      <w:pPr>
        <w:pStyle w:val="ListParagraph"/>
        <w:numPr>
          <w:ilvl w:val="1"/>
          <w:numId w:val="2"/>
        </w:numPr>
        <w:spacing w:line="252" w:lineRule="auto"/>
        <w:rPr>
          <w:rFonts w:ascii="Times New Roman" w:hAnsi="Times New Roman" w:eastAsia="Times New Roman"/>
          <w:i/>
          <w:iCs/>
          <w:color w:val="000000" w:themeColor="text1"/>
          <w:sz w:val="24"/>
          <w:szCs w:val="24"/>
        </w:rPr>
      </w:pPr>
      <w:r w:rsidRPr="00920A24">
        <w:rPr>
          <w:rFonts w:ascii="Times New Roman" w:hAnsi="Times New Roman" w:eastAsia="Times New Roman"/>
          <w:i/>
          <w:iCs/>
          <w:sz w:val="24"/>
          <w:szCs w:val="24"/>
        </w:rPr>
        <w:t>If the coverage rate is less than 40 percent, the FBI will not disseminate results.</w:t>
      </w:r>
    </w:p>
    <w:p w:rsidRPr="00920A24" w:rsidR="00920A24" w:rsidP="00197C46" w:rsidRDefault="00920A24" w14:paraId="059A98FC" w14:textId="5EE8F64F">
      <w:pPr>
        <w:spacing w:line="252" w:lineRule="auto"/>
        <w:ind w:left="360"/>
        <w:rPr>
          <w:i/>
          <w:iCs/>
          <w:color w:val="000000" w:themeColor="text1"/>
        </w:rPr>
      </w:pPr>
      <w:r w:rsidRPr="00920A24">
        <w:rPr>
          <w:i/>
          <w:iCs/>
        </w:rPr>
        <w:t>In subsequent years, if any combination of conditions C and D are met for three consecutive years, or if condition D is met for two consecutive years, then the FBI will discontinue the collection and explore alternate approaches for collecting the information, for example, by working cooperatively with the Bureau of Justice Statistics to expand their current efforts to collect information on deaths in custody, to include law enforcement.</w:t>
      </w:r>
    </w:p>
    <w:p w:rsidR="009170BB" w:rsidP="00197C46" w:rsidRDefault="009170BB" w14:paraId="4E081655" w14:textId="77777777"/>
    <w:p w:rsidR="004052CB" w:rsidP="00197C46" w:rsidRDefault="009170BB" w14:paraId="733ED34F" w14:textId="047C9E85">
      <w:r>
        <w:t>Due to the requirements that limit the amount of detail that can b</w:t>
      </w:r>
      <w:r w:rsidR="00311599">
        <w:t>e published for use-of-force data at the 40</w:t>
      </w:r>
      <w:r w:rsidR="00856316">
        <w:t xml:space="preserve"> percent</w:t>
      </w:r>
      <w:r w:rsidR="00311599">
        <w:t xml:space="preserve"> coverage</w:t>
      </w:r>
      <w:r w:rsidR="000C31A5">
        <w:t xml:space="preserve"> </w:t>
      </w:r>
      <w:r w:rsidR="008A0A5D">
        <w:t xml:space="preserve">threshold, it would provide limited statistical utility to provide LEPC data alongside </w:t>
      </w:r>
      <w:r w:rsidR="00D14619">
        <w:t xml:space="preserve">simple participation data. </w:t>
      </w:r>
      <w:r w:rsidR="007E5C3A">
        <w:t xml:space="preserve"> </w:t>
      </w:r>
      <w:r w:rsidR="00D14619">
        <w:t>Therefore</w:t>
      </w:r>
      <w:r w:rsidR="00EA3AB3">
        <w:t xml:space="preserve">, LEPC data will be published </w:t>
      </w:r>
      <w:r w:rsidR="00BF0B53">
        <w:t>alongside</w:t>
      </w:r>
      <w:r w:rsidR="00EA3AB3">
        <w:t xml:space="preserve"> annual use-of-force publications </w:t>
      </w:r>
      <w:r w:rsidR="00BF0B53">
        <w:t xml:space="preserve">for collections where the National Use-of-Force Data </w:t>
      </w:r>
      <w:r w:rsidR="009C3376">
        <w:t>Co</w:t>
      </w:r>
      <w:r w:rsidR="00BF0B53">
        <w:t>llection achieves 60</w:t>
      </w:r>
      <w:r w:rsidR="00856316">
        <w:t xml:space="preserve"> percent</w:t>
      </w:r>
      <w:r w:rsidR="00BF0B53">
        <w:t xml:space="preserve"> coverage and meets the necessary threshold to provide additional details of the use-of-force data.</w:t>
      </w:r>
      <w:r w:rsidR="007E5C3A">
        <w:t xml:space="preserve"> </w:t>
      </w:r>
      <w:r w:rsidR="00BF0B53">
        <w:t xml:space="preserve"> </w:t>
      </w:r>
      <w:r w:rsidR="00E562A7">
        <w:t>By providing LEPC data for 60</w:t>
      </w:r>
      <w:r w:rsidR="00C15671">
        <w:t xml:space="preserve"> percent</w:t>
      </w:r>
      <w:r w:rsidR="00E562A7">
        <w:t xml:space="preserve"> publications, the FBI UCR Program </w:t>
      </w:r>
      <w:r w:rsidR="00C34189">
        <w:t>enables proper understanding of the ratios and percentages of use-of-force data which will be released at the 60</w:t>
      </w:r>
      <w:r w:rsidR="00C15671">
        <w:t xml:space="preserve"> percent</w:t>
      </w:r>
      <w:r w:rsidR="00C34189">
        <w:t xml:space="preserve"> coverage threshold.</w:t>
      </w:r>
      <w:r w:rsidR="007E5C3A">
        <w:t xml:space="preserve"> </w:t>
      </w:r>
      <w:r w:rsidR="00C34189">
        <w:t xml:space="preserve"> Collecting LEPC data less frequently would hinder the ability of the FBI UCR Program to provide appropriate context to the annual release of use-of-force data.</w:t>
      </w:r>
    </w:p>
    <w:p w:rsidR="00CB795B" w:rsidP="2A4A7109" w:rsidRDefault="00CB795B" w14:paraId="6B6B430A" w14:textId="77777777"/>
    <w:p w:rsidR="00CF534E" w:rsidRDefault="00CF534E" w14:paraId="2703AAAE" w14:textId="05830C90">
      <w:r w:rsidRPr="00A02298">
        <w:t>17.  Expiration Date Approval:</w:t>
      </w:r>
    </w:p>
    <w:p w:rsidR="001755F4" w:rsidRDefault="001755F4" w14:paraId="0F859AE0" w14:textId="13933D73"/>
    <w:p w:rsidRPr="00A02298" w:rsidR="001755F4" w:rsidP="00197C46" w:rsidRDefault="001755F4" w14:paraId="7AC3F66A" w14:textId="77777777">
      <w:r w:rsidRPr="00A02298">
        <w:t xml:space="preserve">The FBI does not want to display the expiration date for OMB approval of the information collection due to </w:t>
      </w:r>
      <w:r>
        <w:t>the mode of data</w:t>
      </w:r>
      <w:r w:rsidRPr="00A02298">
        <w:t xml:space="preserve"> collection</w:t>
      </w:r>
      <w:r>
        <w:t>.  The National Use-of-Force Data Collection will be collected via Web form available on the restricted-access LEEP.  To keep an expiration date current would require programming changes on the Web form.</w:t>
      </w:r>
    </w:p>
    <w:p w:rsidRPr="00A02298" w:rsidR="00CF534E" w:rsidRDefault="00CF534E" w14:paraId="52B79978" w14:textId="77777777"/>
    <w:p w:rsidR="00197C46" w:rsidP="00197C46" w:rsidRDefault="00CF534E" w14:paraId="17AAB89B" w14:textId="77777777">
      <w:r w:rsidRPr="00A02298">
        <w:t>18.  Exceptions to the Certification Statement:</w:t>
      </w:r>
      <w:r w:rsidR="00B1087D">
        <w:t xml:space="preserve">  </w:t>
      </w:r>
      <w:r w:rsidR="003D5912">
        <w:br/>
      </w:r>
    </w:p>
    <w:p w:rsidRPr="0090727C" w:rsidR="0090727C" w:rsidP="00EA0FC4" w:rsidRDefault="003D5912" w14:paraId="6BE7F01D" w14:textId="17B58B85">
      <w:r>
        <w:t xml:space="preserve"> Not applicab</w:t>
      </w:r>
      <w:r w:rsidR="008A0EB6">
        <w:t>l</w:t>
      </w:r>
      <w:r w:rsidR="00197C46">
        <w:t>e</w:t>
      </w:r>
      <w:r w:rsidR="00880F40">
        <w:t>.</w:t>
      </w:r>
    </w:p>
    <w:sectPr w:rsidRPr="0090727C" w:rsidR="0090727C" w:rsidSect="0048246C">
      <w:footerReference w:type="default" r:id="rId12"/>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F1E20" w14:textId="77777777" w:rsidR="00317D86" w:rsidRDefault="00317D86" w:rsidP="00CF534E">
      <w:r>
        <w:separator/>
      </w:r>
    </w:p>
  </w:endnote>
  <w:endnote w:type="continuationSeparator" w:id="0">
    <w:p w14:paraId="0FEC132B" w14:textId="77777777" w:rsidR="00317D86" w:rsidRDefault="00317D86" w:rsidP="00CF534E">
      <w:r>
        <w:continuationSeparator/>
      </w:r>
    </w:p>
  </w:endnote>
  <w:endnote w:type="continuationNotice" w:id="1">
    <w:p w14:paraId="434345F5" w14:textId="77777777" w:rsidR="00317D86" w:rsidRDefault="0031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1476305"/>
      <w:docPartObj>
        <w:docPartGallery w:val="Page Numbers (Bottom of Page)"/>
        <w:docPartUnique/>
      </w:docPartObj>
    </w:sdtPr>
    <w:sdtEndPr>
      <w:rPr>
        <w:noProof/>
      </w:rPr>
    </w:sdtEndPr>
    <w:sdtContent>
      <w:p w14:paraId="069B04FB" w14:textId="10A14876" w:rsidR="00046D06" w:rsidRDefault="0004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770CE" w14:textId="77777777" w:rsidR="001F2915" w:rsidRDefault="001F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F42A8" w14:textId="77777777" w:rsidR="00317D86" w:rsidRDefault="00317D86" w:rsidP="00CF534E">
      <w:r>
        <w:separator/>
      </w:r>
    </w:p>
  </w:footnote>
  <w:footnote w:type="continuationSeparator" w:id="0">
    <w:p w14:paraId="31269F33" w14:textId="77777777" w:rsidR="00317D86" w:rsidRDefault="00317D86" w:rsidP="00CF534E">
      <w:r>
        <w:continuationSeparator/>
      </w:r>
    </w:p>
  </w:footnote>
  <w:footnote w:type="continuationNotice" w:id="1">
    <w:p w14:paraId="3510E630" w14:textId="77777777" w:rsidR="00317D86" w:rsidRDefault="00317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56F14"/>
    <w:multiLevelType w:val="hybridMultilevel"/>
    <w:tmpl w:val="1FFECBEC"/>
    <w:lvl w:ilvl="0" w:tplc="BAC8FA04">
      <w:start w:val="1"/>
      <w:numFmt w:val="bullet"/>
      <w:lvlText w:val=""/>
      <w:lvlJc w:val="left"/>
      <w:pPr>
        <w:ind w:left="720" w:hanging="360"/>
      </w:pPr>
      <w:rPr>
        <w:rFonts w:ascii="Symbol" w:hAnsi="Symbol" w:hint="default"/>
      </w:rPr>
    </w:lvl>
    <w:lvl w:ilvl="1" w:tplc="F490C89C">
      <w:start w:val="1"/>
      <w:numFmt w:val="bullet"/>
      <w:lvlText w:val="o"/>
      <w:lvlJc w:val="left"/>
      <w:pPr>
        <w:ind w:left="1440" w:hanging="360"/>
      </w:pPr>
      <w:rPr>
        <w:rFonts w:ascii="Courier New" w:hAnsi="Courier New" w:hint="default"/>
      </w:rPr>
    </w:lvl>
    <w:lvl w:ilvl="2" w:tplc="C5AE2424">
      <w:start w:val="1"/>
      <w:numFmt w:val="bullet"/>
      <w:lvlText w:val=""/>
      <w:lvlJc w:val="left"/>
      <w:pPr>
        <w:ind w:left="2160" w:hanging="360"/>
      </w:pPr>
      <w:rPr>
        <w:rFonts w:ascii="Wingdings" w:hAnsi="Wingdings" w:hint="default"/>
      </w:rPr>
    </w:lvl>
    <w:lvl w:ilvl="3" w:tplc="F93295F8">
      <w:start w:val="1"/>
      <w:numFmt w:val="bullet"/>
      <w:lvlText w:val=""/>
      <w:lvlJc w:val="left"/>
      <w:pPr>
        <w:ind w:left="2880" w:hanging="360"/>
      </w:pPr>
      <w:rPr>
        <w:rFonts w:ascii="Symbol" w:hAnsi="Symbol" w:hint="default"/>
      </w:rPr>
    </w:lvl>
    <w:lvl w:ilvl="4" w:tplc="E7D21A4C">
      <w:start w:val="1"/>
      <w:numFmt w:val="bullet"/>
      <w:lvlText w:val="o"/>
      <w:lvlJc w:val="left"/>
      <w:pPr>
        <w:ind w:left="3600" w:hanging="360"/>
      </w:pPr>
      <w:rPr>
        <w:rFonts w:ascii="Courier New" w:hAnsi="Courier New" w:hint="default"/>
      </w:rPr>
    </w:lvl>
    <w:lvl w:ilvl="5" w:tplc="5B621CDC">
      <w:start w:val="1"/>
      <w:numFmt w:val="bullet"/>
      <w:lvlText w:val=""/>
      <w:lvlJc w:val="left"/>
      <w:pPr>
        <w:ind w:left="4320" w:hanging="360"/>
      </w:pPr>
      <w:rPr>
        <w:rFonts w:ascii="Wingdings" w:hAnsi="Wingdings" w:hint="default"/>
      </w:rPr>
    </w:lvl>
    <w:lvl w:ilvl="6" w:tplc="8116BE74">
      <w:start w:val="1"/>
      <w:numFmt w:val="bullet"/>
      <w:lvlText w:val=""/>
      <w:lvlJc w:val="left"/>
      <w:pPr>
        <w:ind w:left="5040" w:hanging="360"/>
      </w:pPr>
      <w:rPr>
        <w:rFonts w:ascii="Symbol" w:hAnsi="Symbol" w:hint="default"/>
      </w:rPr>
    </w:lvl>
    <w:lvl w:ilvl="7" w:tplc="23CE1776">
      <w:start w:val="1"/>
      <w:numFmt w:val="bullet"/>
      <w:lvlText w:val="o"/>
      <w:lvlJc w:val="left"/>
      <w:pPr>
        <w:ind w:left="5760" w:hanging="360"/>
      </w:pPr>
      <w:rPr>
        <w:rFonts w:ascii="Courier New" w:hAnsi="Courier New" w:hint="default"/>
      </w:rPr>
    </w:lvl>
    <w:lvl w:ilvl="8" w:tplc="56D46188">
      <w:start w:val="1"/>
      <w:numFmt w:val="bullet"/>
      <w:lvlText w:val=""/>
      <w:lvlJc w:val="left"/>
      <w:pPr>
        <w:ind w:left="6480" w:hanging="360"/>
      </w:pPr>
      <w:rPr>
        <w:rFonts w:ascii="Wingdings" w:hAnsi="Wingdings" w:hint="default"/>
      </w:rPr>
    </w:lvl>
  </w:abstractNum>
  <w:abstractNum w:abstractNumId="2" w15:restartNumberingAfterBreak="0">
    <w:nsid w:val="26844C16"/>
    <w:multiLevelType w:val="hybridMultilevel"/>
    <w:tmpl w:val="7E6A1E52"/>
    <w:lvl w:ilvl="0" w:tplc="7AF8E3D0">
      <w:start w:val="1"/>
      <w:numFmt w:val="decimal"/>
      <w:lvlText w:val="%1."/>
      <w:lvlJc w:val="left"/>
      <w:pPr>
        <w:ind w:left="720" w:hanging="360"/>
      </w:pPr>
    </w:lvl>
    <w:lvl w:ilvl="1" w:tplc="430233EA">
      <w:start w:val="1"/>
      <w:numFmt w:val="lowerLetter"/>
      <w:lvlText w:val="%2."/>
      <w:lvlJc w:val="left"/>
      <w:pPr>
        <w:ind w:left="1440" w:hanging="360"/>
      </w:pPr>
    </w:lvl>
    <w:lvl w:ilvl="2" w:tplc="04D0F6AA">
      <w:start w:val="1"/>
      <w:numFmt w:val="lowerRoman"/>
      <w:lvlText w:val="%3."/>
      <w:lvlJc w:val="right"/>
      <w:pPr>
        <w:ind w:left="2160" w:hanging="180"/>
      </w:pPr>
    </w:lvl>
    <w:lvl w:ilvl="3" w:tplc="86C80610">
      <w:start w:val="1"/>
      <w:numFmt w:val="decimal"/>
      <w:lvlText w:val="%4."/>
      <w:lvlJc w:val="left"/>
      <w:pPr>
        <w:ind w:left="2880" w:hanging="360"/>
      </w:pPr>
    </w:lvl>
    <w:lvl w:ilvl="4" w:tplc="FF18EAF8">
      <w:start w:val="1"/>
      <w:numFmt w:val="lowerLetter"/>
      <w:lvlText w:val="%5."/>
      <w:lvlJc w:val="left"/>
      <w:pPr>
        <w:ind w:left="3600" w:hanging="360"/>
      </w:pPr>
    </w:lvl>
    <w:lvl w:ilvl="5" w:tplc="BB5E8328">
      <w:start w:val="1"/>
      <w:numFmt w:val="lowerRoman"/>
      <w:lvlText w:val="%6."/>
      <w:lvlJc w:val="right"/>
      <w:pPr>
        <w:ind w:left="4320" w:hanging="180"/>
      </w:pPr>
    </w:lvl>
    <w:lvl w:ilvl="6" w:tplc="173250A2">
      <w:start w:val="1"/>
      <w:numFmt w:val="decimal"/>
      <w:lvlText w:val="%7."/>
      <w:lvlJc w:val="left"/>
      <w:pPr>
        <w:ind w:left="5040" w:hanging="360"/>
      </w:pPr>
    </w:lvl>
    <w:lvl w:ilvl="7" w:tplc="D51C2FD4">
      <w:start w:val="1"/>
      <w:numFmt w:val="lowerLetter"/>
      <w:lvlText w:val="%8."/>
      <w:lvlJc w:val="left"/>
      <w:pPr>
        <w:ind w:left="5760" w:hanging="360"/>
      </w:pPr>
    </w:lvl>
    <w:lvl w:ilvl="8" w:tplc="2BE41724">
      <w:start w:val="1"/>
      <w:numFmt w:val="lowerRoman"/>
      <w:lvlText w:val="%9."/>
      <w:lvlJc w:val="right"/>
      <w:pPr>
        <w:ind w:left="6480" w:hanging="180"/>
      </w:pPr>
    </w:lvl>
  </w:abstractNum>
  <w:abstractNum w:abstractNumId="3" w15:restartNumberingAfterBreak="0">
    <w:nsid w:val="2E326A9B"/>
    <w:multiLevelType w:val="hybridMultilevel"/>
    <w:tmpl w:val="2BDE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84BA1"/>
    <w:multiLevelType w:val="hybridMultilevel"/>
    <w:tmpl w:val="60D8B0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11E1B"/>
    <w:multiLevelType w:val="hybridMultilevel"/>
    <w:tmpl w:val="395A8A7C"/>
    <w:lvl w:ilvl="0" w:tplc="1F346F88">
      <w:start w:val="1"/>
      <w:numFmt w:val="bullet"/>
      <w:lvlText w:val=""/>
      <w:lvlJc w:val="left"/>
      <w:pPr>
        <w:ind w:left="720" w:hanging="360"/>
      </w:pPr>
      <w:rPr>
        <w:rFonts w:ascii="Wingdings" w:hAnsi="Wingdings" w:hint="default"/>
      </w:rPr>
    </w:lvl>
    <w:lvl w:ilvl="1" w:tplc="4EBA9C7E">
      <w:start w:val="1"/>
      <w:numFmt w:val="bullet"/>
      <w:lvlText w:val="o"/>
      <w:lvlJc w:val="left"/>
      <w:pPr>
        <w:ind w:left="1440" w:hanging="360"/>
      </w:pPr>
      <w:rPr>
        <w:rFonts w:ascii="Courier New" w:hAnsi="Courier New" w:hint="default"/>
      </w:rPr>
    </w:lvl>
    <w:lvl w:ilvl="2" w:tplc="294478DA">
      <w:start w:val="1"/>
      <w:numFmt w:val="bullet"/>
      <w:lvlText w:val=""/>
      <w:lvlJc w:val="left"/>
      <w:pPr>
        <w:ind w:left="2160" w:hanging="360"/>
      </w:pPr>
      <w:rPr>
        <w:rFonts w:ascii="Wingdings" w:hAnsi="Wingdings" w:hint="default"/>
      </w:rPr>
    </w:lvl>
    <w:lvl w:ilvl="3" w:tplc="D9BED8D4">
      <w:start w:val="1"/>
      <w:numFmt w:val="bullet"/>
      <w:lvlText w:val=""/>
      <w:lvlJc w:val="left"/>
      <w:pPr>
        <w:ind w:left="2880" w:hanging="360"/>
      </w:pPr>
      <w:rPr>
        <w:rFonts w:ascii="Symbol" w:hAnsi="Symbol" w:hint="default"/>
      </w:rPr>
    </w:lvl>
    <w:lvl w:ilvl="4" w:tplc="F33E138C">
      <w:start w:val="1"/>
      <w:numFmt w:val="bullet"/>
      <w:lvlText w:val="o"/>
      <w:lvlJc w:val="left"/>
      <w:pPr>
        <w:ind w:left="3600" w:hanging="360"/>
      </w:pPr>
      <w:rPr>
        <w:rFonts w:ascii="Courier New" w:hAnsi="Courier New" w:hint="default"/>
      </w:rPr>
    </w:lvl>
    <w:lvl w:ilvl="5" w:tplc="449C8EC2">
      <w:start w:val="1"/>
      <w:numFmt w:val="bullet"/>
      <w:lvlText w:val=""/>
      <w:lvlJc w:val="left"/>
      <w:pPr>
        <w:ind w:left="4320" w:hanging="360"/>
      </w:pPr>
      <w:rPr>
        <w:rFonts w:ascii="Wingdings" w:hAnsi="Wingdings" w:hint="default"/>
      </w:rPr>
    </w:lvl>
    <w:lvl w:ilvl="6" w:tplc="2CD8D300">
      <w:start w:val="1"/>
      <w:numFmt w:val="bullet"/>
      <w:lvlText w:val=""/>
      <w:lvlJc w:val="left"/>
      <w:pPr>
        <w:ind w:left="5040" w:hanging="360"/>
      </w:pPr>
      <w:rPr>
        <w:rFonts w:ascii="Symbol" w:hAnsi="Symbol" w:hint="default"/>
      </w:rPr>
    </w:lvl>
    <w:lvl w:ilvl="7" w:tplc="1E1C6BFC">
      <w:start w:val="1"/>
      <w:numFmt w:val="bullet"/>
      <w:lvlText w:val="o"/>
      <w:lvlJc w:val="left"/>
      <w:pPr>
        <w:ind w:left="5760" w:hanging="360"/>
      </w:pPr>
      <w:rPr>
        <w:rFonts w:ascii="Courier New" w:hAnsi="Courier New" w:hint="default"/>
      </w:rPr>
    </w:lvl>
    <w:lvl w:ilvl="8" w:tplc="FA342174">
      <w:start w:val="1"/>
      <w:numFmt w:val="bullet"/>
      <w:lvlText w:val=""/>
      <w:lvlJc w:val="left"/>
      <w:pPr>
        <w:ind w:left="6480" w:hanging="360"/>
      </w:pPr>
      <w:rPr>
        <w:rFonts w:ascii="Wingdings" w:hAnsi="Wingdings" w:hint="default"/>
      </w:rPr>
    </w:lvl>
  </w:abstractNum>
  <w:abstractNum w:abstractNumId="6" w15:restartNumberingAfterBreak="0">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C42BA9"/>
    <w:multiLevelType w:val="hybridMultilevel"/>
    <w:tmpl w:val="52C2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116E7"/>
    <w:multiLevelType w:val="hybridMultilevel"/>
    <w:tmpl w:val="634CBF74"/>
    <w:lvl w:ilvl="0" w:tplc="BAF4AF40">
      <w:start w:val="1"/>
      <w:numFmt w:val="decimal"/>
      <w:lvlText w:val="%1)"/>
      <w:lvlJc w:val="left"/>
      <w:pPr>
        <w:ind w:left="720" w:hanging="360"/>
      </w:pPr>
    </w:lvl>
    <w:lvl w:ilvl="1" w:tplc="5A2827AA">
      <w:start w:val="1"/>
      <w:numFmt w:val="upperLetter"/>
      <w:lvlText w:val="%2."/>
      <w:lvlJc w:val="left"/>
      <w:pPr>
        <w:ind w:left="1440" w:hanging="360"/>
      </w:pPr>
      <w:rPr>
        <w:rFonts w:ascii="Times New Roman" w:eastAsia="Times New Roman" w:hAnsi="Times New Roman" w:cs="Times New Roman"/>
        <w:sz w:val="24"/>
      </w:rPr>
    </w:lvl>
    <w:lvl w:ilvl="2" w:tplc="0CBA88CE">
      <w:start w:val="1"/>
      <w:numFmt w:val="lowerRoman"/>
      <w:lvlText w:val="%3."/>
      <w:lvlJc w:val="right"/>
      <w:pPr>
        <w:ind w:left="2160" w:hanging="180"/>
      </w:pPr>
    </w:lvl>
    <w:lvl w:ilvl="3" w:tplc="E34EEE42">
      <w:start w:val="1"/>
      <w:numFmt w:val="decimal"/>
      <w:lvlText w:val="%4."/>
      <w:lvlJc w:val="left"/>
      <w:pPr>
        <w:ind w:left="2880" w:hanging="360"/>
      </w:pPr>
    </w:lvl>
    <w:lvl w:ilvl="4" w:tplc="042EA02A">
      <w:start w:val="1"/>
      <w:numFmt w:val="lowerLetter"/>
      <w:lvlText w:val="%5."/>
      <w:lvlJc w:val="left"/>
      <w:pPr>
        <w:ind w:left="3600" w:hanging="360"/>
      </w:pPr>
    </w:lvl>
    <w:lvl w:ilvl="5" w:tplc="D78C9578">
      <w:start w:val="1"/>
      <w:numFmt w:val="lowerRoman"/>
      <w:lvlText w:val="%6."/>
      <w:lvlJc w:val="right"/>
      <w:pPr>
        <w:ind w:left="4320" w:hanging="180"/>
      </w:pPr>
    </w:lvl>
    <w:lvl w:ilvl="6" w:tplc="AC7EE68E">
      <w:start w:val="1"/>
      <w:numFmt w:val="decimal"/>
      <w:lvlText w:val="%7."/>
      <w:lvlJc w:val="left"/>
      <w:pPr>
        <w:ind w:left="5040" w:hanging="360"/>
      </w:pPr>
    </w:lvl>
    <w:lvl w:ilvl="7" w:tplc="8B3E3242">
      <w:start w:val="1"/>
      <w:numFmt w:val="lowerLetter"/>
      <w:lvlText w:val="%8."/>
      <w:lvlJc w:val="left"/>
      <w:pPr>
        <w:ind w:left="5760" w:hanging="360"/>
      </w:pPr>
    </w:lvl>
    <w:lvl w:ilvl="8" w:tplc="62A82370">
      <w:start w:val="1"/>
      <w:numFmt w:val="lowerRoman"/>
      <w:lvlText w:val="%9."/>
      <w:lvlJc w:val="right"/>
      <w:pPr>
        <w:ind w:left="6480" w:hanging="180"/>
      </w:pPr>
    </w:lvl>
  </w:abstractNum>
  <w:abstractNum w:abstractNumId="9" w15:restartNumberingAfterBreak="0">
    <w:nsid w:val="5ED14D3A"/>
    <w:multiLevelType w:val="hybridMultilevel"/>
    <w:tmpl w:val="C4AC90F4"/>
    <w:lvl w:ilvl="0" w:tplc="7E62EF24">
      <w:start w:val="14"/>
      <w:numFmt w:val="decimal"/>
      <w:lvlText w:val="%1."/>
      <w:lvlJc w:val="left"/>
      <w:pPr>
        <w:ind w:left="720" w:hanging="360"/>
      </w:pPr>
    </w:lvl>
    <w:lvl w:ilvl="1" w:tplc="DAE03CB0">
      <w:start w:val="1"/>
      <w:numFmt w:val="lowerLetter"/>
      <w:lvlText w:val="%2."/>
      <w:lvlJc w:val="left"/>
      <w:pPr>
        <w:ind w:left="1440" w:hanging="360"/>
      </w:pPr>
    </w:lvl>
    <w:lvl w:ilvl="2" w:tplc="84D68FAA">
      <w:start w:val="1"/>
      <w:numFmt w:val="lowerRoman"/>
      <w:lvlText w:val="%3."/>
      <w:lvlJc w:val="right"/>
      <w:pPr>
        <w:ind w:left="2160" w:hanging="180"/>
      </w:pPr>
    </w:lvl>
    <w:lvl w:ilvl="3" w:tplc="D444D7F0">
      <w:start w:val="1"/>
      <w:numFmt w:val="decimal"/>
      <w:lvlText w:val="%4."/>
      <w:lvlJc w:val="left"/>
      <w:pPr>
        <w:ind w:left="2880" w:hanging="360"/>
      </w:pPr>
    </w:lvl>
    <w:lvl w:ilvl="4" w:tplc="A560D404">
      <w:start w:val="1"/>
      <w:numFmt w:val="lowerLetter"/>
      <w:lvlText w:val="%5."/>
      <w:lvlJc w:val="left"/>
      <w:pPr>
        <w:ind w:left="3600" w:hanging="360"/>
      </w:pPr>
    </w:lvl>
    <w:lvl w:ilvl="5" w:tplc="56FEC94C">
      <w:start w:val="1"/>
      <w:numFmt w:val="lowerRoman"/>
      <w:lvlText w:val="%6."/>
      <w:lvlJc w:val="right"/>
      <w:pPr>
        <w:ind w:left="4320" w:hanging="180"/>
      </w:pPr>
    </w:lvl>
    <w:lvl w:ilvl="6" w:tplc="EEA83F72">
      <w:start w:val="1"/>
      <w:numFmt w:val="decimal"/>
      <w:lvlText w:val="%7."/>
      <w:lvlJc w:val="left"/>
      <w:pPr>
        <w:ind w:left="5040" w:hanging="360"/>
      </w:pPr>
    </w:lvl>
    <w:lvl w:ilvl="7" w:tplc="81121BAA">
      <w:start w:val="1"/>
      <w:numFmt w:val="lowerLetter"/>
      <w:lvlText w:val="%8."/>
      <w:lvlJc w:val="left"/>
      <w:pPr>
        <w:ind w:left="5760" w:hanging="360"/>
      </w:pPr>
    </w:lvl>
    <w:lvl w:ilvl="8" w:tplc="ABC057BA">
      <w:start w:val="1"/>
      <w:numFmt w:val="lowerRoman"/>
      <w:lvlText w:val="%9."/>
      <w:lvlJc w:val="right"/>
      <w:pPr>
        <w:ind w:left="6480" w:hanging="180"/>
      </w:pPr>
    </w:lvl>
  </w:abstractNum>
  <w:abstractNum w:abstractNumId="10" w15:restartNumberingAfterBreak="0">
    <w:nsid w:val="5F6D29E6"/>
    <w:multiLevelType w:val="hybridMultilevel"/>
    <w:tmpl w:val="20582D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71286245"/>
    <w:multiLevelType w:val="hybridMultilevel"/>
    <w:tmpl w:val="935EF71E"/>
    <w:lvl w:ilvl="0" w:tplc="DD3ABAFA">
      <w:start w:val="1"/>
      <w:numFmt w:val="decimal"/>
      <w:lvlText w:val="%1)"/>
      <w:lvlJc w:val="left"/>
      <w:pPr>
        <w:ind w:left="720" w:hanging="360"/>
      </w:pPr>
    </w:lvl>
    <w:lvl w:ilvl="1" w:tplc="802238E2">
      <w:start w:val="1"/>
      <w:numFmt w:val="lowerLetter"/>
      <w:lvlText w:val="%2."/>
      <w:lvlJc w:val="left"/>
      <w:pPr>
        <w:ind w:left="1440" w:hanging="360"/>
      </w:pPr>
    </w:lvl>
    <w:lvl w:ilvl="2" w:tplc="AC500098">
      <w:start w:val="1"/>
      <w:numFmt w:val="lowerRoman"/>
      <w:lvlText w:val="%3."/>
      <w:lvlJc w:val="right"/>
      <w:pPr>
        <w:ind w:left="2160" w:hanging="180"/>
      </w:pPr>
    </w:lvl>
    <w:lvl w:ilvl="3" w:tplc="24B6BA9A">
      <w:start w:val="1"/>
      <w:numFmt w:val="decimal"/>
      <w:lvlText w:val="%4."/>
      <w:lvlJc w:val="left"/>
      <w:pPr>
        <w:ind w:left="2880" w:hanging="360"/>
      </w:pPr>
    </w:lvl>
    <w:lvl w:ilvl="4" w:tplc="376A4A62">
      <w:start w:val="1"/>
      <w:numFmt w:val="lowerLetter"/>
      <w:lvlText w:val="%5."/>
      <w:lvlJc w:val="left"/>
      <w:pPr>
        <w:ind w:left="3600" w:hanging="360"/>
      </w:pPr>
    </w:lvl>
    <w:lvl w:ilvl="5" w:tplc="0C80DC5E">
      <w:start w:val="1"/>
      <w:numFmt w:val="lowerRoman"/>
      <w:lvlText w:val="%6."/>
      <w:lvlJc w:val="right"/>
      <w:pPr>
        <w:ind w:left="4320" w:hanging="180"/>
      </w:pPr>
    </w:lvl>
    <w:lvl w:ilvl="6" w:tplc="BE600B02">
      <w:start w:val="1"/>
      <w:numFmt w:val="decimal"/>
      <w:lvlText w:val="%7."/>
      <w:lvlJc w:val="left"/>
      <w:pPr>
        <w:ind w:left="5040" w:hanging="360"/>
      </w:pPr>
    </w:lvl>
    <w:lvl w:ilvl="7" w:tplc="C8726398">
      <w:start w:val="1"/>
      <w:numFmt w:val="lowerLetter"/>
      <w:lvlText w:val="%8."/>
      <w:lvlJc w:val="left"/>
      <w:pPr>
        <w:ind w:left="5760" w:hanging="360"/>
      </w:pPr>
    </w:lvl>
    <w:lvl w:ilvl="8" w:tplc="3CCE3596">
      <w:start w:val="1"/>
      <w:numFmt w:val="lowerRoman"/>
      <w:lvlText w:val="%9."/>
      <w:lvlJc w:val="right"/>
      <w:pPr>
        <w:ind w:left="6480" w:hanging="180"/>
      </w:pPr>
    </w:lvl>
  </w:abstractNum>
  <w:abstractNum w:abstractNumId="13" w15:restartNumberingAfterBreak="0">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12"/>
  </w:num>
  <w:num w:numId="4">
    <w:abstractNumId w:val="6"/>
  </w:num>
  <w:num w:numId="5">
    <w:abstractNumId w:val="13"/>
  </w:num>
  <w:num w:numId="6">
    <w:abstractNumId w:val="11"/>
  </w:num>
  <w:num w:numId="7">
    <w:abstractNumId w:val="0"/>
  </w:num>
  <w:num w:numId="8">
    <w:abstractNumId w:val="4"/>
  </w:num>
  <w:num w:numId="9">
    <w:abstractNumId w:val="10"/>
  </w:num>
  <w:num w:numId="10">
    <w:abstractNumId w:val="3"/>
  </w:num>
  <w:num w:numId="11">
    <w:abstractNumId w:val="1"/>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11BB"/>
    <w:rsid w:val="00013171"/>
    <w:rsid w:val="000148BE"/>
    <w:rsid w:val="00014DF8"/>
    <w:rsid w:val="00017C59"/>
    <w:rsid w:val="00017D2F"/>
    <w:rsid w:val="000208F2"/>
    <w:rsid w:val="000214AA"/>
    <w:rsid w:val="0002194B"/>
    <w:rsid w:val="0002387F"/>
    <w:rsid w:val="00027409"/>
    <w:rsid w:val="00027E1A"/>
    <w:rsid w:val="0003005C"/>
    <w:rsid w:val="00031C7A"/>
    <w:rsid w:val="00046D06"/>
    <w:rsid w:val="00072ED1"/>
    <w:rsid w:val="000773ED"/>
    <w:rsid w:val="00081144"/>
    <w:rsid w:val="00093B53"/>
    <w:rsid w:val="00095F8D"/>
    <w:rsid w:val="0009734F"/>
    <w:rsid w:val="00097654"/>
    <w:rsid w:val="000A4AF9"/>
    <w:rsid w:val="000A5E3D"/>
    <w:rsid w:val="000A6B18"/>
    <w:rsid w:val="000B00E6"/>
    <w:rsid w:val="000C1DD0"/>
    <w:rsid w:val="000C2684"/>
    <w:rsid w:val="000C31A5"/>
    <w:rsid w:val="000C3F48"/>
    <w:rsid w:val="000C666C"/>
    <w:rsid w:val="000D2C06"/>
    <w:rsid w:val="000D46D4"/>
    <w:rsid w:val="000E4B37"/>
    <w:rsid w:val="000E4F47"/>
    <w:rsid w:val="000E6C57"/>
    <w:rsid w:val="000EAF7C"/>
    <w:rsid w:val="000F35F1"/>
    <w:rsid w:val="00104A73"/>
    <w:rsid w:val="001121C8"/>
    <w:rsid w:val="00112336"/>
    <w:rsid w:val="00114FA6"/>
    <w:rsid w:val="00115705"/>
    <w:rsid w:val="0012176A"/>
    <w:rsid w:val="00123105"/>
    <w:rsid w:val="00126AEB"/>
    <w:rsid w:val="00134001"/>
    <w:rsid w:val="00144088"/>
    <w:rsid w:val="00144BD7"/>
    <w:rsid w:val="0015436E"/>
    <w:rsid w:val="001648B8"/>
    <w:rsid w:val="00175521"/>
    <w:rsid w:val="001755F4"/>
    <w:rsid w:val="0018325D"/>
    <w:rsid w:val="001850E2"/>
    <w:rsid w:val="00190B80"/>
    <w:rsid w:val="001916C6"/>
    <w:rsid w:val="00192167"/>
    <w:rsid w:val="00193119"/>
    <w:rsid w:val="001961F8"/>
    <w:rsid w:val="00197C46"/>
    <w:rsid w:val="001A60A7"/>
    <w:rsid w:val="001B1E7C"/>
    <w:rsid w:val="001B2118"/>
    <w:rsid w:val="001B69BF"/>
    <w:rsid w:val="001B6FEF"/>
    <w:rsid w:val="001C25B3"/>
    <w:rsid w:val="001C5290"/>
    <w:rsid w:val="001C5E5B"/>
    <w:rsid w:val="001D31A2"/>
    <w:rsid w:val="001D4249"/>
    <w:rsid w:val="001E16C1"/>
    <w:rsid w:val="001E1732"/>
    <w:rsid w:val="001F063A"/>
    <w:rsid w:val="001F0850"/>
    <w:rsid w:val="001F0D32"/>
    <w:rsid w:val="001F2915"/>
    <w:rsid w:val="001F6A1F"/>
    <w:rsid w:val="001F719A"/>
    <w:rsid w:val="00202BF0"/>
    <w:rsid w:val="002042CB"/>
    <w:rsid w:val="00217CC4"/>
    <w:rsid w:val="002263D8"/>
    <w:rsid w:val="00226898"/>
    <w:rsid w:val="00230CD4"/>
    <w:rsid w:val="0023340B"/>
    <w:rsid w:val="00236909"/>
    <w:rsid w:val="002505C4"/>
    <w:rsid w:val="00251DD6"/>
    <w:rsid w:val="00260158"/>
    <w:rsid w:val="00277A2D"/>
    <w:rsid w:val="00280410"/>
    <w:rsid w:val="00291D78"/>
    <w:rsid w:val="00296885"/>
    <w:rsid w:val="002B0102"/>
    <w:rsid w:val="002C69DF"/>
    <w:rsid w:val="002D14AA"/>
    <w:rsid w:val="002D1553"/>
    <w:rsid w:val="002E54A4"/>
    <w:rsid w:val="002F4AF2"/>
    <w:rsid w:val="00311599"/>
    <w:rsid w:val="00317D86"/>
    <w:rsid w:val="00322C87"/>
    <w:rsid w:val="003230DC"/>
    <w:rsid w:val="0032384B"/>
    <w:rsid w:val="003239D6"/>
    <w:rsid w:val="003315F4"/>
    <w:rsid w:val="00335739"/>
    <w:rsid w:val="00341957"/>
    <w:rsid w:val="003549B1"/>
    <w:rsid w:val="003559EE"/>
    <w:rsid w:val="00370155"/>
    <w:rsid w:val="00372FAB"/>
    <w:rsid w:val="00373E66"/>
    <w:rsid w:val="003758A5"/>
    <w:rsid w:val="00377AE8"/>
    <w:rsid w:val="00382B8E"/>
    <w:rsid w:val="00397CB3"/>
    <w:rsid w:val="003A332D"/>
    <w:rsid w:val="003A4262"/>
    <w:rsid w:val="003A5981"/>
    <w:rsid w:val="003A797C"/>
    <w:rsid w:val="003A7ECF"/>
    <w:rsid w:val="003B2069"/>
    <w:rsid w:val="003C1C68"/>
    <w:rsid w:val="003D5912"/>
    <w:rsid w:val="003E24CF"/>
    <w:rsid w:val="003E4C50"/>
    <w:rsid w:val="003E531C"/>
    <w:rsid w:val="003E7577"/>
    <w:rsid w:val="003E79C8"/>
    <w:rsid w:val="003F3B1E"/>
    <w:rsid w:val="003F5CEC"/>
    <w:rsid w:val="004033C0"/>
    <w:rsid w:val="004052CB"/>
    <w:rsid w:val="004132BC"/>
    <w:rsid w:val="004166C6"/>
    <w:rsid w:val="0042255D"/>
    <w:rsid w:val="00422F92"/>
    <w:rsid w:val="00424C85"/>
    <w:rsid w:val="00430801"/>
    <w:rsid w:val="00431367"/>
    <w:rsid w:val="00432A6F"/>
    <w:rsid w:val="00441773"/>
    <w:rsid w:val="00443913"/>
    <w:rsid w:val="00447038"/>
    <w:rsid w:val="00450D01"/>
    <w:rsid w:val="00453B56"/>
    <w:rsid w:val="00460F4A"/>
    <w:rsid w:val="00466602"/>
    <w:rsid w:val="00470450"/>
    <w:rsid w:val="004714C9"/>
    <w:rsid w:val="00473EEE"/>
    <w:rsid w:val="004743AF"/>
    <w:rsid w:val="004746D4"/>
    <w:rsid w:val="00475C75"/>
    <w:rsid w:val="0047704E"/>
    <w:rsid w:val="0048246C"/>
    <w:rsid w:val="004915E6"/>
    <w:rsid w:val="004969B1"/>
    <w:rsid w:val="004A7A76"/>
    <w:rsid w:val="004B29FB"/>
    <w:rsid w:val="004B2C78"/>
    <w:rsid w:val="004C089D"/>
    <w:rsid w:val="004D207E"/>
    <w:rsid w:val="004D4FF9"/>
    <w:rsid w:val="004D5C13"/>
    <w:rsid w:val="004E0E66"/>
    <w:rsid w:val="004E1C35"/>
    <w:rsid w:val="004E3882"/>
    <w:rsid w:val="004E47E3"/>
    <w:rsid w:val="004E60E8"/>
    <w:rsid w:val="004E637A"/>
    <w:rsid w:val="004E63FC"/>
    <w:rsid w:val="004E786C"/>
    <w:rsid w:val="00504A78"/>
    <w:rsid w:val="00504DB6"/>
    <w:rsid w:val="00507AC5"/>
    <w:rsid w:val="0052048D"/>
    <w:rsid w:val="005206C7"/>
    <w:rsid w:val="00532961"/>
    <w:rsid w:val="0053696C"/>
    <w:rsid w:val="0054336A"/>
    <w:rsid w:val="00543821"/>
    <w:rsid w:val="0054425C"/>
    <w:rsid w:val="00556E8D"/>
    <w:rsid w:val="005609EC"/>
    <w:rsid w:val="00566720"/>
    <w:rsid w:val="005851B6"/>
    <w:rsid w:val="005874E8"/>
    <w:rsid w:val="00591825"/>
    <w:rsid w:val="00594BFE"/>
    <w:rsid w:val="005A27B0"/>
    <w:rsid w:val="005A5274"/>
    <w:rsid w:val="005A6BF4"/>
    <w:rsid w:val="005B0219"/>
    <w:rsid w:val="005B2D3D"/>
    <w:rsid w:val="005B5F67"/>
    <w:rsid w:val="005B6375"/>
    <w:rsid w:val="005B77DF"/>
    <w:rsid w:val="005D447C"/>
    <w:rsid w:val="005D6F50"/>
    <w:rsid w:val="005E357A"/>
    <w:rsid w:val="005E427E"/>
    <w:rsid w:val="005F1F76"/>
    <w:rsid w:val="005F31C9"/>
    <w:rsid w:val="005F58E7"/>
    <w:rsid w:val="006029DB"/>
    <w:rsid w:val="00603411"/>
    <w:rsid w:val="00606261"/>
    <w:rsid w:val="0060666F"/>
    <w:rsid w:val="0061483A"/>
    <w:rsid w:val="00620142"/>
    <w:rsid w:val="00621FBC"/>
    <w:rsid w:val="006237B1"/>
    <w:rsid w:val="00625C5D"/>
    <w:rsid w:val="0063157B"/>
    <w:rsid w:val="00631EB1"/>
    <w:rsid w:val="006410BB"/>
    <w:rsid w:val="006422FD"/>
    <w:rsid w:val="00647ADF"/>
    <w:rsid w:val="006521D4"/>
    <w:rsid w:val="0065270B"/>
    <w:rsid w:val="00657A9C"/>
    <w:rsid w:val="006627AB"/>
    <w:rsid w:val="00662F59"/>
    <w:rsid w:val="00671449"/>
    <w:rsid w:val="00673B1A"/>
    <w:rsid w:val="00680E50"/>
    <w:rsid w:val="0068433C"/>
    <w:rsid w:val="006848D1"/>
    <w:rsid w:val="006909FA"/>
    <w:rsid w:val="00695CA0"/>
    <w:rsid w:val="006A084D"/>
    <w:rsid w:val="006A3E70"/>
    <w:rsid w:val="006B01E0"/>
    <w:rsid w:val="006B15FF"/>
    <w:rsid w:val="006B60D7"/>
    <w:rsid w:val="006B6969"/>
    <w:rsid w:val="006B76CB"/>
    <w:rsid w:val="006C0A78"/>
    <w:rsid w:val="006C14AB"/>
    <w:rsid w:val="006C164A"/>
    <w:rsid w:val="006C3352"/>
    <w:rsid w:val="006C5B15"/>
    <w:rsid w:val="006C6D8F"/>
    <w:rsid w:val="006D242D"/>
    <w:rsid w:val="006D4794"/>
    <w:rsid w:val="006E62EC"/>
    <w:rsid w:val="006F3497"/>
    <w:rsid w:val="006F47B7"/>
    <w:rsid w:val="006F526C"/>
    <w:rsid w:val="006F5EBF"/>
    <w:rsid w:val="00710897"/>
    <w:rsid w:val="00715A71"/>
    <w:rsid w:val="00717B17"/>
    <w:rsid w:val="00742E71"/>
    <w:rsid w:val="00744741"/>
    <w:rsid w:val="00750752"/>
    <w:rsid w:val="007522CE"/>
    <w:rsid w:val="00753A0E"/>
    <w:rsid w:val="00756331"/>
    <w:rsid w:val="00757E60"/>
    <w:rsid w:val="0076090B"/>
    <w:rsid w:val="00762D87"/>
    <w:rsid w:val="00772623"/>
    <w:rsid w:val="00772D36"/>
    <w:rsid w:val="00773E27"/>
    <w:rsid w:val="00776448"/>
    <w:rsid w:val="0078095D"/>
    <w:rsid w:val="00785D69"/>
    <w:rsid w:val="00790321"/>
    <w:rsid w:val="007A5B66"/>
    <w:rsid w:val="007A5F3F"/>
    <w:rsid w:val="007C13E3"/>
    <w:rsid w:val="007C6C6B"/>
    <w:rsid w:val="007D4650"/>
    <w:rsid w:val="007E0F87"/>
    <w:rsid w:val="007E5C3A"/>
    <w:rsid w:val="007F3511"/>
    <w:rsid w:val="007F5AD4"/>
    <w:rsid w:val="007F6617"/>
    <w:rsid w:val="007F7AEC"/>
    <w:rsid w:val="00801C4D"/>
    <w:rsid w:val="0080297D"/>
    <w:rsid w:val="008076B8"/>
    <w:rsid w:val="00813F62"/>
    <w:rsid w:val="00815E11"/>
    <w:rsid w:val="008201F6"/>
    <w:rsid w:val="00827A2F"/>
    <w:rsid w:val="008311AE"/>
    <w:rsid w:val="008317FA"/>
    <w:rsid w:val="00832CAE"/>
    <w:rsid w:val="008403CE"/>
    <w:rsid w:val="00840962"/>
    <w:rsid w:val="00842671"/>
    <w:rsid w:val="00842DDB"/>
    <w:rsid w:val="00845F73"/>
    <w:rsid w:val="00852615"/>
    <w:rsid w:val="00856316"/>
    <w:rsid w:val="00856A2E"/>
    <w:rsid w:val="008613BE"/>
    <w:rsid w:val="00866A9B"/>
    <w:rsid w:val="00870297"/>
    <w:rsid w:val="00870699"/>
    <w:rsid w:val="0087442E"/>
    <w:rsid w:val="00874D79"/>
    <w:rsid w:val="00877952"/>
    <w:rsid w:val="00880F40"/>
    <w:rsid w:val="00885632"/>
    <w:rsid w:val="008872E0"/>
    <w:rsid w:val="008917AF"/>
    <w:rsid w:val="00892223"/>
    <w:rsid w:val="008976DF"/>
    <w:rsid w:val="008A0A5D"/>
    <w:rsid w:val="008A0EB6"/>
    <w:rsid w:val="008A2699"/>
    <w:rsid w:val="008A707C"/>
    <w:rsid w:val="008C04DE"/>
    <w:rsid w:val="008C1FAA"/>
    <w:rsid w:val="008C2721"/>
    <w:rsid w:val="008C2EAB"/>
    <w:rsid w:val="008C75A3"/>
    <w:rsid w:val="008D66EB"/>
    <w:rsid w:val="008E116E"/>
    <w:rsid w:val="008F3898"/>
    <w:rsid w:val="008F7CC5"/>
    <w:rsid w:val="00902839"/>
    <w:rsid w:val="00902CCF"/>
    <w:rsid w:val="009036B2"/>
    <w:rsid w:val="0090406D"/>
    <w:rsid w:val="009058D1"/>
    <w:rsid w:val="0090727C"/>
    <w:rsid w:val="009077E7"/>
    <w:rsid w:val="009144D4"/>
    <w:rsid w:val="009170BB"/>
    <w:rsid w:val="009172E1"/>
    <w:rsid w:val="00917EB1"/>
    <w:rsid w:val="00920A24"/>
    <w:rsid w:val="0092237D"/>
    <w:rsid w:val="00932D38"/>
    <w:rsid w:val="00934010"/>
    <w:rsid w:val="00946548"/>
    <w:rsid w:val="00957751"/>
    <w:rsid w:val="00967628"/>
    <w:rsid w:val="0097059D"/>
    <w:rsid w:val="00973DF7"/>
    <w:rsid w:val="00975140"/>
    <w:rsid w:val="0097575F"/>
    <w:rsid w:val="00980E28"/>
    <w:rsid w:val="0099603E"/>
    <w:rsid w:val="0099741F"/>
    <w:rsid w:val="009B4F7D"/>
    <w:rsid w:val="009C033A"/>
    <w:rsid w:val="009C3376"/>
    <w:rsid w:val="009C3920"/>
    <w:rsid w:val="009C3B8D"/>
    <w:rsid w:val="009C5954"/>
    <w:rsid w:val="009D2003"/>
    <w:rsid w:val="009D312B"/>
    <w:rsid w:val="009D73A4"/>
    <w:rsid w:val="009E5DC7"/>
    <w:rsid w:val="009F1505"/>
    <w:rsid w:val="009F1891"/>
    <w:rsid w:val="009F56EA"/>
    <w:rsid w:val="009F5FFE"/>
    <w:rsid w:val="009F7BF8"/>
    <w:rsid w:val="00A02298"/>
    <w:rsid w:val="00A134C7"/>
    <w:rsid w:val="00A20402"/>
    <w:rsid w:val="00A22266"/>
    <w:rsid w:val="00A240A2"/>
    <w:rsid w:val="00A259A3"/>
    <w:rsid w:val="00A426D1"/>
    <w:rsid w:val="00A440FE"/>
    <w:rsid w:val="00A50E5E"/>
    <w:rsid w:val="00A51CBA"/>
    <w:rsid w:val="00A63177"/>
    <w:rsid w:val="00A64EE5"/>
    <w:rsid w:val="00A73DFF"/>
    <w:rsid w:val="00A74B60"/>
    <w:rsid w:val="00A77F2F"/>
    <w:rsid w:val="00A800C5"/>
    <w:rsid w:val="00A862DB"/>
    <w:rsid w:val="00A872E3"/>
    <w:rsid w:val="00A879E1"/>
    <w:rsid w:val="00A90760"/>
    <w:rsid w:val="00A9458F"/>
    <w:rsid w:val="00AA13B6"/>
    <w:rsid w:val="00AA29C7"/>
    <w:rsid w:val="00AA2C06"/>
    <w:rsid w:val="00AA48B5"/>
    <w:rsid w:val="00AA6D5F"/>
    <w:rsid w:val="00AB59EE"/>
    <w:rsid w:val="00AB7073"/>
    <w:rsid w:val="00AC6CC1"/>
    <w:rsid w:val="00AC7FD6"/>
    <w:rsid w:val="00AD226B"/>
    <w:rsid w:val="00AD59F8"/>
    <w:rsid w:val="00AE03AA"/>
    <w:rsid w:val="00AE5797"/>
    <w:rsid w:val="00AE77D3"/>
    <w:rsid w:val="00AF015D"/>
    <w:rsid w:val="00AF17CC"/>
    <w:rsid w:val="00AF6F09"/>
    <w:rsid w:val="00B00087"/>
    <w:rsid w:val="00B000A9"/>
    <w:rsid w:val="00B1087D"/>
    <w:rsid w:val="00B118C0"/>
    <w:rsid w:val="00B16B45"/>
    <w:rsid w:val="00B351DD"/>
    <w:rsid w:val="00B36F25"/>
    <w:rsid w:val="00B37DC7"/>
    <w:rsid w:val="00B427AC"/>
    <w:rsid w:val="00B50EA9"/>
    <w:rsid w:val="00B520B1"/>
    <w:rsid w:val="00B53620"/>
    <w:rsid w:val="00B63CEE"/>
    <w:rsid w:val="00B63E7D"/>
    <w:rsid w:val="00B65021"/>
    <w:rsid w:val="00B70BDA"/>
    <w:rsid w:val="00B74A57"/>
    <w:rsid w:val="00B80B80"/>
    <w:rsid w:val="00B80CA0"/>
    <w:rsid w:val="00B83810"/>
    <w:rsid w:val="00B86C25"/>
    <w:rsid w:val="00B91B31"/>
    <w:rsid w:val="00BA3505"/>
    <w:rsid w:val="00BB3407"/>
    <w:rsid w:val="00BB36A8"/>
    <w:rsid w:val="00BC05AB"/>
    <w:rsid w:val="00BC5D5B"/>
    <w:rsid w:val="00BC77D9"/>
    <w:rsid w:val="00BD0C99"/>
    <w:rsid w:val="00BE2251"/>
    <w:rsid w:val="00BE5E53"/>
    <w:rsid w:val="00BF01FF"/>
    <w:rsid w:val="00BF0662"/>
    <w:rsid w:val="00BF0B53"/>
    <w:rsid w:val="00BF0F4D"/>
    <w:rsid w:val="00BF5653"/>
    <w:rsid w:val="00BF6E1A"/>
    <w:rsid w:val="00C06903"/>
    <w:rsid w:val="00C119E6"/>
    <w:rsid w:val="00C15671"/>
    <w:rsid w:val="00C176D3"/>
    <w:rsid w:val="00C21E6D"/>
    <w:rsid w:val="00C31548"/>
    <w:rsid w:val="00C3239A"/>
    <w:rsid w:val="00C34189"/>
    <w:rsid w:val="00C370A9"/>
    <w:rsid w:val="00C518A2"/>
    <w:rsid w:val="00C60B43"/>
    <w:rsid w:val="00C62DE1"/>
    <w:rsid w:val="00C67C36"/>
    <w:rsid w:val="00C70F3F"/>
    <w:rsid w:val="00C75812"/>
    <w:rsid w:val="00C8052A"/>
    <w:rsid w:val="00C817D6"/>
    <w:rsid w:val="00C9277F"/>
    <w:rsid w:val="00C96315"/>
    <w:rsid w:val="00CB09D7"/>
    <w:rsid w:val="00CB1256"/>
    <w:rsid w:val="00CB5C5D"/>
    <w:rsid w:val="00CB635F"/>
    <w:rsid w:val="00CB6DD8"/>
    <w:rsid w:val="00CB795B"/>
    <w:rsid w:val="00CC236E"/>
    <w:rsid w:val="00CC2E49"/>
    <w:rsid w:val="00CC7DF4"/>
    <w:rsid w:val="00CD26E3"/>
    <w:rsid w:val="00CD3ADD"/>
    <w:rsid w:val="00CD5A8C"/>
    <w:rsid w:val="00CD6896"/>
    <w:rsid w:val="00CE17CA"/>
    <w:rsid w:val="00CE1933"/>
    <w:rsid w:val="00CE795E"/>
    <w:rsid w:val="00CF2862"/>
    <w:rsid w:val="00CF522D"/>
    <w:rsid w:val="00CF534E"/>
    <w:rsid w:val="00CF66E2"/>
    <w:rsid w:val="00CF77C9"/>
    <w:rsid w:val="00CF7D5D"/>
    <w:rsid w:val="00D00077"/>
    <w:rsid w:val="00D021FD"/>
    <w:rsid w:val="00D14619"/>
    <w:rsid w:val="00D30D9C"/>
    <w:rsid w:val="00D3569E"/>
    <w:rsid w:val="00D36AA8"/>
    <w:rsid w:val="00D413AD"/>
    <w:rsid w:val="00D4256A"/>
    <w:rsid w:val="00D450F7"/>
    <w:rsid w:val="00D47F22"/>
    <w:rsid w:val="00D54E8B"/>
    <w:rsid w:val="00D700DC"/>
    <w:rsid w:val="00D71E90"/>
    <w:rsid w:val="00D84FCB"/>
    <w:rsid w:val="00D91D0C"/>
    <w:rsid w:val="00D92AE6"/>
    <w:rsid w:val="00D93F3F"/>
    <w:rsid w:val="00D969F4"/>
    <w:rsid w:val="00DA08BC"/>
    <w:rsid w:val="00DA3222"/>
    <w:rsid w:val="00DB080F"/>
    <w:rsid w:val="00DB21DB"/>
    <w:rsid w:val="00DB230F"/>
    <w:rsid w:val="00DB4402"/>
    <w:rsid w:val="00DC44E3"/>
    <w:rsid w:val="00DC4B09"/>
    <w:rsid w:val="00DC6094"/>
    <w:rsid w:val="00DC68E8"/>
    <w:rsid w:val="00DD2CF9"/>
    <w:rsid w:val="00DD57CB"/>
    <w:rsid w:val="00DE1A26"/>
    <w:rsid w:val="00DE3F8D"/>
    <w:rsid w:val="00DE409C"/>
    <w:rsid w:val="00E013EA"/>
    <w:rsid w:val="00E0538D"/>
    <w:rsid w:val="00E06D0A"/>
    <w:rsid w:val="00E10E51"/>
    <w:rsid w:val="00E17244"/>
    <w:rsid w:val="00E3071F"/>
    <w:rsid w:val="00E32230"/>
    <w:rsid w:val="00E352DC"/>
    <w:rsid w:val="00E352FB"/>
    <w:rsid w:val="00E3601B"/>
    <w:rsid w:val="00E433A7"/>
    <w:rsid w:val="00E44C2B"/>
    <w:rsid w:val="00E5175E"/>
    <w:rsid w:val="00E52095"/>
    <w:rsid w:val="00E553B3"/>
    <w:rsid w:val="00E554C7"/>
    <w:rsid w:val="00E562A7"/>
    <w:rsid w:val="00E62295"/>
    <w:rsid w:val="00E67B2C"/>
    <w:rsid w:val="00E71554"/>
    <w:rsid w:val="00E7354C"/>
    <w:rsid w:val="00E8041A"/>
    <w:rsid w:val="00E8234D"/>
    <w:rsid w:val="00E83311"/>
    <w:rsid w:val="00E858BA"/>
    <w:rsid w:val="00E94ED6"/>
    <w:rsid w:val="00E9589B"/>
    <w:rsid w:val="00EA0FC4"/>
    <w:rsid w:val="00EA143D"/>
    <w:rsid w:val="00EA3AB3"/>
    <w:rsid w:val="00EA647B"/>
    <w:rsid w:val="00EA79AF"/>
    <w:rsid w:val="00EA7B55"/>
    <w:rsid w:val="00EB32C7"/>
    <w:rsid w:val="00EB5066"/>
    <w:rsid w:val="00EB533A"/>
    <w:rsid w:val="00EB5A22"/>
    <w:rsid w:val="00EB6A4C"/>
    <w:rsid w:val="00EC1C85"/>
    <w:rsid w:val="00EC337E"/>
    <w:rsid w:val="00EC385D"/>
    <w:rsid w:val="00EC5F0C"/>
    <w:rsid w:val="00EC76E5"/>
    <w:rsid w:val="00ED364D"/>
    <w:rsid w:val="00EE10FC"/>
    <w:rsid w:val="00EE4A6A"/>
    <w:rsid w:val="00EF181F"/>
    <w:rsid w:val="00F0279C"/>
    <w:rsid w:val="00F03607"/>
    <w:rsid w:val="00F0405F"/>
    <w:rsid w:val="00F04192"/>
    <w:rsid w:val="00F1095E"/>
    <w:rsid w:val="00F11847"/>
    <w:rsid w:val="00F1214A"/>
    <w:rsid w:val="00F16676"/>
    <w:rsid w:val="00F17105"/>
    <w:rsid w:val="00F268ED"/>
    <w:rsid w:val="00F3064F"/>
    <w:rsid w:val="00F34969"/>
    <w:rsid w:val="00F42E50"/>
    <w:rsid w:val="00F458FE"/>
    <w:rsid w:val="00F54FAA"/>
    <w:rsid w:val="00F56BA9"/>
    <w:rsid w:val="00F57C02"/>
    <w:rsid w:val="00F60C15"/>
    <w:rsid w:val="00F62921"/>
    <w:rsid w:val="00F62C60"/>
    <w:rsid w:val="00F65D05"/>
    <w:rsid w:val="00F766E7"/>
    <w:rsid w:val="00F80808"/>
    <w:rsid w:val="00F80D31"/>
    <w:rsid w:val="00F82333"/>
    <w:rsid w:val="00F8292B"/>
    <w:rsid w:val="00F85358"/>
    <w:rsid w:val="00F944FC"/>
    <w:rsid w:val="00FA09FF"/>
    <w:rsid w:val="00FA1428"/>
    <w:rsid w:val="00FA39D9"/>
    <w:rsid w:val="00FB21B4"/>
    <w:rsid w:val="00FB4905"/>
    <w:rsid w:val="00FB4ED3"/>
    <w:rsid w:val="00FB5FFD"/>
    <w:rsid w:val="00FC1678"/>
    <w:rsid w:val="00FC248D"/>
    <w:rsid w:val="00FC6005"/>
    <w:rsid w:val="00FD04FA"/>
    <w:rsid w:val="00FE02AC"/>
    <w:rsid w:val="00FE283C"/>
    <w:rsid w:val="00FE7EA4"/>
    <w:rsid w:val="00FF0D32"/>
    <w:rsid w:val="00FF2CC0"/>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E71554"/>
    <w:pPr>
      <w:keepNext/>
      <w:keepLines/>
      <w:widowControl/>
      <w:autoSpaceDE/>
      <w:autoSpaceDN/>
      <w:adjustRightInd/>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0E50"/>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E50"/>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D0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04FA"/>
    <w:rPr>
      <w:rFonts w:ascii="Courier New" w:hAnsi="Courier New" w:cs="Courier New"/>
    </w:rPr>
  </w:style>
  <w:style w:type="character" w:customStyle="1" w:styleId="Heading2Char">
    <w:name w:val="Heading 2 Char"/>
    <w:basedOn w:val="DefaultParagraphFont"/>
    <w:link w:val="Heading2"/>
    <w:uiPriority w:val="9"/>
    <w:rsid w:val="00680E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0E5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715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2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SharedWithUsers xmlns="183e5f64-3519-4a88-b621-7c6749c532cb">
      <UserInfo>
        <DisplayName>Blasher, Amy C. (CJISD) (FBI)</DisplayName>
        <AccountId>25</AccountId>
        <AccountType/>
      </UserInfo>
      <UserInfo>
        <DisplayName>Burd, Medorie (CJISD) (FBI)</DisplayName>
        <AccountId>26</AccountId>
        <AccountType/>
      </UserInfo>
      <UserInfo>
        <DisplayName>Sell, Bryan Allen (CJISD) (FBI)</DisplayName>
        <AccountId>70</AccountId>
        <AccountType/>
      </UserInfo>
      <UserInfo>
        <DisplayName>Demarco, Sammy J. (CJISD) (FBI)</DisplayName>
        <AccountId>32</AccountId>
        <AccountType/>
      </UserInfo>
      <UserInfo>
        <DisplayName>Bolyard, Melissa D. (CJISD) (FBI)</DisplayName>
        <AccountId>149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2206-8488-415C-A66E-8A77C6BC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BF445-5830-4782-A57B-5EC64DE46C12}">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3.xml><?xml version="1.0" encoding="utf-8"?>
<ds:datastoreItem xmlns:ds="http://schemas.openxmlformats.org/officeDocument/2006/customXml" ds:itemID="{91591B70-B15D-4921-988F-8DA880E518DC}">
  <ds:schemaRefs>
    <ds:schemaRef ds:uri="http://schemas.microsoft.com/sharepoint/v3/contenttype/forms"/>
  </ds:schemaRefs>
</ds:datastoreItem>
</file>

<file path=customXml/itemProps4.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2021-05-12T14:54:00Z</dcterms:created>
  <dcterms:modified xsi:type="dcterms:W3CDTF">2021-08-16T17:14:00Z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