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C95A3C" w:rsidP="00B36C8C" w14:paraId="7D7A25F1" w14:textId="77777777">
      <w:pPr>
        <w:tabs>
          <w:tab w:val="center" w:pos="4680"/>
        </w:tabs>
        <w:jc w:val="center"/>
        <w:rPr>
          <w:sz w:val="22"/>
        </w:rPr>
      </w:pPr>
      <w:r w:rsidRPr="00C95A3C">
        <w:rPr>
          <w:b/>
          <w:bCs/>
          <w:sz w:val="22"/>
        </w:rPr>
        <w:t xml:space="preserve">Justification for No Material or </w:t>
      </w:r>
      <w:r w:rsidRPr="00C95A3C">
        <w:rPr>
          <w:b/>
          <w:bCs/>
          <w:sz w:val="22"/>
        </w:rPr>
        <w:t>Nonsubstantive</w:t>
      </w:r>
      <w:r w:rsidRPr="00C95A3C">
        <w:rPr>
          <w:b/>
          <w:bCs/>
          <w:sz w:val="22"/>
        </w:rPr>
        <w:t xml:space="preserve"> Change to Currently-Approved Collection</w:t>
      </w:r>
    </w:p>
    <w:p w:rsidR="00F34DED" w:rsidRPr="00C95A3C" w:rsidP="00B36C8C" w14:paraId="520E8DDA" w14:textId="77777777">
      <w:pPr>
        <w:rPr>
          <w:sz w:val="22"/>
        </w:rPr>
      </w:pPr>
    </w:p>
    <w:p w:rsidR="00F34DED" w:rsidRPr="00C95A3C" w:rsidP="00B36C8C" w14:paraId="1364D56A" w14:textId="77777777">
      <w:pPr>
        <w:rPr>
          <w:sz w:val="22"/>
        </w:rPr>
      </w:pPr>
      <w:r w:rsidRPr="00C95A3C">
        <w:rPr>
          <w:b/>
          <w:bCs/>
          <w:sz w:val="22"/>
        </w:rPr>
        <w:t>AGENCY:</w:t>
      </w:r>
      <w:r w:rsidRPr="00C95A3C">
        <w:rPr>
          <w:sz w:val="22"/>
        </w:rPr>
        <w:tab/>
        <w:t>Pension Benefit Guaranty Corporation (PBGC)</w:t>
      </w:r>
    </w:p>
    <w:p w:rsidR="00F34DED" w:rsidRPr="00C95A3C" w:rsidP="00B36C8C" w14:paraId="1E5C0898" w14:textId="77777777">
      <w:pPr>
        <w:rPr>
          <w:sz w:val="22"/>
        </w:rPr>
      </w:pPr>
    </w:p>
    <w:p w:rsidR="00F34DED" w:rsidRPr="00C95A3C" w:rsidP="00B36C8C" w14:paraId="4BC274D4" w14:textId="363313D7">
      <w:pPr>
        <w:tabs>
          <w:tab w:val="left" w:pos="-1440"/>
        </w:tabs>
        <w:ind w:left="1440" w:hanging="1440"/>
        <w:rPr>
          <w:sz w:val="22"/>
        </w:rPr>
      </w:pPr>
      <w:r w:rsidRPr="00C95A3C">
        <w:rPr>
          <w:b/>
          <w:bCs/>
          <w:sz w:val="22"/>
        </w:rPr>
        <w:t>TITLE:</w:t>
      </w:r>
      <w:r w:rsidRPr="00C95A3C">
        <w:rPr>
          <w:sz w:val="22"/>
        </w:rPr>
        <w:tab/>
      </w:r>
      <w:r w:rsidRPr="005F1CCB" w:rsidR="005F1CCB">
        <w:rPr>
          <w:sz w:val="22"/>
        </w:rPr>
        <w:t xml:space="preserve">Termination of Single Employer Plans </w:t>
      </w:r>
      <w:r w:rsidRPr="00C95A3C" w:rsidR="006925E4">
        <w:rPr>
          <w:sz w:val="22"/>
        </w:rPr>
        <w:t>(29 CFR part 4</w:t>
      </w:r>
      <w:r w:rsidR="005F1CCB">
        <w:rPr>
          <w:sz w:val="22"/>
        </w:rPr>
        <w:t>041</w:t>
      </w:r>
      <w:r w:rsidRPr="00C95A3C" w:rsidR="006925E4">
        <w:rPr>
          <w:sz w:val="22"/>
        </w:rPr>
        <w:t>)</w:t>
      </w:r>
    </w:p>
    <w:p w:rsidR="00F34DED" w:rsidRPr="00C95A3C" w:rsidP="00B36C8C" w14:paraId="7E08B909" w14:textId="77777777">
      <w:pPr>
        <w:rPr>
          <w:sz w:val="22"/>
        </w:rPr>
      </w:pPr>
    </w:p>
    <w:p w:rsidR="00F34DED" w:rsidRPr="00C95A3C" w:rsidP="00B36C8C" w14:paraId="2FAF8E2C" w14:textId="3DBD23B5">
      <w:pPr>
        <w:rPr>
          <w:sz w:val="22"/>
        </w:rPr>
      </w:pPr>
      <w:r w:rsidRPr="00C95A3C">
        <w:rPr>
          <w:b/>
          <w:bCs/>
          <w:sz w:val="22"/>
        </w:rPr>
        <w:t>STATUS:</w:t>
      </w:r>
      <w:r w:rsidRPr="00C95A3C">
        <w:rPr>
          <w:sz w:val="22"/>
        </w:rPr>
        <w:tab/>
        <w:t>OMB control number 1212</w:t>
      </w:r>
      <w:r w:rsidRPr="00C95A3C">
        <w:rPr>
          <w:sz w:val="22"/>
        </w:rPr>
        <w:noBreakHyphen/>
        <w:t>00</w:t>
      </w:r>
      <w:r w:rsidR="005F1CCB">
        <w:rPr>
          <w:sz w:val="22"/>
        </w:rPr>
        <w:t>36</w:t>
      </w:r>
      <w:r w:rsidRPr="00C95A3C">
        <w:rPr>
          <w:sz w:val="22"/>
        </w:rPr>
        <w:t xml:space="preserve">; expires </w:t>
      </w:r>
      <w:r w:rsidRPr="00C95A3C" w:rsidR="00F02A4D">
        <w:rPr>
          <w:sz w:val="22"/>
        </w:rPr>
        <w:t>0</w:t>
      </w:r>
      <w:r w:rsidR="005F1CCB">
        <w:rPr>
          <w:sz w:val="22"/>
        </w:rPr>
        <w:t>3</w:t>
      </w:r>
      <w:r w:rsidRPr="00C95A3C" w:rsidR="00F02A4D">
        <w:rPr>
          <w:sz w:val="22"/>
        </w:rPr>
        <w:t>/31/202</w:t>
      </w:r>
      <w:r w:rsidR="005F1CCB">
        <w:rPr>
          <w:sz w:val="22"/>
        </w:rPr>
        <w:t>6</w:t>
      </w:r>
    </w:p>
    <w:p w:rsidR="00F34DED" w:rsidRPr="00C95A3C" w:rsidP="00B36C8C" w14:paraId="7CEE0A38" w14:textId="77777777">
      <w:pPr>
        <w:rPr>
          <w:sz w:val="22"/>
        </w:rPr>
      </w:pPr>
    </w:p>
    <w:p w:rsidR="00F34DED" w:rsidRPr="00C95A3C" w:rsidP="00B36C8C" w14:paraId="530AF72F" w14:textId="0CDEEB49">
      <w:pPr>
        <w:tabs>
          <w:tab w:val="left" w:pos="-1440"/>
        </w:tabs>
        <w:ind w:left="1440" w:hanging="1440"/>
        <w:rPr>
          <w:sz w:val="22"/>
        </w:rPr>
      </w:pPr>
      <w:r w:rsidRPr="00C95A3C">
        <w:rPr>
          <w:b/>
          <w:bCs/>
          <w:sz w:val="22"/>
        </w:rPr>
        <w:t>CONTACT:</w:t>
      </w:r>
      <w:r w:rsidRPr="00C95A3C">
        <w:rPr>
          <w:sz w:val="22"/>
        </w:rPr>
        <w:tab/>
      </w:r>
      <w:r w:rsidR="00913DB6">
        <w:rPr>
          <w:sz w:val="22"/>
        </w:rPr>
        <w:t>Hilary Duke (202-229-</w:t>
      </w:r>
      <w:r w:rsidR="006354C7">
        <w:rPr>
          <w:sz w:val="22"/>
        </w:rPr>
        <w:t>3839)</w:t>
      </w:r>
      <w:r w:rsidR="00913DB6">
        <w:rPr>
          <w:sz w:val="22"/>
        </w:rPr>
        <w:t xml:space="preserve">; </w:t>
      </w:r>
      <w:r w:rsidR="002B6A28">
        <w:rPr>
          <w:sz w:val="22"/>
        </w:rPr>
        <w:t>Karen Levin</w:t>
      </w:r>
      <w:r w:rsidRPr="00C95A3C" w:rsidR="002D2129">
        <w:rPr>
          <w:sz w:val="22"/>
        </w:rPr>
        <w:t xml:space="preserve"> </w:t>
      </w:r>
      <w:r w:rsidRPr="00C95A3C">
        <w:rPr>
          <w:sz w:val="22"/>
        </w:rPr>
        <w:t>(202-</w:t>
      </w:r>
      <w:r w:rsidRPr="00C95A3C" w:rsidR="002856E3">
        <w:rPr>
          <w:sz w:val="22"/>
        </w:rPr>
        <w:t>229-</w:t>
      </w:r>
      <w:r w:rsidR="002B6A28">
        <w:rPr>
          <w:sz w:val="22"/>
        </w:rPr>
        <w:t>3</w:t>
      </w:r>
      <w:r w:rsidR="00913DB6">
        <w:rPr>
          <w:sz w:val="22"/>
        </w:rPr>
        <w:t>559</w:t>
      </w:r>
    </w:p>
    <w:p w:rsidR="00F34DED" w:rsidRPr="00C95A3C" w:rsidP="00B36C8C" w14:paraId="66B9B531" w14:textId="77777777">
      <w:pPr>
        <w:rPr>
          <w:sz w:val="22"/>
        </w:rPr>
      </w:pPr>
    </w:p>
    <w:p w:rsidR="00465841" w:rsidP="00B36C8C" w14:paraId="3454CEB9" w14:textId="6A26430C">
      <w:pPr>
        <w:pStyle w:val="NormalWeb"/>
        <w:spacing w:before="0" w:beforeAutospacing="0" w:after="0" w:afterAutospacing="0"/>
        <w:rPr>
          <w:rStyle w:val="bumpedfont15"/>
          <w:rFonts w:ascii="Times New Roman" w:hAnsi="Times New Roman" w:cs="Times New Roman"/>
        </w:rPr>
      </w:pPr>
      <w:r w:rsidRPr="00C95A3C">
        <w:rPr>
          <w:rStyle w:val="bumpedfont15"/>
          <w:rFonts w:ascii="Times New Roman" w:hAnsi="Times New Roman" w:cs="Times New Roman"/>
        </w:rPr>
        <w:t>The</w:t>
      </w:r>
      <w:r w:rsidRPr="00C95A3C">
        <w:rPr>
          <w:rStyle w:val="apple-converted-space"/>
          <w:rFonts w:ascii="Times New Roman" w:hAnsi="Times New Roman" w:cs="Times New Roman"/>
        </w:rPr>
        <w:t> </w:t>
      </w:r>
      <w:r w:rsidRPr="00C95A3C">
        <w:rPr>
          <w:rStyle w:val="bumpedfont15"/>
          <w:rFonts w:ascii="Times New Roman" w:hAnsi="Times New Roman" w:cs="Times New Roman"/>
        </w:rPr>
        <w:t>Pension Benefit Guaranty Corporation (PBGC)</w:t>
      </w:r>
      <w:r w:rsidRPr="00C95A3C">
        <w:rPr>
          <w:rStyle w:val="apple-converted-space"/>
          <w:rFonts w:ascii="Times New Roman" w:hAnsi="Times New Roman" w:cs="Times New Roman"/>
        </w:rPr>
        <w:t> </w:t>
      </w:r>
      <w:r w:rsidRPr="00C95A3C">
        <w:rPr>
          <w:rStyle w:val="bumpedfont15"/>
          <w:rFonts w:ascii="Times New Roman" w:hAnsi="Times New Roman" w:cs="Times New Roman"/>
        </w:rPr>
        <w:t>is making</w:t>
      </w:r>
      <w:r w:rsidRPr="00C95A3C">
        <w:rPr>
          <w:rStyle w:val="apple-converted-space"/>
          <w:rFonts w:ascii="Times New Roman" w:hAnsi="Times New Roman" w:cs="Times New Roman"/>
        </w:rPr>
        <w:t> </w:t>
      </w:r>
      <w:r w:rsidR="00D171A0">
        <w:rPr>
          <w:rStyle w:val="apple-converted-space"/>
          <w:rFonts w:ascii="Times New Roman" w:hAnsi="Times New Roman" w:cs="Times New Roman"/>
        </w:rPr>
        <w:t xml:space="preserve">a </w:t>
      </w:r>
      <w:r w:rsidR="00112AA5">
        <w:rPr>
          <w:rStyle w:val="apple-converted-space"/>
          <w:rFonts w:ascii="Times New Roman" w:hAnsi="Times New Roman" w:cs="Times New Roman"/>
        </w:rPr>
        <w:t>change</w:t>
      </w:r>
      <w:r w:rsidRPr="00C95A3C">
        <w:rPr>
          <w:rStyle w:val="apple-converted-space"/>
          <w:rFonts w:ascii="Times New Roman" w:hAnsi="Times New Roman" w:cs="Times New Roman"/>
        </w:rPr>
        <w:t> </w:t>
      </w:r>
      <w:r w:rsidRPr="00C95A3C">
        <w:rPr>
          <w:rStyle w:val="bumpedfont15"/>
          <w:rFonts w:ascii="Times New Roman" w:hAnsi="Times New Roman" w:cs="Times New Roman"/>
        </w:rPr>
        <w:t xml:space="preserve">that </w:t>
      </w:r>
      <w:r w:rsidR="00D171A0">
        <w:rPr>
          <w:rStyle w:val="bumpedfont15"/>
          <w:rFonts w:ascii="Times New Roman" w:hAnsi="Times New Roman" w:cs="Times New Roman"/>
        </w:rPr>
        <w:t xml:space="preserve">is </w:t>
      </w:r>
      <w:r w:rsidRPr="00C95A3C">
        <w:rPr>
          <w:rStyle w:val="bumpedfont15"/>
          <w:rFonts w:ascii="Times New Roman" w:hAnsi="Times New Roman" w:cs="Times New Roman"/>
        </w:rPr>
        <w:t xml:space="preserve">not </w:t>
      </w:r>
      <w:r w:rsidR="00977FAD">
        <w:rPr>
          <w:rStyle w:val="bumpedfont15"/>
          <w:rFonts w:ascii="Times New Roman" w:hAnsi="Times New Roman" w:cs="Times New Roman"/>
        </w:rPr>
        <w:t>substantive</w:t>
      </w:r>
      <w:r w:rsidRPr="00C95A3C">
        <w:rPr>
          <w:rStyle w:val="apple-converted-space"/>
          <w:rFonts w:ascii="Times New Roman" w:hAnsi="Times New Roman" w:cs="Times New Roman"/>
        </w:rPr>
        <w:t> </w:t>
      </w:r>
      <w:r w:rsidRPr="00C95A3C">
        <w:rPr>
          <w:rStyle w:val="bumpedfont15"/>
          <w:rFonts w:ascii="Times New Roman" w:hAnsi="Times New Roman" w:cs="Times New Roman"/>
        </w:rPr>
        <w:t>to</w:t>
      </w:r>
      <w:r w:rsidR="009F6BFC">
        <w:rPr>
          <w:rStyle w:val="bumpedfont15"/>
          <w:rFonts w:ascii="Times New Roman" w:hAnsi="Times New Roman" w:cs="Times New Roman"/>
        </w:rPr>
        <w:t xml:space="preserve"> the </w:t>
      </w:r>
      <w:r w:rsidRPr="00C95A3C">
        <w:rPr>
          <w:rStyle w:val="bumpedfont15"/>
          <w:rFonts w:ascii="Times New Roman" w:hAnsi="Times New Roman" w:cs="Times New Roman"/>
        </w:rPr>
        <w:t xml:space="preserve">currently-approved </w:t>
      </w:r>
      <w:r w:rsidR="0063727D">
        <w:rPr>
          <w:rStyle w:val="bumpedfont15"/>
          <w:rFonts w:ascii="Times New Roman" w:hAnsi="Times New Roman" w:cs="Times New Roman"/>
        </w:rPr>
        <w:t xml:space="preserve">information collection for </w:t>
      </w:r>
      <w:r>
        <w:rPr>
          <w:rStyle w:val="bumpedfont15"/>
          <w:rFonts w:ascii="Times New Roman" w:hAnsi="Times New Roman" w:cs="Times New Roman"/>
        </w:rPr>
        <w:t>termination</w:t>
      </w:r>
      <w:r w:rsidR="00D33C79">
        <w:rPr>
          <w:rStyle w:val="bumpedfont15"/>
          <w:rFonts w:ascii="Times New Roman" w:hAnsi="Times New Roman" w:cs="Times New Roman"/>
        </w:rPr>
        <w:t xml:space="preserve"> </w:t>
      </w:r>
      <w:r>
        <w:rPr>
          <w:rStyle w:val="bumpedfont15"/>
          <w:rFonts w:ascii="Times New Roman" w:hAnsi="Times New Roman" w:cs="Times New Roman"/>
        </w:rPr>
        <w:t>of single</w:t>
      </w:r>
      <w:r w:rsidR="00A6474B">
        <w:rPr>
          <w:rStyle w:val="bumpedfont15"/>
          <w:rFonts w:ascii="Times New Roman" w:hAnsi="Times New Roman" w:cs="Times New Roman"/>
        </w:rPr>
        <w:t>-</w:t>
      </w:r>
      <w:r>
        <w:rPr>
          <w:rStyle w:val="bumpedfont15"/>
          <w:rFonts w:ascii="Times New Roman" w:hAnsi="Times New Roman" w:cs="Times New Roman"/>
        </w:rPr>
        <w:t xml:space="preserve">employer plans required under </w:t>
      </w:r>
    </w:p>
    <w:p w:rsidR="00FA057C" w:rsidP="00B36C8C" w14:paraId="78FFDE57" w14:textId="4965DBB4">
      <w:pPr>
        <w:pStyle w:val="NormalWeb"/>
        <w:spacing w:before="0" w:beforeAutospacing="0" w:after="0" w:afterAutospacing="0"/>
        <w:rPr>
          <w:rStyle w:val="bumpedfont15"/>
          <w:rFonts w:ascii="Times New Roman" w:hAnsi="Times New Roman" w:cs="Times New Roman"/>
        </w:rPr>
      </w:pPr>
      <w:r>
        <w:rPr>
          <w:rStyle w:val="bumpedfont15"/>
          <w:rFonts w:ascii="Times New Roman" w:hAnsi="Times New Roman" w:cs="Times New Roman"/>
        </w:rPr>
        <w:t>section 4</w:t>
      </w:r>
      <w:r w:rsidR="00465841">
        <w:rPr>
          <w:rStyle w:val="bumpedfont15"/>
          <w:rFonts w:ascii="Times New Roman" w:hAnsi="Times New Roman" w:cs="Times New Roman"/>
        </w:rPr>
        <w:t>041</w:t>
      </w:r>
      <w:r>
        <w:rPr>
          <w:rStyle w:val="bumpedfont15"/>
          <w:rFonts w:ascii="Times New Roman" w:hAnsi="Times New Roman" w:cs="Times New Roman"/>
        </w:rPr>
        <w:t xml:space="preserve"> of </w:t>
      </w:r>
      <w:r w:rsidRPr="00C95A3C">
        <w:rPr>
          <w:rStyle w:val="bumpedfont15"/>
          <w:rFonts w:ascii="Times New Roman" w:hAnsi="Times New Roman" w:cs="Times New Roman"/>
        </w:rPr>
        <w:t>the Employee Retirement Income Security Act of 1974 and</w:t>
      </w:r>
      <w:r w:rsidRPr="00C95A3C">
        <w:rPr>
          <w:rStyle w:val="apple-converted-space"/>
          <w:rFonts w:ascii="Times New Roman" w:hAnsi="Times New Roman" w:cs="Times New Roman"/>
        </w:rPr>
        <w:t> </w:t>
      </w:r>
      <w:r w:rsidRPr="00C95A3C">
        <w:rPr>
          <w:rStyle w:val="bumpedfont15"/>
          <w:rFonts w:ascii="Times New Roman" w:hAnsi="Times New Roman" w:cs="Times New Roman"/>
        </w:rPr>
        <w:t>part 4</w:t>
      </w:r>
      <w:r w:rsidR="00465841">
        <w:rPr>
          <w:rStyle w:val="bumpedfont15"/>
          <w:rFonts w:ascii="Times New Roman" w:hAnsi="Times New Roman" w:cs="Times New Roman"/>
        </w:rPr>
        <w:t>041</w:t>
      </w:r>
      <w:r w:rsidRPr="00C95A3C">
        <w:rPr>
          <w:rStyle w:val="bumpedfont15"/>
          <w:rFonts w:ascii="Times New Roman" w:hAnsi="Times New Roman" w:cs="Times New Roman"/>
        </w:rPr>
        <w:t xml:space="preserve"> of PBGC’s</w:t>
      </w:r>
      <w:r>
        <w:rPr>
          <w:rStyle w:val="bumpedfont15"/>
          <w:rFonts w:ascii="Times New Roman" w:hAnsi="Times New Roman" w:cs="Times New Roman"/>
        </w:rPr>
        <w:t xml:space="preserve"> </w:t>
      </w:r>
      <w:r w:rsidRPr="00C95A3C">
        <w:rPr>
          <w:rStyle w:val="bumpedfont15"/>
          <w:rFonts w:ascii="Times New Roman" w:hAnsi="Times New Roman" w:cs="Times New Roman"/>
        </w:rPr>
        <w:t>regulations</w:t>
      </w:r>
      <w:r w:rsidR="00395823">
        <w:rPr>
          <w:rStyle w:val="bumpedfont15"/>
          <w:rFonts w:ascii="Times New Roman" w:hAnsi="Times New Roman" w:cs="Times New Roman"/>
        </w:rPr>
        <w:t>.</w:t>
      </w:r>
      <w:r w:rsidR="0043369F">
        <w:rPr>
          <w:rStyle w:val="bumpedfont15"/>
          <w:rFonts w:ascii="Times New Roman" w:hAnsi="Times New Roman" w:cs="Times New Roman"/>
        </w:rPr>
        <w:t xml:space="preserve"> </w:t>
      </w:r>
    </w:p>
    <w:p w:rsidR="00B36C8C" w:rsidP="00B36C8C" w14:paraId="6EB64B46" w14:textId="77777777">
      <w:pPr>
        <w:pStyle w:val="NormalWeb"/>
        <w:spacing w:before="0" w:beforeAutospacing="0" w:after="0" w:afterAutospacing="0"/>
        <w:rPr>
          <w:rStyle w:val="bumpedfont15"/>
          <w:rFonts w:ascii="Times New Roman" w:hAnsi="Times New Roman" w:cs="Times New Roman"/>
        </w:rPr>
      </w:pPr>
    </w:p>
    <w:p w:rsidR="0060581B" w:rsidP="00B36C8C" w14:paraId="0639C961" w14:textId="16B63A93">
      <w:pPr>
        <w:pStyle w:val="NormalWeb"/>
        <w:spacing w:before="0" w:beforeAutospacing="0" w:after="0" w:afterAutospacing="0"/>
        <w:rPr>
          <w:rFonts w:ascii="Times New Roman" w:hAnsi="Times New Roman" w:cs="Times New Roman"/>
        </w:rPr>
      </w:pPr>
      <w:r>
        <w:rPr>
          <w:rStyle w:val="bumpedfont15"/>
          <w:rFonts w:ascii="Times New Roman" w:hAnsi="Times New Roman" w:cs="Times New Roman"/>
        </w:rPr>
        <w:t xml:space="preserve">PBGC has issued </w:t>
      </w:r>
      <w:r w:rsidR="00D171A0">
        <w:rPr>
          <w:rStyle w:val="bumpedfont15"/>
          <w:rFonts w:ascii="Times New Roman" w:hAnsi="Times New Roman" w:cs="Times New Roman"/>
        </w:rPr>
        <w:t>i</w:t>
      </w:r>
      <w:r>
        <w:rPr>
          <w:rStyle w:val="bumpedfont15"/>
          <w:rFonts w:ascii="Times New Roman" w:hAnsi="Times New Roman" w:cs="Times New Roman"/>
        </w:rPr>
        <w:t>nstructions to inform plan</w:t>
      </w:r>
      <w:r w:rsidR="008116B5">
        <w:rPr>
          <w:rStyle w:val="bumpedfont15"/>
          <w:rFonts w:ascii="Times New Roman" w:hAnsi="Times New Roman" w:cs="Times New Roman"/>
        </w:rPr>
        <w:t xml:space="preserve"> administrators how to complete and file the </w:t>
      </w:r>
      <w:r w:rsidR="003B3587">
        <w:rPr>
          <w:rStyle w:val="bumpedfont15"/>
          <w:rFonts w:ascii="Times New Roman" w:hAnsi="Times New Roman" w:cs="Times New Roman"/>
        </w:rPr>
        <w:t xml:space="preserve">distress </w:t>
      </w:r>
      <w:r w:rsidR="00D171A0">
        <w:rPr>
          <w:rStyle w:val="bumpedfont15"/>
          <w:rFonts w:ascii="Times New Roman" w:hAnsi="Times New Roman" w:cs="Times New Roman"/>
        </w:rPr>
        <w:t xml:space="preserve">termination </w:t>
      </w:r>
      <w:r w:rsidR="008116B5">
        <w:rPr>
          <w:rStyle w:val="bumpedfont15"/>
          <w:rFonts w:ascii="Times New Roman" w:hAnsi="Times New Roman" w:cs="Times New Roman"/>
        </w:rPr>
        <w:t>forms</w:t>
      </w:r>
      <w:r w:rsidR="001C0CC4">
        <w:rPr>
          <w:rStyle w:val="bumpedfont15"/>
          <w:rFonts w:ascii="Times New Roman" w:hAnsi="Times New Roman" w:cs="Times New Roman"/>
        </w:rPr>
        <w:t xml:space="preserve"> </w:t>
      </w:r>
      <w:r w:rsidR="008116B5">
        <w:rPr>
          <w:rStyle w:val="bumpedfont15"/>
          <w:rFonts w:ascii="Times New Roman" w:hAnsi="Times New Roman" w:cs="Times New Roman"/>
        </w:rPr>
        <w:t xml:space="preserve">under </w:t>
      </w:r>
      <w:r w:rsidR="008116B5">
        <w:rPr>
          <w:rStyle w:val="bumpedfont15"/>
          <w:rFonts w:ascii="Times New Roman" w:hAnsi="Times New Roman" w:cs="Times New Roman"/>
        </w:rPr>
        <w:t>part</w:t>
      </w:r>
      <w:r w:rsidR="008116B5">
        <w:rPr>
          <w:rStyle w:val="bumpedfont15"/>
          <w:rFonts w:ascii="Times New Roman" w:hAnsi="Times New Roman" w:cs="Times New Roman"/>
        </w:rPr>
        <w:t xml:space="preserve"> 404</w:t>
      </w:r>
      <w:r w:rsidR="00D171A0">
        <w:rPr>
          <w:rStyle w:val="bumpedfont15"/>
          <w:rFonts w:ascii="Times New Roman" w:hAnsi="Times New Roman" w:cs="Times New Roman"/>
        </w:rPr>
        <w:t>1</w:t>
      </w:r>
      <w:r w:rsidR="008116B5">
        <w:rPr>
          <w:rStyle w:val="bumpedfont15"/>
          <w:rFonts w:ascii="Times New Roman" w:hAnsi="Times New Roman" w:cs="Times New Roman"/>
        </w:rPr>
        <w:t>.</w:t>
      </w:r>
      <w:bookmarkStart w:id="0" w:name="_Hlk145582607"/>
      <w:r w:rsidR="008E5DE4">
        <w:rPr>
          <w:rStyle w:val="bumpedfont15"/>
          <w:rFonts w:ascii="Times New Roman" w:hAnsi="Times New Roman" w:cs="Times New Roman"/>
        </w:rPr>
        <w:t xml:space="preserve">  </w:t>
      </w:r>
      <w:r w:rsidRPr="00EE3DEE" w:rsidR="00D171A0">
        <w:rPr>
          <w:rFonts w:ascii="Times New Roman" w:hAnsi="Times New Roman" w:cs="Times New Roman"/>
        </w:rPr>
        <w:t>Section 304</w:t>
      </w:r>
      <w:r w:rsidR="00D171A0">
        <w:rPr>
          <w:rFonts w:ascii="Times New Roman" w:hAnsi="Times New Roman" w:cs="Times New Roman"/>
        </w:rPr>
        <w:t xml:space="preserve"> of the </w:t>
      </w:r>
      <w:r w:rsidRPr="00EE3DEE" w:rsidR="00D171A0">
        <w:rPr>
          <w:rFonts w:ascii="Times New Roman" w:hAnsi="Times New Roman" w:cs="Times New Roman"/>
        </w:rPr>
        <w:t>SECURE 2.0 Act of 2022, Division T of the Consolidated Appropriations Act, 2023, Pub. L. 117–328 (Dec. 29, 2022)</w:t>
      </w:r>
      <w:r w:rsidR="00D171A0">
        <w:rPr>
          <w:rFonts w:ascii="Times New Roman" w:hAnsi="Times New Roman" w:cs="Times New Roman"/>
        </w:rPr>
        <w:t xml:space="preserve"> modified section</w:t>
      </w:r>
      <w:r w:rsidRPr="00657EE4" w:rsidR="00D171A0">
        <w:rPr>
          <w:rFonts w:ascii="Times New Roman" w:hAnsi="Times New Roman" w:cs="Times New Roman"/>
        </w:rPr>
        <w:t xml:space="preserve"> 4</w:t>
      </w:r>
      <w:r w:rsidR="006A6AFF">
        <w:rPr>
          <w:rFonts w:ascii="Times New Roman" w:hAnsi="Times New Roman" w:cs="Times New Roman"/>
        </w:rPr>
        <w:t>11</w:t>
      </w:r>
      <w:r w:rsidRPr="00657EE4" w:rsidR="00D171A0">
        <w:rPr>
          <w:rFonts w:ascii="Times New Roman" w:hAnsi="Times New Roman" w:cs="Times New Roman"/>
        </w:rPr>
        <w:t>(a)(</w:t>
      </w:r>
      <w:r w:rsidR="001C0CC4">
        <w:rPr>
          <w:rFonts w:ascii="Times New Roman" w:hAnsi="Times New Roman" w:cs="Times New Roman"/>
        </w:rPr>
        <w:t>11</w:t>
      </w:r>
      <w:r w:rsidRPr="00657EE4" w:rsidR="00D171A0">
        <w:rPr>
          <w:rFonts w:ascii="Times New Roman" w:hAnsi="Times New Roman" w:cs="Times New Roman"/>
        </w:rPr>
        <w:t xml:space="preserve">) of </w:t>
      </w:r>
      <w:r w:rsidR="00E71F52">
        <w:rPr>
          <w:rFonts w:ascii="Times New Roman" w:hAnsi="Times New Roman" w:cs="Times New Roman"/>
        </w:rPr>
        <w:t xml:space="preserve">the </w:t>
      </w:r>
      <w:r w:rsidR="00D171A0">
        <w:rPr>
          <w:rFonts w:ascii="Times New Roman" w:hAnsi="Times New Roman" w:cs="Times New Roman"/>
        </w:rPr>
        <w:t xml:space="preserve">Internal Revenue </w:t>
      </w:r>
      <w:r w:rsidRPr="00657EE4" w:rsidR="00D171A0">
        <w:rPr>
          <w:rFonts w:ascii="Times New Roman" w:hAnsi="Times New Roman" w:cs="Times New Roman"/>
        </w:rPr>
        <w:t>Code</w:t>
      </w:r>
      <w:r w:rsidR="00E71F52">
        <w:rPr>
          <w:rFonts w:ascii="Times New Roman" w:hAnsi="Times New Roman" w:cs="Times New Roman"/>
        </w:rPr>
        <w:t xml:space="preserve"> (Code)</w:t>
      </w:r>
      <w:r w:rsidR="00D171A0">
        <w:rPr>
          <w:rFonts w:ascii="Times New Roman" w:hAnsi="Times New Roman" w:cs="Times New Roman"/>
        </w:rPr>
        <w:t xml:space="preserve"> to increase the </w:t>
      </w:r>
      <w:r w:rsidRPr="00EE3DEE" w:rsidR="00D171A0">
        <w:rPr>
          <w:rFonts w:ascii="Times New Roman" w:hAnsi="Times New Roman" w:cs="Times New Roman"/>
        </w:rPr>
        <w:t xml:space="preserve">limit for mandatory </w:t>
      </w:r>
      <w:r w:rsidR="00D171A0">
        <w:rPr>
          <w:rFonts w:ascii="Times New Roman" w:hAnsi="Times New Roman" w:cs="Times New Roman"/>
        </w:rPr>
        <w:t>distributions</w:t>
      </w:r>
      <w:r w:rsidRPr="00EE3DEE" w:rsidR="00D171A0">
        <w:rPr>
          <w:rFonts w:ascii="Times New Roman" w:hAnsi="Times New Roman" w:cs="Times New Roman"/>
        </w:rPr>
        <w:t xml:space="preserve"> from $5,000 to $7,000 for </w:t>
      </w:r>
      <w:r w:rsidR="00D171A0">
        <w:rPr>
          <w:rFonts w:ascii="Times New Roman" w:hAnsi="Times New Roman" w:cs="Times New Roman"/>
        </w:rPr>
        <w:t xml:space="preserve">pension plan </w:t>
      </w:r>
      <w:r w:rsidRPr="00EE3DEE" w:rsidR="00D171A0">
        <w:rPr>
          <w:rFonts w:ascii="Times New Roman" w:hAnsi="Times New Roman" w:cs="Times New Roman"/>
        </w:rPr>
        <w:t>distributions made after December 31, 2023</w:t>
      </w:r>
      <w:r w:rsidR="00D171A0">
        <w:rPr>
          <w:rFonts w:ascii="Times New Roman" w:hAnsi="Times New Roman" w:cs="Times New Roman"/>
        </w:rPr>
        <w:t>.  Following this change, PBGC is updating reference</w:t>
      </w:r>
      <w:r w:rsidR="00102202">
        <w:rPr>
          <w:rFonts w:ascii="Times New Roman" w:hAnsi="Times New Roman" w:cs="Times New Roman"/>
        </w:rPr>
        <w:t>s</w:t>
      </w:r>
      <w:r w:rsidR="00D171A0">
        <w:rPr>
          <w:rFonts w:ascii="Times New Roman" w:hAnsi="Times New Roman" w:cs="Times New Roman"/>
        </w:rPr>
        <w:t xml:space="preserve"> in these instructions </w:t>
      </w:r>
      <w:r w:rsidR="00845721">
        <w:rPr>
          <w:rFonts w:ascii="Times New Roman" w:hAnsi="Times New Roman" w:cs="Times New Roman"/>
        </w:rPr>
        <w:t>to</w:t>
      </w:r>
      <w:r w:rsidR="00822139">
        <w:rPr>
          <w:rFonts w:ascii="Times New Roman" w:hAnsi="Times New Roman" w:cs="Times New Roman"/>
        </w:rPr>
        <w:t xml:space="preserve"> </w:t>
      </w:r>
      <w:r w:rsidR="00EE3DEE">
        <w:rPr>
          <w:rFonts w:ascii="Times New Roman" w:hAnsi="Times New Roman" w:cs="Times New Roman"/>
        </w:rPr>
        <w:t xml:space="preserve">the value </w:t>
      </w:r>
      <w:r w:rsidR="002A50F3">
        <w:rPr>
          <w:rFonts w:ascii="Times New Roman" w:hAnsi="Times New Roman" w:cs="Times New Roman"/>
        </w:rPr>
        <w:t xml:space="preserve">of the </w:t>
      </w:r>
      <w:r w:rsidRPr="00EE3DEE" w:rsidR="00EE3DEE">
        <w:rPr>
          <w:rFonts w:ascii="Times New Roman" w:hAnsi="Times New Roman" w:cs="Times New Roman"/>
        </w:rPr>
        <w:t>de minimis benefit amount</w:t>
      </w:r>
      <w:r w:rsidR="00EE3DEE">
        <w:rPr>
          <w:rFonts w:ascii="Times New Roman" w:hAnsi="Times New Roman" w:cs="Times New Roman"/>
        </w:rPr>
        <w:t xml:space="preserve"> that may be </w:t>
      </w:r>
      <w:r w:rsidRPr="00EE3DEE" w:rsidR="00EE3DEE">
        <w:rPr>
          <w:rFonts w:ascii="Times New Roman" w:hAnsi="Times New Roman" w:cs="Times New Roman"/>
        </w:rPr>
        <w:t xml:space="preserve">distributed </w:t>
      </w:r>
      <w:r w:rsidR="00EE3DEE">
        <w:rPr>
          <w:rFonts w:ascii="Times New Roman" w:hAnsi="Times New Roman" w:cs="Times New Roman"/>
        </w:rPr>
        <w:t xml:space="preserve">by a plan </w:t>
      </w:r>
      <w:r w:rsidRPr="00EE3DEE" w:rsidR="00EE3DEE">
        <w:rPr>
          <w:rFonts w:ascii="Times New Roman" w:hAnsi="Times New Roman" w:cs="Times New Roman"/>
        </w:rPr>
        <w:t>in a form other than an annuity</w:t>
      </w:r>
      <w:r w:rsidR="00EE3DEE">
        <w:rPr>
          <w:rFonts w:ascii="Times New Roman" w:hAnsi="Times New Roman" w:cs="Times New Roman"/>
        </w:rPr>
        <w:t xml:space="preserve">.  </w:t>
      </w:r>
      <w:r w:rsidR="00657EE4">
        <w:rPr>
          <w:rFonts w:ascii="Times New Roman" w:hAnsi="Times New Roman" w:cs="Times New Roman"/>
        </w:rPr>
        <w:t xml:space="preserve">This increased monetary limit </w:t>
      </w:r>
      <w:r w:rsidR="00B362C1">
        <w:rPr>
          <w:rFonts w:ascii="Times New Roman" w:hAnsi="Times New Roman" w:cs="Times New Roman"/>
        </w:rPr>
        <w:t xml:space="preserve">and an example </w:t>
      </w:r>
      <w:r w:rsidR="00BA1633">
        <w:rPr>
          <w:rFonts w:ascii="Times New Roman" w:hAnsi="Times New Roman" w:cs="Times New Roman"/>
        </w:rPr>
        <w:t>on PBGC’s maximum guaranteed benefit are</w:t>
      </w:r>
      <w:r w:rsidR="00657EE4">
        <w:rPr>
          <w:rFonts w:ascii="Times New Roman" w:hAnsi="Times New Roman" w:cs="Times New Roman"/>
        </w:rPr>
        <w:t xml:space="preserve"> reflected on page</w:t>
      </w:r>
      <w:r w:rsidR="008835C6">
        <w:rPr>
          <w:rFonts w:ascii="Times New Roman" w:hAnsi="Times New Roman" w:cs="Times New Roman"/>
        </w:rPr>
        <w:t xml:space="preserve">s </w:t>
      </w:r>
      <w:r w:rsidR="00102202">
        <w:rPr>
          <w:rFonts w:ascii="Times New Roman" w:hAnsi="Times New Roman" w:cs="Times New Roman"/>
        </w:rPr>
        <w:t>42</w:t>
      </w:r>
      <w:r w:rsidR="00B362C1">
        <w:rPr>
          <w:rFonts w:ascii="Times New Roman" w:hAnsi="Times New Roman" w:cs="Times New Roman"/>
        </w:rPr>
        <w:t xml:space="preserve"> and </w:t>
      </w:r>
      <w:r w:rsidR="00102202">
        <w:rPr>
          <w:rFonts w:ascii="Times New Roman" w:hAnsi="Times New Roman" w:cs="Times New Roman"/>
        </w:rPr>
        <w:t>45</w:t>
      </w:r>
      <w:r w:rsidR="00B362C1">
        <w:rPr>
          <w:rFonts w:ascii="Times New Roman" w:hAnsi="Times New Roman" w:cs="Times New Roman"/>
        </w:rPr>
        <w:t xml:space="preserve"> of</w:t>
      </w:r>
      <w:r w:rsidR="00657EE4">
        <w:rPr>
          <w:rFonts w:ascii="Times New Roman" w:hAnsi="Times New Roman" w:cs="Times New Roman"/>
        </w:rPr>
        <w:t xml:space="preserve"> the instructions.  Th</w:t>
      </w:r>
      <w:r w:rsidR="00BA1633">
        <w:rPr>
          <w:rFonts w:ascii="Times New Roman" w:hAnsi="Times New Roman" w:cs="Times New Roman"/>
        </w:rPr>
        <w:t>e</w:t>
      </w:r>
      <w:r w:rsidR="00657EE4">
        <w:rPr>
          <w:rFonts w:ascii="Times New Roman" w:hAnsi="Times New Roman" w:cs="Times New Roman"/>
        </w:rPr>
        <w:t>s</w:t>
      </w:r>
      <w:r w:rsidR="00BA1633">
        <w:rPr>
          <w:rFonts w:ascii="Times New Roman" w:hAnsi="Times New Roman" w:cs="Times New Roman"/>
        </w:rPr>
        <w:t>e</w:t>
      </w:r>
      <w:r w:rsidR="00657EE4">
        <w:rPr>
          <w:rFonts w:ascii="Times New Roman" w:hAnsi="Times New Roman" w:cs="Times New Roman"/>
        </w:rPr>
        <w:t xml:space="preserve"> </w:t>
      </w:r>
      <w:r w:rsidR="00B36C8C">
        <w:rPr>
          <w:rFonts w:ascii="Times New Roman" w:hAnsi="Times New Roman" w:cs="Times New Roman"/>
        </w:rPr>
        <w:t>change</w:t>
      </w:r>
      <w:r w:rsidR="00BA1633">
        <w:rPr>
          <w:rFonts w:ascii="Times New Roman" w:hAnsi="Times New Roman" w:cs="Times New Roman"/>
        </w:rPr>
        <w:t>s</w:t>
      </w:r>
      <w:r w:rsidR="00657EE4">
        <w:rPr>
          <w:rFonts w:ascii="Times New Roman" w:hAnsi="Times New Roman" w:cs="Times New Roman"/>
        </w:rPr>
        <w:t xml:space="preserve"> will not increase burden and simply </w:t>
      </w:r>
      <w:r w:rsidR="00327BE4">
        <w:rPr>
          <w:rFonts w:ascii="Times New Roman" w:hAnsi="Times New Roman" w:cs="Times New Roman"/>
        </w:rPr>
        <w:t xml:space="preserve">reflect </w:t>
      </w:r>
      <w:r w:rsidR="00977FAD">
        <w:rPr>
          <w:rFonts w:ascii="Times New Roman" w:hAnsi="Times New Roman" w:cs="Times New Roman"/>
        </w:rPr>
        <w:t>the</w:t>
      </w:r>
      <w:r w:rsidR="00657EE4">
        <w:rPr>
          <w:rFonts w:ascii="Times New Roman" w:hAnsi="Times New Roman" w:cs="Times New Roman"/>
        </w:rPr>
        <w:t xml:space="preserve"> statutory change</w:t>
      </w:r>
      <w:r w:rsidR="00FB0AEB">
        <w:rPr>
          <w:rFonts w:ascii="Times New Roman" w:hAnsi="Times New Roman" w:cs="Times New Roman"/>
        </w:rPr>
        <w:t xml:space="preserve"> and an updated example</w:t>
      </w:r>
      <w:r w:rsidR="00657EE4">
        <w:rPr>
          <w:rFonts w:ascii="Times New Roman" w:hAnsi="Times New Roman" w:cs="Times New Roman"/>
        </w:rPr>
        <w:t xml:space="preserve">. </w:t>
      </w:r>
    </w:p>
    <w:bookmarkEnd w:id="0"/>
    <w:p w:rsidR="00B36C8C" w:rsidP="00B36C8C" w14:paraId="1924BA44" w14:textId="77777777">
      <w:pPr>
        <w:pStyle w:val="NormalWeb"/>
        <w:spacing w:before="0" w:beforeAutospacing="0" w:after="0" w:afterAutospacing="0"/>
        <w:rPr>
          <w:rFonts w:ascii="Times New Roman" w:hAnsi="Times New Roman" w:cs="Times New Roman"/>
        </w:rPr>
      </w:pPr>
    </w:p>
    <w:p w:rsidR="00B36C8C" w:rsidRPr="00D171A0" w:rsidP="00B36C8C" w14:paraId="70D521E6" w14:textId="306C8DA7">
      <w:pPr>
        <w:pStyle w:val="NormalWeb"/>
        <w:spacing w:before="0" w:beforeAutospacing="0" w:after="0" w:afterAutospacing="0"/>
        <w:rPr>
          <w:rFonts w:ascii="Times New Roman" w:hAnsi="Times New Roman" w:cs="Times New Roman"/>
        </w:rPr>
      </w:pPr>
      <w:r>
        <w:rPr>
          <w:rFonts w:ascii="Times New Roman" w:hAnsi="Times New Roman" w:cs="Times New Roman"/>
        </w:rPr>
        <w:t>The change</w:t>
      </w:r>
      <w:r w:rsidR="00A277F7">
        <w:rPr>
          <w:rFonts w:ascii="Times New Roman" w:hAnsi="Times New Roman" w:cs="Times New Roman"/>
        </w:rPr>
        <w:t>s</w:t>
      </w:r>
      <w:r>
        <w:rPr>
          <w:rFonts w:ascii="Times New Roman" w:hAnsi="Times New Roman" w:cs="Times New Roman"/>
        </w:rPr>
        <w:t xml:space="preserve"> to the instructions </w:t>
      </w:r>
      <w:r w:rsidR="00A277F7">
        <w:rPr>
          <w:rFonts w:ascii="Times New Roman" w:hAnsi="Times New Roman" w:cs="Times New Roman"/>
        </w:rPr>
        <w:t>are</w:t>
      </w:r>
      <w:r>
        <w:rPr>
          <w:rFonts w:ascii="Times New Roman" w:hAnsi="Times New Roman" w:cs="Times New Roman"/>
        </w:rPr>
        <w:t xml:space="preserve"> seen below in red. </w:t>
      </w:r>
      <w:r w:rsidRPr="00B36C8C">
        <w:rPr>
          <w:rFonts w:ascii="Times New Roman" w:hAnsi="Times New Roman" w:cs="Times New Roman"/>
          <w:color w:val="FF0000"/>
        </w:rPr>
        <w:t xml:space="preserve"> </w:t>
      </w:r>
    </w:p>
    <w:p w:rsidR="00B36C8C" w:rsidP="00B36C8C" w14:paraId="422DC903" w14:textId="77777777">
      <w:pPr>
        <w:pStyle w:val="NormalWeb"/>
        <w:spacing w:before="0" w:beforeAutospacing="0" w:after="0" w:afterAutospacing="0"/>
        <w:rPr>
          <w:rFonts w:ascii="Times New Roman" w:hAnsi="Times New Roman" w:cs="Times New Roman"/>
          <w:color w:val="FF0000"/>
        </w:rPr>
      </w:pPr>
    </w:p>
    <w:p w:rsidR="008E250B" w:rsidP="00B36C8C" w14:paraId="4856BC0B" w14:textId="77777777">
      <w:pPr>
        <w:pStyle w:val="NormalWeb"/>
        <w:spacing w:before="0" w:beforeAutospacing="0" w:after="0" w:afterAutospacing="0"/>
        <w:rPr>
          <w:rFonts w:ascii="Times New Roman" w:hAnsi="Times New Roman" w:cs="Times New Roman"/>
          <w:b/>
          <w:bCs/>
        </w:rPr>
      </w:pPr>
      <w:r w:rsidRPr="00B36C8C">
        <w:rPr>
          <w:rFonts w:ascii="Times New Roman" w:hAnsi="Times New Roman" w:cs="Times New Roman"/>
          <w:b/>
          <w:bCs/>
        </w:rPr>
        <w:t xml:space="preserve">Page </w:t>
      </w:r>
      <w:r w:rsidR="00BA1633">
        <w:rPr>
          <w:rFonts w:ascii="Times New Roman" w:hAnsi="Times New Roman" w:cs="Times New Roman"/>
          <w:b/>
          <w:bCs/>
        </w:rPr>
        <w:t>42</w:t>
      </w:r>
      <w:r w:rsidRPr="00B36C8C">
        <w:rPr>
          <w:rFonts w:ascii="Times New Roman" w:hAnsi="Times New Roman" w:cs="Times New Roman"/>
          <w:b/>
          <w:bCs/>
        </w:rPr>
        <w:t>.</w:t>
      </w:r>
    </w:p>
    <w:p w:rsidR="004A1256" w:rsidRPr="004A1256" w:rsidP="00B36C8C" w14:paraId="3B6D7A28" w14:textId="00EAF44C">
      <w:pPr>
        <w:pStyle w:val="NormalWeb"/>
        <w:spacing w:before="0" w:beforeAutospacing="0" w:after="0" w:afterAutospacing="0"/>
        <w:rPr>
          <w:rFonts w:ascii="Times New Roman" w:hAnsi="Times New Roman" w:cs="Times New Roman"/>
        </w:rPr>
      </w:pPr>
      <w:r w:rsidRPr="004A1256">
        <w:rPr>
          <w:rFonts w:ascii="Times New Roman" w:hAnsi="Times New Roman" w:cs="Times New Roman"/>
        </w:rPr>
        <w:t xml:space="preserve">• The maximum guaranteed benefit that PBGC can pay is set by law each year. For pension plans ending in </w:t>
      </w:r>
      <w:r w:rsidRPr="007A5836" w:rsidR="007A5836">
        <w:rPr>
          <w:rFonts w:ascii="Times New Roman" w:hAnsi="Times New Roman" w:cs="Times New Roman"/>
          <w:strike/>
          <w:color w:val="FF0000"/>
        </w:rPr>
        <w:t>2011</w:t>
      </w:r>
      <w:r w:rsidRPr="00644032">
        <w:rPr>
          <w:rFonts w:ascii="Times New Roman" w:hAnsi="Times New Roman" w:cs="Times New Roman"/>
          <w:color w:val="FF0000"/>
        </w:rPr>
        <w:t>2</w:t>
      </w:r>
      <w:r w:rsidRPr="00644032" w:rsidR="008C7F34">
        <w:rPr>
          <w:rFonts w:ascii="Times New Roman" w:hAnsi="Times New Roman" w:cs="Times New Roman"/>
          <w:color w:val="FF0000"/>
        </w:rPr>
        <w:t>024</w:t>
      </w:r>
      <w:r w:rsidRPr="004A1256">
        <w:rPr>
          <w:rFonts w:ascii="Times New Roman" w:hAnsi="Times New Roman" w:cs="Times New Roman"/>
        </w:rPr>
        <w:t>, for example, the maximum guaranteed amount is $</w:t>
      </w:r>
      <w:r w:rsidRPr="007A5836" w:rsidR="007A5836">
        <w:rPr>
          <w:rFonts w:ascii="Times New Roman" w:hAnsi="Times New Roman" w:cs="Times New Roman"/>
          <w:strike/>
          <w:color w:val="FF0000"/>
        </w:rPr>
        <w:t>500</w:t>
      </w:r>
      <w:r w:rsidRPr="007A5836" w:rsidR="00EB2FDA">
        <w:rPr>
          <w:rFonts w:ascii="Times New Roman" w:hAnsi="Times New Roman" w:cs="Times New Roman"/>
          <w:strike/>
          <w:color w:val="FF0000"/>
        </w:rPr>
        <w:t>7</w:t>
      </w:r>
      <w:r w:rsidR="009B2E6A">
        <w:rPr>
          <w:rFonts w:ascii="Times New Roman" w:hAnsi="Times New Roman" w:cs="Times New Roman"/>
          <w:strike/>
          <w:color w:val="FF0000"/>
        </w:rPr>
        <w:t>7</w:t>
      </w:r>
      <w:r w:rsidR="009B2E6A">
        <w:rPr>
          <w:rFonts w:ascii="Times New Roman" w:hAnsi="Times New Roman" w:cs="Times New Roman"/>
          <w:color w:val="FF0000"/>
        </w:rPr>
        <w:t>7,</w:t>
      </w:r>
      <w:r w:rsidRPr="00644032" w:rsidR="00EB2FDA">
        <w:rPr>
          <w:rFonts w:ascii="Times New Roman" w:hAnsi="Times New Roman" w:cs="Times New Roman"/>
          <w:color w:val="FF0000"/>
        </w:rPr>
        <w:t>10</w:t>
      </w:r>
      <w:r w:rsidRPr="00644032" w:rsidR="009E569C">
        <w:rPr>
          <w:rFonts w:ascii="Times New Roman" w:hAnsi="Times New Roman" w:cs="Times New Roman"/>
          <w:color w:val="FF0000"/>
        </w:rPr>
        <w:t>7.95</w:t>
      </w:r>
      <w:r w:rsidRPr="00644032">
        <w:rPr>
          <w:rFonts w:ascii="Times New Roman" w:hAnsi="Times New Roman" w:cs="Times New Roman"/>
          <w:color w:val="FF0000"/>
        </w:rPr>
        <w:t xml:space="preserve"> </w:t>
      </w:r>
      <w:r w:rsidRPr="004A1256">
        <w:rPr>
          <w:rFonts w:ascii="Times New Roman" w:hAnsi="Times New Roman" w:cs="Times New Roman"/>
        </w:rPr>
        <w:t>per month ($</w:t>
      </w:r>
      <w:r w:rsidRPr="0028641B" w:rsidR="0028641B">
        <w:rPr>
          <w:rFonts w:ascii="Times New Roman" w:hAnsi="Times New Roman" w:cs="Times New Roman"/>
          <w:strike/>
          <w:color w:val="FF0000"/>
        </w:rPr>
        <w:t>54,000</w:t>
      </w:r>
      <w:r w:rsidRPr="00644032" w:rsidR="009E569C">
        <w:rPr>
          <w:rFonts w:ascii="Times New Roman" w:hAnsi="Times New Roman" w:cs="Times New Roman"/>
          <w:color w:val="FF0000"/>
        </w:rPr>
        <w:t>85,295</w:t>
      </w:r>
      <w:r w:rsidRPr="004A1256">
        <w:rPr>
          <w:rFonts w:ascii="Times New Roman" w:hAnsi="Times New Roman" w:cs="Times New Roman"/>
        </w:rPr>
        <w:t xml:space="preserve"> per year) for a worker who retires at age 65 with a straight life annuity.</w:t>
      </w:r>
    </w:p>
    <w:p w:rsidR="004A1256" w:rsidP="00B36C8C" w14:paraId="3EB6F3EF" w14:textId="77777777">
      <w:pPr>
        <w:pStyle w:val="NormalWeb"/>
        <w:spacing w:before="0" w:beforeAutospacing="0" w:after="0" w:afterAutospacing="0"/>
        <w:rPr>
          <w:rFonts w:ascii="Times New Roman" w:hAnsi="Times New Roman" w:cs="Times New Roman"/>
          <w:b/>
          <w:bCs/>
        </w:rPr>
      </w:pPr>
    </w:p>
    <w:p w:rsidR="00644032" w:rsidP="00644032" w14:paraId="5EE47162" w14:textId="77777777">
      <w:pPr>
        <w:pStyle w:val="NormalWeb"/>
        <w:spacing w:before="0" w:beforeAutospacing="0" w:after="0" w:afterAutospacing="0"/>
        <w:rPr>
          <w:rFonts w:ascii="Times New Roman" w:hAnsi="Times New Roman" w:cs="Times New Roman"/>
          <w:b/>
          <w:bCs/>
        </w:rPr>
      </w:pPr>
      <w:r w:rsidRPr="00B36C8C">
        <w:rPr>
          <w:rFonts w:ascii="Times New Roman" w:hAnsi="Times New Roman" w:cs="Times New Roman"/>
          <w:b/>
          <w:bCs/>
        </w:rPr>
        <w:t xml:space="preserve">Page </w:t>
      </w:r>
      <w:r>
        <w:rPr>
          <w:rFonts w:ascii="Times New Roman" w:hAnsi="Times New Roman" w:cs="Times New Roman"/>
          <w:b/>
          <w:bCs/>
        </w:rPr>
        <w:t>42</w:t>
      </w:r>
      <w:r w:rsidRPr="00B36C8C">
        <w:rPr>
          <w:rFonts w:ascii="Times New Roman" w:hAnsi="Times New Roman" w:cs="Times New Roman"/>
          <w:b/>
          <w:bCs/>
        </w:rPr>
        <w:t>.</w:t>
      </w:r>
    </w:p>
    <w:p w:rsidR="00B36C8C" w:rsidP="00977FAD" w14:paraId="1C0D2AA5" w14:textId="36CF8425">
      <w:pPr>
        <w:pStyle w:val="NormalWeb"/>
        <w:spacing w:before="0" w:beforeAutospacing="0" w:after="0" w:afterAutospacing="0"/>
        <w:rPr>
          <w:rFonts w:ascii="Times New Roman" w:hAnsi="Times New Roman" w:cs="Times New Roman"/>
          <w:color w:val="FF0000"/>
        </w:rPr>
      </w:pPr>
      <w:r w:rsidRPr="008E250B">
        <w:rPr>
          <w:rFonts w:ascii="Times New Roman" w:hAnsi="Times New Roman" w:cs="Times New Roman"/>
        </w:rPr>
        <w:t>• PBGC generally does not pay lump sums exceeding $5,000</w:t>
      </w:r>
      <w:r w:rsidR="007B62B0">
        <w:rPr>
          <w:rFonts w:ascii="Times New Roman" w:hAnsi="Times New Roman" w:cs="Times New Roman"/>
        </w:rPr>
        <w:t xml:space="preserve"> </w:t>
      </w:r>
      <w:r w:rsidRPr="00977FAD" w:rsidR="003D64E4">
        <w:rPr>
          <w:rFonts w:ascii="Times New Roman" w:hAnsi="Times New Roman" w:cs="Times New Roman"/>
          <w:color w:val="FF0000"/>
        </w:rPr>
        <w:t>for distribution dates before January 1, 2024, and $7,000 for later distribution dates</w:t>
      </w:r>
      <w:r w:rsidRPr="0017460E" w:rsidR="003D64E4">
        <w:rPr>
          <w:rFonts w:ascii="Times New Roman" w:hAnsi="Times New Roman" w:cs="Times New Roman"/>
        </w:rPr>
        <w:t>.</w:t>
      </w:r>
    </w:p>
    <w:p w:rsidR="006278E1" w:rsidP="00977FAD" w14:paraId="0BEDF219" w14:textId="77777777">
      <w:pPr>
        <w:pStyle w:val="NormalWeb"/>
        <w:spacing w:before="0" w:beforeAutospacing="0" w:after="0" w:afterAutospacing="0"/>
        <w:rPr>
          <w:rFonts w:ascii="Times New Roman" w:hAnsi="Times New Roman" w:cs="Times New Roman"/>
          <w:color w:val="FF0000"/>
        </w:rPr>
      </w:pPr>
    </w:p>
    <w:p w:rsidR="00317D90" w:rsidP="00317D90" w14:paraId="52981BB5" w14:textId="5D580FCD">
      <w:pPr>
        <w:pStyle w:val="NormalWeb"/>
        <w:spacing w:before="0" w:beforeAutospacing="0" w:after="0" w:afterAutospacing="0"/>
        <w:rPr>
          <w:rFonts w:ascii="Times New Roman" w:hAnsi="Times New Roman" w:cs="Times New Roman"/>
          <w:b/>
          <w:bCs/>
        </w:rPr>
      </w:pPr>
      <w:r w:rsidRPr="00B36C8C">
        <w:rPr>
          <w:rFonts w:ascii="Times New Roman" w:hAnsi="Times New Roman" w:cs="Times New Roman"/>
          <w:b/>
          <w:bCs/>
        </w:rPr>
        <w:t xml:space="preserve">Page </w:t>
      </w:r>
      <w:r>
        <w:rPr>
          <w:rFonts w:ascii="Times New Roman" w:hAnsi="Times New Roman" w:cs="Times New Roman"/>
          <w:b/>
          <w:bCs/>
        </w:rPr>
        <w:t>45</w:t>
      </w:r>
      <w:r w:rsidRPr="00B36C8C">
        <w:rPr>
          <w:rFonts w:ascii="Times New Roman" w:hAnsi="Times New Roman" w:cs="Times New Roman"/>
          <w:b/>
          <w:bCs/>
        </w:rPr>
        <w:t>.</w:t>
      </w:r>
    </w:p>
    <w:p w:rsidR="00892919" w:rsidP="00892919" w14:paraId="20D3927A" w14:textId="1370DF9C">
      <w:pPr>
        <w:pStyle w:val="NormalWeb"/>
        <w:spacing w:before="0" w:beforeAutospacing="0" w:after="0" w:afterAutospacing="0"/>
        <w:rPr>
          <w:rFonts w:ascii="Times New Roman" w:hAnsi="Times New Roman" w:cs="Times New Roman"/>
          <w:color w:val="FF0000"/>
        </w:rPr>
      </w:pPr>
      <w:r w:rsidRPr="001245C6">
        <w:rPr>
          <w:rFonts w:ascii="Times New Roman" w:hAnsi="Times New Roman" w:cs="Times New Roman"/>
        </w:rPr>
        <w:t>Benefits may be distributed in a form other than an annuity (e.g., an immediate lump sum or direct transfer)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w:t>
      </w:r>
      <w:r w:rsidR="00B001A4">
        <w:rPr>
          <w:rFonts w:ascii="Times New Roman" w:hAnsi="Times New Roman" w:cs="Times New Roman"/>
        </w:rPr>
        <w:t>-</w:t>
      </w:r>
      <w:r w:rsidRPr="001245C6">
        <w:rPr>
          <w:rFonts w:ascii="Times New Roman" w:hAnsi="Times New Roman" w:cs="Times New Roman"/>
        </w:rPr>
        <w:t>D), including amounts previously distributed, is at or below the plan’s de minimis cash out limit, which may not exceed the dollar limit under § 411(a)(11) of the Code (currently $5,000</w:t>
      </w:r>
      <w:r>
        <w:rPr>
          <w:rFonts w:ascii="Times New Roman" w:hAnsi="Times New Roman" w:cs="Times New Roman"/>
        </w:rPr>
        <w:t xml:space="preserve"> </w:t>
      </w:r>
      <w:r w:rsidRPr="00977FAD">
        <w:rPr>
          <w:rFonts w:ascii="Times New Roman" w:hAnsi="Times New Roman" w:cs="Times New Roman"/>
          <w:color w:val="FF0000"/>
        </w:rPr>
        <w:t>for distribution dates before January 1, 2024, and $7,000 for later distribution dates)</w:t>
      </w:r>
      <w:r w:rsidRPr="0017460E">
        <w:rPr>
          <w:rFonts w:ascii="Times New Roman" w:hAnsi="Times New Roman" w:cs="Times New Roman"/>
        </w:rPr>
        <w:t>.</w:t>
      </w:r>
    </w:p>
    <w:p w:rsidR="006278E1" w:rsidRPr="001245C6" w:rsidP="00977FAD" w14:paraId="7B562B28" w14:textId="5D2337AA">
      <w:pPr>
        <w:pStyle w:val="NormalWeb"/>
        <w:spacing w:before="0" w:beforeAutospacing="0" w:after="0" w:afterAutospacing="0"/>
        <w:rPr>
          <w:rFonts w:ascii="Times New Roman" w:hAnsi="Times New Roman" w:cs="Times New Roman"/>
        </w:rPr>
      </w:pPr>
    </w:p>
    <w:sectPr w:rsidSect="00DF611B">
      <w:footerReference w:type="default" r:id="rId9"/>
      <w:footerReference w:type="first" r:id="rId10"/>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01F9E"/>
    <w:multiLevelType w:val="hybridMultilevel"/>
    <w:tmpl w:val="7372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4737179">
    <w:abstractNumId w:val="1"/>
  </w:num>
  <w:num w:numId="2" w16cid:durableId="44866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2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0167"/>
    <w:rsid w:val="0000209F"/>
    <w:rsid w:val="0000644C"/>
    <w:rsid w:val="00014968"/>
    <w:rsid w:val="00016F8A"/>
    <w:rsid w:val="00025120"/>
    <w:rsid w:val="00033CA5"/>
    <w:rsid w:val="00062B89"/>
    <w:rsid w:val="0006734A"/>
    <w:rsid w:val="00070EB7"/>
    <w:rsid w:val="0007287C"/>
    <w:rsid w:val="00073DFA"/>
    <w:rsid w:val="00074D7F"/>
    <w:rsid w:val="0008093D"/>
    <w:rsid w:val="00086CA2"/>
    <w:rsid w:val="00087F72"/>
    <w:rsid w:val="000B0A89"/>
    <w:rsid w:val="000B19F5"/>
    <w:rsid w:val="000C2C31"/>
    <w:rsid w:val="000C5398"/>
    <w:rsid w:val="000D761D"/>
    <w:rsid w:val="000F6C37"/>
    <w:rsid w:val="00102202"/>
    <w:rsid w:val="00105C0B"/>
    <w:rsid w:val="001105B9"/>
    <w:rsid w:val="00112AA5"/>
    <w:rsid w:val="00116CF6"/>
    <w:rsid w:val="00120448"/>
    <w:rsid w:val="001245C6"/>
    <w:rsid w:val="00132391"/>
    <w:rsid w:val="00137F8F"/>
    <w:rsid w:val="001444FB"/>
    <w:rsid w:val="00172104"/>
    <w:rsid w:val="00172543"/>
    <w:rsid w:val="0017460E"/>
    <w:rsid w:val="00183EC0"/>
    <w:rsid w:val="00186539"/>
    <w:rsid w:val="001925E6"/>
    <w:rsid w:val="001963C8"/>
    <w:rsid w:val="001A4C5B"/>
    <w:rsid w:val="001A5544"/>
    <w:rsid w:val="001A5C8A"/>
    <w:rsid w:val="001B10A7"/>
    <w:rsid w:val="001B15C8"/>
    <w:rsid w:val="001B3AEB"/>
    <w:rsid w:val="001B5802"/>
    <w:rsid w:val="001B5E32"/>
    <w:rsid w:val="001C0CC4"/>
    <w:rsid w:val="001C26A4"/>
    <w:rsid w:val="001C4744"/>
    <w:rsid w:val="001C5847"/>
    <w:rsid w:val="001C746B"/>
    <w:rsid w:val="001D1758"/>
    <w:rsid w:val="001D5DD6"/>
    <w:rsid w:val="001E5CD0"/>
    <w:rsid w:val="002008D1"/>
    <w:rsid w:val="002139B3"/>
    <w:rsid w:val="00217516"/>
    <w:rsid w:val="0022452C"/>
    <w:rsid w:val="0024229E"/>
    <w:rsid w:val="002465D5"/>
    <w:rsid w:val="002525B6"/>
    <w:rsid w:val="0025762B"/>
    <w:rsid w:val="00262A0D"/>
    <w:rsid w:val="00283837"/>
    <w:rsid w:val="002856E3"/>
    <w:rsid w:val="0028641B"/>
    <w:rsid w:val="002A33DB"/>
    <w:rsid w:val="002A4F4B"/>
    <w:rsid w:val="002A50F3"/>
    <w:rsid w:val="002B25D0"/>
    <w:rsid w:val="002B324E"/>
    <w:rsid w:val="002B6A28"/>
    <w:rsid w:val="002C1D2C"/>
    <w:rsid w:val="002C239E"/>
    <w:rsid w:val="002C419F"/>
    <w:rsid w:val="002C5AF9"/>
    <w:rsid w:val="002D2129"/>
    <w:rsid w:val="002D343F"/>
    <w:rsid w:val="002E3DFF"/>
    <w:rsid w:val="002E4203"/>
    <w:rsid w:val="002F1292"/>
    <w:rsid w:val="002F1F45"/>
    <w:rsid w:val="002F4245"/>
    <w:rsid w:val="002F5CE7"/>
    <w:rsid w:val="002F5F9A"/>
    <w:rsid w:val="00300CA5"/>
    <w:rsid w:val="00305E7E"/>
    <w:rsid w:val="00314353"/>
    <w:rsid w:val="003150E4"/>
    <w:rsid w:val="00317D90"/>
    <w:rsid w:val="0032311D"/>
    <w:rsid w:val="00323315"/>
    <w:rsid w:val="00327BE4"/>
    <w:rsid w:val="0033116A"/>
    <w:rsid w:val="0034049C"/>
    <w:rsid w:val="003436B5"/>
    <w:rsid w:val="00347152"/>
    <w:rsid w:val="0035089E"/>
    <w:rsid w:val="003527F5"/>
    <w:rsid w:val="00361712"/>
    <w:rsid w:val="00361FE8"/>
    <w:rsid w:val="00365209"/>
    <w:rsid w:val="003653BE"/>
    <w:rsid w:val="00365858"/>
    <w:rsid w:val="003740F3"/>
    <w:rsid w:val="00377240"/>
    <w:rsid w:val="003823FB"/>
    <w:rsid w:val="00385E59"/>
    <w:rsid w:val="003938A2"/>
    <w:rsid w:val="00395823"/>
    <w:rsid w:val="0039700D"/>
    <w:rsid w:val="003A2B3D"/>
    <w:rsid w:val="003A3E42"/>
    <w:rsid w:val="003A5326"/>
    <w:rsid w:val="003A56F3"/>
    <w:rsid w:val="003B3587"/>
    <w:rsid w:val="003D259E"/>
    <w:rsid w:val="003D3F59"/>
    <w:rsid w:val="003D4D65"/>
    <w:rsid w:val="003D64E4"/>
    <w:rsid w:val="003D7AC1"/>
    <w:rsid w:val="003E5366"/>
    <w:rsid w:val="00412A0D"/>
    <w:rsid w:val="00412E43"/>
    <w:rsid w:val="004172F0"/>
    <w:rsid w:val="00422D40"/>
    <w:rsid w:val="00427C04"/>
    <w:rsid w:val="004324B3"/>
    <w:rsid w:val="004327E7"/>
    <w:rsid w:val="0043369F"/>
    <w:rsid w:val="00434A38"/>
    <w:rsid w:val="00442F53"/>
    <w:rsid w:val="00446BC1"/>
    <w:rsid w:val="0045299F"/>
    <w:rsid w:val="004542B8"/>
    <w:rsid w:val="00465841"/>
    <w:rsid w:val="00472A7B"/>
    <w:rsid w:val="00477017"/>
    <w:rsid w:val="004826A3"/>
    <w:rsid w:val="00482D85"/>
    <w:rsid w:val="00482EB0"/>
    <w:rsid w:val="004976D3"/>
    <w:rsid w:val="004A0E0F"/>
    <w:rsid w:val="004A1256"/>
    <w:rsid w:val="004A3D62"/>
    <w:rsid w:val="004D0A23"/>
    <w:rsid w:val="004D7121"/>
    <w:rsid w:val="004E0277"/>
    <w:rsid w:val="004E08A5"/>
    <w:rsid w:val="004E65AD"/>
    <w:rsid w:val="004F5774"/>
    <w:rsid w:val="0050556A"/>
    <w:rsid w:val="0052791C"/>
    <w:rsid w:val="00546765"/>
    <w:rsid w:val="00551602"/>
    <w:rsid w:val="0055164B"/>
    <w:rsid w:val="005527CB"/>
    <w:rsid w:val="00555ADE"/>
    <w:rsid w:val="005562EB"/>
    <w:rsid w:val="0057401E"/>
    <w:rsid w:val="005844B1"/>
    <w:rsid w:val="005847FB"/>
    <w:rsid w:val="005A079F"/>
    <w:rsid w:val="005A0CAE"/>
    <w:rsid w:val="005A3D17"/>
    <w:rsid w:val="005A761C"/>
    <w:rsid w:val="005B5696"/>
    <w:rsid w:val="005B582D"/>
    <w:rsid w:val="005C76A8"/>
    <w:rsid w:val="005D4F2F"/>
    <w:rsid w:val="005D53C3"/>
    <w:rsid w:val="005E1955"/>
    <w:rsid w:val="005E1EBB"/>
    <w:rsid w:val="005E2E26"/>
    <w:rsid w:val="005F1CCB"/>
    <w:rsid w:val="005F57D1"/>
    <w:rsid w:val="0060581B"/>
    <w:rsid w:val="00605E6D"/>
    <w:rsid w:val="006278E1"/>
    <w:rsid w:val="0063366A"/>
    <w:rsid w:val="006354C7"/>
    <w:rsid w:val="0063727D"/>
    <w:rsid w:val="00644032"/>
    <w:rsid w:val="006517D0"/>
    <w:rsid w:val="0065442B"/>
    <w:rsid w:val="0065764A"/>
    <w:rsid w:val="00657EE4"/>
    <w:rsid w:val="006607AD"/>
    <w:rsid w:val="006804DF"/>
    <w:rsid w:val="00691A71"/>
    <w:rsid w:val="006925E4"/>
    <w:rsid w:val="006A2048"/>
    <w:rsid w:val="006A3299"/>
    <w:rsid w:val="006A6AFF"/>
    <w:rsid w:val="006C2763"/>
    <w:rsid w:val="006D4DC8"/>
    <w:rsid w:val="006E0DE0"/>
    <w:rsid w:val="006E2AAF"/>
    <w:rsid w:val="006E537F"/>
    <w:rsid w:val="006E6AE7"/>
    <w:rsid w:val="006F1183"/>
    <w:rsid w:val="00710FDD"/>
    <w:rsid w:val="00711336"/>
    <w:rsid w:val="00714A67"/>
    <w:rsid w:val="007209FC"/>
    <w:rsid w:val="00722427"/>
    <w:rsid w:val="00725AA5"/>
    <w:rsid w:val="007358F1"/>
    <w:rsid w:val="00744C5D"/>
    <w:rsid w:val="007478D6"/>
    <w:rsid w:val="0075572C"/>
    <w:rsid w:val="00764966"/>
    <w:rsid w:val="007811C8"/>
    <w:rsid w:val="007812E9"/>
    <w:rsid w:val="00784D2A"/>
    <w:rsid w:val="007907C4"/>
    <w:rsid w:val="00791687"/>
    <w:rsid w:val="00792478"/>
    <w:rsid w:val="00796027"/>
    <w:rsid w:val="007A0A21"/>
    <w:rsid w:val="007A4CF6"/>
    <w:rsid w:val="007A5836"/>
    <w:rsid w:val="007A69AC"/>
    <w:rsid w:val="007A6DA1"/>
    <w:rsid w:val="007B2F1C"/>
    <w:rsid w:val="007B35E3"/>
    <w:rsid w:val="007B62B0"/>
    <w:rsid w:val="007B783E"/>
    <w:rsid w:val="007C653B"/>
    <w:rsid w:val="007E1873"/>
    <w:rsid w:val="007E2D43"/>
    <w:rsid w:val="007F5F35"/>
    <w:rsid w:val="00806AF9"/>
    <w:rsid w:val="008116B5"/>
    <w:rsid w:val="0081673F"/>
    <w:rsid w:val="00822139"/>
    <w:rsid w:val="00824481"/>
    <w:rsid w:val="00825B0B"/>
    <w:rsid w:val="008317FC"/>
    <w:rsid w:val="00835132"/>
    <w:rsid w:val="00844F65"/>
    <w:rsid w:val="00845721"/>
    <w:rsid w:val="00851246"/>
    <w:rsid w:val="00863606"/>
    <w:rsid w:val="00864E11"/>
    <w:rsid w:val="00865269"/>
    <w:rsid w:val="008835C6"/>
    <w:rsid w:val="00883A9F"/>
    <w:rsid w:val="00892919"/>
    <w:rsid w:val="00894250"/>
    <w:rsid w:val="008A0FCA"/>
    <w:rsid w:val="008A48A7"/>
    <w:rsid w:val="008C7F34"/>
    <w:rsid w:val="008D0AC7"/>
    <w:rsid w:val="008D50E8"/>
    <w:rsid w:val="008E250B"/>
    <w:rsid w:val="008E3D12"/>
    <w:rsid w:val="008E5CD3"/>
    <w:rsid w:val="008E5DE4"/>
    <w:rsid w:val="00905F3E"/>
    <w:rsid w:val="00913DB6"/>
    <w:rsid w:val="009144C1"/>
    <w:rsid w:val="00922E62"/>
    <w:rsid w:val="00926887"/>
    <w:rsid w:val="009313C2"/>
    <w:rsid w:val="00933506"/>
    <w:rsid w:val="00947CF0"/>
    <w:rsid w:val="00961934"/>
    <w:rsid w:val="0096265C"/>
    <w:rsid w:val="00963601"/>
    <w:rsid w:val="009637D1"/>
    <w:rsid w:val="00971C2F"/>
    <w:rsid w:val="00974129"/>
    <w:rsid w:val="00977BBA"/>
    <w:rsid w:val="00977FAD"/>
    <w:rsid w:val="00984202"/>
    <w:rsid w:val="00984710"/>
    <w:rsid w:val="00985B45"/>
    <w:rsid w:val="009913CD"/>
    <w:rsid w:val="009A35E2"/>
    <w:rsid w:val="009B1C08"/>
    <w:rsid w:val="009B2E6A"/>
    <w:rsid w:val="009C52C0"/>
    <w:rsid w:val="009D056F"/>
    <w:rsid w:val="009D2E63"/>
    <w:rsid w:val="009D5532"/>
    <w:rsid w:val="009E1BE6"/>
    <w:rsid w:val="009E42FA"/>
    <w:rsid w:val="009E5432"/>
    <w:rsid w:val="009E569C"/>
    <w:rsid w:val="009E768E"/>
    <w:rsid w:val="009E7D50"/>
    <w:rsid w:val="009F6BFC"/>
    <w:rsid w:val="00A05F7D"/>
    <w:rsid w:val="00A061EE"/>
    <w:rsid w:val="00A11051"/>
    <w:rsid w:val="00A11B93"/>
    <w:rsid w:val="00A140BB"/>
    <w:rsid w:val="00A146A8"/>
    <w:rsid w:val="00A21448"/>
    <w:rsid w:val="00A235DE"/>
    <w:rsid w:val="00A277F7"/>
    <w:rsid w:val="00A32A56"/>
    <w:rsid w:val="00A34878"/>
    <w:rsid w:val="00A47BB3"/>
    <w:rsid w:val="00A512C9"/>
    <w:rsid w:val="00A51A61"/>
    <w:rsid w:val="00A53BF9"/>
    <w:rsid w:val="00A62A49"/>
    <w:rsid w:val="00A6474B"/>
    <w:rsid w:val="00A64B90"/>
    <w:rsid w:val="00A72E4C"/>
    <w:rsid w:val="00A755FC"/>
    <w:rsid w:val="00A844DD"/>
    <w:rsid w:val="00A9655A"/>
    <w:rsid w:val="00AB0814"/>
    <w:rsid w:val="00AB0FA6"/>
    <w:rsid w:val="00AB1D3E"/>
    <w:rsid w:val="00AB1E5C"/>
    <w:rsid w:val="00AB6379"/>
    <w:rsid w:val="00AB75D8"/>
    <w:rsid w:val="00AC422A"/>
    <w:rsid w:val="00AE6EC4"/>
    <w:rsid w:val="00AE6FFD"/>
    <w:rsid w:val="00B001A4"/>
    <w:rsid w:val="00B002FE"/>
    <w:rsid w:val="00B00DE1"/>
    <w:rsid w:val="00B04998"/>
    <w:rsid w:val="00B05E50"/>
    <w:rsid w:val="00B06E64"/>
    <w:rsid w:val="00B071EE"/>
    <w:rsid w:val="00B150D2"/>
    <w:rsid w:val="00B362C1"/>
    <w:rsid w:val="00B36C8C"/>
    <w:rsid w:val="00B53497"/>
    <w:rsid w:val="00B544BF"/>
    <w:rsid w:val="00B5551D"/>
    <w:rsid w:val="00B63EB6"/>
    <w:rsid w:val="00B659B3"/>
    <w:rsid w:val="00B823D5"/>
    <w:rsid w:val="00B83E3B"/>
    <w:rsid w:val="00B918FE"/>
    <w:rsid w:val="00B91E03"/>
    <w:rsid w:val="00B920D2"/>
    <w:rsid w:val="00B95808"/>
    <w:rsid w:val="00B96A39"/>
    <w:rsid w:val="00BA1633"/>
    <w:rsid w:val="00BA1BC8"/>
    <w:rsid w:val="00BA2EB5"/>
    <w:rsid w:val="00BA7F07"/>
    <w:rsid w:val="00BC1D2B"/>
    <w:rsid w:val="00BC36F0"/>
    <w:rsid w:val="00BD1603"/>
    <w:rsid w:val="00BD4E25"/>
    <w:rsid w:val="00BD556E"/>
    <w:rsid w:val="00BE03BC"/>
    <w:rsid w:val="00BE277F"/>
    <w:rsid w:val="00BE451A"/>
    <w:rsid w:val="00BF7E2C"/>
    <w:rsid w:val="00C122D0"/>
    <w:rsid w:val="00C2793F"/>
    <w:rsid w:val="00C345CD"/>
    <w:rsid w:val="00C471E6"/>
    <w:rsid w:val="00C4796E"/>
    <w:rsid w:val="00C50770"/>
    <w:rsid w:val="00C51FEB"/>
    <w:rsid w:val="00C57358"/>
    <w:rsid w:val="00C77DE3"/>
    <w:rsid w:val="00C81BE4"/>
    <w:rsid w:val="00C92A82"/>
    <w:rsid w:val="00C95A3C"/>
    <w:rsid w:val="00C95FFB"/>
    <w:rsid w:val="00CA71D7"/>
    <w:rsid w:val="00CA7E53"/>
    <w:rsid w:val="00CB0017"/>
    <w:rsid w:val="00CB301B"/>
    <w:rsid w:val="00CC02AF"/>
    <w:rsid w:val="00CC4EB3"/>
    <w:rsid w:val="00CC6169"/>
    <w:rsid w:val="00CD7372"/>
    <w:rsid w:val="00CF147B"/>
    <w:rsid w:val="00CF5991"/>
    <w:rsid w:val="00D0308B"/>
    <w:rsid w:val="00D05855"/>
    <w:rsid w:val="00D1439E"/>
    <w:rsid w:val="00D171A0"/>
    <w:rsid w:val="00D17427"/>
    <w:rsid w:val="00D31452"/>
    <w:rsid w:val="00D33C79"/>
    <w:rsid w:val="00D45C8F"/>
    <w:rsid w:val="00D45C9A"/>
    <w:rsid w:val="00D50DFB"/>
    <w:rsid w:val="00D51200"/>
    <w:rsid w:val="00D53368"/>
    <w:rsid w:val="00D57850"/>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0DA9"/>
    <w:rsid w:val="00DE3584"/>
    <w:rsid w:val="00DE5DEB"/>
    <w:rsid w:val="00DE76FE"/>
    <w:rsid w:val="00DF611B"/>
    <w:rsid w:val="00E016E1"/>
    <w:rsid w:val="00E04FAB"/>
    <w:rsid w:val="00E12324"/>
    <w:rsid w:val="00E254F2"/>
    <w:rsid w:val="00E27396"/>
    <w:rsid w:val="00E31CE8"/>
    <w:rsid w:val="00E469BE"/>
    <w:rsid w:val="00E61DBE"/>
    <w:rsid w:val="00E70ACF"/>
    <w:rsid w:val="00E71F52"/>
    <w:rsid w:val="00E74436"/>
    <w:rsid w:val="00EA37DD"/>
    <w:rsid w:val="00EA5AB8"/>
    <w:rsid w:val="00EA6303"/>
    <w:rsid w:val="00EB1C5A"/>
    <w:rsid w:val="00EB2FDA"/>
    <w:rsid w:val="00EB5C4E"/>
    <w:rsid w:val="00EC3288"/>
    <w:rsid w:val="00ED4633"/>
    <w:rsid w:val="00EE13D0"/>
    <w:rsid w:val="00EE2829"/>
    <w:rsid w:val="00EE3DEE"/>
    <w:rsid w:val="00EE574C"/>
    <w:rsid w:val="00EF34AD"/>
    <w:rsid w:val="00EF54F2"/>
    <w:rsid w:val="00EF6DA4"/>
    <w:rsid w:val="00F02A4D"/>
    <w:rsid w:val="00F25413"/>
    <w:rsid w:val="00F25AC5"/>
    <w:rsid w:val="00F34DED"/>
    <w:rsid w:val="00F34DF0"/>
    <w:rsid w:val="00F51987"/>
    <w:rsid w:val="00F52A9F"/>
    <w:rsid w:val="00F543B6"/>
    <w:rsid w:val="00F70A77"/>
    <w:rsid w:val="00F77F95"/>
    <w:rsid w:val="00F8283C"/>
    <w:rsid w:val="00F842ED"/>
    <w:rsid w:val="00F844F0"/>
    <w:rsid w:val="00F85BBD"/>
    <w:rsid w:val="00FA057C"/>
    <w:rsid w:val="00FB0AEB"/>
    <w:rsid w:val="00FB31C0"/>
    <w:rsid w:val="00FD0A63"/>
    <w:rsid w:val="00FD35CD"/>
    <w:rsid w:val="00FD4D7F"/>
    <w:rsid w:val="00FE5F79"/>
    <w:rsid w:val="00FF6516"/>
    <w:rsid w:val="141D47FA"/>
    <w:rsid w:val="1E652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8AB8F1D9-3A26-4023-9576-8FF22D095560}">
  <ds:schemaRefs>
    <ds:schemaRef ds:uri="http://schemas.openxmlformats.org/officeDocument/2006/bibliography"/>
  </ds:schemaRefs>
</ds:datastoreItem>
</file>

<file path=customXml/itemProps3.xml><?xml version="1.0" encoding="utf-8"?>
<ds:datastoreItem xmlns:ds="http://schemas.openxmlformats.org/officeDocument/2006/customXml" ds:itemID="{0CF6008F-70C3-4E6E-AF16-4107638F84E8}">
  <ds:schemaRefs>
    <ds:schemaRef ds:uri="Microsoft.SharePoint.Taxonomy.ContentTypeSync"/>
  </ds:schemaRefs>
</ds:datastoreItem>
</file>

<file path=customXml/itemProps4.xml><?xml version="1.0" encoding="utf-8"?>
<ds:datastoreItem xmlns:ds="http://schemas.openxmlformats.org/officeDocument/2006/customXml" ds:itemID="{47BE31C7-8C24-47F0-82B0-87EBC2548BB9}">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42a8a83a-5e27-410c-a1fc-7c5ac4e503f4"/>
    <ds:schemaRef ds:uri="http://www.w3.org/XML/1998/namespace"/>
  </ds:schemaRefs>
</ds:datastoreItem>
</file>

<file path=customXml/itemProps5.xml><?xml version="1.0" encoding="utf-8"?>
<ds:datastoreItem xmlns:ds="http://schemas.openxmlformats.org/officeDocument/2006/customXml" ds:itemID="{883FCFBD-73BC-45F6-9195-8C6253E5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Duke Hilary</cp:lastModifiedBy>
  <cp:revision>2</cp:revision>
  <dcterms:created xsi:type="dcterms:W3CDTF">2024-09-25T16:39:00Z</dcterms:created>
  <dcterms:modified xsi:type="dcterms:W3CDTF">2024-09-25T16:39:00Z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rder">
    <vt:r8>100</vt:r8>
  </property>
  <property fmtid="{D5CDD505-2E9C-101B-9397-08002B2CF9AE}" pid="7" name="Source Library">
    <vt:lpwstr/>
  </property>
  <property fmtid="{D5CDD505-2E9C-101B-9397-08002B2CF9AE}" pid="8" name="Source Type">
    <vt:lpwstr>File share</vt:lpwstr>
  </property>
</Properties>
</file>