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46282" w:rsidRPr="0055645F" w14:paraId="0D1A97FA" w14:textId="77777777">
      <w:pPr>
        <w:pStyle w:val="Title"/>
        <w:rPr>
          <w:sz w:val="28"/>
          <w:szCs w:val="28"/>
        </w:rPr>
      </w:pPr>
      <w:r w:rsidRPr="0055645F">
        <w:rPr>
          <w:sz w:val="28"/>
          <w:szCs w:val="28"/>
        </w:rPr>
        <w:t>SUPPORTING STATEMENT FOR</w:t>
      </w:r>
    </w:p>
    <w:p w:rsidR="00D97AC0" w:rsidRPr="0055645F" w:rsidP="00E46282" w14:paraId="504519FA" w14:textId="77777777">
      <w:pPr>
        <w:pStyle w:val="Title"/>
        <w:rPr>
          <w:sz w:val="28"/>
          <w:szCs w:val="28"/>
        </w:rPr>
      </w:pPr>
      <w:r w:rsidRPr="0055645F">
        <w:rPr>
          <w:sz w:val="28"/>
          <w:szCs w:val="28"/>
        </w:rPr>
        <w:t>PAPERWORK</w:t>
      </w:r>
      <w:r w:rsidRPr="0055645F" w:rsidR="00E46282">
        <w:rPr>
          <w:sz w:val="28"/>
          <w:szCs w:val="28"/>
        </w:rPr>
        <w:t xml:space="preserve"> </w:t>
      </w:r>
      <w:r w:rsidRPr="0055645F">
        <w:rPr>
          <w:sz w:val="28"/>
          <w:szCs w:val="28"/>
        </w:rPr>
        <w:t>REDUCTION ACT SUBMISSIONS</w:t>
      </w:r>
    </w:p>
    <w:p w:rsidR="00D97AC0" w:rsidRPr="0055645F" w14:paraId="06026297" w14:textId="77777777">
      <w:pPr>
        <w:ind w:firstLine="360"/>
        <w:jc w:val="center"/>
        <w:rPr>
          <w:sz w:val="28"/>
          <w:szCs w:val="28"/>
        </w:rPr>
      </w:pPr>
    </w:p>
    <w:p w:rsidR="00D97AC0" w:rsidRPr="0055645F" w14:paraId="248CFB5F" w14:textId="77777777">
      <w:pPr>
        <w:jc w:val="center"/>
        <w:rPr>
          <w:b/>
          <w:bCs/>
          <w:sz w:val="28"/>
          <w:szCs w:val="28"/>
        </w:rPr>
      </w:pPr>
      <w:r>
        <w:rPr>
          <w:b/>
          <w:bCs/>
          <w:sz w:val="28"/>
          <w:szCs w:val="28"/>
        </w:rPr>
        <w:t xml:space="preserve">Brokering </w:t>
      </w:r>
      <w:r w:rsidRPr="0055645F">
        <w:rPr>
          <w:b/>
          <w:bCs/>
          <w:sz w:val="28"/>
          <w:szCs w:val="28"/>
        </w:rPr>
        <w:t xml:space="preserve">Prior Approval </w:t>
      </w:r>
      <w:r>
        <w:rPr>
          <w:b/>
          <w:bCs/>
          <w:sz w:val="28"/>
          <w:szCs w:val="28"/>
        </w:rPr>
        <w:t>(License)</w:t>
      </w:r>
    </w:p>
    <w:p w:rsidR="00E46282" w:rsidRPr="0055645F" w14:paraId="4F942E0C" w14:textId="77777777">
      <w:pPr>
        <w:jc w:val="center"/>
        <w:rPr>
          <w:b/>
          <w:bCs/>
          <w:sz w:val="28"/>
          <w:szCs w:val="28"/>
        </w:rPr>
      </w:pPr>
      <w:r w:rsidRPr="0055645F">
        <w:rPr>
          <w:b/>
          <w:bCs/>
          <w:sz w:val="28"/>
          <w:szCs w:val="28"/>
        </w:rPr>
        <w:t>OMB No. 1405-0142</w:t>
      </w:r>
    </w:p>
    <w:p w:rsidR="00D97AC0" w:rsidRPr="0055645F" w14:paraId="02B76797" w14:textId="77777777">
      <w:pPr>
        <w:rPr>
          <w:sz w:val="28"/>
          <w:szCs w:val="28"/>
        </w:rPr>
      </w:pPr>
    </w:p>
    <w:p w:rsidR="00D97AC0" w:rsidRPr="0055645F" w14:paraId="510DCE8A" w14:textId="77777777">
      <w:pPr>
        <w:pStyle w:val="Heading2"/>
        <w:jc w:val="left"/>
        <w:rPr>
          <w:color w:val="auto"/>
          <w:sz w:val="28"/>
          <w:szCs w:val="28"/>
        </w:rPr>
      </w:pPr>
      <w:r w:rsidRPr="0055645F">
        <w:rPr>
          <w:color w:val="auto"/>
          <w:sz w:val="28"/>
          <w:szCs w:val="28"/>
        </w:rPr>
        <w:t>A.  Justification</w:t>
      </w:r>
    </w:p>
    <w:p w:rsidR="00D97AC0" w:rsidRPr="0055645F" w14:paraId="19B9774D" w14:textId="77777777">
      <w:pPr>
        <w:jc w:val="center"/>
        <w:rPr>
          <w:b/>
          <w:sz w:val="28"/>
          <w:szCs w:val="28"/>
        </w:rPr>
      </w:pPr>
    </w:p>
    <w:p w:rsidR="00020DA9" w:rsidRPr="007F559F" w:rsidP="00020DA9" w14:paraId="7B22966B" w14:textId="77777777">
      <w:pPr>
        <w:pStyle w:val="BodyText2"/>
        <w:rPr>
          <w:szCs w:val="28"/>
        </w:rPr>
      </w:pPr>
      <w:r w:rsidRPr="0055645F">
        <w:rPr>
          <w:szCs w:val="28"/>
        </w:rPr>
        <w:t xml:space="preserve">1. </w:t>
      </w:r>
      <w:r w:rsidRPr="0055645F">
        <w:rPr>
          <w:szCs w:val="28"/>
        </w:rPr>
        <w:tab/>
      </w:r>
      <w:r w:rsidRPr="00820E94">
        <w:rPr>
          <w:szCs w:val="28"/>
        </w:rPr>
        <w:t xml:space="preserve">The Directorate of Defense Trade Controls (DDTC), Bureau of Political-Military Affairs, U.S. Department of State, in accordance with the Arms Export Control Act (AECA) (22 U.S.C. 2751 </w:t>
      </w:r>
      <w:r w:rsidRPr="002414A6">
        <w:rPr>
          <w:i/>
          <w:szCs w:val="28"/>
        </w:rPr>
        <w:t>et seq</w:t>
      </w:r>
      <w:r w:rsidRPr="00820E94">
        <w:rPr>
          <w:szCs w:val="28"/>
        </w:rPr>
        <w:t>.)</w:t>
      </w:r>
      <w:r>
        <w:rPr>
          <w:szCs w:val="28"/>
        </w:rPr>
        <w:t>,</w:t>
      </w:r>
      <w:r w:rsidRPr="00820E94">
        <w:rPr>
          <w:szCs w:val="28"/>
        </w:rPr>
        <w:t xml:space="preserve"> the International Traffic in Arms Regulations (ITAR) (22 CFR </w:t>
      </w:r>
      <w:r>
        <w:rPr>
          <w:szCs w:val="28"/>
        </w:rPr>
        <w:t>p</w:t>
      </w:r>
      <w:r w:rsidRPr="00820E94">
        <w:rPr>
          <w:szCs w:val="28"/>
        </w:rPr>
        <w:t xml:space="preserve">arts 120-130), </w:t>
      </w:r>
      <w:r>
        <w:rPr>
          <w:szCs w:val="28"/>
        </w:rPr>
        <w:t xml:space="preserve">and associated delegations of authority, </w:t>
      </w:r>
      <w:r w:rsidRPr="00820E94">
        <w:rPr>
          <w:szCs w:val="28"/>
        </w:rPr>
        <w:t xml:space="preserve">has the principal missions of </w:t>
      </w:r>
      <w:r>
        <w:rPr>
          <w:szCs w:val="28"/>
        </w:rPr>
        <w:t xml:space="preserve">promulgating regulations for the import and export of defense articles and defense services; </w:t>
      </w:r>
      <w:r w:rsidRPr="00820E94">
        <w:rPr>
          <w:szCs w:val="28"/>
        </w:rPr>
        <w:t>taking final action on license applications and other requests for defense trade transactions via commercial channels</w:t>
      </w:r>
      <w:r>
        <w:rPr>
          <w:szCs w:val="28"/>
        </w:rPr>
        <w:t>;</w:t>
      </w:r>
      <w:r w:rsidRPr="00820E94">
        <w:rPr>
          <w:szCs w:val="28"/>
        </w:rPr>
        <w:t xml:space="preserve"> ensuring compliance with the statute and regulation</w:t>
      </w:r>
      <w:r>
        <w:rPr>
          <w:szCs w:val="28"/>
        </w:rPr>
        <w:t>s;</w:t>
      </w:r>
      <w:r w:rsidRPr="00820E94">
        <w:rPr>
          <w:szCs w:val="28"/>
        </w:rPr>
        <w:t xml:space="preserve"> and collecting </w:t>
      </w:r>
      <w:r>
        <w:rPr>
          <w:szCs w:val="28"/>
        </w:rPr>
        <w:t xml:space="preserve">information for </w:t>
      </w:r>
      <w:r w:rsidRPr="00820E94">
        <w:rPr>
          <w:szCs w:val="28"/>
        </w:rPr>
        <w:t>various types of reports</w:t>
      </w:r>
      <w:r>
        <w:rPr>
          <w:szCs w:val="28"/>
        </w:rPr>
        <w:t xml:space="preserve"> that are submitted to Congress</w:t>
      </w:r>
      <w:r w:rsidRPr="00820E94">
        <w:rPr>
          <w:szCs w:val="28"/>
        </w:rPr>
        <w:t>.  By statute, Executive Order, regulation, and delegation of authority, DDTC is charged with controlling the export and temporary import of defense articles</w:t>
      </w:r>
      <w:r>
        <w:rPr>
          <w:szCs w:val="28"/>
        </w:rPr>
        <w:t>, the</w:t>
      </w:r>
      <w:r w:rsidRPr="00820E94">
        <w:rPr>
          <w:szCs w:val="28"/>
        </w:rPr>
        <w:t xml:space="preserve"> provision of defense services</w:t>
      </w:r>
      <w:r>
        <w:rPr>
          <w:szCs w:val="28"/>
        </w:rPr>
        <w:t>,</w:t>
      </w:r>
      <w:r w:rsidRPr="00820E94">
        <w:rPr>
          <w:szCs w:val="28"/>
        </w:rPr>
        <w:t xml:space="preserve"> </w:t>
      </w:r>
      <w:r>
        <w:rPr>
          <w:szCs w:val="28"/>
        </w:rPr>
        <w:t>and the brokering of such items</w:t>
      </w:r>
      <w:r w:rsidRPr="00820E94">
        <w:rPr>
          <w:szCs w:val="28"/>
        </w:rPr>
        <w:t>.</w:t>
      </w:r>
    </w:p>
    <w:p w:rsidR="00020DA9" w:rsidRPr="007F559F" w:rsidP="00020DA9" w14:paraId="78F171B7" w14:textId="77777777">
      <w:pPr>
        <w:rPr>
          <w:sz w:val="28"/>
          <w:szCs w:val="28"/>
        </w:rPr>
      </w:pPr>
    </w:p>
    <w:p w:rsidR="00020DA9" w:rsidRPr="007F559F" w:rsidP="00020DA9" w14:paraId="61A47A95" w14:textId="77777777">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sidR="003A4BD6">
        <w:rPr>
          <w:sz w:val="28"/>
          <w:szCs w:val="28"/>
        </w:rPr>
        <w:t>Defense Trade Controls</w:t>
      </w:r>
      <w:r>
        <w:rPr>
          <w:sz w:val="28"/>
          <w:szCs w:val="28"/>
        </w:rPr>
        <w:t>.</w:t>
      </w:r>
    </w:p>
    <w:p w:rsidR="00020DA9" w:rsidRPr="007F559F" w:rsidP="00020DA9" w14:paraId="7DFF7EC4" w14:textId="77777777">
      <w:pPr>
        <w:rPr>
          <w:sz w:val="28"/>
          <w:szCs w:val="28"/>
        </w:rPr>
      </w:pPr>
    </w:p>
    <w:p w:rsidR="00020DA9" w:rsidRPr="007F559F" w:rsidP="00020DA9" w14:paraId="4DAF20D6" w14:textId="77777777">
      <w:pPr>
        <w:rPr>
          <w:sz w:val="28"/>
          <w:szCs w:val="28"/>
        </w:rPr>
      </w:pPr>
      <w:r>
        <w:rPr>
          <w:sz w:val="28"/>
          <w:szCs w:val="28"/>
        </w:rPr>
        <w:tab/>
        <w:t>DDTC</w:t>
      </w:r>
      <w:r w:rsidRPr="00D81AD0">
        <w:rPr>
          <w:sz w:val="28"/>
          <w:szCs w:val="28"/>
        </w:rPr>
        <w:t xml:space="preserve"> review</w:t>
      </w:r>
      <w:r>
        <w:rPr>
          <w:sz w:val="28"/>
          <w:szCs w:val="28"/>
        </w:rPr>
        <w:t>s</w:t>
      </w:r>
      <w:r w:rsidRPr="00D81AD0">
        <w:rPr>
          <w:sz w:val="28"/>
          <w:szCs w:val="28"/>
        </w:rPr>
        <w:t xml:space="preserve"> license </w:t>
      </w:r>
      <w:r>
        <w:rPr>
          <w:sz w:val="28"/>
          <w:szCs w:val="28"/>
        </w:rPr>
        <w:t xml:space="preserve">applications </w:t>
      </w:r>
      <w:r w:rsidRPr="00D81AD0">
        <w:rPr>
          <w:sz w:val="28"/>
          <w:szCs w:val="28"/>
        </w:rPr>
        <w:t xml:space="preserve">and technical assistance and manufacturing license agreement </w:t>
      </w:r>
      <w:r>
        <w:rPr>
          <w:sz w:val="28"/>
          <w:szCs w:val="28"/>
        </w:rPr>
        <w:t>requests</w:t>
      </w:r>
      <w:r w:rsidRPr="00D81AD0">
        <w:rPr>
          <w:sz w:val="28"/>
          <w:szCs w:val="28"/>
        </w:rPr>
        <w:t xml:space="preserve"> to determine, </w:t>
      </w:r>
      <w:r w:rsidRPr="00D81AD0">
        <w:rPr>
          <w:i/>
          <w:sz w:val="28"/>
          <w:szCs w:val="28"/>
        </w:rPr>
        <w:t>inter alia</w:t>
      </w:r>
      <w:r w:rsidRPr="00D81AD0">
        <w:rPr>
          <w:sz w:val="28"/>
          <w:szCs w:val="28"/>
        </w:rPr>
        <w:t>:</w:t>
      </w:r>
    </w:p>
    <w:p w:rsidR="00020DA9" w:rsidRPr="007F559F" w:rsidP="00020DA9" w14:paraId="528B807E" w14:textId="77777777">
      <w:pPr>
        <w:rPr>
          <w:sz w:val="28"/>
          <w:szCs w:val="28"/>
        </w:rPr>
      </w:pPr>
    </w:p>
    <w:p w:rsidR="00020DA9" w:rsidRPr="007F559F" w:rsidP="00020DA9" w14:paraId="4CCD37F1" w14:textId="77777777">
      <w:pPr>
        <w:numPr>
          <w:ilvl w:val="0"/>
          <w:numId w:val="1"/>
        </w:numPr>
        <w:rPr>
          <w:sz w:val="28"/>
          <w:szCs w:val="28"/>
        </w:rPr>
      </w:pPr>
      <w:r w:rsidRPr="007F559F">
        <w:rPr>
          <w:sz w:val="28"/>
          <w:szCs w:val="28"/>
        </w:rPr>
        <w:t xml:space="preserve">Whether the transactions further </w:t>
      </w:r>
      <w:smartTag w:uri="urn:schemas-microsoft-com:office:smarttags" w:element="place">
        <w:smartTag w:uri="urn:schemas-microsoft-com:office:smarttags" w:element="country-region">
          <w:r w:rsidRPr="007F559F">
            <w:rPr>
              <w:sz w:val="28"/>
              <w:szCs w:val="28"/>
            </w:rPr>
            <w:t>U.S.</w:t>
          </w:r>
        </w:smartTag>
      </w:smartTag>
      <w:r w:rsidRPr="007F559F">
        <w:rPr>
          <w:sz w:val="28"/>
          <w:szCs w:val="28"/>
        </w:rPr>
        <w:t xml:space="preserve"> foreign policy objectives, national security interests, and world peace;</w:t>
      </w:r>
    </w:p>
    <w:p w:rsidR="00020DA9" w:rsidRPr="007F559F" w:rsidP="00020DA9" w14:paraId="77E7EE0A" w14:textId="77777777">
      <w:pPr>
        <w:rPr>
          <w:sz w:val="28"/>
          <w:szCs w:val="28"/>
        </w:rPr>
      </w:pPr>
    </w:p>
    <w:p w:rsidR="00020DA9" w:rsidRPr="007F559F" w:rsidP="00020DA9" w14:paraId="17A3FF81" w14:textId="77777777">
      <w:pPr>
        <w:numPr>
          <w:ilvl w:val="0"/>
          <w:numId w:val="2"/>
        </w:numPr>
        <w:rPr>
          <w:sz w:val="28"/>
          <w:szCs w:val="28"/>
        </w:rPr>
      </w:pPr>
      <w:r w:rsidRPr="007F559F">
        <w:rPr>
          <w:sz w:val="28"/>
          <w:szCs w:val="28"/>
        </w:rPr>
        <w:t>Eligibility of parties (</w:t>
      </w:r>
      <w:r w:rsidRPr="007F559F">
        <w:rPr>
          <w:i/>
          <w:sz w:val="28"/>
          <w:szCs w:val="28"/>
        </w:rPr>
        <w:t>e.g.</w:t>
      </w:r>
      <w:r w:rsidRPr="007F559F">
        <w:rPr>
          <w:sz w:val="28"/>
          <w:szCs w:val="28"/>
        </w:rPr>
        <w:t xml:space="preserve">, applicants, consignees, end-users) to participate in </w:t>
      </w:r>
      <w:smartTag w:uri="urn:schemas-microsoft-com:office:smarttags" w:element="place">
        <w:smartTag w:uri="urn:schemas-microsoft-com:office:smarttags" w:element="country-region">
          <w:r w:rsidRPr="007F559F">
            <w:rPr>
              <w:sz w:val="28"/>
              <w:szCs w:val="28"/>
            </w:rPr>
            <w:t>U.S.</w:t>
          </w:r>
        </w:smartTag>
      </w:smartTag>
      <w:r w:rsidRPr="007F559F">
        <w:rPr>
          <w:sz w:val="28"/>
          <w:szCs w:val="28"/>
        </w:rPr>
        <w:t xml:space="preserve"> defense trade;</w:t>
      </w:r>
    </w:p>
    <w:p w:rsidR="00020DA9" w:rsidRPr="007F559F" w:rsidP="00020DA9" w14:paraId="098DB3BC" w14:textId="77777777">
      <w:pPr>
        <w:rPr>
          <w:sz w:val="28"/>
          <w:szCs w:val="28"/>
        </w:rPr>
      </w:pPr>
    </w:p>
    <w:p w:rsidR="00020DA9" w:rsidRPr="007F559F" w:rsidP="00020DA9" w14:paraId="1C34EBCC" w14:textId="77777777">
      <w:pPr>
        <w:numPr>
          <w:ilvl w:val="0"/>
          <w:numId w:val="3"/>
        </w:numPr>
        <w:rPr>
          <w:sz w:val="28"/>
          <w:szCs w:val="28"/>
        </w:rPr>
      </w:pPr>
      <w:r w:rsidRPr="007F559F">
        <w:rPr>
          <w:sz w:val="28"/>
          <w:szCs w:val="28"/>
        </w:rPr>
        <w:t xml:space="preserve">Appropriate end-use of commodities subject to U. S. Government approval of munitions exports and transfers; </w:t>
      </w:r>
    </w:p>
    <w:p w:rsidR="00020DA9" w:rsidRPr="007F559F" w:rsidP="00020DA9" w14:paraId="3546A2F0" w14:textId="77777777">
      <w:pPr>
        <w:rPr>
          <w:sz w:val="28"/>
          <w:szCs w:val="28"/>
        </w:rPr>
      </w:pPr>
    </w:p>
    <w:p w:rsidR="00020DA9" w:rsidRPr="007F559F" w:rsidP="00020DA9" w14:paraId="71E5A302" w14:textId="77777777">
      <w:pPr>
        <w:numPr>
          <w:ilvl w:val="0"/>
          <w:numId w:val="12"/>
        </w:numPr>
        <w:rPr>
          <w:sz w:val="28"/>
          <w:szCs w:val="28"/>
        </w:rPr>
      </w:pPr>
      <w:r w:rsidRPr="007F559F">
        <w:rPr>
          <w:sz w:val="28"/>
          <w:szCs w:val="28"/>
        </w:rPr>
        <w:t>Whether law enforcement concerns have been adequately addressed; and</w:t>
      </w:r>
    </w:p>
    <w:p w:rsidR="00020DA9" w:rsidRPr="007F559F" w:rsidP="00020DA9" w14:paraId="11AB6B0E" w14:textId="77777777">
      <w:pPr>
        <w:rPr>
          <w:sz w:val="28"/>
          <w:szCs w:val="28"/>
        </w:rPr>
      </w:pPr>
    </w:p>
    <w:p w:rsidR="00020DA9" w:rsidRPr="002B2345" w:rsidP="00020DA9" w14:paraId="7836BE24" w14:textId="77777777">
      <w:pPr>
        <w:numPr>
          <w:ilvl w:val="0"/>
          <w:numId w:val="11"/>
        </w:numPr>
        <w:rPr>
          <w:sz w:val="28"/>
          <w:szCs w:val="28"/>
        </w:rPr>
      </w:pPr>
      <w:r w:rsidRPr="00D81AD0">
        <w:rPr>
          <w:sz w:val="28"/>
          <w:szCs w:val="28"/>
        </w:rPr>
        <w:t>Whether appropriate offers or payment of political contributions, gifts, commissions, and fees, have been adequately addressed.</w:t>
      </w:r>
    </w:p>
    <w:p w:rsidR="006D7EAD" w:rsidRPr="0055645F" w:rsidP="0045291D" w14:paraId="672964E9" w14:textId="77777777">
      <w:pPr>
        <w:ind w:firstLine="720"/>
        <w:jc w:val="center"/>
        <w:rPr>
          <w:sz w:val="28"/>
          <w:szCs w:val="28"/>
        </w:rPr>
      </w:pPr>
    </w:p>
    <w:p w:rsidR="00D97AC0" w:rsidRPr="0055645F" w:rsidP="006D7EAD" w14:paraId="3A1125F9" w14:textId="77777777">
      <w:pPr>
        <w:ind w:firstLine="720"/>
        <w:rPr>
          <w:sz w:val="28"/>
          <w:szCs w:val="28"/>
        </w:rPr>
      </w:pPr>
      <w:r>
        <w:rPr>
          <w:sz w:val="28"/>
          <w:szCs w:val="28"/>
        </w:rPr>
        <w:t>In accordance with p</w:t>
      </w:r>
      <w:r w:rsidR="0045291D">
        <w:rPr>
          <w:sz w:val="28"/>
          <w:szCs w:val="28"/>
        </w:rPr>
        <w:t>art 129 of the ITAR</w:t>
      </w:r>
      <w:r w:rsidRPr="0055645F">
        <w:rPr>
          <w:sz w:val="28"/>
          <w:szCs w:val="28"/>
        </w:rPr>
        <w:t xml:space="preserve">, </w:t>
      </w:r>
      <w:r w:rsidR="008A73BA">
        <w:rPr>
          <w:sz w:val="28"/>
          <w:szCs w:val="28"/>
        </w:rPr>
        <w:t xml:space="preserve">U.S. and foreign </w:t>
      </w:r>
      <w:r w:rsidRPr="0055645F">
        <w:rPr>
          <w:sz w:val="28"/>
          <w:szCs w:val="28"/>
        </w:rPr>
        <w:t xml:space="preserve">persons who wish to engage in </w:t>
      </w:r>
      <w:r w:rsidR="008A73BA">
        <w:rPr>
          <w:sz w:val="28"/>
          <w:szCs w:val="28"/>
        </w:rPr>
        <w:t xml:space="preserve">ITAR-controlled </w:t>
      </w:r>
      <w:r w:rsidRPr="0055645F">
        <w:rPr>
          <w:sz w:val="28"/>
          <w:szCs w:val="28"/>
        </w:rPr>
        <w:t>brokering</w:t>
      </w:r>
      <w:r w:rsidR="004F6632">
        <w:rPr>
          <w:sz w:val="28"/>
          <w:szCs w:val="28"/>
        </w:rPr>
        <w:t xml:space="preserve"> </w:t>
      </w:r>
      <w:r w:rsidR="008A73BA">
        <w:rPr>
          <w:sz w:val="28"/>
          <w:szCs w:val="28"/>
        </w:rPr>
        <w:t xml:space="preserve">activity </w:t>
      </w:r>
      <w:r w:rsidR="004F6632">
        <w:rPr>
          <w:sz w:val="28"/>
          <w:szCs w:val="28"/>
        </w:rPr>
        <w:t>of defense articles and defense services</w:t>
      </w:r>
      <w:r w:rsidRPr="0055645F">
        <w:rPr>
          <w:sz w:val="28"/>
          <w:szCs w:val="28"/>
        </w:rPr>
        <w:t xml:space="preserve"> </w:t>
      </w:r>
      <w:r w:rsidR="008A73BA">
        <w:rPr>
          <w:sz w:val="28"/>
          <w:szCs w:val="28"/>
        </w:rPr>
        <w:t xml:space="preserve">must first register with DDTC.  </w:t>
      </w:r>
      <w:r w:rsidR="006B7EF2">
        <w:rPr>
          <w:sz w:val="28"/>
          <w:szCs w:val="28"/>
        </w:rPr>
        <w:t xml:space="preserve">Brokers </w:t>
      </w:r>
      <w:r w:rsidRPr="0055645F">
        <w:rPr>
          <w:sz w:val="28"/>
          <w:szCs w:val="28"/>
        </w:rPr>
        <w:t xml:space="preserve">must </w:t>
      </w:r>
      <w:r w:rsidR="006B7EF2">
        <w:rPr>
          <w:sz w:val="28"/>
          <w:szCs w:val="28"/>
        </w:rPr>
        <w:t xml:space="preserve">then </w:t>
      </w:r>
      <w:r w:rsidRPr="0055645F">
        <w:rPr>
          <w:sz w:val="28"/>
          <w:szCs w:val="28"/>
        </w:rPr>
        <w:t xml:space="preserve">submit a written request for approval to DDTC and </w:t>
      </w:r>
      <w:r w:rsidR="00EC01AE">
        <w:rPr>
          <w:sz w:val="28"/>
          <w:szCs w:val="28"/>
        </w:rPr>
        <w:t xml:space="preserve">must </w:t>
      </w:r>
      <w:r w:rsidRPr="0055645F">
        <w:rPr>
          <w:sz w:val="28"/>
          <w:szCs w:val="28"/>
        </w:rPr>
        <w:t>receive DDTC’s consent prior to engaging in such activities unless exempted.</w:t>
      </w:r>
    </w:p>
    <w:p w:rsidR="00D97AC0" w:rsidRPr="0055645F" w14:paraId="3EEA8771" w14:textId="77777777">
      <w:pPr>
        <w:ind w:firstLine="360"/>
        <w:rPr>
          <w:sz w:val="28"/>
          <w:szCs w:val="28"/>
        </w:rPr>
      </w:pPr>
    </w:p>
    <w:p w:rsidR="00D97AC0" w14:paraId="465AC68D" w14:textId="77777777">
      <w:pPr>
        <w:rPr>
          <w:sz w:val="28"/>
          <w:szCs w:val="28"/>
        </w:rPr>
      </w:pPr>
      <w:r w:rsidRPr="0055645F">
        <w:rPr>
          <w:sz w:val="28"/>
          <w:szCs w:val="28"/>
        </w:rPr>
        <w:t>2</w:t>
      </w:r>
      <w:r w:rsidRPr="0055645F">
        <w:rPr>
          <w:sz w:val="28"/>
          <w:szCs w:val="28"/>
        </w:rPr>
        <w:t xml:space="preserve">.  </w:t>
      </w:r>
      <w:r w:rsidRPr="0055645F">
        <w:rPr>
          <w:sz w:val="28"/>
          <w:szCs w:val="28"/>
        </w:rPr>
        <w:tab/>
      </w:r>
      <w:r w:rsidRPr="0055645F">
        <w:rPr>
          <w:sz w:val="28"/>
          <w:szCs w:val="28"/>
        </w:rPr>
        <w:t xml:space="preserve">DDTC uses the information </w:t>
      </w:r>
      <w:r w:rsidRPr="0055645F">
        <w:rPr>
          <w:sz w:val="28"/>
          <w:szCs w:val="28"/>
        </w:rPr>
        <w:t xml:space="preserve">provided by </w:t>
      </w:r>
      <w:r w:rsidR="00253561">
        <w:rPr>
          <w:sz w:val="28"/>
          <w:szCs w:val="28"/>
        </w:rPr>
        <w:t>respondents</w:t>
      </w:r>
      <w:r w:rsidRPr="0055645F">
        <w:rPr>
          <w:sz w:val="28"/>
          <w:szCs w:val="28"/>
        </w:rPr>
        <w:t xml:space="preserve"> </w:t>
      </w:r>
      <w:r w:rsidRPr="0055645F">
        <w:rPr>
          <w:sz w:val="28"/>
          <w:szCs w:val="28"/>
        </w:rPr>
        <w:t xml:space="preserve">to meet the mandate described in item 1 above.  As appropriate, such information may be shared with other U.S. Government entities.  This information is currently used in the review of the brokering request submitted for approval and to ensure compliance </w:t>
      </w:r>
      <w:r w:rsidRPr="0055645F">
        <w:rPr>
          <w:sz w:val="28"/>
          <w:szCs w:val="28"/>
        </w:rPr>
        <w:t>with defense</w:t>
      </w:r>
      <w:r w:rsidRPr="0055645F">
        <w:rPr>
          <w:sz w:val="28"/>
          <w:szCs w:val="28"/>
        </w:rPr>
        <w:t xml:space="preserve"> trade </w:t>
      </w:r>
      <w:r w:rsidR="00EC01AE">
        <w:rPr>
          <w:sz w:val="28"/>
          <w:szCs w:val="28"/>
        </w:rPr>
        <w:t>statute</w:t>
      </w:r>
      <w:r w:rsidRPr="0055645F">
        <w:rPr>
          <w:sz w:val="28"/>
          <w:szCs w:val="28"/>
        </w:rPr>
        <w:t xml:space="preserve">s and regulations.  It is also used to monitor and control the transfer of sensitive </w:t>
      </w:r>
      <w:smartTag w:uri="urn:schemas-microsoft-com:office:smarttags" w:element="place">
        <w:smartTag w:uri="urn:schemas-microsoft-com:office:smarttags" w:element="country-region">
          <w:r w:rsidRPr="0055645F">
            <w:rPr>
              <w:sz w:val="28"/>
              <w:szCs w:val="28"/>
            </w:rPr>
            <w:t>U.S.</w:t>
          </w:r>
        </w:smartTag>
      </w:smartTag>
      <w:r w:rsidRPr="0055645F">
        <w:rPr>
          <w:sz w:val="28"/>
          <w:szCs w:val="28"/>
        </w:rPr>
        <w:t xml:space="preserve"> technology.</w:t>
      </w:r>
    </w:p>
    <w:p w:rsidR="00486CAD" w14:paraId="237FFA86" w14:textId="77777777">
      <w:pPr>
        <w:rPr>
          <w:sz w:val="28"/>
          <w:szCs w:val="28"/>
        </w:rPr>
      </w:pPr>
    </w:p>
    <w:p w:rsidR="00D97AC0" w:rsidRPr="0055645F" w14:paraId="7FBA9E59" w14:textId="77777777">
      <w:pPr>
        <w:rPr>
          <w:sz w:val="28"/>
          <w:szCs w:val="28"/>
        </w:rPr>
      </w:pPr>
      <w:r w:rsidRPr="0055645F">
        <w:rPr>
          <w:sz w:val="28"/>
          <w:szCs w:val="28"/>
        </w:rPr>
        <w:t>3</w:t>
      </w:r>
      <w:r w:rsidRPr="0055645F">
        <w:rPr>
          <w:sz w:val="28"/>
          <w:szCs w:val="28"/>
        </w:rPr>
        <w:t xml:space="preserve">.  </w:t>
      </w:r>
      <w:r w:rsidRPr="0055645F">
        <w:rPr>
          <w:sz w:val="28"/>
          <w:szCs w:val="28"/>
        </w:rPr>
        <w:tab/>
      </w:r>
      <w:r w:rsidRPr="00140568" w:rsidR="00861388">
        <w:rPr>
          <w:sz w:val="28"/>
          <w:szCs w:val="28"/>
        </w:rPr>
        <w:t xml:space="preserve">Applicants are referred to ITAR </w:t>
      </w:r>
      <w:r w:rsidR="004115AF">
        <w:rPr>
          <w:sz w:val="28"/>
          <w:szCs w:val="28"/>
        </w:rPr>
        <w:t xml:space="preserve">part </w:t>
      </w:r>
      <w:r w:rsidRPr="00140568" w:rsidR="00861388">
        <w:rPr>
          <w:sz w:val="28"/>
          <w:szCs w:val="28"/>
        </w:rPr>
        <w:t xml:space="preserve">129 for guidance on information to submit regarding proposed brokering activity.  </w:t>
      </w:r>
      <w:r w:rsidR="00380577">
        <w:rPr>
          <w:sz w:val="28"/>
          <w:szCs w:val="28"/>
        </w:rPr>
        <w:t>A</w:t>
      </w:r>
      <w:r w:rsidR="00020DA9">
        <w:rPr>
          <w:sz w:val="28"/>
          <w:szCs w:val="28"/>
        </w:rPr>
        <w:t xml:space="preserve"> DS-4294 </w:t>
      </w:r>
      <w:r w:rsidR="004271B5">
        <w:rPr>
          <w:sz w:val="28"/>
          <w:szCs w:val="28"/>
        </w:rPr>
        <w:t>may</w:t>
      </w:r>
      <w:r w:rsidR="00020DA9">
        <w:rPr>
          <w:sz w:val="28"/>
          <w:szCs w:val="28"/>
        </w:rPr>
        <w:t xml:space="preserve"> be submitted electronically</w:t>
      </w:r>
      <w:r w:rsidR="00380577">
        <w:rPr>
          <w:sz w:val="28"/>
          <w:szCs w:val="28"/>
        </w:rPr>
        <w:t xml:space="preserve"> via The Defense Export Control and Compliance System (DECCS)</w:t>
      </w:r>
      <w:r w:rsidR="00020DA9">
        <w:rPr>
          <w:sz w:val="28"/>
          <w:szCs w:val="28"/>
        </w:rPr>
        <w:t>.  A</w:t>
      </w:r>
      <w:r w:rsidRPr="00A45A7D" w:rsidR="00861388">
        <w:rPr>
          <w:sz w:val="28"/>
          <w:szCs w:val="28"/>
        </w:rPr>
        <w:t>pplicant</w:t>
      </w:r>
      <w:r w:rsidR="00020DA9">
        <w:rPr>
          <w:sz w:val="28"/>
          <w:szCs w:val="28"/>
        </w:rPr>
        <w:t>s</w:t>
      </w:r>
      <w:r w:rsidRPr="00A45A7D" w:rsidR="00861388">
        <w:rPr>
          <w:sz w:val="28"/>
          <w:szCs w:val="28"/>
        </w:rPr>
        <w:t xml:space="preserve"> </w:t>
      </w:r>
      <w:r w:rsidR="00380577">
        <w:rPr>
          <w:sz w:val="28"/>
          <w:szCs w:val="28"/>
        </w:rPr>
        <w:t>are</w:t>
      </w:r>
      <w:r w:rsidRPr="00A45A7D" w:rsidR="00861388">
        <w:rPr>
          <w:sz w:val="28"/>
          <w:szCs w:val="28"/>
        </w:rPr>
        <w:t xml:space="preserve"> able to</w:t>
      </w:r>
      <w:r w:rsidRPr="00A45A7D" w:rsidR="00861388">
        <w:rPr>
          <w:sz w:val="28"/>
          <w:szCs w:val="28"/>
        </w:rPr>
        <w:t xml:space="preserve"> </w:t>
      </w:r>
      <w:r w:rsidR="004115AF">
        <w:rPr>
          <w:sz w:val="28"/>
          <w:szCs w:val="28"/>
        </w:rPr>
        <w:t xml:space="preserve">access </w:t>
      </w:r>
      <w:r w:rsidR="00020DA9">
        <w:rPr>
          <w:sz w:val="28"/>
          <w:szCs w:val="28"/>
        </w:rPr>
        <w:t>the DS-4294</w:t>
      </w:r>
      <w:r w:rsidR="004115AF">
        <w:rPr>
          <w:sz w:val="28"/>
          <w:szCs w:val="28"/>
        </w:rPr>
        <w:t xml:space="preserve"> from DDTC</w:t>
      </w:r>
      <w:r w:rsidR="00020DA9">
        <w:rPr>
          <w:sz w:val="28"/>
          <w:szCs w:val="28"/>
        </w:rPr>
        <w:t>’s</w:t>
      </w:r>
      <w:r w:rsidR="004115AF">
        <w:rPr>
          <w:sz w:val="28"/>
          <w:szCs w:val="28"/>
        </w:rPr>
        <w:t xml:space="preserve"> web</w:t>
      </w:r>
      <w:r w:rsidR="00861388">
        <w:rPr>
          <w:sz w:val="28"/>
          <w:szCs w:val="28"/>
        </w:rPr>
        <w:t xml:space="preserve">site, complete it online, and </w:t>
      </w:r>
      <w:r w:rsidRPr="00A45A7D" w:rsidR="00861388">
        <w:rPr>
          <w:sz w:val="28"/>
          <w:szCs w:val="28"/>
        </w:rPr>
        <w:t xml:space="preserve">submit </w:t>
      </w:r>
      <w:r w:rsidR="00861388">
        <w:rPr>
          <w:sz w:val="28"/>
          <w:szCs w:val="28"/>
        </w:rPr>
        <w:t>it via the Internet</w:t>
      </w:r>
      <w:r w:rsidRPr="00140568" w:rsidR="00861388">
        <w:rPr>
          <w:sz w:val="28"/>
          <w:szCs w:val="28"/>
        </w:rPr>
        <w:t>.</w:t>
      </w:r>
    </w:p>
    <w:p w:rsidR="00D97AC0" w:rsidRPr="0055645F" w14:paraId="3559BAF6" w14:textId="77777777">
      <w:pPr>
        <w:rPr>
          <w:sz w:val="28"/>
          <w:szCs w:val="28"/>
        </w:rPr>
      </w:pPr>
    </w:p>
    <w:p w:rsidR="00D97AC0" w:rsidRPr="0055645F" w14:paraId="4E66484E" w14:textId="77777777">
      <w:pPr>
        <w:rPr>
          <w:sz w:val="28"/>
          <w:szCs w:val="28"/>
        </w:rPr>
      </w:pPr>
      <w:r w:rsidRPr="0055645F">
        <w:rPr>
          <w:sz w:val="28"/>
          <w:szCs w:val="28"/>
        </w:rPr>
        <w:t xml:space="preserve">4.  </w:t>
      </w:r>
      <w:r w:rsidRPr="0055645F">
        <w:rPr>
          <w:sz w:val="28"/>
          <w:szCs w:val="28"/>
        </w:rPr>
        <w:tab/>
      </w:r>
      <w:r w:rsidRPr="00DE765F" w:rsidR="00DE765F">
        <w:rPr>
          <w:sz w:val="28"/>
          <w:szCs w:val="28"/>
        </w:rPr>
        <w:t>The Department of State is unaware of any other U.S. Government requirements that would cause U.S. industry to duplicate this reporting requirement.</w:t>
      </w:r>
    </w:p>
    <w:p w:rsidR="00D97AC0" w:rsidRPr="0055645F" w14:paraId="44F0C97A" w14:textId="77777777">
      <w:pPr>
        <w:rPr>
          <w:sz w:val="28"/>
          <w:szCs w:val="28"/>
        </w:rPr>
      </w:pPr>
    </w:p>
    <w:p w:rsidR="00D97AC0" w14:paraId="646E31CC" w14:textId="77777777">
      <w:pPr>
        <w:rPr>
          <w:sz w:val="28"/>
          <w:szCs w:val="28"/>
        </w:rPr>
      </w:pPr>
      <w:r w:rsidRPr="0055645F">
        <w:rPr>
          <w:sz w:val="28"/>
          <w:szCs w:val="28"/>
        </w:rPr>
        <w:t xml:space="preserve">5.  </w:t>
      </w:r>
      <w:r w:rsidRPr="0055645F">
        <w:rPr>
          <w:sz w:val="28"/>
          <w:szCs w:val="28"/>
        </w:rPr>
        <w:tab/>
      </w:r>
      <w:r w:rsidRPr="00DE765F" w:rsidR="00DE765F">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p>
    <w:p w:rsidR="00DE765F" w:rsidRPr="0055645F" w14:paraId="72794F33" w14:textId="77777777">
      <w:pPr>
        <w:rPr>
          <w:sz w:val="28"/>
          <w:szCs w:val="28"/>
        </w:rPr>
      </w:pPr>
    </w:p>
    <w:p w:rsidR="00D97AC0" w:rsidRPr="0055645F" w14:paraId="32E04D8A" w14:textId="77777777">
      <w:pPr>
        <w:pStyle w:val="BodyText2"/>
        <w:rPr>
          <w:szCs w:val="28"/>
        </w:rPr>
      </w:pPr>
      <w:r w:rsidRPr="0055645F">
        <w:rPr>
          <w:szCs w:val="28"/>
        </w:rPr>
        <w:t>6</w:t>
      </w:r>
      <w:r w:rsidRPr="0055645F">
        <w:rPr>
          <w:szCs w:val="28"/>
        </w:rPr>
        <w:t xml:space="preserve">.  </w:t>
      </w:r>
      <w:r w:rsidRPr="0055645F">
        <w:rPr>
          <w:szCs w:val="28"/>
        </w:rPr>
        <w:tab/>
      </w:r>
      <w:r w:rsidRPr="0055645F">
        <w:rPr>
          <w:szCs w:val="28"/>
        </w:rPr>
        <w:t xml:space="preserve">The AECA and </w:t>
      </w:r>
      <w:r w:rsidRPr="0055645F">
        <w:rPr>
          <w:szCs w:val="28"/>
        </w:rPr>
        <w:t>the ITAR</w:t>
      </w:r>
      <w:r w:rsidRPr="0055645F">
        <w:rPr>
          <w:szCs w:val="28"/>
        </w:rPr>
        <w:t xml:space="preserve"> establish the frequency of information collection.  The information required for the proper </w:t>
      </w:r>
      <w:r w:rsidR="005B792F">
        <w:rPr>
          <w:szCs w:val="28"/>
        </w:rPr>
        <w:t>assessment</w:t>
      </w:r>
      <w:r w:rsidRPr="0055645F">
        <w:rPr>
          <w:szCs w:val="28"/>
        </w:rPr>
        <w:t xml:space="preserve"> of a proposed brokering activity request is reviewed on a case-by-case basis and is specific to the transaction under consideration.  </w:t>
      </w:r>
      <w:r w:rsidRPr="00D81AD0" w:rsidR="00C90BC0">
        <w:rPr>
          <w:szCs w:val="28"/>
        </w:rPr>
        <w:t xml:space="preserve">Monitoring </w:t>
      </w:r>
      <w:r w:rsidR="00C90BC0">
        <w:rPr>
          <w:szCs w:val="28"/>
        </w:rPr>
        <w:t>brokering activity</w:t>
      </w:r>
      <w:r w:rsidRPr="00D81AD0" w:rsidR="00C90BC0">
        <w:rPr>
          <w:szCs w:val="28"/>
        </w:rPr>
        <w:t xml:space="preserve"> ensures </w:t>
      </w:r>
      <w:r w:rsidR="00C90BC0">
        <w:rPr>
          <w:szCs w:val="28"/>
        </w:rPr>
        <w:t>its consistency with</w:t>
      </w:r>
      <w:r w:rsidRPr="00D81AD0" w:rsidR="00C90BC0">
        <w:rPr>
          <w:szCs w:val="28"/>
        </w:rPr>
        <w:t xml:space="preserve"> </w:t>
      </w:r>
      <w:smartTag w:uri="urn:schemas-microsoft-com:office:smarttags" w:element="place">
        <w:smartTag w:uri="urn:schemas-microsoft-com:office:smarttags" w:element="country-region">
          <w:r w:rsidRPr="00D81AD0" w:rsidR="00C90BC0">
            <w:rPr>
              <w:szCs w:val="28"/>
            </w:rPr>
            <w:t>U.S.</w:t>
          </w:r>
        </w:smartTag>
      </w:smartTag>
      <w:r w:rsidRPr="00D81AD0" w:rsidR="00C90BC0">
        <w:rPr>
          <w:szCs w:val="28"/>
        </w:rPr>
        <w:t xml:space="preserve"> foreign policy</w:t>
      </w:r>
      <w:r w:rsidR="00C90BC0">
        <w:rPr>
          <w:szCs w:val="28"/>
        </w:rPr>
        <w:t>, national security, and</w:t>
      </w:r>
      <w:r w:rsidRPr="00D81AD0" w:rsidR="00C90BC0">
        <w:rPr>
          <w:szCs w:val="28"/>
        </w:rPr>
        <w:t xml:space="preserve"> international arms embargoes.  </w:t>
      </w:r>
      <w:r w:rsidRPr="0055645F">
        <w:rPr>
          <w:szCs w:val="28"/>
        </w:rPr>
        <w:t xml:space="preserve">It would be extremely difficult to monitor and control arms </w:t>
      </w:r>
      <w:r w:rsidRPr="0055645F">
        <w:rPr>
          <w:szCs w:val="28"/>
        </w:rPr>
        <w:t>brokering</w:t>
      </w:r>
      <w:r w:rsidRPr="0055645F">
        <w:rPr>
          <w:szCs w:val="28"/>
        </w:rPr>
        <w:t xml:space="preserve"> adequately without the required information</w:t>
      </w:r>
      <w:r w:rsidR="00C90BC0">
        <w:rPr>
          <w:szCs w:val="28"/>
        </w:rPr>
        <w:t>, or if it were provided less frequently</w:t>
      </w:r>
      <w:r w:rsidRPr="0055645F">
        <w:rPr>
          <w:szCs w:val="28"/>
        </w:rPr>
        <w:t>.</w:t>
      </w:r>
    </w:p>
    <w:p w:rsidR="00D97AC0" w:rsidRPr="0055645F" w14:paraId="620B8444" w14:textId="77777777">
      <w:pPr>
        <w:ind w:firstLine="360"/>
        <w:rPr>
          <w:sz w:val="28"/>
          <w:szCs w:val="28"/>
        </w:rPr>
      </w:pPr>
    </w:p>
    <w:p w:rsidR="00D97AC0" w:rsidRPr="0055645F" w14:paraId="6EDE1C70" w14:textId="77777777">
      <w:pPr>
        <w:rPr>
          <w:sz w:val="28"/>
          <w:szCs w:val="28"/>
        </w:rPr>
      </w:pPr>
      <w:r w:rsidRPr="0055645F">
        <w:rPr>
          <w:sz w:val="28"/>
          <w:szCs w:val="28"/>
        </w:rPr>
        <w:t>7</w:t>
      </w:r>
      <w:r w:rsidRPr="0055645F">
        <w:rPr>
          <w:sz w:val="28"/>
          <w:szCs w:val="28"/>
        </w:rPr>
        <w:t xml:space="preserve">.  </w:t>
      </w:r>
      <w:r w:rsidRPr="0055645F">
        <w:rPr>
          <w:sz w:val="28"/>
          <w:szCs w:val="28"/>
        </w:rPr>
        <w:tab/>
      </w:r>
      <w:r w:rsidRPr="0055645F">
        <w:rPr>
          <w:sz w:val="28"/>
          <w:szCs w:val="28"/>
        </w:rPr>
        <w:t xml:space="preserve">Respondents may </w:t>
      </w:r>
      <w:r w:rsidR="00BC1934">
        <w:rPr>
          <w:sz w:val="28"/>
          <w:szCs w:val="28"/>
        </w:rPr>
        <w:t>be required</w:t>
      </w:r>
      <w:r w:rsidRPr="0055645F" w:rsidR="00BC1934">
        <w:rPr>
          <w:sz w:val="28"/>
          <w:szCs w:val="28"/>
        </w:rPr>
        <w:t xml:space="preserve"> </w:t>
      </w:r>
      <w:r w:rsidRPr="0055645F">
        <w:rPr>
          <w:sz w:val="28"/>
          <w:szCs w:val="28"/>
        </w:rPr>
        <w:t xml:space="preserve">to report information to the Department more often than quarterly because they need approval on a case-by-case basis for brokering activity.  Also, </w:t>
      </w:r>
      <w:r w:rsidR="00C90BC0">
        <w:rPr>
          <w:sz w:val="28"/>
          <w:szCs w:val="28"/>
        </w:rPr>
        <w:t>the ITAR</w:t>
      </w:r>
      <w:r w:rsidR="00C90BC0">
        <w:rPr>
          <w:sz w:val="28"/>
          <w:szCs w:val="28"/>
        </w:rPr>
        <w:t xml:space="preserve"> requires that respondents</w:t>
      </w:r>
      <w:r w:rsidRPr="0055645F">
        <w:rPr>
          <w:sz w:val="28"/>
          <w:szCs w:val="28"/>
        </w:rPr>
        <w:t xml:space="preserve"> </w:t>
      </w:r>
      <w:r w:rsidR="00C90BC0">
        <w:rPr>
          <w:sz w:val="28"/>
          <w:szCs w:val="28"/>
        </w:rPr>
        <w:t>maintain</w:t>
      </w:r>
      <w:r w:rsidRPr="0055645F">
        <w:rPr>
          <w:sz w:val="28"/>
          <w:szCs w:val="28"/>
        </w:rPr>
        <w:t xml:space="preserve"> records for a minimum period of five years from the expiration of a license or written approval.</w:t>
      </w:r>
    </w:p>
    <w:p w:rsidR="00D97AC0" w:rsidRPr="0055645F" w14:paraId="59F5D891" w14:textId="77777777">
      <w:pPr>
        <w:ind w:firstLine="360"/>
        <w:rPr>
          <w:sz w:val="28"/>
          <w:szCs w:val="28"/>
        </w:rPr>
      </w:pPr>
      <w:r w:rsidRPr="0055645F">
        <w:rPr>
          <w:sz w:val="28"/>
          <w:szCs w:val="28"/>
        </w:rPr>
        <w:tab/>
      </w:r>
    </w:p>
    <w:p w:rsidR="00C90BC0" w:rsidRPr="00D81AD0" w:rsidP="00C90BC0" w14:paraId="47821176" w14:textId="77777777">
      <w:pPr>
        <w:rPr>
          <w:sz w:val="28"/>
          <w:szCs w:val="28"/>
        </w:rPr>
      </w:pPr>
      <w:r w:rsidRPr="0055645F">
        <w:rPr>
          <w:sz w:val="28"/>
          <w:szCs w:val="28"/>
        </w:rPr>
        <w:t>8</w:t>
      </w:r>
      <w:r w:rsidRPr="0055645F">
        <w:rPr>
          <w:sz w:val="28"/>
          <w:szCs w:val="28"/>
        </w:rPr>
        <w:t xml:space="preserve">.  </w:t>
      </w:r>
      <w:r w:rsidRPr="0055645F">
        <w:rPr>
          <w:sz w:val="28"/>
          <w:szCs w:val="28"/>
        </w:rPr>
        <w:tab/>
      </w:r>
      <w:r>
        <w:rPr>
          <w:sz w:val="28"/>
        </w:rPr>
        <w:t>The Department</w:t>
      </w:r>
      <w:r w:rsidR="00095285">
        <w:rPr>
          <w:sz w:val="28"/>
        </w:rPr>
        <w:t xml:space="preserve"> </w:t>
      </w:r>
      <w:r w:rsidR="00380577">
        <w:rPr>
          <w:sz w:val="28"/>
        </w:rPr>
        <w:t>publish</w:t>
      </w:r>
      <w:r w:rsidR="00095285">
        <w:rPr>
          <w:sz w:val="28"/>
        </w:rPr>
        <w:t>ed</w:t>
      </w:r>
      <w:r w:rsidR="00380577">
        <w:rPr>
          <w:sz w:val="28"/>
        </w:rPr>
        <w:t xml:space="preserve"> a 60 Day FRN soliciting public comment</w:t>
      </w:r>
      <w:r w:rsidR="00095285">
        <w:rPr>
          <w:sz w:val="28"/>
        </w:rPr>
        <w:t xml:space="preserve"> and no comments were received</w:t>
      </w:r>
      <w:r w:rsidR="00380577">
        <w:rPr>
          <w:sz w:val="28"/>
        </w:rPr>
        <w:t xml:space="preserve">. </w:t>
      </w:r>
    </w:p>
    <w:p w:rsidR="00D97AC0" w:rsidRPr="0055645F" w14:paraId="63E4AD16" w14:textId="77777777">
      <w:pPr>
        <w:rPr>
          <w:sz w:val="28"/>
          <w:szCs w:val="28"/>
        </w:rPr>
      </w:pPr>
    </w:p>
    <w:p w:rsidR="00D97AC0" w:rsidRPr="0055645F" w14:paraId="56D1214C" w14:textId="77777777">
      <w:pPr>
        <w:rPr>
          <w:sz w:val="28"/>
          <w:szCs w:val="28"/>
        </w:rPr>
      </w:pPr>
      <w:r w:rsidRPr="0055645F">
        <w:rPr>
          <w:sz w:val="28"/>
          <w:szCs w:val="28"/>
        </w:rPr>
        <w:t>9</w:t>
      </w:r>
      <w:r w:rsidRPr="0055645F">
        <w:rPr>
          <w:sz w:val="28"/>
          <w:szCs w:val="28"/>
        </w:rPr>
        <w:t xml:space="preserve">.  </w:t>
      </w:r>
      <w:r w:rsidRPr="0055645F">
        <w:rPr>
          <w:sz w:val="28"/>
          <w:szCs w:val="28"/>
        </w:rPr>
        <w:tab/>
      </w:r>
      <w:r w:rsidRPr="0055645F">
        <w:rPr>
          <w:sz w:val="28"/>
          <w:szCs w:val="28"/>
        </w:rPr>
        <w:t>No payment or gift has been or will be provided to any respondent.</w:t>
      </w:r>
    </w:p>
    <w:p w:rsidR="00D97AC0" w:rsidRPr="0055645F" w14:paraId="2FF74790" w14:textId="77777777">
      <w:pPr>
        <w:rPr>
          <w:sz w:val="28"/>
          <w:szCs w:val="28"/>
        </w:rPr>
      </w:pPr>
    </w:p>
    <w:p w:rsidR="00EB76E6" w:rsidRPr="00820E94" w:rsidP="00EB76E6" w14:paraId="3C8128D1" w14:textId="77777777">
      <w:pPr>
        <w:rPr>
          <w:sz w:val="28"/>
          <w:szCs w:val="28"/>
        </w:rPr>
      </w:pPr>
      <w:r w:rsidRPr="0055645F">
        <w:rPr>
          <w:sz w:val="28"/>
          <w:szCs w:val="28"/>
        </w:rPr>
        <w:t xml:space="preserve">10.  </w:t>
      </w:r>
      <w:r w:rsidRPr="0055645F">
        <w:rPr>
          <w:sz w:val="28"/>
          <w:szCs w:val="28"/>
        </w:rPr>
        <w:tab/>
      </w:r>
      <w:r>
        <w:rPr>
          <w:sz w:val="28"/>
          <w:szCs w:val="28"/>
        </w:rPr>
        <w:t>A privacy impact assessment (PIA) was conducted in 20</w:t>
      </w:r>
      <w:r w:rsidR="00380577">
        <w:rPr>
          <w:sz w:val="28"/>
          <w:szCs w:val="28"/>
        </w:rPr>
        <w:t>2</w:t>
      </w:r>
      <w:r w:rsidR="00573B4F">
        <w:rPr>
          <w:sz w:val="28"/>
          <w:szCs w:val="28"/>
        </w:rPr>
        <w:t>5</w:t>
      </w:r>
      <w:r>
        <w:rPr>
          <w:sz w:val="28"/>
          <w:szCs w:val="28"/>
        </w:rPr>
        <w:t xml:space="preserve"> and can be viewed at </w:t>
      </w:r>
      <w:hyperlink r:id="rId6" w:history="1">
        <w:r w:rsidRPr="0078707C">
          <w:rPr>
            <w:rStyle w:val="Hyperlink"/>
            <w:sz w:val="28"/>
            <w:szCs w:val="28"/>
          </w:rPr>
          <w:t>https://www.state.gov/privacy</w:t>
        </w:r>
      </w:hyperlink>
      <w:r>
        <w:rPr>
          <w:sz w:val="28"/>
          <w:szCs w:val="28"/>
        </w:rPr>
        <w:t xml:space="preserve">.   This collection of information is covered under STATE-42, Munitions Control Records, which is also published on </w:t>
      </w:r>
      <w:hyperlink r:id="rId6" w:history="1">
        <w:r w:rsidRPr="00705331">
          <w:rPr>
            <w:rStyle w:val="Hyperlink"/>
            <w:sz w:val="28"/>
            <w:szCs w:val="28"/>
          </w:rPr>
          <w:t>https://www.state.gov/privacy</w:t>
        </w:r>
      </w:hyperlink>
      <w:r>
        <w:rPr>
          <w:sz w:val="28"/>
          <w:szCs w:val="28"/>
        </w:rPr>
        <w:t xml:space="preserve">.  </w:t>
      </w:r>
      <w:r w:rsidRPr="00BE4A03">
        <w:rPr>
          <w:sz w:val="28"/>
          <w:szCs w:val="28"/>
        </w:rPr>
        <w:t xml:space="preserve">Respondents to this collection </w:t>
      </w:r>
      <w:r>
        <w:rPr>
          <w:sz w:val="28"/>
          <w:szCs w:val="28"/>
        </w:rPr>
        <w:t>may</w:t>
      </w:r>
      <w:r w:rsidRPr="00BE4A03">
        <w:rPr>
          <w:sz w:val="28"/>
          <w:szCs w:val="28"/>
        </w:rPr>
        <w:t xml:space="preserve"> </w:t>
      </w:r>
      <w:r>
        <w:rPr>
          <w:sz w:val="28"/>
          <w:szCs w:val="28"/>
        </w:rPr>
        <w:t>review</w:t>
      </w:r>
      <w:r w:rsidRPr="00BE4A03">
        <w:rPr>
          <w:sz w:val="28"/>
          <w:szCs w:val="28"/>
        </w:rPr>
        <w:t xml:space="preserve"> ITAR § </w:t>
      </w:r>
      <w:r w:rsidR="0020383B">
        <w:rPr>
          <w:sz w:val="28"/>
          <w:szCs w:val="28"/>
        </w:rPr>
        <w:t>120.21</w:t>
      </w:r>
      <w:r w:rsidRPr="00BE4A03">
        <w:rPr>
          <w:sz w:val="28"/>
          <w:szCs w:val="28"/>
        </w:rPr>
        <w:t xml:space="preserve">, which describes DDTC’s policy regarding </w:t>
      </w:r>
      <w:r>
        <w:rPr>
          <w:sz w:val="28"/>
          <w:szCs w:val="28"/>
        </w:rPr>
        <w:t>the disclosure of information.</w:t>
      </w:r>
    </w:p>
    <w:p w:rsidR="00D97AC0" w:rsidRPr="0055645F" w14:paraId="4207BB08" w14:textId="77777777">
      <w:pPr>
        <w:rPr>
          <w:sz w:val="28"/>
          <w:szCs w:val="28"/>
        </w:rPr>
      </w:pPr>
    </w:p>
    <w:p w:rsidR="00D97AC0" w:rsidRPr="0055645F" w14:paraId="3D9F0B55" w14:textId="77777777">
      <w:pPr>
        <w:rPr>
          <w:sz w:val="28"/>
          <w:szCs w:val="28"/>
        </w:rPr>
      </w:pPr>
      <w:r w:rsidRPr="0055645F">
        <w:rPr>
          <w:sz w:val="28"/>
          <w:szCs w:val="28"/>
        </w:rPr>
        <w:t>11</w:t>
      </w:r>
      <w:r w:rsidRPr="0055645F">
        <w:rPr>
          <w:sz w:val="28"/>
          <w:szCs w:val="28"/>
        </w:rPr>
        <w:t xml:space="preserve">.  </w:t>
      </w:r>
      <w:r w:rsidRPr="0055645F">
        <w:rPr>
          <w:sz w:val="28"/>
          <w:szCs w:val="28"/>
        </w:rPr>
        <w:tab/>
      </w:r>
      <w:r w:rsidRPr="0055645F">
        <w:rPr>
          <w:sz w:val="28"/>
          <w:szCs w:val="28"/>
        </w:rPr>
        <w:t>Th</w:t>
      </w:r>
      <w:r w:rsidR="007209EF">
        <w:rPr>
          <w:sz w:val="28"/>
          <w:szCs w:val="28"/>
        </w:rPr>
        <w:t>is collection</w:t>
      </w:r>
      <w:r w:rsidRPr="0055645F">
        <w:rPr>
          <w:sz w:val="28"/>
          <w:szCs w:val="28"/>
        </w:rPr>
        <w:t xml:space="preserve"> does not solicit any information regarding questions of a sensitive nature or matters commonly considered private.</w:t>
      </w:r>
    </w:p>
    <w:p w:rsidR="00D97AC0" w:rsidRPr="0055645F" w14:paraId="19828529" w14:textId="77777777">
      <w:pPr>
        <w:rPr>
          <w:sz w:val="28"/>
          <w:szCs w:val="28"/>
        </w:rPr>
      </w:pPr>
    </w:p>
    <w:p w:rsidR="00D97AC0" w14:paraId="3F3B4219" w14:textId="77777777">
      <w:pPr>
        <w:rPr>
          <w:sz w:val="28"/>
          <w:szCs w:val="28"/>
        </w:rPr>
      </w:pPr>
      <w:r w:rsidRPr="00DE765F">
        <w:rPr>
          <w:sz w:val="28"/>
          <w:szCs w:val="28"/>
        </w:rPr>
        <w:t xml:space="preserve">12.  </w:t>
      </w:r>
      <w:r w:rsidRPr="00DE765F">
        <w:rPr>
          <w:sz w:val="28"/>
          <w:szCs w:val="28"/>
        </w:rPr>
        <w:tab/>
        <w:t>The Department of State has reason to belie</w:t>
      </w:r>
      <w:r w:rsidR="00CB7738">
        <w:rPr>
          <w:sz w:val="28"/>
          <w:szCs w:val="28"/>
        </w:rPr>
        <w:t xml:space="preserve">ve that the information </w:t>
      </w:r>
      <w:r w:rsidRPr="00DE765F">
        <w:rPr>
          <w:sz w:val="28"/>
          <w:szCs w:val="28"/>
        </w:rPr>
        <w:t xml:space="preserve">required is already available to U.S. industry in some form due to other needs and requirements (e.g., business transactional records, tax </w:t>
      </w:r>
      <w:r w:rsidRPr="00E12418">
        <w:rPr>
          <w:sz w:val="28"/>
          <w:szCs w:val="28"/>
        </w:rPr>
        <w:t xml:space="preserve">records, quality assurance and productivity, and legal issues posed by other federal laws). An estimated </w:t>
      </w:r>
      <w:r w:rsidRPr="00E12418" w:rsidR="00E12418">
        <w:rPr>
          <w:sz w:val="28"/>
          <w:szCs w:val="28"/>
        </w:rPr>
        <w:t>1</w:t>
      </w:r>
      <w:r w:rsidR="00EA77E0">
        <w:rPr>
          <w:sz w:val="28"/>
          <w:szCs w:val="28"/>
        </w:rPr>
        <w:t xml:space="preserve">70 </w:t>
      </w:r>
      <w:r w:rsidRPr="00E12418">
        <w:rPr>
          <w:sz w:val="28"/>
          <w:szCs w:val="28"/>
        </w:rPr>
        <w:t xml:space="preserve">annual responses are expected from </w:t>
      </w:r>
      <w:r w:rsidRPr="00E12418" w:rsidR="00E12418">
        <w:rPr>
          <w:sz w:val="28"/>
          <w:szCs w:val="28"/>
        </w:rPr>
        <w:t>1</w:t>
      </w:r>
      <w:r w:rsidR="00EA77E0">
        <w:rPr>
          <w:sz w:val="28"/>
          <w:szCs w:val="28"/>
        </w:rPr>
        <w:t>70</w:t>
      </w:r>
      <w:r w:rsidRPr="00E12418">
        <w:rPr>
          <w:sz w:val="28"/>
          <w:szCs w:val="28"/>
        </w:rPr>
        <w:t xml:space="preserve"> respondents.  Frequency of response is on occasion.  The estimated time that the respondent devotes to each submission is approximately 2 hours. The estimated annual hour burden is </w:t>
      </w:r>
      <w:r w:rsidR="00EA77E0">
        <w:rPr>
          <w:sz w:val="28"/>
          <w:szCs w:val="28"/>
        </w:rPr>
        <w:t>340</w:t>
      </w:r>
      <w:r w:rsidRPr="00E12418">
        <w:rPr>
          <w:sz w:val="28"/>
          <w:szCs w:val="28"/>
        </w:rPr>
        <w:t xml:space="preserve"> hours. According to the U.S. Department of Labor Bureau of Labor Statistics website (www.bls.gov), the weighted wage rate category for a “Compliance Officer” is estimated to be $</w:t>
      </w:r>
      <w:r w:rsidR="00573B4F">
        <w:rPr>
          <w:sz w:val="28"/>
          <w:szCs w:val="28"/>
        </w:rPr>
        <w:t>81</w:t>
      </w:r>
      <w:r w:rsidRPr="00380577" w:rsidR="00380577">
        <w:rPr>
          <w:sz w:val="28"/>
          <w:szCs w:val="28"/>
        </w:rPr>
        <w:t>.7</w:t>
      </w:r>
      <w:r w:rsidR="00573B4F">
        <w:rPr>
          <w:sz w:val="28"/>
          <w:szCs w:val="28"/>
        </w:rPr>
        <w:t>2</w:t>
      </w:r>
      <w:r>
        <w:rPr>
          <w:rStyle w:val="FootnoteReference"/>
          <w:sz w:val="28"/>
          <w:szCs w:val="28"/>
        </w:rPr>
        <w:footnoteReference w:id="2"/>
      </w:r>
      <w:r w:rsidRPr="00E12418">
        <w:rPr>
          <w:sz w:val="28"/>
          <w:szCs w:val="28"/>
        </w:rPr>
        <w:t xml:space="preserve"> per hour ($</w:t>
      </w:r>
      <w:r w:rsidR="00573B4F">
        <w:rPr>
          <w:sz w:val="28"/>
          <w:szCs w:val="28"/>
        </w:rPr>
        <w:t>40</w:t>
      </w:r>
      <w:r w:rsidRPr="00380577" w:rsidR="00380577">
        <w:rPr>
          <w:sz w:val="28"/>
          <w:szCs w:val="28"/>
        </w:rPr>
        <w:t>.</w:t>
      </w:r>
      <w:r w:rsidR="00573B4F">
        <w:rPr>
          <w:sz w:val="28"/>
          <w:szCs w:val="28"/>
        </w:rPr>
        <w:t>86</w:t>
      </w:r>
      <w:r w:rsidRPr="00E12418">
        <w:rPr>
          <w:sz w:val="28"/>
          <w:szCs w:val="28"/>
        </w:rPr>
        <w:t xml:space="preserve"> average wage x </w:t>
      </w:r>
      <w:r w:rsidR="00380577">
        <w:rPr>
          <w:sz w:val="28"/>
          <w:szCs w:val="28"/>
        </w:rPr>
        <w:t>2</w:t>
      </w:r>
      <w:r w:rsidRPr="00E12418">
        <w:rPr>
          <w:sz w:val="28"/>
          <w:szCs w:val="28"/>
        </w:rPr>
        <w:t xml:space="preserve"> multiplier). Therefore, the estimated annual burden hour cost to respondents is $</w:t>
      </w:r>
      <w:r w:rsidR="00380577">
        <w:rPr>
          <w:sz w:val="28"/>
          <w:szCs w:val="28"/>
        </w:rPr>
        <w:t>2</w:t>
      </w:r>
      <w:r w:rsidR="00573B4F">
        <w:rPr>
          <w:sz w:val="28"/>
          <w:szCs w:val="28"/>
        </w:rPr>
        <w:t>7,784.80</w:t>
      </w:r>
      <w:r w:rsidRPr="00E12418">
        <w:rPr>
          <w:sz w:val="28"/>
          <w:szCs w:val="28"/>
        </w:rPr>
        <w:t xml:space="preserve"> (</w:t>
      </w:r>
      <w:r w:rsidR="00EA77E0">
        <w:rPr>
          <w:sz w:val="28"/>
          <w:szCs w:val="28"/>
        </w:rPr>
        <w:t>340</w:t>
      </w:r>
      <w:r w:rsidRPr="00E12418">
        <w:rPr>
          <w:sz w:val="28"/>
          <w:szCs w:val="28"/>
        </w:rPr>
        <w:t xml:space="preserve"> annual burden hours x $</w:t>
      </w:r>
      <w:r w:rsidR="00573B4F">
        <w:rPr>
          <w:sz w:val="28"/>
          <w:szCs w:val="28"/>
        </w:rPr>
        <w:t>81</w:t>
      </w:r>
      <w:r w:rsidRPr="00380577" w:rsidR="00380577">
        <w:rPr>
          <w:sz w:val="28"/>
          <w:szCs w:val="28"/>
        </w:rPr>
        <w:t>.7</w:t>
      </w:r>
      <w:r w:rsidR="00573B4F">
        <w:rPr>
          <w:sz w:val="28"/>
          <w:szCs w:val="28"/>
        </w:rPr>
        <w:t>2</w:t>
      </w:r>
      <w:r w:rsidRPr="00DE765F">
        <w:rPr>
          <w:sz w:val="28"/>
          <w:szCs w:val="28"/>
        </w:rPr>
        <w:t>).</w:t>
      </w:r>
    </w:p>
    <w:p w:rsidR="000860E9" w:rsidRPr="0055645F" w14:paraId="5F638881" w14:textId="77777777">
      <w:pPr>
        <w:rPr>
          <w:sz w:val="28"/>
          <w:szCs w:val="28"/>
        </w:rPr>
      </w:pPr>
    </w:p>
    <w:p w:rsidR="00D97AC0" w:rsidRPr="00E12418" w14:paraId="0878AB63" w14:textId="77777777">
      <w:pPr>
        <w:rPr>
          <w:sz w:val="28"/>
          <w:szCs w:val="28"/>
        </w:rPr>
      </w:pPr>
      <w:r w:rsidRPr="0055645F">
        <w:rPr>
          <w:sz w:val="28"/>
          <w:szCs w:val="28"/>
        </w:rPr>
        <w:t>13.</w:t>
      </w:r>
      <w:r w:rsidRPr="0055645F">
        <w:rPr>
          <w:sz w:val="28"/>
          <w:szCs w:val="28"/>
        </w:rPr>
        <w:tab/>
      </w:r>
      <w:r w:rsidR="00F4531D">
        <w:rPr>
          <w:sz w:val="28"/>
          <w:szCs w:val="28"/>
        </w:rPr>
        <w:t>T</w:t>
      </w:r>
      <w:r w:rsidRPr="00D81AD0" w:rsidR="00F4531D">
        <w:rPr>
          <w:sz w:val="28"/>
          <w:szCs w:val="28"/>
        </w:rPr>
        <w:t xml:space="preserve">here are no anticipated </w:t>
      </w:r>
      <w:r w:rsidRPr="00E12418" w:rsidR="00F4531D">
        <w:rPr>
          <w:sz w:val="28"/>
          <w:szCs w:val="28"/>
        </w:rPr>
        <w:t>additional costs to respondents.</w:t>
      </w:r>
    </w:p>
    <w:p w:rsidR="00F4531D" w:rsidRPr="00E12418" w14:paraId="1853A55F" w14:textId="77777777">
      <w:pPr>
        <w:rPr>
          <w:sz w:val="28"/>
          <w:szCs w:val="28"/>
        </w:rPr>
      </w:pPr>
    </w:p>
    <w:p w:rsidR="00D97AC0" w:rsidRPr="00E12418" w:rsidP="00E12418" w14:paraId="5BFBEE06" w14:textId="77777777">
      <w:pPr>
        <w:pStyle w:val="BodyText2"/>
        <w:rPr>
          <w:szCs w:val="28"/>
        </w:rPr>
      </w:pPr>
      <w:r w:rsidRPr="00E12418">
        <w:rPr>
          <w:szCs w:val="28"/>
        </w:rPr>
        <w:t xml:space="preserve">14. </w:t>
      </w:r>
      <w:r w:rsidRPr="00E12418">
        <w:rPr>
          <w:szCs w:val="28"/>
        </w:rPr>
        <w:tab/>
      </w:r>
      <w:r w:rsidRPr="00E12418" w:rsidR="00F65E17">
        <w:rPr>
          <w:szCs w:val="28"/>
        </w:rPr>
        <w:t xml:space="preserve"> </w:t>
      </w:r>
      <w:r w:rsidRPr="00E12418" w:rsidR="00DE765F">
        <w:rPr>
          <w:szCs w:val="28"/>
        </w:rPr>
        <w:t xml:space="preserve">The </w:t>
      </w:r>
      <w:r w:rsidRPr="00E12418" w:rsidR="00E12418">
        <w:rPr>
          <w:szCs w:val="28"/>
        </w:rPr>
        <w:t>1</w:t>
      </w:r>
      <w:r w:rsidR="00EA77E0">
        <w:rPr>
          <w:szCs w:val="28"/>
        </w:rPr>
        <w:t>70</w:t>
      </w:r>
      <w:r w:rsidRPr="00E12418" w:rsidR="00DE765F">
        <w:rPr>
          <w:szCs w:val="28"/>
        </w:rPr>
        <w:t xml:space="preserve"> responses</w:t>
      </w:r>
      <w:r w:rsidR="00EA77E0">
        <w:rPr>
          <w:szCs w:val="28"/>
        </w:rPr>
        <w:t xml:space="preserve"> received by DDTC during CY 20</w:t>
      </w:r>
      <w:r w:rsidR="00380577">
        <w:rPr>
          <w:szCs w:val="28"/>
        </w:rPr>
        <w:t>2</w:t>
      </w:r>
      <w:r w:rsidR="00573B4F">
        <w:rPr>
          <w:szCs w:val="28"/>
        </w:rPr>
        <w:t>5</w:t>
      </w:r>
      <w:r w:rsidRPr="00E12418" w:rsidR="00DE765F">
        <w:rPr>
          <w:szCs w:val="28"/>
        </w:rPr>
        <w:t xml:space="preserve"> accounted for approximately 0.</w:t>
      </w:r>
      <w:r w:rsidRPr="00E12418" w:rsidR="00E12418">
        <w:rPr>
          <w:szCs w:val="28"/>
        </w:rPr>
        <w:t>08</w:t>
      </w:r>
      <w:r w:rsidR="00EA77E0">
        <w:rPr>
          <w:szCs w:val="28"/>
        </w:rPr>
        <w:t>% of its budget of $29</w:t>
      </w:r>
      <w:r w:rsidRPr="00E12418" w:rsidR="00DE765F">
        <w:rPr>
          <w:szCs w:val="28"/>
        </w:rPr>
        <w:t xml:space="preserve"> million.  The estimated annual cost to the Federal Government was $</w:t>
      </w:r>
      <w:r w:rsidR="00EA77E0">
        <w:rPr>
          <w:szCs w:val="28"/>
        </w:rPr>
        <w:t>23,200</w:t>
      </w:r>
      <w:r w:rsidRPr="00E12418" w:rsidR="00DE765F">
        <w:rPr>
          <w:szCs w:val="28"/>
        </w:rPr>
        <w:t xml:space="preserve"> for reviewing these applications. </w:t>
      </w:r>
      <w:r w:rsidRPr="00E12418" w:rsidR="00E12418">
        <w:rPr>
          <w:szCs w:val="28"/>
        </w:rPr>
        <w:t xml:space="preserve">This </w:t>
      </w:r>
      <w:r w:rsidRPr="00E12418" w:rsidR="00E12418">
        <w:rPr>
          <w:szCs w:val="28"/>
        </w:rPr>
        <w:t xml:space="preserve">estimated figure was determined by identifying the estimated </w:t>
      </w:r>
      <w:r w:rsidR="00380577">
        <w:rPr>
          <w:szCs w:val="28"/>
        </w:rPr>
        <w:t>number of responses</w:t>
      </w:r>
      <w:r w:rsidRPr="00E12418" w:rsidR="00E12418">
        <w:rPr>
          <w:szCs w:val="28"/>
        </w:rPr>
        <w:t xml:space="preserve"> of this </w:t>
      </w:r>
      <w:r w:rsidRPr="00E12418" w:rsidR="00380577">
        <w:rPr>
          <w:szCs w:val="28"/>
        </w:rPr>
        <w:t>collection and</w:t>
      </w:r>
      <w:r w:rsidRPr="00E12418" w:rsidR="00E12418">
        <w:rPr>
          <w:szCs w:val="28"/>
        </w:rPr>
        <w:t xml:space="preserve"> comparing the resulting figure to the overall budget.</w:t>
      </w:r>
    </w:p>
    <w:p w:rsidR="00D97AC0" w:rsidRPr="00E12418" w14:paraId="6AE74514" w14:textId="77777777">
      <w:pPr>
        <w:rPr>
          <w:sz w:val="28"/>
          <w:szCs w:val="28"/>
        </w:rPr>
      </w:pPr>
    </w:p>
    <w:p w:rsidR="00380577" w:rsidRPr="00380577" w:rsidP="00380577" w14:paraId="4551F57E" w14:textId="77777777">
      <w:pPr>
        <w:rPr>
          <w:sz w:val="28"/>
          <w:szCs w:val="28"/>
        </w:rPr>
      </w:pPr>
      <w:r>
        <w:rPr>
          <w:sz w:val="28"/>
          <w:szCs w:val="28"/>
        </w:rPr>
        <w:t>15.</w:t>
      </w:r>
      <w:r>
        <w:rPr>
          <w:sz w:val="28"/>
          <w:szCs w:val="28"/>
        </w:rPr>
        <w:tab/>
      </w:r>
      <w:r w:rsidRPr="00573B4F" w:rsidR="00573B4F">
        <w:rPr>
          <w:sz w:val="28"/>
          <w:szCs w:val="28"/>
        </w:rPr>
        <w:t xml:space="preserve">There </w:t>
      </w:r>
      <w:r w:rsidRPr="00573B4F" w:rsidR="00573B4F">
        <w:rPr>
          <w:sz w:val="28"/>
          <w:szCs w:val="28"/>
        </w:rPr>
        <w:t>are</w:t>
      </w:r>
      <w:r w:rsidRPr="00573B4F" w:rsidR="00573B4F">
        <w:rPr>
          <w:sz w:val="28"/>
          <w:szCs w:val="28"/>
        </w:rPr>
        <w:t xml:space="preserve"> no changes to this collection since the last authorization.  </w:t>
      </w:r>
    </w:p>
    <w:p w:rsidR="00F27CCF" w:rsidRPr="002907E6" w:rsidP="00F27CCF" w14:paraId="7443CBE5" w14:textId="77777777">
      <w:pPr>
        <w:rPr>
          <w:sz w:val="28"/>
          <w:szCs w:val="28"/>
        </w:rPr>
      </w:pPr>
    </w:p>
    <w:p w:rsidR="00D97AC0" w:rsidRPr="0055645F" w14:paraId="67F20A53" w14:textId="77777777">
      <w:pPr>
        <w:rPr>
          <w:sz w:val="28"/>
          <w:szCs w:val="28"/>
        </w:rPr>
      </w:pPr>
      <w:r w:rsidRPr="0055645F">
        <w:rPr>
          <w:sz w:val="28"/>
          <w:szCs w:val="28"/>
        </w:rPr>
        <w:t>16</w:t>
      </w:r>
      <w:r w:rsidRPr="0055645F">
        <w:rPr>
          <w:sz w:val="28"/>
          <w:szCs w:val="28"/>
        </w:rPr>
        <w:t xml:space="preserve">.  </w:t>
      </w:r>
      <w:r w:rsidRPr="0055645F">
        <w:rPr>
          <w:sz w:val="28"/>
          <w:szCs w:val="28"/>
        </w:rPr>
        <w:tab/>
      </w:r>
      <w:r w:rsidR="0029034B">
        <w:rPr>
          <w:sz w:val="28"/>
          <w:szCs w:val="28"/>
        </w:rPr>
        <w:t xml:space="preserve">The Department </w:t>
      </w:r>
      <w:r w:rsidRPr="00887A4F" w:rsidR="00887A4F">
        <w:rPr>
          <w:sz w:val="28"/>
          <w:szCs w:val="28"/>
        </w:rPr>
        <w:t xml:space="preserve">will not publish </w:t>
      </w:r>
      <w:r w:rsidR="0029034B">
        <w:rPr>
          <w:sz w:val="28"/>
          <w:szCs w:val="28"/>
        </w:rPr>
        <w:t xml:space="preserve">the </w:t>
      </w:r>
      <w:r w:rsidRPr="00887A4F" w:rsidR="00887A4F">
        <w:rPr>
          <w:sz w:val="28"/>
          <w:szCs w:val="28"/>
        </w:rPr>
        <w:t>information</w:t>
      </w:r>
      <w:r w:rsidR="0029034B">
        <w:rPr>
          <w:sz w:val="28"/>
          <w:szCs w:val="28"/>
        </w:rPr>
        <w:t xml:space="preserve"> collected</w:t>
      </w:r>
      <w:r w:rsidRPr="00887A4F" w:rsidR="00887A4F">
        <w:rPr>
          <w:sz w:val="28"/>
          <w:szCs w:val="28"/>
        </w:rPr>
        <w:t>.</w:t>
      </w:r>
    </w:p>
    <w:p w:rsidR="00D97AC0" w:rsidRPr="0055645F" w14:paraId="4B82EEFD" w14:textId="77777777">
      <w:pPr>
        <w:rPr>
          <w:sz w:val="28"/>
          <w:szCs w:val="28"/>
        </w:rPr>
      </w:pPr>
    </w:p>
    <w:p w:rsidR="00D97AC0" w14:paraId="79173BC5" w14:textId="77777777">
      <w:pPr>
        <w:rPr>
          <w:sz w:val="28"/>
          <w:szCs w:val="28"/>
        </w:rPr>
      </w:pPr>
      <w:r w:rsidRPr="0055645F">
        <w:rPr>
          <w:sz w:val="28"/>
          <w:szCs w:val="28"/>
        </w:rPr>
        <w:t>17</w:t>
      </w:r>
      <w:r w:rsidRPr="0055645F">
        <w:rPr>
          <w:sz w:val="28"/>
          <w:szCs w:val="28"/>
        </w:rPr>
        <w:t xml:space="preserve">.  </w:t>
      </w:r>
      <w:r w:rsidRPr="0055645F">
        <w:rPr>
          <w:sz w:val="28"/>
          <w:szCs w:val="28"/>
        </w:rPr>
        <w:tab/>
      </w:r>
      <w:r w:rsidR="00FC37C4">
        <w:rPr>
          <w:sz w:val="28"/>
          <w:szCs w:val="28"/>
        </w:rPr>
        <w:t xml:space="preserve">DDTC </w:t>
      </w:r>
      <w:r w:rsidR="000860E9">
        <w:rPr>
          <w:sz w:val="28"/>
          <w:szCs w:val="28"/>
        </w:rPr>
        <w:t>will</w:t>
      </w:r>
      <w:r w:rsidR="00FC37C4">
        <w:rPr>
          <w:sz w:val="28"/>
          <w:szCs w:val="28"/>
        </w:rPr>
        <w:t xml:space="preserve"> display the expiration date for OMB approval of the information collection.</w:t>
      </w:r>
    </w:p>
    <w:p w:rsidR="00FC37C4" w:rsidRPr="0055645F" w14:paraId="0B5CE8EF" w14:textId="77777777">
      <w:pPr>
        <w:rPr>
          <w:sz w:val="28"/>
          <w:szCs w:val="28"/>
        </w:rPr>
      </w:pPr>
    </w:p>
    <w:p w:rsidR="00D97AC0" w:rsidRPr="0055645F" w14:paraId="0660CFC0" w14:textId="77777777">
      <w:pPr>
        <w:rPr>
          <w:sz w:val="28"/>
          <w:szCs w:val="28"/>
        </w:rPr>
      </w:pPr>
      <w:r>
        <w:rPr>
          <w:sz w:val="28"/>
          <w:szCs w:val="28"/>
        </w:rPr>
        <w:t>18.</w:t>
      </w:r>
      <w:r>
        <w:rPr>
          <w:sz w:val="28"/>
          <w:szCs w:val="28"/>
        </w:rPr>
        <w:tab/>
      </w:r>
      <w:r w:rsidRPr="0055645F">
        <w:rPr>
          <w:sz w:val="28"/>
          <w:szCs w:val="28"/>
        </w:rPr>
        <w:t xml:space="preserve">The Department of State does not seek any exception to the </w:t>
      </w:r>
      <w:r w:rsidR="001410E9">
        <w:rPr>
          <w:sz w:val="28"/>
          <w:szCs w:val="28"/>
        </w:rPr>
        <w:t>certification statement</w:t>
      </w:r>
      <w:r w:rsidRPr="0055645F">
        <w:rPr>
          <w:sz w:val="28"/>
          <w:szCs w:val="28"/>
        </w:rPr>
        <w:t>.</w:t>
      </w:r>
    </w:p>
    <w:p w:rsidR="00D97AC0" w:rsidRPr="0055645F" w14:paraId="4B0EB1B2" w14:textId="77777777">
      <w:pPr>
        <w:rPr>
          <w:sz w:val="28"/>
          <w:szCs w:val="28"/>
        </w:rPr>
      </w:pPr>
    </w:p>
    <w:p w:rsidR="00D97AC0" w:rsidRPr="0055645F" w14:paraId="0DC3D54E" w14:textId="77777777">
      <w:pPr>
        <w:pStyle w:val="Heading2"/>
        <w:jc w:val="left"/>
        <w:rPr>
          <w:color w:val="auto"/>
          <w:sz w:val="28"/>
          <w:szCs w:val="28"/>
        </w:rPr>
      </w:pPr>
      <w:r w:rsidRPr="0055645F">
        <w:rPr>
          <w:color w:val="auto"/>
          <w:sz w:val="28"/>
          <w:szCs w:val="28"/>
        </w:rPr>
        <w:t>B.  Collections of Information Employing Statistical Methods</w:t>
      </w:r>
    </w:p>
    <w:p w:rsidR="00D97AC0" w:rsidRPr="0055645F" w14:paraId="2CDACA6F" w14:textId="77777777">
      <w:pPr>
        <w:jc w:val="center"/>
        <w:rPr>
          <w:b/>
          <w:sz w:val="28"/>
          <w:szCs w:val="28"/>
        </w:rPr>
      </w:pPr>
    </w:p>
    <w:p w:rsidR="00D97AC0" w:rsidRPr="0055645F" w14:paraId="6094C789" w14:textId="77777777">
      <w:pPr>
        <w:rPr>
          <w:sz w:val="28"/>
          <w:szCs w:val="28"/>
        </w:rPr>
      </w:pPr>
      <w:r w:rsidRPr="0055645F">
        <w:rPr>
          <w:sz w:val="28"/>
          <w:szCs w:val="28"/>
        </w:rPr>
        <w:t>This collection of information does not employ statistical methods.</w:t>
      </w:r>
    </w:p>
    <w:sectPr>
      <w:headerReference w:type="even" r:id="rId7"/>
      <w:headerReference w:type="default" r:id="rId8"/>
      <w:footerReference w:type="even" r:id="rId9"/>
      <w:footerReference w:type="default" r:id="rId10"/>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CAD" w:rsidP="008F7A1A" w14:paraId="2587CBE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6CAD" w14:paraId="65A5C8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CAD" w:rsidP="008F7A1A" w14:paraId="443FD4A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4AFE">
      <w:rPr>
        <w:rStyle w:val="PageNumber"/>
        <w:noProof/>
      </w:rPr>
      <w:t>4</w:t>
    </w:r>
    <w:r>
      <w:rPr>
        <w:rStyle w:val="PageNumber"/>
      </w:rPr>
      <w:fldChar w:fldCharType="end"/>
    </w:r>
  </w:p>
  <w:p w:rsidR="00486CAD" w14:paraId="5FCF21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13D4" w14:paraId="61D3F616" w14:textId="77777777">
      <w:r>
        <w:separator/>
      </w:r>
    </w:p>
  </w:footnote>
  <w:footnote w:type="continuationSeparator" w:id="1">
    <w:p w:rsidR="001313D4" w14:paraId="30357EA4" w14:textId="77777777">
      <w:r>
        <w:continuationSeparator/>
      </w:r>
    </w:p>
  </w:footnote>
  <w:footnote w:id="2">
    <w:p w:rsidR="00380577" w14:paraId="119D5D10" w14:textId="77777777">
      <w:pPr>
        <w:pStyle w:val="FootnoteText"/>
      </w:pPr>
      <w:r>
        <w:rPr>
          <w:rStyle w:val="FootnoteReference"/>
        </w:rPr>
        <w:footnoteRef/>
      </w:r>
      <w:r>
        <w:t xml:space="preserve"> </w:t>
      </w:r>
      <w:r w:rsidRPr="00380577">
        <w:t>Source: Bureau of Labor Statistics; Occupational Employment Statistics https://www.bls.gov/oes/current/oes131041.htm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CAD" w14:paraId="78F4281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6CAD" w14:paraId="49B269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CAD" w14:paraId="1D89EDB3" w14:textId="77777777">
    <w:pPr>
      <w:pStyle w:val="Header"/>
      <w:framePr w:wrap="around" w:vAnchor="text" w:hAnchor="margin" w:xAlign="center" w:y="1"/>
      <w:rPr>
        <w:rStyle w:val="PageNumber"/>
      </w:rPr>
    </w:pPr>
  </w:p>
  <w:p w:rsidR="00486CAD" w14:paraId="4F70B9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nsid w:val="16207C59"/>
    <w:multiLevelType w:val="hybridMultilevel"/>
    <w:tmpl w:val="DB1C83C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4">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5">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7">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0">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1">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2">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3">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4">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5">
    <w:nsid w:val="7EC47DCC"/>
    <w:multiLevelType w:val="singleLevel"/>
    <w:tmpl w:val="BB9C08D2"/>
    <w:lvl w:ilvl="0">
      <w:start w:val="1"/>
      <w:numFmt w:val="decimal"/>
      <w:lvlText w:val="(%1)"/>
      <w:lvlJc w:val="left"/>
      <w:pPr>
        <w:tabs>
          <w:tab w:val="num" w:pos="765"/>
        </w:tabs>
        <w:ind w:left="765" w:hanging="390"/>
      </w:pPr>
      <w:rPr>
        <w:rFonts w:hint="default"/>
      </w:rPr>
    </w:lvl>
  </w:abstractNum>
  <w:num w:numId="1" w16cid:durableId="1158496005">
    <w:abstractNumId w:val="5"/>
  </w:num>
  <w:num w:numId="2" w16cid:durableId="1475835660">
    <w:abstractNumId w:val="8"/>
  </w:num>
  <w:num w:numId="3" w16cid:durableId="1450390020">
    <w:abstractNumId w:val="11"/>
  </w:num>
  <w:num w:numId="4" w16cid:durableId="220363493">
    <w:abstractNumId w:val="7"/>
  </w:num>
  <w:num w:numId="5" w16cid:durableId="106463175">
    <w:abstractNumId w:val="0"/>
  </w:num>
  <w:num w:numId="6" w16cid:durableId="1408192574">
    <w:abstractNumId w:val="3"/>
  </w:num>
  <w:num w:numId="7" w16cid:durableId="842164616">
    <w:abstractNumId w:val="15"/>
  </w:num>
  <w:num w:numId="8" w16cid:durableId="1393118945">
    <w:abstractNumId w:val="13"/>
  </w:num>
  <w:num w:numId="9" w16cid:durableId="1222056001">
    <w:abstractNumId w:val="6"/>
  </w:num>
  <w:num w:numId="10" w16cid:durableId="1011303143">
    <w:abstractNumId w:val="12"/>
  </w:num>
  <w:num w:numId="11" w16cid:durableId="1323582972">
    <w:abstractNumId w:val="14"/>
  </w:num>
  <w:num w:numId="12" w16cid:durableId="644358426">
    <w:abstractNumId w:val="2"/>
  </w:num>
  <w:num w:numId="13" w16cid:durableId="283464348">
    <w:abstractNumId w:val="9"/>
  </w:num>
  <w:num w:numId="14" w16cid:durableId="1773822102">
    <w:abstractNumId w:val="10"/>
  </w:num>
  <w:num w:numId="15" w16cid:durableId="832381977">
    <w:abstractNumId w:val="4"/>
  </w:num>
  <w:num w:numId="16" w16cid:durableId="34170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82"/>
    <w:rsid w:val="00020DA9"/>
    <w:rsid w:val="0002297E"/>
    <w:rsid w:val="00034B4B"/>
    <w:rsid w:val="000377DE"/>
    <w:rsid w:val="00037EAE"/>
    <w:rsid w:val="0006651A"/>
    <w:rsid w:val="00067797"/>
    <w:rsid w:val="0008514E"/>
    <w:rsid w:val="000860E9"/>
    <w:rsid w:val="000943EB"/>
    <w:rsid w:val="00095285"/>
    <w:rsid w:val="000A309C"/>
    <w:rsid w:val="000B2FC8"/>
    <w:rsid w:val="000E5C1F"/>
    <w:rsid w:val="00116C38"/>
    <w:rsid w:val="00130AB4"/>
    <w:rsid w:val="001313D4"/>
    <w:rsid w:val="00140568"/>
    <w:rsid w:val="001410E9"/>
    <w:rsid w:val="0014416C"/>
    <w:rsid w:val="00154604"/>
    <w:rsid w:val="00192C56"/>
    <w:rsid w:val="001A3431"/>
    <w:rsid w:val="001A3F04"/>
    <w:rsid w:val="001B5634"/>
    <w:rsid w:val="001D360F"/>
    <w:rsid w:val="0020383B"/>
    <w:rsid w:val="002414A6"/>
    <w:rsid w:val="00253561"/>
    <w:rsid w:val="00264A1D"/>
    <w:rsid w:val="00284AFE"/>
    <w:rsid w:val="00285130"/>
    <w:rsid w:val="0029034B"/>
    <w:rsid w:val="002907E6"/>
    <w:rsid w:val="002B2345"/>
    <w:rsid w:val="002B7BED"/>
    <w:rsid w:val="002C4BE7"/>
    <w:rsid w:val="002D3B9A"/>
    <w:rsid w:val="002E399A"/>
    <w:rsid w:val="002E5B19"/>
    <w:rsid w:val="003029F6"/>
    <w:rsid w:val="003160B6"/>
    <w:rsid w:val="0033351E"/>
    <w:rsid w:val="00334A9A"/>
    <w:rsid w:val="00366C1D"/>
    <w:rsid w:val="003754F0"/>
    <w:rsid w:val="00380004"/>
    <w:rsid w:val="00380577"/>
    <w:rsid w:val="003815CC"/>
    <w:rsid w:val="003A4BD6"/>
    <w:rsid w:val="003A7AA8"/>
    <w:rsid w:val="003B4EDD"/>
    <w:rsid w:val="003E33C4"/>
    <w:rsid w:val="003F1B0C"/>
    <w:rsid w:val="003F78F7"/>
    <w:rsid w:val="004115AF"/>
    <w:rsid w:val="00426847"/>
    <w:rsid w:val="004271B5"/>
    <w:rsid w:val="00440121"/>
    <w:rsid w:val="00451018"/>
    <w:rsid w:val="0045291D"/>
    <w:rsid w:val="004725B0"/>
    <w:rsid w:val="00482AA2"/>
    <w:rsid w:val="00486CAD"/>
    <w:rsid w:val="004A2AE5"/>
    <w:rsid w:val="004C0BFF"/>
    <w:rsid w:val="004E3367"/>
    <w:rsid w:val="004F6632"/>
    <w:rsid w:val="0055645F"/>
    <w:rsid w:val="00573B4F"/>
    <w:rsid w:val="00574410"/>
    <w:rsid w:val="00580377"/>
    <w:rsid w:val="005806F4"/>
    <w:rsid w:val="005B3FFD"/>
    <w:rsid w:val="005B4EFA"/>
    <w:rsid w:val="005B792F"/>
    <w:rsid w:val="005C7773"/>
    <w:rsid w:val="005E6350"/>
    <w:rsid w:val="00601E3E"/>
    <w:rsid w:val="00611EDA"/>
    <w:rsid w:val="00616A0A"/>
    <w:rsid w:val="0063191E"/>
    <w:rsid w:val="00637431"/>
    <w:rsid w:val="00647357"/>
    <w:rsid w:val="00670ED2"/>
    <w:rsid w:val="0067111B"/>
    <w:rsid w:val="006A400D"/>
    <w:rsid w:val="006B2D4D"/>
    <w:rsid w:val="006B3ECF"/>
    <w:rsid w:val="006B7EF2"/>
    <w:rsid w:val="006C03EE"/>
    <w:rsid w:val="006D7EAD"/>
    <w:rsid w:val="006F3096"/>
    <w:rsid w:val="00701335"/>
    <w:rsid w:val="00705331"/>
    <w:rsid w:val="0071341A"/>
    <w:rsid w:val="0071596D"/>
    <w:rsid w:val="007171F5"/>
    <w:rsid w:val="007209C6"/>
    <w:rsid w:val="007209EF"/>
    <w:rsid w:val="00744865"/>
    <w:rsid w:val="00770481"/>
    <w:rsid w:val="0078707C"/>
    <w:rsid w:val="007A083F"/>
    <w:rsid w:val="007A6952"/>
    <w:rsid w:val="007A7824"/>
    <w:rsid w:val="007B5955"/>
    <w:rsid w:val="007B730B"/>
    <w:rsid w:val="007C4552"/>
    <w:rsid w:val="007D0E39"/>
    <w:rsid w:val="007E21DC"/>
    <w:rsid w:val="007F559F"/>
    <w:rsid w:val="00800999"/>
    <w:rsid w:val="00802B97"/>
    <w:rsid w:val="00812D5F"/>
    <w:rsid w:val="00820E94"/>
    <w:rsid w:val="00823419"/>
    <w:rsid w:val="008268CB"/>
    <w:rsid w:val="00861388"/>
    <w:rsid w:val="0086525E"/>
    <w:rsid w:val="00871F2B"/>
    <w:rsid w:val="008735A1"/>
    <w:rsid w:val="0088440B"/>
    <w:rsid w:val="0088777A"/>
    <w:rsid w:val="00887A4F"/>
    <w:rsid w:val="008A73BA"/>
    <w:rsid w:val="008B6D41"/>
    <w:rsid w:val="008C2F8E"/>
    <w:rsid w:val="008D0E85"/>
    <w:rsid w:val="008F3702"/>
    <w:rsid w:val="008F7A1A"/>
    <w:rsid w:val="0090139C"/>
    <w:rsid w:val="00906E8F"/>
    <w:rsid w:val="00937BAA"/>
    <w:rsid w:val="0094264C"/>
    <w:rsid w:val="0094495D"/>
    <w:rsid w:val="00947019"/>
    <w:rsid w:val="00957F05"/>
    <w:rsid w:val="00977E07"/>
    <w:rsid w:val="009808A3"/>
    <w:rsid w:val="0099767E"/>
    <w:rsid w:val="009C33F6"/>
    <w:rsid w:val="009C447D"/>
    <w:rsid w:val="009E62AF"/>
    <w:rsid w:val="009F3F43"/>
    <w:rsid w:val="00A06B03"/>
    <w:rsid w:val="00A25F2C"/>
    <w:rsid w:val="00A45A7D"/>
    <w:rsid w:val="00A533E0"/>
    <w:rsid w:val="00A7365C"/>
    <w:rsid w:val="00A7793D"/>
    <w:rsid w:val="00A92ADF"/>
    <w:rsid w:val="00AA7C27"/>
    <w:rsid w:val="00AB5C08"/>
    <w:rsid w:val="00AC3B69"/>
    <w:rsid w:val="00AD475E"/>
    <w:rsid w:val="00AF6843"/>
    <w:rsid w:val="00AF719E"/>
    <w:rsid w:val="00B0397D"/>
    <w:rsid w:val="00B348ED"/>
    <w:rsid w:val="00B415D5"/>
    <w:rsid w:val="00B43266"/>
    <w:rsid w:val="00B43DE3"/>
    <w:rsid w:val="00B5738C"/>
    <w:rsid w:val="00B838EB"/>
    <w:rsid w:val="00B86F3A"/>
    <w:rsid w:val="00B9188E"/>
    <w:rsid w:val="00BA2293"/>
    <w:rsid w:val="00BC1522"/>
    <w:rsid w:val="00BC1934"/>
    <w:rsid w:val="00BD7637"/>
    <w:rsid w:val="00BE4A03"/>
    <w:rsid w:val="00BF1287"/>
    <w:rsid w:val="00C00C60"/>
    <w:rsid w:val="00C02041"/>
    <w:rsid w:val="00C30DCB"/>
    <w:rsid w:val="00C321BE"/>
    <w:rsid w:val="00C44B7F"/>
    <w:rsid w:val="00C64F3B"/>
    <w:rsid w:val="00C84C9B"/>
    <w:rsid w:val="00C90BC0"/>
    <w:rsid w:val="00C94854"/>
    <w:rsid w:val="00CA48C5"/>
    <w:rsid w:val="00CA76C4"/>
    <w:rsid w:val="00CB14CE"/>
    <w:rsid w:val="00CB1DE1"/>
    <w:rsid w:val="00CB7738"/>
    <w:rsid w:val="00CD3D93"/>
    <w:rsid w:val="00D036DE"/>
    <w:rsid w:val="00D11373"/>
    <w:rsid w:val="00D32662"/>
    <w:rsid w:val="00D712AE"/>
    <w:rsid w:val="00D81AD0"/>
    <w:rsid w:val="00D97AC0"/>
    <w:rsid w:val="00DD0BCF"/>
    <w:rsid w:val="00DD214C"/>
    <w:rsid w:val="00DE765F"/>
    <w:rsid w:val="00E12418"/>
    <w:rsid w:val="00E21FC6"/>
    <w:rsid w:val="00E270BE"/>
    <w:rsid w:val="00E46282"/>
    <w:rsid w:val="00E57A31"/>
    <w:rsid w:val="00E70337"/>
    <w:rsid w:val="00E8561F"/>
    <w:rsid w:val="00EA77E0"/>
    <w:rsid w:val="00EB4973"/>
    <w:rsid w:val="00EB76E6"/>
    <w:rsid w:val="00EC01AE"/>
    <w:rsid w:val="00EC6BAE"/>
    <w:rsid w:val="00F01B8A"/>
    <w:rsid w:val="00F27CCF"/>
    <w:rsid w:val="00F4531D"/>
    <w:rsid w:val="00F65E17"/>
    <w:rsid w:val="00F76E02"/>
    <w:rsid w:val="00FB422B"/>
    <w:rsid w:val="00FC30AF"/>
    <w:rsid w:val="00FC37C4"/>
    <w:rsid w:val="00FF040A"/>
    <w:rsid w:val="00FF25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7D8739"/>
  <w15:chartTrackingRefBased/>
  <w15:docId w15:val="{365A5DC0-C540-40E7-BD84-9E55CA44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Indent">
    <w:name w:val="Body Text Indent"/>
    <w:basedOn w:val="Normal"/>
    <w:pPr>
      <w:ind w:firstLine="360"/>
    </w:pPr>
  </w:style>
  <w:style w:type="paragraph" w:styleId="BodyText2">
    <w:name w:val="Body Text 2"/>
    <w:basedOn w:val="Normal"/>
    <w:rPr>
      <w:sz w:val="28"/>
    </w:rPr>
  </w:style>
  <w:style w:type="paragraph" w:styleId="Footer">
    <w:name w:val="footer"/>
    <w:basedOn w:val="Normal"/>
    <w:rsid w:val="001A3431"/>
    <w:pPr>
      <w:tabs>
        <w:tab w:val="center" w:pos="4320"/>
        <w:tab w:val="right" w:pos="8640"/>
      </w:tabs>
    </w:pPr>
  </w:style>
  <w:style w:type="paragraph" w:styleId="BalloonText">
    <w:name w:val="Balloon Text"/>
    <w:basedOn w:val="Normal"/>
    <w:semiHidden/>
    <w:rsid w:val="00BC1934"/>
    <w:rPr>
      <w:rFonts w:ascii="Tahoma" w:hAnsi="Tahoma" w:cs="Tahoma"/>
      <w:sz w:val="16"/>
      <w:szCs w:val="16"/>
    </w:rPr>
  </w:style>
  <w:style w:type="character" w:styleId="CommentReference">
    <w:name w:val="annotation reference"/>
    <w:rsid w:val="00EC01AE"/>
    <w:rPr>
      <w:sz w:val="16"/>
      <w:szCs w:val="16"/>
    </w:rPr>
  </w:style>
  <w:style w:type="paragraph" w:styleId="CommentText">
    <w:name w:val="annotation text"/>
    <w:basedOn w:val="Normal"/>
    <w:link w:val="CommentTextChar"/>
    <w:rsid w:val="00EC01AE"/>
    <w:rPr>
      <w:sz w:val="20"/>
    </w:rPr>
  </w:style>
  <w:style w:type="character" w:customStyle="1" w:styleId="CommentTextChar">
    <w:name w:val="Comment Text Char"/>
    <w:basedOn w:val="DefaultParagraphFont"/>
    <w:link w:val="CommentText"/>
    <w:rsid w:val="00EC01AE"/>
  </w:style>
  <w:style w:type="paragraph" w:styleId="CommentSubject">
    <w:name w:val="annotation subject"/>
    <w:basedOn w:val="CommentText"/>
    <w:next w:val="CommentText"/>
    <w:link w:val="CommentSubjectChar"/>
    <w:rsid w:val="00EC01AE"/>
    <w:rPr>
      <w:b/>
      <w:bCs/>
    </w:rPr>
  </w:style>
  <w:style w:type="character" w:customStyle="1" w:styleId="CommentSubjectChar">
    <w:name w:val="Comment Subject Char"/>
    <w:link w:val="CommentSubject"/>
    <w:rsid w:val="00EC01AE"/>
    <w:rPr>
      <w:b/>
      <w:bCs/>
    </w:rPr>
  </w:style>
  <w:style w:type="character" w:customStyle="1" w:styleId="ptext-2">
    <w:name w:val="ptext-2"/>
    <w:rsid w:val="00EC01AE"/>
    <w:rPr>
      <w:b w:val="0"/>
      <w:bCs w:val="0"/>
    </w:rPr>
  </w:style>
  <w:style w:type="character" w:styleId="Hyperlink">
    <w:name w:val="Hyperlink"/>
    <w:rsid w:val="00EB76E6"/>
    <w:rPr>
      <w:color w:val="0000FF"/>
      <w:u w:val="single"/>
    </w:rPr>
  </w:style>
  <w:style w:type="paragraph" w:styleId="Revision">
    <w:name w:val="Revision"/>
    <w:hidden/>
    <w:uiPriority w:val="99"/>
    <w:semiHidden/>
    <w:rsid w:val="00380577"/>
    <w:rPr>
      <w:sz w:val="24"/>
    </w:rPr>
  </w:style>
  <w:style w:type="paragraph" w:styleId="FootnoteText">
    <w:name w:val="footnote text"/>
    <w:basedOn w:val="Normal"/>
    <w:link w:val="FootnoteTextChar"/>
    <w:rsid w:val="00380577"/>
    <w:rPr>
      <w:sz w:val="20"/>
    </w:rPr>
  </w:style>
  <w:style w:type="character" w:customStyle="1" w:styleId="FootnoteTextChar">
    <w:name w:val="Footnote Text Char"/>
    <w:basedOn w:val="DefaultParagraphFont"/>
    <w:link w:val="FootnoteText"/>
    <w:rsid w:val="00380577"/>
  </w:style>
  <w:style w:type="character" w:styleId="FootnoteReference">
    <w:name w:val="footnote reference"/>
    <w:rsid w:val="003805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tate.gov/privacy"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A93C-7D5A-4B6C-8AB0-10FA1E74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Beam, Brandi M</cp:lastModifiedBy>
  <cp:revision>2</cp:revision>
  <cp:lastPrinted>2017-02-28T17:04:00Z</cp:lastPrinted>
  <dcterms:created xsi:type="dcterms:W3CDTF">2026-07-08T15:08:00Z</dcterms:created>
  <dcterms:modified xsi:type="dcterms:W3CDTF">2026-07-08T15:08:00Z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4c046e61-85e0-413d-8fda-3c942a252ed8</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2026-07-08T15:08:52Z</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Tag">
    <vt:lpwstr>10, 0, 1, 1</vt:lpwstr>
  </property>
</Properties>
</file>