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55D1789A" w14:textId="77777777">
      <w:pPr>
        <w:pStyle w:val="Heading1"/>
        <w:rPr>
          <w:b/>
          <w:bCs/>
          <w:sz w:val="24"/>
          <w:szCs w:val="24"/>
        </w:rPr>
      </w:pPr>
      <w:r w:rsidRPr="00F74288">
        <w:rPr>
          <w:b/>
          <w:bCs/>
          <w:sz w:val="24"/>
          <w:szCs w:val="24"/>
        </w:rPr>
        <w:t>SUPPORTING STATEMENT</w:t>
      </w:r>
    </w:p>
    <w:p w:rsidR="00043C32" w:rsidRPr="00F74288" w:rsidP="00AD381B" w14:paraId="600C9405" w14:textId="77777777">
      <w:pPr>
        <w:pStyle w:val="Heading1"/>
        <w:rPr>
          <w:b/>
          <w:bCs/>
          <w:sz w:val="24"/>
          <w:szCs w:val="24"/>
        </w:rPr>
      </w:pPr>
      <w:r w:rsidRPr="00F74288">
        <w:rPr>
          <w:b/>
          <w:bCs/>
          <w:sz w:val="24"/>
          <w:szCs w:val="24"/>
        </w:rPr>
        <w:t>FOR PAPERWORK REDUCTION ACT SUBMISSION</w:t>
      </w:r>
    </w:p>
    <w:p w:rsidR="00DC0AB4" w:rsidRPr="00B6208A" w:rsidP="00DC0AB4" w14:paraId="5D97691E" w14:textId="77777777">
      <w:pPr>
        <w:tabs>
          <w:tab w:val="left" w:pos="0"/>
        </w:tabs>
        <w:suppressAutoHyphens/>
        <w:jc w:val="center"/>
        <w:rPr>
          <w:rFonts w:asciiTheme="minorHAnsi" w:hAnsiTheme="minorHAnsi" w:cstheme="minorHAnsi"/>
          <w:szCs w:val="24"/>
        </w:rPr>
      </w:pPr>
      <w:r w:rsidRPr="00B6208A">
        <w:rPr>
          <w:rFonts w:asciiTheme="minorHAnsi" w:hAnsiTheme="minorHAnsi" w:cstheme="minorHAnsi"/>
          <w:szCs w:val="24"/>
        </w:rPr>
        <w:t>Student Assistance General Provisions</w:t>
      </w:r>
    </w:p>
    <w:p w:rsidR="00043C32" w:rsidRPr="00AD381B" w:rsidP="00AD381B" w14:paraId="14A893EB" w14:textId="77777777">
      <w:pPr>
        <w:tabs>
          <w:tab w:val="left" w:pos="0"/>
        </w:tabs>
        <w:suppressAutoHyphens/>
        <w:rPr>
          <w:rFonts w:ascii="Times New Roman" w:hAnsi="Times New Roman"/>
          <w:szCs w:val="24"/>
        </w:rPr>
      </w:pPr>
    </w:p>
    <w:p w:rsidR="00EA1767" w:rsidP="00AD381B" w14:paraId="223F670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5613EE7" w14:textId="77777777">
      <w:pPr>
        <w:suppressAutoHyphens/>
        <w:spacing w:line="240" w:lineRule="exact"/>
        <w:ind w:left="720"/>
        <w:rPr>
          <w:rFonts w:ascii="Times New Roman" w:hAnsi="Times New Roman"/>
          <w:bCs/>
          <w:szCs w:val="24"/>
        </w:rPr>
      </w:pPr>
    </w:p>
    <w:p w:rsidR="006E6835" w:rsidP="009B7596" w14:paraId="488C8A6D"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Section 84001 of the One Big Beautiful Bill Act (OBBB), signed into law by President Trump on July 4, 2025, established an accountability framework for all postsecondary programs of study that participate in the Direct Loan Program, modifying the Higher Education Act of 1965, as amended (HEA). The proposed framework would compare the median earnings of graduates to median earnings of a comparison group and would discontinue a program’s Direct Loan eligibility if its graduates earn less than the comparison group. </w:t>
      </w:r>
      <w:r>
        <w:rPr>
          <w:rStyle w:val="eop"/>
          <w:rFonts w:ascii="Calibri" w:hAnsi="Calibri" w:cs="Calibri"/>
          <w:sz w:val="22"/>
          <w:szCs w:val="22"/>
        </w:rPr>
        <w:t> </w:t>
      </w:r>
    </w:p>
    <w:p w:rsidR="006E6835" w:rsidP="006E6835" w14:paraId="52A743E0" w14:textId="77777777">
      <w:pPr>
        <w:pStyle w:val="paragraph"/>
        <w:spacing w:before="0" w:beforeAutospacing="0" w:after="0" w:afterAutospacing="0"/>
        <w:ind w:left="720" w:firstLine="720"/>
        <w:textAlignment w:val="baseline"/>
        <w:rPr>
          <w:rFonts w:ascii="Segoe UI" w:hAnsi="Segoe UI" w:cs="Segoe UI"/>
          <w:sz w:val="18"/>
          <w:szCs w:val="18"/>
        </w:rPr>
      </w:pPr>
      <w:r>
        <w:rPr>
          <w:rStyle w:val="eop"/>
          <w:rFonts w:ascii="Calibri" w:hAnsi="Calibri" w:cs="Calibri"/>
          <w:sz w:val="22"/>
          <w:szCs w:val="22"/>
        </w:rPr>
        <w:t> </w:t>
      </w:r>
    </w:p>
    <w:p w:rsidR="006E6835" w:rsidP="009B7596" w14:paraId="75E3BEC4" w14:textId="70B18B8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On January 5, 2026, the Department of Education (the Department) convened a negotiated rulemaking committee to consider the new institutional accountability framework to develop regulations that improve institutional accountability by increasing transparency on program costs, aid, and outcomes. </w:t>
      </w:r>
      <w:r>
        <w:rPr>
          <w:rStyle w:val="eop"/>
          <w:rFonts w:ascii="Calibri" w:hAnsi="Calibri" w:cs="Calibri"/>
          <w:sz w:val="22"/>
          <w:szCs w:val="22"/>
        </w:rPr>
        <w:t> </w:t>
      </w:r>
      <w:r w:rsidRPr="00631CCC" w:rsidR="00631CCC">
        <w:rPr>
          <w:rStyle w:val="eop"/>
          <w:rFonts w:ascii="Calibri" w:hAnsi="Calibri" w:cs="Calibri"/>
          <w:sz w:val="22"/>
          <w:szCs w:val="22"/>
        </w:rPr>
        <w:t>On April 20, 2026, the Department published a Notice of Proposed Rulemaking (NPRM) in the Federal Register (91 FR 21088). The NPRM opened a 30-day comment period inviting the public to comment on the proposed burden.</w:t>
      </w:r>
    </w:p>
    <w:p w:rsidR="006E6835" w:rsidP="009B7596" w14:paraId="48C313AA" w14:textId="73DAF8D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6E6835" w:rsidP="003E4450" w14:paraId="7ED62A1C" w14:textId="21E2B3E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This is a request for a revision of the currently approved collection 1845-0</w:t>
      </w:r>
      <w:r w:rsidR="003E4450">
        <w:rPr>
          <w:rStyle w:val="normaltextrun"/>
          <w:rFonts w:ascii="Calibri" w:hAnsi="Calibri" w:cs="Calibri"/>
          <w:sz w:val="22"/>
          <w:szCs w:val="22"/>
        </w:rPr>
        <w:t>022</w:t>
      </w:r>
      <w:r>
        <w:rPr>
          <w:rStyle w:val="normaltextrun"/>
          <w:rFonts w:ascii="Calibri" w:hAnsi="Calibri" w:cs="Calibri"/>
          <w:sz w:val="22"/>
          <w:szCs w:val="22"/>
        </w:rPr>
        <w:t> </w:t>
      </w:r>
      <w:r w:rsidRPr="00204F42" w:rsidR="00204F42">
        <w:rPr>
          <w:rStyle w:val="normaltextrun"/>
          <w:rFonts w:ascii="Calibri" w:hAnsi="Calibri" w:cs="Calibri"/>
          <w:sz w:val="22"/>
          <w:szCs w:val="22"/>
        </w:rPr>
        <w:t>Student Assistance General Provisions</w:t>
      </w:r>
      <w:r w:rsidR="00847BD3">
        <w:rPr>
          <w:rStyle w:val="normaltextrun"/>
          <w:rFonts w:ascii="Calibri" w:hAnsi="Calibri" w:cs="Calibri"/>
          <w:sz w:val="22"/>
          <w:szCs w:val="22"/>
        </w:rPr>
        <w:t>.</w:t>
      </w:r>
      <w:r>
        <w:rPr>
          <w:rStyle w:val="normaltextrun"/>
          <w:rFonts w:ascii="Calibri" w:hAnsi="Calibri" w:cs="Calibri"/>
          <w:sz w:val="22"/>
          <w:szCs w:val="22"/>
        </w:rPr>
        <w:t> Revisions to this collection will allow the Department to obtain the required information to implement the accountability framework as outlined in OBBB. </w:t>
      </w:r>
      <w:r>
        <w:rPr>
          <w:rStyle w:val="eop"/>
          <w:rFonts w:ascii="Calibri" w:hAnsi="Calibri" w:cs="Calibri"/>
          <w:sz w:val="22"/>
          <w:szCs w:val="22"/>
        </w:rPr>
        <w:t> </w:t>
      </w:r>
    </w:p>
    <w:p w:rsidR="006E6835" w:rsidP="006E6835" w14:paraId="791A6DB4" w14:textId="77777777">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rsidR="007C700A" w:rsidRPr="001F2A97" w:rsidP="001F2A97" w14:paraId="1779E043" w14:textId="77777777">
      <w:pPr>
        <w:suppressAutoHyphens/>
        <w:spacing w:line="240" w:lineRule="exact"/>
        <w:rPr>
          <w:rFonts w:ascii="Times New Roman" w:hAnsi="Times New Roman"/>
          <w:szCs w:val="24"/>
        </w:rPr>
      </w:pPr>
    </w:p>
    <w:p w:rsidR="00AD381B" w:rsidP="00AD381B" w14:paraId="399D311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5E706B5C" w14:textId="77777777">
      <w:pPr>
        <w:suppressAutoHyphens/>
        <w:spacing w:line="240" w:lineRule="exact"/>
        <w:ind w:left="720"/>
        <w:rPr>
          <w:rFonts w:ascii="Times New Roman" w:hAnsi="Times New Roman"/>
          <w:szCs w:val="24"/>
        </w:rPr>
      </w:pPr>
    </w:p>
    <w:p w:rsidR="00DF28B3" w:rsidRPr="005C4002" w:rsidP="00802605" w14:paraId="19D390E0" w14:textId="553F27BC">
      <w:pPr>
        <w:suppressAutoHyphens/>
        <w:ind w:left="720"/>
        <w:rPr>
          <w:rFonts w:asciiTheme="minorHAnsi" w:hAnsiTheme="minorHAnsi" w:cstheme="minorHAnsi"/>
          <w:color w:val="242424"/>
          <w:sz w:val="22"/>
          <w:szCs w:val="22"/>
        </w:rPr>
      </w:pPr>
      <w:r w:rsidRPr="005C4002">
        <w:rPr>
          <w:rFonts w:asciiTheme="minorHAnsi" w:hAnsiTheme="minorHAnsi" w:cstheme="minorHAnsi"/>
          <w:sz w:val="22"/>
          <w:szCs w:val="22"/>
          <w:shd w:val="clear" w:color="auto" w:fill="FFFFFF"/>
        </w:rPr>
        <w:t>The revisions</w:t>
      </w:r>
      <w:r w:rsidRPr="005C4002" w:rsidR="00840C85">
        <w:rPr>
          <w:rFonts w:asciiTheme="minorHAnsi" w:hAnsiTheme="minorHAnsi" w:cstheme="minorHAnsi"/>
          <w:sz w:val="22"/>
          <w:szCs w:val="22"/>
          <w:shd w:val="clear" w:color="auto" w:fill="FFFFFF"/>
        </w:rPr>
        <w:t xml:space="preserve"> </w:t>
      </w:r>
      <w:r w:rsidRPr="005C4002">
        <w:rPr>
          <w:rFonts w:asciiTheme="minorHAnsi" w:hAnsiTheme="minorHAnsi" w:cstheme="minorHAnsi"/>
          <w:color w:val="242424"/>
          <w:sz w:val="22"/>
          <w:szCs w:val="22"/>
        </w:rPr>
        <w:t xml:space="preserve">provide the Department with information to determine if an institution continues to meet the eligibility requirements </w:t>
      </w:r>
      <w:r w:rsidRPr="005C4002" w:rsidR="00731192">
        <w:rPr>
          <w:rFonts w:asciiTheme="minorHAnsi" w:hAnsiTheme="minorHAnsi" w:cstheme="minorHAnsi"/>
          <w:color w:val="242424"/>
          <w:sz w:val="22"/>
          <w:szCs w:val="22"/>
        </w:rPr>
        <w:t>for participation in the Direct Loan program.</w:t>
      </w:r>
      <w:r w:rsidRPr="005C4002">
        <w:rPr>
          <w:rFonts w:asciiTheme="minorHAnsi" w:hAnsiTheme="minorHAnsi" w:cstheme="minorHAnsi"/>
          <w:color w:val="242424"/>
          <w:sz w:val="22"/>
          <w:szCs w:val="22"/>
        </w:rPr>
        <w:t xml:space="preserve">  </w:t>
      </w:r>
    </w:p>
    <w:p w:rsidR="002D6049" w:rsidRPr="00AD381B" w:rsidP="00BC1A67" w14:paraId="64699CCB" w14:textId="77777777">
      <w:pPr>
        <w:suppressAutoHyphens/>
        <w:spacing w:line="240" w:lineRule="exact"/>
        <w:ind w:left="720"/>
        <w:rPr>
          <w:rFonts w:ascii="Times New Roman" w:hAnsi="Times New Roman"/>
          <w:szCs w:val="24"/>
        </w:rPr>
      </w:pPr>
    </w:p>
    <w:p w:rsidR="00043C32" w:rsidRPr="00AD381B" w:rsidP="00AD381B" w14:paraId="42B0F32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196D3673" w14:textId="77777777">
      <w:pPr>
        <w:pStyle w:val="ListParagraph"/>
        <w:tabs>
          <w:tab w:val="left" w:pos="-720"/>
        </w:tabs>
        <w:suppressAutoHyphens/>
        <w:contextualSpacing w:val="0"/>
        <w:rPr>
          <w:rFonts w:ascii="Times New Roman" w:hAnsi="Times New Roman"/>
          <w:szCs w:val="24"/>
        </w:rPr>
      </w:pPr>
    </w:p>
    <w:p w:rsidR="00273208" w:rsidRPr="005C4002" w:rsidP="00273208" w14:paraId="0DCEA95B" w14:textId="58FFA003">
      <w:pPr>
        <w:pStyle w:val="ListParagraph"/>
        <w:rPr>
          <w:rFonts w:asciiTheme="minorHAnsi" w:hAnsiTheme="minorHAnsi" w:cstheme="minorHAnsi"/>
          <w:sz w:val="22"/>
          <w:szCs w:val="22"/>
        </w:rPr>
      </w:pPr>
      <w:r w:rsidRPr="005C4002">
        <w:rPr>
          <w:rFonts w:asciiTheme="minorHAnsi" w:hAnsiTheme="minorHAnsi" w:cstheme="minorHAnsi"/>
          <w:sz w:val="22"/>
          <w:szCs w:val="22"/>
        </w:rPr>
        <w:t>There are no prohibitions to the use of technology</w:t>
      </w:r>
      <w:r w:rsidRPr="005C4002" w:rsidR="00840C85">
        <w:rPr>
          <w:rFonts w:asciiTheme="minorHAnsi" w:hAnsiTheme="minorHAnsi" w:cstheme="minorHAnsi"/>
          <w:sz w:val="22"/>
          <w:szCs w:val="22"/>
        </w:rPr>
        <w:t>.</w:t>
      </w:r>
    </w:p>
    <w:p w:rsidR="005F4E11" w:rsidP="00AD381B" w14:paraId="4C43B7CA" w14:textId="77777777">
      <w:pPr>
        <w:pStyle w:val="ListParagraph"/>
        <w:tabs>
          <w:tab w:val="left" w:pos="-720"/>
        </w:tabs>
        <w:suppressAutoHyphens/>
        <w:contextualSpacing w:val="0"/>
        <w:rPr>
          <w:rFonts w:ascii="Times New Roman" w:hAnsi="Times New Roman"/>
          <w:szCs w:val="24"/>
        </w:rPr>
      </w:pPr>
    </w:p>
    <w:p w:rsidR="00AD381B" w:rsidP="00AD381B" w14:paraId="5CEE8EE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6ED41E8" w14:textId="77777777">
      <w:pPr>
        <w:pStyle w:val="ListParagraph"/>
        <w:tabs>
          <w:tab w:val="left" w:pos="-720"/>
        </w:tabs>
        <w:suppressAutoHyphens/>
        <w:contextualSpacing w:val="0"/>
        <w:rPr>
          <w:rFonts w:ascii="Times New Roman" w:hAnsi="Times New Roman"/>
          <w:b/>
          <w:szCs w:val="24"/>
        </w:rPr>
      </w:pPr>
    </w:p>
    <w:p w:rsidR="00EF4C67" w:rsidRPr="00EF4C67" w:rsidP="00EF4C67" w14:paraId="17064324" w14:textId="77777777">
      <w:pPr>
        <w:pStyle w:val="ListParagraph"/>
        <w:tabs>
          <w:tab w:val="left" w:pos="0"/>
        </w:tabs>
        <w:suppressAutoHyphens/>
        <w:rPr>
          <w:rFonts w:asciiTheme="minorHAnsi" w:hAnsiTheme="minorHAnsi" w:cstheme="minorHAnsi"/>
          <w:szCs w:val="24"/>
        </w:rPr>
      </w:pPr>
      <w:r w:rsidRPr="00205FBE">
        <w:rPr>
          <w:rFonts w:asciiTheme="minorHAnsi" w:hAnsiTheme="minorHAnsi" w:cstheme="minorHAnsi"/>
          <w:szCs w:val="24"/>
        </w:rPr>
        <w:t xml:space="preserve">This information is not duplicated on any other information collection. </w:t>
      </w:r>
    </w:p>
    <w:p w:rsidR="00043C32" w:rsidRPr="005F4E11" w:rsidP="005F4E11" w14:paraId="664A7818"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1EE1D84" w14:textId="77777777">
      <w:pPr>
        <w:pStyle w:val="ListParagraph"/>
        <w:contextualSpacing w:val="0"/>
        <w:rPr>
          <w:rFonts w:ascii="Times New Roman" w:hAnsi="Times New Roman"/>
          <w:szCs w:val="24"/>
        </w:rPr>
      </w:pPr>
    </w:p>
    <w:p w:rsidR="00273208" w:rsidRPr="00205FBE" w:rsidP="00273208" w14:paraId="36EF20E7" w14:textId="51D5F8CA">
      <w:pPr>
        <w:pStyle w:val="ListParagraph"/>
        <w:rPr>
          <w:rFonts w:asciiTheme="minorHAnsi" w:hAnsiTheme="minorHAnsi" w:cstheme="minorBidi"/>
        </w:rPr>
      </w:pPr>
      <w:r w:rsidRPr="5EE519B9">
        <w:rPr>
          <w:rFonts w:asciiTheme="minorHAnsi" w:hAnsiTheme="minorHAnsi" w:cstheme="minorBidi"/>
        </w:rPr>
        <w:t>The Department does not believe the regulations will adversely impact any institution that may meet the small entity designation.</w:t>
      </w:r>
    </w:p>
    <w:p w:rsidR="00EF4C67" w:rsidRPr="005F4E11" w:rsidP="00273208" w14:paraId="0ECE107E"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 </w:t>
      </w:r>
    </w:p>
    <w:p w:rsidR="00043C32" w:rsidP="00AD381B" w14:paraId="125B6BB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583F4ECC" w14:textId="77777777">
      <w:pPr>
        <w:tabs>
          <w:tab w:val="left" w:pos="-720"/>
        </w:tabs>
        <w:suppressAutoHyphens/>
        <w:ind w:left="720"/>
        <w:rPr>
          <w:rFonts w:ascii="Times New Roman" w:hAnsi="Times New Roman"/>
          <w:bCs/>
          <w:szCs w:val="24"/>
        </w:rPr>
      </w:pPr>
    </w:p>
    <w:p w:rsidR="00EF4C67" w:rsidRPr="00FB6309" w:rsidP="00273208" w14:paraId="0FBEDEB9" w14:textId="7C700917">
      <w:pPr>
        <w:pStyle w:val="BodyTextIndent"/>
        <w:rPr>
          <w:rFonts w:asciiTheme="minorHAnsi" w:hAnsiTheme="minorHAnsi" w:cstheme="minorHAnsi"/>
        </w:rPr>
      </w:pPr>
      <w:r>
        <w:rPr>
          <w:rFonts w:asciiTheme="minorHAnsi" w:hAnsiTheme="minorHAnsi" w:cstheme="minorHAnsi"/>
        </w:rPr>
        <w:t xml:space="preserve">If the requirements in these regulations do not occur, the Department </w:t>
      </w:r>
      <w:r w:rsidR="00002C11">
        <w:rPr>
          <w:rFonts w:asciiTheme="minorHAnsi" w:hAnsiTheme="minorHAnsi" w:cstheme="minorHAnsi"/>
        </w:rPr>
        <w:t xml:space="preserve">will </w:t>
      </w:r>
      <w:r>
        <w:rPr>
          <w:rFonts w:asciiTheme="minorHAnsi" w:hAnsiTheme="minorHAnsi" w:cstheme="minorHAnsi"/>
        </w:rPr>
        <w:t>lack</w:t>
      </w:r>
      <w:r w:rsidR="0051006E">
        <w:rPr>
          <w:rFonts w:asciiTheme="minorHAnsi" w:hAnsiTheme="minorHAnsi" w:cstheme="minorHAnsi"/>
        </w:rPr>
        <w:t xml:space="preserve"> </w:t>
      </w:r>
      <w:r>
        <w:rPr>
          <w:rFonts w:asciiTheme="minorHAnsi" w:hAnsiTheme="minorHAnsi" w:cstheme="minorHAnsi"/>
        </w:rPr>
        <w:t>information to</w:t>
      </w:r>
      <w:r w:rsidRPr="008B55C2">
        <w:rPr>
          <w:rFonts w:asciiTheme="minorHAnsi" w:hAnsiTheme="minorHAnsi" w:cstheme="minorHAnsi"/>
        </w:rPr>
        <w:t xml:space="preserve"> protect the integrity of the </w:t>
      </w:r>
      <w:r w:rsidR="007C6FA2">
        <w:rPr>
          <w:rFonts w:asciiTheme="minorHAnsi" w:hAnsiTheme="minorHAnsi" w:cstheme="minorHAnsi"/>
        </w:rPr>
        <w:t>T</w:t>
      </w:r>
      <w:r w:rsidRPr="008B55C2">
        <w:rPr>
          <w:rFonts w:asciiTheme="minorHAnsi" w:hAnsiTheme="minorHAnsi" w:cstheme="minorHAnsi"/>
        </w:rPr>
        <w:t xml:space="preserve">itle IV, HEA programs and to </w:t>
      </w:r>
      <w:r w:rsidRPr="008B55C2">
        <w:rPr>
          <w:rFonts w:asciiTheme="minorHAnsi" w:hAnsiTheme="minorHAnsi" w:cstheme="minorHAnsi"/>
          <w:shd w:val="clear" w:color="auto" w:fill="FFFFFF"/>
        </w:rPr>
        <w:t>protect students</w:t>
      </w:r>
      <w:r>
        <w:rPr>
          <w:rFonts w:asciiTheme="minorHAnsi" w:hAnsiTheme="minorHAnsi" w:cstheme="minorHAnsi"/>
          <w:shd w:val="clear" w:color="auto" w:fill="FFFFFF"/>
        </w:rPr>
        <w:t xml:space="preserve"> and taxpayers </w:t>
      </w:r>
      <w:r w:rsidR="003D6F32">
        <w:rPr>
          <w:rFonts w:asciiTheme="minorHAnsi" w:hAnsiTheme="minorHAnsi" w:cstheme="minorHAnsi"/>
          <w:shd w:val="clear" w:color="auto" w:fill="FFFFFF"/>
        </w:rPr>
        <w:t xml:space="preserve">from </w:t>
      </w:r>
      <w:r w:rsidRPr="008B55C2">
        <w:rPr>
          <w:rFonts w:asciiTheme="minorHAnsi" w:hAnsiTheme="minorHAnsi" w:cstheme="minorHAnsi"/>
          <w:shd w:val="clear" w:color="auto" w:fill="FFFFFF"/>
        </w:rPr>
        <w:t>abusive behaviors</w:t>
      </w:r>
      <w:r>
        <w:rPr>
          <w:rFonts w:asciiTheme="minorHAnsi" w:hAnsiTheme="minorHAnsi" w:cstheme="minorHAnsi"/>
        </w:rPr>
        <w:t>.</w:t>
      </w:r>
    </w:p>
    <w:p w:rsidR="005F4E11" w:rsidRPr="005F4E11" w:rsidP="005F4E11" w14:paraId="2873274A" w14:textId="77777777">
      <w:pPr>
        <w:tabs>
          <w:tab w:val="left" w:pos="-720"/>
        </w:tabs>
        <w:suppressAutoHyphens/>
        <w:ind w:left="720"/>
        <w:rPr>
          <w:rFonts w:ascii="Times New Roman" w:hAnsi="Times New Roman"/>
          <w:bCs/>
          <w:szCs w:val="24"/>
        </w:rPr>
      </w:pPr>
    </w:p>
    <w:p w:rsidR="00043C32" w:rsidRPr="00AD381B" w:rsidP="00AD381B" w14:paraId="64B711AE"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E2E2B3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2C3C78C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26F2530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3968A44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7E7375C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2E7B789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1CF06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t>unnecessarily impedes sharing of data with other agencies for compatible confidential use; or</w:t>
      </w:r>
    </w:p>
    <w:p w:rsidR="00043C32" w:rsidP="00AD381B" w14:paraId="0E4AE2B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9E91831" w14:textId="77777777">
      <w:pPr>
        <w:pStyle w:val="ListParagraph"/>
        <w:rPr>
          <w:rFonts w:ascii="Times New Roman" w:hAnsi="Times New Roman"/>
          <w:bCs/>
          <w:szCs w:val="24"/>
        </w:rPr>
      </w:pPr>
    </w:p>
    <w:p w:rsidR="00AD541E" w:rsidRPr="00FB6309" w:rsidP="00AD541E" w14:paraId="2E51FE1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1A8DC6F2" w14:textId="77777777">
      <w:pPr>
        <w:tabs>
          <w:tab w:val="left" w:pos="-720"/>
        </w:tabs>
        <w:suppressAutoHyphens/>
        <w:ind w:left="720"/>
        <w:rPr>
          <w:rFonts w:ascii="Times New Roman" w:hAnsi="Times New Roman"/>
          <w:szCs w:val="24"/>
        </w:rPr>
      </w:pPr>
    </w:p>
    <w:p w:rsidR="00D75313" w:rsidP="174AA452" w14:paraId="4C15FECA" w14:textId="76EE6E61">
      <w:pPr>
        <w:pStyle w:val="ListParagraph"/>
        <w:numPr>
          <w:ilvl w:val="0"/>
          <w:numId w:val="5"/>
        </w:numPr>
        <w:tabs>
          <w:tab w:val="left" w:pos="375"/>
        </w:tabs>
        <w:suppressAutoHyphens/>
        <w:contextualSpacing w:val="0"/>
        <w:rPr>
          <w:rFonts w:ascii="Times New Roman" w:hAnsi="Times New Roman"/>
          <w:b/>
          <w:bCs/>
        </w:rPr>
      </w:pPr>
      <w:r w:rsidRPr="174AA452">
        <w:rPr>
          <w:rFonts w:ascii="Times New Roman" w:hAnsi="Times New Roman"/>
          <w:b/>
          <w:bCs/>
        </w:rPr>
        <w:t xml:space="preserve">As applicable, </w:t>
      </w:r>
      <w:r w:rsidRPr="174AA452">
        <w:rPr>
          <w:rFonts w:ascii="Times New Roman" w:hAnsi="Times New Roman"/>
          <w:b/>
          <w:bCs/>
        </w:rPr>
        <w:t>state</w:t>
      </w:r>
      <w:r w:rsidRPr="174AA452" w:rsidR="5CD54DD5">
        <w:rPr>
          <w:rFonts w:ascii="Times New Roman" w:hAnsi="Times New Roman"/>
          <w:b/>
          <w:bCs/>
        </w:rPr>
        <w:t xml:space="preserve"> </w:t>
      </w:r>
      <w:r w:rsidRPr="174AA452">
        <w:rPr>
          <w:rFonts w:ascii="Times New Roman" w:hAnsi="Times New Roman"/>
          <w:b/>
          <w:bCs/>
        </w:rPr>
        <w:t>that</w:t>
      </w:r>
      <w:r w:rsidRPr="174AA452">
        <w:rPr>
          <w:rFonts w:ascii="Times New Roman" w:hAnsi="Times New Roman"/>
          <w:b/>
          <w:bCs/>
        </w:rPr>
        <w:t xml:space="preserve"> the Department has published the 60 and 30 Federal Register notices as required by 5 CFR 1320.8(d), </w:t>
      </w:r>
      <w:r w:rsidRPr="174AA452">
        <w:rPr>
          <w:rFonts w:ascii="Times New Roman" w:hAnsi="Times New Roman"/>
          <w:b/>
          <w:bCs/>
        </w:rPr>
        <w:t>soliciting</w:t>
      </w:r>
      <w:r w:rsidRPr="174AA452">
        <w:rPr>
          <w:rFonts w:ascii="Times New Roman" w:hAnsi="Times New Roman"/>
          <w:b/>
          <w:bCs/>
        </w:rPr>
        <w:t xml:space="preserve"> comments on the information collection prior to submission to OMB.</w:t>
      </w:r>
    </w:p>
    <w:p w:rsidR="00D75313" w:rsidP="00D75313" w14:paraId="02DC732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E3AB55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0D4B0B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2FD1A6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12EBD42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7C371FCD" w14:textId="77777777">
      <w:pPr>
        <w:tabs>
          <w:tab w:val="left" w:pos="-720"/>
        </w:tabs>
        <w:suppressAutoHyphens/>
        <w:rPr>
          <w:rStyle w:val="a"/>
          <w:rFonts w:ascii="Times New Roman" w:hAnsi="Times New Roman"/>
          <w:b/>
          <w:szCs w:val="24"/>
        </w:rPr>
      </w:pPr>
    </w:p>
    <w:p w:rsidR="00043C32" w:rsidP="00AD381B" w14:paraId="69CC05C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5306FC36" w14:textId="77777777">
      <w:pPr>
        <w:tabs>
          <w:tab w:val="left" w:pos="-720"/>
        </w:tabs>
        <w:suppressAutoHyphens/>
        <w:ind w:left="720"/>
        <w:rPr>
          <w:rFonts w:ascii="Times New Roman" w:hAnsi="Times New Roman"/>
          <w:bCs/>
          <w:szCs w:val="24"/>
        </w:rPr>
      </w:pPr>
    </w:p>
    <w:p w:rsidR="00AD541E" w:rsidP="00AD541E" w14:paraId="4E0677B0" w14:textId="2AE054E0">
      <w:pPr>
        <w:tabs>
          <w:tab w:val="left" w:pos="-720"/>
        </w:tabs>
        <w:suppressAutoHyphens/>
        <w:ind w:left="720"/>
        <w:rPr>
          <w:rFonts w:asciiTheme="minorHAnsi" w:hAnsiTheme="minorHAnsi" w:cstheme="minorHAnsi"/>
          <w:szCs w:val="24"/>
        </w:rPr>
      </w:pPr>
      <w:r w:rsidRPr="002C1039">
        <w:rPr>
          <w:rFonts w:asciiTheme="minorHAnsi" w:hAnsiTheme="minorHAnsi" w:cstheme="minorHAnsi"/>
          <w:szCs w:val="24"/>
        </w:rPr>
        <w:t>The Department developed these proposed regulations after conducting negotiated rulemaking with affected entities and other parties. On April 20, 2026, the Department published a Notice of Proposed Rulemaking (NPRM) in the Federal Register (91 FR 21088). The NPRM opened a 30-day comment period inviting the public to comment on the proposed burden.</w:t>
      </w:r>
    </w:p>
    <w:p w:rsidR="00A65249" w:rsidP="00AD541E" w14:paraId="74372788" w14:textId="77777777">
      <w:pPr>
        <w:tabs>
          <w:tab w:val="left" w:pos="-720"/>
        </w:tabs>
        <w:suppressAutoHyphens/>
        <w:ind w:left="720"/>
        <w:rPr>
          <w:rFonts w:asciiTheme="minorHAnsi" w:hAnsiTheme="minorHAnsi" w:cstheme="minorHAnsi"/>
          <w:szCs w:val="24"/>
        </w:rPr>
      </w:pPr>
    </w:p>
    <w:p w:rsidR="00A65249" w:rsidRPr="00FB6309" w:rsidP="00AD541E" w14:paraId="7A7E1185" w14:textId="7872CC54">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Comments were received regarding burden during the comment period. </w:t>
      </w:r>
      <w:r w:rsidR="00532156">
        <w:rPr>
          <w:rFonts w:asciiTheme="minorHAnsi" w:hAnsiTheme="minorHAnsi" w:cstheme="minorHAnsi"/>
          <w:szCs w:val="24"/>
        </w:rPr>
        <w:t xml:space="preserve">A summary of the comments and the </w:t>
      </w:r>
      <w:r w:rsidR="0077216E">
        <w:rPr>
          <w:rFonts w:asciiTheme="minorHAnsi" w:hAnsiTheme="minorHAnsi" w:cstheme="minorHAnsi"/>
          <w:szCs w:val="24"/>
        </w:rPr>
        <w:t xml:space="preserve">Department’s responses to those comments can be found in the Final Rule once published in the Federal Register. </w:t>
      </w:r>
      <w:r w:rsidR="007C3BE6">
        <w:rPr>
          <w:rFonts w:asciiTheme="minorHAnsi" w:hAnsiTheme="minorHAnsi" w:cstheme="minorHAnsi"/>
          <w:szCs w:val="24"/>
        </w:rPr>
        <w:t xml:space="preserve">No changes to this collection were made </w:t>
      </w:r>
      <w:r w:rsidR="007C3BE6">
        <w:rPr>
          <w:rFonts w:asciiTheme="minorHAnsi" w:hAnsiTheme="minorHAnsi" w:cstheme="minorHAnsi"/>
          <w:szCs w:val="24"/>
        </w:rPr>
        <w:t>as a result of</w:t>
      </w:r>
      <w:r w:rsidR="007C3BE6">
        <w:rPr>
          <w:rFonts w:asciiTheme="minorHAnsi" w:hAnsiTheme="minorHAnsi" w:cstheme="minorHAnsi"/>
          <w:szCs w:val="24"/>
        </w:rPr>
        <w:t xml:space="preserve"> the comments. </w:t>
      </w:r>
    </w:p>
    <w:p w:rsidR="00002C11" w:rsidP="009B2209" w14:paraId="53CBF745" w14:textId="77777777">
      <w:pPr>
        <w:tabs>
          <w:tab w:val="left" w:pos="-720"/>
        </w:tabs>
        <w:suppressAutoHyphens/>
        <w:rPr>
          <w:rFonts w:ascii="Times New Roman" w:hAnsi="Times New Roman"/>
          <w:szCs w:val="24"/>
        </w:rPr>
      </w:pPr>
    </w:p>
    <w:p w:rsidR="00043C32" w:rsidP="00AD381B" w14:paraId="52DA06C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1143E687" w14:textId="77777777">
      <w:pPr>
        <w:pStyle w:val="ListParagraph"/>
        <w:tabs>
          <w:tab w:val="left" w:pos="-720"/>
        </w:tabs>
        <w:suppressAutoHyphens/>
        <w:contextualSpacing w:val="0"/>
        <w:rPr>
          <w:rFonts w:ascii="Times New Roman" w:hAnsi="Times New Roman"/>
          <w:bCs/>
          <w:szCs w:val="24"/>
        </w:rPr>
      </w:pPr>
    </w:p>
    <w:p w:rsidR="00AD541E" w:rsidRPr="00FB6309" w:rsidP="00AD541E" w14:paraId="74EF8CC6"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24F88FED" w14:textId="77777777">
      <w:pPr>
        <w:pStyle w:val="ListParagraph"/>
        <w:tabs>
          <w:tab w:val="left" w:pos="-720"/>
        </w:tabs>
        <w:suppressAutoHyphens/>
        <w:contextualSpacing w:val="0"/>
        <w:rPr>
          <w:rFonts w:ascii="Times New Roman" w:hAnsi="Times New Roman"/>
          <w:bCs/>
          <w:szCs w:val="24"/>
        </w:rPr>
      </w:pPr>
    </w:p>
    <w:p w:rsidR="00043C32" w:rsidRPr="00D75313" w:rsidP="00AD381B" w14:paraId="6EB644A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1746E11" w14:textId="77777777">
      <w:pPr>
        <w:tabs>
          <w:tab w:val="left" w:pos="-720"/>
        </w:tabs>
        <w:suppressAutoHyphens/>
        <w:ind w:left="720"/>
        <w:rPr>
          <w:rFonts w:ascii="Times New Roman" w:hAnsi="Times New Roman"/>
          <w:bCs/>
          <w:szCs w:val="24"/>
        </w:rPr>
      </w:pPr>
    </w:p>
    <w:p w:rsidR="00AD541E" w:rsidP="00AD541E" w14:paraId="4AAF7364"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47EAAEC6" w14:textId="77777777">
      <w:pPr>
        <w:tabs>
          <w:tab w:val="left" w:pos="-720"/>
        </w:tabs>
        <w:suppressAutoHyphens/>
        <w:ind w:left="720"/>
        <w:rPr>
          <w:rFonts w:ascii="Times New Roman" w:hAnsi="Times New Roman"/>
          <w:bCs/>
          <w:szCs w:val="24"/>
        </w:rPr>
      </w:pPr>
    </w:p>
    <w:p w:rsidR="00043C32" w:rsidP="00AD381B" w14:paraId="113FCDE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57CAE6F1" w14:textId="77777777">
      <w:pPr>
        <w:tabs>
          <w:tab w:val="left" w:pos="-720"/>
        </w:tabs>
        <w:suppressAutoHyphens/>
        <w:ind w:left="720"/>
        <w:rPr>
          <w:rFonts w:ascii="Times New Roman" w:hAnsi="Times New Roman"/>
          <w:bCs/>
          <w:szCs w:val="24"/>
        </w:rPr>
      </w:pPr>
    </w:p>
    <w:p w:rsidR="00AD541E" w:rsidRPr="00FB6309" w:rsidP="00AD541E" w14:paraId="1E0A8518"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14A09F85" w14:textId="77777777">
      <w:pPr>
        <w:tabs>
          <w:tab w:val="left" w:pos="-720"/>
        </w:tabs>
        <w:suppressAutoHyphens/>
        <w:ind w:left="720"/>
        <w:rPr>
          <w:rFonts w:ascii="Times New Roman" w:hAnsi="Times New Roman"/>
          <w:bCs/>
          <w:szCs w:val="24"/>
        </w:rPr>
      </w:pPr>
    </w:p>
    <w:p w:rsidR="00043C32" w:rsidRPr="00920F63" w:rsidP="00AD381B" w14:paraId="711474D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8D2B5BE" w14:textId="77777777">
      <w:pPr>
        <w:tabs>
          <w:tab w:val="left" w:pos="-720"/>
        </w:tabs>
        <w:suppressAutoHyphens/>
        <w:rPr>
          <w:rStyle w:val="a"/>
          <w:rFonts w:ascii="Times New Roman" w:hAnsi="Times New Roman"/>
          <w:b/>
          <w:szCs w:val="24"/>
        </w:rPr>
      </w:pPr>
    </w:p>
    <w:p w:rsidR="00C224FD" w:rsidP="00C224FD" w14:paraId="069313D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36DD6F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7DC4E6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19B846EB"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D85712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1351A49B" w14:textId="77777777">
      <w:pPr>
        <w:tabs>
          <w:tab w:val="left" w:pos="-720"/>
          <w:tab w:val="left" w:pos="1247"/>
        </w:tabs>
        <w:suppressAutoHyphens/>
        <w:rPr>
          <w:rStyle w:val="a"/>
          <w:rFonts w:ascii="Times New Roman" w:hAnsi="Times New Roman"/>
          <w:b/>
          <w:szCs w:val="24"/>
        </w:rPr>
      </w:pPr>
    </w:p>
    <w:p w:rsidR="00707098" w:rsidRPr="00E81F59" w:rsidP="00756FD3" w14:paraId="1547150D" w14:textId="688480A9">
      <w:pPr>
        <w:tabs>
          <w:tab w:val="left" w:pos="-720"/>
          <w:tab w:val="left" w:pos="1247"/>
        </w:tabs>
        <w:suppressAutoHyphens/>
        <w:rPr>
          <w:rStyle w:val="a"/>
          <w:rFonts w:asciiTheme="minorHAnsi" w:hAnsiTheme="minorHAnsi" w:cstheme="minorHAnsi"/>
          <w:bCs/>
          <w:szCs w:val="24"/>
        </w:rPr>
      </w:pPr>
      <w:r w:rsidRPr="00E81F59">
        <w:rPr>
          <w:rStyle w:val="a"/>
          <w:rFonts w:asciiTheme="minorHAnsi" w:hAnsiTheme="minorHAnsi" w:cstheme="minorHAnsi"/>
          <w:bCs/>
          <w:szCs w:val="24"/>
        </w:rPr>
        <w:t xml:space="preserve">This supporting statement covers </w:t>
      </w:r>
      <w:r w:rsidRPr="00E81F59" w:rsidR="005E520D">
        <w:rPr>
          <w:rStyle w:val="a"/>
          <w:rFonts w:asciiTheme="minorHAnsi" w:hAnsiTheme="minorHAnsi" w:cstheme="minorHAnsi"/>
          <w:bCs/>
          <w:szCs w:val="24"/>
        </w:rPr>
        <w:t xml:space="preserve">the </w:t>
      </w:r>
      <w:r w:rsidRPr="00E81F59" w:rsidR="005C56DA">
        <w:rPr>
          <w:rStyle w:val="a"/>
          <w:rFonts w:asciiTheme="minorHAnsi" w:hAnsiTheme="minorHAnsi" w:cstheme="minorHAnsi"/>
          <w:bCs/>
          <w:szCs w:val="24"/>
        </w:rPr>
        <w:t xml:space="preserve">information collection requirements for the </w:t>
      </w:r>
      <w:r w:rsidRPr="00E81F59" w:rsidR="005E520D">
        <w:rPr>
          <w:rStyle w:val="a"/>
          <w:rFonts w:asciiTheme="minorHAnsi" w:hAnsiTheme="minorHAnsi" w:cstheme="minorHAnsi"/>
          <w:bCs/>
          <w:szCs w:val="24"/>
        </w:rPr>
        <w:t xml:space="preserve">regulatory changes </w:t>
      </w:r>
      <w:r w:rsidRPr="00E81F59" w:rsidR="004D0852">
        <w:rPr>
          <w:rStyle w:val="a"/>
          <w:rFonts w:asciiTheme="minorHAnsi" w:hAnsiTheme="minorHAnsi" w:cstheme="minorHAnsi"/>
          <w:bCs/>
          <w:szCs w:val="24"/>
        </w:rPr>
        <w:t>from the</w:t>
      </w:r>
      <w:r w:rsidRPr="00E81F59" w:rsidR="00E82835">
        <w:rPr>
          <w:rStyle w:val="a"/>
          <w:rFonts w:asciiTheme="minorHAnsi" w:hAnsiTheme="minorHAnsi" w:cstheme="minorHAnsi"/>
          <w:bCs/>
          <w:szCs w:val="24"/>
        </w:rPr>
        <w:t xml:space="preserve"> Accountability in Higher Education and Access Through Demand-Driven Workforce Pell: Student Tuition and Transparency System (STATS) and Earnings Accountability Notice of Proposed Rulemaking</w:t>
      </w:r>
      <w:r w:rsidRPr="00E81F59" w:rsidR="00F909A3">
        <w:rPr>
          <w:rStyle w:val="a"/>
          <w:rFonts w:asciiTheme="minorHAnsi" w:hAnsiTheme="minorHAnsi" w:cstheme="minorHAnsi"/>
          <w:bCs/>
          <w:szCs w:val="24"/>
        </w:rPr>
        <w:t xml:space="preserve"> (91 FR 21088)</w:t>
      </w:r>
      <w:r w:rsidRPr="00E81F59" w:rsidR="00FE05DC">
        <w:rPr>
          <w:rStyle w:val="a"/>
          <w:rFonts w:asciiTheme="minorHAnsi" w:hAnsiTheme="minorHAnsi" w:cstheme="minorHAnsi"/>
          <w:bCs/>
          <w:szCs w:val="24"/>
        </w:rPr>
        <w:t xml:space="preserve">. </w:t>
      </w:r>
      <w:r w:rsidRPr="00E81F59" w:rsidR="00F22944">
        <w:rPr>
          <w:rStyle w:val="a"/>
          <w:rFonts w:asciiTheme="minorHAnsi" w:hAnsiTheme="minorHAnsi" w:cstheme="minorHAnsi"/>
          <w:bCs/>
          <w:szCs w:val="24"/>
        </w:rPr>
        <w:t>OMB Control #</w:t>
      </w:r>
      <w:r w:rsidRPr="00E81F59" w:rsidR="00FE05DC">
        <w:rPr>
          <w:rStyle w:val="a"/>
          <w:rFonts w:asciiTheme="minorHAnsi" w:hAnsiTheme="minorHAnsi" w:cstheme="minorHAnsi"/>
          <w:bCs/>
          <w:szCs w:val="24"/>
        </w:rPr>
        <w:t xml:space="preserve">1845-0022 </w:t>
      </w:r>
      <w:r w:rsidRPr="00E81F59" w:rsidR="00FC0607">
        <w:rPr>
          <w:rStyle w:val="a"/>
          <w:rFonts w:asciiTheme="minorHAnsi" w:hAnsiTheme="minorHAnsi" w:cstheme="minorHAnsi"/>
          <w:bCs/>
          <w:szCs w:val="24"/>
        </w:rPr>
        <w:t>includes</w:t>
      </w:r>
      <w:r w:rsidRPr="00E81F59" w:rsidR="00FE05DC">
        <w:rPr>
          <w:rStyle w:val="a"/>
          <w:rFonts w:asciiTheme="minorHAnsi" w:hAnsiTheme="minorHAnsi" w:cstheme="minorHAnsi"/>
          <w:bCs/>
          <w:szCs w:val="24"/>
        </w:rPr>
        <w:t xml:space="preserve"> burden for regulation</w:t>
      </w:r>
      <w:r w:rsidRPr="00E81F59" w:rsidR="00F909A3">
        <w:rPr>
          <w:rStyle w:val="a"/>
          <w:rFonts w:asciiTheme="minorHAnsi" w:hAnsiTheme="minorHAnsi" w:cstheme="minorHAnsi"/>
          <w:bCs/>
          <w:szCs w:val="24"/>
        </w:rPr>
        <w:t>s</w:t>
      </w:r>
      <w:r w:rsidRPr="00E81F59" w:rsidR="005A0CCD">
        <w:rPr>
          <w:rStyle w:val="a"/>
          <w:rFonts w:asciiTheme="minorHAnsi" w:hAnsiTheme="minorHAnsi" w:cstheme="minorHAnsi"/>
          <w:bCs/>
          <w:szCs w:val="24"/>
        </w:rPr>
        <w:t xml:space="preserve"> outside of </w:t>
      </w:r>
      <w:r w:rsidRPr="00E81F59" w:rsidR="00F909A3">
        <w:rPr>
          <w:rStyle w:val="a"/>
          <w:rFonts w:asciiTheme="minorHAnsi" w:hAnsiTheme="minorHAnsi" w:cstheme="minorHAnsi"/>
          <w:bCs/>
          <w:szCs w:val="24"/>
        </w:rPr>
        <w:t>the scope of th</w:t>
      </w:r>
      <w:r w:rsidRPr="00E81F59" w:rsidR="00AA3715">
        <w:rPr>
          <w:rStyle w:val="a"/>
          <w:rFonts w:asciiTheme="minorHAnsi" w:hAnsiTheme="minorHAnsi" w:cstheme="minorHAnsi"/>
          <w:bCs/>
          <w:szCs w:val="24"/>
        </w:rPr>
        <w:t>e</w:t>
      </w:r>
      <w:r w:rsidRPr="00E81F59" w:rsidR="00F909A3">
        <w:rPr>
          <w:rStyle w:val="a"/>
          <w:rFonts w:asciiTheme="minorHAnsi" w:hAnsiTheme="minorHAnsi" w:cstheme="minorHAnsi"/>
          <w:bCs/>
          <w:szCs w:val="24"/>
        </w:rPr>
        <w:t xml:space="preserve"> NPRM. </w:t>
      </w:r>
      <w:r w:rsidRPr="00E81F59" w:rsidR="00193BC8">
        <w:rPr>
          <w:rStyle w:val="a"/>
          <w:rFonts w:asciiTheme="minorHAnsi" w:hAnsiTheme="minorHAnsi" w:cstheme="minorHAnsi"/>
          <w:bCs/>
          <w:szCs w:val="24"/>
        </w:rPr>
        <w:t>Existing, unchanged regula</w:t>
      </w:r>
      <w:r w:rsidRPr="00E81F59" w:rsidR="007D0D11">
        <w:rPr>
          <w:rStyle w:val="a"/>
          <w:rFonts w:asciiTheme="minorHAnsi" w:hAnsiTheme="minorHAnsi" w:cstheme="minorHAnsi"/>
          <w:bCs/>
          <w:szCs w:val="24"/>
        </w:rPr>
        <w:t>tory b</w:t>
      </w:r>
      <w:r w:rsidRPr="00E81F59" w:rsidR="00193BC8">
        <w:rPr>
          <w:rStyle w:val="a"/>
          <w:rFonts w:asciiTheme="minorHAnsi" w:hAnsiTheme="minorHAnsi" w:cstheme="minorHAnsi"/>
          <w:bCs/>
          <w:szCs w:val="24"/>
        </w:rPr>
        <w:t>urden in 1845-0022</w:t>
      </w:r>
      <w:r w:rsidRPr="00E81F59" w:rsidR="007D0D11">
        <w:rPr>
          <w:rStyle w:val="a"/>
          <w:rFonts w:asciiTheme="minorHAnsi" w:hAnsiTheme="minorHAnsi" w:cstheme="minorHAnsi"/>
          <w:bCs/>
          <w:szCs w:val="24"/>
        </w:rPr>
        <w:t xml:space="preserve"> </w:t>
      </w:r>
      <w:r w:rsidRPr="00E81F59" w:rsidR="00F22944">
        <w:rPr>
          <w:rStyle w:val="a"/>
          <w:rFonts w:asciiTheme="minorHAnsi" w:hAnsiTheme="minorHAnsi" w:cstheme="minorHAnsi"/>
          <w:bCs/>
          <w:szCs w:val="24"/>
        </w:rPr>
        <w:t xml:space="preserve">currently </w:t>
      </w:r>
      <w:r w:rsidRPr="00E81F59" w:rsidR="007D0D11">
        <w:rPr>
          <w:rStyle w:val="a"/>
          <w:rFonts w:asciiTheme="minorHAnsi" w:hAnsiTheme="minorHAnsi" w:cstheme="minorHAnsi"/>
          <w:bCs/>
          <w:szCs w:val="24"/>
        </w:rPr>
        <w:t xml:space="preserve">totals </w:t>
      </w:r>
      <w:r w:rsidRPr="00E81F59" w:rsidR="0094127E">
        <w:rPr>
          <w:rStyle w:val="a"/>
          <w:rFonts w:asciiTheme="minorHAnsi" w:hAnsiTheme="minorHAnsi" w:cstheme="minorHAnsi"/>
          <w:bCs/>
          <w:szCs w:val="24"/>
        </w:rPr>
        <w:t>2,738,785</w:t>
      </w:r>
      <w:r w:rsidRPr="00E81F59" w:rsidR="00FE498F">
        <w:rPr>
          <w:rStyle w:val="a"/>
          <w:rFonts w:asciiTheme="minorHAnsi" w:hAnsiTheme="minorHAnsi" w:cstheme="minorHAnsi"/>
          <w:bCs/>
          <w:szCs w:val="24"/>
        </w:rPr>
        <w:t xml:space="preserve"> annual burden hours and 2,046,660 responses</w:t>
      </w:r>
      <w:r w:rsidRPr="00E81F59" w:rsidR="00F22944">
        <w:rPr>
          <w:rStyle w:val="a"/>
          <w:rFonts w:asciiTheme="minorHAnsi" w:hAnsiTheme="minorHAnsi" w:cstheme="minorHAnsi"/>
          <w:bCs/>
          <w:szCs w:val="24"/>
        </w:rPr>
        <w:t xml:space="preserve">. </w:t>
      </w:r>
    </w:p>
    <w:p w:rsidR="00707098" w:rsidP="005335F2" w14:paraId="1C77C264" w14:textId="77777777">
      <w:pPr>
        <w:textAlignment w:val="baseline"/>
        <w:rPr>
          <w:rFonts w:asciiTheme="minorHAnsi" w:hAnsiTheme="minorHAnsi" w:cstheme="minorHAnsi"/>
          <w:b/>
          <w:bCs/>
          <w:szCs w:val="24"/>
        </w:rPr>
      </w:pPr>
    </w:p>
    <w:p w:rsidR="00162EF8" w:rsidRPr="00162EF8" w:rsidP="00162EF8" w14:paraId="7D26A4F4" w14:textId="77777777">
      <w:pPr>
        <w:spacing w:after="160" w:line="278" w:lineRule="auto"/>
        <w:rPr>
          <w:rFonts w:ascii="Aptos" w:eastAsia="Aptos" w:hAnsi="Aptos"/>
          <w:b/>
          <w:bCs/>
          <w:kern w:val="2"/>
          <w:szCs w:val="24"/>
          <w14:ligatures w14:val="standardContextual"/>
        </w:rPr>
      </w:pPr>
      <w:r w:rsidRPr="00162EF8">
        <w:rPr>
          <w:rFonts w:ascii="Aptos" w:eastAsia="Aptos" w:hAnsi="Aptos"/>
          <w:b/>
          <w:bCs/>
          <w:kern w:val="2"/>
          <w:szCs w:val="24"/>
          <w14:ligatures w14:val="standardContextual"/>
        </w:rPr>
        <w:t>§</w:t>
      </w:r>
      <w:r w:rsidRPr="00162EF8">
        <w:rPr>
          <w:rFonts w:ascii="Arial" w:eastAsia="Aptos" w:hAnsi="Arial" w:cs="Arial"/>
          <w:b/>
          <w:bCs/>
          <w:kern w:val="2"/>
          <w:szCs w:val="24"/>
          <w14:ligatures w14:val="standardContextual"/>
        </w:rPr>
        <w:t> </w:t>
      </w:r>
      <w:r w:rsidRPr="00162EF8">
        <w:rPr>
          <w:rFonts w:ascii="Aptos" w:eastAsia="Aptos" w:hAnsi="Aptos"/>
          <w:b/>
          <w:bCs/>
          <w:kern w:val="2"/>
          <w:szCs w:val="24"/>
          <w14:ligatures w14:val="standardContextual"/>
        </w:rPr>
        <w:t>668.14</w:t>
      </w:r>
      <w:r w:rsidRPr="00162EF8">
        <w:rPr>
          <w:rFonts w:ascii="Aptos" w:eastAsia="Aptos" w:hAnsi="Aptos"/>
          <w:b/>
          <w:bCs/>
          <w:kern w:val="2"/>
          <w:szCs w:val="24"/>
          <w14:ligatures w14:val="standardContextual"/>
        </w:rPr>
        <w:t> </w:t>
      </w:r>
      <w:r w:rsidRPr="00162EF8">
        <w:rPr>
          <w:rFonts w:ascii="Aptos" w:eastAsia="Aptos" w:hAnsi="Aptos"/>
          <w:b/>
          <w:bCs/>
          <w:kern w:val="2"/>
          <w:szCs w:val="24"/>
          <w14:ligatures w14:val="standardContextual"/>
        </w:rPr>
        <w:t>Program Participation Agreement</w:t>
      </w:r>
    </w:p>
    <w:p w:rsidR="00162EF8" w:rsidRPr="00162EF8" w:rsidP="00162EF8" w14:paraId="4E931AF4" w14:textId="77777777">
      <w:pPr>
        <w:spacing w:after="160" w:line="278" w:lineRule="auto"/>
        <w:rPr>
          <w:rFonts w:ascii="Aptos" w:eastAsia="Aptos" w:hAnsi="Aptos"/>
          <w:b/>
          <w:bCs/>
          <w:kern w:val="2"/>
          <w:szCs w:val="24"/>
          <w14:ligatures w14:val="standardContextual"/>
        </w:rPr>
      </w:pPr>
      <w:r w:rsidRPr="00162EF8">
        <w:rPr>
          <w:rFonts w:ascii="Aptos" w:eastAsia="Aptos" w:hAnsi="Aptos"/>
          <w:b/>
          <w:bCs/>
          <w:kern w:val="2"/>
          <w:szCs w:val="24"/>
          <w14:ligatures w14:val="standardContextual"/>
        </w:rPr>
        <w:t>Summary</w:t>
      </w:r>
    </w:p>
    <w:p w:rsidR="00162EF8" w:rsidRPr="00162EF8" w:rsidP="00162EF8" w14:paraId="7C7DD548" w14:textId="77777777">
      <w:pPr>
        <w:spacing w:after="160" w:line="278" w:lineRule="auto"/>
        <w:rPr>
          <w:rFonts w:ascii="Aptos" w:eastAsia="Aptos" w:hAnsi="Aptos"/>
          <w:kern w:val="2"/>
          <w:szCs w:val="24"/>
          <w14:ligatures w14:val="standardContextual"/>
        </w:rPr>
      </w:pPr>
      <w:r w:rsidRPr="00162EF8">
        <w:rPr>
          <w:rFonts w:ascii="Aptos" w:eastAsia="Aptos" w:hAnsi="Aptos"/>
          <w:kern w:val="2"/>
          <w:szCs w:val="24"/>
          <w14:ligatures w14:val="standardContextual"/>
        </w:rPr>
        <w:t>An institution is permitted to appeal the Secretary's determination that a program is a low-earning outcome program under §</w:t>
      </w:r>
      <w:r w:rsidRPr="00162EF8">
        <w:rPr>
          <w:rFonts w:ascii="Arial" w:eastAsia="Aptos" w:hAnsi="Arial" w:cs="Arial"/>
          <w:kern w:val="2"/>
          <w:szCs w:val="24"/>
          <w14:ligatures w14:val="standardContextual"/>
        </w:rPr>
        <w:t> </w:t>
      </w:r>
      <w:r w:rsidRPr="00162EF8">
        <w:rPr>
          <w:rFonts w:ascii="Aptos" w:eastAsia="Aptos" w:hAnsi="Aptos"/>
          <w:kern w:val="2"/>
          <w:szCs w:val="24"/>
          <w14:ligatures w14:val="standardContextual"/>
        </w:rPr>
        <w:t xml:space="preserve">668.603(a)(2) based on the data used in the calculation. An institution is also permitted to appeal the Secretary's determination that a program has failed to meet the administrative capability conditions at </w:t>
      </w:r>
      <w:r w:rsidRPr="00162EF8">
        <w:rPr>
          <w:rFonts w:ascii="Aptos" w:eastAsia="Aptos" w:hAnsi="Aptos" w:cs="Aptos"/>
          <w:kern w:val="2"/>
          <w:szCs w:val="24"/>
          <w14:ligatures w14:val="standardContextual"/>
        </w:rPr>
        <w:t>§</w:t>
      </w:r>
      <w:r w:rsidRPr="00162EF8">
        <w:rPr>
          <w:rFonts w:ascii="Arial" w:eastAsia="Aptos" w:hAnsi="Arial" w:cs="Arial"/>
          <w:kern w:val="2"/>
          <w:szCs w:val="24"/>
          <w14:ligatures w14:val="standardContextual"/>
        </w:rPr>
        <w:t> </w:t>
      </w:r>
      <w:r w:rsidRPr="00162EF8">
        <w:rPr>
          <w:rFonts w:ascii="Aptos" w:eastAsia="Aptos" w:hAnsi="Aptos"/>
          <w:kern w:val="2"/>
          <w:szCs w:val="24"/>
          <w14:ligatures w14:val="standardContextual"/>
        </w:rPr>
        <w:t>668.16(t) in two out of three consecutive award years.</w:t>
      </w:r>
    </w:p>
    <w:p w:rsidR="00162EF8" w:rsidRPr="00162EF8" w:rsidP="00162EF8" w14:paraId="026C38C6" w14:textId="77777777">
      <w:pPr>
        <w:spacing w:after="160" w:line="278" w:lineRule="auto"/>
        <w:rPr>
          <w:rFonts w:ascii="Aptos" w:eastAsia="Aptos" w:hAnsi="Aptos"/>
          <w:b/>
          <w:bCs/>
          <w:kern w:val="2"/>
          <w:szCs w:val="24"/>
          <w14:ligatures w14:val="standardContextual"/>
        </w:rPr>
      </w:pPr>
      <w:r w:rsidRPr="00162EF8">
        <w:rPr>
          <w:rFonts w:ascii="Aptos" w:eastAsia="Aptos" w:hAnsi="Aptos"/>
          <w:b/>
          <w:bCs/>
          <w:kern w:val="2"/>
          <w:szCs w:val="24"/>
          <w14:ligatures w14:val="standardContextual"/>
        </w:rPr>
        <w:t>Burden</w:t>
      </w:r>
    </w:p>
    <w:p w:rsidR="00162EF8" w:rsidRPr="00162EF8" w:rsidP="00162EF8" w14:paraId="0CCAC319" w14:textId="77777777">
      <w:pPr>
        <w:spacing w:after="160" w:line="278" w:lineRule="auto"/>
        <w:rPr>
          <w:rFonts w:ascii="Aptos" w:eastAsia="Aptos" w:hAnsi="Aptos"/>
          <w:kern w:val="2"/>
          <w:szCs w:val="24"/>
          <w14:ligatures w14:val="standardContextual"/>
        </w:rPr>
      </w:pPr>
      <w:r w:rsidRPr="00162EF8">
        <w:rPr>
          <w:rFonts w:ascii="Aptos" w:eastAsia="Aptos" w:hAnsi="Aptos"/>
          <w:kern w:val="2"/>
          <w:szCs w:val="24"/>
          <w14:ligatures w14:val="standardContextual"/>
        </w:rPr>
        <w:t>In the preamble to the Notice of Proposed Rulemaking (NPRM), the Department had originally estimated there would be 6,520 programs that failed the earnings premium the first year the calculation becomes effective. As described earlier in the Regulatory Impact Analysis, the Department now estimates that approximately 3,302 programs could fail the earnings premium measure the first year the calculation becomes effective. This slightly decreases our original estimate of burden for this regulation from 1,956 responses and 5,868 burden hours to 991 responses and 2,973 burden hours.</w:t>
      </w:r>
    </w:p>
    <w:p w:rsidR="00162EF8" w:rsidRPr="00162EF8" w:rsidP="00162EF8" w14:paraId="59AB4E48" w14:textId="77777777">
      <w:pPr>
        <w:spacing w:after="160" w:line="278" w:lineRule="auto"/>
        <w:rPr>
          <w:rFonts w:ascii="Aptos" w:eastAsia="Aptos" w:hAnsi="Aptos"/>
          <w:kern w:val="2"/>
          <w:szCs w:val="24"/>
          <w14:ligatures w14:val="standardContextual"/>
        </w:rPr>
      </w:pPr>
      <w:r w:rsidRPr="00162EF8">
        <w:rPr>
          <w:rFonts w:ascii="Aptos" w:eastAsia="Aptos" w:hAnsi="Aptos"/>
          <w:kern w:val="2"/>
          <w:szCs w:val="24"/>
          <w14:ligatures w14:val="standardContextual"/>
        </w:rPr>
        <w:t>We believe that a large majority of programs that fail in the first year will fail in the next, as described in the Regulatory Impact Analysis. For that reason, we anticipate that 40 percent of those programs will choose to do an orderly shutdown of the program that failed the earnings premium measure.</w:t>
      </w:r>
    </w:p>
    <w:p w:rsidR="00162EF8" w:rsidRPr="00162EF8" w:rsidP="00162EF8" w14:paraId="1BE6F378" w14:textId="32B02570">
      <w:pPr>
        <w:spacing w:after="160" w:line="278" w:lineRule="auto"/>
        <w:rPr>
          <w:rFonts w:ascii="Aptos" w:eastAsia="Aptos" w:hAnsi="Aptos"/>
          <w:kern w:val="2"/>
          <w:szCs w:val="24"/>
          <w14:ligatures w14:val="standardContextual"/>
        </w:rPr>
      </w:pPr>
      <w:r w:rsidRPr="00162EF8">
        <w:rPr>
          <w:rFonts w:ascii="Aptos" w:eastAsia="Aptos" w:hAnsi="Aptos"/>
          <w:kern w:val="2"/>
          <w:szCs w:val="24"/>
          <w14:ligatures w14:val="standardContextual"/>
        </w:rPr>
        <w:t>Of the remaining 1,981 programs, we anticipate that 50 percent of programs would seek an appeal, which is very common for institutions to do. However, the Department is also limit</w:t>
      </w:r>
      <w:r w:rsidR="000C2659">
        <w:rPr>
          <w:rFonts w:ascii="Aptos" w:eastAsia="Aptos" w:hAnsi="Aptos"/>
          <w:kern w:val="2"/>
          <w:szCs w:val="24"/>
          <w14:ligatures w14:val="standardContextual"/>
        </w:rPr>
        <w:t>ing</w:t>
      </w:r>
      <w:r w:rsidRPr="00162EF8">
        <w:rPr>
          <w:rFonts w:ascii="Aptos" w:eastAsia="Aptos" w:hAnsi="Aptos"/>
          <w:kern w:val="2"/>
          <w:szCs w:val="24"/>
          <w14:ligatures w14:val="standardContextual"/>
        </w:rPr>
        <w:t xml:space="preserve"> an institution's ability to appeal only in instances where the institution believes the Department </w:t>
      </w:r>
      <w:r w:rsidRPr="00162EF8">
        <w:rPr>
          <w:rFonts w:ascii="Aptos" w:eastAsia="Aptos" w:hAnsi="Aptos"/>
          <w:kern w:val="2"/>
          <w:szCs w:val="24"/>
          <w14:ligatures w14:val="standardContextual"/>
        </w:rPr>
        <w:t>erred</w:t>
      </w:r>
      <w:r w:rsidRPr="00162EF8">
        <w:rPr>
          <w:rFonts w:ascii="Aptos" w:eastAsia="Aptos" w:hAnsi="Aptos"/>
          <w:kern w:val="2"/>
          <w:szCs w:val="24"/>
          <w14:ligatures w14:val="standardContextual"/>
        </w:rPr>
        <w:t xml:space="preserve"> in its calculations. These final regulations also provide an opportunity for programs to voluntarily opt-out of the federal loan program after the first year a program fails the earnings premium metric. </w:t>
      </w:r>
    </w:p>
    <w:p w:rsidR="00162EF8" w:rsidRPr="00162EF8" w:rsidP="00162EF8" w14:paraId="06170C8D" w14:textId="692738DB">
      <w:pPr>
        <w:spacing w:after="160" w:line="278" w:lineRule="auto"/>
        <w:rPr>
          <w:rFonts w:ascii="Aptos" w:eastAsia="Aptos" w:hAnsi="Aptos"/>
          <w:kern w:val="2"/>
          <w:szCs w:val="24"/>
          <w14:ligatures w14:val="standardContextual"/>
        </w:rPr>
      </w:pPr>
      <w:r w:rsidRPr="00162EF8">
        <w:rPr>
          <w:rFonts w:ascii="Aptos" w:eastAsia="Aptos" w:hAnsi="Aptos"/>
          <w:kern w:val="2"/>
          <w:szCs w:val="24"/>
          <w14:ligatures w14:val="standardContextual"/>
        </w:rPr>
        <w:t>Taking these factors into consideration, we expect half (50 percent) of programs that fail the earnings premium metric to appeal the decision. If it takes an institution three hours to file an appeal, we anticipate this would increase 2,973 burden hours</w:t>
      </w:r>
      <w:r w:rsidR="003C6129">
        <w:rPr>
          <w:rFonts w:ascii="Aptos" w:eastAsia="Aptos" w:hAnsi="Aptos"/>
          <w:kern w:val="2"/>
          <w:szCs w:val="24"/>
          <w14:ligatures w14:val="standardContextual"/>
        </w:rPr>
        <w:t>.</w:t>
      </w:r>
    </w:p>
    <w:tbl>
      <w:tblPr>
        <w:tblW w:w="7820" w:type="dxa"/>
        <w:tblLook w:val="04A0"/>
      </w:tblPr>
      <w:tblGrid>
        <w:gridCol w:w="1880"/>
        <w:gridCol w:w="1980"/>
        <w:gridCol w:w="1980"/>
        <w:gridCol w:w="1980"/>
      </w:tblGrid>
      <w:tr w14:paraId="076563AE" w14:textId="77777777" w:rsidTr="009C3386">
        <w:tblPrEx>
          <w:tblW w:w="7820" w:type="dxa"/>
          <w:tblLook w:val="04A0"/>
        </w:tblPrEx>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rsidR="00162EF8" w:rsidRPr="00162EF8" w:rsidP="00162EF8" w14:paraId="3D493B6A" w14:textId="77777777">
            <w:pPr>
              <w:rPr>
                <w:rFonts w:ascii="Courier New" w:hAnsi="Courier New" w:cs="Courier New"/>
                <w:b/>
                <w:bCs/>
                <w:color w:val="000000"/>
                <w:sz w:val="22"/>
                <w:szCs w:val="22"/>
              </w:rPr>
            </w:pPr>
            <w:r w:rsidRPr="00162EF8">
              <w:rPr>
                <w:rFonts w:ascii="Courier New" w:hAnsi="Courier New" w:cs="Courier New"/>
                <w:b/>
                <w:bCs/>
                <w:color w:val="000000"/>
                <w:sz w:val="22"/>
                <w:szCs w:val="22"/>
              </w:rPr>
              <w:t>Entity</w:t>
            </w:r>
          </w:p>
        </w:tc>
        <w:tc>
          <w:tcPr>
            <w:tcW w:w="1980" w:type="dxa"/>
            <w:tcBorders>
              <w:top w:val="single" w:sz="4" w:space="0" w:color="auto"/>
              <w:left w:val="nil"/>
              <w:bottom w:val="single" w:sz="4" w:space="0" w:color="auto"/>
              <w:right w:val="single" w:sz="4" w:space="0" w:color="auto"/>
            </w:tcBorders>
            <w:noWrap/>
            <w:vAlign w:val="bottom"/>
            <w:hideMark/>
          </w:tcPr>
          <w:p w:rsidR="00162EF8" w:rsidRPr="00162EF8" w:rsidP="00162EF8" w14:paraId="3D792235" w14:textId="77777777">
            <w:pPr>
              <w:rPr>
                <w:rFonts w:ascii="Courier New" w:hAnsi="Courier New" w:cs="Courier New"/>
                <w:b/>
                <w:bCs/>
                <w:color w:val="000000"/>
                <w:sz w:val="22"/>
                <w:szCs w:val="22"/>
              </w:rPr>
            </w:pPr>
            <w:r w:rsidRPr="00162EF8">
              <w:rPr>
                <w:rFonts w:ascii="Courier New" w:hAnsi="Courier New" w:cs="Courier New"/>
                <w:b/>
                <w:bCs/>
                <w:color w:val="000000"/>
                <w:sz w:val="22"/>
                <w:szCs w:val="22"/>
              </w:rPr>
              <w:t>Respondents</w:t>
            </w:r>
          </w:p>
        </w:tc>
        <w:tc>
          <w:tcPr>
            <w:tcW w:w="1980" w:type="dxa"/>
            <w:tcBorders>
              <w:top w:val="single" w:sz="4" w:space="0" w:color="auto"/>
              <w:left w:val="nil"/>
              <w:bottom w:val="single" w:sz="4" w:space="0" w:color="auto"/>
              <w:right w:val="single" w:sz="4" w:space="0" w:color="auto"/>
            </w:tcBorders>
            <w:noWrap/>
            <w:vAlign w:val="bottom"/>
            <w:hideMark/>
          </w:tcPr>
          <w:p w:rsidR="00162EF8" w:rsidRPr="00162EF8" w:rsidP="00162EF8" w14:paraId="6B2216C8" w14:textId="77777777">
            <w:pPr>
              <w:rPr>
                <w:rFonts w:ascii="Courier New" w:hAnsi="Courier New" w:cs="Courier New"/>
                <w:b/>
                <w:bCs/>
                <w:color w:val="000000"/>
                <w:sz w:val="22"/>
                <w:szCs w:val="22"/>
              </w:rPr>
            </w:pPr>
            <w:r w:rsidRPr="00162EF8">
              <w:rPr>
                <w:rFonts w:ascii="Courier New" w:hAnsi="Courier New" w:cs="Courier New"/>
                <w:b/>
                <w:bCs/>
                <w:color w:val="000000"/>
                <w:sz w:val="22"/>
                <w:szCs w:val="22"/>
              </w:rPr>
              <w:t>Hours</w:t>
            </w:r>
          </w:p>
        </w:tc>
        <w:tc>
          <w:tcPr>
            <w:tcW w:w="1980" w:type="dxa"/>
            <w:tcBorders>
              <w:top w:val="single" w:sz="4" w:space="0" w:color="auto"/>
              <w:left w:val="nil"/>
              <w:bottom w:val="single" w:sz="4" w:space="0" w:color="auto"/>
              <w:right w:val="single" w:sz="4" w:space="0" w:color="auto"/>
            </w:tcBorders>
            <w:noWrap/>
            <w:vAlign w:val="bottom"/>
            <w:hideMark/>
          </w:tcPr>
          <w:p w:rsidR="00162EF8" w:rsidRPr="00162EF8" w:rsidP="00162EF8" w14:paraId="15D0D418" w14:textId="77777777">
            <w:pPr>
              <w:rPr>
                <w:rFonts w:ascii="Courier New" w:hAnsi="Courier New" w:cs="Courier New"/>
                <w:b/>
                <w:bCs/>
                <w:color w:val="000000"/>
                <w:sz w:val="22"/>
                <w:szCs w:val="22"/>
              </w:rPr>
            </w:pPr>
            <w:r w:rsidRPr="00162EF8">
              <w:rPr>
                <w:rFonts w:ascii="Courier New" w:hAnsi="Courier New" w:cs="Courier New"/>
                <w:b/>
                <w:bCs/>
                <w:color w:val="000000"/>
                <w:sz w:val="22"/>
                <w:szCs w:val="22"/>
              </w:rPr>
              <w:t>Burden Hours</w:t>
            </w:r>
          </w:p>
        </w:tc>
      </w:tr>
      <w:tr w14:paraId="58E3DF0B" w14:textId="77777777" w:rsidTr="009C3386">
        <w:tblPrEx>
          <w:tblW w:w="7820" w:type="dxa"/>
          <w:tblLook w:val="04A0"/>
        </w:tblPrEx>
        <w:trPr>
          <w:trHeight w:val="290"/>
        </w:trPr>
        <w:tc>
          <w:tcPr>
            <w:tcW w:w="1880" w:type="dxa"/>
            <w:tcBorders>
              <w:top w:val="nil"/>
              <w:left w:val="single" w:sz="4" w:space="0" w:color="auto"/>
              <w:bottom w:val="single" w:sz="4" w:space="0" w:color="auto"/>
              <w:right w:val="single" w:sz="4" w:space="0" w:color="auto"/>
            </w:tcBorders>
            <w:noWrap/>
            <w:vAlign w:val="bottom"/>
            <w:hideMark/>
          </w:tcPr>
          <w:p w:rsidR="00162EF8" w:rsidRPr="00162EF8" w:rsidP="00162EF8" w14:paraId="57ADBE36" w14:textId="77777777">
            <w:pPr>
              <w:rPr>
                <w:rFonts w:ascii="Courier New" w:hAnsi="Courier New" w:cs="Courier New"/>
                <w:color w:val="000000"/>
                <w:sz w:val="22"/>
                <w:szCs w:val="22"/>
              </w:rPr>
            </w:pPr>
            <w:r w:rsidRPr="00162EF8">
              <w:rPr>
                <w:rFonts w:ascii="Courier New" w:hAnsi="Courier New" w:cs="Courier New"/>
                <w:color w:val="000000"/>
                <w:sz w:val="22"/>
                <w:szCs w:val="22"/>
              </w:rPr>
              <w:t>Public</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3F66F9B4" w14:textId="77777777">
            <w:pPr>
              <w:rPr>
                <w:rFonts w:ascii="Courier New" w:hAnsi="Courier New" w:cs="Courier New"/>
                <w:color w:val="000000"/>
                <w:sz w:val="22"/>
                <w:szCs w:val="22"/>
              </w:rPr>
            </w:pPr>
            <w:r w:rsidRPr="00162EF8">
              <w:rPr>
                <w:rFonts w:ascii="Courier New" w:hAnsi="Courier New" w:cs="Courier New"/>
                <w:color w:val="000000"/>
                <w:sz w:val="22"/>
                <w:szCs w:val="22"/>
              </w:rPr>
              <w:t>407</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6C86514B" w14:textId="77777777">
            <w:pPr>
              <w:rPr>
                <w:rFonts w:ascii="Courier New" w:hAnsi="Courier New" w:cs="Courier New"/>
                <w:color w:val="000000"/>
                <w:sz w:val="22"/>
                <w:szCs w:val="22"/>
              </w:rPr>
            </w:pPr>
            <w:r w:rsidRPr="00162EF8">
              <w:rPr>
                <w:rFonts w:ascii="Courier New" w:hAnsi="Courier New" w:cs="Courier New"/>
                <w:color w:val="000000"/>
                <w:sz w:val="22"/>
                <w:szCs w:val="22"/>
              </w:rPr>
              <w:t>3</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77E9A174" w14:textId="77777777">
            <w:pPr>
              <w:rPr>
                <w:rFonts w:ascii="Courier New" w:hAnsi="Courier New" w:cs="Courier New"/>
                <w:color w:val="000000"/>
                <w:sz w:val="22"/>
                <w:szCs w:val="22"/>
              </w:rPr>
            </w:pPr>
            <w:r w:rsidRPr="00162EF8">
              <w:rPr>
                <w:rFonts w:ascii="Courier New" w:hAnsi="Courier New" w:cs="Courier New"/>
                <w:color w:val="000000"/>
                <w:sz w:val="22"/>
                <w:szCs w:val="22"/>
              </w:rPr>
              <w:t>1,221</w:t>
            </w:r>
          </w:p>
        </w:tc>
      </w:tr>
      <w:tr w14:paraId="0B310517" w14:textId="77777777" w:rsidTr="009C3386">
        <w:tblPrEx>
          <w:tblW w:w="7820" w:type="dxa"/>
          <w:tblLook w:val="04A0"/>
        </w:tblPrEx>
        <w:trPr>
          <w:trHeight w:val="290"/>
        </w:trPr>
        <w:tc>
          <w:tcPr>
            <w:tcW w:w="1880" w:type="dxa"/>
            <w:tcBorders>
              <w:top w:val="nil"/>
              <w:left w:val="single" w:sz="4" w:space="0" w:color="auto"/>
              <w:bottom w:val="single" w:sz="4" w:space="0" w:color="auto"/>
              <w:right w:val="single" w:sz="4" w:space="0" w:color="auto"/>
            </w:tcBorders>
            <w:noWrap/>
            <w:vAlign w:val="bottom"/>
            <w:hideMark/>
          </w:tcPr>
          <w:p w:rsidR="00162EF8" w:rsidRPr="00162EF8" w:rsidP="00162EF8" w14:paraId="38F0853C" w14:textId="77777777">
            <w:pPr>
              <w:rPr>
                <w:rFonts w:ascii="Courier New" w:hAnsi="Courier New" w:cs="Courier New"/>
                <w:color w:val="000000"/>
                <w:sz w:val="22"/>
                <w:szCs w:val="22"/>
              </w:rPr>
            </w:pPr>
            <w:r w:rsidRPr="00162EF8">
              <w:rPr>
                <w:rFonts w:ascii="Courier New" w:hAnsi="Courier New" w:cs="Courier New"/>
                <w:color w:val="000000"/>
                <w:sz w:val="22"/>
                <w:szCs w:val="22"/>
              </w:rPr>
              <w:t>Private</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7E341946" w14:textId="77777777">
            <w:pPr>
              <w:rPr>
                <w:rFonts w:ascii="Courier New" w:hAnsi="Courier New" w:cs="Courier New"/>
                <w:color w:val="000000"/>
                <w:sz w:val="22"/>
                <w:szCs w:val="22"/>
              </w:rPr>
            </w:pPr>
            <w:r w:rsidRPr="00162EF8">
              <w:rPr>
                <w:rFonts w:ascii="Courier New" w:hAnsi="Courier New" w:cs="Courier New"/>
                <w:color w:val="000000"/>
                <w:sz w:val="22"/>
                <w:szCs w:val="22"/>
              </w:rPr>
              <w:t>165</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2FBA8166" w14:textId="77777777">
            <w:pPr>
              <w:rPr>
                <w:rFonts w:ascii="Courier New" w:hAnsi="Courier New" w:cs="Courier New"/>
                <w:color w:val="000000"/>
                <w:sz w:val="22"/>
                <w:szCs w:val="22"/>
              </w:rPr>
            </w:pPr>
            <w:r w:rsidRPr="00162EF8">
              <w:rPr>
                <w:rFonts w:ascii="Courier New" w:hAnsi="Courier New" w:cs="Courier New"/>
                <w:color w:val="000000"/>
                <w:sz w:val="22"/>
                <w:szCs w:val="22"/>
              </w:rPr>
              <w:t>3</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21030058" w14:textId="77777777">
            <w:pPr>
              <w:rPr>
                <w:rFonts w:ascii="Courier New" w:hAnsi="Courier New" w:cs="Courier New"/>
                <w:color w:val="000000"/>
                <w:sz w:val="22"/>
                <w:szCs w:val="22"/>
              </w:rPr>
            </w:pPr>
            <w:r w:rsidRPr="00162EF8">
              <w:rPr>
                <w:rFonts w:ascii="Courier New" w:hAnsi="Courier New" w:cs="Courier New"/>
                <w:color w:val="000000"/>
                <w:sz w:val="22"/>
                <w:szCs w:val="22"/>
              </w:rPr>
              <w:t>495</w:t>
            </w:r>
          </w:p>
        </w:tc>
      </w:tr>
      <w:tr w14:paraId="020A6A52" w14:textId="77777777" w:rsidTr="009C3386">
        <w:tblPrEx>
          <w:tblW w:w="7820" w:type="dxa"/>
          <w:tblLook w:val="04A0"/>
        </w:tblPrEx>
        <w:trPr>
          <w:trHeight w:val="290"/>
        </w:trPr>
        <w:tc>
          <w:tcPr>
            <w:tcW w:w="1880" w:type="dxa"/>
            <w:tcBorders>
              <w:top w:val="nil"/>
              <w:left w:val="single" w:sz="4" w:space="0" w:color="auto"/>
              <w:bottom w:val="single" w:sz="4" w:space="0" w:color="auto"/>
              <w:right w:val="single" w:sz="4" w:space="0" w:color="auto"/>
            </w:tcBorders>
            <w:noWrap/>
            <w:vAlign w:val="bottom"/>
            <w:hideMark/>
          </w:tcPr>
          <w:p w:rsidR="00162EF8" w:rsidRPr="00162EF8" w:rsidP="00162EF8" w14:paraId="729D0404" w14:textId="77777777">
            <w:pPr>
              <w:rPr>
                <w:rFonts w:ascii="Courier New" w:hAnsi="Courier New" w:cs="Courier New"/>
                <w:color w:val="000000"/>
                <w:sz w:val="22"/>
                <w:szCs w:val="22"/>
              </w:rPr>
            </w:pPr>
            <w:r w:rsidRPr="00162EF8">
              <w:rPr>
                <w:rFonts w:ascii="Courier New" w:hAnsi="Courier New" w:cs="Courier New"/>
                <w:color w:val="000000"/>
                <w:sz w:val="22"/>
                <w:szCs w:val="22"/>
              </w:rPr>
              <w:t>Proprietary</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0CB0044B" w14:textId="77777777">
            <w:pPr>
              <w:rPr>
                <w:rFonts w:ascii="Courier New" w:hAnsi="Courier New" w:cs="Courier New"/>
                <w:color w:val="000000"/>
                <w:sz w:val="22"/>
                <w:szCs w:val="22"/>
              </w:rPr>
            </w:pPr>
            <w:r w:rsidRPr="00162EF8">
              <w:rPr>
                <w:rFonts w:ascii="Courier New" w:hAnsi="Courier New" w:cs="Courier New"/>
                <w:color w:val="000000"/>
                <w:sz w:val="22"/>
                <w:szCs w:val="22"/>
              </w:rPr>
              <w:t>417</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57A16804" w14:textId="77777777">
            <w:pPr>
              <w:rPr>
                <w:rFonts w:ascii="Courier New" w:hAnsi="Courier New" w:cs="Courier New"/>
                <w:color w:val="000000"/>
                <w:sz w:val="22"/>
                <w:szCs w:val="22"/>
              </w:rPr>
            </w:pPr>
            <w:r w:rsidRPr="00162EF8">
              <w:rPr>
                <w:rFonts w:ascii="Courier New" w:hAnsi="Courier New" w:cs="Courier New"/>
                <w:color w:val="000000"/>
                <w:sz w:val="22"/>
                <w:szCs w:val="22"/>
              </w:rPr>
              <w:t>3</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66205930" w14:textId="77777777">
            <w:pPr>
              <w:rPr>
                <w:rFonts w:ascii="Courier New" w:hAnsi="Courier New" w:cs="Courier New"/>
                <w:color w:val="000000"/>
                <w:sz w:val="22"/>
                <w:szCs w:val="22"/>
              </w:rPr>
            </w:pPr>
            <w:r w:rsidRPr="00162EF8">
              <w:rPr>
                <w:rFonts w:ascii="Courier New" w:hAnsi="Courier New" w:cs="Courier New"/>
                <w:color w:val="000000"/>
                <w:sz w:val="22"/>
                <w:szCs w:val="22"/>
              </w:rPr>
              <w:t>1,251</w:t>
            </w:r>
          </w:p>
        </w:tc>
      </w:tr>
      <w:tr w14:paraId="7AE53CA1" w14:textId="77777777" w:rsidTr="009C3386">
        <w:tblPrEx>
          <w:tblW w:w="7820" w:type="dxa"/>
          <w:tblLook w:val="04A0"/>
        </w:tblPrEx>
        <w:trPr>
          <w:trHeight w:val="290"/>
        </w:trPr>
        <w:tc>
          <w:tcPr>
            <w:tcW w:w="1880" w:type="dxa"/>
            <w:tcBorders>
              <w:top w:val="nil"/>
              <w:left w:val="single" w:sz="4" w:space="0" w:color="auto"/>
              <w:bottom w:val="single" w:sz="4" w:space="0" w:color="auto"/>
              <w:right w:val="single" w:sz="4" w:space="0" w:color="auto"/>
            </w:tcBorders>
            <w:noWrap/>
            <w:vAlign w:val="bottom"/>
            <w:hideMark/>
          </w:tcPr>
          <w:p w:rsidR="00162EF8" w:rsidRPr="00162EF8" w:rsidP="00162EF8" w14:paraId="649D8422" w14:textId="77777777">
            <w:pPr>
              <w:rPr>
                <w:rFonts w:ascii="Courier New" w:hAnsi="Courier New" w:cs="Courier New"/>
                <w:color w:val="000000"/>
                <w:sz w:val="22"/>
                <w:szCs w:val="22"/>
              </w:rPr>
            </w:pPr>
            <w:r w:rsidRPr="00162EF8">
              <w:rPr>
                <w:rFonts w:ascii="Courier New" w:hAnsi="Courier New" w:cs="Courier New"/>
                <w:color w:val="000000"/>
                <w:sz w:val="22"/>
                <w:szCs w:val="22"/>
              </w:rPr>
              <w:t>Total</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09E2FCFA" w14:textId="77777777">
            <w:pPr>
              <w:rPr>
                <w:rFonts w:ascii="Courier New" w:hAnsi="Courier New" w:cs="Courier New"/>
                <w:color w:val="000000"/>
                <w:sz w:val="22"/>
                <w:szCs w:val="22"/>
              </w:rPr>
            </w:pPr>
            <w:r w:rsidRPr="00162EF8">
              <w:rPr>
                <w:rFonts w:ascii="Courier New" w:hAnsi="Courier New" w:cs="Courier New"/>
                <w:color w:val="000000"/>
                <w:sz w:val="22"/>
                <w:szCs w:val="22"/>
              </w:rPr>
              <w:t>991</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640FA729" w14:textId="77777777">
            <w:pPr>
              <w:rPr>
                <w:rFonts w:ascii="Courier New" w:hAnsi="Courier New" w:cs="Courier New"/>
                <w:color w:val="000000"/>
                <w:sz w:val="22"/>
                <w:szCs w:val="22"/>
              </w:rPr>
            </w:pPr>
            <w:r w:rsidRPr="00162EF8">
              <w:rPr>
                <w:rFonts w:ascii="Courier New" w:hAnsi="Courier New" w:cs="Courier New"/>
                <w:color w:val="000000"/>
                <w:sz w:val="22"/>
                <w:szCs w:val="22"/>
              </w:rPr>
              <w:t>N/A</w:t>
            </w:r>
          </w:p>
        </w:tc>
        <w:tc>
          <w:tcPr>
            <w:tcW w:w="1980" w:type="dxa"/>
            <w:tcBorders>
              <w:top w:val="nil"/>
              <w:left w:val="nil"/>
              <w:bottom w:val="single" w:sz="4" w:space="0" w:color="auto"/>
              <w:right w:val="single" w:sz="4" w:space="0" w:color="auto"/>
            </w:tcBorders>
            <w:noWrap/>
            <w:vAlign w:val="bottom"/>
            <w:hideMark/>
          </w:tcPr>
          <w:p w:rsidR="00162EF8" w:rsidRPr="00162EF8" w:rsidP="00162EF8" w14:paraId="478CAD68" w14:textId="77777777">
            <w:pPr>
              <w:rPr>
                <w:rFonts w:ascii="Courier New" w:hAnsi="Courier New" w:cs="Courier New"/>
                <w:color w:val="000000"/>
                <w:sz w:val="22"/>
                <w:szCs w:val="22"/>
              </w:rPr>
            </w:pPr>
            <w:r w:rsidRPr="00162EF8">
              <w:rPr>
                <w:rFonts w:ascii="Courier New" w:hAnsi="Courier New" w:cs="Courier New"/>
                <w:color w:val="000000"/>
                <w:sz w:val="22"/>
                <w:szCs w:val="22"/>
              </w:rPr>
              <w:t>2,973</w:t>
            </w:r>
          </w:p>
        </w:tc>
      </w:tr>
    </w:tbl>
    <w:p w:rsidR="005335F2" w:rsidRPr="00386A24" w:rsidP="005335F2" w14:paraId="60745457" w14:textId="77777777">
      <w:pPr>
        <w:textAlignment w:val="baseline"/>
        <w:rPr>
          <w:rFonts w:asciiTheme="minorHAnsi" w:hAnsiTheme="minorHAnsi" w:cstheme="minorHAnsi"/>
          <w:sz w:val="18"/>
          <w:szCs w:val="18"/>
        </w:rPr>
      </w:pPr>
      <w:r w:rsidRPr="00386A24">
        <w:rPr>
          <w:rFonts w:asciiTheme="minorHAnsi" w:hAnsiTheme="minorHAnsi" w:cstheme="minorHAnsi"/>
          <w:szCs w:val="24"/>
        </w:rPr>
        <w:t> </w:t>
      </w:r>
    </w:p>
    <w:p w:rsidR="005335F2" w:rsidRPr="00542C32" w:rsidP="005335F2" w14:paraId="69D476F4"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 668.16 Standards of administrative capability</w:t>
      </w:r>
      <w:r w:rsidRPr="00542C32">
        <w:rPr>
          <w:rFonts w:asciiTheme="minorHAnsi" w:hAnsiTheme="minorHAnsi" w:cstheme="minorHAnsi"/>
          <w:szCs w:val="24"/>
        </w:rPr>
        <w:t> </w:t>
      </w:r>
    </w:p>
    <w:p w:rsidR="005335F2" w:rsidRPr="00542C32" w:rsidP="005335F2" w14:paraId="16E45751"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Summary</w:t>
      </w:r>
      <w:r w:rsidRPr="00542C32">
        <w:rPr>
          <w:rFonts w:asciiTheme="minorHAnsi" w:hAnsiTheme="minorHAnsi" w:cstheme="minorHAnsi"/>
          <w:szCs w:val="24"/>
        </w:rPr>
        <w:t> </w:t>
      </w:r>
    </w:p>
    <w:p w:rsidR="005335F2" w:rsidRPr="00542C32" w:rsidP="005335F2" w14:paraId="50F68EC0" w14:textId="77777777">
      <w:pPr>
        <w:textAlignment w:val="baseline"/>
        <w:rPr>
          <w:rFonts w:asciiTheme="minorHAnsi" w:hAnsiTheme="minorHAnsi" w:cstheme="minorHAnsi"/>
          <w:sz w:val="18"/>
          <w:szCs w:val="18"/>
        </w:rPr>
      </w:pPr>
      <w:r w:rsidRPr="00542C32">
        <w:rPr>
          <w:rFonts w:asciiTheme="minorHAnsi" w:hAnsiTheme="minorHAnsi" w:cstheme="minorHAnsi"/>
          <w:szCs w:val="24"/>
        </w:rPr>
        <w:t>Proposed § 668.16 would require an institution to demonstrate that they have administrative capability by maintaining that at least half of the institution’s students and half of institutions’ total title IV, HEA funds do not come from students enrolled in low-earning outcome programs. Failure to do so would cause the institution to be placed on a provisional Program Participation Agreement. </w:t>
      </w:r>
    </w:p>
    <w:p w:rsidR="005335F2" w:rsidRPr="00542C32" w:rsidP="005335F2" w14:paraId="1DCF2ACD"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Burden</w:t>
      </w:r>
      <w:r w:rsidRPr="00542C32">
        <w:rPr>
          <w:rFonts w:asciiTheme="minorHAnsi" w:hAnsiTheme="minorHAnsi" w:cstheme="minorHAnsi"/>
          <w:szCs w:val="24"/>
        </w:rPr>
        <w:t> </w:t>
      </w:r>
    </w:p>
    <w:p w:rsidR="005335F2" w:rsidRPr="00542C32" w:rsidP="005335F2" w14:paraId="2FA9C627" w14:textId="77777777">
      <w:pPr>
        <w:textAlignment w:val="baseline"/>
        <w:rPr>
          <w:rFonts w:asciiTheme="minorHAnsi" w:hAnsiTheme="minorHAnsi" w:cstheme="minorHAnsi"/>
          <w:sz w:val="18"/>
          <w:szCs w:val="18"/>
        </w:rPr>
      </w:pPr>
      <w:r w:rsidRPr="00542C32">
        <w:rPr>
          <w:rFonts w:asciiTheme="minorHAnsi" w:hAnsiTheme="minorHAnsi" w:cstheme="minorHAnsi"/>
          <w:szCs w:val="24"/>
        </w:rPr>
        <w:t>The Department does not believe proposed changes to 668.16(t) will increase burden on institutions, as administrative capability is an existing requirement of eligibility for title IV, HEA funds. However, we believe it may take institutions time to acknowledge and understand the new requirements. For that reason, we are adding 1 hour of burden per institution.  </w:t>
      </w:r>
    </w:p>
    <w:p w:rsidR="005335F2" w:rsidRPr="00542C32" w:rsidP="005335F2" w14:paraId="1F238B2E" w14:textId="77777777">
      <w:pPr>
        <w:textAlignment w:val="baseline"/>
        <w:rPr>
          <w:rFonts w:asciiTheme="minorHAnsi" w:hAnsiTheme="minorHAnsi" w:cstheme="minorHAnsi"/>
          <w:szCs w:val="24"/>
        </w:rPr>
      </w:pPr>
      <w:r w:rsidRPr="00542C32">
        <w:rPr>
          <w:rFonts w:asciiTheme="minorHAnsi" w:hAnsiTheme="minorHAnsi" w:cstheme="minorHAnsi"/>
          <w:szCs w:val="24"/>
        </w:rPr>
        <w:t>5,626 x 1 hour = 5,626 burden hours </w:t>
      </w:r>
    </w:p>
    <w:p w:rsidR="00205742" w:rsidP="005335F2" w14:paraId="41313224" w14:textId="77777777">
      <w:pPr>
        <w:textAlignment w:val="baseline"/>
        <w:rPr>
          <w:rFonts w:ascii="Courier New" w:hAnsi="Courier New" w:cs="Courier New"/>
          <w:szCs w:val="24"/>
        </w:rPr>
      </w:pPr>
    </w:p>
    <w:p w:rsidR="00205742" w:rsidP="005335F2" w14:paraId="7C8B561D" w14:textId="77777777">
      <w:pPr>
        <w:textAlignment w:val="baseline"/>
        <w:rPr>
          <w:rFonts w:ascii="Courier New" w:hAnsi="Courier New" w:cs="Courier New"/>
          <w:szCs w:val="24"/>
        </w:rPr>
      </w:pPr>
    </w:p>
    <w:tbl>
      <w:tblPr>
        <w:tblStyle w:val="TableGrid2"/>
        <w:tblW w:w="0" w:type="auto"/>
        <w:tblLook w:val="04A0"/>
      </w:tblPr>
      <w:tblGrid>
        <w:gridCol w:w="2157"/>
        <w:gridCol w:w="2157"/>
        <w:gridCol w:w="2158"/>
        <w:gridCol w:w="2158"/>
      </w:tblGrid>
      <w:tr w14:paraId="74534899" w14:textId="77777777">
        <w:tblPrEx>
          <w:tblW w:w="0" w:type="auto"/>
          <w:tblLook w:val="04A0"/>
        </w:tblPrEx>
        <w:tc>
          <w:tcPr>
            <w:tcW w:w="2157" w:type="dxa"/>
          </w:tcPr>
          <w:p w:rsidR="00205742" w:rsidRPr="00542C32" w14:paraId="605721DE"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Entity</w:t>
            </w:r>
          </w:p>
        </w:tc>
        <w:tc>
          <w:tcPr>
            <w:tcW w:w="2157" w:type="dxa"/>
          </w:tcPr>
          <w:p w:rsidR="00205742" w:rsidRPr="00542C32" w14:paraId="09BB1FC3"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Respondents</w:t>
            </w:r>
          </w:p>
        </w:tc>
        <w:tc>
          <w:tcPr>
            <w:tcW w:w="2158" w:type="dxa"/>
          </w:tcPr>
          <w:p w:rsidR="00205742" w:rsidRPr="00542C32" w14:paraId="6ABE34B5"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Hours</w:t>
            </w:r>
          </w:p>
        </w:tc>
        <w:tc>
          <w:tcPr>
            <w:tcW w:w="2158" w:type="dxa"/>
          </w:tcPr>
          <w:p w:rsidR="00205742" w:rsidRPr="00542C32" w14:paraId="1DF8FECA"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Burden Hours</w:t>
            </w:r>
          </w:p>
        </w:tc>
      </w:tr>
      <w:tr w14:paraId="0A0CB098" w14:textId="77777777">
        <w:tblPrEx>
          <w:tblW w:w="0" w:type="auto"/>
          <w:tblLook w:val="04A0"/>
        </w:tblPrEx>
        <w:tc>
          <w:tcPr>
            <w:tcW w:w="2157" w:type="dxa"/>
          </w:tcPr>
          <w:p w:rsidR="00205742" w:rsidRPr="00CB0F29" w14:paraId="3A14FEC8"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Public</w:t>
            </w:r>
          </w:p>
        </w:tc>
        <w:tc>
          <w:tcPr>
            <w:tcW w:w="2157" w:type="dxa"/>
          </w:tcPr>
          <w:p w:rsidR="00205742" w:rsidRPr="00CB0F29" w14:paraId="527F196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1,869</w:t>
            </w:r>
          </w:p>
        </w:tc>
        <w:tc>
          <w:tcPr>
            <w:tcW w:w="2158" w:type="dxa"/>
          </w:tcPr>
          <w:p w:rsidR="00205742" w:rsidRPr="00CB0F29" w14:paraId="70FE1041" w14:textId="175D65C6">
            <w:pPr>
              <w:spacing w:after="160"/>
              <w:rPr>
                <w:rFonts w:eastAsia="Calibri" w:asciiTheme="minorHAnsi" w:hAnsiTheme="minorHAnsi" w:cstheme="minorHAnsi"/>
                <w:szCs w:val="24"/>
              </w:rPr>
            </w:pPr>
            <w:r>
              <w:rPr>
                <w:rFonts w:eastAsia="Calibri" w:asciiTheme="minorHAnsi" w:hAnsiTheme="minorHAnsi" w:cstheme="minorHAnsi"/>
                <w:szCs w:val="24"/>
              </w:rPr>
              <w:t>1</w:t>
            </w:r>
          </w:p>
        </w:tc>
        <w:tc>
          <w:tcPr>
            <w:tcW w:w="2158" w:type="dxa"/>
          </w:tcPr>
          <w:p w:rsidR="00205742" w:rsidRPr="00CB0F29" w14:paraId="5DC28246" w14:textId="201EFA42">
            <w:pPr>
              <w:spacing w:after="160"/>
              <w:rPr>
                <w:rFonts w:eastAsia="Calibri" w:asciiTheme="minorHAnsi" w:hAnsiTheme="minorHAnsi" w:cstheme="minorHAnsi"/>
                <w:szCs w:val="24"/>
              </w:rPr>
            </w:pPr>
            <w:r>
              <w:rPr>
                <w:rFonts w:eastAsia="Calibri" w:asciiTheme="minorHAnsi" w:hAnsiTheme="minorHAnsi" w:cstheme="minorHAnsi"/>
                <w:szCs w:val="24"/>
              </w:rPr>
              <w:t>1,869</w:t>
            </w:r>
          </w:p>
        </w:tc>
      </w:tr>
      <w:tr w14:paraId="5E8C5CC6" w14:textId="77777777">
        <w:tblPrEx>
          <w:tblW w:w="0" w:type="auto"/>
          <w:tblLook w:val="04A0"/>
        </w:tblPrEx>
        <w:tc>
          <w:tcPr>
            <w:tcW w:w="2157" w:type="dxa"/>
          </w:tcPr>
          <w:p w:rsidR="00205742" w:rsidRPr="00CB0F29" w14:paraId="23DF5FAF"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Private</w:t>
            </w:r>
          </w:p>
        </w:tc>
        <w:tc>
          <w:tcPr>
            <w:tcW w:w="2157" w:type="dxa"/>
          </w:tcPr>
          <w:p w:rsidR="00205742" w:rsidRPr="00CB0F29" w14:paraId="4B667359"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1,674</w:t>
            </w:r>
          </w:p>
        </w:tc>
        <w:tc>
          <w:tcPr>
            <w:tcW w:w="2158" w:type="dxa"/>
          </w:tcPr>
          <w:p w:rsidR="00205742" w:rsidRPr="00CB0F29" w14:paraId="3463EEB5" w14:textId="02C5957C">
            <w:pPr>
              <w:spacing w:after="160"/>
              <w:rPr>
                <w:rFonts w:eastAsia="Calibri" w:asciiTheme="minorHAnsi" w:hAnsiTheme="minorHAnsi" w:cstheme="minorHAnsi"/>
                <w:szCs w:val="24"/>
              </w:rPr>
            </w:pPr>
            <w:r>
              <w:rPr>
                <w:rFonts w:eastAsia="Calibri" w:asciiTheme="minorHAnsi" w:hAnsiTheme="minorHAnsi" w:cstheme="minorHAnsi"/>
                <w:szCs w:val="24"/>
              </w:rPr>
              <w:t>1</w:t>
            </w:r>
          </w:p>
        </w:tc>
        <w:tc>
          <w:tcPr>
            <w:tcW w:w="2158" w:type="dxa"/>
          </w:tcPr>
          <w:p w:rsidR="00205742" w:rsidRPr="00CB0F29" w14:paraId="78C95344" w14:textId="3EBDAC8C">
            <w:pPr>
              <w:spacing w:after="160"/>
              <w:rPr>
                <w:rFonts w:eastAsia="Calibri" w:asciiTheme="minorHAnsi" w:hAnsiTheme="minorHAnsi" w:cstheme="minorHAnsi"/>
                <w:szCs w:val="24"/>
              </w:rPr>
            </w:pPr>
            <w:r>
              <w:rPr>
                <w:rFonts w:eastAsia="Calibri" w:asciiTheme="minorHAnsi" w:hAnsiTheme="minorHAnsi" w:cstheme="minorHAnsi"/>
                <w:szCs w:val="24"/>
              </w:rPr>
              <w:t>1,674</w:t>
            </w:r>
          </w:p>
        </w:tc>
      </w:tr>
      <w:tr w14:paraId="7F7EB3B3" w14:textId="77777777">
        <w:tblPrEx>
          <w:tblW w:w="0" w:type="auto"/>
          <w:tblLook w:val="04A0"/>
        </w:tblPrEx>
        <w:tc>
          <w:tcPr>
            <w:tcW w:w="2157" w:type="dxa"/>
          </w:tcPr>
          <w:p w:rsidR="00205742" w:rsidRPr="00CB0F29" w14:paraId="49D0088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For Profit</w:t>
            </w:r>
          </w:p>
        </w:tc>
        <w:tc>
          <w:tcPr>
            <w:tcW w:w="2157" w:type="dxa"/>
          </w:tcPr>
          <w:p w:rsidR="00205742" w:rsidRPr="00CB0F29" w14:paraId="4CE4BCE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2,083</w:t>
            </w:r>
          </w:p>
        </w:tc>
        <w:tc>
          <w:tcPr>
            <w:tcW w:w="2158" w:type="dxa"/>
          </w:tcPr>
          <w:p w:rsidR="00205742" w:rsidRPr="00CB0F29" w14:paraId="7E30904F" w14:textId="0D913F78">
            <w:pPr>
              <w:spacing w:after="160"/>
              <w:rPr>
                <w:rFonts w:eastAsia="Calibri" w:asciiTheme="minorHAnsi" w:hAnsiTheme="minorHAnsi" w:cstheme="minorHAnsi"/>
                <w:szCs w:val="24"/>
              </w:rPr>
            </w:pPr>
            <w:r>
              <w:rPr>
                <w:rFonts w:eastAsia="Calibri" w:asciiTheme="minorHAnsi" w:hAnsiTheme="minorHAnsi" w:cstheme="minorHAnsi"/>
                <w:szCs w:val="24"/>
              </w:rPr>
              <w:t>1</w:t>
            </w:r>
          </w:p>
        </w:tc>
        <w:tc>
          <w:tcPr>
            <w:tcW w:w="2158" w:type="dxa"/>
          </w:tcPr>
          <w:p w:rsidR="00205742" w:rsidRPr="00CB0F29" w14:paraId="281D1A17" w14:textId="64F1023C">
            <w:pPr>
              <w:spacing w:after="160"/>
              <w:rPr>
                <w:rFonts w:eastAsia="Calibri" w:asciiTheme="minorHAnsi" w:hAnsiTheme="minorHAnsi" w:cstheme="minorHAnsi"/>
                <w:szCs w:val="24"/>
              </w:rPr>
            </w:pPr>
            <w:r>
              <w:rPr>
                <w:rFonts w:eastAsia="Calibri" w:asciiTheme="minorHAnsi" w:hAnsiTheme="minorHAnsi" w:cstheme="minorHAnsi"/>
                <w:szCs w:val="24"/>
              </w:rPr>
              <w:t>2,083</w:t>
            </w:r>
          </w:p>
        </w:tc>
      </w:tr>
      <w:tr w14:paraId="6006CACC" w14:textId="77777777">
        <w:tblPrEx>
          <w:tblW w:w="0" w:type="auto"/>
          <w:tblLook w:val="04A0"/>
        </w:tblPrEx>
        <w:tc>
          <w:tcPr>
            <w:tcW w:w="2157" w:type="dxa"/>
          </w:tcPr>
          <w:p w:rsidR="00205742" w:rsidRPr="00CB0F29" w14:paraId="3AC0E7F1"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Total</w:t>
            </w:r>
          </w:p>
        </w:tc>
        <w:tc>
          <w:tcPr>
            <w:tcW w:w="2157" w:type="dxa"/>
          </w:tcPr>
          <w:p w:rsidR="00205742" w:rsidRPr="00CB0F29" w14:paraId="158EE397"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5,626</w:t>
            </w:r>
          </w:p>
        </w:tc>
        <w:tc>
          <w:tcPr>
            <w:tcW w:w="2158" w:type="dxa"/>
          </w:tcPr>
          <w:p w:rsidR="00205742" w:rsidRPr="00CB0F29" w14:paraId="25BDE5EF" w14:textId="77777777">
            <w:pPr>
              <w:spacing w:after="160"/>
              <w:rPr>
                <w:rFonts w:eastAsia="Calibri" w:asciiTheme="minorHAnsi" w:hAnsiTheme="minorHAnsi" w:cstheme="minorHAnsi"/>
                <w:szCs w:val="24"/>
              </w:rPr>
            </w:pPr>
          </w:p>
        </w:tc>
        <w:tc>
          <w:tcPr>
            <w:tcW w:w="2158" w:type="dxa"/>
          </w:tcPr>
          <w:p w:rsidR="00205742" w:rsidRPr="00CB0F29" w14:paraId="012ABFA5" w14:textId="03FD55D9">
            <w:pPr>
              <w:spacing w:after="160"/>
              <w:rPr>
                <w:rFonts w:eastAsia="Calibri" w:asciiTheme="minorHAnsi" w:hAnsiTheme="minorHAnsi" w:cstheme="minorHAnsi"/>
                <w:szCs w:val="24"/>
              </w:rPr>
            </w:pPr>
            <w:r>
              <w:rPr>
                <w:rFonts w:eastAsia="Calibri" w:asciiTheme="minorHAnsi" w:hAnsiTheme="minorHAnsi" w:cstheme="minorHAnsi"/>
                <w:szCs w:val="24"/>
              </w:rPr>
              <w:t>5,626</w:t>
            </w:r>
          </w:p>
        </w:tc>
      </w:tr>
    </w:tbl>
    <w:p w:rsidR="00205742" w:rsidP="005335F2" w14:paraId="709E5615" w14:textId="77777777">
      <w:pPr>
        <w:textAlignment w:val="baseline"/>
        <w:rPr>
          <w:rFonts w:ascii="Courier New" w:hAnsi="Courier New" w:cs="Courier New"/>
          <w:szCs w:val="24"/>
        </w:rPr>
      </w:pPr>
    </w:p>
    <w:p w:rsidR="00205742" w:rsidRPr="005335F2" w:rsidP="005335F2" w14:paraId="54930C08" w14:textId="77777777">
      <w:pPr>
        <w:textAlignment w:val="baseline"/>
        <w:rPr>
          <w:rFonts w:ascii="Segoe UI" w:hAnsi="Segoe UI" w:cs="Segoe UI"/>
          <w:sz w:val="18"/>
          <w:szCs w:val="18"/>
        </w:rPr>
      </w:pPr>
    </w:p>
    <w:p w:rsidR="005335F2" w:rsidRPr="00542C32" w:rsidP="005335F2" w14:paraId="319F225A"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 668.43 Institutional and programmatic information</w:t>
      </w:r>
      <w:r w:rsidRPr="00542C32">
        <w:rPr>
          <w:rFonts w:asciiTheme="minorHAnsi" w:hAnsiTheme="minorHAnsi" w:cstheme="minorHAnsi"/>
          <w:szCs w:val="24"/>
        </w:rPr>
        <w:t> </w:t>
      </w:r>
    </w:p>
    <w:p w:rsidR="005335F2" w:rsidRPr="00542C32" w:rsidP="005335F2" w14:paraId="40F5AAD7"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Summary </w:t>
      </w:r>
      <w:r w:rsidRPr="00542C32">
        <w:rPr>
          <w:rFonts w:asciiTheme="minorHAnsi" w:hAnsiTheme="minorHAnsi" w:cstheme="minorHAnsi"/>
          <w:szCs w:val="24"/>
        </w:rPr>
        <w:t> </w:t>
      </w:r>
    </w:p>
    <w:p w:rsidR="005335F2" w:rsidRPr="00542C32" w:rsidP="005335F2" w14:paraId="2BA7D346" w14:textId="77777777">
      <w:pPr>
        <w:textAlignment w:val="baseline"/>
        <w:rPr>
          <w:rFonts w:asciiTheme="minorHAnsi" w:hAnsiTheme="minorHAnsi" w:cstheme="minorHAnsi"/>
          <w:sz w:val="18"/>
          <w:szCs w:val="18"/>
        </w:rPr>
      </w:pPr>
      <w:r w:rsidRPr="00542C32">
        <w:rPr>
          <w:rFonts w:asciiTheme="minorHAnsi" w:hAnsiTheme="minorHAnsi" w:cstheme="minorHAnsi"/>
          <w:szCs w:val="24"/>
        </w:rPr>
        <w:t>The proposed regulation would limit the requirements for providing a prominent link to the program information website to only pages containing cost, financial aid, or admissions information. This will reduce burden on institutions.  </w:t>
      </w:r>
    </w:p>
    <w:p w:rsidR="00542C32" w:rsidP="005335F2" w14:paraId="0944A4D9" w14:textId="77777777">
      <w:pPr>
        <w:textAlignment w:val="baseline"/>
        <w:rPr>
          <w:rFonts w:asciiTheme="minorHAnsi" w:hAnsiTheme="minorHAnsi" w:cstheme="minorHAnsi"/>
          <w:b/>
          <w:bCs/>
          <w:szCs w:val="24"/>
        </w:rPr>
      </w:pPr>
    </w:p>
    <w:p w:rsidR="005335F2" w:rsidRPr="00542C32" w:rsidP="005335F2" w14:paraId="6060DDC0" w14:textId="77DD8BAF">
      <w:pPr>
        <w:textAlignment w:val="baseline"/>
        <w:rPr>
          <w:rFonts w:asciiTheme="minorHAnsi" w:hAnsiTheme="minorHAnsi" w:cstheme="minorHAnsi"/>
          <w:sz w:val="18"/>
          <w:szCs w:val="18"/>
        </w:rPr>
      </w:pPr>
      <w:r w:rsidRPr="00542C32">
        <w:rPr>
          <w:rFonts w:asciiTheme="minorHAnsi" w:hAnsiTheme="minorHAnsi" w:cstheme="minorHAnsi"/>
          <w:b/>
          <w:bCs/>
          <w:szCs w:val="24"/>
        </w:rPr>
        <w:t>Burden</w:t>
      </w:r>
      <w:r w:rsidRPr="00542C32">
        <w:rPr>
          <w:rFonts w:asciiTheme="minorHAnsi" w:hAnsiTheme="minorHAnsi" w:cstheme="minorHAnsi"/>
          <w:szCs w:val="24"/>
        </w:rPr>
        <w:t> </w:t>
      </w:r>
    </w:p>
    <w:p w:rsidR="005335F2" w:rsidRPr="00542C32" w:rsidP="1FA14FFB" w14:paraId="7F27E6DD" w14:textId="77777777">
      <w:pPr>
        <w:textAlignment w:val="baseline"/>
        <w:rPr>
          <w:rFonts w:asciiTheme="minorHAnsi" w:hAnsiTheme="minorHAnsi" w:cstheme="minorBidi"/>
          <w:sz w:val="18"/>
          <w:szCs w:val="18"/>
        </w:rPr>
      </w:pPr>
      <w:r w:rsidRPr="1FA14FFB">
        <w:rPr>
          <w:rFonts w:asciiTheme="minorHAnsi" w:hAnsiTheme="minorHAnsi" w:cstheme="minorBidi"/>
        </w:rPr>
        <w:t>When the Department proposed § 668.43 in 2023, it was estimated that these requirements would add an additional 5,230 responses and 261,500 hours of burden to 1845-0022. We propose to remove half of the burden for this regulation while retaining the current assessment of 5,230 responses. </w:t>
      </w:r>
    </w:p>
    <w:p w:rsidR="00542C32" w:rsidP="005335F2" w14:paraId="03866514" w14:textId="77777777">
      <w:pPr>
        <w:textAlignment w:val="baseline"/>
        <w:rPr>
          <w:rFonts w:asciiTheme="minorHAnsi" w:hAnsiTheme="minorHAnsi" w:cstheme="minorHAnsi"/>
          <w:szCs w:val="24"/>
        </w:rPr>
      </w:pPr>
    </w:p>
    <w:p w:rsidR="005335F2" w:rsidRPr="00542C32" w:rsidP="005335F2" w14:paraId="38D09D81" w14:textId="2974DE71">
      <w:pPr>
        <w:textAlignment w:val="baseline"/>
        <w:rPr>
          <w:rFonts w:asciiTheme="minorHAnsi" w:hAnsiTheme="minorHAnsi" w:cstheme="minorHAnsi"/>
          <w:sz w:val="18"/>
          <w:szCs w:val="18"/>
        </w:rPr>
      </w:pPr>
      <w:r w:rsidRPr="00542C32">
        <w:rPr>
          <w:rFonts w:asciiTheme="minorHAnsi" w:hAnsiTheme="minorHAnsi" w:cstheme="minorHAnsi"/>
          <w:szCs w:val="24"/>
        </w:rPr>
        <w:t>261,500 hours/2 = 130,750 </w:t>
      </w:r>
    </w:p>
    <w:p w:rsidR="005335F2" w:rsidRPr="00542C32" w:rsidP="005335F2" w14:paraId="36372306" w14:textId="2D8D1D3C">
      <w:pPr>
        <w:textAlignment w:val="baseline"/>
        <w:rPr>
          <w:rFonts w:asciiTheme="minorHAnsi" w:hAnsiTheme="minorHAnsi" w:cstheme="minorHAnsi"/>
          <w:sz w:val="18"/>
          <w:szCs w:val="18"/>
        </w:rPr>
      </w:pPr>
      <w:r w:rsidRPr="00542C32">
        <w:rPr>
          <w:rFonts w:asciiTheme="minorHAnsi" w:hAnsiTheme="minorHAnsi" w:cstheme="minorHAnsi"/>
          <w:szCs w:val="24"/>
        </w:rPr>
        <w:t>5,</w:t>
      </w:r>
      <w:r w:rsidR="00DD1175">
        <w:rPr>
          <w:rFonts w:asciiTheme="minorHAnsi" w:hAnsiTheme="minorHAnsi" w:cstheme="minorHAnsi"/>
          <w:szCs w:val="24"/>
        </w:rPr>
        <w:t>626</w:t>
      </w:r>
      <w:r w:rsidRPr="00542C32">
        <w:rPr>
          <w:rFonts w:asciiTheme="minorHAnsi" w:hAnsiTheme="minorHAnsi" w:cstheme="minorHAnsi"/>
          <w:szCs w:val="24"/>
        </w:rPr>
        <w:t xml:space="preserve"> responses </w:t>
      </w:r>
    </w:p>
    <w:p w:rsidR="00986020" w:rsidRPr="00542C32" w:rsidP="00986020" w14:paraId="0357F148" w14:textId="77777777">
      <w:pPr>
        <w:rPr>
          <w:rStyle w:val="a"/>
          <w:rFonts w:asciiTheme="minorHAnsi" w:hAnsiTheme="minorHAnsi" w:cstheme="minorHAnsi"/>
          <w:b/>
          <w:szCs w:val="24"/>
        </w:rPr>
      </w:pPr>
    </w:p>
    <w:tbl>
      <w:tblPr>
        <w:tblStyle w:val="TableGrid2"/>
        <w:tblW w:w="0" w:type="auto"/>
        <w:tblLook w:val="04A0"/>
      </w:tblPr>
      <w:tblGrid>
        <w:gridCol w:w="2157"/>
        <w:gridCol w:w="2157"/>
        <w:gridCol w:w="2158"/>
        <w:gridCol w:w="2158"/>
      </w:tblGrid>
      <w:tr w14:paraId="4A395B96" w14:textId="77777777">
        <w:tblPrEx>
          <w:tblW w:w="0" w:type="auto"/>
          <w:tblLook w:val="04A0"/>
        </w:tblPrEx>
        <w:tc>
          <w:tcPr>
            <w:tcW w:w="2157" w:type="dxa"/>
          </w:tcPr>
          <w:p w:rsidR="008156DD" w:rsidRPr="00CB0F29" w14:paraId="173D746A"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Entity</w:t>
            </w:r>
          </w:p>
        </w:tc>
        <w:tc>
          <w:tcPr>
            <w:tcW w:w="2157" w:type="dxa"/>
          </w:tcPr>
          <w:p w:rsidR="008156DD" w:rsidRPr="00CB0F29" w14:paraId="2BA7D6D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Respondents</w:t>
            </w:r>
          </w:p>
        </w:tc>
        <w:tc>
          <w:tcPr>
            <w:tcW w:w="2158" w:type="dxa"/>
          </w:tcPr>
          <w:p w:rsidR="008156DD" w:rsidRPr="00CB0F29" w14:paraId="60E9786D"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Hours</w:t>
            </w:r>
          </w:p>
        </w:tc>
        <w:tc>
          <w:tcPr>
            <w:tcW w:w="2158" w:type="dxa"/>
          </w:tcPr>
          <w:p w:rsidR="008156DD" w:rsidRPr="00CB0F29" w14:paraId="77BDDFA3"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Burden Hours</w:t>
            </w:r>
          </w:p>
        </w:tc>
      </w:tr>
      <w:tr w14:paraId="3E65CB71" w14:textId="77777777">
        <w:tblPrEx>
          <w:tblW w:w="0" w:type="auto"/>
          <w:tblLook w:val="04A0"/>
        </w:tblPrEx>
        <w:tc>
          <w:tcPr>
            <w:tcW w:w="2157" w:type="dxa"/>
          </w:tcPr>
          <w:p w:rsidR="008156DD" w:rsidRPr="00CB0F29" w14:paraId="157B6E93"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Public</w:t>
            </w:r>
          </w:p>
        </w:tc>
        <w:tc>
          <w:tcPr>
            <w:tcW w:w="2157" w:type="dxa"/>
          </w:tcPr>
          <w:p w:rsidR="008156DD" w:rsidRPr="00CB0F29" w14:paraId="3B4DB227"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1,869</w:t>
            </w:r>
          </w:p>
        </w:tc>
        <w:tc>
          <w:tcPr>
            <w:tcW w:w="2158" w:type="dxa"/>
          </w:tcPr>
          <w:p w:rsidR="008156DD" w:rsidRPr="00CB0F29" w14:paraId="2EB85737" w14:textId="16C1B045">
            <w:pPr>
              <w:spacing w:after="160"/>
              <w:rPr>
                <w:rFonts w:eastAsia="Calibri" w:asciiTheme="minorHAnsi" w:hAnsiTheme="minorHAnsi" w:cstheme="minorHAnsi"/>
                <w:szCs w:val="24"/>
              </w:rPr>
            </w:pPr>
            <w:r>
              <w:rPr>
                <w:rFonts w:eastAsia="Calibri" w:asciiTheme="minorHAnsi" w:hAnsiTheme="minorHAnsi" w:cstheme="minorHAnsi"/>
                <w:szCs w:val="24"/>
              </w:rPr>
              <w:t>23.24</w:t>
            </w:r>
          </w:p>
        </w:tc>
        <w:tc>
          <w:tcPr>
            <w:tcW w:w="2158" w:type="dxa"/>
          </w:tcPr>
          <w:p w:rsidR="008156DD" w:rsidRPr="00CB0F29" w14:paraId="70F692AC" w14:textId="6B9A9D8B">
            <w:pPr>
              <w:spacing w:after="160"/>
              <w:rPr>
                <w:rFonts w:eastAsia="Calibri" w:asciiTheme="minorHAnsi" w:hAnsiTheme="minorHAnsi" w:cstheme="minorHAnsi"/>
                <w:szCs w:val="24"/>
              </w:rPr>
            </w:pPr>
            <w:r>
              <w:rPr>
                <w:rFonts w:eastAsia="Calibri" w:asciiTheme="minorHAnsi" w:hAnsiTheme="minorHAnsi" w:cstheme="minorHAnsi"/>
                <w:szCs w:val="24"/>
              </w:rPr>
              <w:t>-</w:t>
            </w:r>
            <w:r w:rsidR="00670CB6">
              <w:rPr>
                <w:rFonts w:eastAsia="Calibri" w:asciiTheme="minorHAnsi" w:hAnsiTheme="minorHAnsi" w:cstheme="minorHAnsi"/>
                <w:szCs w:val="24"/>
              </w:rPr>
              <w:t>43,43</w:t>
            </w:r>
            <w:r w:rsidR="00FA19B2">
              <w:rPr>
                <w:rFonts w:eastAsia="Calibri" w:asciiTheme="minorHAnsi" w:hAnsiTheme="minorHAnsi" w:cstheme="minorHAnsi"/>
                <w:szCs w:val="24"/>
              </w:rPr>
              <w:t>9</w:t>
            </w:r>
          </w:p>
        </w:tc>
      </w:tr>
      <w:tr w14:paraId="292CD3BC" w14:textId="77777777">
        <w:tblPrEx>
          <w:tblW w:w="0" w:type="auto"/>
          <w:tblLook w:val="04A0"/>
        </w:tblPrEx>
        <w:tc>
          <w:tcPr>
            <w:tcW w:w="2157" w:type="dxa"/>
          </w:tcPr>
          <w:p w:rsidR="008156DD" w:rsidRPr="00CB0F29" w14:paraId="623A8AB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Private</w:t>
            </w:r>
          </w:p>
        </w:tc>
        <w:tc>
          <w:tcPr>
            <w:tcW w:w="2157" w:type="dxa"/>
          </w:tcPr>
          <w:p w:rsidR="008156DD" w:rsidRPr="00CB0F29" w14:paraId="7AE9429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1,674</w:t>
            </w:r>
          </w:p>
        </w:tc>
        <w:tc>
          <w:tcPr>
            <w:tcW w:w="2158" w:type="dxa"/>
          </w:tcPr>
          <w:p w:rsidR="008156DD" w:rsidRPr="00CB0F29" w14:paraId="61AC4ABC" w14:textId="19F36DF1">
            <w:pPr>
              <w:spacing w:after="160"/>
              <w:rPr>
                <w:rFonts w:eastAsia="Calibri" w:asciiTheme="minorHAnsi" w:hAnsiTheme="minorHAnsi" w:cstheme="minorHAnsi"/>
                <w:szCs w:val="24"/>
              </w:rPr>
            </w:pPr>
            <w:r>
              <w:rPr>
                <w:rFonts w:eastAsia="Calibri" w:asciiTheme="minorHAnsi" w:hAnsiTheme="minorHAnsi" w:cstheme="minorHAnsi"/>
                <w:szCs w:val="24"/>
              </w:rPr>
              <w:t>23.24</w:t>
            </w:r>
          </w:p>
        </w:tc>
        <w:tc>
          <w:tcPr>
            <w:tcW w:w="2158" w:type="dxa"/>
          </w:tcPr>
          <w:p w:rsidR="008156DD" w:rsidRPr="00CB0F29" w14:paraId="29BBEAD6" w14:textId="6C83504E">
            <w:pPr>
              <w:spacing w:after="160"/>
              <w:rPr>
                <w:rFonts w:eastAsia="Calibri" w:asciiTheme="minorHAnsi" w:hAnsiTheme="minorHAnsi" w:cstheme="minorHAnsi"/>
                <w:szCs w:val="24"/>
              </w:rPr>
            </w:pPr>
            <w:r>
              <w:rPr>
                <w:rFonts w:eastAsia="Calibri" w:asciiTheme="minorHAnsi" w:hAnsiTheme="minorHAnsi" w:cstheme="minorHAnsi"/>
                <w:szCs w:val="24"/>
              </w:rPr>
              <w:t>-</w:t>
            </w:r>
            <w:r w:rsidR="008A5509">
              <w:rPr>
                <w:rFonts w:eastAsia="Calibri" w:asciiTheme="minorHAnsi" w:hAnsiTheme="minorHAnsi" w:cstheme="minorHAnsi"/>
                <w:szCs w:val="24"/>
              </w:rPr>
              <w:t>38,90</w:t>
            </w:r>
            <w:r w:rsidR="000620BF">
              <w:rPr>
                <w:rFonts w:eastAsia="Calibri" w:asciiTheme="minorHAnsi" w:hAnsiTheme="minorHAnsi" w:cstheme="minorHAnsi"/>
                <w:szCs w:val="24"/>
              </w:rPr>
              <w:t>4</w:t>
            </w:r>
          </w:p>
        </w:tc>
      </w:tr>
      <w:tr w14:paraId="38E3293A" w14:textId="77777777">
        <w:tblPrEx>
          <w:tblW w:w="0" w:type="auto"/>
          <w:tblLook w:val="04A0"/>
        </w:tblPrEx>
        <w:tc>
          <w:tcPr>
            <w:tcW w:w="2157" w:type="dxa"/>
          </w:tcPr>
          <w:p w:rsidR="008156DD" w:rsidRPr="00CB0F29" w14:paraId="37C38B6B"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For Profit</w:t>
            </w:r>
          </w:p>
        </w:tc>
        <w:tc>
          <w:tcPr>
            <w:tcW w:w="2157" w:type="dxa"/>
          </w:tcPr>
          <w:p w:rsidR="008156DD" w:rsidRPr="00CB0F29" w14:paraId="63C8639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2,083</w:t>
            </w:r>
          </w:p>
        </w:tc>
        <w:tc>
          <w:tcPr>
            <w:tcW w:w="2158" w:type="dxa"/>
          </w:tcPr>
          <w:p w:rsidR="008156DD" w:rsidRPr="00CB0F29" w14:paraId="19A1318F" w14:textId="07A8B6B9">
            <w:pPr>
              <w:spacing w:after="160"/>
              <w:rPr>
                <w:rFonts w:eastAsia="Calibri" w:asciiTheme="minorHAnsi" w:hAnsiTheme="minorHAnsi" w:cstheme="minorHAnsi"/>
                <w:szCs w:val="24"/>
              </w:rPr>
            </w:pPr>
            <w:r>
              <w:rPr>
                <w:rFonts w:eastAsia="Calibri" w:asciiTheme="minorHAnsi" w:hAnsiTheme="minorHAnsi" w:cstheme="minorHAnsi"/>
                <w:szCs w:val="24"/>
              </w:rPr>
              <w:t>23.24</w:t>
            </w:r>
          </w:p>
        </w:tc>
        <w:tc>
          <w:tcPr>
            <w:tcW w:w="2158" w:type="dxa"/>
          </w:tcPr>
          <w:p w:rsidR="008156DD" w:rsidRPr="00CB0F29" w14:paraId="57F6FA0A" w14:textId="74321441">
            <w:pPr>
              <w:spacing w:after="160"/>
              <w:rPr>
                <w:rFonts w:eastAsia="Calibri" w:asciiTheme="minorHAnsi" w:hAnsiTheme="minorHAnsi" w:cstheme="minorHAnsi"/>
                <w:szCs w:val="24"/>
              </w:rPr>
            </w:pPr>
            <w:r>
              <w:rPr>
                <w:rFonts w:eastAsia="Calibri" w:asciiTheme="minorHAnsi" w:hAnsiTheme="minorHAnsi" w:cstheme="minorHAnsi"/>
                <w:szCs w:val="24"/>
              </w:rPr>
              <w:t>-</w:t>
            </w:r>
            <w:r w:rsidR="00051A6F">
              <w:rPr>
                <w:rFonts w:eastAsia="Calibri" w:asciiTheme="minorHAnsi" w:hAnsiTheme="minorHAnsi" w:cstheme="minorHAnsi"/>
                <w:szCs w:val="24"/>
              </w:rPr>
              <w:t>48,</w:t>
            </w:r>
            <w:r w:rsidR="00F55A4C">
              <w:rPr>
                <w:rFonts w:eastAsia="Calibri" w:asciiTheme="minorHAnsi" w:hAnsiTheme="minorHAnsi" w:cstheme="minorHAnsi"/>
                <w:szCs w:val="24"/>
              </w:rPr>
              <w:t>409</w:t>
            </w:r>
          </w:p>
        </w:tc>
      </w:tr>
      <w:tr w14:paraId="1320A2BA" w14:textId="77777777">
        <w:tblPrEx>
          <w:tblW w:w="0" w:type="auto"/>
          <w:tblLook w:val="04A0"/>
        </w:tblPrEx>
        <w:tc>
          <w:tcPr>
            <w:tcW w:w="2157" w:type="dxa"/>
          </w:tcPr>
          <w:p w:rsidR="008156DD" w:rsidRPr="00CB0F29" w14:paraId="7DB15681"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Total</w:t>
            </w:r>
          </w:p>
        </w:tc>
        <w:tc>
          <w:tcPr>
            <w:tcW w:w="2157" w:type="dxa"/>
          </w:tcPr>
          <w:p w:rsidR="008156DD" w:rsidRPr="00CB0F29" w14:paraId="17509B29"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5,626</w:t>
            </w:r>
          </w:p>
        </w:tc>
        <w:tc>
          <w:tcPr>
            <w:tcW w:w="2158" w:type="dxa"/>
          </w:tcPr>
          <w:p w:rsidR="008156DD" w:rsidRPr="00CB0F29" w14:paraId="0A5D36F5" w14:textId="77777777">
            <w:pPr>
              <w:spacing w:after="160"/>
              <w:rPr>
                <w:rFonts w:eastAsia="Calibri" w:asciiTheme="minorHAnsi" w:hAnsiTheme="minorHAnsi" w:cstheme="minorHAnsi"/>
                <w:szCs w:val="24"/>
              </w:rPr>
            </w:pPr>
          </w:p>
        </w:tc>
        <w:tc>
          <w:tcPr>
            <w:tcW w:w="2158" w:type="dxa"/>
          </w:tcPr>
          <w:p w:rsidR="008156DD" w:rsidRPr="00CB0F29" w14:paraId="35121E49" w14:textId="2183F3F1">
            <w:pPr>
              <w:spacing w:after="160"/>
              <w:rPr>
                <w:rFonts w:eastAsia="Calibri" w:asciiTheme="minorHAnsi" w:hAnsiTheme="minorHAnsi" w:cstheme="minorHAnsi"/>
                <w:szCs w:val="24"/>
              </w:rPr>
            </w:pPr>
            <w:r>
              <w:rPr>
                <w:rFonts w:eastAsia="Calibri" w:asciiTheme="minorHAnsi" w:hAnsiTheme="minorHAnsi" w:cstheme="minorHAnsi"/>
                <w:szCs w:val="24"/>
              </w:rPr>
              <w:t>-</w:t>
            </w:r>
            <w:r w:rsidR="002B2E4A">
              <w:rPr>
                <w:rFonts w:eastAsia="Calibri" w:asciiTheme="minorHAnsi" w:hAnsiTheme="minorHAnsi" w:cstheme="minorHAnsi"/>
                <w:szCs w:val="24"/>
              </w:rPr>
              <w:t>130,75</w:t>
            </w:r>
            <w:r w:rsidR="00DD1175">
              <w:rPr>
                <w:rFonts w:eastAsia="Calibri" w:asciiTheme="minorHAnsi" w:hAnsiTheme="minorHAnsi" w:cstheme="minorHAnsi"/>
                <w:szCs w:val="24"/>
              </w:rPr>
              <w:t>2</w:t>
            </w:r>
          </w:p>
        </w:tc>
      </w:tr>
    </w:tbl>
    <w:p w:rsidR="00986020" w:rsidP="00986020" w14:paraId="622E6F16" w14:textId="77777777">
      <w:pPr>
        <w:rPr>
          <w:rStyle w:val="a"/>
          <w:rFonts w:ascii="Times New Roman" w:hAnsi="Times New Roman"/>
          <w:b/>
          <w:szCs w:val="24"/>
        </w:rPr>
      </w:pPr>
    </w:p>
    <w:p w:rsidR="0067660E" w:rsidP="00756FD3" w14:paraId="31713703" w14:textId="77777777">
      <w:pPr>
        <w:pStyle w:val="Caption"/>
        <w:jc w:val="center"/>
        <w:rPr>
          <w:rFonts w:ascii="Times New Roman" w:hAnsi="Times New Roman"/>
          <w:color w:val="000000" w:themeColor="text1"/>
          <w:sz w:val="24"/>
          <w:szCs w:val="24"/>
        </w:rPr>
      </w:pPr>
    </w:p>
    <w:p w:rsidR="00ED7195" w:rsidP="00756FD3" w14:paraId="662D242F" w14:textId="7DDD64C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w:t>
      </w:r>
      <w:r w:rsidR="007466C2">
        <w:rPr>
          <w:rFonts w:ascii="Times New Roman" w:hAnsi="Times New Roman"/>
          <w:color w:val="000000" w:themeColor="text1"/>
          <w:sz w:val="24"/>
          <w:szCs w:val="24"/>
        </w:rPr>
        <w:t>d</w:t>
      </w:r>
      <w:r w:rsidR="007F6104">
        <w:rPr>
          <w:rFonts w:ascii="Times New Roman" w:hAnsi="Times New Roman"/>
          <w:color w:val="000000" w:themeColor="text1"/>
          <w:sz w:val="24"/>
          <w:szCs w:val="24"/>
        </w:rPr>
        <w:t xml:space="preserve"> Respondent Costs</w:t>
      </w:r>
      <w:r w:rsidR="00F5782B">
        <w:rPr>
          <w:rFonts w:ascii="Times New Roman" w:hAnsi="Times New Roman"/>
          <w:color w:val="000000" w:themeColor="text1"/>
          <w:sz w:val="24"/>
          <w:szCs w:val="24"/>
        </w:rPr>
        <w:t xml:space="preserve"> Table</w:t>
      </w:r>
    </w:p>
    <w:p w:rsidR="000A4A69" w:rsidP="000A4A69" w14:paraId="61361357" w14:textId="77777777"/>
    <w:p w:rsidR="000A4A69" w:rsidRPr="0067660E" w:rsidP="000A4A69" w14:paraId="3A202D27" w14:textId="4AC0862E">
      <w:pPr>
        <w:rPr>
          <w:rFonts w:ascii="Aptos" w:hAnsi="Aptos"/>
          <w:sz w:val="22"/>
          <w:szCs w:val="22"/>
        </w:rPr>
      </w:pPr>
      <w:r w:rsidRPr="0067660E">
        <w:rPr>
          <w:rFonts w:ascii="Aptos" w:hAnsi="Aptos"/>
          <w:sz w:val="22"/>
          <w:szCs w:val="22"/>
        </w:rPr>
        <w:t>For institutions, we used the median hourly wage for Education Administrators, Postsecondary (11-9033) from the U.S. Bureau of Labor Statistics. In 2024 this was $49.98. To account for overhead costs and benefits, the Department has multiplied by this wage by two, resulting in hourly costs of $99.96.</w:t>
      </w:r>
    </w:p>
    <w:tbl>
      <w:tblPr>
        <w:tblStyle w:val="GridTableLight"/>
        <w:tblpPr w:leftFromText="180" w:rightFromText="180" w:vertAnchor="text" w:horzAnchor="margin" w:tblpXSpec="center" w:tblpY="174"/>
        <w:tblW w:w="9805" w:type="dxa"/>
        <w:tblLayout w:type="fixed"/>
        <w:tblLook w:val="0020"/>
      </w:tblPr>
      <w:tblGrid>
        <w:gridCol w:w="1345"/>
        <w:gridCol w:w="1275"/>
        <w:gridCol w:w="1485"/>
        <w:gridCol w:w="1095"/>
        <w:gridCol w:w="1275"/>
        <w:gridCol w:w="1440"/>
        <w:gridCol w:w="1890"/>
      </w:tblGrid>
      <w:tr w14:paraId="4FB99E71" w14:textId="77777777" w:rsidTr="1CF7AEC2">
        <w:tblPrEx>
          <w:tblW w:w="9805" w:type="dxa"/>
          <w:tblLayout w:type="fixed"/>
          <w:tblLook w:val="0020"/>
        </w:tblPrEx>
        <w:trPr>
          <w:tblHeader/>
        </w:trPr>
        <w:tc>
          <w:tcPr>
            <w:tcW w:w="1345" w:type="dxa"/>
          </w:tcPr>
          <w:p w:rsidR="009C37AF" w:rsidRPr="007F6104" w:rsidP="002B061C" w14:paraId="6CD2144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2B061C" w14:paraId="52602B7A" w14:textId="3AE5E755">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w:t>
            </w:r>
            <w:r w:rsidR="007116BD">
              <w:rPr>
                <w:rFonts w:ascii="Times New Roman" w:hAnsi="Times New Roman"/>
                <w:sz w:val="20"/>
              </w:rPr>
              <w:t>ses</w:t>
            </w:r>
          </w:p>
        </w:tc>
        <w:tc>
          <w:tcPr>
            <w:tcW w:w="1485" w:type="dxa"/>
          </w:tcPr>
          <w:p w:rsidR="009C37AF" w:rsidRPr="007F6104" w:rsidP="002B061C" w14:paraId="4E70B8C4" w14:textId="7EA50ED0">
            <w:pPr>
              <w:jc w:val="center"/>
              <w:rPr>
                <w:rFonts w:ascii="Times New Roman" w:hAnsi="Times New Roman"/>
                <w:sz w:val="20"/>
              </w:rPr>
            </w:pPr>
            <w:r w:rsidRPr="007F6104">
              <w:rPr>
                <w:rFonts w:ascii="Times New Roman" w:hAnsi="Times New Roman"/>
                <w:sz w:val="20"/>
              </w:rPr>
              <w:t>Number of Respo</w:t>
            </w:r>
            <w:r w:rsidR="007116BD">
              <w:rPr>
                <w:rFonts w:ascii="Times New Roman" w:hAnsi="Times New Roman"/>
                <w:sz w:val="20"/>
              </w:rPr>
              <w:t>ndents</w:t>
            </w:r>
          </w:p>
        </w:tc>
        <w:tc>
          <w:tcPr>
            <w:tcW w:w="1095" w:type="dxa"/>
          </w:tcPr>
          <w:p w:rsidR="009C37AF" w:rsidRPr="007F6104" w:rsidP="002B061C" w14:paraId="556D220D"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275" w:type="dxa"/>
          </w:tcPr>
          <w:p w:rsidR="009C37AF" w:rsidRPr="007F6104" w:rsidP="002B061C" w14:paraId="56C0274F"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440" w:type="dxa"/>
          </w:tcPr>
          <w:p w:rsidR="009C37AF" w:rsidRPr="007F6104" w:rsidP="002B061C" w14:paraId="24B0F2B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0" w:type="dxa"/>
          </w:tcPr>
          <w:p w:rsidR="009C37AF" w:rsidRPr="007F6104" w:rsidP="002B061C" w14:paraId="335B46D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FD797EB" w14:textId="77777777" w:rsidTr="1CF7AEC2">
        <w:tblPrEx>
          <w:tblW w:w="9805" w:type="dxa"/>
          <w:tblLayout w:type="fixed"/>
          <w:tblLook w:val="0020"/>
        </w:tblPrEx>
        <w:tc>
          <w:tcPr>
            <w:tcW w:w="1345" w:type="dxa"/>
          </w:tcPr>
          <w:p w:rsidR="007466C2" w:rsidRPr="009C37AF" w:rsidP="007466C2" w14:paraId="19019356"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B061C" w:rsidRPr="007466C2" w:rsidP="002B061C" w14:paraId="6C7DFC97" w14:textId="0DDA4D7B">
            <w:pPr>
              <w:jc w:val="right"/>
              <w:rPr>
                <w:rFonts w:asciiTheme="minorHAnsi" w:hAnsiTheme="minorHAnsi" w:cstheme="minorBidi"/>
              </w:rPr>
            </w:pPr>
            <w:r w:rsidRPr="1CF7AEC2">
              <w:rPr>
                <w:rFonts w:asciiTheme="minorHAnsi" w:hAnsiTheme="minorHAnsi" w:cstheme="minorBidi"/>
              </w:rPr>
              <w:t>4,</w:t>
            </w:r>
            <w:r w:rsidR="003C3E7F">
              <w:rPr>
                <w:rFonts w:asciiTheme="minorHAnsi" w:hAnsiTheme="minorHAnsi" w:cstheme="minorBidi"/>
              </w:rPr>
              <w:t>583</w:t>
            </w:r>
          </w:p>
        </w:tc>
        <w:tc>
          <w:tcPr>
            <w:tcW w:w="1485" w:type="dxa"/>
          </w:tcPr>
          <w:p w:rsidR="007466C2" w:rsidRPr="007466C2" w:rsidP="007466C2" w14:paraId="38502F75" w14:textId="10E6CC9C">
            <w:pPr>
              <w:jc w:val="right"/>
              <w:rPr>
                <w:rFonts w:asciiTheme="minorHAnsi" w:hAnsiTheme="minorHAnsi" w:cstheme="minorHAnsi"/>
                <w:szCs w:val="24"/>
              </w:rPr>
            </w:pPr>
            <w:r>
              <w:rPr>
                <w:rFonts w:asciiTheme="minorHAnsi" w:hAnsiTheme="minorHAnsi" w:cstheme="minorHAnsi"/>
                <w:szCs w:val="24"/>
              </w:rPr>
              <w:t>2,083</w:t>
            </w:r>
          </w:p>
        </w:tc>
        <w:tc>
          <w:tcPr>
            <w:tcW w:w="1095" w:type="dxa"/>
          </w:tcPr>
          <w:p w:rsidR="007466C2" w:rsidRPr="007466C2" w:rsidP="000B071E" w14:paraId="7739660E" w14:textId="3BE86FA1">
            <w:pPr>
              <w:jc w:val="right"/>
              <w:rPr>
                <w:rFonts w:asciiTheme="minorHAnsi" w:hAnsiTheme="minorHAnsi" w:cstheme="minorBidi"/>
              </w:rPr>
            </w:pPr>
            <w:r w:rsidRPr="1CF7AEC2">
              <w:rPr>
                <w:rFonts w:asciiTheme="minorHAnsi" w:hAnsiTheme="minorHAnsi" w:cstheme="minorBidi"/>
              </w:rPr>
              <w:t>27</w:t>
            </w:r>
          </w:p>
        </w:tc>
        <w:tc>
          <w:tcPr>
            <w:tcW w:w="1275" w:type="dxa"/>
          </w:tcPr>
          <w:p w:rsidR="007466C2" w:rsidRPr="007466C2" w:rsidP="1CF7AEC2" w14:paraId="700D1D05" w14:textId="54378678">
            <w:pPr>
              <w:pStyle w:val="EndnoteText"/>
              <w:suppressAutoHyphens w:val="0"/>
              <w:jc w:val="right"/>
              <w:rPr>
                <w:rFonts w:asciiTheme="minorHAnsi" w:hAnsiTheme="minorHAnsi" w:cstheme="minorBidi"/>
              </w:rPr>
            </w:pPr>
            <w:r w:rsidRPr="1CF7AEC2">
              <w:rPr>
                <w:rFonts w:asciiTheme="minorHAnsi" w:hAnsiTheme="minorHAnsi" w:cstheme="minorBidi"/>
              </w:rPr>
              <w:t>12</w:t>
            </w:r>
            <w:r w:rsidR="002B4BF7">
              <w:rPr>
                <w:rFonts w:asciiTheme="minorHAnsi" w:hAnsiTheme="minorHAnsi" w:cstheme="minorBidi"/>
              </w:rPr>
              <w:t>3</w:t>
            </w:r>
            <w:r w:rsidRPr="1CF7AEC2">
              <w:rPr>
                <w:rFonts w:asciiTheme="minorHAnsi" w:hAnsiTheme="minorHAnsi" w:cstheme="minorBidi"/>
              </w:rPr>
              <w:t>,</w:t>
            </w:r>
            <w:r w:rsidR="004F28F1">
              <w:rPr>
                <w:rFonts w:asciiTheme="minorHAnsi" w:hAnsiTheme="minorHAnsi" w:cstheme="minorBidi"/>
              </w:rPr>
              <w:t>741</w:t>
            </w:r>
          </w:p>
        </w:tc>
        <w:tc>
          <w:tcPr>
            <w:tcW w:w="1440" w:type="dxa"/>
          </w:tcPr>
          <w:p w:rsidR="007466C2" w:rsidRPr="007466C2" w:rsidP="007466C2" w14:paraId="421F456C" w14:textId="41B6C920">
            <w:pPr>
              <w:jc w:val="right"/>
              <w:rPr>
                <w:rFonts w:asciiTheme="minorHAnsi" w:hAnsiTheme="minorHAnsi" w:cstheme="minorHAnsi"/>
                <w:szCs w:val="24"/>
              </w:rPr>
            </w:pPr>
            <w:r>
              <w:rPr>
                <w:rFonts w:asciiTheme="minorHAnsi" w:hAnsiTheme="minorHAnsi" w:cstheme="minorHAnsi"/>
                <w:szCs w:val="24"/>
              </w:rPr>
              <w:t>$</w:t>
            </w:r>
            <w:r w:rsidR="000B071E">
              <w:rPr>
                <w:rFonts w:asciiTheme="minorHAnsi" w:hAnsiTheme="minorHAnsi" w:cstheme="minorHAnsi"/>
                <w:szCs w:val="24"/>
              </w:rPr>
              <w:t>99.96</w:t>
            </w:r>
          </w:p>
        </w:tc>
        <w:tc>
          <w:tcPr>
            <w:tcW w:w="1890" w:type="dxa"/>
          </w:tcPr>
          <w:p w:rsidR="002B061C" w:rsidRPr="007466C2" w:rsidP="002B061C" w14:paraId="44B71CC5" w14:textId="1135200B">
            <w:pPr>
              <w:jc w:val="right"/>
              <w:rPr>
                <w:rFonts w:asciiTheme="minorHAnsi" w:hAnsiTheme="minorHAnsi" w:cstheme="minorBidi"/>
              </w:rPr>
            </w:pPr>
            <w:r w:rsidRPr="1CF7AEC2">
              <w:rPr>
                <w:rFonts w:asciiTheme="minorHAnsi" w:hAnsiTheme="minorHAnsi" w:cstheme="minorBidi"/>
              </w:rPr>
              <w:t>$</w:t>
            </w:r>
            <w:r w:rsidRPr="1CF7AEC2" w:rsidR="1BE5202D">
              <w:rPr>
                <w:rFonts w:asciiTheme="minorHAnsi" w:hAnsiTheme="minorHAnsi" w:cstheme="minorBidi"/>
              </w:rPr>
              <w:t>12,</w:t>
            </w:r>
            <w:r w:rsidR="004F28F1">
              <w:rPr>
                <w:rFonts w:asciiTheme="minorHAnsi" w:hAnsiTheme="minorHAnsi" w:cstheme="minorBidi"/>
              </w:rPr>
              <w:t>3</w:t>
            </w:r>
            <w:r w:rsidR="004A6066">
              <w:rPr>
                <w:rFonts w:asciiTheme="minorHAnsi" w:hAnsiTheme="minorHAnsi" w:cstheme="minorBidi"/>
              </w:rPr>
              <w:t>69</w:t>
            </w:r>
            <w:r w:rsidR="00772FC2">
              <w:rPr>
                <w:rFonts w:asciiTheme="minorHAnsi" w:hAnsiTheme="minorHAnsi" w:cstheme="minorBidi"/>
              </w:rPr>
              <w:t>,150</w:t>
            </w:r>
          </w:p>
        </w:tc>
      </w:tr>
      <w:tr w14:paraId="65FB1911" w14:textId="77777777" w:rsidTr="1CF7AEC2">
        <w:tblPrEx>
          <w:tblW w:w="9805" w:type="dxa"/>
          <w:tblLayout w:type="fixed"/>
          <w:tblLook w:val="0020"/>
        </w:tblPrEx>
        <w:tc>
          <w:tcPr>
            <w:tcW w:w="1345" w:type="dxa"/>
          </w:tcPr>
          <w:p w:rsidR="007466C2" w:rsidRPr="009C37AF" w:rsidP="007466C2" w14:paraId="4CEBF0DB"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7466C2" w:rsidRPr="007466C2" w:rsidP="007466C2" w14:paraId="1283DD46" w14:textId="13EBAE14">
            <w:pPr>
              <w:jc w:val="right"/>
              <w:rPr>
                <w:rFonts w:asciiTheme="minorHAnsi" w:hAnsiTheme="minorHAnsi" w:cstheme="minorBidi"/>
              </w:rPr>
            </w:pPr>
            <w:r w:rsidRPr="1CF7AEC2">
              <w:rPr>
                <w:rFonts w:asciiTheme="minorHAnsi" w:hAnsiTheme="minorHAnsi" w:cstheme="minorBidi"/>
              </w:rPr>
              <w:t>3,</w:t>
            </w:r>
            <w:r w:rsidR="007A21DD">
              <w:rPr>
                <w:rFonts w:asciiTheme="minorHAnsi" w:hAnsiTheme="minorHAnsi" w:cstheme="minorBidi"/>
              </w:rPr>
              <w:t>513</w:t>
            </w:r>
          </w:p>
        </w:tc>
        <w:tc>
          <w:tcPr>
            <w:tcW w:w="1485" w:type="dxa"/>
          </w:tcPr>
          <w:p w:rsidR="007466C2" w:rsidRPr="007466C2" w:rsidP="007466C2" w14:paraId="67CC867E" w14:textId="12B49E8B">
            <w:pPr>
              <w:jc w:val="right"/>
              <w:rPr>
                <w:rFonts w:asciiTheme="minorHAnsi" w:hAnsiTheme="minorHAnsi" w:cstheme="minorHAnsi"/>
                <w:szCs w:val="24"/>
              </w:rPr>
            </w:pPr>
            <w:r>
              <w:rPr>
                <w:rFonts w:asciiTheme="minorHAnsi" w:hAnsiTheme="minorHAnsi" w:cstheme="minorHAnsi"/>
                <w:szCs w:val="24"/>
              </w:rPr>
              <w:t>1,674</w:t>
            </w:r>
          </w:p>
        </w:tc>
        <w:tc>
          <w:tcPr>
            <w:tcW w:w="1095" w:type="dxa"/>
          </w:tcPr>
          <w:p w:rsidR="007466C2" w:rsidRPr="007466C2" w:rsidP="007466C2" w14:paraId="2C50753A" w14:textId="56415D76">
            <w:pPr>
              <w:jc w:val="right"/>
              <w:rPr>
                <w:rFonts w:asciiTheme="minorHAnsi" w:hAnsiTheme="minorHAnsi" w:cstheme="minorBidi"/>
              </w:rPr>
            </w:pPr>
            <w:r w:rsidRPr="1CF7AEC2">
              <w:rPr>
                <w:rFonts w:asciiTheme="minorHAnsi" w:hAnsiTheme="minorHAnsi" w:cstheme="minorBidi"/>
              </w:rPr>
              <w:t>27</w:t>
            </w:r>
          </w:p>
        </w:tc>
        <w:tc>
          <w:tcPr>
            <w:tcW w:w="1275" w:type="dxa"/>
          </w:tcPr>
          <w:p w:rsidR="007466C2" w:rsidRPr="007466C2" w:rsidP="1CF7AEC2" w14:paraId="25AE09AA" w14:textId="2D72CD3F">
            <w:pPr>
              <w:pStyle w:val="EndnoteText"/>
              <w:suppressAutoHyphens w:val="0"/>
              <w:jc w:val="right"/>
              <w:rPr>
                <w:rFonts w:asciiTheme="minorHAnsi" w:hAnsiTheme="minorHAnsi" w:cstheme="minorBidi"/>
              </w:rPr>
            </w:pPr>
            <w:r>
              <w:rPr>
                <w:rFonts w:asciiTheme="minorHAnsi" w:hAnsiTheme="minorHAnsi" w:cstheme="minorBidi"/>
              </w:rPr>
              <w:t>94</w:t>
            </w:r>
            <w:r w:rsidR="00A00302">
              <w:rPr>
                <w:rFonts w:asciiTheme="minorHAnsi" w:hAnsiTheme="minorHAnsi" w:cstheme="minorBidi"/>
              </w:rPr>
              <w:t>,851</w:t>
            </w:r>
          </w:p>
        </w:tc>
        <w:tc>
          <w:tcPr>
            <w:tcW w:w="1440" w:type="dxa"/>
          </w:tcPr>
          <w:p w:rsidR="00241226" w:rsidRPr="007466C2" w:rsidP="007466C2" w14:paraId="20B57F33" w14:textId="28B393AB">
            <w:pPr>
              <w:jc w:val="right"/>
              <w:rPr>
                <w:rFonts w:asciiTheme="minorHAnsi" w:hAnsiTheme="minorHAnsi" w:cstheme="minorHAnsi"/>
                <w:szCs w:val="24"/>
              </w:rPr>
            </w:pPr>
            <w:r>
              <w:rPr>
                <w:rFonts w:asciiTheme="minorHAnsi" w:hAnsiTheme="minorHAnsi" w:cstheme="minorHAnsi"/>
                <w:szCs w:val="24"/>
              </w:rPr>
              <w:t>$</w:t>
            </w:r>
            <w:r w:rsidR="000B071E">
              <w:rPr>
                <w:rFonts w:asciiTheme="minorHAnsi" w:hAnsiTheme="minorHAnsi" w:cstheme="minorHAnsi"/>
                <w:szCs w:val="24"/>
              </w:rPr>
              <w:t>99.96</w:t>
            </w:r>
          </w:p>
        </w:tc>
        <w:tc>
          <w:tcPr>
            <w:tcW w:w="1890" w:type="dxa"/>
          </w:tcPr>
          <w:p w:rsidR="007466C2" w:rsidRPr="007466C2" w:rsidP="007466C2" w14:paraId="6DDD8318" w14:textId="1B4FABCD">
            <w:pPr>
              <w:jc w:val="right"/>
              <w:rPr>
                <w:rFonts w:asciiTheme="minorHAnsi" w:hAnsiTheme="minorHAnsi" w:cstheme="minorBidi"/>
              </w:rPr>
            </w:pPr>
            <w:r w:rsidRPr="1CF7AEC2">
              <w:rPr>
                <w:rFonts w:asciiTheme="minorHAnsi" w:hAnsiTheme="minorHAnsi" w:cstheme="minorBidi"/>
              </w:rPr>
              <w:t>$</w:t>
            </w:r>
            <w:r w:rsidR="00A911DF">
              <w:rPr>
                <w:rFonts w:asciiTheme="minorHAnsi" w:hAnsiTheme="minorHAnsi" w:cstheme="minorBidi"/>
              </w:rPr>
              <w:t>9,481,306</w:t>
            </w:r>
          </w:p>
        </w:tc>
      </w:tr>
      <w:tr w14:paraId="5EBD1F2A" w14:textId="77777777" w:rsidTr="1CF7AEC2">
        <w:tblPrEx>
          <w:tblW w:w="9805" w:type="dxa"/>
          <w:tblLayout w:type="fixed"/>
          <w:tblLook w:val="0020"/>
        </w:tblPrEx>
        <w:tc>
          <w:tcPr>
            <w:tcW w:w="1345" w:type="dxa"/>
          </w:tcPr>
          <w:p w:rsidR="007466C2" w:rsidRPr="009C37AF" w:rsidP="007466C2" w14:paraId="6CFD89FF"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7466C2" w:rsidRPr="007466C2" w:rsidP="007466C2" w14:paraId="55A40042" w14:textId="52968FE6">
            <w:pPr>
              <w:jc w:val="right"/>
              <w:rPr>
                <w:rFonts w:asciiTheme="minorHAnsi" w:hAnsiTheme="minorHAnsi" w:cstheme="minorBidi"/>
              </w:rPr>
            </w:pPr>
            <w:r w:rsidRPr="1CF7AEC2">
              <w:rPr>
                <w:rFonts w:asciiTheme="minorHAnsi" w:hAnsiTheme="minorHAnsi" w:cstheme="minorBidi"/>
              </w:rPr>
              <w:t>4,</w:t>
            </w:r>
            <w:r w:rsidR="007A21DD">
              <w:rPr>
                <w:rFonts w:asciiTheme="minorHAnsi" w:hAnsiTheme="minorHAnsi" w:cstheme="minorBidi"/>
              </w:rPr>
              <w:t>145</w:t>
            </w:r>
          </w:p>
        </w:tc>
        <w:tc>
          <w:tcPr>
            <w:tcW w:w="1485" w:type="dxa"/>
          </w:tcPr>
          <w:p w:rsidR="007466C2" w:rsidRPr="007466C2" w:rsidP="007466C2" w14:paraId="0FAAD14D" w14:textId="33E16BE0">
            <w:pPr>
              <w:jc w:val="right"/>
              <w:rPr>
                <w:rFonts w:asciiTheme="minorHAnsi" w:hAnsiTheme="minorHAnsi" w:cstheme="minorHAnsi"/>
                <w:szCs w:val="24"/>
              </w:rPr>
            </w:pPr>
            <w:r>
              <w:rPr>
                <w:rFonts w:asciiTheme="minorHAnsi" w:hAnsiTheme="minorHAnsi" w:cstheme="minorHAnsi"/>
                <w:szCs w:val="24"/>
              </w:rPr>
              <w:t>1,869</w:t>
            </w:r>
          </w:p>
        </w:tc>
        <w:tc>
          <w:tcPr>
            <w:tcW w:w="1095" w:type="dxa"/>
          </w:tcPr>
          <w:p w:rsidR="007466C2" w:rsidRPr="007466C2" w:rsidP="007466C2" w14:paraId="272C2AFA" w14:textId="04A500A3">
            <w:pPr>
              <w:jc w:val="right"/>
              <w:rPr>
                <w:rFonts w:asciiTheme="minorHAnsi" w:hAnsiTheme="minorHAnsi" w:cstheme="minorBidi"/>
              </w:rPr>
            </w:pPr>
            <w:r w:rsidRPr="1CF7AEC2">
              <w:rPr>
                <w:rFonts w:asciiTheme="minorHAnsi" w:hAnsiTheme="minorHAnsi" w:cstheme="minorBidi"/>
              </w:rPr>
              <w:t>27</w:t>
            </w:r>
          </w:p>
        </w:tc>
        <w:tc>
          <w:tcPr>
            <w:tcW w:w="1275" w:type="dxa"/>
          </w:tcPr>
          <w:p w:rsidR="007466C2" w:rsidRPr="007466C2" w:rsidP="007466C2" w14:paraId="64796E8B" w14:textId="3CD35DC7">
            <w:pPr>
              <w:jc w:val="right"/>
              <w:rPr>
                <w:rFonts w:asciiTheme="minorHAnsi" w:hAnsiTheme="minorHAnsi" w:cstheme="minorBidi"/>
              </w:rPr>
            </w:pPr>
            <w:r w:rsidRPr="1CF7AEC2">
              <w:rPr>
                <w:rFonts w:asciiTheme="minorHAnsi" w:hAnsiTheme="minorHAnsi" w:cstheme="minorBidi"/>
              </w:rPr>
              <w:t>1</w:t>
            </w:r>
            <w:r w:rsidR="00A00302">
              <w:rPr>
                <w:rFonts w:asciiTheme="minorHAnsi" w:hAnsiTheme="minorHAnsi" w:cstheme="minorBidi"/>
              </w:rPr>
              <w:t>11</w:t>
            </w:r>
            <w:r w:rsidR="003B2E8A">
              <w:rPr>
                <w:rFonts w:asciiTheme="minorHAnsi" w:hAnsiTheme="minorHAnsi" w:cstheme="minorBidi"/>
              </w:rPr>
              <w:t>,915</w:t>
            </w:r>
          </w:p>
        </w:tc>
        <w:tc>
          <w:tcPr>
            <w:tcW w:w="1440" w:type="dxa"/>
          </w:tcPr>
          <w:p w:rsidR="007466C2" w:rsidRPr="007466C2" w:rsidP="007466C2" w14:paraId="2192AD67" w14:textId="503C7546">
            <w:pPr>
              <w:jc w:val="right"/>
              <w:rPr>
                <w:rFonts w:asciiTheme="minorHAnsi" w:hAnsiTheme="minorHAnsi" w:cstheme="minorHAnsi"/>
                <w:szCs w:val="24"/>
              </w:rPr>
            </w:pPr>
            <w:r>
              <w:rPr>
                <w:rFonts w:asciiTheme="minorHAnsi" w:hAnsiTheme="minorHAnsi" w:cstheme="minorHAnsi"/>
                <w:szCs w:val="24"/>
              </w:rPr>
              <w:t>$</w:t>
            </w:r>
            <w:r w:rsidR="000B071E">
              <w:rPr>
                <w:rFonts w:asciiTheme="minorHAnsi" w:hAnsiTheme="minorHAnsi" w:cstheme="minorHAnsi"/>
                <w:szCs w:val="24"/>
              </w:rPr>
              <w:t>99.96</w:t>
            </w:r>
          </w:p>
        </w:tc>
        <w:tc>
          <w:tcPr>
            <w:tcW w:w="1890" w:type="dxa"/>
          </w:tcPr>
          <w:p w:rsidR="002B061C" w:rsidRPr="007466C2" w:rsidP="002B061C" w14:paraId="13131945" w14:textId="66089667">
            <w:pPr>
              <w:jc w:val="right"/>
              <w:rPr>
                <w:rFonts w:asciiTheme="minorHAnsi" w:hAnsiTheme="minorHAnsi" w:cstheme="minorBidi"/>
              </w:rPr>
            </w:pPr>
            <w:r w:rsidRPr="1CF7AEC2">
              <w:rPr>
                <w:rFonts w:asciiTheme="minorHAnsi" w:hAnsiTheme="minorHAnsi" w:cstheme="minorBidi"/>
              </w:rPr>
              <w:t>$</w:t>
            </w:r>
            <w:r w:rsidRPr="1CF7AEC2" w:rsidR="3920FD8F">
              <w:rPr>
                <w:rFonts w:asciiTheme="minorHAnsi" w:hAnsiTheme="minorHAnsi" w:cstheme="minorBidi"/>
              </w:rPr>
              <w:t>1</w:t>
            </w:r>
            <w:r w:rsidR="00E413F1">
              <w:rPr>
                <w:rFonts w:asciiTheme="minorHAnsi" w:hAnsiTheme="minorHAnsi" w:cstheme="minorBidi"/>
              </w:rPr>
              <w:t>1,187,023</w:t>
            </w:r>
          </w:p>
        </w:tc>
      </w:tr>
      <w:tr w14:paraId="6EBC3D38" w14:textId="77777777" w:rsidTr="1CF7AEC2">
        <w:tblPrEx>
          <w:tblW w:w="9805" w:type="dxa"/>
          <w:tblLayout w:type="fixed"/>
          <w:tblLook w:val="0020"/>
        </w:tblPrEx>
        <w:tc>
          <w:tcPr>
            <w:tcW w:w="1345" w:type="dxa"/>
          </w:tcPr>
          <w:p w:rsidR="007466C2" w:rsidRPr="00442E07" w:rsidP="007466C2" w14:paraId="186189D1" w14:textId="77777777">
            <w:pPr>
              <w:rPr>
                <w:rFonts w:ascii="Times New Roman" w:hAnsi="Times New Roman"/>
                <w:szCs w:val="24"/>
              </w:rPr>
            </w:pPr>
            <w:r>
              <w:rPr>
                <w:rFonts w:ascii="Times New Roman" w:hAnsi="Times New Roman"/>
                <w:szCs w:val="24"/>
              </w:rPr>
              <w:t>Annualized Totals</w:t>
            </w:r>
          </w:p>
        </w:tc>
        <w:tc>
          <w:tcPr>
            <w:tcW w:w="1275" w:type="dxa"/>
          </w:tcPr>
          <w:p w:rsidR="007466C2" w:rsidRPr="007466C2" w:rsidP="007466C2" w14:paraId="70F0DE8E" w14:textId="07B54122">
            <w:pPr>
              <w:jc w:val="right"/>
              <w:rPr>
                <w:rFonts w:asciiTheme="minorHAnsi" w:hAnsiTheme="minorHAnsi" w:cstheme="minorBidi"/>
              </w:rPr>
            </w:pPr>
            <w:r w:rsidRPr="1CF7AEC2">
              <w:rPr>
                <w:rFonts w:asciiTheme="minorHAnsi" w:hAnsiTheme="minorHAnsi" w:cstheme="minorBidi"/>
              </w:rPr>
              <w:t>1</w:t>
            </w:r>
            <w:r w:rsidR="00FB6993">
              <w:rPr>
                <w:rFonts w:asciiTheme="minorHAnsi" w:hAnsiTheme="minorHAnsi" w:cstheme="minorBidi"/>
              </w:rPr>
              <w:t>2,241</w:t>
            </w:r>
          </w:p>
        </w:tc>
        <w:tc>
          <w:tcPr>
            <w:tcW w:w="1485" w:type="dxa"/>
          </w:tcPr>
          <w:p w:rsidR="007466C2" w:rsidRPr="007466C2" w:rsidP="007466C2" w14:paraId="6396E04D" w14:textId="10AFB3BD">
            <w:pPr>
              <w:jc w:val="right"/>
              <w:rPr>
                <w:rFonts w:asciiTheme="minorHAnsi" w:hAnsiTheme="minorHAnsi" w:cstheme="minorHAnsi"/>
                <w:szCs w:val="24"/>
              </w:rPr>
            </w:pPr>
            <w:r>
              <w:rPr>
                <w:rFonts w:asciiTheme="minorHAnsi" w:hAnsiTheme="minorHAnsi" w:cstheme="minorHAnsi"/>
                <w:szCs w:val="24"/>
              </w:rPr>
              <w:t>5,626</w:t>
            </w:r>
          </w:p>
        </w:tc>
        <w:tc>
          <w:tcPr>
            <w:tcW w:w="1095" w:type="dxa"/>
          </w:tcPr>
          <w:p w:rsidR="007466C2" w:rsidRPr="007466C2" w:rsidP="007466C2" w14:paraId="2E27C769" w14:textId="77777777">
            <w:pPr>
              <w:jc w:val="right"/>
              <w:rPr>
                <w:rFonts w:asciiTheme="minorHAnsi" w:hAnsiTheme="minorHAnsi" w:cstheme="minorHAnsi"/>
                <w:szCs w:val="24"/>
              </w:rPr>
            </w:pPr>
          </w:p>
        </w:tc>
        <w:tc>
          <w:tcPr>
            <w:tcW w:w="1275" w:type="dxa"/>
          </w:tcPr>
          <w:p w:rsidR="006D5C5B" w:rsidRPr="007466C2" w:rsidP="006D5C5B" w14:paraId="4719CE07" w14:textId="118D8B13">
            <w:pPr>
              <w:jc w:val="right"/>
              <w:rPr>
                <w:rFonts w:asciiTheme="minorHAnsi" w:hAnsiTheme="minorHAnsi" w:cstheme="minorBidi"/>
              </w:rPr>
            </w:pPr>
            <w:r w:rsidRPr="1CF7AEC2">
              <w:rPr>
                <w:rFonts w:asciiTheme="minorHAnsi" w:hAnsiTheme="minorHAnsi" w:cstheme="minorBidi"/>
              </w:rPr>
              <w:t>3</w:t>
            </w:r>
            <w:r w:rsidR="003B2E8A">
              <w:rPr>
                <w:rFonts w:asciiTheme="minorHAnsi" w:hAnsiTheme="minorHAnsi" w:cstheme="minorBidi"/>
              </w:rPr>
              <w:t>30,507</w:t>
            </w:r>
          </w:p>
        </w:tc>
        <w:tc>
          <w:tcPr>
            <w:tcW w:w="1440" w:type="dxa"/>
          </w:tcPr>
          <w:p w:rsidR="007466C2" w:rsidRPr="007466C2" w:rsidP="007466C2" w14:paraId="4401B5F0" w14:textId="77777777">
            <w:pPr>
              <w:jc w:val="right"/>
              <w:rPr>
                <w:rFonts w:asciiTheme="minorHAnsi" w:hAnsiTheme="minorHAnsi" w:cstheme="minorHAnsi"/>
                <w:szCs w:val="24"/>
              </w:rPr>
            </w:pPr>
          </w:p>
        </w:tc>
        <w:tc>
          <w:tcPr>
            <w:tcW w:w="1890" w:type="dxa"/>
          </w:tcPr>
          <w:p w:rsidR="007466C2" w:rsidRPr="007466C2" w:rsidP="007466C2" w14:paraId="10AD9866" w14:textId="5CAAFE38">
            <w:pPr>
              <w:jc w:val="right"/>
              <w:rPr>
                <w:rFonts w:asciiTheme="minorHAnsi" w:hAnsiTheme="minorHAnsi" w:cstheme="minorBidi"/>
              </w:rPr>
            </w:pPr>
            <w:r w:rsidRPr="1CF7AEC2">
              <w:rPr>
                <w:rFonts w:asciiTheme="minorHAnsi" w:hAnsiTheme="minorHAnsi" w:cstheme="minorBidi"/>
              </w:rPr>
              <w:t>$</w:t>
            </w:r>
            <w:r w:rsidRPr="1CF7AEC2" w:rsidR="6B9AC3DB">
              <w:rPr>
                <w:rFonts w:asciiTheme="minorHAnsi" w:hAnsiTheme="minorHAnsi" w:cstheme="minorBidi"/>
              </w:rPr>
              <w:t>3</w:t>
            </w:r>
            <w:r w:rsidR="00555054">
              <w:rPr>
                <w:rFonts w:asciiTheme="minorHAnsi" w:hAnsiTheme="minorHAnsi" w:cstheme="minorBidi"/>
              </w:rPr>
              <w:t>3</w:t>
            </w:r>
            <w:r w:rsidRPr="1CF7AEC2" w:rsidR="2E75A5BF">
              <w:rPr>
                <w:rFonts w:asciiTheme="minorHAnsi" w:hAnsiTheme="minorHAnsi" w:cstheme="minorBidi"/>
              </w:rPr>
              <w:t>,</w:t>
            </w:r>
            <w:r w:rsidR="00555054">
              <w:rPr>
                <w:rFonts w:asciiTheme="minorHAnsi" w:hAnsiTheme="minorHAnsi" w:cstheme="minorBidi"/>
              </w:rPr>
              <w:t>037</w:t>
            </w:r>
            <w:r w:rsidR="000A3E65">
              <w:rPr>
                <w:rFonts w:asciiTheme="minorHAnsi" w:hAnsiTheme="minorHAnsi" w:cstheme="minorBidi"/>
              </w:rPr>
              <w:t>,</w:t>
            </w:r>
            <w:r w:rsidR="00F20ABD">
              <w:rPr>
                <w:rFonts w:asciiTheme="minorHAnsi" w:hAnsiTheme="minorHAnsi" w:cstheme="minorBidi"/>
              </w:rPr>
              <w:t>479</w:t>
            </w:r>
          </w:p>
        </w:tc>
      </w:tr>
    </w:tbl>
    <w:p w:rsidR="009C37AF" w:rsidRPr="009C37AF" w:rsidP="009C37AF" w14:paraId="153D066D" w14:textId="77777777"/>
    <w:p w:rsidR="0035194F" w:rsidRPr="001B0859" w:rsidP="00561D0A" w14:paraId="28E3D3DC" w14:textId="5ABC04E6">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The total request for 1845-0022 is 2,05</w:t>
      </w:r>
      <w:r w:rsidR="00733BB4">
        <w:rPr>
          <w:rStyle w:val="a"/>
          <w:rFonts w:asciiTheme="minorHAnsi" w:hAnsiTheme="minorHAnsi" w:cstheme="minorHAnsi"/>
          <w:szCs w:val="24"/>
        </w:rPr>
        <w:t>8</w:t>
      </w:r>
      <w:r w:rsidRPr="001B0859">
        <w:rPr>
          <w:rStyle w:val="a"/>
          <w:rFonts w:asciiTheme="minorHAnsi" w:hAnsiTheme="minorHAnsi" w:cstheme="minorHAnsi"/>
          <w:szCs w:val="24"/>
        </w:rPr>
        <w:t>,</w:t>
      </w:r>
      <w:r w:rsidR="00733BB4">
        <w:rPr>
          <w:rStyle w:val="a"/>
          <w:rFonts w:asciiTheme="minorHAnsi" w:hAnsiTheme="minorHAnsi" w:cstheme="minorHAnsi"/>
          <w:szCs w:val="24"/>
        </w:rPr>
        <w:t>901</w:t>
      </w:r>
      <w:r w:rsidRPr="001B0859" w:rsidR="001A3069">
        <w:rPr>
          <w:rStyle w:val="a"/>
          <w:rFonts w:asciiTheme="minorHAnsi" w:hAnsiTheme="minorHAnsi" w:cstheme="minorHAnsi"/>
          <w:szCs w:val="24"/>
        </w:rPr>
        <w:t xml:space="preserve"> responses and </w:t>
      </w:r>
      <w:r w:rsidRPr="001B0859" w:rsidR="00A0001F">
        <w:rPr>
          <w:rStyle w:val="a"/>
          <w:rFonts w:asciiTheme="minorHAnsi" w:hAnsiTheme="minorHAnsi" w:cstheme="minorHAnsi"/>
          <w:szCs w:val="24"/>
        </w:rPr>
        <w:t>3,0</w:t>
      </w:r>
      <w:r w:rsidR="00452BFC">
        <w:rPr>
          <w:rStyle w:val="a"/>
          <w:rFonts w:asciiTheme="minorHAnsi" w:hAnsiTheme="minorHAnsi" w:cstheme="minorHAnsi"/>
          <w:szCs w:val="24"/>
        </w:rPr>
        <w:t>69,292</w:t>
      </w:r>
      <w:r w:rsidRPr="001B0859" w:rsidR="00A0001F">
        <w:rPr>
          <w:rStyle w:val="a"/>
          <w:rFonts w:asciiTheme="minorHAnsi" w:hAnsiTheme="minorHAnsi" w:cstheme="minorHAnsi"/>
          <w:szCs w:val="24"/>
        </w:rPr>
        <w:t xml:space="preserve"> burden hours. </w:t>
      </w:r>
      <w:r w:rsidRPr="001B0859" w:rsidR="00314AAC">
        <w:rPr>
          <w:rStyle w:val="a"/>
          <w:rFonts w:asciiTheme="minorHAnsi" w:hAnsiTheme="minorHAnsi" w:cstheme="minorHAnsi"/>
          <w:szCs w:val="24"/>
        </w:rPr>
        <w:t>Existing burden under control #1845-0022</w:t>
      </w:r>
      <w:r w:rsidRPr="001B0859" w:rsidR="0039685B">
        <w:rPr>
          <w:rStyle w:val="a"/>
          <w:rFonts w:asciiTheme="minorHAnsi" w:hAnsiTheme="minorHAnsi" w:cstheme="minorHAnsi"/>
          <w:szCs w:val="24"/>
        </w:rPr>
        <w:t xml:space="preserve"> plus the </w:t>
      </w:r>
      <w:r w:rsidRPr="001B0859" w:rsidR="0048100D">
        <w:rPr>
          <w:rStyle w:val="a"/>
          <w:rFonts w:asciiTheme="minorHAnsi" w:hAnsiTheme="minorHAnsi" w:cstheme="minorHAnsi"/>
          <w:szCs w:val="24"/>
        </w:rPr>
        <w:t xml:space="preserve">burden </w:t>
      </w:r>
      <w:r w:rsidRPr="001B0859" w:rsidR="00BB26B8">
        <w:rPr>
          <w:rStyle w:val="a"/>
          <w:rFonts w:asciiTheme="minorHAnsi" w:hAnsiTheme="minorHAnsi" w:cstheme="minorHAnsi"/>
          <w:szCs w:val="24"/>
        </w:rPr>
        <w:t xml:space="preserve">hours </w:t>
      </w:r>
      <w:r w:rsidRPr="001B0859" w:rsidR="0048100D">
        <w:rPr>
          <w:rStyle w:val="a"/>
          <w:rFonts w:asciiTheme="minorHAnsi" w:hAnsiTheme="minorHAnsi" w:cstheme="minorHAnsi"/>
          <w:szCs w:val="24"/>
        </w:rPr>
        <w:t xml:space="preserve">and </w:t>
      </w:r>
      <w:r w:rsidRPr="001B0859" w:rsidR="00BB26B8">
        <w:rPr>
          <w:rStyle w:val="a"/>
          <w:rFonts w:asciiTheme="minorHAnsi" w:hAnsiTheme="minorHAnsi" w:cstheme="minorHAnsi"/>
          <w:szCs w:val="24"/>
        </w:rPr>
        <w:t xml:space="preserve">number of </w:t>
      </w:r>
      <w:r w:rsidRPr="001B0859" w:rsidR="0048100D">
        <w:rPr>
          <w:rStyle w:val="a"/>
          <w:rFonts w:asciiTheme="minorHAnsi" w:hAnsiTheme="minorHAnsi" w:cstheme="minorHAnsi"/>
          <w:szCs w:val="24"/>
        </w:rPr>
        <w:t xml:space="preserve">responses </w:t>
      </w:r>
      <w:r w:rsidRPr="001B0859" w:rsidR="002168F0">
        <w:rPr>
          <w:rStyle w:val="a"/>
          <w:rFonts w:asciiTheme="minorHAnsi" w:hAnsiTheme="minorHAnsi" w:cstheme="minorHAnsi"/>
          <w:szCs w:val="24"/>
        </w:rPr>
        <w:t xml:space="preserve">described </w:t>
      </w:r>
      <w:r w:rsidRPr="001B0859" w:rsidR="00BE59F0">
        <w:rPr>
          <w:rStyle w:val="a"/>
          <w:rFonts w:asciiTheme="minorHAnsi" w:hAnsiTheme="minorHAnsi" w:cstheme="minorHAnsi"/>
          <w:szCs w:val="24"/>
        </w:rPr>
        <w:t xml:space="preserve">above </w:t>
      </w:r>
      <w:r w:rsidRPr="001B0859" w:rsidR="002168F0">
        <w:rPr>
          <w:rStyle w:val="a"/>
          <w:rFonts w:asciiTheme="minorHAnsi" w:hAnsiTheme="minorHAnsi" w:cstheme="minorHAnsi"/>
          <w:szCs w:val="24"/>
        </w:rPr>
        <w:t>are</w:t>
      </w:r>
      <w:r w:rsidRPr="001B0859" w:rsidR="001D507A">
        <w:rPr>
          <w:rStyle w:val="a"/>
          <w:rFonts w:asciiTheme="minorHAnsi" w:hAnsiTheme="minorHAnsi" w:cstheme="minorHAnsi"/>
          <w:szCs w:val="24"/>
        </w:rPr>
        <w:t xml:space="preserve"> broken down as follows:</w:t>
      </w:r>
    </w:p>
    <w:p w:rsidR="00561D0A" w:rsidRPr="001B0859" w:rsidP="00561D0A" w14:paraId="57A6869A" w14:textId="77777777">
      <w:pPr>
        <w:pStyle w:val="ListParagraph"/>
        <w:tabs>
          <w:tab w:val="left" w:pos="-720"/>
        </w:tabs>
        <w:suppressAutoHyphens/>
        <w:ind w:left="0" w:right="-864"/>
        <w:rPr>
          <w:rStyle w:val="a"/>
          <w:rFonts w:asciiTheme="minorHAnsi" w:hAnsiTheme="minorHAnsi" w:cstheme="minorHAnsi"/>
          <w:szCs w:val="24"/>
        </w:rPr>
      </w:pPr>
    </w:p>
    <w:tbl>
      <w:tblPr>
        <w:tblStyle w:val="TableGrid"/>
        <w:tblW w:w="0" w:type="auto"/>
        <w:tblLook w:val="04A0"/>
      </w:tblPr>
      <w:tblGrid>
        <w:gridCol w:w="2337"/>
        <w:gridCol w:w="2842"/>
        <w:gridCol w:w="3150"/>
      </w:tblGrid>
      <w:tr w14:paraId="066BAB60" w14:textId="77777777" w:rsidTr="006625D9">
        <w:tblPrEx>
          <w:tblW w:w="0" w:type="auto"/>
          <w:tblLook w:val="04A0"/>
        </w:tblPrEx>
        <w:tc>
          <w:tcPr>
            <w:tcW w:w="2337" w:type="dxa"/>
          </w:tcPr>
          <w:p w:rsidR="00F6447B" w:rsidRPr="001B0859" w:rsidP="000446F5" w14:paraId="0C233C40" w14:textId="3F14F249">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Type of Respondent</w:t>
            </w:r>
          </w:p>
        </w:tc>
        <w:tc>
          <w:tcPr>
            <w:tcW w:w="2842" w:type="dxa"/>
          </w:tcPr>
          <w:p w:rsidR="00F6447B" w:rsidRPr="001B0859" w:rsidP="000446F5" w14:paraId="3ECB0A37" w14:textId="7CBB38F4">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Number of Responses</w:t>
            </w:r>
          </w:p>
        </w:tc>
        <w:tc>
          <w:tcPr>
            <w:tcW w:w="3150" w:type="dxa"/>
          </w:tcPr>
          <w:p w:rsidR="00F6447B" w:rsidRPr="001B0859" w:rsidP="000446F5" w14:paraId="54E0F2B8" w14:textId="77777777">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Annual Burden</w:t>
            </w:r>
          </w:p>
          <w:p w:rsidR="00F6447B" w:rsidRPr="001B0859" w:rsidP="000446F5" w14:paraId="0E53A4D8" w14:textId="0BF4DECB">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 xml:space="preserve">(Existing + </w:t>
            </w:r>
            <w:r w:rsidR="0045636E">
              <w:rPr>
                <w:rStyle w:val="a"/>
                <w:rFonts w:asciiTheme="minorHAnsi" w:hAnsiTheme="minorHAnsi" w:cstheme="minorHAnsi"/>
                <w:szCs w:val="24"/>
              </w:rPr>
              <w:t>Final Rule</w:t>
            </w:r>
            <w:r w:rsidRPr="001B0859">
              <w:rPr>
                <w:rStyle w:val="a"/>
                <w:rFonts w:asciiTheme="minorHAnsi" w:hAnsiTheme="minorHAnsi" w:cstheme="minorHAnsi"/>
                <w:szCs w:val="24"/>
              </w:rPr>
              <w:t>)</w:t>
            </w:r>
          </w:p>
        </w:tc>
      </w:tr>
      <w:tr w14:paraId="3D47810E" w14:textId="77777777" w:rsidTr="006625D9">
        <w:tblPrEx>
          <w:tblW w:w="0" w:type="auto"/>
          <w:tblLook w:val="04A0"/>
        </w:tblPrEx>
        <w:tc>
          <w:tcPr>
            <w:tcW w:w="2337" w:type="dxa"/>
          </w:tcPr>
          <w:p w:rsidR="00F6447B" w:rsidRPr="001B0859" w:rsidP="000446F5" w14:paraId="6B9A33ED" w14:textId="21C3D9D2">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For-Profit</w:t>
            </w:r>
          </w:p>
        </w:tc>
        <w:tc>
          <w:tcPr>
            <w:tcW w:w="2842" w:type="dxa"/>
          </w:tcPr>
          <w:p w:rsidR="00F6447B" w:rsidRPr="001B0859" w:rsidP="000446F5" w14:paraId="15C6F1D4" w14:textId="667E49E1">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461,418 + 4,</w:t>
            </w:r>
            <w:r w:rsidR="00EF27DE">
              <w:rPr>
                <w:rStyle w:val="a"/>
                <w:rFonts w:asciiTheme="minorHAnsi" w:hAnsiTheme="minorHAnsi" w:cstheme="minorHAnsi"/>
                <w:szCs w:val="24"/>
              </w:rPr>
              <w:t>583</w:t>
            </w:r>
            <w:r w:rsidRPr="001B0859">
              <w:rPr>
                <w:rStyle w:val="a"/>
                <w:rFonts w:asciiTheme="minorHAnsi" w:hAnsiTheme="minorHAnsi" w:cstheme="minorHAnsi"/>
                <w:szCs w:val="24"/>
              </w:rPr>
              <w:t xml:space="preserve"> = 466,0</w:t>
            </w:r>
            <w:r w:rsidR="00F2351D">
              <w:rPr>
                <w:rStyle w:val="a"/>
                <w:rFonts w:asciiTheme="minorHAnsi" w:hAnsiTheme="minorHAnsi" w:cstheme="minorHAnsi"/>
                <w:szCs w:val="24"/>
              </w:rPr>
              <w:t>01</w:t>
            </w:r>
          </w:p>
        </w:tc>
        <w:tc>
          <w:tcPr>
            <w:tcW w:w="3150" w:type="dxa"/>
          </w:tcPr>
          <w:p w:rsidR="00F6447B" w:rsidRPr="001B0859" w:rsidP="000446F5" w14:paraId="0C3806B2" w14:textId="5DFC1D21">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842,903 + 12</w:t>
            </w:r>
            <w:r w:rsidR="00836E77">
              <w:rPr>
                <w:rStyle w:val="a"/>
                <w:rFonts w:asciiTheme="minorHAnsi" w:hAnsiTheme="minorHAnsi" w:cstheme="minorHAnsi"/>
                <w:szCs w:val="24"/>
              </w:rPr>
              <w:t>3,741</w:t>
            </w:r>
            <w:r w:rsidRPr="001B0859">
              <w:rPr>
                <w:rStyle w:val="a"/>
                <w:rFonts w:asciiTheme="minorHAnsi" w:hAnsiTheme="minorHAnsi" w:cstheme="minorHAnsi"/>
                <w:szCs w:val="24"/>
              </w:rPr>
              <w:t xml:space="preserve"> = </w:t>
            </w:r>
            <w:r w:rsidR="00AD7277">
              <w:rPr>
                <w:rStyle w:val="a"/>
                <w:rFonts w:asciiTheme="minorHAnsi" w:hAnsiTheme="minorHAnsi" w:cstheme="minorHAnsi"/>
                <w:szCs w:val="24"/>
              </w:rPr>
              <w:t>966,644</w:t>
            </w:r>
          </w:p>
        </w:tc>
      </w:tr>
      <w:tr w14:paraId="307BBB67" w14:textId="77777777" w:rsidTr="006625D9">
        <w:tblPrEx>
          <w:tblW w:w="0" w:type="auto"/>
          <w:tblLook w:val="04A0"/>
        </w:tblPrEx>
        <w:tc>
          <w:tcPr>
            <w:tcW w:w="2337" w:type="dxa"/>
          </w:tcPr>
          <w:p w:rsidR="00F6447B" w:rsidRPr="001B0859" w:rsidP="000446F5" w14:paraId="7B2ECA4D" w14:textId="4B69A03D">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Private</w:t>
            </w:r>
          </w:p>
        </w:tc>
        <w:tc>
          <w:tcPr>
            <w:tcW w:w="2842" w:type="dxa"/>
          </w:tcPr>
          <w:p w:rsidR="00F6447B" w:rsidRPr="001B0859" w:rsidP="000446F5" w14:paraId="4D13F278" w14:textId="30593534">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530,929 + 3,</w:t>
            </w:r>
            <w:r w:rsidR="00B724DD">
              <w:rPr>
                <w:rStyle w:val="a"/>
                <w:rFonts w:asciiTheme="minorHAnsi" w:hAnsiTheme="minorHAnsi" w:cstheme="minorHAnsi"/>
                <w:szCs w:val="24"/>
              </w:rPr>
              <w:t>513</w:t>
            </w:r>
            <w:r w:rsidRPr="001B0859">
              <w:rPr>
                <w:rStyle w:val="a"/>
                <w:rFonts w:asciiTheme="minorHAnsi" w:hAnsiTheme="minorHAnsi" w:cstheme="minorHAnsi"/>
                <w:szCs w:val="24"/>
              </w:rPr>
              <w:t xml:space="preserve"> = </w:t>
            </w:r>
            <w:r w:rsidR="00475DB8">
              <w:rPr>
                <w:rStyle w:val="a"/>
                <w:rFonts w:asciiTheme="minorHAnsi" w:hAnsiTheme="minorHAnsi" w:cstheme="minorHAnsi"/>
                <w:szCs w:val="24"/>
              </w:rPr>
              <w:t>534,442</w:t>
            </w:r>
          </w:p>
        </w:tc>
        <w:tc>
          <w:tcPr>
            <w:tcW w:w="3150" w:type="dxa"/>
          </w:tcPr>
          <w:p w:rsidR="00F6447B" w:rsidRPr="001B0859" w:rsidP="000446F5" w14:paraId="1149C13C" w14:textId="1A101B9C">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 xml:space="preserve">727,248 + </w:t>
            </w:r>
            <w:r w:rsidR="00AD7277">
              <w:rPr>
                <w:rStyle w:val="a"/>
                <w:rFonts w:asciiTheme="minorHAnsi" w:hAnsiTheme="minorHAnsi" w:cstheme="minorHAnsi"/>
                <w:szCs w:val="24"/>
              </w:rPr>
              <w:t>94,851</w:t>
            </w:r>
            <w:r w:rsidRPr="001B0859">
              <w:rPr>
                <w:rStyle w:val="a"/>
                <w:rFonts w:asciiTheme="minorHAnsi" w:hAnsiTheme="minorHAnsi" w:cstheme="minorHAnsi"/>
                <w:szCs w:val="24"/>
              </w:rPr>
              <w:t xml:space="preserve"> = 82</w:t>
            </w:r>
            <w:r w:rsidR="00610A54">
              <w:rPr>
                <w:rStyle w:val="a"/>
                <w:rFonts w:asciiTheme="minorHAnsi" w:hAnsiTheme="minorHAnsi" w:cstheme="minorHAnsi"/>
                <w:szCs w:val="24"/>
              </w:rPr>
              <w:t>2</w:t>
            </w:r>
            <w:r w:rsidRPr="001B0859">
              <w:rPr>
                <w:rStyle w:val="a"/>
                <w:rFonts w:asciiTheme="minorHAnsi" w:hAnsiTheme="minorHAnsi" w:cstheme="minorHAnsi"/>
                <w:szCs w:val="24"/>
              </w:rPr>
              <w:t>,09</w:t>
            </w:r>
            <w:r w:rsidR="00610A54">
              <w:rPr>
                <w:rStyle w:val="a"/>
                <w:rFonts w:asciiTheme="minorHAnsi" w:hAnsiTheme="minorHAnsi" w:cstheme="minorHAnsi"/>
                <w:szCs w:val="24"/>
              </w:rPr>
              <w:t>9</w:t>
            </w:r>
          </w:p>
        </w:tc>
      </w:tr>
      <w:tr w14:paraId="0F0858AB" w14:textId="77777777" w:rsidTr="006625D9">
        <w:tblPrEx>
          <w:tblW w:w="0" w:type="auto"/>
          <w:tblLook w:val="04A0"/>
        </w:tblPrEx>
        <w:tc>
          <w:tcPr>
            <w:tcW w:w="2337" w:type="dxa"/>
          </w:tcPr>
          <w:p w:rsidR="00F6447B" w:rsidRPr="001B0859" w:rsidP="000446F5" w14:paraId="15D135A3" w14:textId="3A3D2589">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Public</w:t>
            </w:r>
          </w:p>
        </w:tc>
        <w:tc>
          <w:tcPr>
            <w:tcW w:w="2842" w:type="dxa"/>
          </w:tcPr>
          <w:p w:rsidR="00F6447B" w:rsidRPr="001B0859" w:rsidP="000446F5" w14:paraId="1603722D" w14:textId="3E6526FF">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629,238 + 4,</w:t>
            </w:r>
            <w:r w:rsidR="00B724DD">
              <w:rPr>
                <w:rStyle w:val="a"/>
                <w:rFonts w:asciiTheme="minorHAnsi" w:hAnsiTheme="minorHAnsi" w:cstheme="minorHAnsi"/>
                <w:szCs w:val="24"/>
              </w:rPr>
              <w:t>145</w:t>
            </w:r>
            <w:r w:rsidRPr="001B0859">
              <w:rPr>
                <w:rStyle w:val="a"/>
                <w:rFonts w:asciiTheme="minorHAnsi" w:hAnsiTheme="minorHAnsi" w:cstheme="minorHAnsi"/>
                <w:szCs w:val="24"/>
              </w:rPr>
              <w:t xml:space="preserve"> = </w:t>
            </w:r>
            <w:r w:rsidR="0073292A">
              <w:rPr>
                <w:rStyle w:val="a"/>
                <w:rFonts w:asciiTheme="minorHAnsi" w:hAnsiTheme="minorHAnsi" w:cstheme="minorHAnsi"/>
                <w:szCs w:val="24"/>
              </w:rPr>
              <w:t>633,383</w:t>
            </w:r>
          </w:p>
        </w:tc>
        <w:tc>
          <w:tcPr>
            <w:tcW w:w="3150" w:type="dxa"/>
          </w:tcPr>
          <w:p w:rsidR="00F6447B" w:rsidRPr="001B0859" w:rsidP="000446F5" w14:paraId="1D3FF886" w14:textId="6362ABCD">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849,828 + 1</w:t>
            </w:r>
            <w:r w:rsidR="005D5227">
              <w:rPr>
                <w:rStyle w:val="a"/>
                <w:rFonts w:asciiTheme="minorHAnsi" w:hAnsiTheme="minorHAnsi" w:cstheme="minorHAnsi"/>
                <w:szCs w:val="24"/>
              </w:rPr>
              <w:t>11,915</w:t>
            </w:r>
            <w:r w:rsidRPr="001B0859">
              <w:rPr>
                <w:rStyle w:val="a"/>
                <w:rFonts w:asciiTheme="minorHAnsi" w:hAnsiTheme="minorHAnsi" w:cstheme="minorHAnsi"/>
                <w:szCs w:val="24"/>
              </w:rPr>
              <w:t xml:space="preserve"> = 9</w:t>
            </w:r>
            <w:r w:rsidR="00F7554A">
              <w:rPr>
                <w:rStyle w:val="a"/>
                <w:rFonts w:asciiTheme="minorHAnsi" w:hAnsiTheme="minorHAnsi" w:cstheme="minorHAnsi"/>
                <w:szCs w:val="24"/>
              </w:rPr>
              <w:t>61,743</w:t>
            </w:r>
          </w:p>
        </w:tc>
      </w:tr>
      <w:tr w14:paraId="75F70843" w14:textId="77777777" w:rsidTr="006625D9">
        <w:tblPrEx>
          <w:tblW w:w="0" w:type="auto"/>
          <w:tblLook w:val="04A0"/>
        </w:tblPrEx>
        <w:tc>
          <w:tcPr>
            <w:tcW w:w="2337" w:type="dxa"/>
          </w:tcPr>
          <w:p w:rsidR="00F6447B" w:rsidRPr="001B0859" w:rsidP="000446F5" w14:paraId="4E3E5C61" w14:textId="29A00E1D">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Individuals*</w:t>
            </w:r>
          </w:p>
        </w:tc>
        <w:tc>
          <w:tcPr>
            <w:tcW w:w="2842" w:type="dxa"/>
          </w:tcPr>
          <w:p w:rsidR="00F6447B" w:rsidRPr="001B0859" w:rsidP="000446F5" w14:paraId="496AE149" w14:textId="421E4B4F">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425,075 + 0 = 425,075</w:t>
            </w:r>
          </w:p>
        </w:tc>
        <w:tc>
          <w:tcPr>
            <w:tcW w:w="3150" w:type="dxa"/>
          </w:tcPr>
          <w:p w:rsidR="00F6447B" w:rsidRPr="001B0859" w:rsidP="000446F5" w14:paraId="24518483" w14:textId="41CE38C0">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318,806 + 0 = 318,806</w:t>
            </w:r>
          </w:p>
        </w:tc>
      </w:tr>
      <w:tr w14:paraId="5598F58E" w14:textId="77777777" w:rsidTr="006625D9">
        <w:tblPrEx>
          <w:tblW w:w="0" w:type="auto"/>
          <w:tblLook w:val="04A0"/>
        </w:tblPrEx>
        <w:tc>
          <w:tcPr>
            <w:tcW w:w="2337" w:type="dxa"/>
          </w:tcPr>
          <w:p w:rsidR="00F6447B" w:rsidRPr="001B0859" w:rsidP="000446F5" w14:paraId="7C2B6B83" w14:textId="77777777">
            <w:pPr>
              <w:pStyle w:val="ListParagraph"/>
              <w:tabs>
                <w:tab w:val="left" w:pos="-720"/>
              </w:tabs>
              <w:suppressAutoHyphens/>
              <w:ind w:left="0" w:right="-864"/>
              <w:rPr>
                <w:rStyle w:val="a"/>
                <w:rFonts w:asciiTheme="minorHAnsi" w:hAnsiTheme="minorHAnsi" w:cstheme="minorHAnsi"/>
                <w:szCs w:val="24"/>
              </w:rPr>
            </w:pPr>
          </w:p>
        </w:tc>
        <w:tc>
          <w:tcPr>
            <w:tcW w:w="2842" w:type="dxa"/>
          </w:tcPr>
          <w:p w:rsidR="00F6447B" w:rsidRPr="001B0859" w:rsidP="000446F5" w14:paraId="28C885F7" w14:textId="77777777">
            <w:pPr>
              <w:pStyle w:val="ListParagraph"/>
              <w:tabs>
                <w:tab w:val="left" w:pos="-720"/>
              </w:tabs>
              <w:suppressAutoHyphens/>
              <w:ind w:left="0" w:right="-864"/>
              <w:rPr>
                <w:rStyle w:val="a"/>
                <w:rFonts w:asciiTheme="minorHAnsi" w:hAnsiTheme="minorHAnsi" w:cstheme="minorHAnsi"/>
                <w:szCs w:val="24"/>
              </w:rPr>
            </w:pPr>
          </w:p>
        </w:tc>
        <w:tc>
          <w:tcPr>
            <w:tcW w:w="3150" w:type="dxa"/>
          </w:tcPr>
          <w:p w:rsidR="00F6447B" w:rsidRPr="001B0859" w:rsidP="000446F5" w14:paraId="2FC8147F" w14:textId="77777777">
            <w:pPr>
              <w:pStyle w:val="ListParagraph"/>
              <w:tabs>
                <w:tab w:val="left" w:pos="-720"/>
              </w:tabs>
              <w:suppressAutoHyphens/>
              <w:ind w:left="0" w:right="-864"/>
              <w:rPr>
                <w:rStyle w:val="a"/>
                <w:rFonts w:asciiTheme="minorHAnsi" w:hAnsiTheme="minorHAnsi" w:cstheme="minorHAnsi"/>
                <w:szCs w:val="24"/>
              </w:rPr>
            </w:pPr>
          </w:p>
        </w:tc>
      </w:tr>
      <w:tr w14:paraId="3A23CAAA" w14:textId="77777777" w:rsidTr="006625D9">
        <w:tblPrEx>
          <w:tblW w:w="0" w:type="auto"/>
          <w:tblLook w:val="04A0"/>
        </w:tblPrEx>
        <w:tc>
          <w:tcPr>
            <w:tcW w:w="2337" w:type="dxa"/>
          </w:tcPr>
          <w:p w:rsidR="00F6447B" w:rsidRPr="001B0859" w:rsidP="000446F5" w14:paraId="090196DB" w14:textId="2B8901C4">
            <w:pPr>
              <w:pStyle w:val="ListParagraph"/>
              <w:tabs>
                <w:tab w:val="left" w:pos="-720"/>
              </w:tabs>
              <w:suppressAutoHyphens/>
              <w:ind w:left="0" w:right="-864"/>
              <w:rPr>
                <w:rStyle w:val="a"/>
                <w:rFonts w:asciiTheme="minorHAnsi" w:hAnsiTheme="minorHAnsi" w:cstheme="minorHAnsi"/>
                <w:b/>
                <w:bCs/>
                <w:szCs w:val="24"/>
              </w:rPr>
            </w:pPr>
            <w:r w:rsidRPr="001B0859">
              <w:rPr>
                <w:rStyle w:val="a"/>
                <w:rFonts w:asciiTheme="minorHAnsi" w:hAnsiTheme="minorHAnsi" w:cstheme="minorHAnsi"/>
                <w:b/>
                <w:bCs/>
                <w:szCs w:val="24"/>
              </w:rPr>
              <w:t>TOTAL</w:t>
            </w:r>
          </w:p>
        </w:tc>
        <w:tc>
          <w:tcPr>
            <w:tcW w:w="2842" w:type="dxa"/>
          </w:tcPr>
          <w:p w:rsidR="00F6447B" w:rsidRPr="001B0859" w:rsidP="000446F5" w14:paraId="1D05000A" w14:textId="65DE8591">
            <w:pPr>
              <w:pStyle w:val="ListParagraph"/>
              <w:tabs>
                <w:tab w:val="left" w:pos="-720"/>
              </w:tabs>
              <w:suppressAutoHyphens/>
              <w:ind w:left="0" w:right="-864"/>
              <w:rPr>
                <w:rStyle w:val="a"/>
                <w:rFonts w:asciiTheme="minorHAnsi" w:hAnsiTheme="minorHAnsi" w:cstheme="minorHAnsi"/>
                <w:b/>
                <w:bCs/>
                <w:szCs w:val="24"/>
              </w:rPr>
            </w:pPr>
            <w:r w:rsidRPr="001B0859">
              <w:rPr>
                <w:rStyle w:val="a"/>
                <w:rFonts w:asciiTheme="minorHAnsi" w:hAnsiTheme="minorHAnsi" w:cstheme="minorHAnsi"/>
                <w:b/>
                <w:bCs/>
                <w:szCs w:val="24"/>
              </w:rPr>
              <w:t>2,05</w:t>
            </w:r>
            <w:r w:rsidR="0014184A">
              <w:rPr>
                <w:rStyle w:val="a"/>
                <w:rFonts w:asciiTheme="minorHAnsi" w:hAnsiTheme="minorHAnsi" w:cstheme="minorHAnsi"/>
                <w:b/>
                <w:bCs/>
                <w:szCs w:val="24"/>
              </w:rPr>
              <w:t>8</w:t>
            </w:r>
            <w:r w:rsidRPr="001B0859">
              <w:rPr>
                <w:rStyle w:val="a"/>
                <w:rFonts w:asciiTheme="minorHAnsi" w:hAnsiTheme="minorHAnsi" w:cstheme="minorHAnsi"/>
                <w:b/>
                <w:bCs/>
                <w:szCs w:val="24"/>
              </w:rPr>
              <w:t>,</w:t>
            </w:r>
            <w:r w:rsidR="00733BB4">
              <w:rPr>
                <w:rStyle w:val="a"/>
                <w:rFonts w:asciiTheme="minorHAnsi" w:hAnsiTheme="minorHAnsi" w:cstheme="minorHAnsi"/>
                <w:b/>
                <w:bCs/>
                <w:szCs w:val="24"/>
              </w:rPr>
              <w:t>901</w:t>
            </w:r>
          </w:p>
        </w:tc>
        <w:tc>
          <w:tcPr>
            <w:tcW w:w="3150" w:type="dxa"/>
          </w:tcPr>
          <w:p w:rsidR="00F6447B" w:rsidRPr="001B0859" w:rsidP="000446F5" w14:paraId="63DF471D" w14:textId="69FF13B7">
            <w:pPr>
              <w:pStyle w:val="ListParagraph"/>
              <w:tabs>
                <w:tab w:val="left" w:pos="-720"/>
              </w:tabs>
              <w:suppressAutoHyphens/>
              <w:ind w:left="0" w:right="-864"/>
              <w:rPr>
                <w:rStyle w:val="a"/>
                <w:rFonts w:asciiTheme="minorHAnsi" w:hAnsiTheme="minorHAnsi" w:cstheme="minorHAnsi"/>
                <w:b/>
                <w:bCs/>
                <w:szCs w:val="24"/>
              </w:rPr>
            </w:pPr>
            <w:r w:rsidRPr="001B0859">
              <w:rPr>
                <w:rStyle w:val="a"/>
                <w:rFonts w:asciiTheme="minorHAnsi" w:hAnsiTheme="minorHAnsi" w:cstheme="minorHAnsi"/>
                <w:b/>
                <w:bCs/>
                <w:szCs w:val="24"/>
              </w:rPr>
              <w:t>3,0</w:t>
            </w:r>
            <w:r w:rsidR="00AD53F2">
              <w:rPr>
                <w:rStyle w:val="a"/>
                <w:rFonts w:asciiTheme="minorHAnsi" w:hAnsiTheme="minorHAnsi" w:cstheme="minorHAnsi"/>
                <w:b/>
                <w:bCs/>
                <w:szCs w:val="24"/>
              </w:rPr>
              <w:t>69,292</w:t>
            </w:r>
          </w:p>
        </w:tc>
      </w:tr>
    </w:tbl>
    <w:p w:rsidR="001D507A" w:rsidRPr="001B0859" w:rsidP="00561D0A" w14:paraId="6E49BC6A" w14:textId="77777777">
      <w:pPr>
        <w:pStyle w:val="ListParagraph"/>
        <w:tabs>
          <w:tab w:val="left" w:pos="-720"/>
        </w:tabs>
        <w:suppressAutoHyphens/>
        <w:ind w:left="0" w:right="-864"/>
        <w:rPr>
          <w:rStyle w:val="a"/>
          <w:rFonts w:asciiTheme="minorHAnsi" w:hAnsiTheme="minorHAnsi" w:cstheme="minorHAnsi"/>
          <w:szCs w:val="24"/>
        </w:rPr>
      </w:pPr>
    </w:p>
    <w:p w:rsidR="0035194F" w:rsidRPr="001B0859" w:rsidP="00561D0A" w14:paraId="64E848BB" w14:textId="77777777">
      <w:pPr>
        <w:pStyle w:val="ListParagraph"/>
        <w:tabs>
          <w:tab w:val="left" w:pos="-720"/>
        </w:tabs>
        <w:suppressAutoHyphens/>
        <w:ind w:left="0" w:right="-864"/>
        <w:rPr>
          <w:rStyle w:val="a"/>
          <w:rFonts w:asciiTheme="minorHAnsi" w:hAnsiTheme="minorHAnsi" w:cstheme="minorHAnsi"/>
          <w:b/>
          <w:bCs/>
          <w:i/>
          <w:iCs/>
          <w:szCs w:val="24"/>
        </w:rPr>
      </w:pPr>
    </w:p>
    <w:p w:rsidR="0099105D" w:rsidRPr="001B0859" w:rsidP="00561D0A" w14:paraId="35770041" w14:textId="4587CCFC">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w:t>
      </w:r>
      <w:r w:rsidRPr="001B0859" w:rsidR="0006639E">
        <w:rPr>
          <w:rStyle w:val="a"/>
          <w:rFonts w:asciiTheme="minorHAnsi" w:hAnsiTheme="minorHAnsi" w:cstheme="minorHAnsi"/>
          <w:szCs w:val="24"/>
        </w:rPr>
        <w:t xml:space="preserve">Individual respondents were not affected by the </w:t>
      </w:r>
      <w:r w:rsidR="00A965CC">
        <w:rPr>
          <w:rStyle w:val="a"/>
          <w:rFonts w:asciiTheme="minorHAnsi" w:hAnsiTheme="minorHAnsi" w:cstheme="minorHAnsi"/>
          <w:szCs w:val="24"/>
        </w:rPr>
        <w:t>Final Rule</w:t>
      </w:r>
      <w:r w:rsidRPr="001B0859" w:rsidR="0006639E">
        <w:rPr>
          <w:rStyle w:val="a"/>
          <w:rFonts w:asciiTheme="minorHAnsi" w:hAnsiTheme="minorHAnsi" w:cstheme="minorHAnsi"/>
          <w:szCs w:val="24"/>
        </w:rPr>
        <w:t xml:space="preserve"> or the revision </w:t>
      </w:r>
      <w:r w:rsidRPr="001B0859" w:rsidR="00383BAE">
        <w:rPr>
          <w:rStyle w:val="a"/>
          <w:rFonts w:asciiTheme="minorHAnsi" w:hAnsiTheme="minorHAnsi" w:cstheme="minorHAnsi"/>
          <w:szCs w:val="24"/>
        </w:rPr>
        <w:t>of</w:t>
      </w:r>
      <w:r w:rsidRPr="001B0859" w:rsidR="0006639E">
        <w:rPr>
          <w:rStyle w:val="a"/>
          <w:rFonts w:asciiTheme="minorHAnsi" w:hAnsiTheme="minorHAnsi" w:cstheme="minorHAnsi"/>
          <w:szCs w:val="24"/>
        </w:rPr>
        <w:t xml:space="preserve"> this collection.</w:t>
      </w:r>
    </w:p>
    <w:p w:rsidR="0099105D" w:rsidRPr="001B0859" w:rsidP="00561D0A" w14:paraId="6F7CCC64" w14:textId="77777777">
      <w:pPr>
        <w:pStyle w:val="ListParagraph"/>
        <w:tabs>
          <w:tab w:val="left" w:pos="-720"/>
        </w:tabs>
        <w:suppressAutoHyphens/>
        <w:ind w:left="0" w:right="-864"/>
        <w:rPr>
          <w:rStyle w:val="a"/>
          <w:rFonts w:asciiTheme="minorHAnsi" w:hAnsiTheme="minorHAnsi" w:cstheme="minorHAnsi"/>
          <w:b/>
          <w:bCs/>
          <w:i/>
          <w:iCs/>
          <w:sz w:val="22"/>
          <w:szCs w:val="22"/>
        </w:rPr>
      </w:pPr>
    </w:p>
    <w:p w:rsidR="00F31BEC" w:rsidRPr="00AF5D1A" w:rsidP="000446F5" w14:paraId="612C3E31" w14:textId="07FBE0B6">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795AB949" w14:textId="77777777">
      <w:pPr>
        <w:pStyle w:val="ListParagraph"/>
        <w:tabs>
          <w:tab w:val="left" w:pos="-720"/>
        </w:tabs>
        <w:suppressAutoHyphens/>
        <w:rPr>
          <w:rStyle w:val="a"/>
          <w:rFonts w:ascii="Times New Roman" w:hAnsi="Times New Roman"/>
          <w:szCs w:val="24"/>
        </w:rPr>
      </w:pPr>
    </w:p>
    <w:p w:rsidR="00043C32" w:rsidRPr="00ED7195" w:rsidP="00AD381B" w14:paraId="28831D68"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90BEA3C" w14:textId="77777777">
      <w:pPr>
        <w:tabs>
          <w:tab w:val="left" w:pos="-720"/>
        </w:tabs>
        <w:suppressAutoHyphens/>
        <w:rPr>
          <w:rFonts w:ascii="Times New Roman" w:hAnsi="Times New Roman"/>
          <w:b/>
          <w:szCs w:val="24"/>
        </w:rPr>
      </w:pPr>
    </w:p>
    <w:p w:rsidR="00043C32" w:rsidRPr="00ED7195" w:rsidP="007C700A" w14:paraId="6925D643"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B99B9B4"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037627C7"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6E0BAA8" w14:textId="77777777">
      <w:pPr>
        <w:tabs>
          <w:tab w:val="left" w:pos="-720"/>
        </w:tabs>
        <w:suppressAutoHyphens/>
        <w:rPr>
          <w:rFonts w:ascii="Times New Roman" w:hAnsi="Times New Roman"/>
          <w:b/>
          <w:szCs w:val="24"/>
        </w:rPr>
      </w:pPr>
    </w:p>
    <w:p w:rsidR="00043C32" w:rsidRPr="00ED7195" w:rsidP="00AD381B" w14:paraId="5665B62B"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170A621F"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0462F238"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62F2EF3C" w14:textId="77777777">
      <w:pPr>
        <w:tabs>
          <w:tab w:val="left" w:pos="-720"/>
        </w:tabs>
        <w:suppressAutoHyphens/>
        <w:rPr>
          <w:rFonts w:ascii="Times New Roman" w:hAnsi="Times New Roman"/>
          <w:b/>
          <w:szCs w:val="24"/>
        </w:rPr>
      </w:pPr>
    </w:p>
    <w:p w:rsidR="00EF0FF2" w:rsidRPr="00FB6309" w:rsidP="00EF0FF2" w14:paraId="1CD0C70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10706FE0" w14:textId="77777777">
      <w:pPr>
        <w:tabs>
          <w:tab w:val="left" w:pos="-720"/>
        </w:tabs>
        <w:suppressAutoHyphens/>
        <w:rPr>
          <w:rFonts w:ascii="Times New Roman" w:hAnsi="Times New Roman"/>
          <w:szCs w:val="24"/>
        </w:rPr>
      </w:pPr>
    </w:p>
    <w:p w:rsidR="00043C32" w:rsidRPr="00534B4A" w:rsidP="005F4E11" w14:paraId="4480A26A"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15E3A5A3" w14:textId="77777777">
      <w:pPr>
        <w:tabs>
          <w:tab w:val="left" w:pos="-720"/>
        </w:tabs>
        <w:suppressAutoHyphens/>
        <w:ind w:left="720"/>
        <w:rPr>
          <w:rFonts w:ascii="Times New Roman" w:hAnsi="Times New Roman"/>
          <w:szCs w:val="24"/>
        </w:rPr>
      </w:pPr>
    </w:p>
    <w:p w:rsidR="00EF0FF2" w:rsidRPr="00FB6309" w:rsidP="00EF0FF2" w14:paraId="59560B9F" w14:textId="77777777">
      <w:pPr>
        <w:ind w:left="720"/>
        <w:rPr>
          <w:rFonts w:asciiTheme="minorHAnsi" w:hAnsiTheme="minorHAnsi" w:cstheme="minorHAnsi"/>
          <w:szCs w:val="24"/>
        </w:rPr>
      </w:pPr>
      <w:r w:rsidRPr="0084549D">
        <w:rPr>
          <w:rFonts w:asciiTheme="minorHAnsi" w:hAnsiTheme="minorHAnsi" w:cstheme="minorHAnsi"/>
          <w:szCs w:val="24"/>
        </w:rPr>
        <w:t>There is no additional cost to the Federal government.</w:t>
      </w:r>
    </w:p>
    <w:p w:rsidR="00534B4A" w:rsidP="005F4E11" w14:paraId="5508AF72" w14:textId="77777777">
      <w:pPr>
        <w:pStyle w:val="ListParagraph"/>
        <w:tabs>
          <w:tab w:val="left" w:pos="-720"/>
        </w:tabs>
        <w:suppressAutoHyphens/>
        <w:contextualSpacing w:val="0"/>
        <w:rPr>
          <w:rFonts w:ascii="Times New Roman" w:hAnsi="Times New Roman"/>
          <w:szCs w:val="24"/>
        </w:rPr>
      </w:pPr>
    </w:p>
    <w:p w:rsidR="00800D30" w:rsidP="00800D30" w14:paraId="493F9CB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286B7BA3" w14:textId="77777777">
      <w:pPr>
        <w:pStyle w:val="ListParagraph"/>
        <w:tabs>
          <w:tab w:val="left" w:pos="-720"/>
        </w:tabs>
        <w:suppressAutoHyphens/>
        <w:contextualSpacing w:val="0"/>
        <w:rPr>
          <w:rFonts w:ascii="Times New Roman" w:hAnsi="Times New Roman"/>
          <w:b/>
          <w:szCs w:val="24"/>
        </w:rPr>
      </w:pPr>
    </w:p>
    <w:p w:rsidR="00800D30" w:rsidRPr="00756FD3" w:rsidP="00800D30" w14:paraId="3E72D25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5FB2672"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49465F0" w14:textId="77777777" w:rsidTr="0052073E">
        <w:tblPrEx>
          <w:tblW w:w="9445" w:type="dxa"/>
          <w:tblLook w:val="04A0"/>
        </w:tblPrEx>
        <w:tc>
          <w:tcPr>
            <w:tcW w:w="2048" w:type="dxa"/>
            <w:shd w:val="clear" w:color="auto" w:fill="D9D9D9" w:themeFill="background1" w:themeFillShade="D9"/>
          </w:tcPr>
          <w:p w:rsidR="0052073E" w:rsidP="00534B4A" w14:paraId="1EFEC606" w14:textId="77777777">
            <w:pPr>
              <w:tabs>
                <w:tab w:val="left" w:pos="-720"/>
              </w:tabs>
              <w:suppressAutoHyphens/>
              <w:rPr>
                <w:rFonts w:ascii="Times New Roman" w:hAnsi="Times New Roman"/>
                <w:b/>
                <w:szCs w:val="24"/>
              </w:rPr>
            </w:pPr>
          </w:p>
        </w:tc>
        <w:tc>
          <w:tcPr>
            <w:tcW w:w="2048" w:type="dxa"/>
          </w:tcPr>
          <w:p w:rsidR="0052073E" w:rsidP="00534B4A" w14:paraId="2EFF892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1C3D871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F755D9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FDEC909" w14:textId="77777777" w:rsidTr="0052073E">
        <w:tblPrEx>
          <w:tblW w:w="9445" w:type="dxa"/>
          <w:tblLook w:val="04A0"/>
        </w:tblPrEx>
        <w:tc>
          <w:tcPr>
            <w:tcW w:w="2048" w:type="dxa"/>
          </w:tcPr>
          <w:p w:rsidR="0052073E" w:rsidP="00534B4A" w14:paraId="5C177A3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0BB925AB" w14:textId="13FC5ECC">
            <w:pPr>
              <w:tabs>
                <w:tab w:val="left" w:pos="-720"/>
              </w:tabs>
              <w:suppressAutoHyphens/>
              <w:rPr>
                <w:rFonts w:ascii="Times New Roman" w:hAnsi="Times New Roman"/>
                <w:b/>
                <w:szCs w:val="24"/>
              </w:rPr>
            </w:pPr>
            <w:r>
              <w:rPr>
                <w:rFonts w:ascii="Times New Roman" w:hAnsi="Times New Roman"/>
                <w:b/>
                <w:szCs w:val="24"/>
              </w:rPr>
              <w:t>330,507</w:t>
            </w:r>
          </w:p>
        </w:tc>
        <w:tc>
          <w:tcPr>
            <w:tcW w:w="2829" w:type="dxa"/>
          </w:tcPr>
          <w:p w:rsidR="0052073E" w:rsidRPr="007A5F49" w:rsidP="007A5F49" w14:paraId="58E6CABD" w14:textId="4A43F451">
            <w:pPr>
              <w:tabs>
                <w:tab w:val="left" w:pos="-720"/>
              </w:tabs>
              <w:suppressAutoHyphens/>
              <w:jc w:val="center"/>
              <w:rPr>
                <w:rFonts w:asciiTheme="minorHAnsi" w:hAnsiTheme="minorHAnsi" w:cstheme="minorHAnsi"/>
                <w:bCs/>
                <w:szCs w:val="24"/>
              </w:rPr>
            </w:pPr>
          </w:p>
        </w:tc>
        <w:tc>
          <w:tcPr>
            <w:tcW w:w="2520" w:type="dxa"/>
          </w:tcPr>
          <w:p w:rsidR="0052073E" w:rsidP="00534B4A" w14:paraId="28FCA8A7" w14:textId="77777777">
            <w:pPr>
              <w:tabs>
                <w:tab w:val="left" w:pos="-720"/>
              </w:tabs>
              <w:suppressAutoHyphens/>
              <w:rPr>
                <w:rFonts w:ascii="Times New Roman" w:hAnsi="Times New Roman"/>
                <w:b/>
                <w:szCs w:val="24"/>
              </w:rPr>
            </w:pPr>
          </w:p>
        </w:tc>
      </w:tr>
      <w:tr w14:paraId="3AA7890F" w14:textId="77777777" w:rsidTr="0052073E">
        <w:tblPrEx>
          <w:tblW w:w="9445" w:type="dxa"/>
          <w:tblLook w:val="04A0"/>
        </w:tblPrEx>
        <w:tc>
          <w:tcPr>
            <w:tcW w:w="2048" w:type="dxa"/>
          </w:tcPr>
          <w:p w:rsidR="0052073E" w:rsidP="00534B4A" w14:paraId="20D34B3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F95B03" w14:textId="719F27A8">
            <w:pPr>
              <w:tabs>
                <w:tab w:val="left" w:pos="-720"/>
              </w:tabs>
              <w:suppressAutoHyphens/>
              <w:rPr>
                <w:rFonts w:ascii="Times New Roman" w:hAnsi="Times New Roman"/>
                <w:b/>
                <w:szCs w:val="24"/>
              </w:rPr>
            </w:pPr>
            <w:r>
              <w:rPr>
                <w:rFonts w:ascii="Times New Roman" w:hAnsi="Times New Roman"/>
                <w:b/>
                <w:szCs w:val="24"/>
              </w:rPr>
              <w:t>1</w:t>
            </w:r>
            <w:r w:rsidR="008D7C15">
              <w:rPr>
                <w:rFonts w:ascii="Times New Roman" w:hAnsi="Times New Roman"/>
                <w:b/>
                <w:szCs w:val="24"/>
              </w:rPr>
              <w:t>2,241</w:t>
            </w:r>
          </w:p>
        </w:tc>
        <w:tc>
          <w:tcPr>
            <w:tcW w:w="2829" w:type="dxa"/>
          </w:tcPr>
          <w:p w:rsidR="0052073E" w:rsidRPr="007A5F49" w:rsidP="007A5F49" w14:paraId="4D2580B8" w14:textId="0B102B80">
            <w:pPr>
              <w:tabs>
                <w:tab w:val="left" w:pos="-720"/>
              </w:tabs>
              <w:suppressAutoHyphens/>
              <w:jc w:val="center"/>
              <w:rPr>
                <w:rFonts w:asciiTheme="minorHAnsi" w:hAnsiTheme="minorHAnsi" w:cstheme="minorHAnsi"/>
                <w:bCs/>
                <w:szCs w:val="24"/>
              </w:rPr>
            </w:pPr>
          </w:p>
        </w:tc>
        <w:tc>
          <w:tcPr>
            <w:tcW w:w="2520" w:type="dxa"/>
          </w:tcPr>
          <w:p w:rsidR="0052073E" w:rsidP="00534B4A" w14:paraId="32C7EBA3" w14:textId="77777777">
            <w:pPr>
              <w:tabs>
                <w:tab w:val="left" w:pos="-720"/>
              </w:tabs>
              <w:suppressAutoHyphens/>
              <w:rPr>
                <w:rFonts w:ascii="Times New Roman" w:hAnsi="Times New Roman"/>
                <w:b/>
                <w:szCs w:val="24"/>
              </w:rPr>
            </w:pPr>
          </w:p>
        </w:tc>
      </w:tr>
      <w:tr w14:paraId="416FD32C" w14:textId="77777777" w:rsidTr="0052073E">
        <w:tblPrEx>
          <w:tblW w:w="9445" w:type="dxa"/>
          <w:tblLook w:val="04A0"/>
        </w:tblPrEx>
        <w:tc>
          <w:tcPr>
            <w:tcW w:w="2048" w:type="dxa"/>
          </w:tcPr>
          <w:p w:rsidR="0052073E" w:rsidP="00534B4A" w14:paraId="4841CA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1F0E302F" w14:textId="77777777">
            <w:pPr>
              <w:tabs>
                <w:tab w:val="left" w:pos="-720"/>
              </w:tabs>
              <w:suppressAutoHyphens/>
              <w:rPr>
                <w:rFonts w:ascii="Times New Roman" w:hAnsi="Times New Roman"/>
                <w:b/>
                <w:szCs w:val="24"/>
              </w:rPr>
            </w:pPr>
          </w:p>
        </w:tc>
        <w:tc>
          <w:tcPr>
            <w:tcW w:w="2829" w:type="dxa"/>
          </w:tcPr>
          <w:p w:rsidR="0052073E" w:rsidRPr="007A5F49" w:rsidP="007A5F49" w14:paraId="7E5B2B66"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0A9CEE54" w14:textId="77777777">
            <w:pPr>
              <w:tabs>
                <w:tab w:val="left" w:pos="-720"/>
              </w:tabs>
              <w:suppressAutoHyphens/>
              <w:rPr>
                <w:rFonts w:ascii="Times New Roman" w:hAnsi="Times New Roman"/>
                <w:b/>
                <w:szCs w:val="24"/>
              </w:rPr>
            </w:pPr>
          </w:p>
        </w:tc>
      </w:tr>
    </w:tbl>
    <w:p w:rsidR="00F27AAF" w:rsidRPr="005F4E11" w:rsidP="005F4E11" w14:paraId="7A0523D6" w14:textId="77777777">
      <w:pPr>
        <w:tabs>
          <w:tab w:val="left" w:pos="-720"/>
        </w:tabs>
        <w:suppressAutoHyphens/>
        <w:ind w:left="720"/>
        <w:rPr>
          <w:rFonts w:ascii="Times New Roman" w:hAnsi="Times New Roman"/>
          <w:bCs/>
          <w:szCs w:val="24"/>
        </w:rPr>
      </w:pPr>
    </w:p>
    <w:p w:rsidR="002D2CBD" w:rsidRPr="002D2CBD" w:rsidP="002D2CBD" w14:paraId="323CB551" w14:textId="6BC641AA">
      <w:pPr>
        <w:ind w:left="720"/>
        <w:rPr>
          <w:rFonts w:asciiTheme="minorHAnsi" w:hAnsiTheme="minorHAnsi" w:cstheme="minorHAnsi"/>
          <w:sz w:val="22"/>
        </w:rPr>
      </w:pPr>
      <w:r w:rsidRPr="00205FBE">
        <w:rPr>
          <w:rFonts w:asciiTheme="minorHAnsi" w:hAnsiTheme="minorHAnsi" w:cstheme="minorHAnsi"/>
          <w:szCs w:val="24"/>
        </w:rPr>
        <w:t xml:space="preserve">This request is to revise the currently approved information </w:t>
      </w:r>
      <w:r w:rsidR="00A179F6">
        <w:rPr>
          <w:rFonts w:asciiTheme="minorHAnsi" w:hAnsiTheme="minorHAnsi" w:cstheme="minorHAnsi"/>
          <w:szCs w:val="24"/>
        </w:rPr>
        <w:t xml:space="preserve">collection due to </w:t>
      </w:r>
      <w:r w:rsidR="005F1F37">
        <w:rPr>
          <w:rFonts w:asciiTheme="minorHAnsi" w:hAnsiTheme="minorHAnsi" w:cstheme="minorHAnsi"/>
          <w:szCs w:val="24"/>
        </w:rPr>
        <w:t xml:space="preserve">new statute. We are </w:t>
      </w:r>
      <w:r w:rsidR="005B787E">
        <w:rPr>
          <w:rFonts w:asciiTheme="minorHAnsi" w:hAnsiTheme="minorHAnsi" w:cstheme="minorHAnsi"/>
          <w:szCs w:val="24"/>
        </w:rPr>
        <w:t xml:space="preserve">requesting </w:t>
      </w:r>
      <w:r w:rsidR="00430B57">
        <w:rPr>
          <w:rFonts w:asciiTheme="minorHAnsi" w:hAnsiTheme="minorHAnsi" w:cstheme="minorHAnsi"/>
          <w:szCs w:val="24"/>
        </w:rPr>
        <w:t>an</w:t>
      </w:r>
      <w:r w:rsidR="00687C7C">
        <w:rPr>
          <w:rFonts w:asciiTheme="minorHAnsi" w:hAnsiTheme="minorHAnsi" w:cstheme="minorHAnsi"/>
          <w:szCs w:val="24"/>
        </w:rPr>
        <w:t xml:space="preserve"> additional 3</w:t>
      </w:r>
      <w:r w:rsidR="008D7C15">
        <w:rPr>
          <w:rFonts w:asciiTheme="minorHAnsi" w:hAnsiTheme="minorHAnsi" w:cstheme="minorHAnsi"/>
          <w:szCs w:val="24"/>
        </w:rPr>
        <w:t>30,507</w:t>
      </w:r>
      <w:r w:rsidR="00EB5075">
        <w:rPr>
          <w:rFonts w:asciiTheme="minorHAnsi" w:hAnsiTheme="minorHAnsi" w:cstheme="minorHAnsi"/>
          <w:szCs w:val="24"/>
        </w:rPr>
        <w:t xml:space="preserve"> burden hours </w:t>
      </w:r>
      <w:r w:rsidR="00E7288C">
        <w:rPr>
          <w:rFonts w:asciiTheme="minorHAnsi" w:hAnsiTheme="minorHAnsi" w:cstheme="minorHAnsi"/>
          <w:szCs w:val="24"/>
        </w:rPr>
        <w:t>and an additional 1</w:t>
      </w:r>
      <w:r w:rsidR="008D7C15">
        <w:rPr>
          <w:rFonts w:asciiTheme="minorHAnsi" w:hAnsiTheme="minorHAnsi" w:cstheme="minorHAnsi"/>
          <w:szCs w:val="24"/>
        </w:rPr>
        <w:t>2,241</w:t>
      </w:r>
      <w:r w:rsidR="00E7288C">
        <w:rPr>
          <w:rFonts w:asciiTheme="minorHAnsi" w:hAnsiTheme="minorHAnsi" w:cstheme="minorHAnsi"/>
          <w:szCs w:val="24"/>
        </w:rPr>
        <w:t xml:space="preserve"> </w:t>
      </w:r>
      <w:r w:rsidR="00561D0A">
        <w:rPr>
          <w:rFonts w:asciiTheme="minorHAnsi" w:hAnsiTheme="minorHAnsi" w:cstheme="minorHAnsi"/>
          <w:szCs w:val="24"/>
        </w:rPr>
        <w:t xml:space="preserve">responses. </w:t>
      </w:r>
    </w:p>
    <w:p w:rsidR="00EF0FF2" w:rsidRPr="005F4E11" w:rsidP="005F4E11" w14:paraId="5E049F8B" w14:textId="77777777">
      <w:pPr>
        <w:tabs>
          <w:tab w:val="left" w:pos="-720"/>
        </w:tabs>
        <w:suppressAutoHyphens/>
        <w:ind w:left="720"/>
        <w:rPr>
          <w:rFonts w:ascii="Times New Roman" w:hAnsi="Times New Roman"/>
          <w:bCs/>
          <w:szCs w:val="24"/>
        </w:rPr>
      </w:pPr>
    </w:p>
    <w:p w:rsidR="00043C32" w:rsidP="00AD381B" w14:paraId="72697D6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53FC8D17" w14:textId="77777777">
      <w:pPr>
        <w:tabs>
          <w:tab w:val="left" w:pos="-720"/>
        </w:tabs>
        <w:suppressAutoHyphens/>
        <w:ind w:left="720"/>
        <w:rPr>
          <w:rFonts w:ascii="Times New Roman" w:hAnsi="Times New Roman"/>
          <w:szCs w:val="24"/>
        </w:rPr>
      </w:pPr>
    </w:p>
    <w:p w:rsidR="00EF0FF2" w:rsidRPr="00FB6309" w:rsidP="00EF0FF2" w14:paraId="1ABD9FDF"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77AAF2CB" w14:textId="77777777">
      <w:pPr>
        <w:tabs>
          <w:tab w:val="left" w:pos="-720"/>
        </w:tabs>
        <w:suppressAutoHyphens/>
        <w:ind w:left="720"/>
        <w:rPr>
          <w:rFonts w:ascii="Times New Roman" w:hAnsi="Times New Roman"/>
          <w:szCs w:val="24"/>
        </w:rPr>
      </w:pPr>
    </w:p>
    <w:p w:rsidR="00043C32" w:rsidRPr="00534B4A" w:rsidP="00AD381B" w14:paraId="74314C34"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22456DD7" w14:textId="77777777">
      <w:pPr>
        <w:tabs>
          <w:tab w:val="left" w:pos="-720"/>
        </w:tabs>
        <w:suppressAutoHyphens/>
        <w:ind w:left="720"/>
        <w:rPr>
          <w:rFonts w:ascii="Times New Roman" w:hAnsi="Times New Roman"/>
          <w:bCs/>
          <w:szCs w:val="24"/>
        </w:rPr>
      </w:pPr>
    </w:p>
    <w:p w:rsidR="00BB03CE" w:rsidRPr="00FB6309" w:rsidP="00EF0FF2" w14:paraId="5C9389D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231B50C0" w14:textId="77777777">
      <w:pPr>
        <w:tabs>
          <w:tab w:val="left" w:pos="-720"/>
        </w:tabs>
        <w:suppressAutoHyphens/>
        <w:ind w:left="720"/>
        <w:rPr>
          <w:rFonts w:ascii="Times New Roman" w:hAnsi="Times New Roman"/>
          <w:bCs/>
          <w:szCs w:val="24"/>
        </w:rPr>
      </w:pPr>
    </w:p>
    <w:p w:rsidR="001C73C0" w:rsidP="00AD381B" w14:paraId="69F59B35"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E5028B5" w14:textId="77777777">
      <w:pPr>
        <w:tabs>
          <w:tab w:val="left" w:pos="-720"/>
        </w:tabs>
        <w:suppressAutoHyphens/>
        <w:ind w:left="720"/>
        <w:rPr>
          <w:rFonts w:ascii="Times New Roman" w:hAnsi="Times New Roman"/>
          <w:bCs/>
          <w:szCs w:val="24"/>
        </w:rPr>
      </w:pPr>
    </w:p>
    <w:p w:rsidR="00EF0FF2" w:rsidRPr="00AA5138" w:rsidP="00EF0FF2" w14:paraId="3436632C"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EF0FF2" w14:paraId="25876A66" w14:textId="77777777">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8FBA59A" w14:textId="77777777">
    <w:pPr>
      <w:spacing w:before="140" w:line="100" w:lineRule="exact"/>
      <w:rPr>
        <w:sz w:val="10"/>
      </w:rPr>
    </w:pPr>
  </w:p>
  <w:p w:rsidR="00386054" w14:paraId="590CCDC6" w14:textId="77777777">
    <w:pPr>
      <w:tabs>
        <w:tab w:val="left" w:pos="0"/>
      </w:tabs>
      <w:suppressAutoHyphens/>
    </w:pPr>
  </w:p>
  <w:p w:rsidR="00386054" w14:paraId="5B3F140C"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7B9DB4B9"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0C82" w:rsidP="00043C32" w14:paraId="1610C330" w14:textId="77777777">
      <w:r>
        <w:separator/>
      </w:r>
    </w:p>
  </w:footnote>
  <w:footnote w:type="continuationSeparator" w:id="1">
    <w:p w:rsidR="00C40C82" w:rsidP="00043C32" w14:paraId="1439BF01" w14:textId="77777777">
      <w:r>
        <w:continuationSeparator/>
      </w:r>
    </w:p>
  </w:footnote>
  <w:footnote w:id="2">
    <w:p w:rsidR="00043C32" w:rsidP="00043C32" w14:paraId="1A1EB6D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132BDF83" w14:textId="3511967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03B97">
      <w:rPr>
        <w:rFonts w:ascii="Times New Roman" w:hAnsi="Times New Roman"/>
        <w:szCs w:val="24"/>
      </w:rPr>
      <w:t>1845</w:t>
    </w:r>
    <w:r w:rsidR="007C700A">
      <w:rPr>
        <w:rFonts w:ascii="Times New Roman" w:hAnsi="Times New Roman"/>
        <w:szCs w:val="24"/>
      </w:rPr>
      <w:t>-</w:t>
    </w:r>
    <w:r w:rsidR="00A03B97">
      <w:rPr>
        <w:rFonts w:ascii="Times New Roman" w:hAnsi="Times New Roman"/>
        <w:szCs w:val="24"/>
      </w:rPr>
      <w:t>0022</w:t>
    </w:r>
    <w:r w:rsidR="00E22FD3">
      <w:rPr>
        <w:rFonts w:ascii="Times New Roman" w:hAnsi="Times New Roman"/>
        <w:szCs w:val="24"/>
      </w:rPr>
      <w:tab/>
    </w:r>
    <w:r w:rsidRPr="00C875E8">
      <w:rPr>
        <w:rFonts w:ascii="Times New Roman" w:hAnsi="Times New Roman"/>
        <w:szCs w:val="24"/>
      </w:rPr>
      <w:t xml:space="preserve">Revised: </w:t>
    </w:r>
    <w:r w:rsidR="007433CA">
      <w:rPr>
        <w:rFonts w:ascii="Times New Roman" w:hAnsi="Times New Roman"/>
        <w:szCs w:val="24"/>
      </w:rPr>
      <w:t>0</w:t>
    </w:r>
    <w:r w:rsidR="009E71F8">
      <w:rPr>
        <w:rFonts w:ascii="Times New Roman" w:hAnsi="Times New Roman"/>
        <w:szCs w:val="24"/>
      </w:rPr>
      <w:t>5</w:t>
    </w:r>
    <w:r w:rsidR="001C2A43">
      <w:rPr>
        <w:rFonts w:ascii="Times New Roman" w:hAnsi="Times New Roman"/>
        <w:szCs w:val="24"/>
      </w:rPr>
      <w:t>/</w:t>
    </w:r>
    <w:r w:rsidR="00383BAE">
      <w:rPr>
        <w:rFonts w:ascii="Times New Roman" w:hAnsi="Times New Roman"/>
        <w:szCs w:val="24"/>
      </w:rPr>
      <w:t>2</w:t>
    </w:r>
    <w:r w:rsidR="009E71F8">
      <w:rPr>
        <w:rFonts w:ascii="Times New Roman" w:hAnsi="Times New Roman"/>
        <w:szCs w:val="24"/>
      </w:rPr>
      <w:t>9</w:t>
    </w:r>
    <w:r w:rsidR="007433CA">
      <w:rPr>
        <w:rFonts w:ascii="Times New Roman" w:hAnsi="Times New Roman"/>
        <w:szCs w:val="24"/>
      </w:rPr>
      <w:t>/20</w:t>
    </w:r>
    <w:r w:rsidR="00A03B97">
      <w:rPr>
        <w:rFonts w:ascii="Times New Roman" w:hAnsi="Times New Roman"/>
        <w:szCs w:val="24"/>
      </w:rPr>
      <w:t>2</w:t>
    </w:r>
    <w:r w:rsidR="00AF7678">
      <w:rPr>
        <w:rFonts w:ascii="Times New Roman" w:hAnsi="Times New Roman"/>
        <w:szCs w:val="24"/>
      </w:rPr>
      <w:t>6</w:t>
    </w:r>
  </w:p>
  <w:p w:rsidR="005F4E11" w14:paraId="152A5E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E8C54C2"/>
    <w:multiLevelType w:val="multilevel"/>
    <w:tmpl w:val="BE0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3D148D"/>
    <w:multiLevelType w:val="hybridMultilevel"/>
    <w:tmpl w:val="D9AC4C3E"/>
    <w:lvl w:ilvl="0">
      <w:start w:val="0"/>
      <w:numFmt w:val="bullet"/>
      <w:lvlText w:val="-"/>
      <w:lvlJc w:val="left"/>
      <w:pPr>
        <w:ind w:left="1080" w:hanging="360"/>
      </w:pPr>
      <w:rPr>
        <w:rFonts w:ascii="Segoe UI" w:eastAsia="Times New Roman" w:hAnsi="Segoe UI" w:cs="Segoe U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566B7DB2"/>
    <w:multiLevelType w:val="multilevel"/>
    <w:tmpl w:val="F21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03573F"/>
    <w:multiLevelType w:val="multilevel"/>
    <w:tmpl w:val="A2A4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4"/>
  </w:num>
  <w:num w:numId="3" w16cid:durableId="2137870042">
    <w:abstractNumId w:val="3"/>
  </w:num>
  <w:num w:numId="4" w16cid:durableId="1161192811">
    <w:abstractNumId w:val="6"/>
  </w:num>
  <w:num w:numId="5" w16cid:durableId="1933124869">
    <w:abstractNumId w:val="8"/>
  </w:num>
  <w:num w:numId="6" w16cid:durableId="921179384">
    <w:abstractNumId w:val="5"/>
  </w:num>
  <w:num w:numId="7" w16cid:durableId="97144248">
    <w:abstractNumId w:val="7"/>
  </w:num>
  <w:num w:numId="8" w16cid:durableId="158232841">
    <w:abstractNumId w:val="1"/>
  </w:num>
  <w:num w:numId="9" w16cid:durableId="122109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C11"/>
    <w:rsid w:val="00002F86"/>
    <w:rsid w:val="00010819"/>
    <w:rsid w:val="00010D85"/>
    <w:rsid w:val="000116FD"/>
    <w:rsid w:val="00020A65"/>
    <w:rsid w:val="0002290A"/>
    <w:rsid w:val="00035ED5"/>
    <w:rsid w:val="00043C32"/>
    <w:rsid w:val="000446F5"/>
    <w:rsid w:val="00051A6F"/>
    <w:rsid w:val="0005222A"/>
    <w:rsid w:val="00052261"/>
    <w:rsid w:val="0005250D"/>
    <w:rsid w:val="000620BF"/>
    <w:rsid w:val="00062464"/>
    <w:rsid w:val="00062B3E"/>
    <w:rsid w:val="0006639E"/>
    <w:rsid w:val="000730B0"/>
    <w:rsid w:val="00086878"/>
    <w:rsid w:val="00086D33"/>
    <w:rsid w:val="00093017"/>
    <w:rsid w:val="000A3E65"/>
    <w:rsid w:val="000A4A69"/>
    <w:rsid w:val="000A4F3C"/>
    <w:rsid w:val="000A6B35"/>
    <w:rsid w:val="000B071E"/>
    <w:rsid w:val="000C09BC"/>
    <w:rsid w:val="000C2659"/>
    <w:rsid w:val="000C5105"/>
    <w:rsid w:val="000E3902"/>
    <w:rsid w:val="0012232B"/>
    <w:rsid w:val="0012466B"/>
    <w:rsid w:val="0013327B"/>
    <w:rsid w:val="001351AA"/>
    <w:rsid w:val="00136756"/>
    <w:rsid w:val="00140761"/>
    <w:rsid w:val="00141247"/>
    <w:rsid w:val="0014184A"/>
    <w:rsid w:val="00151AE4"/>
    <w:rsid w:val="00162EF8"/>
    <w:rsid w:val="001656CF"/>
    <w:rsid w:val="00167B27"/>
    <w:rsid w:val="00170B6F"/>
    <w:rsid w:val="00176EB7"/>
    <w:rsid w:val="001824F3"/>
    <w:rsid w:val="00193BC8"/>
    <w:rsid w:val="001A0C34"/>
    <w:rsid w:val="001A3069"/>
    <w:rsid w:val="001A6AE0"/>
    <w:rsid w:val="001A78D9"/>
    <w:rsid w:val="001B0859"/>
    <w:rsid w:val="001B141F"/>
    <w:rsid w:val="001B574D"/>
    <w:rsid w:val="001B6432"/>
    <w:rsid w:val="001C2A43"/>
    <w:rsid w:val="001C73C0"/>
    <w:rsid w:val="001D507A"/>
    <w:rsid w:val="001D5238"/>
    <w:rsid w:val="001E79BD"/>
    <w:rsid w:val="001F2A97"/>
    <w:rsid w:val="001F772E"/>
    <w:rsid w:val="00201867"/>
    <w:rsid w:val="00204F42"/>
    <w:rsid w:val="00205742"/>
    <w:rsid w:val="00205FBE"/>
    <w:rsid w:val="002168F0"/>
    <w:rsid w:val="00216E91"/>
    <w:rsid w:val="0022044F"/>
    <w:rsid w:val="002214A1"/>
    <w:rsid w:val="002225CC"/>
    <w:rsid w:val="00222EA4"/>
    <w:rsid w:val="00224A3B"/>
    <w:rsid w:val="00227621"/>
    <w:rsid w:val="0023119B"/>
    <w:rsid w:val="00233C12"/>
    <w:rsid w:val="00234165"/>
    <w:rsid w:val="00235A37"/>
    <w:rsid w:val="00240A39"/>
    <w:rsid w:val="00241226"/>
    <w:rsid w:val="00243116"/>
    <w:rsid w:val="00245113"/>
    <w:rsid w:val="00246FE9"/>
    <w:rsid w:val="00250100"/>
    <w:rsid w:val="00252927"/>
    <w:rsid w:val="00256F02"/>
    <w:rsid w:val="00261E8F"/>
    <w:rsid w:val="00262A69"/>
    <w:rsid w:val="00270AF7"/>
    <w:rsid w:val="00273208"/>
    <w:rsid w:val="002752B9"/>
    <w:rsid w:val="0029126C"/>
    <w:rsid w:val="002A3221"/>
    <w:rsid w:val="002A3A0C"/>
    <w:rsid w:val="002A666E"/>
    <w:rsid w:val="002A6F4B"/>
    <w:rsid w:val="002B061C"/>
    <w:rsid w:val="002B2E4A"/>
    <w:rsid w:val="002B4BF7"/>
    <w:rsid w:val="002C1039"/>
    <w:rsid w:val="002C3520"/>
    <w:rsid w:val="002C6BB5"/>
    <w:rsid w:val="002D28D0"/>
    <w:rsid w:val="002D2CBD"/>
    <w:rsid w:val="002D38A9"/>
    <w:rsid w:val="002D6049"/>
    <w:rsid w:val="002D63FA"/>
    <w:rsid w:val="002E14E0"/>
    <w:rsid w:val="002F12DB"/>
    <w:rsid w:val="002F4DDB"/>
    <w:rsid w:val="002F55E5"/>
    <w:rsid w:val="00305AE1"/>
    <w:rsid w:val="00314AAC"/>
    <w:rsid w:val="0032078A"/>
    <w:rsid w:val="003247C3"/>
    <w:rsid w:val="0032539E"/>
    <w:rsid w:val="003372A9"/>
    <w:rsid w:val="003374CB"/>
    <w:rsid w:val="003418A1"/>
    <w:rsid w:val="0035194F"/>
    <w:rsid w:val="00354931"/>
    <w:rsid w:val="00365F6E"/>
    <w:rsid w:val="00373595"/>
    <w:rsid w:val="00375F14"/>
    <w:rsid w:val="003772A6"/>
    <w:rsid w:val="00383BAE"/>
    <w:rsid w:val="00386054"/>
    <w:rsid w:val="003860E4"/>
    <w:rsid w:val="00386A24"/>
    <w:rsid w:val="00391CE4"/>
    <w:rsid w:val="00392918"/>
    <w:rsid w:val="0039431B"/>
    <w:rsid w:val="0039685B"/>
    <w:rsid w:val="003B1545"/>
    <w:rsid w:val="003B2E8A"/>
    <w:rsid w:val="003C1F8B"/>
    <w:rsid w:val="003C3E7F"/>
    <w:rsid w:val="003C40C8"/>
    <w:rsid w:val="003C6129"/>
    <w:rsid w:val="003D13E1"/>
    <w:rsid w:val="003D2BC4"/>
    <w:rsid w:val="003D3050"/>
    <w:rsid w:val="003D6F32"/>
    <w:rsid w:val="003E034A"/>
    <w:rsid w:val="003E4450"/>
    <w:rsid w:val="003F3F0A"/>
    <w:rsid w:val="00402907"/>
    <w:rsid w:val="00412915"/>
    <w:rsid w:val="0041436E"/>
    <w:rsid w:val="00416190"/>
    <w:rsid w:val="00427E80"/>
    <w:rsid w:val="00430B57"/>
    <w:rsid w:val="00442E07"/>
    <w:rsid w:val="004476CC"/>
    <w:rsid w:val="0045131A"/>
    <w:rsid w:val="004521C1"/>
    <w:rsid w:val="00452BFC"/>
    <w:rsid w:val="0045636E"/>
    <w:rsid w:val="00474211"/>
    <w:rsid w:val="00475DB8"/>
    <w:rsid w:val="00477C9B"/>
    <w:rsid w:val="0048100D"/>
    <w:rsid w:val="00487741"/>
    <w:rsid w:val="004A085E"/>
    <w:rsid w:val="004A6066"/>
    <w:rsid w:val="004A6D0A"/>
    <w:rsid w:val="004D0852"/>
    <w:rsid w:val="004D5136"/>
    <w:rsid w:val="004E0EED"/>
    <w:rsid w:val="004E5FE5"/>
    <w:rsid w:val="004F28F1"/>
    <w:rsid w:val="0050684D"/>
    <w:rsid w:val="005078ED"/>
    <w:rsid w:val="0051006E"/>
    <w:rsid w:val="00510E61"/>
    <w:rsid w:val="00515CCC"/>
    <w:rsid w:val="0052073E"/>
    <w:rsid w:val="00524F6F"/>
    <w:rsid w:val="00531A03"/>
    <w:rsid w:val="00532156"/>
    <w:rsid w:val="005335F2"/>
    <w:rsid w:val="00534B4A"/>
    <w:rsid w:val="0053572E"/>
    <w:rsid w:val="00542C32"/>
    <w:rsid w:val="00542F4F"/>
    <w:rsid w:val="00550817"/>
    <w:rsid w:val="00555054"/>
    <w:rsid w:val="00557FDF"/>
    <w:rsid w:val="00560E3A"/>
    <w:rsid w:val="00561583"/>
    <w:rsid w:val="00561D0A"/>
    <w:rsid w:val="00564132"/>
    <w:rsid w:val="00571983"/>
    <w:rsid w:val="00575DDA"/>
    <w:rsid w:val="00576E08"/>
    <w:rsid w:val="005815B4"/>
    <w:rsid w:val="00581C11"/>
    <w:rsid w:val="00583BC0"/>
    <w:rsid w:val="005866BD"/>
    <w:rsid w:val="005A0CCD"/>
    <w:rsid w:val="005A6492"/>
    <w:rsid w:val="005B1B02"/>
    <w:rsid w:val="005B564A"/>
    <w:rsid w:val="005B787E"/>
    <w:rsid w:val="005C4002"/>
    <w:rsid w:val="005C56DA"/>
    <w:rsid w:val="005D119B"/>
    <w:rsid w:val="005D5227"/>
    <w:rsid w:val="005D5C07"/>
    <w:rsid w:val="005E172E"/>
    <w:rsid w:val="005E49DA"/>
    <w:rsid w:val="005E520D"/>
    <w:rsid w:val="005F1F37"/>
    <w:rsid w:val="005F4E11"/>
    <w:rsid w:val="006003A9"/>
    <w:rsid w:val="00604428"/>
    <w:rsid w:val="00610A54"/>
    <w:rsid w:val="00616A7E"/>
    <w:rsid w:val="00616E9C"/>
    <w:rsid w:val="00617249"/>
    <w:rsid w:val="00617DB7"/>
    <w:rsid w:val="00617EDC"/>
    <w:rsid w:val="0062282E"/>
    <w:rsid w:val="00627503"/>
    <w:rsid w:val="0063040D"/>
    <w:rsid w:val="00631CCC"/>
    <w:rsid w:val="006366A0"/>
    <w:rsid w:val="00651D76"/>
    <w:rsid w:val="00653A61"/>
    <w:rsid w:val="00656682"/>
    <w:rsid w:val="00660F60"/>
    <w:rsid w:val="006625D9"/>
    <w:rsid w:val="00670CB6"/>
    <w:rsid w:val="006719A1"/>
    <w:rsid w:val="0067660E"/>
    <w:rsid w:val="0068567A"/>
    <w:rsid w:val="00687C7C"/>
    <w:rsid w:val="00691BFA"/>
    <w:rsid w:val="006A292A"/>
    <w:rsid w:val="006A38F7"/>
    <w:rsid w:val="006A4EBB"/>
    <w:rsid w:val="006A5BE8"/>
    <w:rsid w:val="006B4172"/>
    <w:rsid w:val="006B4C36"/>
    <w:rsid w:val="006C5291"/>
    <w:rsid w:val="006D0F2F"/>
    <w:rsid w:val="006D325A"/>
    <w:rsid w:val="006D587A"/>
    <w:rsid w:val="006D5C5B"/>
    <w:rsid w:val="006D7086"/>
    <w:rsid w:val="006E37D9"/>
    <w:rsid w:val="006E6835"/>
    <w:rsid w:val="00707098"/>
    <w:rsid w:val="007116BD"/>
    <w:rsid w:val="00713B69"/>
    <w:rsid w:val="00716D6F"/>
    <w:rsid w:val="0072403B"/>
    <w:rsid w:val="00731192"/>
    <w:rsid w:val="0073292A"/>
    <w:rsid w:val="00733BB4"/>
    <w:rsid w:val="00733E19"/>
    <w:rsid w:val="007340D3"/>
    <w:rsid w:val="007365DB"/>
    <w:rsid w:val="00737F74"/>
    <w:rsid w:val="0074145E"/>
    <w:rsid w:val="00742A4C"/>
    <w:rsid w:val="007433CA"/>
    <w:rsid w:val="007466C2"/>
    <w:rsid w:val="00754B57"/>
    <w:rsid w:val="00755D99"/>
    <w:rsid w:val="00756FD3"/>
    <w:rsid w:val="00757C47"/>
    <w:rsid w:val="00761965"/>
    <w:rsid w:val="00763865"/>
    <w:rsid w:val="00765392"/>
    <w:rsid w:val="00771ADF"/>
    <w:rsid w:val="0077216E"/>
    <w:rsid w:val="00772FC2"/>
    <w:rsid w:val="0078058D"/>
    <w:rsid w:val="00790785"/>
    <w:rsid w:val="00790E3E"/>
    <w:rsid w:val="0079530D"/>
    <w:rsid w:val="007A21DD"/>
    <w:rsid w:val="007A5E1D"/>
    <w:rsid w:val="007A5F49"/>
    <w:rsid w:val="007A7144"/>
    <w:rsid w:val="007B1323"/>
    <w:rsid w:val="007B69FA"/>
    <w:rsid w:val="007C0A4C"/>
    <w:rsid w:val="007C3BE6"/>
    <w:rsid w:val="007C6FA2"/>
    <w:rsid w:val="007C700A"/>
    <w:rsid w:val="007D0D11"/>
    <w:rsid w:val="007D46CF"/>
    <w:rsid w:val="007E49C3"/>
    <w:rsid w:val="007F0E92"/>
    <w:rsid w:val="007F3C24"/>
    <w:rsid w:val="007F6104"/>
    <w:rsid w:val="007F7570"/>
    <w:rsid w:val="00800D30"/>
    <w:rsid w:val="00802605"/>
    <w:rsid w:val="00803EA2"/>
    <w:rsid w:val="00807D1A"/>
    <w:rsid w:val="00814E2F"/>
    <w:rsid w:val="008156DD"/>
    <w:rsid w:val="00816BA0"/>
    <w:rsid w:val="00834458"/>
    <w:rsid w:val="00834A62"/>
    <w:rsid w:val="00836E77"/>
    <w:rsid w:val="008409BE"/>
    <w:rsid w:val="00840C85"/>
    <w:rsid w:val="0084549D"/>
    <w:rsid w:val="00847BD3"/>
    <w:rsid w:val="00853EA0"/>
    <w:rsid w:val="00857CCB"/>
    <w:rsid w:val="00861EBD"/>
    <w:rsid w:val="00862552"/>
    <w:rsid w:val="00864136"/>
    <w:rsid w:val="00866230"/>
    <w:rsid w:val="00874EFE"/>
    <w:rsid w:val="00876245"/>
    <w:rsid w:val="00882126"/>
    <w:rsid w:val="00885C43"/>
    <w:rsid w:val="008933F1"/>
    <w:rsid w:val="00893E25"/>
    <w:rsid w:val="00897CCA"/>
    <w:rsid w:val="008A5509"/>
    <w:rsid w:val="008B118D"/>
    <w:rsid w:val="008B55C2"/>
    <w:rsid w:val="008C1303"/>
    <w:rsid w:val="008C56CF"/>
    <w:rsid w:val="008C66E9"/>
    <w:rsid w:val="008D0601"/>
    <w:rsid w:val="008D1F11"/>
    <w:rsid w:val="008D7C15"/>
    <w:rsid w:val="008E5919"/>
    <w:rsid w:val="008F2317"/>
    <w:rsid w:val="008F38EE"/>
    <w:rsid w:val="00905951"/>
    <w:rsid w:val="00905CB6"/>
    <w:rsid w:val="00912D2C"/>
    <w:rsid w:val="00913CF8"/>
    <w:rsid w:val="009157A7"/>
    <w:rsid w:val="00916EE4"/>
    <w:rsid w:val="00917508"/>
    <w:rsid w:val="00920F63"/>
    <w:rsid w:val="009243F3"/>
    <w:rsid w:val="00926079"/>
    <w:rsid w:val="0093366B"/>
    <w:rsid w:val="00933674"/>
    <w:rsid w:val="00934185"/>
    <w:rsid w:val="009366D0"/>
    <w:rsid w:val="0094127E"/>
    <w:rsid w:val="0094417C"/>
    <w:rsid w:val="0094602C"/>
    <w:rsid w:val="00946126"/>
    <w:rsid w:val="0094627B"/>
    <w:rsid w:val="00952DF9"/>
    <w:rsid w:val="0095421D"/>
    <w:rsid w:val="00956B70"/>
    <w:rsid w:val="00960C86"/>
    <w:rsid w:val="00961A91"/>
    <w:rsid w:val="00964ED5"/>
    <w:rsid w:val="0096512F"/>
    <w:rsid w:val="00965E6B"/>
    <w:rsid w:val="00966C45"/>
    <w:rsid w:val="00972A0F"/>
    <w:rsid w:val="009767AF"/>
    <w:rsid w:val="00981F58"/>
    <w:rsid w:val="00985B39"/>
    <w:rsid w:val="00986020"/>
    <w:rsid w:val="00986D0A"/>
    <w:rsid w:val="0099105D"/>
    <w:rsid w:val="00995DF7"/>
    <w:rsid w:val="009A5398"/>
    <w:rsid w:val="009B2209"/>
    <w:rsid w:val="009B5F9E"/>
    <w:rsid w:val="009B7596"/>
    <w:rsid w:val="009C37AF"/>
    <w:rsid w:val="009D0EF9"/>
    <w:rsid w:val="009D2FB3"/>
    <w:rsid w:val="009E27E4"/>
    <w:rsid w:val="009E34C3"/>
    <w:rsid w:val="009E3E86"/>
    <w:rsid w:val="009E71F8"/>
    <w:rsid w:val="009E7FAA"/>
    <w:rsid w:val="009F2976"/>
    <w:rsid w:val="009F4562"/>
    <w:rsid w:val="009F65CC"/>
    <w:rsid w:val="00A0001F"/>
    <w:rsid w:val="00A00302"/>
    <w:rsid w:val="00A0219A"/>
    <w:rsid w:val="00A03B97"/>
    <w:rsid w:val="00A06C77"/>
    <w:rsid w:val="00A118A2"/>
    <w:rsid w:val="00A179F6"/>
    <w:rsid w:val="00A23F26"/>
    <w:rsid w:val="00A30772"/>
    <w:rsid w:val="00A4001C"/>
    <w:rsid w:val="00A40AAB"/>
    <w:rsid w:val="00A46D01"/>
    <w:rsid w:val="00A50A44"/>
    <w:rsid w:val="00A51FFC"/>
    <w:rsid w:val="00A5261A"/>
    <w:rsid w:val="00A65249"/>
    <w:rsid w:val="00A70816"/>
    <w:rsid w:val="00A73590"/>
    <w:rsid w:val="00A74F31"/>
    <w:rsid w:val="00A7636D"/>
    <w:rsid w:val="00A911DF"/>
    <w:rsid w:val="00A9138E"/>
    <w:rsid w:val="00A965CC"/>
    <w:rsid w:val="00A97E4C"/>
    <w:rsid w:val="00AA20DA"/>
    <w:rsid w:val="00AA24E9"/>
    <w:rsid w:val="00AA3715"/>
    <w:rsid w:val="00AA5138"/>
    <w:rsid w:val="00AB63F0"/>
    <w:rsid w:val="00AB7F7B"/>
    <w:rsid w:val="00AC1C89"/>
    <w:rsid w:val="00AC4100"/>
    <w:rsid w:val="00AC4389"/>
    <w:rsid w:val="00AD381B"/>
    <w:rsid w:val="00AD53F2"/>
    <w:rsid w:val="00AD541E"/>
    <w:rsid w:val="00AD6066"/>
    <w:rsid w:val="00AD7277"/>
    <w:rsid w:val="00AF1DE8"/>
    <w:rsid w:val="00AF37DF"/>
    <w:rsid w:val="00AF5B5B"/>
    <w:rsid w:val="00AF5D1A"/>
    <w:rsid w:val="00AF67F5"/>
    <w:rsid w:val="00AF7678"/>
    <w:rsid w:val="00B017F9"/>
    <w:rsid w:val="00B07213"/>
    <w:rsid w:val="00B108AE"/>
    <w:rsid w:val="00B10A05"/>
    <w:rsid w:val="00B13406"/>
    <w:rsid w:val="00B15FD3"/>
    <w:rsid w:val="00B22661"/>
    <w:rsid w:val="00B25499"/>
    <w:rsid w:val="00B368A3"/>
    <w:rsid w:val="00B42724"/>
    <w:rsid w:val="00B5149D"/>
    <w:rsid w:val="00B539E6"/>
    <w:rsid w:val="00B54167"/>
    <w:rsid w:val="00B55848"/>
    <w:rsid w:val="00B57C17"/>
    <w:rsid w:val="00B6208A"/>
    <w:rsid w:val="00B62B41"/>
    <w:rsid w:val="00B62E06"/>
    <w:rsid w:val="00B632BF"/>
    <w:rsid w:val="00B64B1D"/>
    <w:rsid w:val="00B654BB"/>
    <w:rsid w:val="00B6729C"/>
    <w:rsid w:val="00B724DD"/>
    <w:rsid w:val="00B75174"/>
    <w:rsid w:val="00B760DB"/>
    <w:rsid w:val="00B9435D"/>
    <w:rsid w:val="00B9671B"/>
    <w:rsid w:val="00B971F0"/>
    <w:rsid w:val="00BA1D31"/>
    <w:rsid w:val="00BA35A7"/>
    <w:rsid w:val="00BA5847"/>
    <w:rsid w:val="00BB02AF"/>
    <w:rsid w:val="00BB03CE"/>
    <w:rsid w:val="00BB26B8"/>
    <w:rsid w:val="00BB4DEE"/>
    <w:rsid w:val="00BB6E9D"/>
    <w:rsid w:val="00BC0248"/>
    <w:rsid w:val="00BC1A67"/>
    <w:rsid w:val="00BC5A6F"/>
    <w:rsid w:val="00BC5FBB"/>
    <w:rsid w:val="00BE59F0"/>
    <w:rsid w:val="00C056AE"/>
    <w:rsid w:val="00C160DF"/>
    <w:rsid w:val="00C164D3"/>
    <w:rsid w:val="00C20670"/>
    <w:rsid w:val="00C224FD"/>
    <w:rsid w:val="00C24217"/>
    <w:rsid w:val="00C32CDD"/>
    <w:rsid w:val="00C40C82"/>
    <w:rsid w:val="00C46E3E"/>
    <w:rsid w:val="00C50C4F"/>
    <w:rsid w:val="00C5108E"/>
    <w:rsid w:val="00C57BE5"/>
    <w:rsid w:val="00C722FD"/>
    <w:rsid w:val="00C80414"/>
    <w:rsid w:val="00C85640"/>
    <w:rsid w:val="00C86713"/>
    <w:rsid w:val="00C875E8"/>
    <w:rsid w:val="00C92035"/>
    <w:rsid w:val="00CA0DE7"/>
    <w:rsid w:val="00CB0F29"/>
    <w:rsid w:val="00CC2A72"/>
    <w:rsid w:val="00CC3FB5"/>
    <w:rsid w:val="00CC68DA"/>
    <w:rsid w:val="00CD2067"/>
    <w:rsid w:val="00CD47BC"/>
    <w:rsid w:val="00CE4AB4"/>
    <w:rsid w:val="00CF1702"/>
    <w:rsid w:val="00D061EA"/>
    <w:rsid w:val="00D1102F"/>
    <w:rsid w:val="00D248E5"/>
    <w:rsid w:val="00D24975"/>
    <w:rsid w:val="00D30517"/>
    <w:rsid w:val="00D34984"/>
    <w:rsid w:val="00D36C35"/>
    <w:rsid w:val="00D40B8F"/>
    <w:rsid w:val="00D41593"/>
    <w:rsid w:val="00D458D7"/>
    <w:rsid w:val="00D73EA8"/>
    <w:rsid w:val="00D75313"/>
    <w:rsid w:val="00D825DE"/>
    <w:rsid w:val="00DA03D4"/>
    <w:rsid w:val="00DA1778"/>
    <w:rsid w:val="00DB1D87"/>
    <w:rsid w:val="00DB4A3F"/>
    <w:rsid w:val="00DC0AB4"/>
    <w:rsid w:val="00DD1175"/>
    <w:rsid w:val="00DF07D4"/>
    <w:rsid w:val="00DF28B3"/>
    <w:rsid w:val="00DF2FDE"/>
    <w:rsid w:val="00DF4506"/>
    <w:rsid w:val="00E0375D"/>
    <w:rsid w:val="00E06D46"/>
    <w:rsid w:val="00E11348"/>
    <w:rsid w:val="00E16ACD"/>
    <w:rsid w:val="00E17134"/>
    <w:rsid w:val="00E22FD3"/>
    <w:rsid w:val="00E25EBC"/>
    <w:rsid w:val="00E36EC4"/>
    <w:rsid w:val="00E375A9"/>
    <w:rsid w:val="00E413F1"/>
    <w:rsid w:val="00E50759"/>
    <w:rsid w:val="00E53746"/>
    <w:rsid w:val="00E53A58"/>
    <w:rsid w:val="00E544E8"/>
    <w:rsid w:val="00E57C60"/>
    <w:rsid w:val="00E57E85"/>
    <w:rsid w:val="00E64C10"/>
    <w:rsid w:val="00E66541"/>
    <w:rsid w:val="00E66550"/>
    <w:rsid w:val="00E669B9"/>
    <w:rsid w:val="00E71468"/>
    <w:rsid w:val="00E7288C"/>
    <w:rsid w:val="00E76951"/>
    <w:rsid w:val="00E81F59"/>
    <w:rsid w:val="00E82835"/>
    <w:rsid w:val="00E877BF"/>
    <w:rsid w:val="00EA1767"/>
    <w:rsid w:val="00EA1E34"/>
    <w:rsid w:val="00EB04EB"/>
    <w:rsid w:val="00EB0929"/>
    <w:rsid w:val="00EB0FA5"/>
    <w:rsid w:val="00EB331C"/>
    <w:rsid w:val="00EB5075"/>
    <w:rsid w:val="00EC01DD"/>
    <w:rsid w:val="00EC2BCF"/>
    <w:rsid w:val="00EC35E3"/>
    <w:rsid w:val="00EC5AC1"/>
    <w:rsid w:val="00ED281C"/>
    <w:rsid w:val="00ED7195"/>
    <w:rsid w:val="00EE0675"/>
    <w:rsid w:val="00EF0FF2"/>
    <w:rsid w:val="00EF27DE"/>
    <w:rsid w:val="00EF4C67"/>
    <w:rsid w:val="00F0414F"/>
    <w:rsid w:val="00F06A74"/>
    <w:rsid w:val="00F070F3"/>
    <w:rsid w:val="00F122A8"/>
    <w:rsid w:val="00F12E91"/>
    <w:rsid w:val="00F13C2D"/>
    <w:rsid w:val="00F20ABD"/>
    <w:rsid w:val="00F22944"/>
    <w:rsid w:val="00F2296E"/>
    <w:rsid w:val="00F2351D"/>
    <w:rsid w:val="00F27AAF"/>
    <w:rsid w:val="00F31BEC"/>
    <w:rsid w:val="00F324DC"/>
    <w:rsid w:val="00F340FD"/>
    <w:rsid w:val="00F34636"/>
    <w:rsid w:val="00F55A4C"/>
    <w:rsid w:val="00F5782B"/>
    <w:rsid w:val="00F6447B"/>
    <w:rsid w:val="00F64C0C"/>
    <w:rsid w:val="00F73131"/>
    <w:rsid w:val="00F74288"/>
    <w:rsid w:val="00F7554A"/>
    <w:rsid w:val="00F77DEE"/>
    <w:rsid w:val="00F83255"/>
    <w:rsid w:val="00F87B3A"/>
    <w:rsid w:val="00F909A3"/>
    <w:rsid w:val="00F94AD3"/>
    <w:rsid w:val="00FA19B2"/>
    <w:rsid w:val="00FA3404"/>
    <w:rsid w:val="00FB4E77"/>
    <w:rsid w:val="00FB6309"/>
    <w:rsid w:val="00FB6993"/>
    <w:rsid w:val="00FB7534"/>
    <w:rsid w:val="00FC0607"/>
    <w:rsid w:val="00FC2B5F"/>
    <w:rsid w:val="00FC4D7E"/>
    <w:rsid w:val="00FC669D"/>
    <w:rsid w:val="00FC75D4"/>
    <w:rsid w:val="00FD4F0B"/>
    <w:rsid w:val="00FD77EA"/>
    <w:rsid w:val="00FE02FC"/>
    <w:rsid w:val="00FE05DC"/>
    <w:rsid w:val="00FE19BA"/>
    <w:rsid w:val="00FE1BAE"/>
    <w:rsid w:val="00FE498F"/>
    <w:rsid w:val="00FE5D58"/>
    <w:rsid w:val="02A8041A"/>
    <w:rsid w:val="0DC7BB8E"/>
    <w:rsid w:val="10FC4313"/>
    <w:rsid w:val="14E585A3"/>
    <w:rsid w:val="16E2131B"/>
    <w:rsid w:val="174AA452"/>
    <w:rsid w:val="17D8EACA"/>
    <w:rsid w:val="19DF6646"/>
    <w:rsid w:val="1AFC7B23"/>
    <w:rsid w:val="1BE5202D"/>
    <w:rsid w:val="1CF7AEC2"/>
    <w:rsid w:val="1FA14FFB"/>
    <w:rsid w:val="24DBB089"/>
    <w:rsid w:val="28847392"/>
    <w:rsid w:val="2998E624"/>
    <w:rsid w:val="2E75A5BF"/>
    <w:rsid w:val="3920FD8F"/>
    <w:rsid w:val="3B0CDB7C"/>
    <w:rsid w:val="3DF35471"/>
    <w:rsid w:val="41878BFE"/>
    <w:rsid w:val="42AF0212"/>
    <w:rsid w:val="4395FFAD"/>
    <w:rsid w:val="43D6E214"/>
    <w:rsid w:val="488D0AF4"/>
    <w:rsid w:val="4B6E911F"/>
    <w:rsid w:val="55279080"/>
    <w:rsid w:val="58C171E2"/>
    <w:rsid w:val="59AE2873"/>
    <w:rsid w:val="5B1B0E79"/>
    <w:rsid w:val="5CD54DD5"/>
    <w:rsid w:val="5D7F4B3B"/>
    <w:rsid w:val="5EE519B9"/>
    <w:rsid w:val="620D4933"/>
    <w:rsid w:val="63518AD9"/>
    <w:rsid w:val="6369F7D1"/>
    <w:rsid w:val="6B9AC3DB"/>
    <w:rsid w:val="6DEC7BA5"/>
    <w:rsid w:val="6E29F2B5"/>
    <w:rsid w:val="6E7FAAF8"/>
    <w:rsid w:val="74A5B3B7"/>
    <w:rsid w:val="75984A62"/>
    <w:rsid w:val="797C8362"/>
    <w:rsid w:val="7B8A1AE5"/>
    <w:rsid w:val="7C35ED3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3A274B1"/>
  <w15:docId w15:val="{3563EB52-2031-429F-9795-412DC40A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DefaultParagraphFont"/>
    <w:uiPriority w:val="99"/>
    <w:semiHidden/>
    <w:unhideWhenUsed/>
    <w:rsid w:val="006A38F7"/>
    <w:rPr>
      <w:sz w:val="16"/>
      <w:szCs w:val="16"/>
    </w:rPr>
  </w:style>
  <w:style w:type="paragraph" w:customStyle="1" w:styleId="CommentText">
    <w:name w:val="Comment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customStyle="1" w:styleId="CommentSubject">
    <w:name w:val="Comment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normaltextrun">
    <w:name w:val="normaltextrun"/>
    <w:basedOn w:val="DefaultParagraphFont"/>
    <w:rsid w:val="00C46E3E"/>
  </w:style>
  <w:style w:type="character" w:customStyle="1" w:styleId="eop">
    <w:name w:val="eop"/>
    <w:basedOn w:val="DefaultParagraphFont"/>
    <w:rsid w:val="00C46E3E"/>
  </w:style>
  <w:style w:type="paragraph" w:customStyle="1" w:styleId="paragraph">
    <w:name w:val="paragraph"/>
    <w:basedOn w:val="Normal"/>
    <w:rsid w:val="00C46E3E"/>
    <w:pPr>
      <w:spacing w:before="100" w:beforeAutospacing="1" w:after="100" w:afterAutospacing="1"/>
    </w:pPr>
    <w:rPr>
      <w:rFonts w:ascii="Times New Roman" w:hAnsi="Times New Roman"/>
      <w:szCs w:val="24"/>
    </w:rPr>
  </w:style>
  <w:style w:type="paragraph" w:styleId="Revision">
    <w:name w:val="Revision"/>
    <w:hidden/>
    <w:uiPriority w:val="99"/>
    <w:semiHidden/>
    <w:rsid w:val="004A085E"/>
    <w:rPr>
      <w:rFonts w:ascii="Courier" w:hAnsi="Courier"/>
      <w:sz w:val="24"/>
    </w:rPr>
  </w:style>
  <w:style w:type="table" w:customStyle="1" w:styleId="TableGrid2">
    <w:name w:val="Table Grid2"/>
    <w:basedOn w:val="TableNormal"/>
    <w:next w:val="TableGrid"/>
    <w:uiPriority w:val="39"/>
    <w:rsid w:val="00205742"/>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BC965568-4BBF-4587-BFCC-1EEDD5264429}">
  <ds:schemaRefs/>
</ds:datastoreItem>
</file>

<file path=customXml/itemProps3.xml><?xml version="1.0" encoding="utf-8"?>
<ds:datastoreItem xmlns:ds="http://schemas.openxmlformats.org/officeDocument/2006/customXml" ds:itemID="{B4BAC9DE-E47C-4B73-91AD-B1373F323AAF}">
  <ds:schemaRefs/>
</ds:datastoreItem>
</file>

<file path=customXml/itemProps4.xml><?xml version="1.0" encoding="utf-8"?>
<ds:datastoreItem xmlns:ds="http://schemas.openxmlformats.org/officeDocument/2006/customXml" ds:itemID="{73177A8A-3D26-4D64-83E3-165D5AB552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2026-05-30T01:59:00Z</dcterms:created>
  <dcterms:modified xsi:type="dcterms:W3CDTF">2026-05-30T03:32:24Z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