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246834" w14:paraId="64280E54" w14:textId="77777777">
      <w:pPr>
        <w:pStyle w:val="Heading1"/>
        <w:rPr>
          <w:b/>
          <w:bCs/>
          <w:sz w:val="24"/>
          <w:szCs w:val="24"/>
        </w:rPr>
      </w:pPr>
      <w:r w:rsidRPr="00F74288">
        <w:rPr>
          <w:b/>
          <w:bCs/>
          <w:sz w:val="24"/>
          <w:szCs w:val="24"/>
        </w:rPr>
        <w:t>SUPPORTING STATEMENT</w:t>
      </w:r>
    </w:p>
    <w:p w:rsidR="00043C32" w:rsidRPr="00F74288" w:rsidP="00246834" w14:paraId="64280E55" w14:textId="0EEBC467">
      <w:pPr>
        <w:pStyle w:val="Heading1"/>
        <w:rPr>
          <w:b/>
          <w:bCs/>
          <w:sz w:val="24"/>
          <w:szCs w:val="24"/>
        </w:rPr>
      </w:pPr>
      <w:r w:rsidRPr="00F74288">
        <w:rPr>
          <w:b/>
          <w:bCs/>
          <w:sz w:val="24"/>
          <w:szCs w:val="24"/>
        </w:rPr>
        <w:t>FOR PAPERWORK REDUCTION ACT SUBMISSION</w:t>
      </w:r>
    </w:p>
    <w:p w:rsidR="005F4E11" w:rsidRPr="00F74288" w:rsidP="00246834" w14:paraId="05DA5314" w14:textId="675CF0DC">
      <w:pPr>
        <w:jc w:val="center"/>
        <w:rPr>
          <w:rFonts w:asciiTheme="minorHAnsi" w:hAnsiTheme="minorHAnsi" w:cstheme="minorHAnsi"/>
        </w:rPr>
      </w:pPr>
      <w:r>
        <w:rPr>
          <w:rFonts w:asciiTheme="minorHAnsi" w:hAnsiTheme="minorHAnsi" w:cstheme="minorHAnsi"/>
        </w:rPr>
        <w:t>Certification and Application</w:t>
      </w:r>
      <w:r w:rsidR="00FE36A0">
        <w:rPr>
          <w:rFonts w:asciiTheme="minorHAnsi" w:hAnsiTheme="minorHAnsi" w:cstheme="minorHAnsi"/>
        </w:rPr>
        <w:t xml:space="preserve"> for </w:t>
      </w:r>
      <w:r w:rsidR="0004000C">
        <w:rPr>
          <w:rFonts w:asciiTheme="minorHAnsi" w:hAnsiTheme="minorHAnsi" w:cstheme="minorHAnsi"/>
        </w:rPr>
        <w:t>Public Service Loan Forgiveness</w:t>
      </w:r>
    </w:p>
    <w:p w:rsidR="00043C32" w:rsidRPr="00AD381B" w:rsidP="00246834" w14:paraId="64280E56" w14:textId="77777777">
      <w:pPr>
        <w:tabs>
          <w:tab w:val="left" w:pos="0"/>
        </w:tabs>
        <w:suppressAutoHyphens/>
        <w:rPr>
          <w:rFonts w:ascii="Times New Roman" w:hAnsi="Times New Roman"/>
          <w:szCs w:val="24"/>
        </w:rPr>
      </w:pPr>
    </w:p>
    <w:p w:rsidR="00EA1767" w:rsidP="00246834" w14:paraId="64280E57" w14:textId="1BCC301F">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008F3ECA">
        <w:rPr>
          <w:rFonts w:ascii="Times New Roman" w:hAnsi="Times New Roman"/>
          <w:b/>
          <w:szCs w:val="24"/>
        </w:rPr>
        <w:t xml:space="preserve">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Identify any legal or administrative requirements that necessitate the collection.</w:t>
      </w:r>
      <w:r w:rsidR="008F3ECA">
        <w:rPr>
          <w:rFonts w:ascii="Times New Roman" w:hAnsi="Times New Roman"/>
          <w:b/>
          <w:szCs w:val="24"/>
        </w:rPr>
        <w:t xml:space="preserve">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w:t>
      </w:r>
      <w:r w:rsidR="008F3ECA">
        <w:rPr>
          <w:rFonts w:ascii="Times New Roman" w:hAnsi="Times New Roman"/>
          <w:b/>
          <w:szCs w:val="24"/>
        </w:rPr>
        <w:t xml:space="preserve"> </w:t>
      </w:r>
      <w:r w:rsidRPr="00AD381B">
        <w:rPr>
          <w:rFonts w:ascii="Times New Roman" w:hAnsi="Times New Roman"/>
          <w:b/>
          <w:szCs w:val="24"/>
        </w:rPr>
        <w:t xml:space="preserve">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246834" w14:paraId="763DBF3F" w14:textId="77777777">
      <w:pPr>
        <w:suppressAutoHyphens/>
        <w:ind w:left="720"/>
        <w:rPr>
          <w:rFonts w:ascii="Times New Roman" w:hAnsi="Times New Roman"/>
          <w:bCs/>
          <w:szCs w:val="24"/>
        </w:rPr>
      </w:pPr>
    </w:p>
    <w:p w:rsidR="00621A77" w:rsidP="00707A86" w14:paraId="58B9A7C1" w14:textId="3AA44D5B">
      <w:pPr>
        <w:pStyle w:val="BodyText"/>
        <w:spacing w:after="0" w:line="240" w:lineRule="auto"/>
        <w:ind w:left="720"/>
        <w:rPr>
          <w:rFonts w:asciiTheme="minorHAnsi" w:hAnsiTheme="minorHAnsi" w:cstheme="minorBidi"/>
        </w:rPr>
      </w:pPr>
      <w:r w:rsidRPr="36DAA0B9">
        <w:rPr>
          <w:rFonts w:asciiTheme="minorHAnsi" w:hAnsiTheme="minorHAnsi" w:cstheme="minorBidi"/>
        </w:rPr>
        <w:t xml:space="preserve">The Department of Education (Department) is requesting emergency </w:t>
      </w:r>
      <w:r w:rsidR="00162940">
        <w:rPr>
          <w:rFonts w:asciiTheme="minorHAnsi" w:hAnsiTheme="minorHAnsi" w:cstheme="minorBidi"/>
        </w:rPr>
        <w:t>processing</w:t>
      </w:r>
      <w:r w:rsidRPr="36DAA0B9">
        <w:rPr>
          <w:rFonts w:asciiTheme="minorHAnsi" w:hAnsiTheme="minorHAnsi" w:cstheme="minorBidi"/>
        </w:rPr>
        <w:t xml:space="preserve"> for </w:t>
      </w:r>
      <w:r w:rsidRPr="36DAA0B9" w:rsidR="00C326D0">
        <w:rPr>
          <w:rFonts w:asciiTheme="minorHAnsi" w:hAnsiTheme="minorHAnsi" w:cstheme="minorBidi"/>
        </w:rPr>
        <w:t xml:space="preserve">a revision </w:t>
      </w:r>
      <w:r w:rsidRPr="36DAA0B9" w:rsidR="00C326D0">
        <w:rPr>
          <w:rFonts w:asciiTheme="minorHAnsi" w:hAnsiTheme="minorHAnsi" w:cstheme="minorBidi"/>
        </w:rPr>
        <w:t>to</w:t>
      </w:r>
      <w:r w:rsidRPr="36DAA0B9" w:rsidR="00C326D0">
        <w:rPr>
          <w:rFonts w:asciiTheme="minorHAnsi" w:hAnsiTheme="minorHAnsi" w:cstheme="minorBidi"/>
        </w:rPr>
        <w:t xml:space="preserve"> an existing information</w:t>
      </w:r>
      <w:r w:rsidRPr="36DAA0B9" w:rsidR="00891460">
        <w:rPr>
          <w:rFonts w:asciiTheme="minorHAnsi" w:hAnsiTheme="minorHAnsi" w:cstheme="minorBidi"/>
        </w:rPr>
        <w:t xml:space="preserve"> collection</w:t>
      </w:r>
      <w:r w:rsidRPr="36DAA0B9">
        <w:rPr>
          <w:rFonts w:asciiTheme="minorHAnsi" w:hAnsiTheme="minorHAnsi" w:cstheme="minorBidi"/>
        </w:rPr>
        <w:t>.</w:t>
      </w:r>
      <w:r w:rsidRPr="36DAA0B9" w:rsidR="6089991C">
        <w:rPr>
          <w:rFonts w:asciiTheme="minorHAnsi" w:hAnsiTheme="minorHAnsi" w:cstheme="minorBidi"/>
        </w:rPr>
        <w:t> </w:t>
      </w:r>
      <w:r w:rsidRPr="36DAA0B9" w:rsidR="003F0E13">
        <w:rPr>
          <w:rFonts w:asciiTheme="minorHAnsi" w:hAnsiTheme="minorHAnsi" w:cstheme="minorBidi"/>
        </w:rPr>
        <w:t xml:space="preserve">The Department provides </w:t>
      </w:r>
      <w:r w:rsidRPr="36DAA0B9" w:rsidR="03461F9E">
        <w:rPr>
          <w:rFonts w:asciiTheme="minorHAnsi" w:hAnsiTheme="minorHAnsi" w:cstheme="minorBidi"/>
        </w:rPr>
        <w:t>this</w:t>
      </w:r>
      <w:r w:rsidRPr="36DAA0B9" w:rsidR="003F0E13">
        <w:rPr>
          <w:rFonts w:asciiTheme="minorHAnsi" w:hAnsiTheme="minorHAnsi" w:cstheme="minorBidi"/>
        </w:rPr>
        <w:t xml:space="preserve"> form, 1845-0110 </w:t>
      </w:r>
      <w:r w:rsidRPr="36DAA0B9" w:rsidR="001C3426">
        <w:rPr>
          <w:rFonts w:asciiTheme="minorHAnsi" w:hAnsiTheme="minorHAnsi" w:cstheme="minorBidi"/>
        </w:rPr>
        <w:t>Public Service Loan Forgiveness (PSLF) &amp; Temporary Expanded PSLF (TEPSLF) Certification &amp; Application form</w:t>
      </w:r>
      <w:r w:rsidRPr="36DAA0B9" w:rsidR="003F0E13">
        <w:rPr>
          <w:rFonts w:asciiTheme="minorHAnsi" w:hAnsiTheme="minorHAnsi" w:cstheme="minorBidi"/>
        </w:rPr>
        <w:t>, which is used by student loan borrowers to apply for Public Service Loan Forgiveness (PSLF). Borrowers complete this form to have their qualifying employment certified and their progress toward forgiveness recorded in our system. They are encouraged to submit this form annually but ar</w:t>
      </w:r>
      <w:r w:rsidR="00EC6027">
        <w:rPr>
          <w:rFonts w:asciiTheme="minorHAnsi" w:hAnsiTheme="minorHAnsi" w:cstheme="minorBidi"/>
        </w:rPr>
        <w:t>e</w:t>
      </w:r>
      <w:r w:rsidR="00045129">
        <w:rPr>
          <w:rFonts w:asciiTheme="minorHAnsi" w:hAnsiTheme="minorHAnsi" w:cstheme="minorBidi"/>
        </w:rPr>
        <w:t xml:space="preserve"> o</w:t>
      </w:r>
      <w:r w:rsidRPr="36DAA0B9" w:rsidR="003F0E13">
        <w:rPr>
          <w:rFonts w:asciiTheme="minorHAnsi" w:hAnsiTheme="minorHAnsi" w:cstheme="minorBidi"/>
        </w:rPr>
        <w:t>nly required to submit it </w:t>
      </w:r>
      <w:r w:rsidRPr="36DAA0B9" w:rsidR="003F0E13">
        <w:rPr>
          <w:rFonts w:asciiTheme="minorHAnsi" w:hAnsiTheme="minorHAnsi" w:cstheme="minorBidi"/>
        </w:rPr>
        <w:t>at</w:t>
      </w:r>
      <w:r w:rsidRPr="36DAA0B9" w:rsidR="003F0E13">
        <w:rPr>
          <w:rFonts w:asciiTheme="minorHAnsi" w:hAnsiTheme="minorHAnsi" w:cstheme="minorBidi"/>
        </w:rPr>
        <w:t> the point that they have reached the requisite 120 qualifying months of repayment.</w:t>
      </w:r>
      <w:r w:rsidRPr="36DAA0B9" w:rsidR="008F3ECA">
        <w:rPr>
          <w:rFonts w:asciiTheme="minorHAnsi" w:hAnsiTheme="minorHAnsi" w:cstheme="minorBidi"/>
        </w:rPr>
        <w:t xml:space="preserve"> </w:t>
      </w:r>
    </w:p>
    <w:p w:rsidR="00707A86" w:rsidP="00707A86" w14:paraId="58454148" w14:textId="77777777">
      <w:pPr>
        <w:pStyle w:val="BodyText"/>
        <w:spacing w:after="0" w:line="240" w:lineRule="auto"/>
        <w:ind w:left="720"/>
        <w:rPr>
          <w:rFonts w:asciiTheme="minorHAnsi" w:hAnsiTheme="minorHAnsi" w:cstheme="minorBidi"/>
        </w:rPr>
      </w:pPr>
    </w:p>
    <w:p w:rsidR="003F0E13" w:rsidRPr="00AA7506" w:rsidP="00AA7506" w14:paraId="0607ED95" w14:textId="762FB97C">
      <w:pPr>
        <w:pStyle w:val="BodyText"/>
        <w:ind w:left="720"/>
        <w:rPr>
          <w:rFonts w:asciiTheme="minorHAnsi" w:hAnsiTheme="minorHAnsi" w:cstheme="minorHAnsi"/>
        </w:rPr>
      </w:pPr>
      <w:r w:rsidRPr="00AA7506">
        <w:rPr>
          <w:rFonts w:asciiTheme="minorHAnsi" w:hAnsiTheme="minorHAnsi" w:cstheme="minorHAnsi"/>
        </w:rPr>
        <w:t>On March 7, 2025, President Trump signed an executive order titled </w:t>
      </w:r>
      <w:hyperlink r:id="rId9" w:tgtFrame="_blank" w:history="1">
        <w:r w:rsidRPr="00AA7506">
          <w:rPr>
            <w:rStyle w:val="Hyperlink"/>
            <w:rFonts w:asciiTheme="minorHAnsi" w:hAnsiTheme="minorHAnsi" w:cstheme="minorHAnsi"/>
            <w:i/>
            <w:iCs/>
          </w:rPr>
          <w:t>Restoring Public Service Loan Forgiveness</w:t>
        </w:r>
      </w:hyperlink>
      <w:r w:rsidRPr="00AA7506">
        <w:rPr>
          <w:rFonts w:asciiTheme="minorHAnsi" w:hAnsiTheme="minorHAnsi" w:cstheme="minorHAnsi"/>
          <w:i/>
          <w:iCs/>
        </w:rPr>
        <w:t> </w:t>
      </w:r>
      <w:r w:rsidR="00AC5393">
        <w:rPr>
          <w:rFonts w:asciiTheme="minorHAnsi" w:hAnsiTheme="minorHAnsi" w:cstheme="minorHAnsi"/>
          <w:i/>
          <w:iCs/>
        </w:rPr>
        <w:t>(E</w:t>
      </w:r>
      <w:r w:rsidR="00C96AF6">
        <w:rPr>
          <w:rFonts w:asciiTheme="minorHAnsi" w:hAnsiTheme="minorHAnsi" w:cstheme="minorHAnsi"/>
          <w:i/>
          <w:iCs/>
        </w:rPr>
        <w:t>.</w:t>
      </w:r>
      <w:r w:rsidR="00AC5393">
        <w:rPr>
          <w:rFonts w:asciiTheme="minorHAnsi" w:hAnsiTheme="minorHAnsi" w:cstheme="minorHAnsi"/>
          <w:i/>
          <w:iCs/>
        </w:rPr>
        <w:t>O</w:t>
      </w:r>
      <w:r w:rsidR="00C96AF6">
        <w:rPr>
          <w:rFonts w:asciiTheme="minorHAnsi" w:hAnsiTheme="minorHAnsi" w:cstheme="minorHAnsi"/>
          <w:i/>
          <w:iCs/>
        </w:rPr>
        <w:t>.</w:t>
      </w:r>
      <w:r w:rsidR="00AC5393">
        <w:rPr>
          <w:rFonts w:asciiTheme="minorHAnsi" w:hAnsiTheme="minorHAnsi" w:cstheme="minorHAnsi"/>
          <w:i/>
          <w:iCs/>
        </w:rPr>
        <w:t xml:space="preserve"> 14325) </w:t>
      </w:r>
      <w:r w:rsidRPr="00AA7506">
        <w:rPr>
          <w:rFonts w:asciiTheme="minorHAnsi" w:hAnsiTheme="minorHAnsi" w:cstheme="minorHAnsi"/>
        </w:rPr>
        <w:t>making individuals employed by organizations whose activities have a substantial illegal purpose ineligible for PSLF.</w:t>
      </w:r>
      <w:r w:rsidR="008F3ECA">
        <w:rPr>
          <w:rFonts w:asciiTheme="minorHAnsi" w:hAnsiTheme="minorHAnsi" w:cstheme="minorHAnsi"/>
        </w:rPr>
        <w:t xml:space="preserve"> </w:t>
      </w:r>
    </w:p>
    <w:p w:rsidR="003F0E13" w:rsidRPr="00AA7506" w:rsidP="00AA7506" w14:paraId="7932198F" w14:textId="77777777">
      <w:pPr>
        <w:pStyle w:val="BodyText"/>
        <w:ind w:left="720"/>
        <w:rPr>
          <w:rFonts w:asciiTheme="minorHAnsi" w:hAnsiTheme="minorHAnsi" w:cstheme="minorHAnsi"/>
        </w:rPr>
      </w:pPr>
      <w:r w:rsidRPr="00AA7506">
        <w:rPr>
          <w:rFonts w:asciiTheme="minorHAnsi" w:hAnsiTheme="minorHAnsi" w:cstheme="minorHAnsi"/>
        </w:rPr>
        <w:t>The Department held public hearings on April 29 and May 1, 2025, and engaged in the negotiated rulemaking process by convening a committee of higher education stakeholders and experts in July of 2025. On August 18, 2026, the Department published a </w:t>
      </w:r>
      <w:hyperlink r:id="rId10" w:tgtFrame="_blank" w:history="1">
        <w:r w:rsidRPr="00AA7506">
          <w:rPr>
            <w:rStyle w:val="Hyperlink"/>
            <w:rFonts w:asciiTheme="minorHAnsi" w:hAnsiTheme="minorHAnsi" w:cstheme="minorHAnsi"/>
          </w:rPr>
          <w:t>Notice of Proposed Rulemaking</w:t>
        </w:r>
      </w:hyperlink>
      <w:r w:rsidRPr="00AA7506">
        <w:rPr>
          <w:rFonts w:asciiTheme="minorHAnsi" w:hAnsiTheme="minorHAnsi" w:cstheme="minorHAnsi"/>
        </w:rPr>
        <w:t> (FR 90 FR 40154) and collected public comments on the proposed regulations until September 17, 2025. </w:t>
      </w:r>
    </w:p>
    <w:p w:rsidR="00824CEE" w:rsidP="00AA7506" w14:paraId="11957AF4" w14:textId="74B73755">
      <w:pPr>
        <w:pStyle w:val="BodyText"/>
        <w:ind w:left="720"/>
        <w:rPr>
          <w:rFonts w:asciiTheme="minorHAnsi" w:hAnsiTheme="minorHAnsi" w:cstheme="minorBidi"/>
        </w:rPr>
      </w:pPr>
      <w:r w:rsidRPr="66F66544">
        <w:rPr>
          <w:rFonts w:asciiTheme="minorHAnsi" w:hAnsiTheme="minorHAnsi" w:cstheme="minorBidi"/>
        </w:rPr>
        <w:t>As explained in the </w:t>
      </w:r>
      <w:hyperlink r:id="rId11">
        <w:r w:rsidRPr="66F66544">
          <w:rPr>
            <w:rStyle w:val="Hyperlink"/>
            <w:rFonts w:asciiTheme="minorHAnsi" w:hAnsiTheme="minorHAnsi" w:cstheme="minorBidi"/>
          </w:rPr>
          <w:t>Final Regulations</w:t>
        </w:r>
      </w:hyperlink>
      <w:r w:rsidRPr="66F66544">
        <w:rPr>
          <w:rFonts w:asciiTheme="minorHAnsi" w:hAnsiTheme="minorHAnsi" w:cstheme="minorBidi"/>
        </w:rPr>
        <w:t xml:space="preserve"> published on October 31, 2025 (90 FR 48966), </w:t>
      </w:r>
      <w:r w:rsidRPr="66F66544" w:rsidR="00A74DF3">
        <w:rPr>
          <w:rFonts w:asciiTheme="minorHAnsi" w:hAnsiTheme="minorHAnsi" w:cstheme="minorBidi"/>
        </w:rPr>
        <w:t>34 CFR</w:t>
      </w:r>
      <w:r w:rsidRPr="66F66544">
        <w:rPr>
          <w:rFonts w:asciiTheme="minorHAnsi" w:hAnsiTheme="minorHAnsi" w:cstheme="minorBidi"/>
        </w:rPr>
        <w:t xml:space="preserve"> 685.219(i) require</w:t>
      </w:r>
      <w:r w:rsidR="00B52F9C">
        <w:rPr>
          <w:rFonts w:asciiTheme="minorHAnsi" w:hAnsiTheme="minorHAnsi" w:cstheme="minorBidi"/>
        </w:rPr>
        <w:t>d</w:t>
      </w:r>
      <w:r w:rsidRPr="66F66544">
        <w:rPr>
          <w:rFonts w:asciiTheme="minorHAnsi" w:hAnsiTheme="minorHAnsi" w:cstheme="minorBidi"/>
        </w:rPr>
        <w:t> an update to the approved Public Service Loan Forgiveness Certification and Application, OMB # 1845-0110</w:t>
      </w:r>
      <w:r w:rsidR="00E600FF">
        <w:rPr>
          <w:rFonts w:asciiTheme="minorHAnsi" w:hAnsiTheme="minorHAnsi" w:cstheme="minorBidi"/>
        </w:rPr>
        <w:t xml:space="preserve">. </w:t>
      </w:r>
      <w:r w:rsidR="00297377">
        <w:rPr>
          <w:rFonts w:asciiTheme="minorHAnsi" w:hAnsiTheme="minorHAnsi" w:cstheme="minorBidi"/>
        </w:rPr>
        <w:t>T</w:t>
      </w:r>
      <w:r w:rsidRPr="66F66544" w:rsidR="00D175F0">
        <w:rPr>
          <w:rFonts w:asciiTheme="minorHAnsi" w:hAnsiTheme="minorHAnsi" w:cstheme="minorBidi"/>
        </w:rPr>
        <w:t xml:space="preserve">o </w:t>
      </w:r>
      <w:r w:rsidRPr="66F66544">
        <w:rPr>
          <w:rFonts w:asciiTheme="minorHAnsi" w:hAnsiTheme="minorHAnsi" w:cstheme="minorBidi"/>
        </w:rPr>
        <w:t xml:space="preserve">comply with </w:t>
      </w:r>
      <w:r w:rsidRPr="66F66544" w:rsidR="00C96AF6">
        <w:rPr>
          <w:rFonts w:asciiTheme="minorHAnsi" w:hAnsiTheme="minorHAnsi" w:cstheme="minorBidi"/>
        </w:rPr>
        <w:t>E.O. 14325</w:t>
      </w:r>
      <w:r w:rsidRPr="66F66544" w:rsidR="00D175F0">
        <w:rPr>
          <w:rFonts w:asciiTheme="minorHAnsi" w:hAnsiTheme="minorHAnsi" w:cstheme="minorBidi"/>
        </w:rPr>
        <w:t xml:space="preserve">, </w:t>
      </w:r>
      <w:r w:rsidR="00976ECE">
        <w:rPr>
          <w:rFonts w:asciiTheme="minorHAnsi" w:hAnsiTheme="minorHAnsi" w:cstheme="minorBidi"/>
        </w:rPr>
        <w:t xml:space="preserve">a </w:t>
      </w:r>
      <w:r w:rsidR="00CE01BA">
        <w:rPr>
          <w:rFonts w:asciiTheme="minorHAnsi" w:hAnsiTheme="minorHAnsi" w:cstheme="minorBidi"/>
        </w:rPr>
        <w:t xml:space="preserve">revision to the form </w:t>
      </w:r>
      <w:r w:rsidR="004A1BFF">
        <w:rPr>
          <w:rFonts w:asciiTheme="minorHAnsi" w:hAnsiTheme="minorHAnsi" w:cstheme="minorBidi"/>
        </w:rPr>
        <w:t xml:space="preserve">was made to </w:t>
      </w:r>
      <w:r w:rsidR="00CE01BA">
        <w:rPr>
          <w:rFonts w:asciiTheme="minorHAnsi" w:hAnsiTheme="minorHAnsi" w:cstheme="minorBidi"/>
        </w:rPr>
        <w:t xml:space="preserve">include the addition of </w:t>
      </w:r>
      <w:r w:rsidRPr="66F66544">
        <w:rPr>
          <w:rFonts w:asciiTheme="minorHAnsi" w:hAnsiTheme="minorHAnsi" w:cstheme="minorBidi"/>
        </w:rPr>
        <w:t>an attestation</w:t>
      </w:r>
      <w:r w:rsidRPr="66F66544" w:rsidR="1B389B78">
        <w:rPr>
          <w:rFonts w:asciiTheme="minorHAnsi" w:hAnsiTheme="minorHAnsi" w:cstheme="minorBidi"/>
        </w:rPr>
        <w:t xml:space="preserve"> statement</w:t>
      </w:r>
      <w:r w:rsidRPr="66F66544">
        <w:rPr>
          <w:rFonts w:asciiTheme="minorHAnsi" w:hAnsiTheme="minorHAnsi" w:cstheme="minorBidi"/>
        </w:rPr>
        <w:t>, under penalty of perjury, that the employer has not engaged in any activity that has a substantial illegal purpose on or after July 1, 2026</w:t>
      </w:r>
      <w:r>
        <w:rPr>
          <w:rFonts w:asciiTheme="minorHAnsi" w:hAnsiTheme="minorHAnsi" w:cstheme="minorBidi"/>
        </w:rPr>
        <w:t>.</w:t>
      </w:r>
      <w:r w:rsidR="0038425C">
        <w:rPr>
          <w:rFonts w:asciiTheme="minorHAnsi" w:hAnsiTheme="minorHAnsi" w:cstheme="minorBidi"/>
        </w:rPr>
        <w:t xml:space="preserve"> We did not believe </w:t>
      </w:r>
      <w:r w:rsidR="005663B8">
        <w:rPr>
          <w:rFonts w:asciiTheme="minorHAnsi" w:hAnsiTheme="minorHAnsi" w:cstheme="minorBidi"/>
        </w:rPr>
        <w:t xml:space="preserve">the addition of </w:t>
      </w:r>
      <w:r w:rsidR="0038425C">
        <w:rPr>
          <w:rFonts w:asciiTheme="minorHAnsi" w:hAnsiTheme="minorHAnsi" w:cstheme="minorBidi"/>
        </w:rPr>
        <w:t xml:space="preserve">this attestation would change the burden of the completion of the form or the number of respondents. </w:t>
      </w:r>
    </w:p>
    <w:p w:rsidR="0038425C" w:rsidP="00AA7506" w14:paraId="4AC6B235" w14:textId="50CC9A5C">
      <w:pPr>
        <w:pStyle w:val="BodyText"/>
        <w:ind w:left="720"/>
        <w:rPr>
          <w:rFonts w:asciiTheme="minorHAnsi" w:hAnsiTheme="minorHAnsi" w:cstheme="minorBidi"/>
        </w:rPr>
      </w:pPr>
      <w:r>
        <w:rPr>
          <w:rFonts w:asciiTheme="minorHAnsi" w:hAnsiTheme="minorHAnsi" w:cstheme="minorBidi"/>
        </w:rPr>
        <w:t xml:space="preserve">On </w:t>
      </w:r>
      <w:r w:rsidR="00C31ED8">
        <w:rPr>
          <w:rFonts w:asciiTheme="minorHAnsi" w:hAnsiTheme="minorHAnsi" w:cstheme="minorBidi"/>
        </w:rPr>
        <w:t>Tuesday, June 30, 2026</w:t>
      </w:r>
      <w:r w:rsidR="004348C1">
        <w:rPr>
          <w:rFonts w:asciiTheme="minorHAnsi" w:hAnsiTheme="minorHAnsi" w:cstheme="minorBidi"/>
        </w:rPr>
        <w:t>,</w:t>
      </w:r>
      <w:r w:rsidR="00C31ED8">
        <w:rPr>
          <w:rFonts w:asciiTheme="minorHAnsi" w:hAnsiTheme="minorHAnsi" w:cstheme="minorBidi"/>
        </w:rPr>
        <w:t xml:space="preserve"> a</w:t>
      </w:r>
      <w:r w:rsidR="00323594">
        <w:rPr>
          <w:rFonts w:asciiTheme="minorHAnsi" w:hAnsiTheme="minorHAnsi" w:cstheme="minorBidi"/>
        </w:rPr>
        <w:t xml:space="preserve"> </w:t>
      </w:r>
      <w:r w:rsidR="00323594">
        <w:rPr>
          <w:rFonts w:asciiTheme="minorHAnsi" w:hAnsiTheme="minorHAnsi" w:cstheme="minorBidi"/>
        </w:rPr>
        <w:t>Federal</w:t>
      </w:r>
      <w:r w:rsidR="00C31ED8">
        <w:rPr>
          <w:rFonts w:asciiTheme="minorHAnsi" w:hAnsiTheme="minorHAnsi" w:cstheme="minorBidi"/>
        </w:rPr>
        <w:t xml:space="preserve"> judge vacated the </w:t>
      </w:r>
      <w:r w:rsidR="00A21676">
        <w:rPr>
          <w:rFonts w:asciiTheme="minorHAnsi" w:hAnsiTheme="minorHAnsi" w:cstheme="minorBidi"/>
        </w:rPr>
        <w:t>rule</w:t>
      </w:r>
      <w:r w:rsidR="00F81C51">
        <w:rPr>
          <w:rFonts w:asciiTheme="minorHAnsi" w:hAnsiTheme="minorHAnsi" w:cstheme="minorBidi"/>
        </w:rPr>
        <w:t>; one day prior to the rule becoming effective</w:t>
      </w:r>
      <w:r w:rsidR="00A21676">
        <w:rPr>
          <w:rFonts w:asciiTheme="minorHAnsi" w:hAnsiTheme="minorHAnsi" w:cstheme="minorBidi"/>
        </w:rPr>
        <w:t xml:space="preserve">. The Department is now removing the attestation </w:t>
      </w:r>
      <w:r w:rsidR="004348C1">
        <w:rPr>
          <w:rFonts w:asciiTheme="minorHAnsi" w:hAnsiTheme="minorHAnsi" w:cstheme="minorBidi"/>
        </w:rPr>
        <w:t xml:space="preserve">from the PSLF </w:t>
      </w:r>
      <w:r w:rsidR="004348C1">
        <w:rPr>
          <w:rFonts w:asciiTheme="minorHAnsi" w:hAnsiTheme="minorHAnsi" w:cstheme="minorBidi"/>
        </w:rPr>
        <w:t xml:space="preserve">form </w:t>
      </w:r>
      <w:r w:rsidR="00A21676">
        <w:rPr>
          <w:rFonts w:asciiTheme="minorHAnsi" w:hAnsiTheme="minorHAnsi" w:cstheme="minorBidi"/>
        </w:rPr>
        <w:t>in order to</w:t>
      </w:r>
      <w:r w:rsidR="00A21676">
        <w:rPr>
          <w:rFonts w:asciiTheme="minorHAnsi" w:hAnsiTheme="minorHAnsi" w:cstheme="minorBidi"/>
        </w:rPr>
        <w:t xml:space="preserve"> comply with the court order. </w:t>
      </w:r>
      <w:r w:rsidR="00FC22CA">
        <w:rPr>
          <w:rFonts w:asciiTheme="minorHAnsi" w:hAnsiTheme="minorHAnsi" w:cstheme="minorBidi"/>
        </w:rPr>
        <w:t xml:space="preserve">No other changes </w:t>
      </w:r>
      <w:r w:rsidR="00C96951">
        <w:rPr>
          <w:rFonts w:asciiTheme="minorHAnsi" w:hAnsiTheme="minorHAnsi" w:cstheme="minorBidi"/>
        </w:rPr>
        <w:t>have been made at this time.</w:t>
      </w:r>
    </w:p>
    <w:p w:rsidR="00AD381B" w:rsidP="00246834" w14:paraId="64280E5A" w14:textId="1E217C25">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w:t>
      </w:r>
      <w:r w:rsidR="008F3ECA">
        <w:rPr>
          <w:rFonts w:ascii="Times New Roman" w:hAnsi="Times New Roman"/>
          <w:b/>
          <w:szCs w:val="24"/>
        </w:rPr>
        <w:t xml:space="preserve"> </w:t>
      </w:r>
      <w:r w:rsidRPr="00AD381B">
        <w:rPr>
          <w:rFonts w:ascii="Times New Roman" w:hAnsi="Times New Roman"/>
          <w:b/>
          <w:szCs w:val="24"/>
        </w:rPr>
        <w:t>Except for a new collection, indicate the actual use the agency has made of the information received from the current collection.</w:t>
      </w:r>
    </w:p>
    <w:p w:rsidR="00AD381B" w:rsidP="00246834" w14:paraId="64280E5B" w14:textId="6D06EA58">
      <w:pPr>
        <w:suppressAutoHyphens/>
        <w:ind w:left="720"/>
        <w:rPr>
          <w:rFonts w:ascii="Times New Roman" w:hAnsi="Times New Roman"/>
          <w:szCs w:val="24"/>
        </w:rPr>
      </w:pPr>
    </w:p>
    <w:p w:rsidR="005F4E11" w:rsidRPr="000674B7" w:rsidP="004D7490" w14:paraId="3D59201D" w14:textId="31538F90">
      <w:pPr>
        <w:pStyle w:val="BodyText"/>
        <w:spacing w:line="0" w:lineRule="atLeast"/>
        <w:ind w:left="720"/>
        <w:rPr>
          <w:rFonts w:asciiTheme="minorHAnsi" w:hAnsiTheme="minorHAnsi" w:cstheme="minorHAnsi"/>
        </w:rPr>
      </w:pPr>
      <w:r w:rsidRPr="000674B7">
        <w:rPr>
          <w:rFonts w:asciiTheme="minorHAnsi" w:hAnsiTheme="minorHAnsi" w:cstheme="minorHAnsi"/>
        </w:rPr>
        <w:t>The Department and its Direct Loan Program servicers use the information collected on the consolidated Public Service Loan Forgiveness (PSLF) &amp; Temporary Expanded PSLF (TEPSLF) Certification &amp; Application form to determine whether a borrower has worked for a qualified employer during the certification period and whether payments made against a borrower’s outstanding Direct Loan balance were qualifying payments for the purpose of the PSLF program or TEPSLF program. </w:t>
      </w:r>
    </w:p>
    <w:p w:rsidR="00043C32" w:rsidRPr="00AD381B" w:rsidP="00246834"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46834" w14:paraId="64280E5E" w14:textId="77777777">
      <w:pPr>
        <w:pStyle w:val="ListParagraph"/>
        <w:tabs>
          <w:tab w:val="left" w:pos="-720"/>
        </w:tabs>
        <w:suppressAutoHyphens/>
        <w:contextualSpacing w:val="0"/>
        <w:rPr>
          <w:rFonts w:ascii="Times New Roman" w:hAnsi="Times New Roman"/>
          <w:szCs w:val="24"/>
        </w:rPr>
      </w:pPr>
    </w:p>
    <w:p w:rsidR="005436BC" w:rsidRPr="0069426E" w:rsidP="00945042" w14:paraId="48A8CAC7" w14:textId="308A394D">
      <w:pPr>
        <w:ind w:left="720"/>
        <w:rPr>
          <w:rFonts w:asciiTheme="minorHAnsi" w:hAnsiTheme="minorHAnsi" w:cstheme="minorHAnsi"/>
        </w:rPr>
      </w:pPr>
      <w:r w:rsidRPr="0069426E">
        <w:rPr>
          <w:rFonts w:asciiTheme="minorHAnsi" w:hAnsiTheme="minorHAnsi" w:cstheme="minorHAnsi"/>
        </w:rPr>
        <w:t>The</w:t>
      </w:r>
      <w:r w:rsidRPr="0069426E" w:rsidR="00C21975">
        <w:rPr>
          <w:rFonts w:asciiTheme="minorHAnsi" w:hAnsiTheme="minorHAnsi" w:cstheme="minorHAnsi"/>
        </w:rPr>
        <w:t xml:space="preserve"> PSLF form can</w:t>
      </w:r>
      <w:r w:rsidRPr="0069426E" w:rsidR="0022470E">
        <w:rPr>
          <w:rFonts w:asciiTheme="minorHAnsi" w:hAnsiTheme="minorHAnsi" w:cstheme="minorHAnsi"/>
        </w:rPr>
        <w:t xml:space="preserve"> be</w:t>
      </w:r>
      <w:r w:rsidRPr="0069426E">
        <w:rPr>
          <w:rFonts w:asciiTheme="minorHAnsi" w:hAnsiTheme="minorHAnsi" w:cstheme="minorHAnsi"/>
        </w:rPr>
        <w:t xml:space="preserve"> complet</w:t>
      </w:r>
      <w:r w:rsidRPr="0069426E" w:rsidR="0022470E">
        <w:rPr>
          <w:rFonts w:asciiTheme="minorHAnsi" w:hAnsiTheme="minorHAnsi" w:cstheme="minorHAnsi"/>
        </w:rPr>
        <w:t>ed</w:t>
      </w:r>
      <w:r w:rsidRPr="0069426E">
        <w:rPr>
          <w:rFonts w:asciiTheme="minorHAnsi" w:hAnsiTheme="minorHAnsi" w:cstheme="minorHAnsi"/>
        </w:rPr>
        <w:t xml:space="preserve"> </w:t>
      </w:r>
      <w:r w:rsidR="00905E6A">
        <w:rPr>
          <w:rFonts w:asciiTheme="minorHAnsi" w:hAnsiTheme="minorHAnsi" w:cstheme="minorHAnsi"/>
        </w:rPr>
        <w:t>and submitted online.</w:t>
      </w:r>
      <w:r w:rsidRPr="0069426E">
        <w:rPr>
          <w:rFonts w:asciiTheme="minorHAnsi" w:hAnsiTheme="minorHAnsi" w:cstheme="minorHAnsi"/>
        </w:rPr>
        <w:t> </w:t>
      </w:r>
      <w:r w:rsidR="004C69C7">
        <w:rPr>
          <w:rFonts w:asciiTheme="minorHAnsi" w:hAnsiTheme="minorHAnsi" w:cstheme="minorHAnsi"/>
        </w:rPr>
        <w:t>Employers have the option to use a digital signature</w:t>
      </w:r>
      <w:r w:rsidRPr="0069426E">
        <w:rPr>
          <w:rFonts w:asciiTheme="minorHAnsi" w:hAnsiTheme="minorHAnsi" w:cstheme="minorHAnsi"/>
        </w:rPr>
        <w:t xml:space="preserve">. If they do not request a digital signature, the pre-filled form is produced as a pdf that the borrower can upload through the </w:t>
      </w:r>
      <w:r w:rsidRPr="0069426E" w:rsidR="00484359">
        <w:rPr>
          <w:rFonts w:asciiTheme="minorHAnsi" w:hAnsiTheme="minorHAnsi" w:cstheme="minorHAnsi"/>
        </w:rPr>
        <w:t>loan</w:t>
      </w:r>
      <w:r w:rsidRPr="0069426E">
        <w:rPr>
          <w:rFonts w:asciiTheme="minorHAnsi" w:hAnsiTheme="minorHAnsi" w:cstheme="minorHAnsi"/>
        </w:rPr>
        <w:t xml:space="preserve"> servicer</w:t>
      </w:r>
      <w:r w:rsidRPr="0069426E" w:rsidR="00484359">
        <w:rPr>
          <w:rFonts w:asciiTheme="minorHAnsi" w:hAnsiTheme="minorHAnsi" w:cstheme="minorHAnsi"/>
        </w:rPr>
        <w:t>’s</w:t>
      </w:r>
      <w:r w:rsidRPr="0069426E">
        <w:rPr>
          <w:rFonts w:asciiTheme="minorHAnsi" w:hAnsiTheme="minorHAnsi" w:cstheme="minorHAnsi"/>
        </w:rPr>
        <w:t xml:space="preserve"> website. </w:t>
      </w:r>
    </w:p>
    <w:p w:rsidR="005436BC" w:rsidRPr="005436BC" w:rsidP="005436BC" w14:paraId="0E781448" w14:textId="77777777">
      <w:pPr>
        <w:pStyle w:val="ListParagraph"/>
        <w:tabs>
          <w:tab w:val="left" w:pos="-720"/>
        </w:tabs>
        <w:suppressAutoHyphens/>
        <w:rPr>
          <w:rFonts w:asciiTheme="minorHAnsi" w:hAnsiTheme="minorHAnsi" w:cstheme="minorHAnsi"/>
        </w:rPr>
      </w:pPr>
      <w:r w:rsidRPr="005436BC">
        <w:rPr>
          <w:rFonts w:asciiTheme="minorHAnsi" w:hAnsiTheme="minorHAnsi" w:cstheme="minorHAnsi"/>
        </w:rPr>
        <w:t> </w:t>
      </w:r>
    </w:p>
    <w:p w:rsidR="005436BC" w:rsidRPr="005436BC" w:rsidP="005436BC" w14:paraId="2FAEB56C" w14:textId="3674EFFB">
      <w:pPr>
        <w:pStyle w:val="ListParagraph"/>
        <w:tabs>
          <w:tab w:val="left" w:pos="-720"/>
        </w:tabs>
        <w:suppressAutoHyphens/>
        <w:rPr>
          <w:rFonts w:asciiTheme="minorHAnsi" w:hAnsiTheme="minorHAnsi" w:cstheme="minorHAnsi"/>
        </w:rPr>
      </w:pPr>
      <w:r w:rsidRPr="005436BC">
        <w:rPr>
          <w:rFonts w:asciiTheme="minorHAnsi" w:hAnsiTheme="minorHAnsi" w:cstheme="minorHAnsi"/>
        </w:rPr>
        <w:t xml:space="preserve">When a borrower uses the </w:t>
      </w:r>
      <w:r w:rsidR="00484359">
        <w:rPr>
          <w:rFonts w:asciiTheme="minorHAnsi" w:hAnsiTheme="minorHAnsi" w:cstheme="minorHAnsi"/>
        </w:rPr>
        <w:t>online</w:t>
      </w:r>
      <w:r w:rsidRPr="005436BC">
        <w:rPr>
          <w:rFonts w:asciiTheme="minorHAnsi" w:hAnsiTheme="minorHAnsi" w:cstheme="minorHAnsi"/>
        </w:rPr>
        <w:t xml:space="preserve"> form flow, their employer eligibility data is gathered and pre-populated on the form from the Department’s employer database. If an employer is not in the database, the borrower is notified and the form is not produced until an employer eligibility review has been performed. This reduces the instances of forms being produced with conflicting or incomplete data. </w:t>
      </w:r>
    </w:p>
    <w:p w:rsidR="008B02BB" w:rsidP="00246834" w14:paraId="7F676526" w14:textId="77777777">
      <w:pPr>
        <w:pStyle w:val="ListParagraph"/>
        <w:tabs>
          <w:tab w:val="left" w:pos="-720"/>
        </w:tabs>
        <w:suppressAutoHyphens/>
        <w:contextualSpacing w:val="0"/>
        <w:rPr>
          <w:rFonts w:ascii="Times New Roman" w:hAnsi="Times New Roman"/>
          <w:szCs w:val="24"/>
        </w:rPr>
      </w:pPr>
    </w:p>
    <w:p w:rsidR="00AD381B" w:rsidP="00246834" w14:paraId="64280E60" w14:textId="508325DC">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w:t>
      </w:r>
      <w:r w:rsidR="008F3ECA">
        <w:rPr>
          <w:rFonts w:ascii="Times New Roman" w:hAnsi="Times New Roman"/>
          <w:b/>
          <w:szCs w:val="24"/>
        </w:rPr>
        <w:t xml:space="preserve"> </w:t>
      </w:r>
      <w:r w:rsidRPr="00246FE9">
        <w:rPr>
          <w:rFonts w:ascii="Times New Roman" w:hAnsi="Times New Roman"/>
          <w:b/>
          <w:szCs w:val="24"/>
        </w:rPr>
        <w:t>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E909F4" w:rsidP="00246834" w14:paraId="7F868306" w14:textId="77777777">
      <w:pPr>
        <w:pStyle w:val="ListParagraph"/>
        <w:tabs>
          <w:tab w:val="left" w:pos="0"/>
        </w:tabs>
        <w:suppressAutoHyphens/>
        <w:rPr>
          <w:rFonts w:asciiTheme="minorHAnsi" w:hAnsiTheme="minorHAnsi" w:cstheme="minorHAnsi"/>
          <w:szCs w:val="24"/>
        </w:rPr>
      </w:pPr>
    </w:p>
    <w:p w:rsidR="00E909F4" w:rsidRPr="00CA59E3" w:rsidP="00246834" w14:paraId="366F65F5" w14:textId="742466BD">
      <w:pPr>
        <w:pStyle w:val="ListParagraph"/>
        <w:suppressAutoHyphens/>
        <w:rPr>
          <w:rFonts w:asciiTheme="minorHAnsi" w:hAnsiTheme="minorHAnsi" w:cstheme="minorBidi"/>
        </w:rPr>
      </w:pPr>
      <w:r w:rsidRPr="405E3D6C">
        <w:rPr>
          <w:rFonts w:asciiTheme="minorHAnsi" w:hAnsiTheme="minorHAnsi" w:cstheme="minorBidi"/>
        </w:rPr>
        <w:t xml:space="preserve">There is no similar information available from other sources that can be used for the purposes described </w:t>
      </w:r>
      <w:r w:rsidRPr="405E3D6C" w:rsidR="00922347">
        <w:rPr>
          <w:rFonts w:asciiTheme="minorHAnsi" w:hAnsiTheme="minorHAnsi" w:cstheme="minorBidi"/>
        </w:rPr>
        <w:t xml:space="preserve">in question 2. </w:t>
      </w:r>
    </w:p>
    <w:p w:rsidR="00043C32" w:rsidRPr="005F4E11" w:rsidP="00246834"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w:t>
      </w:r>
      <w:r w:rsidRPr="005F4E11">
        <w:rPr>
          <w:rFonts w:ascii="Times New Roman" w:hAnsi="Times New Roman"/>
          <w:b/>
          <w:szCs w:val="24"/>
        </w:rPr>
        <w:t>in its field; or (3) a small government jurisdiction, which is a government of a city, county, town, township, school district, or special district with a population of less than 50,000.</w:t>
      </w:r>
    </w:p>
    <w:p w:rsidR="00AD381B" w:rsidP="00246834" w14:paraId="64280E63" w14:textId="77777777">
      <w:pPr>
        <w:pStyle w:val="ListParagraph"/>
        <w:contextualSpacing w:val="0"/>
        <w:rPr>
          <w:rFonts w:ascii="Times New Roman" w:hAnsi="Times New Roman"/>
          <w:szCs w:val="24"/>
        </w:rPr>
      </w:pPr>
    </w:p>
    <w:p w:rsidR="00E909F4" w:rsidRPr="00CA59E3" w:rsidP="00246834" w14:paraId="19343F91" w14:textId="1523C866">
      <w:pPr>
        <w:pStyle w:val="ListParagraph"/>
        <w:tabs>
          <w:tab w:val="left" w:pos="720"/>
        </w:tabs>
        <w:suppressAutoHyphens/>
        <w:rPr>
          <w:rFonts w:asciiTheme="minorHAnsi" w:hAnsiTheme="minorHAnsi" w:cstheme="minorHAnsi"/>
        </w:rPr>
      </w:pPr>
      <w:r w:rsidRPr="00CA59E3">
        <w:rPr>
          <w:rFonts w:asciiTheme="minorHAnsi" w:hAnsiTheme="minorHAnsi" w:cstheme="minorHAnsi"/>
        </w:rPr>
        <w:t>No small businesses are affected by this information collection.</w:t>
      </w:r>
    </w:p>
    <w:p w:rsidR="00E909F4" w:rsidRPr="00E909F4" w:rsidP="00246834" w14:paraId="45F757BF" w14:textId="1E94F614">
      <w:pPr>
        <w:pStyle w:val="ListParagraph"/>
        <w:tabs>
          <w:tab w:val="left" w:pos="720"/>
        </w:tabs>
        <w:suppressAutoHyphens/>
        <w:rPr>
          <w:rFonts w:ascii="Times New Roman" w:hAnsi="Times New Roman"/>
        </w:rPr>
      </w:pPr>
    </w:p>
    <w:p w:rsidR="00043C32" w:rsidP="00246834"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246834" w14:paraId="3424297C" w14:textId="6A8F3E9A">
      <w:pPr>
        <w:tabs>
          <w:tab w:val="left" w:pos="-720"/>
        </w:tabs>
        <w:suppressAutoHyphens/>
        <w:ind w:left="720"/>
        <w:rPr>
          <w:rFonts w:ascii="Times New Roman" w:hAnsi="Times New Roman"/>
          <w:bCs/>
          <w:szCs w:val="24"/>
        </w:rPr>
      </w:pPr>
    </w:p>
    <w:p w:rsidR="00E909F4" w:rsidRPr="00412098" w:rsidP="149B9741" w14:paraId="2303F279" w14:textId="66729066">
      <w:pPr>
        <w:pStyle w:val="BodyText"/>
        <w:ind w:left="720"/>
        <w:rPr>
          <w:rFonts w:asciiTheme="minorAscii" w:hAnsiTheme="minorAscii" w:cstheme="minorAscii"/>
        </w:rPr>
      </w:pPr>
      <w:r w:rsidRPr="149B9741" w:rsidR="00F6772E">
        <w:rPr>
          <w:rFonts w:asciiTheme="minorAscii" w:hAnsiTheme="minorAscii" w:cstheme="minorAscii"/>
        </w:rPr>
        <w:t xml:space="preserve">Absent this </w:t>
      </w:r>
      <w:r w:rsidRPr="149B9741" w:rsidR="367C01C7">
        <w:rPr>
          <w:rFonts w:asciiTheme="minorAscii" w:hAnsiTheme="minorAscii" w:cstheme="minorAscii"/>
        </w:rPr>
        <w:t>collection of information</w:t>
      </w:r>
      <w:r w:rsidRPr="149B9741" w:rsidR="00F6772E">
        <w:rPr>
          <w:rFonts w:asciiTheme="minorAscii" w:hAnsiTheme="minorAscii" w:cstheme="minorAscii"/>
        </w:rPr>
        <w:t xml:space="preserve">, </w:t>
      </w:r>
      <w:r w:rsidRPr="149B9741" w:rsidR="296DC16A">
        <w:rPr>
          <w:rFonts w:asciiTheme="minorAscii" w:hAnsiTheme="minorAscii" w:cstheme="minorAscii"/>
        </w:rPr>
        <w:t>the</w:t>
      </w:r>
      <w:r w:rsidRPr="149B9741" w:rsidR="00F6772E">
        <w:rPr>
          <w:rFonts w:asciiTheme="minorAscii" w:hAnsiTheme="minorAscii" w:cstheme="minorAscii"/>
        </w:rPr>
        <w:t xml:space="preserve"> </w:t>
      </w:r>
      <w:r w:rsidRPr="149B9741" w:rsidR="646450AB">
        <w:rPr>
          <w:rFonts w:asciiTheme="minorAscii" w:hAnsiTheme="minorAscii" w:cstheme="minorAscii"/>
        </w:rPr>
        <w:t>Department</w:t>
      </w:r>
      <w:r w:rsidRPr="149B9741" w:rsidR="251E897E">
        <w:rPr>
          <w:rFonts w:asciiTheme="minorAscii" w:hAnsiTheme="minorAscii" w:cstheme="minorAscii"/>
        </w:rPr>
        <w:t xml:space="preserve"> </w:t>
      </w:r>
      <w:r w:rsidRPr="149B9741" w:rsidR="00F6772E">
        <w:rPr>
          <w:rFonts w:asciiTheme="minorAscii" w:hAnsiTheme="minorAscii" w:cstheme="minorAscii"/>
        </w:rPr>
        <w:t xml:space="preserve">would not have sufficient or </w:t>
      </w:r>
      <w:r w:rsidRPr="149B9741" w:rsidR="00F6772E">
        <w:rPr>
          <w:rFonts w:asciiTheme="minorAscii" w:hAnsiTheme="minorAscii" w:cstheme="minorAscii"/>
        </w:rPr>
        <w:t>accurate</w:t>
      </w:r>
      <w:r w:rsidRPr="149B9741" w:rsidR="00F6772E">
        <w:rPr>
          <w:rFonts w:asciiTheme="minorAscii" w:hAnsiTheme="minorAscii" w:cstheme="minorAscii"/>
        </w:rPr>
        <w:t xml:space="preserve"> information </w:t>
      </w:r>
      <w:r w:rsidRPr="149B9741" w:rsidR="00F6772E">
        <w:rPr>
          <w:rFonts w:asciiTheme="minorAscii" w:hAnsiTheme="minorAscii" w:cstheme="minorAscii"/>
        </w:rPr>
        <w:t>required</w:t>
      </w:r>
      <w:r w:rsidRPr="149B9741" w:rsidR="00F6772E">
        <w:rPr>
          <w:rFonts w:asciiTheme="minorAscii" w:hAnsiTheme="minorAscii" w:cstheme="minorAscii"/>
        </w:rPr>
        <w:t xml:space="preserve"> to make eligibility determinations for the</w:t>
      </w:r>
      <w:r w:rsidRPr="149B9741" w:rsidR="00FB49C6">
        <w:rPr>
          <w:rFonts w:asciiTheme="minorAscii" w:hAnsiTheme="minorAscii" w:cstheme="minorAscii"/>
        </w:rPr>
        <w:t xml:space="preserve"> opportunity </w:t>
      </w:r>
      <w:r w:rsidRPr="149B9741" w:rsidR="00F6772E">
        <w:rPr>
          <w:rFonts w:asciiTheme="minorAscii" w:hAnsiTheme="minorAscii" w:cstheme="minorAscii"/>
        </w:rPr>
        <w:t>authorized for these borrowers.</w:t>
      </w:r>
    </w:p>
    <w:p w:rsidR="00412098" w:rsidRPr="00412098" w:rsidP="00412098" w14:paraId="055F3052" w14:textId="34EE269B">
      <w:pPr>
        <w:pStyle w:val="BodyText"/>
        <w:ind w:left="720"/>
        <w:rPr>
          <w:rFonts w:asciiTheme="minorHAnsi" w:hAnsiTheme="minorHAnsi" w:cstheme="minorHAnsi"/>
        </w:rPr>
      </w:pPr>
      <w:r w:rsidRPr="00412098">
        <w:rPr>
          <w:rFonts w:asciiTheme="minorHAnsi" w:hAnsiTheme="minorHAnsi" w:cstheme="minorHAnsi"/>
        </w:rPr>
        <w:t>If borrowers were not allowed to submit employment certifications until after they have made all 120 required payments and are eligible to apply for loan forgiveness, there would be a greater likelihood that borrowers would be unable to obtain the required documentation of employment that ended years in the past, and it would be more difficult for them to track their progress toward making their 120</w:t>
      </w:r>
      <w:r w:rsidRPr="00412098">
        <w:rPr>
          <w:rFonts w:asciiTheme="minorHAnsi" w:hAnsiTheme="minorHAnsi" w:cstheme="minorHAnsi"/>
          <w:vertAlign w:val="superscript"/>
        </w:rPr>
        <w:t>th</w:t>
      </w:r>
      <w:r w:rsidRPr="00412098">
        <w:rPr>
          <w:rFonts w:asciiTheme="minorHAnsi" w:hAnsiTheme="minorHAnsi" w:cstheme="minorHAnsi"/>
        </w:rPr>
        <w:t> qualifying payment. </w:t>
      </w:r>
    </w:p>
    <w:p w:rsidR="00412098" w:rsidRPr="00412098" w:rsidP="00412098" w14:paraId="766CE0CE" w14:textId="7159E1B2">
      <w:pPr>
        <w:pStyle w:val="BodyText"/>
        <w:ind w:left="720"/>
        <w:rPr>
          <w:rFonts w:asciiTheme="minorHAnsi" w:hAnsiTheme="minorHAnsi" w:cstheme="minorHAnsi"/>
        </w:rPr>
      </w:pPr>
      <w:r w:rsidRPr="00412098">
        <w:rPr>
          <w:rFonts w:asciiTheme="minorHAnsi" w:hAnsiTheme="minorHAnsi" w:cstheme="minorHAnsi"/>
        </w:rPr>
        <w:t xml:space="preserve">Further, by soliciting the Employment Certification section of </w:t>
      </w:r>
      <w:r w:rsidRPr="00412098">
        <w:rPr>
          <w:rFonts w:asciiTheme="minorHAnsi" w:hAnsiTheme="minorHAnsi" w:cstheme="minorHAnsi"/>
        </w:rPr>
        <w:t>the application</w:t>
      </w:r>
      <w:r w:rsidRPr="00412098">
        <w:rPr>
          <w:rFonts w:asciiTheme="minorHAnsi" w:hAnsiTheme="minorHAnsi" w:cstheme="minorHAnsi"/>
        </w:rPr>
        <w:t xml:space="preserve"> less frequently, the Direct Loan servicers would receive </w:t>
      </w:r>
      <w:r w:rsidRPr="00412098">
        <w:rPr>
          <w:rFonts w:asciiTheme="minorHAnsi" w:hAnsiTheme="minorHAnsi" w:cstheme="minorHAnsi"/>
        </w:rPr>
        <w:t>a large number of</w:t>
      </w:r>
      <w:r w:rsidRPr="00412098">
        <w:rPr>
          <w:rFonts w:asciiTheme="minorHAnsi" w:hAnsiTheme="minorHAnsi" w:cstheme="minorHAnsi"/>
        </w:rPr>
        <w:t> forms at the same time, which would lead to delays in processing borrowers’ loan forgiveness applications. </w:t>
      </w:r>
    </w:p>
    <w:p w:rsidR="00412098" w:rsidRPr="00412098" w:rsidP="00412098" w14:paraId="7714557C" w14:textId="28A7B21C">
      <w:pPr>
        <w:pStyle w:val="BodyText"/>
        <w:ind w:left="720"/>
        <w:rPr>
          <w:rFonts w:asciiTheme="minorHAnsi" w:hAnsiTheme="minorHAnsi" w:cstheme="minorHAnsi"/>
        </w:rPr>
      </w:pPr>
      <w:r w:rsidRPr="00412098">
        <w:rPr>
          <w:rFonts w:asciiTheme="minorHAnsi" w:hAnsiTheme="minorHAnsi" w:cstheme="minorHAnsi"/>
        </w:rPr>
        <w:t>If the Department did not allow for Employment Certification section of the form to be submitted annually or more frequently, this would increase burden on borrowers and delay the Department’s determination of the borrower’s eligibility for Public Service Loan Forgiveness. </w:t>
      </w:r>
    </w:p>
    <w:p w:rsidR="005F4E11" w:rsidRPr="00262F47" w:rsidP="00262F47" w14:paraId="51872AEE" w14:textId="275BCEE7">
      <w:pPr>
        <w:pStyle w:val="BodyText"/>
        <w:ind w:left="720"/>
        <w:rPr>
          <w:rFonts w:asciiTheme="minorHAnsi" w:hAnsiTheme="minorHAnsi" w:cstheme="minorHAnsi"/>
        </w:rPr>
      </w:pPr>
      <w:r w:rsidRPr="00412098">
        <w:rPr>
          <w:rFonts w:asciiTheme="minorHAnsi" w:hAnsiTheme="minorHAnsi" w:cstheme="minorHAnsi"/>
        </w:rPr>
        <w:t>The Application section of the form, however, is submitted when the borrower believes that he or she qualifies for forgiveness and wants to request that forgiveness. If the borrower has not already done so, the borrower must submit Employment Certifications that cover the period or periods of time during which the borrower made the necessary payments. </w:t>
      </w:r>
    </w:p>
    <w:p w:rsidR="00043C32" w:rsidRPr="00AD381B" w:rsidP="00246834"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46834"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46834"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46834"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46834"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46834"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46834"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46834"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246834"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246834" w14:paraId="64280E77" w14:textId="77777777">
      <w:pPr>
        <w:pStyle w:val="ListParagraph"/>
        <w:rPr>
          <w:rFonts w:ascii="Times New Roman" w:hAnsi="Times New Roman"/>
          <w:bCs/>
          <w:szCs w:val="24"/>
        </w:rPr>
      </w:pPr>
    </w:p>
    <w:p w:rsidR="008B02BB" w:rsidRPr="00CA59E3" w:rsidP="00246834" w14:paraId="6DE98D94" w14:textId="41A28496">
      <w:pPr>
        <w:tabs>
          <w:tab w:val="left" w:pos="0"/>
        </w:tabs>
        <w:suppressAutoHyphens/>
        <w:ind w:left="720"/>
        <w:rPr>
          <w:rFonts w:asciiTheme="minorHAnsi" w:hAnsiTheme="minorHAnsi" w:cstheme="minorHAnsi"/>
        </w:rPr>
      </w:pPr>
      <w:r w:rsidRPr="00CA59E3">
        <w:rPr>
          <w:rFonts w:asciiTheme="minorHAnsi" w:hAnsiTheme="minorHAnsi" w:cstheme="minorHAnsi"/>
        </w:rPr>
        <w:t>This information collection does not involve any of the above conditions.</w:t>
      </w:r>
    </w:p>
    <w:p w:rsidR="005F4E11" w:rsidRPr="00AD381B" w:rsidP="00246834" w14:paraId="6109B5F4" w14:textId="77777777">
      <w:pPr>
        <w:tabs>
          <w:tab w:val="left" w:pos="-720"/>
        </w:tabs>
        <w:suppressAutoHyphens/>
        <w:rPr>
          <w:rFonts w:ascii="Times New Roman" w:hAnsi="Times New Roman"/>
          <w:szCs w:val="24"/>
        </w:rPr>
      </w:pPr>
    </w:p>
    <w:p w:rsidR="00D75313" w:rsidP="00246834"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246834"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246834" w14:paraId="64280E7B" w14:textId="37E30329">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008F3ECA">
        <w:rPr>
          <w:rFonts w:ascii="Times New Roman" w:hAnsi="Times New Roman"/>
          <w:b/>
          <w:szCs w:val="24"/>
        </w:rPr>
        <w:t xml:space="preserve"> </w:t>
      </w:r>
      <w:r w:rsidRPr="00AD381B">
        <w:rPr>
          <w:rFonts w:ascii="Times New Roman" w:hAnsi="Times New Roman"/>
          <w:b/>
          <w:szCs w:val="24"/>
        </w:rPr>
        <w:t xml:space="preserve">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w:t>
      </w:r>
      <w:r w:rsidR="008F3ECA">
        <w:rPr>
          <w:rFonts w:ascii="Times New Roman" w:hAnsi="Times New Roman"/>
          <w:b/>
          <w:szCs w:val="24"/>
        </w:rPr>
        <w:t xml:space="preserve"> </w:t>
      </w:r>
      <w:r w:rsidRPr="00AD381B">
        <w:rPr>
          <w:rFonts w:ascii="Times New Roman" w:hAnsi="Times New Roman"/>
          <w:b/>
          <w:szCs w:val="24"/>
        </w:rPr>
        <w:t>Specifically address comments received on cost and hour burden</w:t>
      </w:r>
      <w:r w:rsidRPr="00D75313">
        <w:rPr>
          <w:rFonts w:ascii="Times New Roman" w:hAnsi="Times New Roman"/>
          <w:b/>
          <w:szCs w:val="24"/>
        </w:rPr>
        <w:t>.</w:t>
      </w:r>
      <w:r w:rsidR="008F3ECA">
        <w:rPr>
          <w:rFonts w:ascii="Times New Roman" w:hAnsi="Times New Roman"/>
          <w:b/>
          <w:szCs w:val="24"/>
        </w:rPr>
        <w:t xml:space="preserve"> </w:t>
      </w:r>
      <w:r w:rsidRPr="00D75313" w:rsidR="007C0A4C">
        <w:rPr>
          <w:rFonts w:ascii="Times New Roman" w:hAnsi="Times New Roman"/>
          <w:b/>
          <w:szCs w:val="24"/>
        </w:rPr>
        <w:t xml:space="preserve">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46834"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246834"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246834"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46834" w14:paraId="64280E7F" w14:textId="77777777">
      <w:pPr>
        <w:tabs>
          <w:tab w:val="left" w:pos="-720"/>
        </w:tabs>
        <w:suppressAutoHyphens/>
        <w:rPr>
          <w:rStyle w:val="a"/>
          <w:rFonts w:ascii="Times New Roman" w:hAnsi="Times New Roman"/>
          <w:b/>
          <w:szCs w:val="24"/>
        </w:rPr>
      </w:pPr>
    </w:p>
    <w:p w:rsidR="00043C32" w:rsidP="00246834" w14:paraId="64280E80" w14:textId="7841829C">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8F3ECA">
        <w:rPr>
          <w:rStyle w:val="a"/>
          <w:rFonts w:ascii="Times New Roman" w:hAnsi="Times New Roman"/>
          <w:b/>
          <w:szCs w:val="24"/>
        </w:rPr>
        <w:t xml:space="preserve"> </w:t>
      </w:r>
      <w:r w:rsidRPr="00AD381B">
        <w:rPr>
          <w:rStyle w:val="a"/>
          <w:rFonts w:ascii="Times New Roman" w:hAnsi="Times New Roman"/>
          <w:b/>
          <w:szCs w:val="24"/>
        </w:rPr>
        <w:t>There may be circumstances that may preclude consultation in a specific situation.</w:t>
      </w:r>
      <w:r w:rsidR="008F3ECA">
        <w:rPr>
          <w:rStyle w:val="a"/>
          <w:rFonts w:ascii="Times New Roman" w:hAnsi="Times New Roman"/>
          <w:b/>
          <w:szCs w:val="24"/>
        </w:rPr>
        <w:t xml:space="preserve"> </w:t>
      </w:r>
      <w:r w:rsidRPr="00AD381B">
        <w:rPr>
          <w:rStyle w:val="a"/>
          <w:rFonts w:ascii="Times New Roman" w:hAnsi="Times New Roman"/>
          <w:b/>
          <w:szCs w:val="24"/>
        </w:rPr>
        <w:t>These circumstances should be explained.</w:t>
      </w:r>
    </w:p>
    <w:p w:rsidR="00AD381B" w:rsidRPr="005F4E11" w:rsidP="00246834" w14:paraId="64280E81" w14:textId="77777777">
      <w:pPr>
        <w:tabs>
          <w:tab w:val="left" w:pos="-720"/>
        </w:tabs>
        <w:suppressAutoHyphens/>
        <w:ind w:left="720"/>
        <w:rPr>
          <w:rFonts w:ascii="Times New Roman" w:hAnsi="Times New Roman"/>
          <w:bCs/>
          <w:szCs w:val="24"/>
        </w:rPr>
      </w:pPr>
    </w:p>
    <w:p w:rsidR="00587A55" w:rsidRPr="009557B8" w:rsidP="3B350298" w14:paraId="5EF23232" w14:textId="63296C18">
      <w:pPr>
        <w:suppressAutoHyphens/>
        <w:ind w:left="720"/>
        <w:rPr>
          <w:rFonts w:asciiTheme="minorHAnsi" w:hAnsiTheme="minorHAnsi" w:cstheme="minorBidi"/>
        </w:rPr>
      </w:pPr>
      <w:r w:rsidRPr="3B350298">
        <w:rPr>
          <w:rFonts w:asciiTheme="minorHAnsi" w:hAnsiTheme="minorHAnsi" w:cstheme="minorBidi"/>
        </w:rPr>
        <w:t>This is a request for</w:t>
      </w:r>
      <w:r w:rsidRPr="3B350298" w:rsidR="0A114561">
        <w:rPr>
          <w:rFonts w:asciiTheme="minorHAnsi" w:hAnsiTheme="minorHAnsi" w:cstheme="minorBidi"/>
        </w:rPr>
        <w:t xml:space="preserve"> </w:t>
      </w:r>
      <w:r w:rsidRPr="3B350298">
        <w:rPr>
          <w:rFonts w:asciiTheme="minorHAnsi" w:hAnsiTheme="minorHAnsi" w:cstheme="minorBidi"/>
        </w:rPr>
        <w:t xml:space="preserve">emergency </w:t>
      </w:r>
      <w:r w:rsidRPr="3B350298" w:rsidR="2720EE20">
        <w:rPr>
          <w:rFonts w:asciiTheme="minorHAnsi" w:hAnsiTheme="minorHAnsi" w:cstheme="minorBidi"/>
        </w:rPr>
        <w:t>processing</w:t>
      </w:r>
      <w:r w:rsidRPr="3B350298" w:rsidR="414510B9">
        <w:rPr>
          <w:rFonts w:asciiTheme="minorHAnsi" w:hAnsiTheme="minorHAnsi" w:cstheme="minorBidi"/>
        </w:rPr>
        <w:t xml:space="preserve"> and approval of this collection for </w:t>
      </w:r>
      <w:r w:rsidR="00390529">
        <w:rPr>
          <w:rFonts w:asciiTheme="minorHAnsi" w:hAnsiTheme="minorHAnsi" w:cstheme="minorBidi"/>
        </w:rPr>
        <w:t>six</w:t>
      </w:r>
      <w:r w:rsidRPr="3B350298" w:rsidR="414510B9">
        <w:rPr>
          <w:rFonts w:asciiTheme="minorHAnsi" w:hAnsiTheme="minorHAnsi" w:cstheme="minorBidi"/>
        </w:rPr>
        <w:t xml:space="preserve"> months</w:t>
      </w:r>
      <w:r w:rsidR="00390529">
        <w:rPr>
          <w:rFonts w:asciiTheme="minorHAnsi" w:hAnsiTheme="minorHAnsi" w:cstheme="minorBidi"/>
        </w:rPr>
        <w:t xml:space="preserve"> </w:t>
      </w:r>
      <w:r w:rsidRPr="3B350298" w:rsidR="1F756C33">
        <w:rPr>
          <w:rFonts w:asciiTheme="minorHAnsi" w:hAnsiTheme="minorHAnsi" w:cstheme="minorBidi"/>
        </w:rPr>
        <w:t>to</w:t>
      </w:r>
      <w:r w:rsidRPr="3B350298">
        <w:rPr>
          <w:rFonts w:asciiTheme="minorHAnsi" w:hAnsiTheme="minorHAnsi" w:cstheme="minorBidi"/>
        </w:rPr>
        <w:t xml:space="preserve"> allow the Department to collect information from borrowers to determine eligibility for </w:t>
      </w:r>
      <w:r w:rsidRPr="3B350298" w:rsidR="69C1ED3A">
        <w:rPr>
          <w:rFonts w:asciiTheme="minorHAnsi" w:hAnsiTheme="minorHAnsi" w:cstheme="minorBidi"/>
        </w:rPr>
        <w:t>PSLF</w:t>
      </w:r>
      <w:r w:rsidRPr="3B350298" w:rsidR="1F756C33">
        <w:rPr>
          <w:rFonts w:asciiTheme="minorHAnsi" w:hAnsiTheme="minorHAnsi" w:cstheme="minorBidi"/>
        </w:rPr>
        <w:t xml:space="preserve"> and comply with the </w:t>
      </w:r>
      <w:r w:rsidRPr="3B350298" w:rsidR="1EFFBC15">
        <w:rPr>
          <w:rFonts w:asciiTheme="minorHAnsi" w:hAnsiTheme="minorHAnsi" w:cstheme="minorBidi"/>
        </w:rPr>
        <w:t>court ruling</w:t>
      </w:r>
    </w:p>
    <w:p w:rsidR="00587A55" w:rsidP="40781E01" w14:paraId="238244C6" w14:textId="77777777">
      <w:pPr>
        <w:suppressAutoHyphens/>
        <w:ind w:left="720"/>
        <w:rPr>
          <w:rFonts w:asciiTheme="minorHAnsi" w:hAnsiTheme="minorHAnsi" w:cstheme="minorBidi"/>
        </w:rPr>
      </w:pPr>
    </w:p>
    <w:p w:rsidR="00786C87" w:rsidP="1E81EF75" w14:paraId="5A9A92D1" w14:textId="3F584266">
      <w:pPr>
        <w:suppressAutoHyphens/>
        <w:ind w:left="720"/>
        <w:rPr>
          <w:rFonts w:asciiTheme="minorHAnsi" w:hAnsiTheme="minorHAnsi" w:cstheme="minorBidi"/>
        </w:rPr>
      </w:pPr>
      <w:r w:rsidRPr="1E81EF75">
        <w:rPr>
          <w:rFonts w:asciiTheme="minorHAnsi" w:hAnsiTheme="minorHAnsi" w:cstheme="minorBidi"/>
        </w:rPr>
        <w:t xml:space="preserve">The Department also </w:t>
      </w:r>
      <w:r w:rsidRPr="1E81EF75" w:rsidR="00FE4AF5">
        <w:rPr>
          <w:rFonts w:asciiTheme="minorHAnsi" w:hAnsiTheme="minorHAnsi" w:cstheme="minorBidi"/>
        </w:rPr>
        <w:t>requests to open</w:t>
      </w:r>
      <w:r w:rsidRPr="1E81EF75">
        <w:rPr>
          <w:rFonts w:asciiTheme="minorHAnsi" w:hAnsiTheme="minorHAnsi" w:cstheme="minorBidi"/>
        </w:rPr>
        <w:t xml:space="preserve"> the 60-day public comment period for this collection</w:t>
      </w:r>
      <w:r w:rsidR="00FD2361">
        <w:rPr>
          <w:rFonts w:asciiTheme="minorHAnsi" w:hAnsiTheme="minorHAnsi" w:cstheme="minorBidi"/>
        </w:rPr>
        <w:t xml:space="preserve"> upon approval of the emergency</w:t>
      </w:r>
      <w:r w:rsidRPr="1E81EF75">
        <w:rPr>
          <w:rFonts w:asciiTheme="minorHAnsi" w:hAnsiTheme="minorHAnsi" w:cstheme="minorBidi"/>
        </w:rPr>
        <w:t xml:space="preserve">. </w:t>
      </w:r>
      <w:r w:rsidRPr="1E81EF75" w:rsidR="007D1684">
        <w:rPr>
          <w:rFonts w:asciiTheme="minorHAnsi" w:hAnsiTheme="minorHAnsi" w:cstheme="minorBidi"/>
        </w:rPr>
        <w:t xml:space="preserve">The 60-day public comment period will be </w:t>
      </w:r>
      <w:r w:rsidRPr="1E81EF75" w:rsidR="007D1684">
        <w:rPr>
          <w:rFonts w:asciiTheme="minorHAnsi" w:hAnsiTheme="minorHAnsi" w:cstheme="minorBidi"/>
        </w:rPr>
        <w:t xml:space="preserve">followed by a 30-day public comment period </w:t>
      </w:r>
      <w:r w:rsidRPr="1E81EF75" w:rsidR="007D1684">
        <w:rPr>
          <w:rFonts w:asciiTheme="minorHAnsi" w:hAnsiTheme="minorHAnsi" w:cstheme="minorBidi"/>
        </w:rPr>
        <w:t xml:space="preserve">in order </w:t>
      </w:r>
      <w:r w:rsidRPr="1E81EF75" w:rsidR="00733668">
        <w:rPr>
          <w:rFonts w:asciiTheme="minorHAnsi" w:hAnsiTheme="minorHAnsi" w:cstheme="minorBidi"/>
        </w:rPr>
        <w:t>to</w:t>
      </w:r>
      <w:r w:rsidRPr="1E81EF75" w:rsidR="00733668">
        <w:rPr>
          <w:rFonts w:asciiTheme="minorHAnsi" w:hAnsiTheme="minorHAnsi" w:cstheme="minorBidi"/>
        </w:rPr>
        <w:t xml:space="preserve"> receive</w:t>
      </w:r>
      <w:r w:rsidRPr="1E81EF75" w:rsidR="00EF7FE6">
        <w:rPr>
          <w:rFonts w:asciiTheme="minorHAnsi" w:hAnsiTheme="minorHAnsi" w:cstheme="minorBidi"/>
        </w:rPr>
        <w:t xml:space="preserve"> full OMB</w:t>
      </w:r>
      <w:r w:rsidRPr="1E81EF75" w:rsidR="00733668">
        <w:rPr>
          <w:rFonts w:asciiTheme="minorHAnsi" w:hAnsiTheme="minorHAnsi" w:cstheme="minorBidi"/>
        </w:rPr>
        <w:t xml:space="preserve"> approval of the collection</w:t>
      </w:r>
      <w:r w:rsidRPr="1E81EF75" w:rsidR="00EF7FE6">
        <w:rPr>
          <w:rFonts w:asciiTheme="minorHAnsi" w:hAnsiTheme="minorHAnsi" w:cstheme="minorBidi"/>
        </w:rPr>
        <w:t xml:space="preserve"> so the form can continue being used</w:t>
      </w:r>
      <w:r w:rsidRPr="1E81EF75" w:rsidR="00733668">
        <w:rPr>
          <w:rFonts w:asciiTheme="minorHAnsi" w:hAnsiTheme="minorHAnsi" w:cstheme="minorBidi"/>
        </w:rPr>
        <w:t xml:space="preserve"> after the emergency 6</w:t>
      </w:r>
      <w:r w:rsidRPr="1E81EF75" w:rsidR="7BD80C9C">
        <w:rPr>
          <w:rFonts w:asciiTheme="minorHAnsi" w:hAnsiTheme="minorHAnsi" w:cstheme="minorBidi"/>
        </w:rPr>
        <w:t>-</w:t>
      </w:r>
      <w:r w:rsidRPr="1E81EF75" w:rsidR="00733668">
        <w:rPr>
          <w:rFonts w:asciiTheme="minorHAnsi" w:hAnsiTheme="minorHAnsi" w:cstheme="minorBidi"/>
        </w:rPr>
        <w:t>month</w:t>
      </w:r>
      <w:r w:rsidRPr="1E81EF75" w:rsidR="00DA402D">
        <w:rPr>
          <w:rFonts w:asciiTheme="minorHAnsi" w:hAnsiTheme="minorHAnsi" w:cstheme="minorBidi"/>
        </w:rPr>
        <w:t xml:space="preserve"> approval period expires.</w:t>
      </w:r>
    </w:p>
    <w:p w:rsidR="008B02BB" w:rsidRPr="00CA59E3" w:rsidP="00246834" w14:paraId="6C968E5D" w14:textId="74E75F96">
      <w:pPr>
        <w:tabs>
          <w:tab w:val="left" w:pos="-720"/>
        </w:tabs>
        <w:suppressAutoHyphens/>
        <w:ind w:left="720"/>
        <w:rPr>
          <w:rFonts w:asciiTheme="minorHAnsi" w:hAnsiTheme="minorHAnsi" w:cstheme="minorHAnsi"/>
        </w:rPr>
      </w:pPr>
    </w:p>
    <w:p w:rsidR="00E66550" w:rsidRPr="005F4E11" w:rsidP="00EE5F59" w14:paraId="64280E82" w14:textId="4B36D2A0">
      <w:pPr>
        <w:tabs>
          <w:tab w:val="left" w:pos="-720"/>
        </w:tabs>
        <w:suppressAutoHyphens/>
        <w:rPr>
          <w:rFonts w:asciiTheme="minorHAnsi" w:hAnsiTheme="minorHAnsi" w:cstheme="minorHAnsi"/>
          <w:szCs w:val="24"/>
        </w:rPr>
      </w:pPr>
    </w:p>
    <w:p w:rsidR="00043C32" w:rsidP="00246834"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46834" w14:paraId="64280E84" w14:textId="0EDE5511">
      <w:pPr>
        <w:pStyle w:val="ListParagraph"/>
        <w:tabs>
          <w:tab w:val="left" w:pos="-720"/>
        </w:tabs>
        <w:suppressAutoHyphens/>
        <w:contextualSpacing w:val="0"/>
        <w:rPr>
          <w:rFonts w:ascii="Times New Roman" w:hAnsi="Times New Roman"/>
          <w:bCs/>
          <w:szCs w:val="24"/>
        </w:rPr>
      </w:pPr>
    </w:p>
    <w:p w:rsidR="008B02BB" w:rsidRPr="00CA59E3" w:rsidP="00246834" w14:paraId="1E8C5854" w14:textId="20A52E8F">
      <w:pPr>
        <w:tabs>
          <w:tab w:val="left" w:pos="0"/>
        </w:tabs>
        <w:suppressAutoHyphens/>
        <w:ind w:left="720"/>
        <w:rPr>
          <w:rFonts w:asciiTheme="minorHAnsi" w:hAnsiTheme="minorHAnsi" w:cstheme="minorHAnsi"/>
        </w:rPr>
      </w:pPr>
      <w:r w:rsidRPr="00CA59E3">
        <w:rPr>
          <w:rFonts w:asciiTheme="minorHAnsi" w:hAnsiTheme="minorHAnsi" w:cstheme="minorHAnsi"/>
        </w:rPr>
        <w:t>No payments or gifts have been provided to respondents.</w:t>
      </w:r>
    </w:p>
    <w:p w:rsidR="00920F63" w:rsidRPr="005F4E11" w:rsidP="00246834" w14:paraId="64280E85" w14:textId="77777777">
      <w:pPr>
        <w:pStyle w:val="ListParagraph"/>
        <w:tabs>
          <w:tab w:val="left" w:pos="-720"/>
        </w:tabs>
        <w:suppressAutoHyphens/>
        <w:contextualSpacing w:val="0"/>
        <w:rPr>
          <w:rFonts w:ascii="Times New Roman" w:hAnsi="Times New Roman"/>
          <w:bCs/>
          <w:szCs w:val="24"/>
        </w:rPr>
      </w:pPr>
    </w:p>
    <w:p w:rsidR="00043C32" w:rsidRPr="00D75313" w:rsidP="00246834"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46834" w14:paraId="64280E87" w14:textId="08ED8571">
      <w:pPr>
        <w:tabs>
          <w:tab w:val="left" w:pos="-720"/>
        </w:tabs>
        <w:suppressAutoHyphens/>
        <w:ind w:left="720"/>
        <w:rPr>
          <w:rFonts w:ascii="Times New Roman" w:hAnsi="Times New Roman"/>
          <w:bCs/>
          <w:szCs w:val="24"/>
        </w:rPr>
      </w:pPr>
    </w:p>
    <w:p w:rsidR="008B02BB" w:rsidRPr="00CA59E3" w:rsidP="00246834" w14:paraId="7E15020B" w14:textId="6A82FADB">
      <w:pPr>
        <w:tabs>
          <w:tab w:val="left" w:pos="0"/>
        </w:tabs>
        <w:suppressAutoHyphens/>
        <w:ind w:left="720"/>
        <w:rPr>
          <w:rFonts w:asciiTheme="minorHAnsi" w:hAnsiTheme="minorHAnsi" w:cstheme="minorHAnsi"/>
        </w:rPr>
      </w:pPr>
      <w:r w:rsidRPr="00CA59E3">
        <w:rPr>
          <w:rFonts w:asciiTheme="minorHAnsi" w:hAnsiTheme="minorHAnsi" w:cstheme="minorHAnsi"/>
        </w:rPr>
        <w:t xml:space="preserve">The collection will include a Privacy Act </w:t>
      </w:r>
      <w:r w:rsidR="00681F63">
        <w:rPr>
          <w:rFonts w:asciiTheme="minorHAnsi" w:hAnsiTheme="minorHAnsi" w:cstheme="minorHAnsi"/>
        </w:rPr>
        <w:t>Statement</w:t>
      </w:r>
      <w:r w:rsidRPr="00CA59E3">
        <w:rPr>
          <w:rFonts w:asciiTheme="minorHAnsi" w:hAnsiTheme="minorHAnsi" w:cstheme="minorHAnsi"/>
        </w:rPr>
        <w:t xml:space="preserve"> that (1) informs borrowers of the statutory authority for the information collection; (2) explains that the disclosure of the information is required in order to qualify for loan forgiveness</w:t>
      </w:r>
      <w:r w:rsidR="002E5E5A">
        <w:rPr>
          <w:rFonts w:asciiTheme="minorHAnsi" w:hAnsiTheme="minorHAnsi" w:cstheme="minorHAnsi"/>
        </w:rPr>
        <w:t xml:space="preserve"> and the general servicing of federally-held loans</w:t>
      </w:r>
      <w:r w:rsidRPr="00CA59E3">
        <w:rPr>
          <w:rFonts w:asciiTheme="minorHAnsi" w:hAnsiTheme="minorHAnsi" w:cstheme="minorHAnsi"/>
        </w:rPr>
        <w:t xml:space="preserve">; and (3) </w:t>
      </w:r>
      <w:r w:rsidR="00F53A27">
        <w:rPr>
          <w:rFonts w:asciiTheme="minorHAnsi" w:hAnsiTheme="minorHAnsi" w:cstheme="minorHAnsi"/>
        </w:rPr>
        <w:t>explains</w:t>
      </w:r>
      <w:r w:rsidR="00D6033C">
        <w:rPr>
          <w:rFonts w:asciiTheme="minorHAnsi" w:hAnsiTheme="minorHAnsi" w:cstheme="minorHAnsi"/>
        </w:rPr>
        <w:t xml:space="preserve"> </w:t>
      </w:r>
      <w:r w:rsidR="00E6430E">
        <w:rPr>
          <w:rFonts w:asciiTheme="minorHAnsi" w:hAnsiTheme="minorHAnsi" w:cstheme="minorHAnsi"/>
        </w:rPr>
        <w:t xml:space="preserve">that </w:t>
      </w:r>
      <w:r w:rsidR="007C2809">
        <w:rPr>
          <w:rFonts w:asciiTheme="minorHAnsi" w:hAnsiTheme="minorHAnsi" w:cstheme="minorHAnsi"/>
        </w:rPr>
        <w:t xml:space="preserve">further </w:t>
      </w:r>
      <w:r w:rsidR="00E6430E">
        <w:rPr>
          <w:rFonts w:asciiTheme="minorHAnsi" w:hAnsiTheme="minorHAnsi" w:cstheme="minorHAnsi"/>
        </w:rPr>
        <w:t>disclosure will</w:t>
      </w:r>
      <w:r w:rsidR="0051331E">
        <w:rPr>
          <w:rFonts w:asciiTheme="minorHAnsi" w:hAnsiTheme="minorHAnsi" w:cstheme="minorHAnsi"/>
        </w:rPr>
        <w:t xml:space="preserve"> only</w:t>
      </w:r>
      <w:r w:rsidR="00E6430E">
        <w:rPr>
          <w:rFonts w:asciiTheme="minorHAnsi" w:hAnsiTheme="minorHAnsi" w:cstheme="minorHAnsi"/>
        </w:rPr>
        <w:t xml:space="preserve"> occur with</w:t>
      </w:r>
      <w:r w:rsidR="0051331E">
        <w:rPr>
          <w:rFonts w:asciiTheme="minorHAnsi" w:hAnsiTheme="minorHAnsi" w:cstheme="minorHAnsi"/>
        </w:rPr>
        <w:t xml:space="preserve"> the</w:t>
      </w:r>
      <w:r w:rsidR="00E6430E">
        <w:rPr>
          <w:rFonts w:asciiTheme="minorHAnsi" w:hAnsiTheme="minorHAnsi" w:cstheme="minorHAnsi"/>
        </w:rPr>
        <w:t xml:space="preserve"> prior written consent of the borrower or under</w:t>
      </w:r>
      <w:r w:rsidRPr="00CA59E3">
        <w:rPr>
          <w:rFonts w:asciiTheme="minorHAnsi" w:hAnsiTheme="minorHAnsi" w:cstheme="minorHAnsi"/>
        </w:rPr>
        <w:t xml:space="preserve"> the </w:t>
      </w:r>
      <w:r w:rsidR="000534E3">
        <w:rPr>
          <w:rFonts w:asciiTheme="minorHAnsi" w:hAnsiTheme="minorHAnsi" w:cstheme="minorHAnsi"/>
        </w:rPr>
        <w:t>routine uses</w:t>
      </w:r>
      <w:r w:rsidR="00D631E4">
        <w:rPr>
          <w:rFonts w:asciiTheme="minorHAnsi" w:hAnsiTheme="minorHAnsi" w:cstheme="minorHAnsi"/>
        </w:rPr>
        <w:t xml:space="preserve"> for which the information</w:t>
      </w:r>
      <w:r w:rsidRPr="00CA59E3">
        <w:rPr>
          <w:rFonts w:asciiTheme="minorHAnsi" w:hAnsiTheme="minorHAnsi" w:cstheme="minorHAnsi"/>
        </w:rPr>
        <w:t xml:space="preserve"> may be disclosed</w:t>
      </w:r>
      <w:r w:rsidR="0051331E">
        <w:rPr>
          <w:rFonts w:asciiTheme="minorHAnsi" w:hAnsiTheme="minorHAnsi" w:cstheme="minorHAnsi"/>
        </w:rPr>
        <w:t>,</w:t>
      </w:r>
      <w:r w:rsidRPr="00CA59E3">
        <w:rPr>
          <w:rFonts w:asciiTheme="minorHAnsi" w:hAnsiTheme="minorHAnsi" w:cstheme="minorHAnsi"/>
        </w:rPr>
        <w:t xml:space="preserve"> and </w:t>
      </w:r>
      <w:r w:rsidR="00F53A27">
        <w:rPr>
          <w:rFonts w:asciiTheme="minorHAnsi" w:hAnsiTheme="minorHAnsi" w:cstheme="minorHAnsi"/>
        </w:rPr>
        <w:t>identifies</w:t>
      </w:r>
      <w:r w:rsidRPr="00CA59E3">
        <w:rPr>
          <w:rFonts w:asciiTheme="minorHAnsi" w:hAnsiTheme="minorHAnsi" w:cstheme="minorHAnsi"/>
        </w:rPr>
        <w:t xml:space="preserve"> the circumstances under which those disclosures may occur.</w:t>
      </w:r>
      <w:r w:rsidR="008F3ECA">
        <w:rPr>
          <w:rFonts w:asciiTheme="minorHAnsi" w:hAnsiTheme="minorHAnsi" w:cstheme="minorHAnsi"/>
        </w:rPr>
        <w:t xml:space="preserve"> </w:t>
      </w:r>
      <w:r w:rsidR="00BC5558">
        <w:rPr>
          <w:rFonts w:asciiTheme="minorHAnsi" w:hAnsiTheme="minorHAnsi" w:cstheme="minorHAnsi"/>
        </w:rPr>
        <w:t>The information will be held within the System of Records Notice,</w:t>
      </w:r>
      <w:r w:rsidR="00C94638">
        <w:rPr>
          <w:rFonts w:asciiTheme="minorHAnsi" w:hAnsiTheme="minorHAnsi" w:cstheme="minorHAnsi"/>
        </w:rPr>
        <w:t xml:space="preserve"> entitled “</w:t>
      </w:r>
      <w:r w:rsidR="00BC5558">
        <w:rPr>
          <w:rFonts w:asciiTheme="minorHAnsi" w:hAnsiTheme="minorHAnsi" w:cstheme="minorHAnsi"/>
        </w:rPr>
        <w:t>Common Services for Borrowers</w:t>
      </w:r>
      <w:r w:rsidR="00C94638">
        <w:rPr>
          <w:rFonts w:asciiTheme="minorHAnsi" w:hAnsiTheme="minorHAnsi" w:cstheme="minorHAnsi"/>
        </w:rPr>
        <w:t xml:space="preserve"> (CSB)”</w:t>
      </w:r>
      <w:r w:rsidR="002324F7">
        <w:rPr>
          <w:rFonts w:asciiTheme="minorHAnsi" w:hAnsiTheme="minorHAnsi" w:cstheme="minorHAnsi"/>
        </w:rPr>
        <w:t xml:space="preserve"> (18-11-16)</w:t>
      </w:r>
      <w:r w:rsidR="002F118F">
        <w:rPr>
          <w:rFonts w:asciiTheme="minorHAnsi" w:hAnsiTheme="minorHAnsi" w:cstheme="minorHAnsi"/>
        </w:rPr>
        <w:t xml:space="preserve">, </w:t>
      </w:r>
      <w:r w:rsidR="00E77F2B">
        <w:rPr>
          <w:rFonts w:asciiTheme="minorHAnsi" w:hAnsiTheme="minorHAnsi" w:cstheme="minorHAnsi"/>
        </w:rPr>
        <w:t xml:space="preserve">as published in the Federal Register on </w:t>
      </w:r>
      <w:r w:rsidR="00C94638">
        <w:rPr>
          <w:rFonts w:asciiTheme="minorHAnsi" w:hAnsiTheme="minorHAnsi" w:cstheme="minorHAnsi"/>
        </w:rPr>
        <w:t>04/22/26.</w:t>
      </w:r>
    </w:p>
    <w:p w:rsidR="00116DEF" w:rsidP="00246834" w14:paraId="0910D809" w14:textId="663C7861">
      <w:pPr>
        <w:tabs>
          <w:tab w:val="left" w:pos="0"/>
        </w:tabs>
        <w:suppressAutoHyphens/>
        <w:ind w:left="720"/>
        <w:rPr>
          <w:rFonts w:ascii="Times New Roman" w:hAnsi="Times New Roman"/>
        </w:rPr>
      </w:pPr>
    </w:p>
    <w:p w:rsidR="00043C32" w:rsidP="00246834" w14:paraId="64280E89" w14:textId="5AE3AB75">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8F3ECA">
        <w:rPr>
          <w:rFonts w:ascii="Times New Roman" w:hAnsi="Times New Roman"/>
          <w:b/>
          <w:szCs w:val="24"/>
        </w:rPr>
        <w:t xml:space="preserve"> </w:t>
      </w:r>
      <w:r w:rsidRPr="00920F63">
        <w:rPr>
          <w:rFonts w:ascii="Times New Roman" w:hAnsi="Times New Roman"/>
          <w:b/>
          <w:szCs w:val="24"/>
        </w:rPr>
        <w:t xml:space="preserve">The justification should include the reasons why the agency considers the questions necessary, the specific uses to be made of the </w:t>
      </w:r>
      <w:r w:rsidRPr="00920F63">
        <w:rPr>
          <w:rFonts w:ascii="Times New Roman" w:hAnsi="Times New Roman"/>
          <w:b/>
          <w:szCs w:val="24"/>
        </w:rPr>
        <w:t xml:space="preserve">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246834" w14:paraId="64280E8A" w14:textId="6031739C">
      <w:pPr>
        <w:tabs>
          <w:tab w:val="left" w:pos="-720"/>
        </w:tabs>
        <w:suppressAutoHyphens/>
        <w:ind w:left="720"/>
        <w:rPr>
          <w:rFonts w:ascii="Times New Roman" w:hAnsi="Times New Roman"/>
          <w:bCs/>
          <w:szCs w:val="24"/>
        </w:rPr>
      </w:pPr>
    </w:p>
    <w:p w:rsidR="008B02BB" w:rsidRPr="00CA59E3" w:rsidP="00246834" w14:paraId="60407301" w14:textId="21747B70">
      <w:pPr>
        <w:tabs>
          <w:tab w:val="left" w:pos="0"/>
        </w:tabs>
        <w:suppressAutoHyphens/>
        <w:ind w:left="720"/>
        <w:rPr>
          <w:rFonts w:asciiTheme="minorHAnsi" w:hAnsiTheme="minorHAnsi" w:cstheme="minorHAnsi"/>
        </w:rPr>
      </w:pPr>
      <w:r w:rsidRPr="00CA59E3">
        <w:rPr>
          <w:rFonts w:asciiTheme="minorHAnsi" w:hAnsiTheme="minorHAnsi" w:cstheme="minorHAnsi"/>
        </w:rPr>
        <w:t>The form does not require borrowers to provide information of a sensitive nature.</w:t>
      </w:r>
    </w:p>
    <w:p w:rsidR="00920F63" w:rsidRPr="005F4E11" w:rsidP="00246834" w14:paraId="64280E8B" w14:textId="77777777">
      <w:pPr>
        <w:tabs>
          <w:tab w:val="left" w:pos="-720"/>
        </w:tabs>
        <w:suppressAutoHyphens/>
        <w:ind w:left="720"/>
        <w:rPr>
          <w:rFonts w:ascii="Times New Roman" w:hAnsi="Times New Roman"/>
          <w:bCs/>
          <w:szCs w:val="24"/>
        </w:rPr>
      </w:pPr>
    </w:p>
    <w:p w:rsidR="00043C32" w:rsidRPr="00920F63" w:rsidP="00246834" w14:paraId="64280E8C" w14:textId="7DEC676E">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w:t>
      </w:r>
      <w:r w:rsidR="008F3ECA">
        <w:rPr>
          <w:rStyle w:val="a"/>
          <w:rFonts w:ascii="Times New Roman" w:hAnsi="Times New Roman"/>
          <w:b/>
          <w:szCs w:val="24"/>
        </w:rPr>
        <w:t xml:space="preserve"> </w:t>
      </w:r>
      <w:r w:rsidRPr="00920F63">
        <w:rPr>
          <w:rStyle w:val="a"/>
          <w:rFonts w:ascii="Times New Roman" w:hAnsi="Times New Roman"/>
          <w:b/>
          <w:szCs w:val="24"/>
        </w:rPr>
        <w:t>The statement should:</w:t>
      </w:r>
    </w:p>
    <w:p w:rsidR="00043C32" w:rsidRPr="00920F63" w:rsidP="00246834" w14:paraId="64280E8D" w14:textId="77777777">
      <w:pPr>
        <w:tabs>
          <w:tab w:val="left" w:pos="-720"/>
        </w:tabs>
        <w:suppressAutoHyphens/>
        <w:rPr>
          <w:rStyle w:val="a"/>
          <w:rFonts w:ascii="Times New Roman" w:hAnsi="Times New Roman"/>
          <w:b/>
          <w:szCs w:val="24"/>
        </w:rPr>
      </w:pPr>
    </w:p>
    <w:p w:rsidR="00C224FD" w:rsidP="00246834" w14:paraId="64280E8E" w14:textId="168DF45A">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w:t>
      </w:r>
      <w:r w:rsidR="008F3ECA">
        <w:rPr>
          <w:rStyle w:val="a"/>
          <w:rFonts w:ascii="Times New Roman" w:hAnsi="Times New Roman"/>
          <w:b/>
          <w:szCs w:val="24"/>
        </w:rPr>
        <w:t xml:space="preserv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46834"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46834" w14:paraId="64280E90" w14:textId="64697800">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w:t>
      </w:r>
      <w:r w:rsidR="008F3ECA">
        <w:rPr>
          <w:rStyle w:val="a"/>
          <w:rFonts w:ascii="Times New Roman" w:hAnsi="Times New Roman"/>
          <w:b/>
          <w:szCs w:val="24"/>
        </w:rPr>
        <w:t xml:space="preserve"> </w:t>
      </w:r>
      <w:r w:rsidRPr="00C224FD">
        <w:rPr>
          <w:rStyle w:val="a"/>
          <w:rFonts w:ascii="Times New Roman" w:hAnsi="Times New Roman"/>
          <w:b/>
          <w:szCs w:val="24"/>
        </w:rPr>
        <w:t xml:space="preserve">Consultation with a sample (fewer than 10) of potential respondents is desirable. </w:t>
      </w:r>
    </w:p>
    <w:p w:rsidR="00043C32" w:rsidRPr="00920F63" w:rsidP="00246834"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46834" w14:paraId="64280E92" w14:textId="16CDB03E">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2"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w:t>
      </w:r>
      <w:r w:rsidR="008F3ECA">
        <w:rPr>
          <w:rStyle w:val="a"/>
          <w:rFonts w:ascii="Times New Roman" w:hAnsi="Times New Roman"/>
          <w:b/>
          <w:szCs w:val="24"/>
        </w:rPr>
        <w:t xml:space="preserve"> </w:t>
      </w:r>
      <w:r w:rsidRPr="00920F63">
        <w:rPr>
          <w:rStyle w:val="a"/>
          <w:rFonts w:ascii="Times New Roman" w:hAnsi="Times New Roman"/>
          <w:b/>
          <w:szCs w:val="24"/>
        </w:rPr>
        <w:t>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46834" w14:paraId="64280E93" w14:textId="77777777">
      <w:pPr>
        <w:tabs>
          <w:tab w:val="left" w:pos="-720"/>
          <w:tab w:val="left" w:pos="1247"/>
        </w:tabs>
        <w:suppressAutoHyphens/>
        <w:rPr>
          <w:rStyle w:val="a"/>
          <w:rFonts w:ascii="Times New Roman" w:hAnsi="Times New Roman"/>
          <w:b/>
          <w:szCs w:val="24"/>
        </w:rPr>
      </w:pPr>
    </w:p>
    <w:p w:rsidR="00261921" w:rsidP="00246834" w14:paraId="5A914916" w14:textId="7A809448">
      <w:pPr>
        <w:pStyle w:val="ListParagraph"/>
        <w:tabs>
          <w:tab w:val="left" w:pos="-720"/>
        </w:tabs>
        <w:suppressAutoHyphens/>
        <w:contextualSpacing w:val="0"/>
        <w:rPr>
          <w:rFonts w:asciiTheme="minorHAnsi" w:hAnsiTheme="minorHAnsi" w:cstheme="minorHAnsi"/>
        </w:rPr>
      </w:pPr>
      <w:r w:rsidRPr="00CA59E3">
        <w:rPr>
          <w:rFonts w:asciiTheme="minorHAnsi" w:hAnsiTheme="minorHAnsi" w:cstheme="minorHAnsi"/>
        </w:rPr>
        <w:t xml:space="preserve">The </w:t>
      </w:r>
      <w:r w:rsidR="004874F2">
        <w:rPr>
          <w:rFonts w:asciiTheme="minorHAnsi" w:hAnsiTheme="minorHAnsi" w:cstheme="minorHAnsi"/>
        </w:rPr>
        <w:t xml:space="preserve">Department continues to </w:t>
      </w:r>
      <w:r w:rsidRPr="00CA59E3">
        <w:rPr>
          <w:rFonts w:asciiTheme="minorHAnsi" w:hAnsiTheme="minorHAnsi" w:cstheme="minorHAnsi"/>
        </w:rPr>
        <w:t>estimate</w:t>
      </w:r>
      <w:r w:rsidR="004874F2">
        <w:rPr>
          <w:rFonts w:asciiTheme="minorHAnsi" w:hAnsiTheme="minorHAnsi" w:cstheme="minorHAnsi"/>
        </w:rPr>
        <w:t xml:space="preserve"> the</w:t>
      </w:r>
      <w:r w:rsidRPr="00CA59E3">
        <w:rPr>
          <w:rFonts w:asciiTheme="minorHAnsi" w:hAnsiTheme="minorHAnsi" w:cstheme="minorHAnsi"/>
        </w:rPr>
        <w:t xml:space="preserve"> time required to complete the collection of information </w:t>
      </w:r>
      <w:r w:rsidR="004874F2">
        <w:rPr>
          <w:rFonts w:asciiTheme="minorHAnsi" w:hAnsiTheme="minorHAnsi" w:cstheme="minorHAnsi"/>
        </w:rPr>
        <w:t>at 0.5 hours (30 minutes)</w:t>
      </w:r>
      <w:r w:rsidRPr="00CA59E3">
        <w:rPr>
          <w:rFonts w:asciiTheme="minorHAnsi" w:hAnsiTheme="minorHAnsi" w:cstheme="minorHAnsi"/>
        </w:rPr>
        <w:t xml:space="preserve"> per request. Based on one response per respondent, this equates to a total estimated annual reporting burden of </w:t>
      </w:r>
      <w:r w:rsidR="00FC35B4">
        <w:rPr>
          <w:rFonts w:asciiTheme="minorHAnsi" w:hAnsiTheme="minorHAnsi" w:cstheme="minorHAnsi"/>
        </w:rPr>
        <w:t>456,867 hours, calculated as follows:</w:t>
      </w:r>
    </w:p>
    <w:p w:rsidR="00B07961" w:rsidP="00246834" w14:paraId="276062B9" w14:textId="77777777">
      <w:pPr>
        <w:pStyle w:val="ListParagraph"/>
        <w:tabs>
          <w:tab w:val="left" w:pos="-720"/>
        </w:tabs>
        <w:suppressAutoHyphens/>
        <w:contextualSpacing w:val="0"/>
        <w:rPr>
          <w:rFonts w:asciiTheme="minorHAnsi" w:hAnsiTheme="minorHAnsi" w:cstheme="minorHAnsi"/>
        </w:rPr>
      </w:pPr>
    </w:p>
    <w:p w:rsidR="00B07961" w:rsidRPr="00B07961" w:rsidP="00B07961" w14:paraId="314B4A08"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u w:val="single"/>
        </w:rPr>
        <w:t>Public Service Loan Forgiveness (PSLF) &amp; Temporary Expanded PSLF (TEPSLF) Certification &amp; Application</w:t>
      </w:r>
      <w:r w:rsidRPr="00B07961">
        <w:rPr>
          <w:rFonts w:asciiTheme="minorHAnsi" w:hAnsiTheme="minorHAnsi"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75"/>
        <w:gridCol w:w="879"/>
        <w:gridCol w:w="2175"/>
      </w:tblGrid>
      <w:tr w14:paraId="585FD2B6"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275" w:type="dxa"/>
            <w:tcBorders>
              <w:top w:val="nil"/>
              <w:left w:val="nil"/>
              <w:bottom w:val="nil"/>
              <w:right w:val="nil"/>
            </w:tcBorders>
            <w:hideMark/>
          </w:tcPr>
          <w:p w:rsidR="00B07961" w:rsidRPr="00B07961" w:rsidP="00B07961" w14:paraId="3063D32C"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Estimated annual number of respondents: </w:t>
            </w:r>
          </w:p>
        </w:tc>
        <w:tc>
          <w:tcPr>
            <w:tcW w:w="495" w:type="dxa"/>
            <w:tcBorders>
              <w:top w:val="nil"/>
              <w:left w:val="nil"/>
              <w:bottom w:val="nil"/>
              <w:right w:val="nil"/>
            </w:tcBorders>
            <w:hideMark/>
          </w:tcPr>
          <w:p w:rsidR="00B07961" w:rsidRPr="00B07961" w:rsidP="00B07961" w14:paraId="00A916A8"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 </w:t>
            </w:r>
          </w:p>
        </w:tc>
        <w:tc>
          <w:tcPr>
            <w:tcW w:w="2040" w:type="dxa"/>
            <w:tcBorders>
              <w:top w:val="nil"/>
              <w:left w:val="nil"/>
              <w:bottom w:val="nil"/>
              <w:right w:val="nil"/>
            </w:tcBorders>
            <w:hideMark/>
          </w:tcPr>
          <w:p w:rsidR="00B07961" w:rsidRPr="00B07961" w:rsidP="00B07961" w14:paraId="71D6CC12" w14:textId="77777777">
            <w:pPr>
              <w:pStyle w:val="ListParagraph"/>
              <w:tabs>
                <w:tab w:val="left" w:pos="-720"/>
              </w:tabs>
              <w:suppressAutoHyphens/>
              <w:jc w:val="right"/>
              <w:rPr>
                <w:rFonts w:asciiTheme="minorHAnsi" w:hAnsiTheme="minorHAnsi" w:cstheme="minorHAnsi"/>
              </w:rPr>
            </w:pPr>
            <w:r w:rsidRPr="00B07961">
              <w:rPr>
                <w:rFonts w:asciiTheme="minorHAnsi" w:hAnsiTheme="minorHAnsi" w:cstheme="minorHAnsi"/>
              </w:rPr>
              <w:t>913,713 </w:t>
            </w:r>
          </w:p>
        </w:tc>
      </w:tr>
      <w:tr w14:paraId="34AF5F99" w14:textId="77777777">
        <w:tblPrEx>
          <w:tblW w:w="0" w:type="dxa"/>
          <w:tblCellMar>
            <w:left w:w="0" w:type="dxa"/>
            <w:right w:w="0" w:type="dxa"/>
          </w:tblCellMar>
          <w:tblLook w:val="04A0"/>
        </w:tblPrEx>
        <w:trPr>
          <w:trHeight w:val="300"/>
        </w:trPr>
        <w:tc>
          <w:tcPr>
            <w:tcW w:w="4275" w:type="dxa"/>
            <w:tcBorders>
              <w:top w:val="nil"/>
              <w:left w:val="nil"/>
              <w:bottom w:val="nil"/>
              <w:right w:val="nil"/>
            </w:tcBorders>
            <w:hideMark/>
          </w:tcPr>
          <w:p w:rsidR="00B07961" w:rsidRPr="00B07961" w:rsidP="00B07961" w14:paraId="6F238561"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Number of responses per borrower: </w:t>
            </w:r>
          </w:p>
        </w:tc>
        <w:tc>
          <w:tcPr>
            <w:tcW w:w="495" w:type="dxa"/>
            <w:tcBorders>
              <w:top w:val="nil"/>
              <w:left w:val="nil"/>
              <w:bottom w:val="nil"/>
              <w:right w:val="nil"/>
            </w:tcBorders>
            <w:hideMark/>
          </w:tcPr>
          <w:p w:rsidR="00B07961" w:rsidRPr="00B07961" w:rsidP="00B07961" w14:paraId="40C0BE58"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x </w:t>
            </w:r>
          </w:p>
        </w:tc>
        <w:tc>
          <w:tcPr>
            <w:tcW w:w="2040" w:type="dxa"/>
            <w:tcBorders>
              <w:top w:val="nil"/>
              <w:left w:val="nil"/>
              <w:bottom w:val="nil"/>
              <w:right w:val="nil"/>
            </w:tcBorders>
            <w:hideMark/>
          </w:tcPr>
          <w:p w:rsidR="00B07961" w:rsidRPr="00B07961" w:rsidP="00B07961" w14:paraId="3D530338" w14:textId="77777777">
            <w:pPr>
              <w:pStyle w:val="ListParagraph"/>
              <w:tabs>
                <w:tab w:val="left" w:pos="-720"/>
              </w:tabs>
              <w:suppressAutoHyphens/>
              <w:jc w:val="right"/>
              <w:rPr>
                <w:rFonts w:asciiTheme="minorHAnsi" w:hAnsiTheme="minorHAnsi" w:cstheme="minorHAnsi"/>
              </w:rPr>
            </w:pPr>
            <w:r w:rsidRPr="00B07961">
              <w:rPr>
                <w:rFonts w:asciiTheme="minorHAnsi" w:hAnsiTheme="minorHAnsi" w:cstheme="minorHAnsi"/>
              </w:rPr>
              <w:t>1 </w:t>
            </w:r>
          </w:p>
        </w:tc>
      </w:tr>
      <w:tr w14:paraId="6D73B36F" w14:textId="77777777">
        <w:tblPrEx>
          <w:tblW w:w="0" w:type="dxa"/>
          <w:tblCellMar>
            <w:left w:w="0" w:type="dxa"/>
            <w:right w:w="0" w:type="dxa"/>
          </w:tblCellMar>
          <w:tblLook w:val="04A0"/>
        </w:tblPrEx>
        <w:trPr>
          <w:trHeight w:val="300"/>
        </w:trPr>
        <w:tc>
          <w:tcPr>
            <w:tcW w:w="4275" w:type="dxa"/>
            <w:tcBorders>
              <w:top w:val="nil"/>
              <w:left w:val="nil"/>
              <w:bottom w:val="nil"/>
              <w:right w:val="nil"/>
            </w:tcBorders>
            <w:hideMark/>
          </w:tcPr>
          <w:p w:rsidR="00B07961" w:rsidRPr="00B07961" w:rsidP="00B07961" w14:paraId="46F34BC5"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Hours per response: </w:t>
            </w:r>
          </w:p>
        </w:tc>
        <w:tc>
          <w:tcPr>
            <w:tcW w:w="495" w:type="dxa"/>
            <w:tcBorders>
              <w:top w:val="nil"/>
              <w:left w:val="nil"/>
              <w:bottom w:val="nil"/>
              <w:right w:val="nil"/>
            </w:tcBorders>
            <w:hideMark/>
          </w:tcPr>
          <w:p w:rsidR="00B07961" w:rsidRPr="00B07961" w:rsidP="00B07961" w14:paraId="7EAEA093"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x </w:t>
            </w:r>
          </w:p>
        </w:tc>
        <w:tc>
          <w:tcPr>
            <w:tcW w:w="2040" w:type="dxa"/>
            <w:tcBorders>
              <w:top w:val="nil"/>
              <w:left w:val="nil"/>
              <w:bottom w:val="single" w:sz="6" w:space="0" w:color="auto"/>
              <w:right w:val="nil"/>
            </w:tcBorders>
            <w:hideMark/>
          </w:tcPr>
          <w:p w:rsidR="00B07961" w:rsidRPr="00B07961" w:rsidP="00B07961" w14:paraId="0C5329B5" w14:textId="77777777">
            <w:pPr>
              <w:pStyle w:val="ListParagraph"/>
              <w:tabs>
                <w:tab w:val="left" w:pos="-720"/>
              </w:tabs>
              <w:suppressAutoHyphens/>
              <w:jc w:val="right"/>
              <w:rPr>
                <w:rFonts w:asciiTheme="minorHAnsi" w:hAnsiTheme="minorHAnsi" w:cstheme="minorHAnsi"/>
              </w:rPr>
            </w:pPr>
            <w:r w:rsidRPr="00B07961">
              <w:rPr>
                <w:rFonts w:asciiTheme="minorHAnsi" w:hAnsiTheme="minorHAnsi" w:cstheme="minorHAnsi"/>
              </w:rPr>
              <w:t>         0.5 </w:t>
            </w:r>
          </w:p>
        </w:tc>
      </w:tr>
      <w:tr w14:paraId="6C247007" w14:textId="77777777">
        <w:tblPrEx>
          <w:tblW w:w="0" w:type="dxa"/>
          <w:tblCellMar>
            <w:left w:w="0" w:type="dxa"/>
            <w:right w:w="0" w:type="dxa"/>
          </w:tblCellMar>
          <w:tblLook w:val="04A0"/>
        </w:tblPrEx>
        <w:trPr>
          <w:trHeight w:val="300"/>
        </w:trPr>
        <w:tc>
          <w:tcPr>
            <w:tcW w:w="4275" w:type="dxa"/>
            <w:tcBorders>
              <w:top w:val="nil"/>
              <w:left w:val="nil"/>
              <w:bottom w:val="nil"/>
              <w:right w:val="nil"/>
            </w:tcBorders>
            <w:hideMark/>
          </w:tcPr>
          <w:p w:rsidR="00B07961" w:rsidRPr="00B07961" w:rsidP="00B07961" w14:paraId="0AB78963"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Annual hour burden: </w:t>
            </w:r>
          </w:p>
        </w:tc>
        <w:tc>
          <w:tcPr>
            <w:tcW w:w="495" w:type="dxa"/>
            <w:tcBorders>
              <w:top w:val="nil"/>
              <w:left w:val="nil"/>
              <w:bottom w:val="nil"/>
              <w:right w:val="nil"/>
            </w:tcBorders>
            <w:hideMark/>
          </w:tcPr>
          <w:p w:rsidR="00B07961" w:rsidRPr="00B07961" w:rsidP="00B07961" w14:paraId="3E1E4959"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 </w:t>
            </w:r>
          </w:p>
        </w:tc>
        <w:tc>
          <w:tcPr>
            <w:tcW w:w="2040" w:type="dxa"/>
            <w:tcBorders>
              <w:top w:val="nil"/>
              <w:left w:val="nil"/>
              <w:bottom w:val="nil"/>
              <w:right w:val="nil"/>
            </w:tcBorders>
            <w:hideMark/>
          </w:tcPr>
          <w:p w:rsidR="00B07961" w:rsidRPr="00B07961" w:rsidP="00B07961" w14:paraId="2AF09F85"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456,857 hours </w:t>
            </w:r>
          </w:p>
        </w:tc>
      </w:tr>
    </w:tbl>
    <w:p w:rsidR="00B07961" w:rsidRPr="00B07961" w:rsidP="00B07961" w14:paraId="2D633107" w14:textId="77777777">
      <w:pPr>
        <w:tabs>
          <w:tab w:val="left" w:pos="-720"/>
        </w:tabs>
        <w:suppressAutoHyphens/>
        <w:rPr>
          <w:rFonts w:asciiTheme="minorHAnsi" w:hAnsiTheme="minorHAnsi" w:cstheme="minorHAnsi"/>
        </w:rPr>
      </w:pPr>
    </w:p>
    <w:p w:rsidR="00261921" w:rsidP="00246834" w14:paraId="61BD157A" w14:textId="77777777">
      <w:pPr>
        <w:tabs>
          <w:tab w:val="left" w:pos="-720"/>
          <w:tab w:val="left" w:pos="720"/>
        </w:tabs>
        <w:suppressAutoHyphens/>
        <w:ind w:left="720"/>
        <w:rPr>
          <w:rFonts w:asciiTheme="minorHAnsi" w:hAnsiTheme="minorHAnsi" w:cstheme="minorHAnsi"/>
        </w:rPr>
      </w:pPr>
      <w:r w:rsidRPr="00CA59E3">
        <w:rPr>
          <w:rFonts w:asciiTheme="minorHAnsi" w:hAnsiTheme="minorHAnsi" w:cstheme="minorHAnsi"/>
        </w:rPr>
        <w:t>There are no annual costs to respondents associated with operating or maintaining systems or purchasing services.</w:t>
      </w:r>
    </w:p>
    <w:p w:rsidR="0020775D" w:rsidP="00246834" w14:paraId="052512E1" w14:textId="77777777">
      <w:pPr>
        <w:tabs>
          <w:tab w:val="left" w:pos="-720"/>
          <w:tab w:val="left" w:pos="720"/>
        </w:tabs>
        <w:suppressAutoHyphens/>
        <w:ind w:left="720"/>
        <w:rPr>
          <w:rFonts w:asciiTheme="minorHAnsi" w:hAnsiTheme="minorHAnsi" w:cstheme="minorHAnsi"/>
        </w:rPr>
      </w:pPr>
    </w:p>
    <w:p w:rsidR="00ED7195" w:rsidRPr="002C538F" w:rsidP="002C538F" w14:paraId="64280E96" w14:textId="21088756">
      <w:pPr>
        <w:jc w:val="center"/>
        <w:rPr>
          <w:rFonts w:ascii="Times New Roman" w:hAnsi="Times New Roman"/>
          <w:b/>
          <w:bCs/>
          <w:color w:val="000000" w:themeColor="text1"/>
          <w:szCs w:val="24"/>
        </w:rPr>
      </w:pPr>
      <w:r w:rsidRPr="002C538F">
        <w:rPr>
          <w:rFonts w:ascii="Times New Roman" w:hAnsi="Times New Roman"/>
          <w:b/>
          <w:bCs/>
          <w:color w:val="000000" w:themeColor="text1"/>
          <w:szCs w:val="24"/>
        </w:rPr>
        <w:t xml:space="preserve">Estimated </w:t>
      </w:r>
      <w:r w:rsidRPr="002C538F" w:rsidR="00F31BEC">
        <w:rPr>
          <w:rFonts w:ascii="Times New Roman" w:hAnsi="Times New Roman"/>
          <w:b/>
          <w:bCs/>
          <w:color w:val="000000" w:themeColor="text1"/>
          <w:szCs w:val="24"/>
        </w:rPr>
        <w:t xml:space="preserve">Annual </w:t>
      </w:r>
      <w:r w:rsidRPr="002C538F" w:rsidR="007F6104">
        <w:rPr>
          <w:rFonts w:ascii="Times New Roman" w:hAnsi="Times New Roman"/>
          <w:b/>
          <w:bCs/>
          <w:color w:val="000000" w:themeColor="text1"/>
          <w:szCs w:val="24"/>
        </w:rPr>
        <w:t>Burden and Respondent Costs</w:t>
      </w:r>
      <w:r w:rsidRPr="002C538F" w:rsidR="00F5782B">
        <w:rPr>
          <w:rFonts w:ascii="Times New Roman" w:hAnsi="Times New Roman"/>
          <w:b/>
          <w:bCs/>
          <w:color w:val="000000" w:themeColor="text1"/>
          <w:szCs w:val="24"/>
        </w:rPr>
        <w:t xml:space="preserve"> Table</w:t>
      </w:r>
    </w:p>
    <w:tbl>
      <w:tblPr>
        <w:tblStyle w:val="GridTableLight"/>
        <w:tblpPr w:leftFromText="180" w:rightFromText="180" w:vertAnchor="text" w:horzAnchor="margin" w:tblpXSpec="center" w:tblpY="174"/>
        <w:tblW w:w="8995" w:type="dxa"/>
        <w:tblLayout w:type="fixed"/>
        <w:tblLook w:val="0020"/>
      </w:tblPr>
      <w:tblGrid>
        <w:gridCol w:w="1345"/>
        <w:gridCol w:w="1275"/>
        <w:gridCol w:w="1080"/>
        <w:gridCol w:w="1335"/>
        <w:gridCol w:w="1080"/>
        <w:gridCol w:w="1350"/>
        <w:gridCol w:w="1530"/>
      </w:tblGrid>
      <w:tr w14:paraId="64280EAE" w14:textId="77777777" w:rsidTr="002C538F">
        <w:tblPrEx>
          <w:tblW w:w="8995" w:type="dxa"/>
          <w:tblLayout w:type="fixed"/>
          <w:tblLook w:val="0020"/>
        </w:tblPrEx>
        <w:trPr>
          <w:tblHeader/>
        </w:trPr>
        <w:tc>
          <w:tcPr>
            <w:tcW w:w="1345" w:type="dxa"/>
          </w:tcPr>
          <w:p w:rsidR="00E22FD3" w:rsidP="00246834" w14:paraId="64280E97" w14:textId="77777777">
            <w:pPr>
              <w:jc w:val="center"/>
              <w:rPr>
                <w:rFonts w:ascii="Times New Roman" w:hAnsi="Times New Roman"/>
                <w:sz w:val="20"/>
              </w:rPr>
            </w:pPr>
          </w:p>
          <w:p w:rsidR="00E22FD3" w:rsidP="00246834" w14:paraId="64280E98" w14:textId="77777777">
            <w:pPr>
              <w:jc w:val="center"/>
              <w:rPr>
                <w:rFonts w:ascii="Times New Roman" w:hAnsi="Times New Roman"/>
                <w:sz w:val="20"/>
              </w:rPr>
            </w:pPr>
          </w:p>
          <w:p w:rsidR="00E22FD3" w:rsidRPr="007F6104" w:rsidP="00246834"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22FD3" w:rsidRPr="007F6104" w:rsidP="00246834"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246834" w14:paraId="64280EA1" w14:textId="77777777">
            <w:pPr>
              <w:jc w:val="center"/>
              <w:rPr>
                <w:rFonts w:ascii="Times New Roman" w:hAnsi="Times New Roman"/>
                <w:sz w:val="20"/>
              </w:rPr>
            </w:pPr>
          </w:p>
          <w:p w:rsidR="00E22FD3" w:rsidP="00246834" w14:paraId="64280EA2" w14:textId="77777777">
            <w:pPr>
              <w:jc w:val="center"/>
              <w:rPr>
                <w:rFonts w:ascii="Times New Roman" w:hAnsi="Times New Roman"/>
                <w:sz w:val="20"/>
              </w:rPr>
            </w:pPr>
          </w:p>
          <w:p w:rsidR="00E22FD3" w:rsidRPr="007F6104" w:rsidP="00246834"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246834" w14:paraId="64280EA4" w14:textId="77777777">
            <w:pPr>
              <w:jc w:val="center"/>
              <w:rPr>
                <w:rFonts w:ascii="Times New Roman" w:hAnsi="Times New Roman"/>
                <w:sz w:val="20"/>
              </w:rPr>
            </w:pPr>
          </w:p>
          <w:p w:rsidR="00E22FD3" w:rsidRPr="007F6104" w:rsidP="00246834" w14:paraId="64280EA5"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1080" w:type="dxa"/>
          </w:tcPr>
          <w:p w:rsidR="00E22FD3" w:rsidP="00246834" w14:paraId="64280EA6" w14:textId="77777777">
            <w:pPr>
              <w:jc w:val="center"/>
              <w:rPr>
                <w:rFonts w:ascii="Times New Roman" w:hAnsi="Times New Roman"/>
                <w:sz w:val="20"/>
              </w:rPr>
            </w:pPr>
          </w:p>
          <w:p w:rsidR="00E22FD3" w:rsidRPr="007F6104" w:rsidP="00246834"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E22FD3" w:rsidP="00246834" w14:paraId="64280EA8" w14:textId="77777777">
            <w:pPr>
              <w:jc w:val="center"/>
              <w:rPr>
                <w:rFonts w:ascii="Times New Roman" w:hAnsi="Times New Roman"/>
                <w:sz w:val="20"/>
              </w:rPr>
            </w:pPr>
          </w:p>
          <w:p w:rsidR="00E22FD3" w:rsidP="00246834" w14:paraId="64280EA9" w14:textId="77777777">
            <w:pPr>
              <w:jc w:val="center"/>
              <w:rPr>
                <w:rFonts w:ascii="Times New Roman" w:hAnsi="Times New Roman"/>
                <w:sz w:val="20"/>
              </w:rPr>
            </w:pPr>
          </w:p>
          <w:p w:rsidR="00E22FD3" w:rsidRPr="007F6104" w:rsidP="00246834"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E22FD3" w:rsidP="00246834" w14:paraId="64280EAB" w14:textId="77777777">
            <w:pPr>
              <w:jc w:val="center"/>
              <w:rPr>
                <w:rFonts w:ascii="Times New Roman" w:hAnsi="Times New Roman"/>
                <w:sz w:val="20"/>
              </w:rPr>
            </w:pPr>
          </w:p>
          <w:p w:rsidR="00E22FD3" w:rsidP="00246834" w14:paraId="64280EAC" w14:textId="77777777">
            <w:pPr>
              <w:jc w:val="center"/>
              <w:rPr>
                <w:rFonts w:ascii="Times New Roman" w:hAnsi="Times New Roman"/>
                <w:sz w:val="20"/>
              </w:rPr>
            </w:pPr>
          </w:p>
          <w:p w:rsidR="00E22FD3" w:rsidRPr="007F6104" w:rsidP="00246834"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B8" w14:textId="77777777" w:rsidTr="002C538F">
        <w:tblPrEx>
          <w:tblW w:w="8995" w:type="dxa"/>
          <w:tblLayout w:type="fixed"/>
          <w:tblLook w:val="0020"/>
        </w:tblPrEx>
        <w:tc>
          <w:tcPr>
            <w:tcW w:w="1345" w:type="dxa"/>
          </w:tcPr>
          <w:p w:rsidR="002C538F" w:rsidRPr="00CA59E3" w:rsidP="002C538F" w14:paraId="64280EAF" w14:textId="290F9851">
            <w:pPr>
              <w:rPr>
                <w:rFonts w:asciiTheme="minorHAnsi" w:hAnsiTheme="minorHAnsi" w:cstheme="minorHAnsi"/>
                <w:szCs w:val="24"/>
              </w:rPr>
            </w:pPr>
            <w:r w:rsidRPr="00CA59E3">
              <w:rPr>
                <w:rFonts w:asciiTheme="minorHAnsi" w:hAnsiTheme="minorHAnsi" w:cstheme="minorHAnsi"/>
                <w:szCs w:val="24"/>
              </w:rPr>
              <w:t>Individual</w:t>
            </w:r>
          </w:p>
        </w:tc>
        <w:tc>
          <w:tcPr>
            <w:tcW w:w="1275" w:type="dxa"/>
          </w:tcPr>
          <w:p w:rsidR="002C538F" w:rsidRPr="00CA59E3" w:rsidP="002C538F" w14:paraId="64280EB2" w14:textId="563B9990">
            <w:pPr>
              <w:jc w:val="center"/>
              <w:rPr>
                <w:rFonts w:asciiTheme="minorHAnsi" w:hAnsiTheme="minorHAnsi" w:cstheme="minorHAnsi"/>
                <w:szCs w:val="24"/>
              </w:rPr>
            </w:pPr>
            <w:r>
              <w:rPr>
                <w:rStyle w:val="normaltextrun"/>
                <w:rFonts w:ascii="Calibri" w:hAnsi="Calibri" w:cs="Calibri"/>
              </w:rPr>
              <w:t>913,713</w:t>
            </w:r>
            <w:r>
              <w:rPr>
                <w:rStyle w:val="eop"/>
                <w:rFonts w:ascii="Calibri" w:hAnsi="Calibri" w:cs="Calibri"/>
              </w:rPr>
              <w:t> </w:t>
            </w:r>
          </w:p>
        </w:tc>
        <w:tc>
          <w:tcPr>
            <w:tcW w:w="1080" w:type="dxa"/>
          </w:tcPr>
          <w:p w:rsidR="002C538F" w:rsidRPr="00CA59E3" w:rsidP="002C538F" w14:paraId="64280EB3" w14:textId="7251D6AD">
            <w:pPr>
              <w:jc w:val="center"/>
              <w:rPr>
                <w:rFonts w:asciiTheme="minorHAnsi" w:hAnsiTheme="minorHAnsi" w:cstheme="minorHAnsi"/>
                <w:szCs w:val="24"/>
              </w:rPr>
            </w:pPr>
            <w:r>
              <w:rPr>
                <w:rStyle w:val="normaltextrun"/>
                <w:rFonts w:ascii="Calibri" w:hAnsi="Calibri" w:cs="Calibri"/>
              </w:rPr>
              <w:t>913,713</w:t>
            </w:r>
            <w:r>
              <w:rPr>
                <w:rStyle w:val="eop"/>
                <w:rFonts w:ascii="Calibri" w:hAnsi="Calibri" w:cs="Calibri"/>
              </w:rPr>
              <w:t> </w:t>
            </w:r>
          </w:p>
        </w:tc>
        <w:tc>
          <w:tcPr>
            <w:tcW w:w="1335" w:type="dxa"/>
          </w:tcPr>
          <w:p w:rsidR="002C538F" w:rsidRPr="00CA59E3" w:rsidP="002C538F" w14:paraId="64280EB4" w14:textId="1671E58B">
            <w:pPr>
              <w:jc w:val="center"/>
              <w:rPr>
                <w:rFonts w:asciiTheme="minorHAnsi" w:hAnsiTheme="minorHAnsi" w:cstheme="minorHAnsi"/>
                <w:szCs w:val="24"/>
              </w:rPr>
            </w:pPr>
            <w:r>
              <w:rPr>
                <w:rStyle w:val="normaltextrun"/>
                <w:rFonts w:ascii="Calibri" w:hAnsi="Calibri" w:cs="Calibri"/>
              </w:rPr>
              <w:t>.5 hours</w:t>
            </w:r>
            <w:r>
              <w:rPr>
                <w:rStyle w:val="eop"/>
                <w:rFonts w:ascii="Calibri" w:hAnsi="Calibri" w:cs="Calibri"/>
              </w:rPr>
              <w:t> </w:t>
            </w:r>
          </w:p>
        </w:tc>
        <w:tc>
          <w:tcPr>
            <w:tcW w:w="1080" w:type="dxa"/>
          </w:tcPr>
          <w:p w:rsidR="002C538F" w:rsidRPr="00CA59E3" w:rsidP="002C538F" w14:paraId="64280EB5" w14:textId="00442181">
            <w:pPr>
              <w:jc w:val="center"/>
              <w:rPr>
                <w:rFonts w:asciiTheme="minorHAnsi" w:hAnsiTheme="minorHAnsi" w:cstheme="minorHAnsi"/>
                <w:szCs w:val="24"/>
              </w:rPr>
            </w:pPr>
            <w:r>
              <w:rPr>
                <w:rStyle w:val="normaltextrun"/>
                <w:rFonts w:ascii="Calibri" w:hAnsi="Calibri" w:cs="Calibri"/>
              </w:rPr>
              <w:t>456,857</w:t>
            </w:r>
            <w:r>
              <w:rPr>
                <w:rStyle w:val="eop"/>
                <w:rFonts w:ascii="Calibri" w:hAnsi="Calibri" w:cs="Calibri"/>
              </w:rPr>
              <w:t> </w:t>
            </w:r>
          </w:p>
        </w:tc>
        <w:tc>
          <w:tcPr>
            <w:tcW w:w="1350" w:type="dxa"/>
          </w:tcPr>
          <w:p w:rsidR="002C538F" w:rsidRPr="00CA59E3" w:rsidP="002C538F" w14:paraId="64280EB6" w14:textId="39C99777">
            <w:pPr>
              <w:jc w:val="center"/>
              <w:rPr>
                <w:rFonts w:asciiTheme="minorHAnsi" w:hAnsiTheme="minorHAnsi" w:cstheme="minorHAnsi"/>
                <w:szCs w:val="24"/>
              </w:rPr>
            </w:pPr>
            <w:r>
              <w:rPr>
                <w:rStyle w:val="normaltextrun"/>
                <w:rFonts w:ascii="Calibri" w:hAnsi="Calibri" w:cs="Calibri"/>
              </w:rPr>
              <w:t>$2</w:t>
            </w:r>
            <w:r w:rsidR="007A31F8">
              <w:rPr>
                <w:rStyle w:val="normaltextrun"/>
                <w:rFonts w:ascii="Calibri" w:hAnsi="Calibri" w:cs="Calibri"/>
              </w:rPr>
              <w:t>4</w:t>
            </w:r>
            <w:r>
              <w:rPr>
                <w:rStyle w:val="normaltextrun"/>
                <w:rFonts w:ascii="Calibri" w:hAnsi="Calibri" w:cs="Calibri"/>
              </w:rPr>
              <w:t>.</w:t>
            </w:r>
            <w:r w:rsidR="007A31F8">
              <w:rPr>
                <w:rStyle w:val="normaltextrun"/>
                <w:rFonts w:ascii="Calibri" w:hAnsi="Calibri" w:cs="Calibri"/>
              </w:rPr>
              <w:t>51</w:t>
            </w:r>
          </w:p>
        </w:tc>
        <w:tc>
          <w:tcPr>
            <w:tcW w:w="1530" w:type="dxa"/>
          </w:tcPr>
          <w:p w:rsidR="002C538F" w:rsidRPr="00CA59E3" w:rsidP="002C538F" w14:paraId="64280EB7" w14:textId="33C27D06">
            <w:pPr>
              <w:jc w:val="center"/>
              <w:rPr>
                <w:rFonts w:asciiTheme="minorHAnsi" w:hAnsiTheme="minorHAnsi" w:cstheme="minorHAnsi"/>
                <w:szCs w:val="24"/>
              </w:rPr>
            </w:pPr>
            <w:r>
              <w:rPr>
                <w:rStyle w:val="normaltextrun"/>
                <w:rFonts w:ascii="Calibri" w:hAnsi="Calibri" w:cs="Calibri"/>
              </w:rPr>
              <w:t>$1</w:t>
            </w:r>
            <w:r w:rsidR="00507029">
              <w:rPr>
                <w:rStyle w:val="normaltextrun"/>
                <w:rFonts w:ascii="Calibri" w:hAnsi="Calibri" w:cs="Calibri"/>
              </w:rPr>
              <w:t>1</w:t>
            </w:r>
            <w:r>
              <w:rPr>
                <w:rStyle w:val="normaltextrun"/>
                <w:rFonts w:ascii="Calibri" w:hAnsi="Calibri" w:cs="Calibri"/>
              </w:rPr>
              <w:t>,</w:t>
            </w:r>
            <w:r w:rsidR="00CA24D0">
              <w:rPr>
                <w:rStyle w:val="normaltextrun"/>
                <w:rFonts w:ascii="Calibri" w:hAnsi="Calibri" w:cs="Calibri"/>
              </w:rPr>
              <w:t>197,565</w:t>
            </w:r>
            <w:r>
              <w:rPr>
                <w:rStyle w:val="eop"/>
                <w:rFonts w:ascii="Calibri" w:hAnsi="Calibri" w:cs="Calibri"/>
              </w:rPr>
              <w:t> </w:t>
            </w:r>
          </w:p>
        </w:tc>
      </w:tr>
      <w:tr w14:paraId="64280EE0" w14:textId="77777777" w:rsidTr="002C538F">
        <w:tblPrEx>
          <w:tblW w:w="8995" w:type="dxa"/>
          <w:tblLayout w:type="fixed"/>
          <w:tblLook w:val="0020"/>
        </w:tblPrEx>
        <w:tc>
          <w:tcPr>
            <w:tcW w:w="1345" w:type="dxa"/>
          </w:tcPr>
          <w:p w:rsidR="00884DA9" w:rsidRPr="00CA59E3" w:rsidP="00884DA9" w14:paraId="64280ED7" w14:textId="77777777">
            <w:pPr>
              <w:rPr>
                <w:rFonts w:asciiTheme="minorHAnsi" w:hAnsiTheme="minorHAnsi" w:cstheme="minorHAnsi"/>
                <w:szCs w:val="24"/>
              </w:rPr>
            </w:pPr>
            <w:r w:rsidRPr="00CA59E3">
              <w:rPr>
                <w:rFonts w:asciiTheme="minorHAnsi" w:hAnsiTheme="minorHAnsi" w:cstheme="minorHAnsi"/>
                <w:szCs w:val="24"/>
              </w:rPr>
              <w:t>Annualized Totals</w:t>
            </w:r>
          </w:p>
        </w:tc>
        <w:tc>
          <w:tcPr>
            <w:tcW w:w="1275" w:type="dxa"/>
          </w:tcPr>
          <w:p w:rsidR="00884DA9" w:rsidRPr="00884DA9" w:rsidP="00884DA9" w14:paraId="64280EDA" w14:textId="5A5A2973">
            <w:pPr>
              <w:jc w:val="center"/>
              <w:rPr>
                <w:rFonts w:asciiTheme="minorHAnsi" w:hAnsiTheme="minorHAnsi" w:cstheme="minorHAnsi"/>
                <w:b/>
                <w:bCs/>
                <w:szCs w:val="24"/>
              </w:rPr>
            </w:pPr>
            <w:r w:rsidRPr="00884DA9">
              <w:rPr>
                <w:rStyle w:val="normaltextrun"/>
                <w:rFonts w:ascii="Calibri" w:hAnsi="Calibri" w:cs="Calibri"/>
                <w:b/>
                <w:bCs/>
              </w:rPr>
              <w:t>913,713</w:t>
            </w:r>
            <w:r w:rsidRPr="00884DA9">
              <w:rPr>
                <w:rStyle w:val="eop"/>
                <w:rFonts w:ascii="Calibri" w:hAnsi="Calibri" w:cs="Calibri"/>
                <w:b/>
                <w:bCs/>
              </w:rPr>
              <w:t> </w:t>
            </w:r>
          </w:p>
        </w:tc>
        <w:tc>
          <w:tcPr>
            <w:tcW w:w="1080" w:type="dxa"/>
          </w:tcPr>
          <w:p w:rsidR="00884DA9" w:rsidRPr="00884DA9" w:rsidP="00884DA9" w14:paraId="64280EDB" w14:textId="056A43A0">
            <w:pPr>
              <w:jc w:val="center"/>
              <w:rPr>
                <w:rFonts w:asciiTheme="minorHAnsi" w:hAnsiTheme="minorHAnsi" w:cstheme="minorHAnsi"/>
                <w:b/>
                <w:bCs/>
                <w:szCs w:val="24"/>
              </w:rPr>
            </w:pPr>
            <w:r w:rsidRPr="00884DA9">
              <w:rPr>
                <w:rStyle w:val="normaltextrun"/>
                <w:rFonts w:ascii="Calibri" w:hAnsi="Calibri" w:cs="Calibri"/>
                <w:b/>
                <w:bCs/>
              </w:rPr>
              <w:t>913,713</w:t>
            </w:r>
            <w:r w:rsidRPr="00884DA9">
              <w:rPr>
                <w:rStyle w:val="eop"/>
                <w:rFonts w:ascii="Calibri" w:hAnsi="Calibri" w:cs="Calibri"/>
                <w:b/>
                <w:bCs/>
              </w:rPr>
              <w:t> </w:t>
            </w:r>
          </w:p>
        </w:tc>
        <w:tc>
          <w:tcPr>
            <w:tcW w:w="1335" w:type="dxa"/>
          </w:tcPr>
          <w:p w:rsidR="00884DA9" w:rsidRPr="00884DA9" w:rsidP="00884DA9" w14:paraId="64280EDC" w14:textId="18FC25C7">
            <w:pPr>
              <w:jc w:val="center"/>
              <w:rPr>
                <w:rFonts w:asciiTheme="minorHAnsi" w:hAnsiTheme="minorHAnsi" w:cstheme="minorHAnsi"/>
                <w:b/>
                <w:bCs/>
                <w:szCs w:val="24"/>
              </w:rPr>
            </w:pPr>
            <w:r w:rsidRPr="00884DA9">
              <w:rPr>
                <w:rStyle w:val="normaltextrun"/>
                <w:rFonts w:ascii="Calibri" w:hAnsi="Calibri" w:cs="Calibri"/>
                <w:b/>
                <w:bCs/>
              </w:rPr>
              <w:t>.5 hours</w:t>
            </w:r>
            <w:r w:rsidRPr="00884DA9">
              <w:rPr>
                <w:rStyle w:val="eop"/>
                <w:rFonts w:ascii="Calibri" w:hAnsi="Calibri" w:cs="Calibri"/>
                <w:b/>
                <w:bCs/>
              </w:rPr>
              <w:t> </w:t>
            </w:r>
          </w:p>
        </w:tc>
        <w:tc>
          <w:tcPr>
            <w:tcW w:w="1080" w:type="dxa"/>
          </w:tcPr>
          <w:p w:rsidR="00884DA9" w:rsidRPr="00884DA9" w:rsidP="00884DA9" w14:paraId="64280EDD" w14:textId="2A232F8D">
            <w:pPr>
              <w:jc w:val="center"/>
              <w:rPr>
                <w:rFonts w:asciiTheme="minorHAnsi" w:hAnsiTheme="minorHAnsi" w:cstheme="minorHAnsi"/>
                <w:b/>
                <w:bCs/>
                <w:szCs w:val="24"/>
              </w:rPr>
            </w:pPr>
            <w:r w:rsidRPr="00884DA9">
              <w:rPr>
                <w:rStyle w:val="normaltextrun"/>
                <w:rFonts w:ascii="Calibri" w:hAnsi="Calibri" w:cs="Calibri"/>
                <w:b/>
                <w:bCs/>
              </w:rPr>
              <w:t>456,857</w:t>
            </w:r>
            <w:r w:rsidRPr="00884DA9">
              <w:rPr>
                <w:rStyle w:val="eop"/>
                <w:rFonts w:ascii="Calibri" w:hAnsi="Calibri" w:cs="Calibri"/>
                <w:b/>
                <w:bCs/>
              </w:rPr>
              <w:t> </w:t>
            </w:r>
          </w:p>
        </w:tc>
        <w:tc>
          <w:tcPr>
            <w:tcW w:w="1350" w:type="dxa"/>
          </w:tcPr>
          <w:p w:rsidR="00884DA9" w:rsidRPr="00884DA9" w:rsidP="00884DA9" w14:paraId="64280EDE" w14:textId="1BCF513A">
            <w:pPr>
              <w:jc w:val="center"/>
              <w:rPr>
                <w:rFonts w:asciiTheme="minorHAnsi" w:hAnsiTheme="minorHAnsi" w:cstheme="minorHAnsi"/>
                <w:b/>
                <w:bCs/>
                <w:szCs w:val="24"/>
              </w:rPr>
            </w:pPr>
            <w:r w:rsidRPr="00884DA9">
              <w:rPr>
                <w:rStyle w:val="normaltextrun"/>
                <w:rFonts w:ascii="Calibri" w:hAnsi="Calibri" w:cs="Calibri"/>
                <w:b/>
                <w:bCs/>
              </w:rPr>
              <w:t>$</w:t>
            </w:r>
            <w:r w:rsidR="007A31F8">
              <w:rPr>
                <w:rStyle w:val="normaltextrun"/>
                <w:rFonts w:ascii="Calibri" w:hAnsi="Calibri" w:cs="Calibri"/>
                <w:b/>
                <w:bCs/>
              </w:rPr>
              <w:t>24.51</w:t>
            </w:r>
          </w:p>
        </w:tc>
        <w:tc>
          <w:tcPr>
            <w:tcW w:w="1530" w:type="dxa"/>
          </w:tcPr>
          <w:p w:rsidR="00884DA9" w:rsidRPr="00884DA9" w:rsidP="00884DA9" w14:paraId="64280EDF" w14:textId="031D20AD">
            <w:pPr>
              <w:jc w:val="center"/>
              <w:rPr>
                <w:rFonts w:asciiTheme="minorHAnsi" w:hAnsiTheme="minorHAnsi" w:cstheme="minorHAnsi"/>
                <w:b/>
                <w:bCs/>
                <w:szCs w:val="24"/>
              </w:rPr>
            </w:pPr>
            <w:r w:rsidRPr="00884DA9">
              <w:rPr>
                <w:rStyle w:val="normaltextrun"/>
                <w:rFonts w:ascii="Calibri" w:hAnsi="Calibri" w:cs="Calibri"/>
                <w:b/>
                <w:bCs/>
              </w:rPr>
              <w:t>$1</w:t>
            </w:r>
            <w:r w:rsidR="00CA24D0">
              <w:rPr>
                <w:rStyle w:val="normaltextrun"/>
                <w:rFonts w:ascii="Calibri" w:hAnsi="Calibri" w:cs="Calibri"/>
                <w:b/>
                <w:bCs/>
              </w:rPr>
              <w:t>1,197,565</w:t>
            </w:r>
            <w:r w:rsidRPr="00884DA9">
              <w:rPr>
                <w:rStyle w:val="eop"/>
                <w:rFonts w:ascii="Calibri" w:hAnsi="Calibri" w:cs="Calibri"/>
                <w:b/>
                <w:bCs/>
              </w:rPr>
              <w:t> </w:t>
            </w:r>
          </w:p>
        </w:tc>
      </w:tr>
    </w:tbl>
    <w:p w:rsidR="001A6AE0" w:rsidP="00246834" w14:paraId="64280EE1" w14:textId="2052817E">
      <w:pPr>
        <w:pStyle w:val="ListParagraph"/>
        <w:tabs>
          <w:tab w:val="left" w:pos="-720"/>
        </w:tabs>
        <w:suppressAutoHyphens/>
        <w:ind w:left="-864" w:right="-864"/>
        <w:rPr>
          <w:rStyle w:val="a"/>
          <w:rFonts w:ascii="Times New Roman" w:hAnsi="Times New Roman"/>
          <w:b/>
          <w:bCs/>
          <w:i/>
          <w:iCs/>
          <w:szCs w:val="24"/>
        </w:rPr>
      </w:pPr>
    </w:p>
    <w:p w:rsidR="002A20E9" w:rsidRPr="00D27DDA" w:rsidP="00246834" w14:paraId="60E90B66" w14:textId="72BC17D6">
      <w:pPr>
        <w:pStyle w:val="ListParagraph"/>
        <w:tabs>
          <w:tab w:val="left" w:pos="-720"/>
        </w:tabs>
        <w:suppressAutoHyphens/>
        <w:ind w:right="-864"/>
        <w:rPr>
          <w:rStyle w:val="a"/>
          <w:rFonts w:asciiTheme="minorHAnsi" w:hAnsiTheme="minorHAnsi" w:cstheme="minorHAnsi"/>
          <w:szCs w:val="24"/>
        </w:rPr>
      </w:pPr>
      <w:r w:rsidRPr="00D27DDA">
        <w:rPr>
          <w:rStyle w:val="a"/>
          <w:rFonts w:asciiTheme="minorHAnsi" w:hAnsiTheme="minorHAnsi" w:cstheme="minorHAnsi"/>
          <w:szCs w:val="24"/>
        </w:rPr>
        <w:t>The costs are based on the May 202</w:t>
      </w:r>
      <w:r w:rsidR="00425230">
        <w:rPr>
          <w:rStyle w:val="a"/>
          <w:rFonts w:asciiTheme="minorHAnsi" w:hAnsiTheme="minorHAnsi" w:cstheme="minorHAnsi"/>
          <w:szCs w:val="24"/>
        </w:rPr>
        <w:t>5</w:t>
      </w:r>
      <w:r w:rsidRPr="00D27DDA">
        <w:rPr>
          <w:rStyle w:val="a"/>
          <w:rFonts w:asciiTheme="minorHAnsi" w:hAnsiTheme="minorHAnsi" w:cstheme="minorHAnsi"/>
          <w:szCs w:val="24"/>
        </w:rPr>
        <w:t xml:space="preserve"> median wage for all occupations as noted here: </w:t>
      </w:r>
      <w:hyperlink r:id="rId13" w:anchor="00-0000" w:history="1">
        <w:r w:rsidRPr="00D27DDA">
          <w:rPr>
            <w:rStyle w:val="Hyperlink"/>
            <w:rFonts w:asciiTheme="minorHAnsi" w:hAnsiTheme="minorHAnsi" w:cstheme="minorHAnsi"/>
          </w:rPr>
          <w:t>https://www.bls.gov/oes/current/oes_nat.htm#00-0000</w:t>
        </w:r>
      </w:hyperlink>
    </w:p>
    <w:p w:rsidR="002A20E9" w:rsidRPr="002A20E9" w:rsidP="00246834" w14:paraId="183E7AF2" w14:textId="41FBCE5F">
      <w:pPr>
        <w:pStyle w:val="ListParagraph"/>
        <w:tabs>
          <w:tab w:val="left" w:pos="-720"/>
        </w:tabs>
        <w:suppressAutoHyphens/>
        <w:ind w:left="-864" w:right="-864"/>
        <w:rPr>
          <w:rStyle w:val="a"/>
          <w:rFonts w:ascii="Times New Roman" w:hAnsi="Times New Roman"/>
          <w:szCs w:val="24"/>
        </w:rPr>
      </w:pPr>
    </w:p>
    <w:p w:rsidR="002A20E9" w:rsidP="00246834" w14:paraId="7428EBC0"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246834"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246834" w14:paraId="64280EE3" w14:textId="77777777">
      <w:pPr>
        <w:pStyle w:val="ListParagraph"/>
        <w:tabs>
          <w:tab w:val="left" w:pos="-720"/>
        </w:tabs>
        <w:suppressAutoHyphens/>
        <w:rPr>
          <w:rStyle w:val="a"/>
          <w:rFonts w:ascii="Times New Roman" w:hAnsi="Times New Roman"/>
          <w:szCs w:val="24"/>
        </w:rPr>
      </w:pPr>
    </w:p>
    <w:p w:rsidR="00043C32" w:rsidRPr="00ED7195" w:rsidP="00246834" w14:paraId="64280EE4" w14:textId="480AC939">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w:t>
      </w:r>
      <w:r w:rsidR="008F3ECA">
        <w:rPr>
          <w:rStyle w:val="a"/>
          <w:rFonts w:ascii="Times New Roman" w:hAnsi="Times New Roman"/>
          <w:b/>
          <w:szCs w:val="24"/>
        </w:rPr>
        <w:t xml:space="preserve"> </w:t>
      </w:r>
      <w:r w:rsidRPr="00ED7195">
        <w:rPr>
          <w:rStyle w:val="a"/>
          <w:rFonts w:ascii="Times New Roman" w:hAnsi="Times New Roman"/>
          <w:b/>
          <w:szCs w:val="24"/>
        </w:rPr>
        <w:t>(Do not include the cost of any hour burden shown in Items 12 and 14.)</w:t>
      </w:r>
    </w:p>
    <w:p w:rsidR="00043C32" w:rsidRPr="00ED7195" w:rsidP="00246834" w14:paraId="64280EE5" w14:textId="77777777">
      <w:pPr>
        <w:tabs>
          <w:tab w:val="left" w:pos="-720"/>
        </w:tabs>
        <w:suppressAutoHyphens/>
        <w:rPr>
          <w:rFonts w:ascii="Times New Roman" w:hAnsi="Times New Roman"/>
          <w:b/>
          <w:szCs w:val="24"/>
        </w:rPr>
      </w:pPr>
    </w:p>
    <w:p w:rsidR="00043C32" w:rsidRPr="00ED7195" w:rsidP="00246834" w14:paraId="64280EE6" w14:textId="7C0C1E23">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8F3ECA">
        <w:rPr>
          <w:rFonts w:ascii="Times New Roman" w:hAnsi="Times New Roman"/>
          <w:b/>
          <w:szCs w:val="24"/>
        </w:rPr>
        <w:t xml:space="preserve"> </w:t>
      </w:r>
      <w:r w:rsidRPr="00ED7195">
        <w:rPr>
          <w:rFonts w:ascii="Times New Roman" w:hAnsi="Times New Roman"/>
          <w:b/>
          <w:szCs w:val="24"/>
        </w:rPr>
        <w:t xml:space="preserve">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w:t>
      </w:r>
      <w:r w:rsidR="008F3ECA">
        <w:rPr>
          <w:rFonts w:ascii="Times New Roman" w:hAnsi="Times New Roman"/>
          <w:b/>
          <w:szCs w:val="24"/>
        </w:rPr>
        <w:t xml:space="preserve"> </w:t>
      </w:r>
      <w:r w:rsidRPr="00ED7195">
        <w:rPr>
          <w:rFonts w:ascii="Times New Roman" w:hAnsi="Times New Roman"/>
          <w:b/>
          <w:szCs w:val="24"/>
        </w:rPr>
        <w:t xml:space="preserve">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w:t>
      </w:r>
      <w:r w:rsidR="008F3ECA">
        <w:rPr>
          <w:rFonts w:ascii="Times New Roman" w:hAnsi="Times New Roman"/>
          <w:b/>
          <w:szCs w:val="24"/>
        </w:rPr>
        <w:t xml:space="preserve">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46834" w14:paraId="64280EE7" w14:textId="77777777">
      <w:pPr>
        <w:numPr>
          <w:ilvl w:val="12"/>
          <w:numId w:val="0"/>
        </w:numPr>
        <w:tabs>
          <w:tab w:val="left" w:pos="-720"/>
        </w:tabs>
        <w:suppressAutoHyphens/>
        <w:ind w:left="340"/>
        <w:rPr>
          <w:rFonts w:ascii="Times New Roman" w:hAnsi="Times New Roman"/>
          <w:szCs w:val="24"/>
        </w:rPr>
      </w:pPr>
    </w:p>
    <w:p w:rsidR="00043C32" w:rsidRPr="00ED7195" w:rsidP="00246834" w14:paraId="64280EE8" w14:textId="3D6B4C42">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w:t>
      </w:r>
      <w:r w:rsidR="008F3ECA">
        <w:rPr>
          <w:rFonts w:ascii="Times New Roman" w:hAnsi="Times New Roman"/>
          <w:b/>
          <w:szCs w:val="24"/>
        </w:rPr>
        <w:t xml:space="preserve"> </w:t>
      </w:r>
      <w:r w:rsidRPr="00ED7195">
        <w:rPr>
          <w:rFonts w:ascii="Times New Roman" w:hAnsi="Times New Roman"/>
          <w:b/>
          <w:szCs w:val="24"/>
        </w:rPr>
        <w:t xml:space="preserve">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w:t>
      </w:r>
      <w:r w:rsidR="008F3ECA">
        <w:rPr>
          <w:rFonts w:ascii="Times New Roman" w:hAnsi="Times New Roman"/>
          <w:b/>
          <w:szCs w:val="24"/>
        </w:rPr>
        <w:t xml:space="preserve"> </w:t>
      </w:r>
      <w:r w:rsidRPr="00ED7195">
        <w:rPr>
          <w:rFonts w:ascii="Times New Roman" w:hAnsi="Times New Roman"/>
          <w:b/>
          <w:szCs w:val="24"/>
        </w:rPr>
        <w:t xml:space="preserve">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t>analysis associated with the rulemaking containing the information collection, as appropriate.</w:t>
      </w:r>
    </w:p>
    <w:p w:rsidR="00043C32" w:rsidRPr="00ED7195" w:rsidP="00246834" w14:paraId="64280EE9" w14:textId="77777777">
      <w:pPr>
        <w:tabs>
          <w:tab w:val="left" w:pos="-720"/>
          <w:tab w:val="left" w:pos="1247"/>
        </w:tabs>
        <w:suppressAutoHyphens/>
        <w:ind w:left="340"/>
        <w:rPr>
          <w:rFonts w:ascii="Times New Roman" w:hAnsi="Times New Roman"/>
          <w:b/>
          <w:szCs w:val="24"/>
        </w:rPr>
      </w:pPr>
    </w:p>
    <w:p w:rsidR="00043C32" w:rsidRPr="00ED7195" w:rsidP="00246834"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46834" w14:paraId="64280EEB" w14:textId="77777777">
      <w:pPr>
        <w:tabs>
          <w:tab w:val="left" w:pos="-720"/>
        </w:tabs>
        <w:suppressAutoHyphens/>
        <w:rPr>
          <w:rFonts w:ascii="Times New Roman" w:hAnsi="Times New Roman"/>
          <w:b/>
          <w:szCs w:val="24"/>
        </w:rPr>
      </w:pPr>
    </w:p>
    <w:p w:rsidR="00043C32" w:rsidRPr="00ED7195" w:rsidP="00246834"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p>
    <w:p w:rsidR="00043C32" w:rsidRPr="00ED7195" w:rsidP="00246834"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246834" w14:paraId="64280EEE" w14:textId="057F5ABB">
      <w:pPr>
        <w:tabs>
          <w:tab w:val="left" w:pos="-720"/>
        </w:tabs>
        <w:suppressAutoHyphens/>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61921" w:rsidP="00246834" w14:paraId="01C8645F" w14:textId="7FBF38F8">
      <w:pPr>
        <w:tabs>
          <w:tab w:val="left" w:pos="-720"/>
        </w:tabs>
        <w:suppressAutoHyphens/>
        <w:rPr>
          <w:rFonts w:ascii="Times New Roman" w:hAnsi="Times New Roman"/>
          <w:b/>
          <w:szCs w:val="24"/>
        </w:rPr>
      </w:pPr>
    </w:p>
    <w:p w:rsidR="00261921" w:rsidRPr="00CA59E3" w:rsidP="00246834" w14:paraId="30870098"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There are no capital/startup costs to respondents.</w:t>
      </w:r>
    </w:p>
    <w:p w:rsidR="00043C32" w:rsidP="00246834" w14:paraId="64280EEF" w14:textId="77777777">
      <w:pPr>
        <w:tabs>
          <w:tab w:val="left" w:pos="-720"/>
        </w:tabs>
        <w:suppressAutoHyphens/>
        <w:rPr>
          <w:rFonts w:ascii="Times New Roman" w:hAnsi="Times New Roman"/>
          <w:szCs w:val="24"/>
        </w:rPr>
      </w:pPr>
    </w:p>
    <w:p w:rsidR="00043C32" w:rsidRPr="00534B4A" w:rsidP="00246834" w14:paraId="64280EF0" w14:textId="7B800A5B">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w:t>
      </w:r>
      <w:r w:rsidR="008F3ECA">
        <w:rPr>
          <w:rStyle w:val="a"/>
          <w:rFonts w:ascii="Times New Roman" w:hAnsi="Times New Roman"/>
          <w:b/>
          <w:szCs w:val="24"/>
        </w:rPr>
        <w:t xml:space="preserve"> </w:t>
      </w:r>
      <w:r w:rsidRPr="00534B4A">
        <w:rPr>
          <w:rStyle w:val="a"/>
          <w:rFonts w:ascii="Times New Roman" w:hAnsi="Times New Roman"/>
          <w:b/>
          <w:szCs w:val="24"/>
        </w:rPr>
        <w:t xml:space="preserve">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w:t>
      </w:r>
      <w:r w:rsidR="008F3ECA">
        <w:rPr>
          <w:rStyle w:val="a"/>
          <w:rFonts w:ascii="Times New Roman" w:hAnsi="Times New Roman"/>
          <w:b/>
          <w:szCs w:val="24"/>
        </w:rPr>
        <w:t xml:space="preserve"> </w:t>
      </w:r>
      <w:r w:rsidRPr="00534B4A">
        <w:rPr>
          <w:rStyle w:val="a"/>
          <w:rFonts w:ascii="Times New Roman" w:hAnsi="Times New Roman"/>
          <w:b/>
          <w:szCs w:val="24"/>
        </w:rPr>
        <w:t>Agencies also may aggregate cost estimates from Items 12, 13, and 14 in a single table.</w:t>
      </w:r>
    </w:p>
    <w:p w:rsidR="00534B4A" w:rsidP="00246834" w14:paraId="64280EF1" w14:textId="77777777">
      <w:pPr>
        <w:tabs>
          <w:tab w:val="left" w:pos="-720"/>
        </w:tabs>
        <w:suppressAutoHyphens/>
        <w:ind w:left="720"/>
        <w:rPr>
          <w:rFonts w:ascii="Times New Roman" w:hAnsi="Times New Roman"/>
          <w:szCs w:val="24"/>
        </w:rPr>
      </w:pPr>
    </w:p>
    <w:p w:rsidR="00534B4A" w:rsidRPr="00496DAA" w:rsidP="00496DAA" w14:paraId="64280EF2" w14:textId="2CF72251">
      <w:pPr>
        <w:pStyle w:val="BodyText"/>
        <w:ind w:left="720"/>
        <w:rPr>
          <w:rFonts w:asciiTheme="minorHAnsi" w:hAnsiTheme="minorHAnsi" w:cstheme="minorHAnsi"/>
        </w:rPr>
      </w:pPr>
      <w:r w:rsidRPr="00496DAA">
        <w:rPr>
          <w:rFonts w:asciiTheme="minorHAnsi" w:hAnsiTheme="minorHAnsi" w:cstheme="minorHAnsi"/>
        </w:rPr>
        <w:t>There is no significant cost to the federal government related to these forms from Direct Loan borrowers, since servicers distribute and process the loan discharge applications, and the Department’s servicers do not specifically charge the government for distributing these forms. </w:t>
      </w:r>
    </w:p>
    <w:p w:rsidR="00800D30" w:rsidP="00246834"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246834" w14:paraId="64280EF4" w14:textId="77777777">
      <w:pPr>
        <w:pStyle w:val="ListParagraph"/>
        <w:tabs>
          <w:tab w:val="left" w:pos="-720"/>
        </w:tabs>
        <w:suppressAutoHyphens/>
        <w:contextualSpacing w:val="0"/>
        <w:rPr>
          <w:rFonts w:ascii="Times New Roman" w:hAnsi="Times New Roman"/>
          <w:b/>
          <w:szCs w:val="24"/>
        </w:rPr>
      </w:pPr>
    </w:p>
    <w:p w:rsidR="00534B4A" w:rsidP="00246834"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246834" w14:paraId="64280EF7" w14:textId="77777777">
            <w:pPr>
              <w:tabs>
                <w:tab w:val="left" w:pos="-720"/>
              </w:tabs>
              <w:suppressAutoHyphens/>
              <w:rPr>
                <w:rFonts w:ascii="Times New Roman" w:hAnsi="Times New Roman"/>
                <w:b/>
                <w:szCs w:val="24"/>
              </w:rPr>
            </w:pPr>
          </w:p>
        </w:tc>
        <w:tc>
          <w:tcPr>
            <w:tcW w:w="2048" w:type="dxa"/>
          </w:tcPr>
          <w:p w:rsidR="0052073E" w:rsidP="00246834"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46834"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46834"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246834"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46834" w14:paraId="64280EFD" w14:textId="77777777">
            <w:pPr>
              <w:tabs>
                <w:tab w:val="left" w:pos="-720"/>
              </w:tabs>
              <w:suppressAutoHyphens/>
              <w:rPr>
                <w:rFonts w:ascii="Times New Roman" w:hAnsi="Times New Roman"/>
                <w:b/>
                <w:szCs w:val="24"/>
              </w:rPr>
            </w:pPr>
          </w:p>
        </w:tc>
        <w:tc>
          <w:tcPr>
            <w:tcW w:w="2829" w:type="dxa"/>
          </w:tcPr>
          <w:p w:rsidR="0052073E" w:rsidRPr="00CA59E3" w:rsidP="00246834" w14:paraId="64280EFE" w14:textId="77D535F4">
            <w:pPr>
              <w:tabs>
                <w:tab w:val="left" w:pos="-720"/>
              </w:tabs>
              <w:suppressAutoHyphens/>
              <w:jc w:val="center"/>
              <w:rPr>
                <w:rFonts w:asciiTheme="minorHAnsi" w:hAnsiTheme="minorHAnsi" w:cstheme="minorHAnsi"/>
                <w:bCs/>
                <w:szCs w:val="24"/>
              </w:rPr>
            </w:pPr>
          </w:p>
        </w:tc>
        <w:tc>
          <w:tcPr>
            <w:tcW w:w="2520" w:type="dxa"/>
          </w:tcPr>
          <w:p w:rsidR="0052073E" w:rsidP="00246834"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246834"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46834" w14:paraId="64280F02" w14:textId="77777777">
            <w:pPr>
              <w:tabs>
                <w:tab w:val="left" w:pos="-720"/>
              </w:tabs>
              <w:suppressAutoHyphens/>
              <w:rPr>
                <w:rFonts w:ascii="Times New Roman" w:hAnsi="Times New Roman"/>
                <w:b/>
                <w:szCs w:val="24"/>
              </w:rPr>
            </w:pPr>
          </w:p>
        </w:tc>
        <w:tc>
          <w:tcPr>
            <w:tcW w:w="2829" w:type="dxa"/>
          </w:tcPr>
          <w:p w:rsidR="0052073E" w:rsidRPr="00CA59E3" w:rsidP="00246834" w14:paraId="64280F03" w14:textId="4983D969">
            <w:pPr>
              <w:tabs>
                <w:tab w:val="left" w:pos="-720"/>
              </w:tabs>
              <w:suppressAutoHyphens/>
              <w:jc w:val="center"/>
              <w:rPr>
                <w:rFonts w:asciiTheme="minorHAnsi" w:hAnsiTheme="minorHAnsi" w:cstheme="minorHAnsi"/>
                <w:bCs/>
                <w:szCs w:val="24"/>
              </w:rPr>
            </w:pPr>
          </w:p>
        </w:tc>
        <w:tc>
          <w:tcPr>
            <w:tcW w:w="2520" w:type="dxa"/>
          </w:tcPr>
          <w:p w:rsidR="0052073E" w:rsidP="00246834"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246834"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46834" w14:paraId="64280F07" w14:textId="77777777">
            <w:pPr>
              <w:tabs>
                <w:tab w:val="left" w:pos="-720"/>
              </w:tabs>
              <w:suppressAutoHyphens/>
              <w:rPr>
                <w:rFonts w:ascii="Times New Roman" w:hAnsi="Times New Roman"/>
                <w:b/>
                <w:szCs w:val="24"/>
              </w:rPr>
            </w:pPr>
          </w:p>
        </w:tc>
        <w:tc>
          <w:tcPr>
            <w:tcW w:w="2829" w:type="dxa"/>
          </w:tcPr>
          <w:p w:rsidR="0052073E" w:rsidRPr="00CA59E3" w:rsidP="00246834" w14:paraId="64280F08" w14:textId="62387014">
            <w:pPr>
              <w:tabs>
                <w:tab w:val="left" w:pos="-720"/>
              </w:tabs>
              <w:suppressAutoHyphens/>
              <w:jc w:val="center"/>
              <w:rPr>
                <w:rFonts w:asciiTheme="minorHAnsi" w:hAnsiTheme="minorHAnsi" w:cstheme="minorHAnsi"/>
                <w:bCs/>
                <w:szCs w:val="24"/>
              </w:rPr>
            </w:pPr>
          </w:p>
        </w:tc>
        <w:tc>
          <w:tcPr>
            <w:tcW w:w="2520" w:type="dxa"/>
          </w:tcPr>
          <w:p w:rsidR="0052073E" w:rsidP="00246834" w14:paraId="64280F09" w14:textId="77777777">
            <w:pPr>
              <w:tabs>
                <w:tab w:val="left" w:pos="-720"/>
              </w:tabs>
              <w:suppressAutoHyphens/>
              <w:rPr>
                <w:rFonts w:ascii="Times New Roman" w:hAnsi="Times New Roman"/>
                <w:b/>
                <w:szCs w:val="24"/>
              </w:rPr>
            </w:pPr>
          </w:p>
        </w:tc>
      </w:tr>
    </w:tbl>
    <w:p w:rsidR="00F27AAF" w:rsidRPr="005F4E11" w:rsidP="00246834" w14:paraId="64280F0B" w14:textId="77777777">
      <w:pPr>
        <w:tabs>
          <w:tab w:val="left" w:pos="-720"/>
        </w:tabs>
        <w:suppressAutoHyphens/>
        <w:ind w:left="720"/>
        <w:rPr>
          <w:rFonts w:ascii="Times New Roman" w:hAnsi="Times New Roman"/>
          <w:bCs/>
          <w:szCs w:val="24"/>
        </w:rPr>
      </w:pPr>
    </w:p>
    <w:p w:rsidR="00261921" w:rsidRPr="00CA59E3" w:rsidP="00246834" w14:paraId="28D95591" w14:textId="259E690F">
      <w:pPr>
        <w:tabs>
          <w:tab w:val="left" w:pos="-720"/>
        </w:tabs>
        <w:suppressAutoHyphens/>
        <w:ind w:left="700"/>
        <w:rPr>
          <w:rFonts w:asciiTheme="minorHAnsi" w:hAnsiTheme="minorHAnsi" w:cstheme="minorHAnsi"/>
        </w:rPr>
      </w:pPr>
      <w:r w:rsidRPr="003E28CF">
        <w:rPr>
          <w:rFonts w:asciiTheme="minorHAnsi" w:hAnsiTheme="minorHAnsi" w:cstheme="minorHAnsi"/>
        </w:rPr>
        <w:t xml:space="preserve">This </w:t>
      </w:r>
      <w:r w:rsidRPr="003E28CF" w:rsidR="00FA357D">
        <w:rPr>
          <w:rFonts w:asciiTheme="minorHAnsi" w:hAnsiTheme="minorHAnsi" w:cstheme="minorHAnsi"/>
        </w:rPr>
        <w:t>request does not request changes to the approved burden.</w:t>
      </w:r>
    </w:p>
    <w:p w:rsidR="005F4E11" w:rsidRPr="005F4E11" w:rsidP="00246834" w14:paraId="202A661E" w14:textId="34B473DE">
      <w:pPr>
        <w:tabs>
          <w:tab w:val="left" w:pos="-720"/>
        </w:tabs>
        <w:suppressAutoHyphens/>
        <w:ind w:left="720"/>
        <w:rPr>
          <w:rFonts w:asciiTheme="minorHAnsi" w:hAnsiTheme="minorHAnsi" w:cstheme="minorHAnsi"/>
          <w:bCs/>
          <w:szCs w:val="24"/>
        </w:rPr>
      </w:pPr>
    </w:p>
    <w:p w:rsidR="00043C32" w:rsidP="00246834" w14:paraId="64280F0D" w14:textId="1A04A4B8">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w:t>
      </w:r>
      <w:r w:rsidR="008F3ECA">
        <w:rPr>
          <w:rStyle w:val="a"/>
          <w:rFonts w:ascii="Times New Roman" w:hAnsi="Times New Roman"/>
          <w:b/>
          <w:szCs w:val="24"/>
        </w:rPr>
        <w:t xml:space="preserve"> </w:t>
      </w:r>
      <w:r w:rsidRPr="00534B4A">
        <w:rPr>
          <w:rStyle w:val="a"/>
          <w:rFonts w:ascii="Times New Roman" w:hAnsi="Times New Roman"/>
          <w:b/>
          <w:szCs w:val="24"/>
        </w:rPr>
        <w:t>Address any complex analytical techniques that will be used.</w:t>
      </w:r>
      <w:r w:rsidR="008F3ECA">
        <w:rPr>
          <w:rStyle w:val="a"/>
          <w:rFonts w:ascii="Times New Roman" w:hAnsi="Times New Roman"/>
          <w:b/>
          <w:szCs w:val="24"/>
        </w:rPr>
        <w:t xml:space="preserve"> </w:t>
      </w:r>
      <w:r w:rsidRPr="00534B4A">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534B4A" w:rsidP="00246834" w14:paraId="64280F0E" w14:textId="77777777">
      <w:pPr>
        <w:tabs>
          <w:tab w:val="left" w:pos="-720"/>
        </w:tabs>
        <w:suppressAutoHyphens/>
        <w:ind w:left="720"/>
        <w:rPr>
          <w:rFonts w:ascii="Times New Roman" w:hAnsi="Times New Roman"/>
          <w:szCs w:val="24"/>
        </w:rPr>
      </w:pPr>
    </w:p>
    <w:p w:rsidR="00AA5138" w:rsidRPr="00CA59E3" w:rsidP="00246834" w14:paraId="3B444721" w14:textId="0423B427">
      <w:pPr>
        <w:tabs>
          <w:tab w:val="left" w:pos="-720"/>
        </w:tabs>
        <w:suppressAutoHyphens/>
        <w:ind w:left="720"/>
        <w:rPr>
          <w:rFonts w:asciiTheme="minorHAnsi" w:hAnsiTheme="minorHAnsi" w:cstheme="minorHAnsi"/>
        </w:rPr>
      </w:pPr>
      <w:r w:rsidRPr="00CA59E3">
        <w:rPr>
          <w:rFonts w:asciiTheme="minorHAnsi" w:hAnsiTheme="minorHAnsi" w:cstheme="minorHAnsi"/>
        </w:rPr>
        <w:t>The results of this information collection will not be published.</w:t>
      </w:r>
    </w:p>
    <w:p w:rsidR="00534B4A" w:rsidRPr="00534B4A" w:rsidP="00246834" w14:paraId="64280F0F" w14:textId="77777777">
      <w:pPr>
        <w:tabs>
          <w:tab w:val="left" w:pos="-720"/>
        </w:tabs>
        <w:suppressAutoHyphens/>
        <w:ind w:left="720"/>
        <w:rPr>
          <w:rFonts w:ascii="Times New Roman" w:hAnsi="Times New Roman"/>
          <w:szCs w:val="24"/>
        </w:rPr>
      </w:pPr>
    </w:p>
    <w:p w:rsidR="00043C32" w:rsidRPr="00534B4A" w:rsidP="00246834"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246834" w14:paraId="64280F11" w14:textId="77777777">
      <w:pPr>
        <w:tabs>
          <w:tab w:val="left" w:pos="-720"/>
        </w:tabs>
        <w:suppressAutoHyphens/>
        <w:ind w:left="720"/>
        <w:rPr>
          <w:rFonts w:ascii="Times New Roman" w:hAnsi="Times New Roman"/>
          <w:bCs/>
          <w:szCs w:val="24"/>
        </w:rPr>
      </w:pPr>
    </w:p>
    <w:p w:rsidR="00261921" w:rsidRPr="00CA59E3" w:rsidP="00246834" w14:paraId="73D08988" w14:textId="5B026842">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246834" w14:paraId="64280F12" w14:textId="77777777">
      <w:pPr>
        <w:tabs>
          <w:tab w:val="left" w:pos="-720"/>
        </w:tabs>
        <w:suppressAutoHyphens/>
        <w:ind w:left="720"/>
        <w:rPr>
          <w:rFonts w:ascii="Times New Roman" w:hAnsi="Times New Roman"/>
          <w:bCs/>
          <w:szCs w:val="24"/>
        </w:rPr>
      </w:pPr>
    </w:p>
    <w:p w:rsidR="001C73C0" w:rsidP="00246834"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246834" w14:paraId="07117DF1" w14:textId="68EA5D2C">
      <w:pPr>
        <w:tabs>
          <w:tab w:val="left" w:pos="-720"/>
        </w:tabs>
        <w:suppressAutoHyphens/>
        <w:ind w:left="720"/>
        <w:rPr>
          <w:rFonts w:ascii="Times New Roman" w:hAnsi="Times New Roman"/>
          <w:bCs/>
          <w:szCs w:val="24"/>
        </w:rPr>
      </w:pPr>
    </w:p>
    <w:p w:rsidR="00261921" w:rsidRPr="00CA59E3" w:rsidP="00246834" w14:paraId="16D6BC07" w14:textId="25C0F941">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5F4E11" w:rsidP="00246834" w14:paraId="22C5FEDA" w14:textId="46F809EC">
      <w:pPr>
        <w:tabs>
          <w:tab w:val="left" w:pos="-720"/>
        </w:tabs>
        <w:suppressAutoHyphens/>
        <w:ind w:left="720"/>
        <w:rPr>
          <w:rFonts w:asciiTheme="minorHAnsi" w:hAnsiTheme="minorHAnsi" w:cstheme="minorHAnsi"/>
          <w:bCs/>
          <w:szCs w:val="24"/>
        </w:rPr>
      </w:pPr>
    </w:p>
    <w:p w:rsidR="00AA5138" w:rsidRPr="00AA5138" w:rsidP="00246834" w14:paraId="1D395179" w14:textId="77777777">
      <w:pPr>
        <w:tabs>
          <w:tab w:val="left" w:pos="-720"/>
        </w:tabs>
        <w:suppressAutoHyphens/>
        <w:ind w:left="720"/>
        <w:rPr>
          <w:rFonts w:ascii="Times New Roman" w:hAnsi="Times New Roman"/>
          <w:bCs/>
          <w:szCs w:val="24"/>
        </w:rPr>
      </w:pPr>
    </w:p>
    <w:sectPr w:rsidSect="00043C32">
      <w:headerReference w:type="default" r:id="rId14"/>
      <w:footerReference w:type="default" r:id="rId15"/>
      <w:endnotePr>
        <w:numFmt w:val="decimal"/>
      </w:endnotePr>
      <w:pgSz w:w="12240" w:h="15840" w:orient="portrait"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5D1" w14:paraId="64280F18" w14:textId="77777777">
    <w:pPr>
      <w:spacing w:before="140" w:line="100" w:lineRule="exact"/>
      <w:rPr>
        <w:sz w:val="10"/>
      </w:rPr>
    </w:pPr>
  </w:p>
  <w:p w:rsidR="006625D1" w14:paraId="64280F19" w14:textId="77777777">
    <w:pPr>
      <w:tabs>
        <w:tab w:val="left" w:pos="0"/>
      </w:tabs>
      <w:suppressAutoHyphens/>
    </w:pPr>
  </w:p>
  <w:p w:rsidR="006625D1"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625D1"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625D1"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024D" w:rsidP="00043C32" w14:paraId="757758B1" w14:textId="77777777">
      <w:r>
        <w:separator/>
      </w:r>
    </w:p>
  </w:footnote>
  <w:footnote w:type="continuationSeparator" w:id="1">
    <w:p w:rsidR="0064024D" w:rsidP="00043C32" w14:paraId="5246038E" w14:textId="77777777">
      <w:r>
        <w:continuationSeparator/>
      </w:r>
    </w:p>
  </w:footnote>
  <w:footnote w:type="continuationNotice" w:id="2">
    <w:p w:rsidR="0064024D" w14:paraId="104A603C"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3E15BA9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9328AE">
      <w:rPr>
        <w:rFonts w:ascii="Times New Roman" w:hAnsi="Times New Roman"/>
        <w:szCs w:val="24"/>
      </w:rPr>
      <w:t>1845</w:t>
    </w:r>
    <w:r w:rsidRPr="00C875E8">
      <w:rPr>
        <w:rFonts w:ascii="Times New Roman" w:hAnsi="Times New Roman"/>
        <w:szCs w:val="24"/>
      </w:rPr>
      <w:t>-</w:t>
    </w:r>
    <w:r w:rsidR="00047D49">
      <w:rPr>
        <w:rFonts w:ascii="Times New Roman" w:hAnsi="Times New Roman"/>
        <w:szCs w:val="24"/>
      </w:rPr>
      <w:t>0110</w:t>
    </w:r>
    <w:r w:rsidR="00E22FD3">
      <w:rPr>
        <w:rFonts w:ascii="Times New Roman" w:hAnsi="Times New Roman"/>
        <w:szCs w:val="24"/>
      </w:rPr>
      <w:tab/>
    </w:r>
    <w:r w:rsidRPr="00C875E8">
      <w:rPr>
        <w:rFonts w:ascii="Times New Roman" w:hAnsi="Times New Roman"/>
        <w:szCs w:val="24"/>
      </w:rPr>
      <w:t xml:space="preserve">Revised: </w:t>
    </w:r>
    <w:r w:rsidR="00885187">
      <w:rPr>
        <w:rFonts w:ascii="Times New Roman" w:hAnsi="Times New Roman"/>
        <w:szCs w:val="24"/>
      </w:rPr>
      <w:t>0</w:t>
    </w:r>
    <w:r w:rsidR="00437758">
      <w:rPr>
        <w:rFonts w:ascii="Times New Roman" w:hAnsi="Times New Roman"/>
        <w:szCs w:val="24"/>
      </w:rPr>
      <w:t>7</w:t>
    </w:r>
    <w:r w:rsidR="00885187">
      <w:rPr>
        <w:rFonts w:ascii="Times New Roman" w:hAnsi="Times New Roman"/>
        <w:szCs w:val="24"/>
      </w:rPr>
      <w:t>/</w:t>
    </w:r>
    <w:r w:rsidR="00437758">
      <w:rPr>
        <w:rFonts w:ascii="Times New Roman" w:hAnsi="Times New Roman"/>
        <w:szCs w:val="24"/>
      </w:rPr>
      <w:t>0</w:t>
    </w:r>
    <w:r w:rsidR="002C4273">
      <w:rPr>
        <w:rFonts w:ascii="Times New Roman" w:hAnsi="Times New Roman"/>
        <w:szCs w:val="24"/>
      </w:rPr>
      <w:t>7</w:t>
    </w:r>
    <w:r w:rsidR="00885187">
      <w:rPr>
        <w:rFonts w:ascii="Times New Roman" w:hAnsi="Times New Roman"/>
        <w:szCs w:val="24"/>
      </w:rPr>
      <w:t>/2026</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04D65F8"/>
    <w:multiLevelType w:val="hybridMultilevel"/>
    <w:tmpl w:val="0EA06D42"/>
    <w:lvl w:ilvl="0">
      <w:start w:val="668"/>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5251581">
    <w:abstractNumId w:val="0"/>
  </w:num>
  <w:num w:numId="2" w16cid:durableId="486365093">
    <w:abstractNumId w:val="3"/>
  </w:num>
  <w:num w:numId="3" w16cid:durableId="628435077">
    <w:abstractNumId w:val="2"/>
  </w:num>
  <w:num w:numId="4" w16cid:durableId="991102424">
    <w:abstractNumId w:val="4"/>
  </w:num>
  <w:num w:numId="5" w16cid:durableId="887686957">
    <w:abstractNumId w:val="5"/>
  </w:num>
  <w:num w:numId="6" w16cid:durableId="1574002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BE6"/>
    <w:rsid w:val="00010D85"/>
    <w:rsid w:val="0001310C"/>
    <w:rsid w:val="00014FAC"/>
    <w:rsid w:val="00016B94"/>
    <w:rsid w:val="00022792"/>
    <w:rsid w:val="0002290A"/>
    <w:rsid w:val="00025F3F"/>
    <w:rsid w:val="00035ED5"/>
    <w:rsid w:val="0004000C"/>
    <w:rsid w:val="00040BB3"/>
    <w:rsid w:val="00043C32"/>
    <w:rsid w:val="000446F5"/>
    <w:rsid w:val="00045129"/>
    <w:rsid w:val="00047D49"/>
    <w:rsid w:val="000534E3"/>
    <w:rsid w:val="0005664F"/>
    <w:rsid w:val="000674B7"/>
    <w:rsid w:val="00067B08"/>
    <w:rsid w:val="00082608"/>
    <w:rsid w:val="000875E3"/>
    <w:rsid w:val="00093017"/>
    <w:rsid w:val="000A6980"/>
    <w:rsid w:val="000B7E18"/>
    <w:rsid w:val="000D61EF"/>
    <w:rsid w:val="000E09AD"/>
    <w:rsid w:val="000E5395"/>
    <w:rsid w:val="000F266F"/>
    <w:rsid w:val="000F3E2C"/>
    <w:rsid w:val="000F7748"/>
    <w:rsid w:val="00115BE6"/>
    <w:rsid w:val="00116DEF"/>
    <w:rsid w:val="00131673"/>
    <w:rsid w:val="001442D2"/>
    <w:rsid w:val="0015373A"/>
    <w:rsid w:val="001574DB"/>
    <w:rsid w:val="00162940"/>
    <w:rsid w:val="00164CBE"/>
    <w:rsid w:val="00170DC1"/>
    <w:rsid w:val="001824F3"/>
    <w:rsid w:val="001A6AE0"/>
    <w:rsid w:val="001B69BA"/>
    <w:rsid w:val="001C3426"/>
    <w:rsid w:val="001C73C0"/>
    <w:rsid w:val="001D6FBE"/>
    <w:rsid w:val="001E2F2B"/>
    <w:rsid w:val="001E4042"/>
    <w:rsid w:val="001E4C6D"/>
    <w:rsid w:val="001E75B8"/>
    <w:rsid w:val="001E79BD"/>
    <w:rsid w:val="00203787"/>
    <w:rsid w:val="0020775D"/>
    <w:rsid w:val="00212C7F"/>
    <w:rsid w:val="002225CC"/>
    <w:rsid w:val="0022470E"/>
    <w:rsid w:val="00224A3B"/>
    <w:rsid w:val="002324F7"/>
    <w:rsid w:val="00240A39"/>
    <w:rsid w:val="0024652E"/>
    <w:rsid w:val="00246834"/>
    <w:rsid w:val="00246FE9"/>
    <w:rsid w:val="00250100"/>
    <w:rsid w:val="00261921"/>
    <w:rsid w:val="00262A69"/>
    <w:rsid w:val="00262F47"/>
    <w:rsid w:val="00270AF7"/>
    <w:rsid w:val="0029694E"/>
    <w:rsid w:val="00297377"/>
    <w:rsid w:val="002A1F6E"/>
    <w:rsid w:val="002A20E9"/>
    <w:rsid w:val="002A3221"/>
    <w:rsid w:val="002C017B"/>
    <w:rsid w:val="002C0E08"/>
    <w:rsid w:val="002C3520"/>
    <w:rsid w:val="002C4273"/>
    <w:rsid w:val="002C538F"/>
    <w:rsid w:val="002E14E0"/>
    <w:rsid w:val="002E5E5A"/>
    <w:rsid w:val="002F118F"/>
    <w:rsid w:val="002F4653"/>
    <w:rsid w:val="002F55E5"/>
    <w:rsid w:val="002F6E68"/>
    <w:rsid w:val="003064BF"/>
    <w:rsid w:val="00314387"/>
    <w:rsid w:val="0032078A"/>
    <w:rsid w:val="00323594"/>
    <w:rsid w:val="0032539E"/>
    <w:rsid w:val="00331F0F"/>
    <w:rsid w:val="00333F14"/>
    <w:rsid w:val="00335550"/>
    <w:rsid w:val="00347055"/>
    <w:rsid w:val="00355CE6"/>
    <w:rsid w:val="003755B7"/>
    <w:rsid w:val="0038425C"/>
    <w:rsid w:val="003860E4"/>
    <w:rsid w:val="00386BEB"/>
    <w:rsid w:val="003904C6"/>
    <w:rsid w:val="00390529"/>
    <w:rsid w:val="003B08D0"/>
    <w:rsid w:val="003B1545"/>
    <w:rsid w:val="003D1664"/>
    <w:rsid w:val="003D177B"/>
    <w:rsid w:val="003E0D47"/>
    <w:rsid w:val="003E28CF"/>
    <w:rsid w:val="003E4074"/>
    <w:rsid w:val="003F0E13"/>
    <w:rsid w:val="0040264A"/>
    <w:rsid w:val="00404C89"/>
    <w:rsid w:val="004110B9"/>
    <w:rsid w:val="00412098"/>
    <w:rsid w:val="00412915"/>
    <w:rsid w:val="00413AD2"/>
    <w:rsid w:val="00421BDE"/>
    <w:rsid w:val="00425230"/>
    <w:rsid w:val="004253DE"/>
    <w:rsid w:val="004348C1"/>
    <w:rsid w:val="00437758"/>
    <w:rsid w:val="004421CF"/>
    <w:rsid w:val="00442E07"/>
    <w:rsid w:val="00453FFE"/>
    <w:rsid w:val="00455C09"/>
    <w:rsid w:val="0048024A"/>
    <w:rsid w:val="0048252F"/>
    <w:rsid w:val="00484359"/>
    <w:rsid w:val="004874F2"/>
    <w:rsid w:val="00496DAA"/>
    <w:rsid w:val="004A1BFF"/>
    <w:rsid w:val="004A468F"/>
    <w:rsid w:val="004A688F"/>
    <w:rsid w:val="004B2363"/>
    <w:rsid w:val="004C377E"/>
    <w:rsid w:val="004C6686"/>
    <w:rsid w:val="004C69C7"/>
    <w:rsid w:val="004D7490"/>
    <w:rsid w:val="004E53D8"/>
    <w:rsid w:val="004F0ABD"/>
    <w:rsid w:val="00507029"/>
    <w:rsid w:val="0051331E"/>
    <w:rsid w:val="00514141"/>
    <w:rsid w:val="0052073E"/>
    <w:rsid w:val="005319C9"/>
    <w:rsid w:val="00534B4A"/>
    <w:rsid w:val="0053650B"/>
    <w:rsid w:val="005436BC"/>
    <w:rsid w:val="00545768"/>
    <w:rsid w:val="00546269"/>
    <w:rsid w:val="00560069"/>
    <w:rsid w:val="005657A6"/>
    <w:rsid w:val="005663B8"/>
    <w:rsid w:val="00575DDA"/>
    <w:rsid w:val="00581C11"/>
    <w:rsid w:val="00587A55"/>
    <w:rsid w:val="005B2D69"/>
    <w:rsid w:val="005C69AA"/>
    <w:rsid w:val="005D7D77"/>
    <w:rsid w:val="005E08D7"/>
    <w:rsid w:val="005F4E11"/>
    <w:rsid w:val="005F776B"/>
    <w:rsid w:val="00602B8E"/>
    <w:rsid w:val="0061618E"/>
    <w:rsid w:val="00621945"/>
    <w:rsid w:val="00621A77"/>
    <w:rsid w:val="00631F1D"/>
    <w:rsid w:val="0064024D"/>
    <w:rsid w:val="006625D1"/>
    <w:rsid w:val="00675E6E"/>
    <w:rsid w:val="00676156"/>
    <w:rsid w:val="00676F48"/>
    <w:rsid w:val="00681F63"/>
    <w:rsid w:val="0068567A"/>
    <w:rsid w:val="00687913"/>
    <w:rsid w:val="006916D6"/>
    <w:rsid w:val="0069426E"/>
    <w:rsid w:val="00696549"/>
    <w:rsid w:val="006A292A"/>
    <w:rsid w:val="006A38F7"/>
    <w:rsid w:val="006A4EBB"/>
    <w:rsid w:val="006B009B"/>
    <w:rsid w:val="006B21FA"/>
    <w:rsid w:val="006B4172"/>
    <w:rsid w:val="006D261D"/>
    <w:rsid w:val="006E6DEA"/>
    <w:rsid w:val="00701E8E"/>
    <w:rsid w:val="00707A86"/>
    <w:rsid w:val="00713B69"/>
    <w:rsid w:val="00713D86"/>
    <w:rsid w:val="00720917"/>
    <w:rsid w:val="00720E20"/>
    <w:rsid w:val="00733668"/>
    <w:rsid w:val="00735550"/>
    <w:rsid w:val="0075349E"/>
    <w:rsid w:val="00755D99"/>
    <w:rsid w:val="00756FD3"/>
    <w:rsid w:val="00765392"/>
    <w:rsid w:val="00782313"/>
    <w:rsid w:val="00786C87"/>
    <w:rsid w:val="00790E3E"/>
    <w:rsid w:val="007A31F8"/>
    <w:rsid w:val="007A668E"/>
    <w:rsid w:val="007B0859"/>
    <w:rsid w:val="007B4C1E"/>
    <w:rsid w:val="007C0A4C"/>
    <w:rsid w:val="007C2809"/>
    <w:rsid w:val="007C288B"/>
    <w:rsid w:val="007D1684"/>
    <w:rsid w:val="007E130A"/>
    <w:rsid w:val="007E4092"/>
    <w:rsid w:val="007F058A"/>
    <w:rsid w:val="007F6104"/>
    <w:rsid w:val="00800D30"/>
    <w:rsid w:val="00807D1A"/>
    <w:rsid w:val="00821F9A"/>
    <w:rsid w:val="00824CEE"/>
    <w:rsid w:val="00824D04"/>
    <w:rsid w:val="00834602"/>
    <w:rsid w:val="00834A62"/>
    <w:rsid w:val="00840E4E"/>
    <w:rsid w:val="00853911"/>
    <w:rsid w:val="00857ACB"/>
    <w:rsid w:val="00864662"/>
    <w:rsid w:val="00865464"/>
    <w:rsid w:val="00874EFE"/>
    <w:rsid w:val="00876923"/>
    <w:rsid w:val="00877358"/>
    <w:rsid w:val="00882126"/>
    <w:rsid w:val="00884DA9"/>
    <w:rsid w:val="00885187"/>
    <w:rsid w:val="008860EE"/>
    <w:rsid w:val="008912ED"/>
    <w:rsid w:val="00891460"/>
    <w:rsid w:val="008933F1"/>
    <w:rsid w:val="008B02BB"/>
    <w:rsid w:val="008D0601"/>
    <w:rsid w:val="008D1F11"/>
    <w:rsid w:val="008E411A"/>
    <w:rsid w:val="008E5919"/>
    <w:rsid w:val="008E5F0B"/>
    <w:rsid w:val="008F1E49"/>
    <w:rsid w:val="008F3ECA"/>
    <w:rsid w:val="008F72D0"/>
    <w:rsid w:val="009026F7"/>
    <w:rsid w:val="0090403C"/>
    <w:rsid w:val="00905951"/>
    <w:rsid w:val="00905E6A"/>
    <w:rsid w:val="009102CA"/>
    <w:rsid w:val="00912D2C"/>
    <w:rsid w:val="00913002"/>
    <w:rsid w:val="00916EE4"/>
    <w:rsid w:val="00920F63"/>
    <w:rsid w:val="00922347"/>
    <w:rsid w:val="009243F3"/>
    <w:rsid w:val="00925285"/>
    <w:rsid w:val="00925EFF"/>
    <w:rsid w:val="009328AE"/>
    <w:rsid w:val="0093366B"/>
    <w:rsid w:val="00934185"/>
    <w:rsid w:val="00936210"/>
    <w:rsid w:val="00945042"/>
    <w:rsid w:val="00946126"/>
    <w:rsid w:val="00952DF9"/>
    <w:rsid w:val="0095421D"/>
    <w:rsid w:val="009557B8"/>
    <w:rsid w:val="00960C86"/>
    <w:rsid w:val="009621E6"/>
    <w:rsid w:val="00966DD3"/>
    <w:rsid w:val="009767AF"/>
    <w:rsid w:val="00976ECE"/>
    <w:rsid w:val="00981F58"/>
    <w:rsid w:val="00986D0A"/>
    <w:rsid w:val="00990EB3"/>
    <w:rsid w:val="009A3A5F"/>
    <w:rsid w:val="009E3E86"/>
    <w:rsid w:val="009E5010"/>
    <w:rsid w:val="009F7826"/>
    <w:rsid w:val="00A118A2"/>
    <w:rsid w:val="00A21676"/>
    <w:rsid w:val="00A23F26"/>
    <w:rsid w:val="00A27091"/>
    <w:rsid w:val="00A34A14"/>
    <w:rsid w:val="00A4001C"/>
    <w:rsid w:val="00A40AAB"/>
    <w:rsid w:val="00A41003"/>
    <w:rsid w:val="00A46D01"/>
    <w:rsid w:val="00A51CC9"/>
    <w:rsid w:val="00A653B0"/>
    <w:rsid w:val="00A70396"/>
    <w:rsid w:val="00A70816"/>
    <w:rsid w:val="00A71EF1"/>
    <w:rsid w:val="00A73590"/>
    <w:rsid w:val="00A74DF3"/>
    <w:rsid w:val="00A755B3"/>
    <w:rsid w:val="00A7636D"/>
    <w:rsid w:val="00A802F0"/>
    <w:rsid w:val="00A83166"/>
    <w:rsid w:val="00A9138E"/>
    <w:rsid w:val="00AA5138"/>
    <w:rsid w:val="00AA7506"/>
    <w:rsid w:val="00AA7B7B"/>
    <w:rsid w:val="00AC1C89"/>
    <w:rsid w:val="00AC5393"/>
    <w:rsid w:val="00AC5767"/>
    <w:rsid w:val="00AC784E"/>
    <w:rsid w:val="00AD381B"/>
    <w:rsid w:val="00AE2D13"/>
    <w:rsid w:val="00AE4E70"/>
    <w:rsid w:val="00AF5B5B"/>
    <w:rsid w:val="00AF5D1A"/>
    <w:rsid w:val="00AF708B"/>
    <w:rsid w:val="00B017F9"/>
    <w:rsid w:val="00B07213"/>
    <w:rsid w:val="00B07961"/>
    <w:rsid w:val="00B10A05"/>
    <w:rsid w:val="00B319F3"/>
    <w:rsid w:val="00B52F9C"/>
    <w:rsid w:val="00B54167"/>
    <w:rsid w:val="00B61CF3"/>
    <w:rsid w:val="00B62E06"/>
    <w:rsid w:val="00B64B1D"/>
    <w:rsid w:val="00B85DBF"/>
    <w:rsid w:val="00B9671B"/>
    <w:rsid w:val="00BA1D31"/>
    <w:rsid w:val="00BA58E6"/>
    <w:rsid w:val="00BA7AB1"/>
    <w:rsid w:val="00BC1A67"/>
    <w:rsid w:val="00BC5437"/>
    <w:rsid w:val="00BC5558"/>
    <w:rsid w:val="00BC5576"/>
    <w:rsid w:val="00BD7244"/>
    <w:rsid w:val="00BF4FA5"/>
    <w:rsid w:val="00C038AD"/>
    <w:rsid w:val="00C12DDF"/>
    <w:rsid w:val="00C164D3"/>
    <w:rsid w:val="00C20670"/>
    <w:rsid w:val="00C21975"/>
    <w:rsid w:val="00C224FD"/>
    <w:rsid w:val="00C31ED8"/>
    <w:rsid w:val="00C326D0"/>
    <w:rsid w:val="00C55E1A"/>
    <w:rsid w:val="00C73B5B"/>
    <w:rsid w:val="00C81C53"/>
    <w:rsid w:val="00C86713"/>
    <w:rsid w:val="00C875E8"/>
    <w:rsid w:val="00C92035"/>
    <w:rsid w:val="00C94638"/>
    <w:rsid w:val="00C96951"/>
    <w:rsid w:val="00C96AF6"/>
    <w:rsid w:val="00CA24D0"/>
    <w:rsid w:val="00CA59E3"/>
    <w:rsid w:val="00CB4ED7"/>
    <w:rsid w:val="00CB7E11"/>
    <w:rsid w:val="00CC1A17"/>
    <w:rsid w:val="00CC2A72"/>
    <w:rsid w:val="00CC3FB5"/>
    <w:rsid w:val="00CC5515"/>
    <w:rsid w:val="00CD2067"/>
    <w:rsid w:val="00CD47BC"/>
    <w:rsid w:val="00CD51E3"/>
    <w:rsid w:val="00CD7DA8"/>
    <w:rsid w:val="00CE01BA"/>
    <w:rsid w:val="00CE1A5A"/>
    <w:rsid w:val="00CE6A01"/>
    <w:rsid w:val="00CF26D1"/>
    <w:rsid w:val="00CF5F33"/>
    <w:rsid w:val="00D06ADC"/>
    <w:rsid w:val="00D175F0"/>
    <w:rsid w:val="00D27DDA"/>
    <w:rsid w:val="00D34984"/>
    <w:rsid w:val="00D35207"/>
    <w:rsid w:val="00D36C35"/>
    <w:rsid w:val="00D5572D"/>
    <w:rsid w:val="00D6033C"/>
    <w:rsid w:val="00D631E4"/>
    <w:rsid w:val="00D7185E"/>
    <w:rsid w:val="00D75313"/>
    <w:rsid w:val="00D7739B"/>
    <w:rsid w:val="00D83749"/>
    <w:rsid w:val="00D84EFD"/>
    <w:rsid w:val="00D93AA3"/>
    <w:rsid w:val="00D93F4D"/>
    <w:rsid w:val="00DA402D"/>
    <w:rsid w:val="00DD76DC"/>
    <w:rsid w:val="00DF7CA6"/>
    <w:rsid w:val="00E018D6"/>
    <w:rsid w:val="00E13D8C"/>
    <w:rsid w:val="00E16ACD"/>
    <w:rsid w:val="00E17134"/>
    <w:rsid w:val="00E21129"/>
    <w:rsid w:val="00E21FAE"/>
    <w:rsid w:val="00E22FD3"/>
    <w:rsid w:val="00E25C62"/>
    <w:rsid w:val="00E25EBC"/>
    <w:rsid w:val="00E4117D"/>
    <w:rsid w:val="00E4121D"/>
    <w:rsid w:val="00E600FF"/>
    <w:rsid w:val="00E6430E"/>
    <w:rsid w:val="00E66550"/>
    <w:rsid w:val="00E66E58"/>
    <w:rsid w:val="00E67CA4"/>
    <w:rsid w:val="00E77F2B"/>
    <w:rsid w:val="00E877BF"/>
    <w:rsid w:val="00E909F4"/>
    <w:rsid w:val="00EA1767"/>
    <w:rsid w:val="00EB0929"/>
    <w:rsid w:val="00EB0FA5"/>
    <w:rsid w:val="00EB74C5"/>
    <w:rsid w:val="00EC01DD"/>
    <w:rsid w:val="00EC35E3"/>
    <w:rsid w:val="00EC6027"/>
    <w:rsid w:val="00EC6A5E"/>
    <w:rsid w:val="00ED555C"/>
    <w:rsid w:val="00ED7195"/>
    <w:rsid w:val="00EE3EB9"/>
    <w:rsid w:val="00EE5F59"/>
    <w:rsid w:val="00EF7FE6"/>
    <w:rsid w:val="00F0068B"/>
    <w:rsid w:val="00F0414F"/>
    <w:rsid w:val="00F070F3"/>
    <w:rsid w:val="00F24199"/>
    <w:rsid w:val="00F25A24"/>
    <w:rsid w:val="00F27AAF"/>
    <w:rsid w:val="00F31BEC"/>
    <w:rsid w:val="00F43039"/>
    <w:rsid w:val="00F43523"/>
    <w:rsid w:val="00F45204"/>
    <w:rsid w:val="00F53A27"/>
    <w:rsid w:val="00F5782B"/>
    <w:rsid w:val="00F6772E"/>
    <w:rsid w:val="00F72B65"/>
    <w:rsid w:val="00F72D25"/>
    <w:rsid w:val="00F73131"/>
    <w:rsid w:val="00F74288"/>
    <w:rsid w:val="00F81386"/>
    <w:rsid w:val="00F81C51"/>
    <w:rsid w:val="00FA357D"/>
    <w:rsid w:val="00FA3B98"/>
    <w:rsid w:val="00FB49C6"/>
    <w:rsid w:val="00FB5E9D"/>
    <w:rsid w:val="00FC22CA"/>
    <w:rsid w:val="00FC35B4"/>
    <w:rsid w:val="00FC669D"/>
    <w:rsid w:val="00FD2361"/>
    <w:rsid w:val="00FD42EC"/>
    <w:rsid w:val="00FD4F0B"/>
    <w:rsid w:val="00FE02FC"/>
    <w:rsid w:val="00FE1BAE"/>
    <w:rsid w:val="00FE36A0"/>
    <w:rsid w:val="00FE4AF5"/>
    <w:rsid w:val="01975E9A"/>
    <w:rsid w:val="03461F9E"/>
    <w:rsid w:val="05576EEF"/>
    <w:rsid w:val="067025FC"/>
    <w:rsid w:val="071A3A94"/>
    <w:rsid w:val="098D8B65"/>
    <w:rsid w:val="09A25CA9"/>
    <w:rsid w:val="0A114561"/>
    <w:rsid w:val="0C36F472"/>
    <w:rsid w:val="0CF6C6B7"/>
    <w:rsid w:val="10A56215"/>
    <w:rsid w:val="12FCF2ED"/>
    <w:rsid w:val="149B9741"/>
    <w:rsid w:val="193D4E10"/>
    <w:rsid w:val="19C7F5DD"/>
    <w:rsid w:val="1AFC6AB0"/>
    <w:rsid w:val="1B003418"/>
    <w:rsid w:val="1B389B78"/>
    <w:rsid w:val="1B9933DC"/>
    <w:rsid w:val="1C7C31C0"/>
    <w:rsid w:val="1CBA0838"/>
    <w:rsid w:val="1E81EF75"/>
    <w:rsid w:val="1EFFBC15"/>
    <w:rsid w:val="1F756C33"/>
    <w:rsid w:val="2055BC93"/>
    <w:rsid w:val="2157BA1B"/>
    <w:rsid w:val="23E14397"/>
    <w:rsid w:val="251E897E"/>
    <w:rsid w:val="26568FFD"/>
    <w:rsid w:val="2720EE20"/>
    <w:rsid w:val="28B0CA43"/>
    <w:rsid w:val="296DC16A"/>
    <w:rsid w:val="2BC43DCC"/>
    <w:rsid w:val="2E0087A6"/>
    <w:rsid w:val="2E1DA464"/>
    <w:rsid w:val="2E34EE7C"/>
    <w:rsid w:val="2EF00125"/>
    <w:rsid w:val="367C01C7"/>
    <w:rsid w:val="36DAA0B9"/>
    <w:rsid w:val="37C8CA92"/>
    <w:rsid w:val="3B350298"/>
    <w:rsid w:val="3DA3F9C2"/>
    <w:rsid w:val="3E7ED7C2"/>
    <w:rsid w:val="405E3D6C"/>
    <w:rsid w:val="40781E01"/>
    <w:rsid w:val="40BD7A67"/>
    <w:rsid w:val="414510B9"/>
    <w:rsid w:val="42FE309A"/>
    <w:rsid w:val="4F1EB05F"/>
    <w:rsid w:val="4F4EE363"/>
    <w:rsid w:val="519B883F"/>
    <w:rsid w:val="560A895E"/>
    <w:rsid w:val="566F2F27"/>
    <w:rsid w:val="56CC044D"/>
    <w:rsid w:val="6089991C"/>
    <w:rsid w:val="63450780"/>
    <w:rsid w:val="6397D58F"/>
    <w:rsid w:val="64151FA6"/>
    <w:rsid w:val="646450AB"/>
    <w:rsid w:val="646EB1E8"/>
    <w:rsid w:val="66F66544"/>
    <w:rsid w:val="67B55B12"/>
    <w:rsid w:val="681FCB77"/>
    <w:rsid w:val="69C1ED3A"/>
    <w:rsid w:val="6FBEFD3B"/>
    <w:rsid w:val="703AD7D2"/>
    <w:rsid w:val="7210CD23"/>
    <w:rsid w:val="7626FE1C"/>
    <w:rsid w:val="784C11B9"/>
    <w:rsid w:val="799AED2D"/>
    <w:rsid w:val="7BD80C9C"/>
    <w:rsid w:val="7D5F155E"/>
    <w:rsid w:val="7EE2E937"/>
    <w:rsid w:val="7EEFF94B"/>
    <w:rsid w:val="7FB0C1F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DefaultParagraphFont"/>
    <w:uiPriority w:val="99"/>
    <w:semiHidden/>
    <w:unhideWhenUsed/>
    <w:rsid w:val="006A38F7"/>
    <w:rPr>
      <w:sz w:val="16"/>
      <w:szCs w:val="16"/>
    </w:rPr>
  </w:style>
  <w:style w:type="paragraph" w:customStyle="1" w:styleId="CommentText">
    <w:name w:val="Comment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customStyle="1" w:styleId="CommentSubject">
    <w:name w:val="Comment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E909F4"/>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909F4"/>
    <w:rPr>
      <w:sz w:val="24"/>
      <w:szCs w:val="24"/>
    </w:rPr>
  </w:style>
  <w:style w:type="paragraph" w:styleId="Revision">
    <w:name w:val="Revision"/>
    <w:hidden/>
    <w:uiPriority w:val="99"/>
    <w:semiHidden/>
    <w:rsid w:val="003D177B"/>
    <w:rPr>
      <w:rFonts w:ascii="Courier" w:hAnsi="Courier"/>
      <w:sz w:val="24"/>
    </w:rPr>
  </w:style>
  <w:style w:type="character" w:styleId="FollowedHyperlink">
    <w:name w:val="FollowedHyperlink"/>
    <w:basedOn w:val="DefaultParagraphFont"/>
    <w:uiPriority w:val="99"/>
    <w:semiHidden/>
    <w:unhideWhenUsed/>
    <w:rsid w:val="002A20E9"/>
    <w:rPr>
      <w:color w:val="800080" w:themeColor="followedHyperlink"/>
      <w:u w:val="single"/>
    </w:rPr>
  </w:style>
  <w:style w:type="character" w:customStyle="1" w:styleId="normaltextrun">
    <w:name w:val="normaltextrun"/>
    <w:basedOn w:val="DefaultParagraphFont"/>
    <w:rsid w:val="002C538F"/>
  </w:style>
  <w:style w:type="character" w:customStyle="1" w:styleId="eop">
    <w:name w:val="eop"/>
    <w:basedOn w:val="DefaultParagraphFont"/>
    <w:rsid w:val="002C538F"/>
  </w:style>
  <w:style w:type="character" w:styleId="Mention">
    <w:name w:val="Mention"/>
    <w:basedOn w:val="DefaultParagraphFont"/>
    <w:uiPriority w:val="99"/>
    <w:unhideWhenUsed/>
    <w:rsid w:val="00D557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5/08/18/2025-15665/william-d-ford-federal-direct-loan-direct-loan-program" TargetMode="External" /><Relationship Id="rId11" Type="http://schemas.openxmlformats.org/officeDocument/2006/relationships/hyperlink" Target="https://www.federalregister.gov/documents/2025/10/31/2025-19729/william-d-ford-federal-direct-loan-direct-loan-program" TargetMode="External" /><Relationship Id="rId12" Type="http://schemas.openxmlformats.org/officeDocument/2006/relationships/hyperlink" Target="https://www.bls.gov/oes/current/oes_nat.html" TargetMode="External" /><Relationship Id="rId13" Type="http://schemas.openxmlformats.org/officeDocument/2006/relationships/hyperlink" Target="https://www.bls.gov/oes/current/oes_nat.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presidential-actions/2025/03/restoring-public-service-loan-forgiven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5D9E8F51-3250-4E9B-9159-E1FD89AE0927}">
  <ds:schemaRefs/>
</ds:datastoreItem>
</file>

<file path=customXml/itemProps3.xml><?xml version="1.0" encoding="utf-8"?>
<ds:datastoreItem xmlns:ds="http://schemas.openxmlformats.org/officeDocument/2006/customXml" ds:itemID="{4D11BC2E-A9C7-4075-8BF4-A8B816DB1FD8}">
  <ds:schemaRefs/>
</ds:datastoreItem>
</file>

<file path=customXml/itemProps4.xml><?xml version="1.0" encoding="utf-8"?>
<ds:datastoreItem xmlns:ds="http://schemas.openxmlformats.org/officeDocument/2006/customXml" ds:itemID="{A3D4DD47-E23F-4227-9091-937754EEF2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3</cp:revision>
  <dcterms:created xsi:type="dcterms:W3CDTF">2026-07-07T17:10:00Z</dcterms:created>
  <dcterms:modified xsi:type="dcterms:W3CDTF">2026-07-07T17:54:49Z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