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32B1" w:rsidP="007A32B1" w14:paraId="2CD2B50B"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A32B1" w:rsidP="007A32B1" w14:paraId="2A783ED0" w14:textId="77777777">
      <w:pPr>
        <w:spacing w:before="84" w:line="244" w:lineRule="auto"/>
        <w:ind w:right="30"/>
        <w:jc w:val="center"/>
        <w:rPr>
          <w:i/>
          <w:iCs/>
          <w:sz w:val="32"/>
          <w:szCs w:val="32"/>
        </w:rPr>
      </w:pPr>
      <w:r w:rsidRPr="046DB921">
        <w:rPr>
          <w:i/>
          <w:iCs/>
          <w:sz w:val="32"/>
          <w:szCs w:val="32"/>
        </w:rPr>
        <w:t>NATIONAL ASSESSMENT OF EDUCATIONAL PROGRESS</w:t>
      </w:r>
    </w:p>
    <w:p w:rsidR="007A32B1" w:rsidP="007A32B1" w14:paraId="620E86E7" w14:textId="77777777">
      <w:pPr>
        <w:pStyle w:val="BodyText"/>
      </w:pPr>
    </w:p>
    <w:p w:rsidR="007A32B1" w:rsidP="007A32B1" w14:paraId="625A47D9" w14:textId="77777777">
      <w:pPr>
        <w:pStyle w:val="BodyText"/>
      </w:pPr>
    </w:p>
    <w:p w:rsidR="00D45BE4" w:rsidP="007A32B1" w14:paraId="37CE9907" w14:textId="77777777">
      <w:pPr>
        <w:pStyle w:val="BodyText"/>
      </w:pPr>
    </w:p>
    <w:p w:rsidR="00D45BE4" w:rsidP="007A32B1" w14:paraId="7DD357A4" w14:textId="77777777">
      <w:pPr>
        <w:pStyle w:val="BodyText"/>
      </w:pPr>
    </w:p>
    <w:p w:rsidR="007A32B1" w:rsidP="007A32B1" w14:paraId="3C833A4E" w14:textId="77777777">
      <w:pPr>
        <w:pStyle w:val="BodyText"/>
      </w:pPr>
    </w:p>
    <w:p w:rsidR="007A32B1" w:rsidP="007A32B1" w14:paraId="1160A073" w14:textId="09C61B36">
      <w:pPr>
        <w:spacing w:before="85"/>
        <w:ind w:right="30"/>
        <w:jc w:val="center"/>
        <w:rPr>
          <w:i/>
          <w:iCs/>
          <w:sz w:val="40"/>
          <w:szCs w:val="40"/>
        </w:rPr>
      </w:pPr>
      <w:r w:rsidRPr="046DB921">
        <w:rPr>
          <w:i/>
          <w:iCs/>
          <w:sz w:val="40"/>
          <w:szCs w:val="40"/>
        </w:rPr>
        <w:t>National Assessment of Educational Progress (NAEP) 202</w:t>
      </w:r>
      <w:r w:rsidR="00CF4F7D">
        <w:rPr>
          <w:i/>
          <w:iCs/>
          <w:sz w:val="40"/>
          <w:szCs w:val="40"/>
        </w:rPr>
        <w:t>7</w:t>
      </w:r>
    </w:p>
    <w:p w:rsidR="007A32B1" w:rsidP="007A32B1" w14:paraId="42F814A6" w14:textId="77777777">
      <w:pPr>
        <w:pStyle w:val="BodyText"/>
      </w:pPr>
    </w:p>
    <w:p w:rsidR="00D45BE4" w:rsidP="007A32B1" w14:paraId="7FFFB170" w14:textId="77777777">
      <w:pPr>
        <w:pStyle w:val="BodyText"/>
      </w:pPr>
    </w:p>
    <w:p w:rsidR="00D45BE4" w:rsidP="007A32B1" w14:paraId="3575D9B2" w14:textId="77777777">
      <w:pPr>
        <w:pStyle w:val="BodyText"/>
      </w:pPr>
    </w:p>
    <w:p w:rsidR="007A32B1" w:rsidP="007A32B1" w14:paraId="423CF8F9" w14:textId="77777777">
      <w:pPr>
        <w:pStyle w:val="BodyText"/>
      </w:pPr>
    </w:p>
    <w:p w:rsidR="007A32B1" w:rsidP="007A32B1" w14:paraId="38284C0A" w14:textId="77777777">
      <w:pPr>
        <w:pStyle w:val="BodyText"/>
      </w:pPr>
    </w:p>
    <w:p w:rsidR="007A32B1" w:rsidP="007A32B1" w14:paraId="7CF9DE77" w14:textId="77777777">
      <w:pPr>
        <w:pStyle w:val="BodyText"/>
      </w:pPr>
    </w:p>
    <w:p w:rsidR="007A32B1" w:rsidRPr="004C40A3" w:rsidP="007A32B1" w14:paraId="18D87C56"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A32B1" w:rsidRPr="004C40A3" w:rsidP="7866C080" w14:paraId="4426A185" w14:textId="6D1A4248">
      <w:pPr>
        <w:pStyle w:val="Title"/>
        <w:spacing w:line="259" w:lineRule="auto"/>
        <w:jc w:val="center"/>
        <w:rPr>
          <w:rFonts w:ascii="Times New Roman" w:hAnsi="Times New Roman" w:cs="Times New Roman"/>
          <w:i/>
          <w:iCs/>
          <w:sz w:val="48"/>
          <w:szCs w:val="48"/>
        </w:rPr>
      </w:pPr>
      <w:r w:rsidRPr="7866C080">
        <w:rPr>
          <w:rFonts w:ascii="Times New Roman" w:hAnsi="Times New Roman" w:cs="Times New Roman"/>
          <w:i/>
          <w:iCs/>
          <w:sz w:val="48"/>
          <w:szCs w:val="48"/>
        </w:rPr>
        <w:t xml:space="preserve">2027 Sampling Memo </w:t>
      </w:r>
    </w:p>
    <w:p w:rsidR="007A32B1" w:rsidP="007A32B1" w14:paraId="190F4096" w14:textId="77777777">
      <w:pPr>
        <w:pStyle w:val="BodyText"/>
      </w:pPr>
    </w:p>
    <w:p w:rsidR="007A32B1" w:rsidP="007A32B1" w14:paraId="62F125F3" w14:textId="77777777">
      <w:pPr>
        <w:pStyle w:val="BodyText"/>
      </w:pPr>
    </w:p>
    <w:p w:rsidR="007A32B1" w:rsidP="007A32B1" w14:paraId="5849B903" w14:textId="77777777">
      <w:pPr>
        <w:pStyle w:val="BodyText"/>
      </w:pPr>
    </w:p>
    <w:p w:rsidR="007A32B1" w:rsidP="007A32B1" w14:paraId="1F4B8AD9" w14:textId="77777777">
      <w:pPr>
        <w:pStyle w:val="BodyText"/>
      </w:pPr>
    </w:p>
    <w:p w:rsidR="007A32B1" w:rsidRPr="004C40A3" w:rsidP="7866C080" w14:paraId="301A69BF" w14:textId="209FA4A7">
      <w:pPr>
        <w:spacing w:line="259" w:lineRule="auto"/>
        <w:jc w:val="center"/>
      </w:pPr>
      <w:r w:rsidRPr="7866C080">
        <w:rPr>
          <w:i/>
          <w:iCs/>
          <w:sz w:val="40"/>
          <w:szCs w:val="40"/>
        </w:rPr>
        <w:t>OMB# 1850-0928 v.40</w:t>
      </w:r>
    </w:p>
    <w:p w:rsidR="007A32B1" w:rsidP="007A32B1" w14:paraId="00577FBC" w14:textId="77777777">
      <w:pPr>
        <w:pStyle w:val="BodyText"/>
      </w:pPr>
    </w:p>
    <w:p w:rsidR="007A32B1" w:rsidP="007A32B1" w14:paraId="37CBFD61" w14:textId="77777777">
      <w:pPr>
        <w:pStyle w:val="BodyText"/>
      </w:pPr>
    </w:p>
    <w:p w:rsidR="007A32B1" w:rsidP="007A32B1" w14:paraId="27C440EB" w14:textId="77777777">
      <w:pPr>
        <w:pStyle w:val="BodyText"/>
      </w:pPr>
    </w:p>
    <w:p w:rsidR="007A32B1" w:rsidP="007A32B1" w14:paraId="2EFB2E98" w14:textId="77777777">
      <w:pPr>
        <w:pStyle w:val="BodyText"/>
      </w:pPr>
    </w:p>
    <w:p w:rsidR="007A32B1" w:rsidP="007A32B1" w14:paraId="75375209" w14:textId="77777777">
      <w:pPr>
        <w:pStyle w:val="BodyText"/>
        <w:rPr>
          <w:sz w:val="20"/>
        </w:rPr>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descr="A logo with a star&#10;&#10;AI-generated content may be incorrect."/>
                    <pic:cNvPicPr/>
                  </pic:nvPicPr>
                  <pic:blipFill>
                    <a:blip xmlns:r="http://schemas.openxmlformats.org/officeDocument/2006/relationships" r:embed="rId9" cstate="print"/>
                    <a:stretch>
                      <a:fillRect/>
                    </a:stretch>
                  </pic:blipFill>
                  <pic:spPr>
                    <a:xfrm>
                      <a:off x="0" y="0"/>
                      <a:ext cx="1327537" cy="1525524"/>
                    </a:xfrm>
                    <a:prstGeom prst="rect">
                      <a:avLst/>
                    </a:prstGeom>
                  </pic:spPr>
                </pic:pic>
              </a:graphicData>
            </a:graphic>
          </wp:anchor>
        </w:drawing>
      </w:r>
    </w:p>
    <w:p w:rsidR="007A32B1" w:rsidP="007A32B1" w14:paraId="665314C9" w14:textId="77777777">
      <w:pPr>
        <w:pStyle w:val="BodyText"/>
      </w:pPr>
    </w:p>
    <w:p w:rsidR="007A32B1" w:rsidP="007A32B1" w14:paraId="1C51440E" w14:textId="77777777">
      <w:pPr>
        <w:pStyle w:val="BodyText"/>
      </w:pPr>
    </w:p>
    <w:p w:rsidR="007A32B1" w:rsidP="007A32B1" w14:paraId="74AC892D" w14:textId="77777777">
      <w:pPr>
        <w:pStyle w:val="BodyText"/>
      </w:pPr>
    </w:p>
    <w:p w:rsidR="007A32B1" w:rsidP="007A32B1" w14:paraId="1A17771D" w14:textId="77777777">
      <w:pPr>
        <w:pStyle w:val="BodyText"/>
      </w:pPr>
    </w:p>
    <w:p w:rsidR="00454AFE" w:rsidP="007A32B1" w14:paraId="6D955132" w14:textId="77777777">
      <w:pPr>
        <w:pStyle w:val="BodyText"/>
      </w:pPr>
    </w:p>
    <w:p w:rsidR="00454AFE" w:rsidP="7866C080" w14:paraId="6640BD33" w14:textId="4C6B8878">
      <w:pPr>
        <w:spacing w:line="259" w:lineRule="auto"/>
        <w:jc w:val="center"/>
      </w:pPr>
      <w:r>
        <w:t>July 2026</w:t>
      </w:r>
    </w:p>
    <w:p w:rsidR="007A32B1" w:rsidP="00454AFE" w14:paraId="13F7259B" w14:textId="77777777">
      <w:pPr>
        <w:spacing w:before="254"/>
        <w:ind w:right="1356"/>
        <w:rPr>
          <w:sz w:val="24"/>
        </w:rPr>
      </w:pPr>
      <w:r>
        <w:rPr>
          <w:sz w:val="24"/>
        </w:rPr>
        <w:t xml:space="preserve">                          </w:t>
      </w:r>
    </w:p>
    <w:p w:rsidR="007A32B1" w:rsidP="007A32B1" w14:paraId="0B6A5D97" w14:textId="77777777">
      <w:pPr>
        <w:jc w:val="center"/>
        <w:rPr>
          <w:sz w:val="24"/>
        </w:rPr>
      </w:pPr>
    </w:p>
    <w:p w:rsidR="007A32B1" w:rsidP="007A32B1" w14:paraId="0A9518C4" w14:textId="77777777">
      <w:pPr>
        <w:rPr>
          <w:color w:val="FF0000"/>
        </w:rPr>
      </w:pPr>
      <w:r>
        <w:rPr>
          <w:color w:val="FF0000"/>
        </w:rPr>
        <w:t>.</w:t>
      </w:r>
    </w:p>
    <w:p w:rsidR="007A32B1" w14:paraId="3F04B64A" w14:textId="77777777">
      <w:pPr>
        <w:rPr>
          <w:rFonts w:eastAsia="Garamond" w:hAnsi="Garamond" w:cs="Garamond"/>
          <w:color w:val="FF0000"/>
          <w:sz w:val="20"/>
          <w:szCs w:val="20"/>
        </w:rPr>
      </w:pPr>
      <w:r>
        <w:rPr>
          <w:rFonts w:eastAsia="Garamond" w:hAnsi="Garamond" w:cs="Garamond"/>
          <w:color w:val="FF0000"/>
          <w:sz w:val="20"/>
          <w:szCs w:val="20"/>
        </w:rPr>
        <w:br w:type="page"/>
      </w:r>
    </w:p>
    <w:p w:rsidR="007A32B1" w:rsidRPr="00CE5C2E" w:rsidP="007A32B1" w14:paraId="7BAB2295" w14:textId="354EBFFE">
      <w:pPr>
        <w:widowControl/>
        <w:autoSpaceDE/>
        <w:autoSpaceDN/>
        <w:spacing w:after="160" w:line="259" w:lineRule="auto"/>
        <w:rPr>
          <w:rFonts w:eastAsia="Garamond" w:hAnsi="Garamond" w:cs="Garamond"/>
          <w:color w:val="FF0000"/>
          <w:sz w:val="20"/>
          <w:szCs w:val="20"/>
        </w:rPr>
      </w:pPr>
      <w:r w:rsidRPr="0F944D63">
        <w:rPr>
          <w:rFonts w:eastAsia="Garamond" w:hAnsi="Garamond" w:cs="Garamond"/>
          <w:color w:val="FF0000"/>
          <w:sz w:val="20"/>
          <w:szCs w:val="20"/>
        </w:rPr>
        <w:t>N</w:t>
      </w:r>
      <w:r w:rsidR="00052FCF">
        <w:rPr>
          <w:rFonts w:eastAsia="Garamond" w:hAnsi="Garamond" w:cs="Garamond"/>
          <w:color w:val="FF0000"/>
          <w:sz w:val="20"/>
          <w:szCs w:val="20"/>
        </w:rPr>
        <w:t>ote</w:t>
      </w:r>
      <w:r w:rsidRPr="0F944D63">
        <w:rPr>
          <w:rFonts w:eastAsia="Garamond" w:hAnsi="Garamond" w:cs="Garamond"/>
          <w:color w:val="FF0000"/>
          <w:sz w:val="20"/>
          <w:szCs w:val="20"/>
        </w:rPr>
        <w:t>: The final 202</w:t>
      </w:r>
      <w:r w:rsidR="00CF4F7D">
        <w:rPr>
          <w:rFonts w:eastAsia="Garamond" w:hAnsi="Garamond" w:cs="Garamond"/>
          <w:color w:val="FF0000"/>
          <w:sz w:val="20"/>
          <w:szCs w:val="20"/>
        </w:rPr>
        <w:t>7</w:t>
      </w:r>
      <w:r w:rsidRPr="0F944D63">
        <w:rPr>
          <w:rFonts w:eastAsia="Garamond" w:hAnsi="Garamond" w:cs="Garamond"/>
          <w:color w:val="FF0000"/>
          <w:sz w:val="20"/>
          <w:szCs w:val="20"/>
        </w:rPr>
        <w:t xml:space="preserve"> Sampling Memo </w:t>
      </w:r>
      <w:r w:rsidR="00775E15">
        <w:rPr>
          <w:rFonts w:eastAsia="Garamond" w:hAnsi="Garamond" w:cs="Garamond"/>
          <w:color w:val="FF0000"/>
          <w:sz w:val="20"/>
          <w:szCs w:val="20"/>
        </w:rPr>
        <w:t>is included in this 2027 Amendment submission</w:t>
      </w:r>
      <w:r w:rsidRPr="0F944D63">
        <w:rPr>
          <w:rFonts w:eastAsia="Garamond" w:hAnsi="Garamond" w:cs="Garamond"/>
          <w:color w:val="FF0000"/>
          <w:sz w:val="20"/>
          <w:szCs w:val="20"/>
        </w:rPr>
        <w:t xml:space="preserve">. </w:t>
      </w:r>
    </w:p>
    <w:p w:rsidR="00382592" w:rsidP="007A32B1" w14:paraId="08D0C448" w14:textId="37E2D7C6">
      <w:pPr>
        <w:jc w:val="center"/>
        <w:rPr>
          <w:noProof/>
          <w:sz w:val="20"/>
        </w:rPr>
      </w:pPr>
      <w:r>
        <w:rPr>
          <w:noProof/>
        </w:rPr>
        <w:drawing>
          <wp:inline distT="0" distB="0" distL="0" distR="0">
            <wp:extent cx="6400800" cy="585711"/>
            <wp:effectExtent l="0" t="0" r="0" b="0"/>
            <wp:docPr id="10177825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82525"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585711"/>
                    </a:xfrm>
                    <a:prstGeom prst="rect">
                      <a:avLst/>
                    </a:prstGeom>
                    <a:noFill/>
                  </pic:spPr>
                </pic:pic>
              </a:graphicData>
            </a:graphic>
          </wp:inline>
        </w:drawing>
      </w:r>
    </w:p>
    <w:p w:rsidR="00382592" w14:paraId="08D0C449" w14:textId="77777777">
      <w:pPr>
        <w:pStyle w:val="BodyText"/>
      </w:pPr>
    </w:p>
    <w:tbl>
      <w:tblPr>
        <w:tblW w:w="5003" w:type="pct"/>
        <w:tblLayout w:type="fixed"/>
        <w:tblCellMar>
          <w:left w:w="115" w:type="dxa"/>
          <w:right w:w="115" w:type="dxa"/>
        </w:tblCellMar>
        <w:tblLook w:val="0000"/>
      </w:tblPr>
      <w:tblGrid>
        <w:gridCol w:w="1402"/>
        <w:gridCol w:w="3084"/>
        <w:gridCol w:w="1869"/>
        <w:gridCol w:w="1219"/>
        <w:gridCol w:w="2152"/>
      </w:tblGrid>
      <w:tr w14:paraId="2D241E6E" w14:textId="77777777" w:rsidTr="0027470A">
        <w:tblPrEx>
          <w:tblW w:w="5003" w:type="pct"/>
          <w:tblLayout w:type="fixed"/>
          <w:tblCellMar>
            <w:left w:w="115" w:type="dxa"/>
            <w:right w:w="115" w:type="dxa"/>
          </w:tblCellMar>
          <w:tblLook w:val="0000"/>
        </w:tblPrEx>
        <w:tc>
          <w:tcPr>
            <w:tcW w:w="1402" w:type="dxa"/>
          </w:tcPr>
          <w:p w:rsidR="002115E2" w:rsidP="00F07C41" w14:paraId="5C9F557D" w14:textId="77777777">
            <w:pPr>
              <w:pStyle w:val="SL-FlLftSgl"/>
              <w:rPr>
                <w:b/>
              </w:rPr>
            </w:pPr>
            <w:r>
              <w:rPr>
                <w:b/>
              </w:rPr>
              <w:t>Date:</w:t>
            </w:r>
          </w:p>
        </w:tc>
        <w:tc>
          <w:tcPr>
            <w:tcW w:w="4953" w:type="dxa"/>
            <w:gridSpan w:val="2"/>
          </w:tcPr>
          <w:p w:rsidR="002115E2" w:rsidP="00F07C41" w14:paraId="679F8947" w14:textId="77777777">
            <w:pPr>
              <w:pStyle w:val="SL-FlLftSgl"/>
            </w:pPr>
            <w:r>
              <w:t>April 17, 2026</w:t>
            </w:r>
          </w:p>
        </w:tc>
        <w:tc>
          <w:tcPr>
            <w:tcW w:w="1219" w:type="dxa"/>
          </w:tcPr>
          <w:p w:rsidR="002115E2" w:rsidP="00F07C41" w14:paraId="6E626612" w14:textId="77777777">
            <w:pPr>
              <w:pStyle w:val="SL-FlLftSgl"/>
              <w:rPr>
                <w:b/>
                <w:szCs w:val="24"/>
              </w:rPr>
            </w:pPr>
            <w:r>
              <w:rPr>
                <w:b/>
                <w:szCs w:val="24"/>
              </w:rPr>
              <w:t>Memo:</w:t>
            </w:r>
          </w:p>
        </w:tc>
        <w:tc>
          <w:tcPr>
            <w:tcW w:w="2152" w:type="dxa"/>
          </w:tcPr>
          <w:p w:rsidR="002115E2" w:rsidP="00F07C41" w14:paraId="4FF2B55A" w14:textId="77777777">
            <w:pPr>
              <w:pStyle w:val="SL-FlLftSgl"/>
            </w:pPr>
            <w:bookmarkStart w:id="0" w:name="Memo"/>
            <w:bookmarkEnd w:id="0"/>
            <w:r w:rsidRPr="00924FC6">
              <w:t>20</w:t>
            </w:r>
            <w:r>
              <w:t>27</w:t>
            </w:r>
            <w:r w:rsidRPr="00924FC6">
              <w:t>-</w:t>
            </w:r>
            <w:r>
              <w:t>m01v02s</w:t>
            </w:r>
          </w:p>
        </w:tc>
      </w:tr>
      <w:tr w14:paraId="4A103A62" w14:textId="77777777" w:rsidTr="0027470A">
        <w:tblPrEx>
          <w:tblW w:w="5003" w:type="pct"/>
          <w:tblLayout w:type="fixed"/>
          <w:tblCellMar>
            <w:left w:w="115" w:type="dxa"/>
            <w:right w:w="115" w:type="dxa"/>
          </w:tblCellMar>
          <w:tblLook w:val="0000"/>
        </w:tblPrEx>
        <w:tc>
          <w:tcPr>
            <w:tcW w:w="9726" w:type="dxa"/>
            <w:gridSpan w:val="5"/>
          </w:tcPr>
          <w:p w:rsidR="002115E2" w:rsidP="00F07C41" w14:paraId="5DB0288B" w14:textId="77777777">
            <w:pPr>
              <w:pStyle w:val="SL-FlLftSgl"/>
              <w:rPr>
                <w:b/>
              </w:rPr>
            </w:pPr>
          </w:p>
        </w:tc>
      </w:tr>
      <w:tr w14:paraId="115994A1" w14:textId="77777777" w:rsidTr="0027470A">
        <w:tblPrEx>
          <w:tblW w:w="5003" w:type="pct"/>
          <w:tblLayout w:type="fixed"/>
          <w:tblCellMar>
            <w:left w:w="115" w:type="dxa"/>
            <w:right w:w="115" w:type="dxa"/>
          </w:tblCellMar>
          <w:tblLook w:val="0000"/>
        </w:tblPrEx>
        <w:trPr>
          <w:trHeight w:val="2880"/>
        </w:trPr>
        <w:tc>
          <w:tcPr>
            <w:tcW w:w="1402" w:type="dxa"/>
          </w:tcPr>
          <w:p w:rsidR="002115E2" w:rsidP="00F07C41" w14:paraId="6B9C8BEE" w14:textId="77777777">
            <w:pPr>
              <w:pStyle w:val="SL-FlLftSgl"/>
              <w:rPr>
                <w:b/>
              </w:rPr>
            </w:pPr>
            <w:r>
              <w:rPr>
                <w:b/>
              </w:rPr>
              <w:t>To:</w:t>
            </w:r>
          </w:p>
        </w:tc>
        <w:tc>
          <w:tcPr>
            <w:tcW w:w="3084" w:type="dxa"/>
          </w:tcPr>
          <w:p w:rsidR="002115E2" w:rsidP="00F07C41" w14:paraId="6FB10A7E" w14:textId="01603CCC">
            <w:pPr>
              <w:pStyle w:val="L1-FlLSp12"/>
            </w:pPr>
            <w:r>
              <w:t>Gina R</w:t>
            </w:r>
            <w:r w:rsidR="00BD696F">
              <w:t>u</w:t>
            </w:r>
            <w:r>
              <w:t>ehl, NCES</w:t>
            </w:r>
          </w:p>
          <w:p w:rsidR="002115E2" w:rsidP="00F07C41" w14:paraId="75EC664D" w14:textId="77777777">
            <w:pPr>
              <w:pStyle w:val="L1-FlLSp12"/>
            </w:pPr>
            <w:r>
              <w:t>Enis Dogan</w:t>
            </w:r>
            <w:r w:rsidRPr="00855CE9">
              <w:t>, NCES</w:t>
            </w:r>
          </w:p>
          <w:p w:rsidR="002115E2" w:rsidRPr="00855CE9" w:rsidP="00F07C41" w14:paraId="091D92C9" w14:textId="77777777">
            <w:pPr>
              <w:pStyle w:val="L1-FlLSp12"/>
            </w:pPr>
            <w:r>
              <w:t>Alex McMillan, NCES</w:t>
            </w:r>
          </w:p>
          <w:p w:rsidR="002115E2" w:rsidP="00F07C41" w14:paraId="4E94D168" w14:textId="77777777">
            <w:pPr>
              <w:pStyle w:val="L1-FlLSp12"/>
            </w:pPr>
            <w:r w:rsidRPr="00855CE9">
              <w:t>Amy Dresher</w:t>
            </w:r>
            <w:r>
              <w:t>, ETS</w:t>
            </w:r>
          </w:p>
          <w:p w:rsidR="002115E2" w:rsidRPr="00855CE9" w:rsidP="00F07C41" w14:paraId="3E3258F3" w14:textId="77777777">
            <w:pPr>
              <w:pStyle w:val="L1-FlLSp12"/>
            </w:pPr>
            <w:r>
              <w:t>Peter Ciemins</w:t>
            </w:r>
            <w:r w:rsidRPr="00855CE9">
              <w:t>, ETS</w:t>
            </w:r>
          </w:p>
          <w:p w:rsidR="002115E2" w:rsidP="00F07C41" w14:paraId="2C8B37C6" w14:textId="77777777">
            <w:pPr>
              <w:pStyle w:val="L1-FlLSp12"/>
            </w:pPr>
            <w:r>
              <w:t>Yue Jia</w:t>
            </w:r>
            <w:r w:rsidRPr="00855CE9">
              <w:t>, ETS</w:t>
            </w:r>
          </w:p>
          <w:p w:rsidR="002115E2" w:rsidP="00F07C41" w14:paraId="73E76411" w14:textId="77777777">
            <w:pPr>
              <w:pStyle w:val="L1-FlLSp12"/>
            </w:pPr>
            <w:r>
              <w:t>Robert Finnegan, ETS</w:t>
            </w:r>
          </w:p>
          <w:p w:rsidR="002115E2" w:rsidP="00F07C41" w14:paraId="0EF6E8C6" w14:textId="77777777">
            <w:pPr>
              <w:pStyle w:val="L1-FlLSp12"/>
            </w:pPr>
            <w:r>
              <w:t>Adrienne Sgammato, ETS</w:t>
            </w:r>
          </w:p>
          <w:p w:rsidR="002115E2" w:rsidRPr="00855CE9" w:rsidP="00F07C41" w14:paraId="314CAC80" w14:textId="77777777">
            <w:pPr>
              <w:pStyle w:val="L1-FlLSp12"/>
            </w:pPr>
            <w:r>
              <w:t>Laura Jerry, ETS</w:t>
            </w:r>
          </w:p>
          <w:p w:rsidR="002115E2" w:rsidRPr="00855CE9" w:rsidP="00F07C41" w14:paraId="658289A8" w14:textId="77777777">
            <w:pPr>
              <w:pStyle w:val="L1-FlLSp12"/>
            </w:pPr>
          </w:p>
          <w:p w:rsidR="002115E2" w:rsidRPr="00855CE9" w:rsidP="00F07C41" w14:paraId="5BE7E618" w14:textId="77777777">
            <w:pPr>
              <w:pStyle w:val="L1-FlLSp12"/>
            </w:pPr>
          </w:p>
        </w:tc>
        <w:tc>
          <w:tcPr>
            <w:tcW w:w="5240" w:type="dxa"/>
            <w:gridSpan w:val="3"/>
          </w:tcPr>
          <w:p w:rsidR="002115E2" w:rsidP="00F07C41" w14:paraId="6A730E6B" w14:textId="77777777">
            <w:pPr>
              <w:pStyle w:val="L1-FlLSp12"/>
            </w:pPr>
            <w:r>
              <w:t>Lisa Rodriguez</w:t>
            </w:r>
          </w:p>
          <w:p w:rsidR="002115E2" w:rsidP="00F07C41" w14:paraId="5AFD07B2" w14:textId="77777777">
            <w:pPr>
              <w:pStyle w:val="L1-FlLSp12"/>
            </w:pPr>
            <w:r w:rsidRPr="00855CE9">
              <w:t>Lauren Byrne</w:t>
            </w:r>
          </w:p>
          <w:p w:rsidR="002115E2" w:rsidP="00F07C41" w14:paraId="381D15ED" w14:textId="77777777">
            <w:pPr>
              <w:pStyle w:val="L1-FlLSp12"/>
            </w:pPr>
            <w:r>
              <w:t>Marcie Hickman</w:t>
            </w:r>
          </w:p>
          <w:p w:rsidR="002115E2" w:rsidP="00F07C41" w14:paraId="4EDEEBE8" w14:textId="77777777">
            <w:pPr>
              <w:pStyle w:val="L1-FlLSp12"/>
            </w:pPr>
            <w:r>
              <w:t>Jason Schuknecht</w:t>
            </w:r>
          </w:p>
          <w:p w:rsidR="002115E2" w:rsidRPr="00855CE9" w:rsidP="00F07C41" w14:paraId="590CEFB5" w14:textId="77777777">
            <w:pPr>
              <w:pStyle w:val="L1-FlLSp12"/>
              <w:tabs>
                <w:tab w:val="clear" w:pos="1152"/>
              </w:tabs>
            </w:pPr>
            <w:r>
              <w:t>William Wall</w:t>
            </w:r>
            <w:r w:rsidRPr="00855CE9">
              <w:t xml:space="preserve"> </w:t>
            </w:r>
          </w:p>
          <w:p w:rsidR="002115E2" w:rsidRPr="00855CE9" w:rsidP="00F07C41" w14:paraId="6054D715" w14:textId="77777777">
            <w:pPr>
              <w:pStyle w:val="L1-FlLSp12"/>
              <w:tabs>
                <w:tab w:val="clear" w:pos="1152"/>
              </w:tabs>
            </w:pPr>
            <w:bookmarkStart w:id="1" w:name="Date"/>
            <w:bookmarkEnd w:id="1"/>
            <w:r>
              <w:t>Stephen Bernas</w:t>
            </w:r>
            <w:r w:rsidRPr="00855CE9">
              <w:t xml:space="preserve"> </w:t>
            </w:r>
          </w:p>
          <w:p w:rsidR="002115E2" w:rsidRPr="00855CE9" w:rsidP="00F07C41" w14:paraId="31CC22C9" w14:textId="77777777">
            <w:pPr>
              <w:pStyle w:val="L1-FlLSp12"/>
              <w:tabs>
                <w:tab w:val="clear" w:pos="1152"/>
              </w:tabs>
            </w:pPr>
            <w:r>
              <w:t>Jay Clark</w:t>
            </w:r>
          </w:p>
          <w:p w:rsidR="002115E2" w:rsidP="00F07C41" w14:paraId="7F5F50E8" w14:textId="77777777">
            <w:pPr>
              <w:pStyle w:val="L1-FlLSp12"/>
              <w:tabs>
                <w:tab w:val="clear" w:pos="1152"/>
              </w:tabs>
            </w:pPr>
            <w:r>
              <w:t>Veronique Lieber</w:t>
            </w:r>
          </w:p>
          <w:p w:rsidR="002115E2" w:rsidP="00F07C41" w14:paraId="06AFD6F6" w14:textId="77777777">
            <w:pPr>
              <w:pStyle w:val="L1-FlLSp12"/>
              <w:tabs>
                <w:tab w:val="clear" w:pos="1152"/>
              </w:tabs>
            </w:pPr>
            <w:r>
              <w:t>Yiting Long</w:t>
            </w:r>
          </w:p>
          <w:p w:rsidR="002115E2" w:rsidRPr="00855CE9" w:rsidP="00F07C41" w14:paraId="22D64674" w14:textId="77777777">
            <w:pPr>
              <w:pStyle w:val="L1-FlLSp12"/>
              <w:tabs>
                <w:tab w:val="clear" w:pos="1152"/>
              </w:tabs>
            </w:pPr>
            <w:r>
              <w:t>Sabrina Zhang</w:t>
            </w:r>
          </w:p>
        </w:tc>
      </w:tr>
      <w:tr w14:paraId="6BA55BB6" w14:textId="77777777" w:rsidTr="0027470A">
        <w:tblPrEx>
          <w:tblW w:w="5003" w:type="pct"/>
          <w:tblLayout w:type="fixed"/>
          <w:tblCellMar>
            <w:left w:w="115" w:type="dxa"/>
            <w:right w:w="115" w:type="dxa"/>
          </w:tblCellMar>
          <w:tblLook w:val="0000"/>
        </w:tblPrEx>
        <w:tc>
          <w:tcPr>
            <w:tcW w:w="1402" w:type="dxa"/>
          </w:tcPr>
          <w:p w:rsidR="002115E2" w:rsidP="00F07C41" w14:paraId="34A798B7" w14:textId="04834114">
            <w:pPr>
              <w:pStyle w:val="SL-FlLftSgl"/>
              <w:rPr>
                <w:b/>
              </w:rPr>
            </w:pPr>
          </w:p>
        </w:tc>
        <w:tc>
          <w:tcPr>
            <w:tcW w:w="8324" w:type="dxa"/>
            <w:gridSpan w:val="4"/>
          </w:tcPr>
          <w:p w:rsidR="002115E2" w:rsidP="00F07C41" w14:paraId="1C9A6F1D" w14:textId="3A644A6C">
            <w:pPr>
              <w:pStyle w:val="SL-FlLftSgl"/>
            </w:pPr>
          </w:p>
        </w:tc>
      </w:tr>
      <w:tr w14:paraId="0503657B" w14:textId="77777777" w:rsidTr="0027470A">
        <w:tblPrEx>
          <w:tblW w:w="5003" w:type="pct"/>
          <w:tblLayout w:type="fixed"/>
          <w:tblCellMar>
            <w:left w:w="115" w:type="dxa"/>
            <w:right w:w="115" w:type="dxa"/>
          </w:tblCellMar>
          <w:tblLook w:val="0000"/>
        </w:tblPrEx>
        <w:tc>
          <w:tcPr>
            <w:tcW w:w="1402" w:type="dxa"/>
          </w:tcPr>
          <w:p w:rsidR="002115E2" w:rsidP="00F07C41" w14:paraId="41BC4D74" w14:textId="77777777">
            <w:pPr>
              <w:pStyle w:val="SL-FlLftSgl"/>
              <w:rPr>
                <w:b/>
              </w:rPr>
            </w:pPr>
          </w:p>
        </w:tc>
        <w:tc>
          <w:tcPr>
            <w:tcW w:w="8324" w:type="dxa"/>
            <w:gridSpan w:val="4"/>
          </w:tcPr>
          <w:p w:rsidR="002115E2" w:rsidP="00F07C41" w14:paraId="6FF42A30" w14:textId="77777777">
            <w:pPr>
              <w:pStyle w:val="SL-FlLftSgl"/>
            </w:pPr>
          </w:p>
        </w:tc>
      </w:tr>
      <w:tr w14:paraId="0EF83B6A" w14:textId="77777777" w:rsidTr="0027470A">
        <w:tblPrEx>
          <w:tblW w:w="5003" w:type="pct"/>
          <w:tblLayout w:type="fixed"/>
          <w:tblCellMar>
            <w:left w:w="115" w:type="dxa"/>
            <w:right w:w="115" w:type="dxa"/>
          </w:tblCellMar>
          <w:tblLook w:val="0000"/>
        </w:tblPrEx>
        <w:tc>
          <w:tcPr>
            <w:tcW w:w="1402" w:type="dxa"/>
          </w:tcPr>
          <w:p w:rsidR="002115E2" w:rsidP="00F07C41" w14:paraId="6E58E4D7" w14:textId="3487E6E1">
            <w:pPr>
              <w:pStyle w:val="SL-FlLftSgl"/>
              <w:rPr>
                <w:b/>
              </w:rPr>
            </w:pPr>
          </w:p>
        </w:tc>
        <w:tc>
          <w:tcPr>
            <w:tcW w:w="8324" w:type="dxa"/>
            <w:gridSpan w:val="4"/>
          </w:tcPr>
          <w:p w:rsidR="002115E2" w:rsidP="00F07C41" w14:paraId="634FFF0B" w14:textId="5CB110D1">
            <w:pPr>
              <w:pStyle w:val="SL-FlLftSgl"/>
              <w:tabs>
                <w:tab w:val="center" w:pos="4049"/>
              </w:tabs>
            </w:pPr>
          </w:p>
        </w:tc>
      </w:tr>
    </w:tbl>
    <w:p w:rsidR="00382592" w14:paraId="08D0CEE7" w14:textId="322FEAA4">
      <w:pPr>
        <w:pStyle w:val="BodyText"/>
        <w:ind w:right="358"/>
      </w:pPr>
    </w:p>
    <w:p w:rsidR="00B347E0" w14:paraId="27016553" w14:textId="77777777">
      <w:pPr>
        <w:pStyle w:val="BodyText"/>
        <w:ind w:right="358"/>
      </w:pPr>
    </w:p>
    <w:p w:rsidR="00B347E0" w:rsidRPr="00035B07" w:rsidP="00B347E0" w14:paraId="45AEF581" w14:textId="77777777">
      <w:pPr>
        <w:pStyle w:val="SP-SglSpPara"/>
        <w:tabs>
          <w:tab w:val="clear" w:pos="576"/>
        </w:tabs>
        <w:ind w:left="547" w:hanging="547"/>
        <w:rPr>
          <w:b/>
          <w:sz w:val="32"/>
          <w:szCs w:val="32"/>
        </w:rPr>
      </w:pPr>
      <w:r>
        <w:rPr>
          <w:b/>
          <w:sz w:val="32"/>
          <w:szCs w:val="32"/>
        </w:rPr>
        <w:t>1</w:t>
      </w:r>
      <w:r w:rsidRPr="00035B07">
        <w:rPr>
          <w:b/>
          <w:sz w:val="32"/>
          <w:szCs w:val="32"/>
        </w:rPr>
        <w:t>.</w:t>
      </w:r>
      <w:r w:rsidRPr="00035B07">
        <w:rPr>
          <w:b/>
          <w:sz w:val="32"/>
          <w:szCs w:val="32"/>
        </w:rPr>
        <w:tab/>
        <w:t>Introduction</w:t>
      </w:r>
    </w:p>
    <w:p w:rsidR="00B347E0" w:rsidP="00B347E0" w14:paraId="640D36BE" w14:textId="77777777">
      <w:pPr>
        <w:pStyle w:val="SP-SglSpPara"/>
      </w:pPr>
    </w:p>
    <w:p w:rsidR="00B347E0" w:rsidP="00B347E0" w14:paraId="69FA11E7" w14:textId="77777777">
      <w:pPr>
        <w:pStyle w:val="N1-1stBullet"/>
        <w:tabs>
          <w:tab w:val="clear" w:pos="1152"/>
        </w:tabs>
        <w:ind w:left="0" w:firstLine="540"/>
      </w:pPr>
      <w:r>
        <w:t>For the 2027 NAEP year, the sample design involves a pilot test in science at grade 8. The pilot sample will be used to test new science items. Below is a summary list of the features of the 2027 sample design.</w:t>
      </w:r>
    </w:p>
    <w:p w:rsidR="00B347E0" w:rsidP="00B347E0" w14:paraId="398DC6ED" w14:textId="77777777">
      <w:pPr>
        <w:pStyle w:val="N3-3rdBullet"/>
        <w:numPr>
          <w:ilvl w:val="0"/>
          <w:numId w:val="14"/>
        </w:numPr>
        <w:tabs>
          <w:tab w:val="clear" w:pos="2304"/>
        </w:tabs>
        <w:spacing w:after="120" w:line="240" w:lineRule="auto"/>
        <w:ind w:left="1152" w:hanging="576"/>
        <w:jc w:val="left"/>
      </w:pPr>
      <w:r>
        <w:t>The pilot test is a digitally based assessment administered on computer devices: either NAEP-provided devices (Chromebooks, ND) or school devices (SD). It will be administered in schools located in the 50 states and the District of Columbia.</w:t>
      </w:r>
    </w:p>
    <w:p w:rsidR="00B347E0" w:rsidP="00B347E0" w14:paraId="0F153D2E" w14:textId="77777777">
      <w:pPr>
        <w:pStyle w:val="N3-3rdBullet"/>
        <w:numPr>
          <w:ilvl w:val="0"/>
          <w:numId w:val="14"/>
        </w:numPr>
        <w:tabs>
          <w:tab w:val="clear" w:pos="2304"/>
        </w:tabs>
        <w:spacing w:after="120" w:line="240" w:lineRule="auto"/>
        <w:ind w:left="1152" w:hanging="576"/>
        <w:jc w:val="left"/>
      </w:pPr>
      <w:r>
        <w:t>The pilot test will employ a three-stage design: selecting PSUs, schools, and students. A sample of 34 PSUs has been selected to reduce overlap with the 2025 Long-Term Trend PSUs and the 2025 Field Test PSUs to the extent possible.</w:t>
      </w:r>
    </w:p>
    <w:p w:rsidR="00B347E0" w:rsidP="00B347E0" w14:paraId="3CD8C156" w14:textId="77777777">
      <w:pPr>
        <w:pStyle w:val="N3-3rdBullet"/>
        <w:numPr>
          <w:ilvl w:val="0"/>
          <w:numId w:val="14"/>
        </w:numPr>
        <w:tabs>
          <w:tab w:val="clear" w:pos="2304"/>
        </w:tabs>
        <w:spacing w:after="120" w:line="240" w:lineRule="auto"/>
        <w:ind w:left="1152" w:hanging="576"/>
        <w:jc w:val="left"/>
      </w:pPr>
      <w:r w:rsidRPr="00AF6FD0">
        <w:t xml:space="preserve">The pilot </w:t>
      </w:r>
      <w:r>
        <w:t>test</w:t>
      </w:r>
      <w:r w:rsidRPr="00AF6FD0">
        <w:t xml:space="preserve"> will be administered using </w:t>
      </w:r>
      <w:r>
        <w:t>the mixed</w:t>
      </w:r>
      <w:r w:rsidRPr="00AF6FD0">
        <w:t xml:space="preserve"> device mode</w:t>
      </w:r>
      <w:r>
        <w:t>l</w:t>
      </w:r>
      <w:r w:rsidRPr="00AF6FD0">
        <w:t xml:space="preserve"> only</w:t>
      </w:r>
      <w:r>
        <w:t xml:space="preserve">. This means that the </w:t>
      </w:r>
      <w:r>
        <w:rPr>
          <w:szCs w:val="22"/>
        </w:rPr>
        <w:t>School Technology Survey (STS) will determine if a school qualifies for school devices and if so, school devices will be used. A large majority of all schools is expected to qualify for school devices. The schools that do not qualify will be assessed using NAEP-provided devices.</w:t>
      </w:r>
      <w:r w:rsidRPr="00AF6FD0">
        <w:t xml:space="preserve"> </w:t>
      </w:r>
    </w:p>
    <w:p w:rsidR="00B347E0" w:rsidP="00B347E0" w14:paraId="627DDFD9" w14:textId="77777777">
      <w:pPr>
        <w:pStyle w:val="N3-3rdBullet"/>
        <w:numPr>
          <w:ilvl w:val="0"/>
          <w:numId w:val="14"/>
        </w:numPr>
        <w:tabs>
          <w:tab w:val="clear" w:pos="2304"/>
        </w:tabs>
        <w:spacing w:after="120" w:line="240" w:lineRule="auto"/>
        <w:ind w:left="1152" w:hanging="576"/>
        <w:jc w:val="left"/>
      </w:pPr>
      <w:r>
        <w:t>The pilot samples will not employ any oversampling related to Black, Hispanic, or AI/AN students, either at the school level or at the student level.</w:t>
      </w:r>
    </w:p>
    <w:p w:rsidR="00B347E0" w:rsidP="00B347E0" w14:paraId="12017F59" w14:textId="77777777">
      <w:pPr>
        <w:pStyle w:val="N3-3rdBullet"/>
        <w:numPr>
          <w:ilvl w:val="0"/>
          <w:numId w:val="14"/>
        </w:numPr>
        <w:tabs>
          <w:tab w:val="clear" w:pos="2304"/>
        </w:tabs>
        <w:spacing w:after="120" w:line="240" w:lineRule="auto"/>
        <w:ind w:left="1152" w:hanging="576"/>
        <w:jc w:val="left"/>
      </w:pPr>
      <w:r>
        <w:t>The primary focus of the pilot test is public school students. However, to gain experience with administering the new science items in private schools and to continue correspondence with private organizations, the pilot test will be administered on a small scale in private schools.</w:t>
      </w:r>
    </w:p>
    <w:p w:rsidR="00B347E0" w:rsidP="00B347E0" w14:paraId="5E7F21F1" w14:textId="77777777"/>
    <w:p w:rsidR="00B347E0" w:rsidP="00B347E0" w14:paraId="4E46059F" w14:textId="77777777">
      <w:pPr>
        <w:pStyle w:val="SP-SglSpPara"/>
        <w:tabs>
          <w:tab w:val="left" w:pos="0"/>
        </w:tabs>
      </w:pPr>
      <w:r>
        <w:t xml:space="preserve">The targets of assessed students are shown in Table 1 (which also shows the approximate numbers of participating schools and average number of assessed students per school). </w:t>
      </w:r>
    </w:p>
    <w:p w:rsidR="00B347E0" w:rsidP="00B347E0" w14:paraId="6F529441" w14:textId="77777777">
      <w:pPr>
        <w:pStyle w:val="TT-TableTitle"/>
      </w:pPr>
    </w:p>
    <w:p w:rsidR="00B347E0" w:rsidP="00B347E0" w14:paraId="4E0E663E" w14:textId="77777777">
      <w:pPr>
        <w:pStyle w:val="TT-TableTitle"/>
      </w:pPr>
      <w:r>
        <w:t>Table 1.</w:t>
      </w:r>
      <w:r>
        <w:tab/>
        <w:t>Targets of assessed students and expected number of participating schools for 2027 NAEP Pilot Test, grade 8 science</w:t>
      </w:r>
    </w:p>
    <w:p w:rsidR="00B347E0" w:rsidP="00B347E0" w14:paraId="19753044" w14:textId="77777777">
      <w:pPr>
        <w:pStyle w:val="TT-TableTitle"/>
      </w:pPr>
    </w:p>
    <w:tbl>
      <w:tblPr>
        <w:tblW w:w="5000" w:type="pct"/>
        <w:tblBorders>
          <w:top w:val="single" w:sz="6" w:space="0" w:color="auto"/>
          <w:bottom w:val="single" w:sz="6" w:space="0" w:color="auto"/>
          <w:insideV w:val="single" w:sz="6" w:space="0" w:color="auto"/>
        </w:tblBorders>
        <w:tblLayout w:type="fixed"/>
        <w:tblLook w:val="0000"/>
      </w:tblPr>
      <w:tblGrid>
        <w:gridCol w:w="3181"/>
        <w:gridCol w:w="2179"/>
        <w:gridCol w:w="2179"/>
        <w:gridCol w:w="2181"/>
      </w:tblGrid>
      <w:tr w14:paraId="6CDE8FB8" w14:textId="77777777" w:rsidTr="00F07C41">
        <w:tblPrEx>
          <w:tblW w:w="5000" w:type="pct"/>
          <w:tblBorders>
            <w:top w:val="single" w:sz="6" w:space="0" w:color="auto"/>
            <w:bottom w:val="single" w:sz="6" w:space="0" w:color="auto"/>
            <w:insideV w:val="single" w:sz="6" w:space="0" w:color="auto"/>
          </w:tblBorders>
          <w:tblLayout w:type="fixed"/>
          <w:tblLook w:val="0000"/>
        </w:tblPrEx>
        <w:trPr>
          <w:trHeight w:val="288"/>
          <w:tblHeader/>
        </w:trPr>
        <w:tc>
          <w:tcPr>
            <w:tcW w:w="1636" w:type="pct"/>
            <w:tcBorders>
              <w:top w:val="single" w:sz="18" w:space="0" w:color="auto"/>
            </w:tcBorders>
            <w:noWrap/>
            <w:vAlign w:val="bottom"/>
          </w:tcPr>
          <w:p w:rsidR="00B347E0" w:rsidRPr="009266E9" w:rsidP="00F07C41" w14:paraId="3FC96F14" w14:textId="77777777">
            <w:pPr>
              <w:rPr>
                <w:sz w:val="20"/>
              </w:rPr>
            </w:pPr>
            <w:r w:rsidRPr="009266E9">
              <w:rPr>
                <w:sz w:val="20"/>
              </w:rPr>
              <w:t>Component</w:t>
            </w:r>
          </w:p>
        </w:tc>
        <w:tc>
          <w:tcPr>
            <w:tcW w:w="1121" w:type="pct"/>
            <w:tcBorders>
              <w:top w:val="single" w:sz="18" w:space="0" w:color="auto"/>
            </w:tcBorders>
            <w:vAlign w:val="bottom"/>
          </w:tcPr>
          <w:p w:rsidR="00B347E0" w:rsidRPr="009266E9" w:rsidP="00F07C41" w14:paraId="2DB72BF5" w14:textId="77777777">
            <w:pPr>
              <w:jc w:val="center"/>
              <w:rPr>
                <w:sz w:val="20"/>
              </w:rPr>
            </w:pPr>
            <w:r w:rsidRPr="009266E9">
              <w:rPr>
                <w:sz w:val="20"/>
              </w:rPr>
              <w:t>Public school students</w:t>
            </w:r>
          </w:p>
        </w:tc>
        <w:tc>
          <w:tcPr>
            <w:tcW w:w="1121" w:type="pct"/>
            <w:tcBorders>
              <w:top w:val="single" w:sz="18" w:space="0" w:color="auto"/>
            </w:tcBorders>
            <w:noWrap/>
            <w:vAlign w:val="bottom"/>
          </w:tcPr>
          <w:p w:rsidR="00B347E0" w:rsidRPr="009266E9" w:rsidP="00F07C41" w14:paraId="671E19BD" w14:textId="77777777">
            <w:pPr>
              <w:jc w:val="center"/>
              <w:rPr>
                <w:sz w:val="20"/>
              </w:rPr>
            </w:pPr>
            <w:r w:rsidRPr="009266E9">
              <w:rPr>
                <w:sz w:val="20"/>
              </w:rPr>
              <w:t>Private school students</w:t>
            </w:r>
          </w:p>
        </w:tc>
        <w:tc>
          <w:tcPr>
            <w:tcW w:w="1122" w:type="pct"/>
            <w:tcBorders>
              <w:top w:val="single" w:sz="18" w:space="0" w:color="auto"/>
            </w:tcBorders>
            <w:noWrap/>
            <w:vAlign w:val="bottom"/>
          </w:tcPr>
          <w:p w:rsidR="00B347E0" w:rsidRPr="009266E9" w:rsidP="00F07C41" w14:paraId="08CE494C" w14:textId="77777777">
            <w:pPr>
              <w:jc w:val="center"/>
              <w:rPr>
                <w:sz w:val="20"/>
              </w:rPr>
            </w:pPr>
            <w:r w:rsidRPr="009266E9">
              <w:rPr>
                <w:sz w:val="20"/>
              </w:rPr>
              <w:t xml:space="preserve">Total </w:t>
            </w:r>
          </w:p>
        </w:tc>
      </w:tr>
      <w:tr w14:paraId="2869CE17" w14:textId="77777777" w:rsidTr="00F07C41">
        <w:tblPrEx>
          <w:tblW w:w="5000" w:type="pct"/>
          <w:tblLayout w:type="fixed"/>
          <w:tblLook w:val="0000"/>
        </w:tblPrEx>
        <w:tc>
          <w:tcPr>
            <w:tcW w:w="1636" w:type="pct"/>
            <w:tcBorders>
              <w:top w:val="single" w:sz="18" w:space="0" w:color="auto"/>
            </w:tcBorders>
            <w:noWrap/>
            <w:vAlign w:val="bottom"/>
          </w:tcPr>
          <w:p w:rsidR="00B347E0" w:rsidRPr="009266E9" w:rsidP="00F07C41" w14:paraId="313C7F01" w14:textId="77777777">
            <w:pPr>
              <w:rPr>
                <w:bCs/>
                <w:sz w:val="20"/>
              </w:rPr>
            </w:pPr>
            <w:r>
              <w:rPr>
                <w:bCs/>
                <w:sz w:val="20"/>
              </w:rPr>
              <w:t>Assessed students</w:t>
            </w:r>
          </w:p>
        </w:tc>
        <w:tc>
          <w:tcPr>
            <w:tcW w:w="1121" w:type="pct"/>
            <w:tcBorders>
              <w:top w:val="single" w:sz="18" w:space="0" w:color="auto"/>
            </w:tcBorders>
            <w:vAlign w:val="center"/>
          </w:tcPr>
          <w:p w:rsidR="00B347E0" w:rsidRPr="00CE2499" w:rsidP="00F07C41" w14:paraId="78E11842" w14:textId="77777777">
            <w:pPr>
              <w:tabs>
                <w:tab w:val="decimal" w:pos="882"/>
              </w:tabs>
              <w:jc w:val="right"/>
              <w:rPr>
                <w:sz w:val="20"/>
              </w:rPr>
            </w:pPr>
            <w:r>
              <w:rPr>
                <w:sz w:val="20"/>
              </w:rPr>
              <w:t>11,340</w:t>
            </w:r>
          </w:p>
        </w:tc>
        <w:tc>
          <w:tcPr>
            <w:tcW w:w="1121" w:type="pct"/>
            <w:tcBorders>
              <w:top w:val="single" w:sz="18" w:space="0" w:color="auto"/>
            </w:tcBorders>
            <w:noWrap/>
            <w:vAlign w:val="center"/>
          </w:tcPr>
          <w:p w:rsidR="00B347E0" w:rsidRPr="00CE2499" w:rsidP="00F07C41" w14:paraId="6E6CA671" w14:textId="77777777">
            <w:pPr>
              <w:tabs>
                <w:tab w:val="decimal" w:pos="882"/>
              </w:tabs>
              <w:jc w:val="right"/>
              <w:rPr>
                <w:sz w:val="20"/>
              </w:rPr>
            </w:pPr>
            <w:r>
              <w:rPr>
                <w:sz w:val="20"/>
              </w:rPr>
              <w:t>660</w:t>
            </w:r>
          </w:p>
        </w:tc>
        <w:tc>
          <w:tcPr>
            <w:tcW w:w="1122" w:type="pct"/>
            <w:tcBorders>
              <w:top w:val="single" w:sz="18" w:space="0" w:color="auto"/>
            </w:tcBorders>
            <w:noWrap/>
            <w:vAlign w:val="center"/>
          </w:tcPr>
          <w:p w:rsidR="00B347E0" w:rsidRPr="00CE2499" w:rsidP="00F07C41" w14:paraId="593A30AA" w14:textId="77777777">
            <w:pPr>
              <w:tabs>
                <w:tab w:val="decimal" w:pos="882"/>
              </w:tabs>
              <w:jc w:val="right"/>
              <w:rPr>
                <w:sz w:val="20"/>
              </w:rPr>
            </w:pPr>
            <w:r>
              <w:rPr>
                <w:sz w:val="20"/>
              </w:rPr>
              <w:t>12,000</w:t>
            </w:r>
          </w:p>
        </w:tc>
      </w:tr>
      <w:tr w14:paraId="441B6671" w14:textId="77777777" w:rsidTr="00F07C41">
        <w:tblPrEx>
          <w:tblW w:w="5000" w:type="pct"/>
          <w:tblLayout w:type="fixed"/>
          <w:tblLook w:val="0000"/>
        </w:tblPrEx>
        <w:tc>
          <w:tcPr>
            <w:tcW w:w="1636" w:type="pct"/>
            <w:tcBorders>
              <w:top w:val="nil"/>
              <w:bottom w:val="nil"/>
            </w:tcBorders>
            <w:noWrap/>
            <w:vAlign w:val="bottom"/>
          </w:tcPr>
          <w:p w:rsidR="00B347E0" w:rsidRPr="009266E9" w:rsidP="00F07C41" w14:paraId="7E140425" w14:textId="77777777">
            <w:pPr>
              <w:rPr>
                <w:bCs/>
                <w:sz w:val="20"/>
              </w:rPr>
            </w:pPr>
            <w:r>
              <w:rPr>
                <w:bCs/>
                <w:sz w:val="20"/>
              </w:rPr>
              <w:t>Participating s</w:t>
            </w:r>
            <w:r w:rsidRPr="009266E9">
              <w:rPr>
                <w:bCs/>
                <w:sz w:val="20"/>
              </w:rPr>
              <w:t>chools</w:t>
            </w:r>
          </w:p>
        </w:tc>
        <w:tc>
          <w:tcPr>
            <w:tcW w:w="1121" w:type="pct"/>
            <w:tcBorders>
              <w:top w:val="nil"/>
              <w:bottom w:val="nil"/>
            </w:tcBorders>
            <w:vAlign w:val="center"/>
          </w:tcPr>
          <w:p w:rsidR="00B347E0" w:rsidRPr="009266E9" w:rsidP="00F07C41" w14:paraId="60EFFDB2" w14:textId="77777777">
            <w:pPr>
              <w:tabs>
                <w:tab w:val="decimal" w:pos="882"/>
              </w:tabs>
              <w:jc w:val="right"/>
              <w:rPr>
                <w:bCs/>
                <w:sz w:val="20"/>
              </w:rPr>
            </w:pPr>
            <w:r>
              <w:rPr>
                <w:bCs/>
                <w:sz w:val="20"/>
              </w:rPr>
              <w:t>291</w:t>
            </w:r>
          </w:p>
        </w:tc>
        <w:tc>
          <w:tcPr>
            <w:tcW w:w="1121" w:type="pct"/>
            <w:tcBorders>
              <w:top w:val="nil"/>
              <w:bottom w:val="nil"/>
            </w:tcBorders>
            <w:noWrap/>
            <w:vAlign w:val="center"/>
          </w:tcPr>
          <w:p w:rsidR="00B347E0" w:rsidRPr="009266E9" w:rsidP="00F07C41" w14:paraId="71E4720C" w14:textId="77777777">
            <w:pPr>
              <w:tabs>
                <w:tab w:val="decimal" w:pos="882"/>
              </w:tabs>
              <w:jc w:val="right"/>
              <w:rPr>
                <w:bCs/>
                <w:sz w:val="20"/>
              </w:rPr>
            </w:pPr>
            <w:r>
              <w:rPr>
                <w:bCs/>
                <w:sz w:val="20"/>
              </w:rPr>
              <w:t>3</w:t>
            </w:r>
            <w:r w:rsidRPr="009266E9">
              <w:rPr>
                <w:bCs/>
                <w:sz w:val="20"/>
              </w:rPr>
              <w:t>0</w:t>
            </w:r>
          </w:p>
        </w:tc>
        <w:tc>
          <w:tcPr>
            <w:tcW w:w="1122" w:type="pct"/>
            <w:tcBorders>
              <w:top w:val="nil"/>
              <w:bottom w:val="nil"/>
            </w:tcBorders>
            <w:noWrap/>
            <w:vAlign w:val="center"/>
          </w:tcPr>
          <w:p w:rsidR="00B347E0" w:rsidRPr="009266E9" w:rsidP="00F07C41" w14:paraId="63F83523" w14:textId="77777777">
            <w:pPr>
              <w:tabs>
                <w:tab w:val="decimal" w:pos="882"/>
              </w:tabs>
              <w:jc w:val="right"/>
              <w:rPr>
                <w:bCs/>
                <w:sz w:val="20"/>
              </w:rPr>
            </w:pPr>
            <w:r>
              <w:rPr>
                <w:bCs/>
                <w:sz w:val="20"/>
              </w:rPr>
              <w:t>321</w:t>
            </w:r>
          </w:p>
        </w:tc>
      </w:tr>
      <w:tr w14:paraId="11AB1960" w14:textId="77777777" w:rsidTr="00F07C41">
        <w:tblPrEx>
          <w:tblW w:w="5000" w:type="pct"/>
          <w:tblLayout w:type="fixed"/>
          <w:tblLook w:val="0000"/>
        </w:tblPrEx>
        <w:tc>
          <w:tcPr>
            <w:tcW w:w="1636" w:type="pct"/>
            <w:tcBorders>
              <w:top w:val="nil"/>
              <w:bottom w:val="single" w:sz="18" w:space="0" w:color="auto"/>
            </w:tcBorders>
            <w:noWrap/>
            <w:vAlign w:val="bottom"/>
          </w:tcPr>
          <w:p w:rsidR="00B347E0" w:rsidRPr="0071419B" w:rsidP="00F07C41" w14:paraId="6A35D803" w14:textId="77777777">
            <w:pPr>
              <w:rPr>
                <w:bCs/>
                <w:sz w:val="20"/>
              </w:rPr>
            </w:pPr>
            <w:r>
              <w:rPr>
                <w:bCs/>
                <w:sz w:val="20"/>
              </w:rPr>
              <w:t>Average assessed students/school</w:t>
            </w:r>
          </w:p>
        </w:tc>
        <w:tc>
          <w:tcPr>
            <w:tcW w:w="1121" w:type="pct"/>
            <w:tcBorders>
              <w:top w:val="nil"/>
              <w:bottom w:val="single" w:sz="18" w:space="0" w:color="auto"/>
            </w:tcBorders>
            <w:vAlign w:val="center"/>
          </w:tcPr>
          <w:p w:rsidR="00B347E0" w:rsidRPr="0071419B" w:rsidP="00F07C41" w14:paraId="2EACD890" w14:textId="77777777">
            <w:pPr>
              <w:tabs>
                <w:tab w:val="decimal" w:pos="882"/>
              </w:tabs>
              <w:jc w:val="right"/>
              <w:rPr>
                <w:bCs/>
                <w:sz w:val="20"/>
              </w:rPr>
            </w:pPr>
            <w:r>
              <w:rPr>
                <w:bCs/>
                <w:sz w:val="20"/>
              </w:rPr>
              <w:t>39</w:t>
            </w:r>
          </w:p>
        </w:tc>
        <w:tc>
          <w:tcPr>
            <w:tcW w:w="1121" w:type="pct"/>
            <w:tcBorders>
              <w:top w:val="nil"/>
              <w:bottom w:val="single" w:sz="18" w:space="0" w:color="auto"/>
            </w:tcBorders>
            <w:noWrap/>
            <w:vAlign w:val="center"/>
          </w:tcPr>
          <w:p w:rsidR="00B347E0" w:rsidP="00F07C41" w14:paraId="37FCCE40" w14:textId="77777777">
            <w:pPr>
              <w:tabs>
                <w:tab w:val="decimal" w:pos="882"/>
              </w:tabs>
              <w:jc w:val="right"/>
              <w:rPr>
                <w:bCs/>
                <w:sz w:val="20"/>
              </w:rPr>
            </w:pPr>
            <w:r>
              <w:rPr>
                <w:bCs/>
                <w:sz w:val="20"/>
              </w:rPr>
              <w:t>22</w:t>
            </w:r>
          </w:p>
        </w:tc>
        <w:tc>
          <w:tcPr>
            <w:tcW w:w="1122" w:type="pct"/>
            <w:tcBorders>
              <w:top w:val="nil"/>
              <w:bottom w:val="single" w:sz="18" w:space="0" w:color="auto"/>
            </w:tcBorders>
            <w:noWrap/>
            <w:vAlign w:val="center"/>
          </w:tcPr>
          <w:p w:rsidR="00B347E0" w:rsidRPr="0071419B" w:rsidP="00F07C41" w14:paraId="78814117" w14:textId="77777777">
            <w:pPr>
              <w:tabs>
                <w:tab w:val="decimal" w:pos="882"/>
              </w:tabs>
              <w:jc w:val="right"/>
              <w:rPr>
                <w:bCs/>
                <w:sz w:val="20"/>
              </w:rPr>
            </w:pPr>
            <w:r>
              <w:rPr>
                <w:bCs/>
                <w:sz w:val="20"/>
              </w:rPr>
              <w:t>37</w:t>
            </w:r>
          </w:p>
        </w:tc>
      </w:tr>
    </w:tbl>
    <w:p w:rsidR="00B347E0" w:rsidRPr="0028333D" w:rsidP="00B347E0" w14:paraId="6BF941D4" w14:textId="77777777">
      <w:pPr>
        <w:spacing w:line="360" w:lineRule="atLeast"/>
        <w:rPr>
          <w:b/>
          <w:sz w:val="18"/>
          <w:szCs w:val="18"/>
        </w:rPr>
      </w:pPr>
    </w:p>
    <w:p w:rsidR="00B347E0" w:rsidRPr="00035B07" w:rsidP="00B347E0" w14:paraId="545F4692" w14:textId="77777777">
      <w:pPr>
        <w:pStyle w:val="SH-SglSpHead"/>
        <w:tabs>
          <w:tab w:val="clear" w:pos="576"/>
        </w:tabs>
        <w:ind w:left="540" w:hanging="540"/>
        <w:rPr>
          <w:i/>
          <w:sz w:val="32"/>
          <w:szCs w:val="32"/>
        </w:rPr>
      </w:pPr>
      <w:r>
        <w:rPr>
          <w:sz w:val="32"/>
          <w:szCs w:val="32"/>
        </w:rPr>
        <w:t>2</w:t>
      </w:r>
      <w:r w:rsidRPr="00035B07">
        <w:rPr>
          <w:sz w:val="32"/>
          <w:szCs w:val="32"/>
        </w:rPr>
        <w:t>.</w:t>
      </w:r>
      <w:r w:rsidRPr="00035B07">
        <w:rPr>
          <w:sz w:val="32"/>
          <w:szCs w:val="32"/>
        </w:rPr>
        <w:tab/>
        <w:t>Assessment Types</w:t>
      </w:r>
    </w:p>
    <w:p w:rsidR="00B347E0" w:rsidP="00B347E0" w14:paraId="66231FE2" w14:textId="77777777">
      <w:pPr>
        <w:pStyle w:val="SP-SglSpPara"/>
      </w:pPr>
    </w:p>
    <w:p w:rsidR="00B347E0" w:rsidRPr="00035B07" w:rsidP="00B347E0" w14:paraId="6C8B20ED" w14:textId="77777777">
      <w:pPr>
        <w:pStyle w:val="L1-FlLSp12"/>
        <w:tabs>
          <w:tab w:val="clear" w:pos="1152"/>
        </w:tabs>
        <w:spacing w:line="240" w:lineRule="auto"/>
        <w:ind w:firstLine="540"/>
        <w:rPr>
          <w:rFonts w:ascii="Times New Roman" w:hAnsi="Times New Roman"/>
          <w:sz w:val="22"/>
        </w:rPr>
      </w:pPr>
      <w:r w:rsidRPr="00035B07">
        <w:rPr>
          <w:rFonts w:ascii="Times New Roman" w:hAnsi="Times New Roman"/>
          <w:sz w:val="22"/>
        </w:rPr>
        <w:t>The assessment types for 202</w:t>
      </w:r>
      <w:r>
        <w:rPr>
          <w:rFonts w:ascii="Times New Roman" w:hAnsi="Times New Roman"/>
          <w:sz w:val="22"/>
        </w:rPr>
        <w:t>7</w:t>
      </w:r>
      <w:r w:rsidRPr="00035B07">
        <w:rPr>
          <w:rFonts w:ascii="Times New Roman" w:hAnsi="Times New Roman"/>
          <w:sz w:val="22"/>
        </w:rPr>
        <w:t xml:space="preserve"> are shown in Table </w:t>
      </w:r>
      <w:r>
        <w:rPr>
          <w:rFonts w:ascii="Times New Roman" w:hAnsi="Times New Roman"/>
          <w:sz w:val="22"/>
        </w:rPr>
        <w:t>2</w:t>
      </w:r>
      <w:r w:rsidRPr="00035B07">
        <w:rPr>
          <w:rFonts w:ascii="Times New Roman" w:hAnsi="Times New Roman"/>
          <w:sz w:val="22"/>
        </w:rPr>
        <w:t>.</w:t>
      </w:r>
      <w:r>
        <w:rPr>
          <w:rFonts w:ascii="Times New Roman" w:hAnsi="Times New Roman"/>
          <w:sz w:val="22"/>
        </w:rPr>
        <w:t xml:space="preserve"> </w:t>
      </w:r>
    </w:p>
    <w:p w:rsidR="00B347E0" w:rsidP="00B347E0" w14:paraId="307B1FA8" w14:textId="77777777"/>
    <w:p w:rsidR="00B347E0" w:rsidP="00B347E0" w14:paraId="7E7A37BC" w14:textId="77777777">
      <w:pPr>
        <w:pStyle w:val="TT-TableTitle"/>
      </w:pPr>
      <w:r>
        <w:t>Table 2.</w:t>
      </w:r>
      <w:r>
        <w:tab/>
        <w:t>NAEP 2027</w:t>
      </w:r>
      <w:r w:rsidRPr="00F0321D">
        <w:t xml:space="preserve"> assessment types </w:t>
      </w:r>
    </w:p>
    <w:p w:rsidR="00B347E0" w:rsidP="00B347E0" w14:paraId="31B920FB" w14:textId="77777777">
      <w:pPr>
        <w:pStyle w:val="TT-TableTitle"/>
      </w:pPr>
    </w:p>
    <w:tbl>
      <w:tblPr>
        <w:tblStyle w:val="GridTableLight"/>
        <w:tblW w:w="4942" w:type="pct"/>
        <w:tblBorders>
          <w:top w:val="single" w:sz="18" w:space="0" w:color="auto"/>
          <w:left w:val="none" w:sz="0" w:space="0" w:color="auto"/>
          <w:bottom w:val="single" w:sz="2" w:space="0" w:color="auto"/>
          <w:right w:val="none" w:sz="0" w:space="0" w:color="auto"/>
          <w:insideH w:val="single" w:sz="18" w:space="0" w:color="auto"/>
          <w:insideV w:val="single" w:sz="2" w:space="0" w:color="auto"/>
        </w:tblBorders>
        <w:tblLook w:val="01E0"/>
      </w:tblPr>
      <w:tblGrid>
        <w:gridCol w:w="1667"/>
        <w:gridCol w:w="1678"/>
        <w:gridCol w:w="1931"/>
        <w:gridCol w:w="1558"/>
        <w:gridCol w:w="2773"/>
      </w:tblGrid>
      <w:tr w14:paraId="2872964F" w14:textId="77777777" w:rsidTr="00F07C41">
        <w:tblPrEx>
          <w:tblW w:w="4942" w:type="pct"/>
          <w:tblBorders>
            <w:top w:val="single" w:sz="18" w:space="0" w:color="auto"/>
            <w:left w:val="none" w:sz="0" w:space="0" w:color="auto"/>
            <w:bottom w:val="single" w:sz="2" w:space="0" w:color="auto"/>
            <w:right w:val="none" w:sz="0" w:space="0" w:color="auto"/>
            <w:insideH w:val="single" w:sz="18" w:space="0" w:color="auto"/>
            <w:insideV w:val="single" w:sz="2" w:space="0" w:color="auto"/>
          </w:tblBorders>
          <w:tblLook w:val="01E0"/>
        </w:tblPrEx>
        <w:tc>
          <w:tcPr>
            <w:tcW w:w="867" w:type="pct"/>
            <w:tcBorders>
              <w:bottom w:val="single" w:sz="18" w:space="0" w:color="auto"/>
            </w:tcBorders>
          </w:tcPr>
          <w:p w:rsidR="00B347E0" w:rsidRPr="00805511" w:rsidP="00F07C41" w14:paraId="2633166D" w14:textId="77777777">
            <w:pPr>
              <w:pStyle w:val="TH-TableHeading"/>
              <w:jc w:val="both"/>
              <w:rPr>
                <w:rFonts w:ascii="Times New Roman" w:hAnsi="Times New Roman"/>
                <w:b w:val="0"/>
                <w:bCs/>
              </w:rPr>
            </w:pPr>
            <w:r w:rsidRPr="00805511">
              <w:rPr>
                <w:rFonts w:ascii="Times New Roman" w:hAnsi="Times New Roman"/>
                <w:b w:val="0"/>
                <w:bCs/>
              </w:rPr>
              <w:t>Type</w:t>
            </w:r>
          </w:p>
        </w:tc>
        <w:tc>
          <w:tcPr>
            <w:tcW w:w="873" w:type="pct"/>
            <w:tcBorders>
              <w:bottom w:val="single" w:sz="18" w:space="0" w:color="auto"/>
            </w:tcBorders>
          </w:tcPr>
          <w:p w:rsidR="00B347E0" w:rsidRPr="00805511" w:rsidP="00F07C41" w14:paraId="10F013E4" w14:textId="77777777">
            <w:pPr>
              <w:pStyle w:val="TH-TableHeading"/>
              <w:rPr>
                <w:rFonts w:ascii="Times New Roman" w:hAnsi="Times New Roman"/>
                <w:b w:val="0"/>
                <w:bCs/>
              </w:rPr>
            </w:pPr>
            <w:r w:rsidRPr="00805511">
              <w:rPr>
                <w:rFonts w:ascii="Times New Roman" w:hAnsi="Times New Roman"/>
                <w:b w:val="0"/>
                <w:bCs/>
              </w:rPr>
              <w:t>Subject</w:t>
            </w:r>
          </w:p>
        </w:tc>
        <w:tc>
          <w:tcPr>
            <w:tcW w:w="1005" w:type="pct"/>
            <w:tcBorders>
              <w:bottom w:val="single" w:sz="18" w:space="0" w:color="auto"/>
            </w:tcBorders>
          </w:tcPr>
          <w:p w:rsidR="00B347E0" w:rsidRPr="00805511" w:rsidP="00F07C41" w14:paraId="6537BF75" w14:textId="77777777">
            <w:pPr>
              <w:pStyle w:val="TH-TableHeading"/>
              <w:rPr>
                <w:rFonts w:ascii="Times New Roman" w:hAnsi="Times New Roman"/>
                <w:b w:val="0"/>
                <w:bCs/>
              </w:rPr>
            </w:pPr>
            <w:r w:rsidRPr="00805511">
              <w:rPr>
                <w:rFonts w:ascii="Times New Roman" w:hAnsi="Times New Roman"/>
                <w:b w:val="0"/>
                <w:bCs/>
              </w:rPr>
              <w:t>Grade</w:t>
            </w:r>
          </w:p>
        </w:tc>
        <w:tc>
          <w:tcPr>
            <w:tcW w:w="811" w:type="pct"/>
            <w:tcBorders>
              <w:bottom w:val="single" w:sz="18" w:space="0" w:color="auto"/>
            </w:tcBorders>
          </w:tcPr>
          <w:p w:rsidR="00B347E0" w:rsidRPr="00805511" w:rsidP="00F07C41" w14:paraId="26B8DD19" w14:textId="77777777">
            <w:pPr>
              <w:pStyle w:val="TH-TableHeading"/>
              <w:rPr>
                <w:rFonts w:ascii="Times New Roman" w:hAnsi="Times New Roman"/>
                <w:b w:val="0"/>
                <w:bCs/>
              </w:rPr>
            </w:pPr>
            <w:r w:rsidRPr="00805511">
              <w:rPr>
                <w:rFonts w:ascii="Times New Roman" w:hAnsi="Times New Roman"/>
                <w:b w:val="0"/>
                <w:bCs/>
              </w:rPr>
              <w:t>Schools</w:t>
            </w:r>
          </w:p>
        </w:tc>
        <w:tc>
          <w:tcPr>
            <w:tcW w:w="1443" w:type="pct"/>
            <w:tcBorders>
              <w:bottom w:val="single" w:sz="18" w:space="0" w:color="auto"/>
            </w:tcBorders>
          </w:tcPr>
          <w:p w:rsidR="00B347E0" w:rsidRPr="00805511" w:rsidP="00F07C41" w14:paraId="1D06C9A6" w14:textId="77777777">
            <w:pPr>
              <w:pStyle w:val="TH-TableHeading"/>
              <w:rPr>
                <w:rFonts w:ascii="Times New Roman" w:hAnsi="Times New Roman"/>
                <w:b w:val="0"/>
                <w:bCs/>
              </w:rPr>
            </w:pPr>
            <w:r w:rsidRPr="00805511">
              <w:rPr>
                <w:rFonts w:ascii="Times New Roman" w:hAnsi="Times New Roman"/>
                <w:b w:val="0"/>
                <w:bCs/>
              </w:rPr>
              <w:t>Comments</w:t>
            </w:r>
          </w:p>
        </w:tc>
      </w:tr>
      <w:tr w14:paraId="1D61AEAF" w14:textId="77777777" w:rsidTr="00F07C41">
        <w:tblPrEx>
          <w:tblW w:w="4942" w:type="pct"/>
          <w:tblLook w:val="01E0"/>
        </w:tblPrEx>
        <w:tc>
          <w:tcPr>
            <w:tcW w:w="867" w:type="pct"/>
            <w:tcBorders>
              <w:bottom w:val="single" w:sz="18" w:space="0" w:color="auto"/>
            </w:tcBorders>
          </w:tcPr>
          <w:p w:rsidR="00B347E0" w:rsidRPr="00805511" w:rsidP="00F07C41" w14:paraId="4EFD2698" w14:textId="77777777">
            <w:pPr>
              <w:rPr>
                <w:color w:val="000000"/>
              </w:rPr>
            </w:pPr>
            <w:r w:rsidRPr="00805511">
              <w:rPr>
                <w:color w:val="000000"/>
              </w:rPr>
              <w:t>Pilot</w:t>
            </w:r>
          </w:p>
        </w:tc>
        <w:tc>
          <w:tcPr>
            <w:tcW w:w="873" w:type="pct"/>
            <w:tcBorders>
              <w:bottom w:val="single" w:sz="18" w:space="0" w:color="auto"/>
            </w:tcBorders>
          </w:tcPr>
          <w:p w:rsidR="00B347E0" w:rsidRPr="00805511" w:rsidP="00F07C41" w14:paraId="60BE8383" w14:textId="77777777">
            <w:pPr>
              <w:jc w:val="center"/>
              <w:rPr>
                <w:color w:val="000000"/>
              </w:rPr>
            </w:pPr>
            <w:r w:rsidRPr="00805511">
              <w:rPr>
                <w:color w:val="000000"/>
              </w:rPr>
              <w:t>Science</w:t>
            </w:r>
          </w:p>
        </w:tc>
        <w:tc>
          <w:tcPr>
            <w:tcW w:w="1005" w:type="pct"/>
            <w:tcBorders>
              <w:bottom w:val="single" w:sz="18" w:space="0" w:color="auto"/>
            </w:tcBorders>
          </w:tcPr>
          <w:p w:rsidR="00B347E0" w:rsidRPr="00805511" w:rsidP="00F07C41" w14:paraId="07C820D2" w14:textId="77777777">
            <w:pPr>
              <w:jc w:val="center"/>
              <w:rPr>
                <w:color w:val="000000"/>
              </w:rPr>
            </w:pPr>
            <w:r w:rsidRPr="00805511">
              <w:rPr>
                <w:color w:val="000000"/>
              </w:rPr>
              <w:t>8</w:t>
            </w:r>
          </w:p>
        </w:tc>
        <w:tc>
          <w:tcPr>
            <w:tcW w:w="811" w:type="pct"/>
            <w:tcBorders>
              <w:bottom w:val="single" w:sz="18" w:space="0" w:color="auto"/>
            </w:tcBorders>
          </w:tcPr>
          <w:p w:rsidR="00B347E0" w:rsidRPr="00805511" w:rsidP="00F07C41" w14:paraId="239FBECE" w14:textId="77777777">
            <w:pPr>
              <w:jc w:val="center"/>
              <w:rPr>
                <w:color w:val="000000"/>
              </w:rPr>
            </w:pPr>
            <w:r w:rsidRPr="00805511">
              <w:rPr>
                <w:color w:val="000000"/>
              </w:rPr>
              <w:t>Public, private</w:t>
            </w:r>
          </w:p>
        </w:tc>
        <w:tc>
          <w:tcPr>
            <w:tcW w:w="1443" w:type="pct"/>
            <w:tcBorders>
              <w:bottom w:val="single" w:sz="18" w:space="0" w:color="auto"/>
            </w:tcBorders>
          </w:tcPr>
          <w:p w:rsidR="00B347E0" w:rsidRPr="00805511" w:rsidP="00F07C41" w14:paraId="4267A640" w14:textId="77777777">
            <w:pPr>
              <w:jc w:val="center"/>
              <w:rPr>
                <w:color w:val="000000"/>
              </w:rPr>
            </w:pPr>
            <w:r w:rsidRPr="00805511">
              <w:rPr>
                <w:color w:val="000000"/>
              </w:rPr>
              <w:t>Pilot sample</w:t>
            </w:r>
          </w:p>
        </w:tc>
      </w:tr>
    </w:tbl>
    <w:p w:rsidR="00B347E0" w:rsidRPr="00035B07" w:rsidP="00B347E0" w14:paraId="47772359" w14:textId="77777777">
      <w:pPr>
        <w:pStyle w:val="L1-FlLSp12"/>
        <w:rPr>
          <w:rFonts w:ascii="Times New Roman" w:hAnsi="Times New Roman"/>
          <w:sz w:val="18"/>
          <w:szCs w:val="18"/>
        </w:rPr>
      </w:pPr>
    </w:p>
    <w:p w:rsidR="00B347E0" w:rsidRPr="00035B07" w:rsidP="00B347E0" w14:paraId="4093FAE1" w14:textId="77777777">
      <w:pPr>
        <w:pStyle w:val="SH-SglSpHead"/>
        <w:tabs>
          <w:tab w:val="clear" w:pos="576"/>
        </w:tabs>
        <w:ind w:left="540" w:hanging="540"/>
        <w:rPr>
          <w:i/>
          <w:sz w:val="32"/>
          <w:szCs w:val="32"/>
        </w:rPr>
      </w:pPr>
      <w:r>
        <w:rPr>
          <w:sz w:val="32"/>
          <w:szCs w:val="32"/>
        </w:rPr>
        <w:t>3</w:t>
      </w:r>
      <w:r w:rsidRPr="00035B07">
        <w:rPr>
          <w:sz w:val="32"/>
          <w:szCs w:val="32"/>
        </w:rPr>
        <w:t>.</w:t>
      </w:r>
      <w:r w:rsidRPr="00035B07">
        <w:rPr>
          <w:sz w:val="32"/>
          <w:szCs w:val="32"/>
        </w:rPr>
        <w:tab/>
        <w:t xml:space="preserve">Sample </w:t>
      </w:r>
      <w:r>
        <w:rPr>
          <w:sz w:val="32"/>
          <w:szCs w:val="32"/>
        </w:rPr>
        <w:t>Design</w:t>
      </w:r>
      <w:r w:rsidRPr="00035B07">
        <w:rPr>
          <w:sz w:val="32"/>
          <w:szCs w:val="32"/>
        </w:rPr>
        <w:t xml:space="preserve"> and </w:t>
      </w:r>
      <w:r>
        <w:rPr>
          <w:sz w:val="32"/>
          <w:szCs w:val="32"/>
        </w:rPr>
        <w:t xml:space="preserve">Sample </w:t>
      </w:r>
      <w:r w:rsidRPr="00035B07">
        <w:rPr>
          <w:sz w:val="32"/>
          <w:szCs w:val="32"/>
        </w:rPr>
        <w:t>Sizes</w:t>
      </w:r>
      <w:r>
        <w:rPr>
          <w:sz w:val="32"/>
          <w:szCs w:val="32"/>
        </w:rPr>
        <w:t xml:space="preserve"> </w:t>
      </w:r>
    </w:p>
    <w:p w:rsidR="00B347E0" w:rsidP="00B347E0" w14:paraId="080C52A6" w14:textId="77777777">
      <w:pPr>
        <w:pStyle w:val="SP-SglSpPara"/>
      </w:pPr>
    </w:p>
    <w:p w:rsidR="00B347E0" w:rsidP="00B347E0" w14:paraId="5BCB53AA" w14:textId="77777777">
      <w:pPr>
        <w:pStyle w:val="SP-SglSpPara"/>
      </w:pPr>
      <w:r>
        <w:t>As mentioned above, NAEP 2027 consists of a pilot assessment in science at grade 8. To supplement the overview presented in sections 1 and 2 above, a summary of major points is included in the sections that follow.</w:t>
      </w:r>
    </w:p>
    <w:p w:rsidR="00B347E0" w:rsidRPr="00035B07" w:rsidP="00B347E0" w14:paraId="225584CA" w14:textId="77777777">
      <w:pPr>
        <w:pStyle w:val="SP-SglSpPara"/>
        <w:rPr>
          <w:b/>
          <w:sz w:val="28"/>
          <w:szCs w:val="28"/>
        </w:rPr>
      </w:pPr>
    </w:p>
    <w:p w:rsidR="00B347E0" w:rsidRPr="00035B07" w:rsidP="00B347E0" w14:paraId="45D3FFAA" w14:textId="77777777">
      <w:pPr>
        <w:pStyle w:val="N1-1stBullet"/>
        <w:tabs>
          <w:tab w:val="clear" w:pos="1152"/>
        </w:tabs>
        <w:spacing w:line="240" w:lineRule="auto"/>
        <w:ind w:left="0" w:firstLine="540"/>
        <w:rPr>
          <w:b/>
        </w:rPr>
      </w:pPr>
      <w:r w:rsidRPr="00035B07">
        <w:rPr>
          <w:b/>
        </w:rPr>
        <w:t>Primary Sampling Units Selection</w:t>
      </w:r>
    </w:p>
    <w:p w:rsidR="00B347E0" w:rsidRPr="00A00EBB" w:rsidP="00B347E0" w14:paraId="71040521" w14:textId="77777777">
      <w:pPr>
        <w:pStyle w:val="N1-1stBullet"/>
        <w:tabs>
          <w:tab w:val="clear" w:pos="1152"/>
        </w:tabs>
        <w:spacing w:line="240" w:lineRule="auto"/>
        <w:ind w:left="0" w:firstLine="540"/>
      </w:pPr>
      <w:r>
        <w:t xml:space="preserve">The sample for the pilot assessments is based on a clustered design using primary sampling units (PSUs) for reasons of operational efficiency. A sample of 34 PSUs was selected from a frame of approximately 980 PSUs (the same frame used to select PSUs for the NAEP 2025 long-term trend and field test samples). A sample of </w:t>
      </w:r>
      <w:r w:rsidRPr="00A00EBB">
        <w:t>34 PSUs provides a reasonable workload per PSU in terms of anticipated cooperating schools</w:t>
      </w:r>
      <w:r>
        <w:t xml:space="preserve">. It </w:t>
      </w:r>
      <w:r w:rsidRPr="00A00EBB">
        <w:t xml:space="preserve">also fits nicely within the structure of our existing PSU </w:t>
      </w:r>
      <w:r>
        <w:t xml:space="preserve">sampling </w:t>
      </w:r>
      <w:r w:rsidRPr="00A00EBB">
        <w:t>frame</w:t>
      </w:r>
      <w:r>
        <w:t xml:space="preserve"> and stratification scheme, discussed further below in this section</w:t>
      </w:r>
      <w:r w:rsidRPr="00A00EBB">
        <w:t>.</w:t>
      </w:r>
      <w:r>
        <w:t xml:space="preserve"> </w:t>
      </w:r>
    </w:p>
    <w:p w:rsidR="00B347E0" w:rsidP="00B347E0" w14:paraId="4245C42A" w14:textId="77777777">
      <w:pPr>
        <w:pStyle w:val="N1-1stBullet"/>
        <w:tabs>
          <w:tab w:val="clear" w:pos="1152"/>
        </w:tabs>
        <w:spacing w:line="240" w:lineRule="auto"/>
        <w:ind w:left="0" w:firstLine="540"/>
      </w:pPr>
      <w:r>
        <w:t xml:space="preserve">All sampled schools were drawn from within the sampled PSUs. </w:t>
      </w:r>
    </w:p>
    <w:p w:rsidR="00B347E0" w:rsidP="00B347E0" w14:paraId="09835ECC" w14:textId="77777777">
      <w:pPr>
        <w:pStyle w:val="N1-1stBullet"/>
        <w:tabs>
          <w:tab w:val="clear" w:pos="1152"/>
        </w:tabs>
        <w:spacing w:line="240" w:lineRule="auto"/>
        <w:ind w:left="0" w:firstLine="540"/>
      </w:pPr>
      <w:r>
        <w:t xml:space="preserve">The PSU frame was constructed for NAEP 2025 as follows. The PSUs were created from aggregates of counties. Data on counties were obtained </w:t>
      </w:r>
      <w:r w:rsidRPr="00F12119">
        <w:t xml:space="preserve">from the </w:t>
      </w:r>
      <w:r w:rsidRPr="002F6EEC">
        <w:t>2020 Census Demographic and Housing Characteristics File (DHC)</w:t>
      </w:r>
      <w:r>
        <w:t>. Each Metropolitan Statistical Area (MeSA) constitutes a PSU, except that MeSAs that cross Census region boundaries were split into separate PSUs according to Census region boundaries. Non-metropolitan PSUs were formed by aggregating counties into geographic units of sufficient minimum size to provide enough schools to constitute a workload of about 1% of the total sample. These PSUs were made of contiguous counties where possible, and nearly contiguous counties (separated by MeSA counties) otherwise. Thirty-two PSUs were identified as certainties</w:t>
      </w:r>
      <w:r>
        <w:rPr>
          <w:rStyle w:val="FootnoteReference"/>
        </w:rPr>
        <w:footnoteReference w:id="2"/>
      </w:r>
      <w:r>
        <w:t xml:space="preserve">. The remaining PSUs on the frame were assigned to 76 noncertainty strata </w:t>
      </w:r>
      <w:r w:rsidRPr="009B508D">
        <w:t xml:space="preserve">using </w:t>
      </w:r>
      <w:r w:rsidRPr="00E00A29">
        <w:t xml:space="preserve">an index that distinguished PSUs based on homogeneity. The index was generated by a LASSO regression that </w:t>
      </w:r>
      <w:r w:rsidRPr="00E00A29">
        <w:t xml:space="preserve">identified PSU characteristics </w:t>
      </w:r>
      <w:r w:rsidRPr="009B508D">
        <w:t xml:space="preserve">related to NAEP achievement in past assessments among a set of variables </w:t>
      </w:r>
      <w:r>
        <w:t>representative of</w:t>
      </w:r>
      <w:r w:rsidRPr="009B508D">
        <w:t xml:space="preserve"> NAEP reporting </w:t>
      </w:r>
      <w:r>
        <w:t>subgroups</w:t>
      </w:r>
      <w:r w:rsidRPr="009B508D">
        <w:t>.</w:t>
      </w:r>
      <w:r w:rsidRPr="00E00A29">
        <w:t xml:space="preserve"> </w:t>
      </w:r>
    </w:p>
    <w:p w:rsidR="00B347E0" w:rsidP="00B347E0" w14:paraId="0FD85BEE" w14:textId="77777777">
      <w:pPr>
        <w:pStyle w:val="N1-1stBullet"/>
        <w:tabs>
          <w:tab w:val="clear" w:pos="1152"/>
        </w:tabs>
        <w:spacing w:line="240" w:lineRule="auto"/>
        <w:ind w:left="0" w:firstLine="540"/>
      </w:pPr>
      <w:r>
        <w:t>For NAEP 2027, a</w:t>
      </w:r>
      <w:r w:rsidRPr="00E00A29">
        <w:t xml:space="preserve"> sample of </w:t>
      </w:r>
      <w:r>
        <w:t>34</w:t>
      </w:r>
      <w:r w:rsidRPr="00E00A29">
        <w:t xml:space="preserve"> PSUs was selected for the </w:t>
      </w:r>
      <w:r>
        <w:t>pilot</w:t>
      </w:r>
      <w:r w:rsidRPr="00E00A29">
        <w:t xml:space="preserve"> samples. </w:t>
      </w:r>
      <w:r>
        <w:t>The four</w:t>
      </w:r>
      <w:r w:rsidRPr="00E00A29">
        <w:t xml:space="preserve"> large</w:t>
      </w:r>
      <w:r>
        <w:t>st</w:t>
      </w:r>
      <w:r w:rsidRPr="00E00A29">
        <w:t xml:space="preserve"> MeSAs were selected with certainty</w:t>
      </w:r>
      <w:r>
        <w:t xml:space="preserve"> as determined analytically in accordance with probability proportional to size (PPS) methodology.  The certainty PSU cutoff was computed as the total MOS (youth population) divided by the number of PSUs to select (34). An arbitrary factor of about 0.9 was used to allow for population growth, similar to past years. The certainty PSU cutoff was 1,913,657 youth. T</w:t>
      </w:r>
      <w:r w:rsidRPr="009B508D">
        <w:t xml:space="preserve">he remaining sample was a stratified </w:t>
      </w:r>
      <w:r>
        <w:t>PPS</w:t>
      </w:r>
      <w:r w:rsidRPr="009B508D">
        <w:t xml:space="preserve"> sample, where the size measure was a function of the number of children as given in the </w:t>
      </w:r>
      <w:r>
        <w:t>2020 Decennial Census</w:t>
      </w:r>
      <w:r w:rsidRPr="00E00A29">
        <w:t>.</w:t>
      </w:r>
      <w:r>
        <w:t xml:space="preserve"> 11 noncertainty PSUs were selected from the 28 remaining PSUs that were identified as certainties in 2025.  </w:t>
      </w:r>
      <w:r w:rsidRPr="00095DBB">
        <w:t xml:space="preserve">19 PSU strata were selected from the 76 noncertainty PSU strata </w:t>
      </w:r>
      <w:r w:rsidRPr="008B1ED2">
        <w:t>that were formed for 2025, and then 1 PSU was selected from each of the 19 strata. The 19 PSU strata were a predetermined random quarter-sample of the 76 PSU strata to be used in the event that smaller PSU samples were desired.</w:t>
      </w:r>
    </w:p>
    <w:p w:rsidR="00B347E0" w:rsidRPr="005859E0" w:rsidP="00B347E0" w14:paraId="7A4B6631" w14:textId="77777777">
      <w:pPr>
        <w:pStyle w:val="SP-SglSpPara"/>
        <w:tabs>
          <w:tab w:val="clear" w:pos="576"/>
        </w:tabs>
        <w:ind w:firstLine="540"/>
        <w:rPr>
          <w:b/>
        </w:rPr>
      </w:pPr>
      <w:r w:rsidRPr="005859E0">
        <w:rPr>
          <w:b/>
        </w:rPr>
        <w:t xml:space="preserve">Overlap Control </w:t>
      </w:r>
    </w:p>
    <w:p w:rsidR="00B347E0" w:rsidRPr="005859E0" w:rsidP="00B347E0" w14:paraId="399C5080" w14:textId="77777777">
      <w:pPr>
        <w:pStyle w:val="SP-SglSpPara"/>
      </w:pPr>
    </w:p>
    <w:p w:rsidR="00B347E0" w:rsidP="00B347E0" w14:paraId="3CC90B27" w14:textId="77777777">
      <w:pPr>
        <w:pStyle w:val="SP-SglSpPara"/>
      </w:pPr>
      <w:r>
        <w:tab/>
        <w:t>A desired feature of the</w:t>
      </w:r>
      <w:r w:rsidRPr="005859E0">
        <w:t xml:space="preserve"> </w:t>
      </w:r>
      <w:r>
        <w:t>NAEP program</w:t>
      </w:r>
      <w:r w:rsidRPr="005859E0">
        <w:t xml:space="preserve"> </w:t>
      </w:r>
      <w:r>
        <w:t>is</w:t>
      </w:r>
      <w:r w:rsidRPr="005859E0">
        <w:t xml:space="preserve"> to avoid overlap with other samples</w:t>
      </w:r>
      <w:r>
        <w:t xml:space="preserve">. </w:t>
      </w:r>
      <w:r w:rsidRPr="005859E0">
        <w:t xml:space="preserve"> </w:t>
      </w:r>
      <w:r>
        <w:t xml:space="preserve">Consider potential overlap at the school level between NAEP 2027 and NAEP 2025. </w:t>
      </w:r>
      <w:r w:rsidRPr="00941406">
        <w:t xml:space="preserve">When selecting the 19 PSUs, care was taken to reduce overlap between them and the noncertainty PSUs selected for either long-term trend or field test for NAEP 2025. </w:t>
      </w:r>
      <w:r>
        <w:t>W</w:t>
      </w:r>
      <w:r w:rsidRPr="006977E4">
        <w:t>ithin the noncertainty PSU strata</w:t>
      </w:r>
      <w:r>
        <w:t>, overlap control is managed</w:t>
      </w:r>
      <w:r w:rsidRPr="006977E4">
        <w:t xml:space="preserve"> from year to year by offsetting the random start within each stratum. For example, in 2025, the LTT PSUs were selected first. Then when selecting the 2025 FT PSUs, the random start was shifted by 0.5 in each stratum. In stratum 1, if the random start was 0.25 for LTT, then for FT it was 0.75, and if it was 0.85 for LTT, then it was 0.35 for FT. In this way we are not likely to hit the same PSU twice, which eliminates school overlap by definition. For 2027, the random starts were shifted by 0.25 (placed halfway between what they had been for LTT and FT).</w:t>
      </w:r>
    </w:p>
    <w:p w:rsidR="00B347E0" w:rsidP="00B347E0" w14:paraId="07BDAA0B" w14:textId="77777777">
      <w:pPr>
        <w:pStyle w:val="SP-SglSpPara"/>
        <w:ind w:firstLine="0"/>
      </w:pPr>
    </w:p>
    <w:p w:rsidR="00B347E0" w:rsidP="00B347E0" w14:paraId="1231176E" w14:textId="75491F84">
      <w:pPr>
        <w:pStyle w:val="SP-SglSpPara"/>
        <w:ind w:firstLine="0"/>
      </w:pPr>
      <w:r>
        <w:tab/>
      </w:r>
      <w:r w:rsidRPr="00941406">
        <w:t>This procedure was only mildly successful because both PSU samples in 2025 were large (108 PSUs each), and because in some strata, some PSUs have large probabilities of selection relative to other PSUs in the same stratum. The 2027 PSU sample has 2</w:t>
      </w:r>
      <w:r>
        <w:t>3</w:t>
      </w:r>
      <w:r w:rsidRPr="00941406">
        <w:t xml:space="preserve"> PSUs in common with 2025—the 15 PSUs that were certainties in 2025, plus 8 additional PSUs.</w:t>
      </w:r>
      <w:r>
        <w:t xml:space="preserve"> The expectation is that PSUs in common to both years are large enough, and the 2027 school sample small enough, that little to no overlap at the school level will occur in the successive PSU-based samples in 2025 and 2027. However, a large state-based sample was selected for NAEP 2026. It is difficult to avoid school overlap with a state NAEP year because the sampling rates in some states and </w:t>
      </w:r>
      <w:r w:rsidR="0027470A">
        <w:t>Trends in</w:t>
      </w:r>
      <w:r>
        <w:t xml:space="preserve"> Urban District</w:t>
      </w:r>
      <w:r w:rsidR="0027470A">
        <w:t>s</w:t>
      </w:r>
      <w:r>
        <w:t xml:space="preserve"> Assessment (TUDA) districts are quite high. To address undue burden on certain schools, any schools selected for 2025 (either LTT or FT), 2026, and 2027, i.e., selected in all three years, will be dropped from the 2027 sample. There were eight such schools.</w:t>
      </w:r>
    </w:p>
    <w:p w:rsidR="00B347E0" w:rsidRPr="00C32FD7" w:rsidP="00B347E0" w14:paraId="005C899E" w14:textId="77777777">
      <w:pPr>
        <w:pStyle w:val="SP-SglSpPara"/>
        <w:tabs>
          <w:tab w:val="clear" w:pos="576"/>
        </w:tabs>
        <w:ind w:firstLine="540"/>
      </w:pPr>
    </w:p>
    <w:p w:rsidR="00B347E0" w:rsidP="00B347E0" w14:paraId="79181DC7" w14:textId="77777777">
      <w:pPr>
        <w:pStyle w:val="SH-SglSpHead"/>
        <w:tabs>
          <w:tab w:val="clear" w:pos="576"/>
        </w:tabs>
        <w:ind w:left="540" w:firstLine="0"/>
      </w:pPr>
      <w:r>
        <w:t>Stratification and Oversampling</w:t>
      </w:r>
    </w:p>
    <w:p w:rsidR="00B347E0" w:rsidP="00B347E0" w14:paraId="2D3B6204" w14:textId="77777777">
      <w:pPr>
        <w:pStyle w:val="SP-SglSpPara"/>
      </w:pPr>
    </w:p>
    <w:p w:rsidR="00B347E0" w:rsidP="00B347E0" w14:paraId="5A2C0BF1" w14:textId="77777777">
      <w:pPr>
        <w:pStyle w:val="SP-SglSpPara"/>
      </w:pPr>
      <w:r>
        <w:t xml:space="preserve">The plan for the pilot sample design is to draw separate public and private school samples, which has proven advantages: </w:t>
      </w:r>
    </w:p>
    <w:p w:rsidR="00B347E0" w:rsidP="00B347E0" w14:paraId="66D30A3E" w14:textId="77777777">
      <w:pPr>
        <w:pStyle w:val="SP-SglSpPara"/>
      </w:pPr>
    </w:p>
    <w:p w:rsidR="00B347E0" w:rsidP="00B347E0" w14:paraId="493CE9BA" w14:textId="77777777">
      <w:pPr>
        <w:pStyle w:val="SP-SglSpPara"/>
        <w:numPr>
          <w:ilvl w:val="0"/>
          <w:numId w:val="13"/>
        </w:numPr>
      </w:pPr>
      <w:r>
        <w:t xml:space="preserve">it permits the timing of sample selection to vary between public and private schools, should this prove necessary; </w:t>
      </w:r>
    </w:p>
    <w:p w:rsidR="00B347E0" w:rsidP="00B347E0" w14:paraId="40DF726A" w14:textId="77777777">
      <w:pPr>
        <w:pStyle w:val="SP-SglSpPara"/>
        <w:numPr>
          <w:ilvl w:val="0"/>
          <w:numId w:val="13"/>
        </w:numPr>
      </w:pPr>
      <w:r>
        <w:t xml:space="preserve">it allows us to readily assume different response and eligibility rates for public and private schools; </w:t>
      </w:r>
    </w:p>
    <w:p w:rsidR="00B347E0" w:rsidP="00B347E0" w14:paraId="57353149" w14:textId="77777777">
      <w:pPr>
        <w:pStyle w:val="SP-SglSpPara"/>
        <w:numPr>
          <w:ilvl w:val="0"/>
          <w:numId w:val="13"/>
        </w:numPr>
      </w:pPr>
      <w:r>
        <w:t xml:space="preserve">it makes it easier to use different sort variables used in the selection of public schools and private schools; and </w:t>
      </w:r>
    </w:p>
    <w:p w:rsidR="00B347E0" w:rsidP="00B347E0" w14:paraId="2EB0A320" w14:textId="77777777">
      <w:pPr>
        <w:pStyle w:val="SP-SglSpPara"/>
        <w:numPr>
          <w:ilvl w:val="0"/>
          <w:numId w:val="13"/>
        </w:numPr>
      </w:pPr>
      <w:r>
        <w:t xml:space="preserve">it allows for the possibility of a late change of mind concerning the sample sizes that differ between public and private schools. </w:t>
      </w:r>
    </w:p>
    <w:p w:rsidR="00B347E0" w:rsidP="00B347E0" w14:paraId="496EC1CA" w14:textId="77777777">
      <w:pPr>
        <w:pStyle w:val="SP-SglSpPara"/>
        <w:tabs>
          <w:tab w:val="clear" w:pos="576"/>
        </w:tabs>
        <w:ind w:firstLine="540"/>
      </w:pPr>
    </w:p>
    <w:p w:rsidR="00B347E0" w:rsidP="00B347E0" w14:paraId="390D40F1" w14:textId="77777777">
      <w:pPr>
        <w:pStyle w:val="SP-SglSpPara"/>
        <w:tabs>
          <w:tab w:val="clear" w:pos="576"/>
        </w:tabs>
        <w:ind w:firstLine="540"/>
      </w:pPr>
      <w:r>
        <w:t xml:space="preserve">For the pilot samples, explicit stratification has taken place at the </w:t>
      </w:r>
      <w:smartTag w:uri="urn:schemas-microsoft-com:office:smarttags" w:element="stockticker">
        <w:r>
          <w:t>PSU</w:t>
        </w:r>
      </w:smartTag>
      <w:r>
        <w:t xml:space="preserve"> level. For schools within PSUs, stratification gains will be achieved by sorting the school file prior to systematic selection. As in past national samples, the expectation is that within the set of certainty MeSA PSUs within a census region, </w:t>
      </w:r>
      <w:smartTag w:uri="urn:schemas-microsoft-com:office:smarttags" w:element="stockticker">
        <w:r>
          <w:t>PSU</w:t>
        </w:r>
      </w:smartTag>
      <w:r>
        <w:t xml:space="preserve"> will not </w:t>
      </w:r>
      <w:r>
        <w:t xml:space="preserve">necessarily be the highest-level sort variable. Thus, type of location will be used as the primary sort variable for public schools. Consider for example the large MeSAs in the Midwest region. The design is aimed primarily at getting the correct balance of city, suburban, town, and rural schools crossed by city size and distance from urbanized areas, as a priority over getting exactly a proportional representation from each MeSA (Chicago, Detroit, Minneapolis), although of course it should be possible to get a high degree of control over both of these characteristics. The sort of the schools will use other variables beyond the type of location variable. </w:t>
      </w:r>
    </w:p>
    <w:p w:rsidR="00B347E0" w:rsidP="00B347E0" w14:paraId="4C81403B" w14:textId="77777777">
      <w:pPr>
        <w:pStyle w:val="SP-SglSpPara"/>
        <w:tabs>
          <w:tab w:val="clear" w:pos="576"/>
        </w:tabs>
        <w:ind w:firstLine="540"/>
      </w:pPr>
    </w:p>
    <w:p w:rsidR="00B347E0" w:rsidP="00B347E0" w14:paraId="1589F9BE" w14:textId="77777777">
      <w:pPr>
        <w:pStyle w:val="SP-SglSpPara"/>
        <w:tabs>
          <w:tab w:val="clear" w:pos="576"/>
        </w:tabs>
        <w:ind w:firstLine="540"/>
      </w:pPr>
      <w:r>
        <w:t>The exact set of variables used in sorting the schools prior to sampling will depend on whether the schools are located in certainty PSUs or noncertainty PSUs and whether the schools are public or private. Public schools in certainty PSUs will be hierarchically sorted by</w:t>
      </w:r>
    </w:p>
    <w:p w:rsidR="00B347E0" w:rsidP="00B347E0" w14:paraId="693EAD7C" w14:textId="77777777">
      <w:pPr>
        <w:pStyle w:val="SP-SglSpPara"/>
        <w:tabs>
          <w:tab w:val="clear" w:pos="576"/>
        </w:tabs>
        <w:ind w:firstLine="540"/>
      </w:pPr>
    </w:p>
    <w:p w:rsidR="00B347E0" w:rsidP="00B347E0" w14:paraId="2492687B" w14:textId="77777777">
      <w:pPr>
        <w:pStyle w:val="SP-SglSpPara"/>
        <w:numPr>
          <w:ilvl w:val="0"/>
          <w:numId w:val="15"/>
        </w:numPr>
        <w:tabs>
          <w:tab w:val="clear" w:pos="576"/>
        </w:tabs>
        <w:ind w:left="936"/>
      </w:pPr>
      <w:r>
        <w:t>census region;</w:t>
      </w:r>
    </w:p>
    <w:p w:rsidR="00B347E0" w:rsidP="00B347E0" w14:paraId="1FBF08E2" w14:textId="77777777">
      <w:pPr>
        <w:pStyle w:val="SP-SglSpPara"/>
        <w:numPr>
          <w:ilvl w:val="0"/>
          <w:numId w:val="15"/>
        </w:numPr>
        <w:tabs>
          <w:tab w:val="clear" w:pos="576"/>
        </w:tabs>
        <w:ind w:left="936"/>
      </w:pPr>
      <w:r>
        <w:t>type of location – within census region, start with city, suburban, town, and rural, but collapse town and rural together or collapse suburban, town, and rural together as needed to yield cells with at least two expected sampled schools;</w:t>
      </w:r>
    </w:p>
    <w:p w:rsidR="00B347E0" w:rsidP="00B347E0" w14:paraId="7EC4838A" w14:textId="77777777">
      <w:pPr>
        <w:pStyle w:val="SP-SglSpPara"/>
        <w:numPr>
          <w:ilvl w:val="0"/>
          <w:numId w:val="15"/>
        </w:numPr>
        <w:tabs>
          <w:tab w:val="clear" w:pos="576"/>
        </w:tabs>
        <w:ind w:left="936"/>
      </w:pPr>
      <w:r>
        <w:t>race/ethnicity stratum – within type of location nested within census region, sort schools by  the percentage of Black, Hispanic, or AI/AN students and estimated enrollment. Then determine cutpoints on the percentage of Black, Hispanic, or AI/AN students and use them to form distinct race/ethnicity strata that will each yield at least two expected sampled schools. No race/ethnicity strata will be formed in census region/type of location cells with fewer than four expected sampled schools; and</w:t>
      </w:r>
    </w:p>
    <w:p w:rsidR="00B347E0" w:rsidP="00B347E0" w14:paraId="53F7433C" w14:textId="77777777">
      <w:pPr>
        <w:pStyle w:val="SP-SglSpPara"/>
        <w:numPr>
          <w:ilvl w:val="0"/>
          <w:numId w:val="15"/>
        </w:numPr>
        <w:tabs>
          <w:tab w:val="clear" w:pos="576"/>
        </w:tabs>
        <w:ind w:left="936"/>
      </w:pPr>
      <w:r>
        <w:t>final sort variable – within race/ethnicity stratum nested within type of location nested within census region, the final sort variable will be estimated enrollment if race/ethnicity strata were formed. Otherwise, the final sort variable will be the percentage of Black, Hispanic, or AI/AN students.</w:t>
      </w:r>
    </w:p>
    <w:p w:rsidR="00B347E0" w:rsidP="00B347E0" w14:paraId="4FDB499C" w14:textId="77777777">
      <w:pPr>
        <w:pStyle w:val="SP-SglSpPara"/>
      </w:pPr>
    </w:p>
    <w:p w:rsidR="00B347E0" w:rsidP="00B347E0" w14:paraId="2AA3C655" w14:textId="77777777">
      <w:pPr>
        <w:pStyle w:val="SP-SglSpPara"/>
        <w:ind w:firstLine="0"/>
      </w:pPr>
      <w:r>
        <w:t>Public schools in noncertainty PSUs will be sorted by</w:t>
      </w:r>
    </w:p>
    <w:p w:rsidR="00B347E0" w:rsidP="00B347E0" w14:paraId="67FC6A7E" w14:textId="77777777">
      <w:pPr>
        <w:pStyle w:val="SP-SglSpPara"/>
        <w:ind w:firstLine="0"/>
      </w:pPr>
    </w:p>
    <w:p w:rsidR="00B347E0" w:rsidP="00B347E0" w14:paraId="598E45C7" w14:textId="77777777">
      <w:pPr>
        <w:pStyle w:val="SP-SglSpPara"/>
        <w:numPr>
          <w:ilvl w:val="0"/>
          <w:numId w:val="16"/>
        </w:numPr>
        <w:tabs>
          <w:tab w:val="clear" w:pos="576"/>
        </w:tabs>
        <w:ind w:left="936"/>
      </w:pPr>
      <w:r>
        <w:t>PSU;</w:t>
      </w:r>
    </w:p>
    <w:p w:rsidR="00B347E0" w:rsidP="00B347E0" w14:paraId="4217D39C" w14:textId="77777777">
      <w:pPr>
        <w:pStyle w:val="SP-SglSpPara"/>
        <w:numPr>
          <w:ilvl w:val="0"/>
          <w:numId w:val="16"/>
        </w:numPr>
        <w:tabs>
          <w:tab w:val="clear" w:pos="576"/>
        </w:tabs>
        <w:ind w:left="936"/>
      </w:pPr>
      <w:r>
        <w:t>type of location – within PSU, use city, suburban, town, and rural. Not all categories will exist for all PSUs; and</w:t>
      </w:r>
    </w:p>
    <w:p w:rsidR="00B347E0" w:rsidP="00B347E0" w14:paraId="271DEC3A" w14:textId="77777777">
      <w:pPr>
        <w:pStyle w:val="SP-SglSpPara"/>
        <w:numPr>
          <w:ilvl w:val="0"/>
          <w:numId w:val="16"/>
        </w:numPr>
        <w:tabs>
          <w:tab w:val="clear" w:pos="576"/>
        </w:tabs>
        <w:ind w:left="936"/>
      </w:pPr>
      <w:r>
        <w:t>final sort variable – within type of location nested within PSU, the final sort variable will be the percentage of Black, Hispanic, or AI/AN students.</w:t>
      </w:r>
    </w:p>
    <w:p w:rsidR="00B347E0" w:rsidP="00B347E0" w14:paraId="41FC3DC5" w14:textId="77777777">
      <w:pPr>
        <w:pStyle w:val="SP-SglSpPara"/>
        <w:ind w:firstLine="0"/>
      </w:pPr>
    </w:p>
    <w:p w:rsidR="00B347E0" w:rsidP="00B347E0" w14:paraId="04DA7A19" w14:textId="77777777">
      <w:pPr>
        <w:pStyle w:val="SP-SglSpPara"/>
        <w:ind w:firstLine="0"/>
      </w:pPr>
      <w:r>
        <w:t>Private schools in certainty PSUs will be sorted by</w:t>
      </w:r>
    </w:p>
    <w:p w:rsidR="00B347E0" w:rsidP="00B347E0" w14:paraId="4C8AC827" w14:textId="77777777">
      <w:pPr>
        <w:pStyle w:val="SP-SglSpPara"/>
        <w:ind w:firstLine="0"/>
      </w:pPr>
    </w:p>
    <w:p w:rsidR="00B347E0" w:rsidP="00B347E0" w14:paraId="032D6D6B" w14:textId="77777777">
      <w:pPr>
        <w:pStyle w:val="SP-SglSpPara"/>
        <w:numPr>
          <w:ilvl w:val="0"/>
          <w:numId w:val="17"/>
        </w:numPr>
        <w:tabs>
          <w:tab w:val="clear" w:pos="576"/>
        </w:tabs>
      </w:pPr>
      <w:r>
        <w:t>census region;</w:t>
      </w:r>
    </w:p>
    <w:p w:rsidR="00B347E0" w:rsidP="00B347E0" w14:paraId="00CB4EE8" w14:textId="77777777">
      <w:pPr>
        <w:pStyle w:val="SP-SglSpPara"/>
        <w:numPr>
          <w:ilvl w:val="0"/>
          <w:numId w:val="17"/>
        </w:numPr>
        <w:tabs>
          <w:tab w:val="clear" w:pos="576"/>
        </w:tabs>
        <w:ind w:left="936"/>
      </w:pPr>
      <w:r>
        <w:t xml:space="preserve">school type – within census region, use Catholic, Lutheran, Conservative Christian, other religious, nonsectarian; </w:t>
      </w:r>
    </w:p>
    <w:p w:rsidR="00B347E0" w:rsidP="00B347E0" w14:paraId="129ED422" w14:textId="77777777">
      <w:pPr>
        <w:pStyle w:val="SP-SglSpPara"/>
        <w:numPr>
          <w:ilvl w:val="0"/>
          <w:numId w:val="17"/>
        </w:numPr>
        <w:tabs>
          <w:tab w:val="clear" w:pos="576"/>
        </w:tabs>
        <w:ind w:left="936"/>
      </w:pPr>
      <w:r>
        <w:t>type of Catholic school – within school type nested within census region, use parochial, diocesan, private, unknown; and</w:t>
      </w:r>
    </w:p>
    <w:p w:rsidR="00B347E0" w:rsidP="00B347E0" w14:paraId="723CC926" w14:textId="77777777">
      <w:pPr>
        <w:pStyle w:val="SP-SglSpPara"/>
        <w:numPr>
          <w:ilvl w:val="0"/>
          <w:numId w:val="17"/>
        </w:numPr>
        <w:tabs>
          <w:tab w:val="clear" w:pos="576"/>
        </w:tabs>
        <w:ind w:left="936"/>
      </w:pPr>
      <w:r>
        <w:t>final sort variable – within type of Catholic school nested within school type nested within census region, the final sort variable will be estimated enrollment.</w:t>
      </w:r>
    </w:p>
    <w:p w:rsidR="00B347E0" w:rsidP="00B347E0" w14:paraId="20FDBBB6" w14:textId="77777777">
      <w:pPr>
        <w:pStyle w:val="SP-SglSpPara"/>
        <w:ind w:firstLine="0"/>
      </w:pPr>
    </w:p>
    <w:p w:rsidR="00B347E0" w:rsidP="00B347E0" w14:paraId="4116F961" w14:textId="77777777">
      <w:pPr>
        <w:pStyle w:val="SP-SglSpPara"/>
        <w:ind w:firstLine="0"/>
      </w:pPr>
      <w:r>
        <w:t>Private schools in noncertainty PSUs will be sorted by</w:t>
      </w:r>
    </w:p>
    <w:p w:rsidR="00B347E0" w:rsidP="00B347E0" w14:paraId="2969C3EC" w14:textId="77777777">
      <w:pPr>
        <w:pStyle w:val="SP-SglSpPara"/>
        <w:ind w:firstLine="0"/>
      </w:pPr>
    </w:p>
    <w:p w:rsidR="00B347E0" w:rsidP="00B347E0" w14:paraId="598E0BBA" w14:textId="77777777">
      <w:pPr>
        <w:pStyle w:val="SP-SglSpPara"/>
        <w:numPr>
          <w:ilvl w:val="0"/>
          <w:numId w:val="18"/>
        </w:numPr>
        <w:tabs>
          <w:tab w:val="clear" w:pos="576"/>
        </w:tabs>
        <w:ind w:left="936"/>
      </w:pPr>
      <w:r>
        <w:t>PSU;</w:t>
      </w:r>
    </w:p>
    <w:p w:rsidR="00B347E0" w:rsidP="00B347E0" w14:paraId="3964B3FD" w14:textId="77777777">
      <w:pPr>
        <w:pStyle w:val="SP-SglSpPara"/>
        <w:numPr>
          <w:ilvl w:val="0"/>
          <w:numId w:val="18"/>
        </w:numPr>
        <w:tabs>
          <w:tab w:val="clear" w:pos="576"/>
        </w:tabs>
        <w:ind w:left="936"/>
      </w:pPr>
      <w:r>
        <w:t xml:space="preserve">school type – within PSU, use Catholic, Lutheran, Conservative Christian, other religious, nonsectarian. Not all categories will exist for all PSUs; </w:t>
      </w:r>
    </w:p>
    <w:p w:rsidR="00B347E0" w:rsidP="00B347E0" w14:paraId="6759CD72" w14:textId="77777777">
      <w:pPr>
        <w:pStyle w:val="SP-SglSpPara"/>
        <w:numPr>
          <w:ilvl w:val="0"/>
          <w:numId w:val="18"/>
        </w:numPr>
        <w:tabs>
          <w:tab w:val="clear" w:pos="576"/>
        </w:tabs>
        <w:ind w:left="936"/>
      </w:pPr>
      <w:r>
        <w:t>type of Catholic school – within school type nested within PSU, use parochial, diocesan, private, unknown. Not all categories will exist for all PSUs; and</w:t>
      </w:r>
    </w:p>
    <w:p w:rsidR="00B347E0" w:rsidP="00B347E0" w14:paraId="7B2B74C3" w14:textId="77777777">
      <w:pPr>
        <w:pStyle w:val="SP-SglSpPara"/>
        <w:numPr>
          <w:ilvl w:val="0"/>
          <w:numId w:val="18"/>
        </w:numPr>
        <w:tabs>
          <w:tab w:val="clear" w:pos="576"/>
        </w:tabs>
        <w:ind w:left="936"/>
      </w:pPr>
      <w:r>
        <w:t>final sort variable – within type of Catholic school nested within school type nested within PSU, the final sort variable will be estimated enrollment.</w:t>
      </w:r>
    </w:p>
    <w:p w:rsidR="00B347E0" w:rsidP="00B347E0" w14:paraId="4D2B61B0" w14:textId="77777777">
      <w:pPr>
        <w:pStyle w:val="SP-SglSpPara"/>
        <w:ind w:firstLine="0"/>
      </w:pPr>
    </w:p>
    <w:p w:rsidR="00B347E0" w:rsidP="00B347E0" w14:paraId="144F78BA" w14:textId="77777777">
      <w:pPr>
        <w:pStyle w:val="SP-SglSpPara"/>
        <w:tabs>
          <w:tab w:val="clear" w:pos="576"/>
        </w:tabs>
        <w:ind w:firstLine="540"/>
      </w:pPr>
      <w:r w:rsidRPr="00192654">
        <w:t xml:space="preserve">In </w:t>
      </w:r>
      <w:r>
        <w:t>most national assessments</w:t>
      </w:r>
      <w:r w:rsidRPr="00192654">
        <w:t>, we implement</w:t>
      </w:r>
      <w:r>
        <w:t xml:space="preserve"> </w:t>
      </w:r>
      <w:r w:rsidRPr="00192654">
        <w:t xml:space="preserve">oversampling </w:t>
      </w:r>
      <w:r>
        <w:t>of certain public schools to 1) increase the likelihood that the results for American Indian/Alaska Native (AI/AN) students can be reported and 2) increase</w:t>
      </w:r>
      <w:r w:rsidRPr="00154E38">
        <w:t xml:space="preserve"> the sample sizes of Black and Hispanic students, without inducing undesirably large design effects on the sample, either overall or for particular subgroups</w:t>
      </w:r>
      <w:r w:rsidRPr="00BE5940">
        <w:t xml:space="preserve">. </w:t>
      </w:r>
      <w:r>
        <w:t>However, this oversampling will not be conducted for the 2027 pilot assessment because student assessment results will not be reported</w:t>
      </w:r>
      <w:r w:rsidRPr="009B508D">
        <w:t>.</w:t>
      </w:r>
      <w:r w:rsidRPr="00BE5940">
        <w:t xml:space="preserve"> </w:t>
      </w:r>
      <w:r>
        <w:t>This is in line with our approach in past pilot assessments.</w:t>
      </w:r>
    </w:p>
    <w:p w:rsidR="00B347E0" w:rsidP="00B347E0" w14:paraId="47D73E9A" w14:textId="77777777">
      <w:pPr>
        <w:pStyle w:val="SP-SglSpPara"/>
      </w:pPr>
    </w:p>
    <w:p w:rsidR="00B347E0" w:rsidP="00B347E0" w14:paraId="27897B47" w14:textId="77777777">
      <w:pPr>
        <w:pStyle w:val="SP-SglSpPara"/>
        <w:tabs>
          <w:tab w:val="clear" w:pos="576"/>
        </w:tabs>
        <w:ind w:firstLine="540"/>
        <w:rPr>
          <w:b/>
        </w:rPr>
      </w:pPr>
      <w:r w:rsidRPr="00C07787">
        <w:t xml:space="preserve">The preliminary </w:t>
      </w:r>
      <w:r>
        <w:t>2023-24</w:t>
      </w:r>
      <w:r w:rsidRPr="00C07787">
        <w:t xml:space="preserve"> CCD and the 20</w:t>
      </w:r>
      <w:r>
        <w:t>23-24</w:t>
      </w:r>
      <w:r w:rsidRPr="00C07787">
        <w:t xml:space="preserve"> PSS school files</w:t>
      </w:r>
      <w:r w:rsidRPr="00515016">
        <w:t xml:space="preserve"> serve as the basis for the public and private school frames for the </w:t>
      </w:r>
      <w:r>
        <w:t>pilot</w:t>
      </w:r>
      <w:r w:rsidRPr="006D08F4">
        <w:t xml:space="preserve"> </w:t>
      </w:r>
      <w:r>
        <w:t>sample.</w:t>
      </w:r>
    </w:p>
    <w:p w:rsidR="00B347E0" w:rsidP="00B347E0" w14:paraId="604B2AC2" w14:textId="77777777">
      <w:pPr>
        <w:pStyle w:val="SP-SglSpPara"/>
      </w:pPr>
    </w:p>
    <w:p w:rsidR="00B347E0" w:rsidRPr="00035B07" w:rsidP="00B347E0" w14:paraId="3EB437C2" w14:textId="77777777">
      <w:pPr>
        <w:pStyle w:val="SP-SglSpPara"/>
        <w:tabs>
          <w:tab w:val="clear" w:pos="576"/>
        </w:tabs>
        <w:ind w:left="540" w:hanging="540"/>
        <w:rPr>
          <w:b/>
          <w:sz w:val="32"/>
          <w:szCs w:val="32"/>
        </w:rPr>
      </w:pPr>
      <w:r>
        <w:rPr>
          <w:b/>
          <w:sz w:val="32"/>
          <w:szCs w:val="32"/>
        </w:rPr>
        <w:t>4</w:t>
      </w:r>
      <w:r w:rsidRPr="00035B07">
        <w:rPr>
          <w:b/>
          <w:sz w:val="32"/>
          <w:szCs w:val="32"/>
        </w:rPr>
        <w:t>.</w:t>
      </w:r>
      <w:r w:rsidRPr="00035B07">
        <w:rPr>
          <w:b/>
          <w:sz w:val="32"/>
          <w:szCs w:val="32"/>
        </w:rPr>
        <w:tab/>
        <w:t>New Schools</w:t>
      </w:r>
    </w:p>
    <w:p w:rsidR="00B347E0" w:rsidP="00B347E0" w14:paraId="22CBDACE" w14:textId="77777777">
      <w:pPr>
        <w:pStyle w:val="SP-SglSpPara"/>
        <w:ind w:firstLine="0"/>
        <w:rPr>
          <w:b/>
        </w:rPr>
      </w:pPr>
    </w:p>
    <w:p w:rsidR="00B347E0" w:rsidP="00B347E0" w14:paraId="0195D5B3" w14:textId="77777777">
      <w:pPr>
        <w:pStyle w:val="SP-SglSpPara"/>
        <w:tabs>
          <w:tab w:val="clear" w:pos="576"/>
        </w:tabs>
        <w:ind w:firstLine="540"/>
      </w:pPr>
      <w:r>
        <w:t xml:space="preserve">In most NAEP assessments, a sample of new schools is selected to compensate for the fact that files used to create the school sampling frame are </w:t>
      </w:r>
      <w:r w:rsidRPr="004B670E">
        <w:t>two</w:t>
      </w:r>
      <w:r>
        <w:t xml:space="preserve"> years out of date at the time of assessment. However, for the pilot sample, new schools will not be selected because student results will not be reported. </w:t>
      </w:r>
    </w:p>
    <w:p w:rsidR="00B347E0" w:rsidRPr="00035B07" w:rsidP="00B347E0" w14:paraId="6C33E4BA" w14:textId="77777777">
      <w:pPr>
        <w:pStyle w:val="SP-SglSpPara"/>
        <w:keepNext/>
        <w:rPr>
          <w:sz w:val="32"/>
          <w:szCs w:val="32"/>
        </w:rPr>
      </w:pPr>
    </w:p>
    <w:p w:rsidR="00B347E0" w:rsidRPr="00035B07" w:rsidP="00B347E0" w14:paraId="1DDAB653" w14:textId="77777777">
      <w:pPr>
        <w:pStyle w:val="SH-SglSpHead"/>
        <w:tabs>
          <w:tab w:val="clear" w:pos="576"/>
        </w:tabs>
        <w:ind w:left="540" w:hanging="540"/>
        <w:rPr>
          <w:sz w:val="32"/>
          <w:szCs w:val="32"/>
        </w:rPr>
      </w:pPr>
      <w:r>
        <w:rPr>
          <w:sz w:val="32"/>
          <w:szCs w:val="32"/>
        </w:rPr>
        <w:t>5</w:t>
      </w:r>
      <w:r w:rsidRPr="00035B07">
        <w:rPr>
          <w:sz w:val="32"/>
          <w:szCs w:val="32"/>
        </w:rPr>
        <w:t>.</w:t>
      </w:r>
      <w:r w:rsidRPr="00035B07">
        <w:rPr>
          <w:sz w:val="32"/>
          <w:szCs w:val="32"/>
        </w:rPr>
        <w:tab/>
        <w:t>Substitute Samples</w:t>
      </w:r>
    </w:p>
    <w:p w:rsidR="00B347E0" w:rsidRPr="00035B07" w:rsidP="00B347E0" w14:paraId="6A914BD1" w14:textId="77777777">
      <w:pPr>
        <w:pStyle w:val="SP-SglSpPara"/>
        <w:keepNext/>
        <w:ind w:firstLine="0"/>
        <w:rPr>
          <w:sz w:val="32"/>
          <w:szCs w:val="32"/>
        </w:rPr>
      </w:pPr>
    </w:p>
    <w:p w:rsidR="00B347E0" w:rsidP="00B347E0" w14:paraId="63167D92" w14:textId="77777777">
      <w:pPr>
        <w:pStyle w:val="SP-SglSpPara"/>
        <w:tabs>
          <w:tab w:val="clear" w:pos="576"/>
        </w:tabs>
        <w:ind w:firstLine="540"/>
      </w:pPr>
      <w:r>
        <w:t>A portion of the eligible sample schools will choose not to participate in the assessment. In most NAEP assessments, to reduce nonresponse bias, substitute schools are selected and recruited in place of original sample school that refuse.</w:t>
      </w:r>
    </w:p>
    <w:p w:rsidR="00B347E0" w:rsidP="00B347E0" w14:paraId="70DC3269" w14:textId="77777777">
      <w:pPr>
        <w:pStyle w:val="SP-SglSpPara"/>
      </w:pPr>
    </w:p>
    <w:p w:rsidR="00B347E0" w:rsidP="00B347E0" w14:paraId="4A86E752" w14:textId="77777777">
      <w:pPr>
        <w:pStyle w:val="SP-SglSpPara"/>
        <w:tabs>
          <w:tab w:val="clear" w:pos="576"/>
        </w:tabs>
        <w:ind w:firstLine="540"/>
      </w:pPr>
      <w:r>
        <w:t xml:space="preserve">In keeping with past practice for pilot samples, substitute schools will not be selected for 2027. </w:t>
      </w:r>
    </w:p>
    <w:p w:rsidR="00B347E0" w:rsidP="00B347E0" w14:paraId="34651453" w14:textId="77777777">
      <w:pPr>
        <w:pStyle w:val="SP-SglSpPara"/>
        <w:tabs>
          <w:tab w:val="clear" w:pos="576"/>
        </w:tabs>
        <w:ind w:firstLine="540"/>
      </w:pPr>
    </w:p>
    <w:p w:rsidR="00B347E0" w:rsidRPr="00035B07" w:rsidP="00B347E0" w14:paraId="24C97E55" w14:textId="77777777">
      <w:pPr>
        <w:pStyle w:val="SH-SglSpHead"/>
        <w:tabs>
          <w:tab w:val="clear" w:pos="576"/>
        </w:tabs>
        <w:ind w:left="540" w:hanging="540"/>
        <w:rPr>
          <w:sz w:val="32"/>
          <w:szCs w:val="32"/>
        </w:rPr>
      </w:pPr>
      <w:r>
        <w:rPr>
          <w:sz w:val="32"/>
          <w:szCs w:val="32"/>
        </w:rPr>
        <w:t>6</w:t>
      </w:r>
      <w:r w:rsidRPr="00035B07">
        <w:rPr>
          <w:sz w:val="32"/>
          <w:szCs w:val="32"/>
        </w:rPr>
        <w:t>.</w:t>
      </w:r>
      <w:r w:rsidRPr="00035B07">
        <w:rPr>
          <w:sz w:val="32"/>
          <w:szCs w:val="32"/>
        </w:rPr>
        <w:tab/>
      </w:r>
      <w:r>
        <w:rPr>
          <w:sz w:val="32"/>
          <w:szCs w:val="32"/>
        </w:rPr>
        <w:t>Deselection Approach</w:t>
      </w:r>
    </w:p>
    <w:p w:rsidR="00B347E0" w:rsidRPr="00035B07" w:rsidP="00B347E0" w14:paraId="610055F9" w14:textId="77777777">
      <w:pPr>
        <w:pStyle w:val="SP-SglSpPara"/>
        <w:keepNext/>
        <w:ind w:firstLine="0"/>
        <w:rPr>
          <w:sz w:val="32"/>
          <w:szCs w:val="32"/>
        </w:rPr>
      </w:pPr>
    </w:p>
    <w:p w:rsidR="00B347E0" w:rsidRPr="009F3C37" w:rsidP="00B347E0" w14:paraId="64EF1C27" w14:textId="77777777">
      <w:pPr>
        <w:pStyle w:val="SP-SglSpPara"/>
        <w:tabs>
          <w:tab w:val="clear" w:pos="576"/>
        </w:tabs>
        <w:ind w:firstLine="540"/>
        <w:rPr>
          <w:b/>
          <w:bCs/>
        </w:rPr>
      </w:pPr>
      <w:r w:rsidRPr="009F3C37">
        <w:rPr>
          <w:b/>
          <w:bCs/>
        </w:rPr>
        <w:t>Note: NCES decided against the deselection method described in this section, however the description below remains for documentation purposes. All selected schools will remain in the sample</w:t>
      </w:r>
      <w:r>
        <w:rPr>
          <w:b/>
          <w:bCs/>
        </w:rPr>
        <w:t xml:space="preserve"> and deselection will not be implemented</w:t>
      </w:r>
      <w:r w:rsidRPr="009F3C37">
        <w:rPr>
          <w:b/>
          <w:bCs/>
        </w:rPr>
        <w:t>.</w:t>
      </w:r>
    </w:p>
    <w:p w:rsidR="00B347E0" w:rsidP="00B347E0" w14:paraId="4417F72F" w14:textId="77777777">
      <w:pPr>
        <w:pStyle w:val="SP-SglSpPara"/>
        <w:tabs>
          <w:tab w:val="clear" w:pos="576"/>
        </w:tabs>
        <w:ind w:firstLine="540"/>
      </w:pPr>
    </w:p>
    <w:p w:rsidR="00B347E0" w:rsidP="00B347E0" w14:paraId="667298F1" w14:textId="77777777">
      <w:pPr>
        <w:pStyle w:val="SP-SglSpPara"/>
        <w:tabs>
          <w:tab w:val="clear" w:pos="576"/>
        </w:tabs>
        <w:ind w:firstLine="540"/>
      </w:pPr>
      <w:r w:rsidRPr="00163008">
        <w:t xml:space="preserve">There is some uncertainty regarding the expected school </w:t>
      </w:r>
      <w:r>
        <w:t xml:space="preserve">participation </w:t>
      </w:r>
      <w:r w:rsidRPr="00163008">
        <w:t>rate</w:t>
      </w:r>
      <w:r>
        <w:t>s</w:t>
      </w:r>
      <w:r w:rsidRPr="00163008">
        <w:t xml:space="preserve"> for the 2027 sample because participation is voluntary and the sample will be drawn in a year when Main NAEP is not being administered. To inform our assumptions, we plan to use the participation </w:t>
      </w:r>
      <w:r>
        <w:t xml:space="preserve">and eligibility </w:t>
      </w:r>
      <w:r w:rsidRPr="00163008">
        <w:t>rate</w:t>
      </w:r>
      <w:r>
        <w:t>s</w:t>
      </w:r>
      <w:r w:rsidRPr="00163008">
        <w:t xml:space="preserve"> </w:t>
      </w:r>
      <w:r>
        <w:t xml:space="preserve">(collectively called a yield rate) </w:t>
      </w:r>
      <w:r w:rsidRPr="00163008">
        <w:t xml:space="preserve">observed for the 2025 Long-Term Trend (LTT) Age 13 sample, which achieved an 87 percent </w:t>
      </w:r>
      <w:r>
        <w:t xml:space="preserve">public </w:t>
      </w:r>
      <w:r w:rsidRPr="00163008">
        <w:t xml:space="preserve">school </w:t>
      </w:r>
      <w:r>
        <w:t>yield</w:t>
      </w:r>
      <w:r w:rsidRPr="00163008">
        <w:t xml:space="preserve"> rate.</w:t>
      </w:r>
    </w:p>
    <w:p w:rsidR="00B347E0" w:rsidRPr="00163008" w:rsidP="00B347E0" w14:paraId="556251B5" w14:textId="77777777">
      <w:pPr>
        <w:pStyle w:val="SP-SglSpPara"/>
        <w:tabs>
          <w:tab w:val="clear" w:pos="576"/>
        </w:tabs>
        <w:ind w:firstLine="540"/>
      </w:pPr>
    </w:p>
    <w:p w:rsidR="00B347E0" w:rsidP="00B347E0" w14:paraId="37E565C5" w14:textId="77777777">
      <w:pPr>
        <w:pStyle w:val="SP-SglSpPara"/>
        <w:tabs>
          <w:tab w:val="clear" w:pos="576"/>
        </w:tabs>
        <w:ind w:firstLine="540"/>
      </w:pPr>
      <w:r w:rsidRPr="00163008">
        <w:t xml:space="preserve">To help ensure that we meet the target of 12,000 completed assessments, we will initially </w:t>
      </w:r>
      <w:r>
        <w:t>target</w:t>
      </w:r>
      <w:r w:rsidRPr="00163008">
        <w:t xml:space="preserve"> 20 percent more </w:t>
      </w:r>
      <w:r>
        <w:t xml:space="preserve">public </w:t>
      </w:r>
      <w:r w:rsidRPr="00163008">
        <w:t>school</w:t>
      </w:r>
      <w:r>
        <w:t xml:space="preserve"> student</w:t>
      </w:r>
      <w:r w:rsidRPr="00163008">
        <w:t xml:space="preserve">s than we would under typical sampling procedures. Based on our projections, we </w:t>
      </w:r>
      <w:r>
        <w:t>anticipate needing</w:t>
      </w:r>
      <w:r w:rsidRPr="00163008">
        <w:t xml:space="preserve"> 321 participating schools.</w:t>
      </w:r>
    </w:p>
    <w:p w:rsidR="00B347E0" w:rsidRPr="00163008" w:rsidP="00B347E0" w14:paraId="767E084F" w14:textId="77777777">
      <w:pPr>
        <w:pStyle w:val="SP-SglSpPara"/>
        <w:tabs>
          <w:tab w:val="clear" w:pos="576"/>
        </w:tabs>
        <w:ind w:firstLine="540"/>
      </w:pPr>
    </w:p>
    <w:p w:rsidR="00B347E0" w:rsidP="00B347E0" w14:paraId="5C11C56B" w14:textId="77777777">
      <w:pPr>
        <w:pStyle w:val="SP-SglSpPara"/>
        <w:tabs>
          <w:tab w:val="clear" w:pos="576"/>
        </w:tabs>
        <w:ind w:firstLine="540"/>
      </w:pPr>
      <w:r w:rsidRPr="00163008">
        <w:t>In August or September</w:t>
      </w:r>
      <w:r>
        <w:t xml:space="preserve"> 2026</w:t>
      </w:r>
      <w:r w:rsidRPr="00163008">
        <w:t xml:space="preserve">, once we have </w:t>
      </w:r>
      <w:r>
        <w:t>recruited most public schools for 2027</w:t>
      </w:r>
      <w:r w:rsidRPr="00163008">
        <w:t xml:space="preserve">, we will assess whether the number of cooperating schools is likely to exceed 321. If so, we may deselect some schools before </w:t>
      </w:r>
      <w:r>
        <w:t xml:space="preserve">the process of submitting </w:t>
      </w:r>
      <w:r w:rsidRPr="00163008">
        <w:t>student list</w:t>
      </w:r>
      <w:r>
        <w:t>s</w:t>
      </w:r>
      <w:r w:rsidRPr="00163008">
        <w:t xml:space="preserve"> </w:t>
      </w:r>
      <w:r>
        <w:t>begins</w:t>
      </w:r>
      <w:r w:rsidRPr="00163008">
        <w:t>. Any deselection would occur by ordering the schools according to the original selection sort order and then removing the necessary number of schools using a systematic random sampling method. This process simply involves updating school disposition codes</w:t>
      </w:r>
      <w:r>
        <w:t xml:space="preserve"> for the deselected schools, and revising the selection probabilities of the remaining schools to reflect the smaller sample</w:t>
      </w:r>
      <w:r w:rsidRPr="00163008">
        <w:t>. Deselection, if necessary, will apply only to public schools.</w:t>
      </w:r>
    </w:p>
    <w:p w:rsidR="00B347E0" w:rsidRPr="00163008" w:rsidP="00B347E0" w14:paraId="30CF8A7D" w14:textId="77777777">
      <w:pPr>
        <w:pStyle w:val="SP-SglSpPara"/>
        <w:tabs>
          <w:tab w:val="clear" w:pos="576"/>
        </w:tabs>
        <w:ind w:firstLine="540"/>
      </w:pPr>
    </w:p>
    <w:p w:rsidR="00B347E0" w:rsidP="00B347E0" w14:paraId="2500B77A" w14:textId="77777777">
      <w:pPr>
        <w:pStyle w:val="SP-SglSpPara"/>
        <w:tabs>
          <w:tab w:val="clear" w:pos="576"/>
        </w:tabs>
        <w:ind w:firstLine="540"/>
      </w:pPr>
      <w:r>
        <w:t>Table 3 shows</w:t>
      </w:r>
      <w:r w:rsidRPr="00163008">
        <w:t xml:space="preserve"> the attrition and inflation factors used in the sampling calculations. The initial target student sample size is determined by</w:t>
      </w:r>
      <w:r>
        <w:t xml:space="preserve"> starting with the target completed assessments (Row label = “F”, </w:t>
      </w:r>
      <w:r w:rsidRPr="00163008">
        <w:t xml:space="preserve">multiplying </w:t>
      </w:r>
      <w:r>
        <w:t xml:space="preserve">it by the inflation factor, and then dividing by </w:t>
      </w:r>
      <w:r w:rsidRPr="00163008">
        <w:t xml:space="preserve">the assumed overall </w:t>
      </w:r>
      <w:r>
        <w:t>yield</w:t>
      </w:r>
      <w:r w:rsidRPr="00163008">
        <w:t xml:space="preserve"> rate. The resulting overall </w:t>
      </w:r>
      <w:r>
        <w:t xml:space="preserve">initial </w:t>
      </w:r>
      <w:r w:rsidRPr="00163008">
        <w:t>school sample size is generated through the school sampling program and is based on this initial target student sample size (Row label = “A”)</w:t>
      </w:r>
      <w:r>
        <w:t xml:space="preserve"> as input</w:t>
      </w:r>
      <w:r w:rsidRPr="00163008">
        <w:t>.</w:t>
      </w:r>
      <w:r>
        <w:t xml:space="preserve"> In practice, the actual targets used in the sampling program are rounded up slightly, (e.g., 19,000 for public and 2,400 for private).</w:t>
      </w:r>
      <w:r w:rsidRPr="00163008">
        <w:t xml:space="preserve"> Details on </w:t>
      </w:r>
      <w:r>
        <w:t>NAEP</w:t>
      </w:r>
      <w:r w:rsidRPr="00163008">
        <w:t xml:space="preserve"> school sampling methodology</w:t>
      </w:r>
      <w:r>
        <w:t xml:space="preserve"> on which the school sampling program is based</w:t>
      </w:r>
      <w:r w:rsidRPr="00163008">
        <w:t xml:space="preserve"> are available in the technical documentation:</w:t>
      </w:r>
      <w:r>
        <w:t xml:space="preserve"> </w:t>
      </w:r>
      <w:hyperlink r:id="rId11" w:history="1">
        <w:r w:rsidRPr="002D06D2">
          <w:rPr>
            <w:rStyle w:val="Hyperlink"/>
          </w:rPr>
          <w:t>Sampling of Public Schools for the 2022 Long-Term Trend Assessment</w:t>
        </w:r>
      </w:hyperlink>
      <w:r>
        <w:t>. The 2022 long-term trend page was chosen because long-term trend, although age-based instead of grade-based, is also a PSU-based sample, like the 2027 pilot.</w:t>
      </w:r>
    </w:p>
    <w:p w:rsidR="00B347E0" w:rsidP="00B347E0" w14:paraId="278B8389" w14:textId="77777777">
      <w:pPr>
        <w:spacing w:line="278" w:lineRule="auto"/>
      </w:pPr>
      <w:r>
        <w:t xml:space="preserve"> </w:t>
      </w:r>
    </w:p>
    <w:p w:rsidR="00B347E0" w:rsidP="00B347E0" w14:paraId="2E41EBCC" w14:textId="77777777">
      <w:pPr>
        <w:pStyle w:val="TT-TableTitle"/>
      </w:pPr>
      <w:r w:rsidRPr="00402CD7">
        <w:t>Table</w:t>
      </w:r>
      <w:r>
        <w:t xml:space="preserve"> 3</w:t>
      </w:r>
      <w:r w:rsidRPr="00402CD7">
        <w:t xml:space="preserve">. </w:t>
      </w:r>
      <w:r>
        <w:tab/>
        <w:t>Derivation of i</w:t>
      </w:r>
      <w:r w:rsidRPr="00402CD7">
        <w:t>nitial target sample sizes</w:t>
      </w:r>
    </w:p>
    <w:p w:rsidR="00B347E0" w:rsidP="00B347E0" w14:paraId="31FFC076" w14:textId="77777777"/>
    <w:tbl>
      <w:tblPr>
        <w:tblW w:w="9103" w:type="dxa"/>
        <w:tblLook w:val="04A0"/>
      </w:tblPr>
      <w:tblGrid>
        <w:gridCol w:w="791"/>
        <w:gridCol w:w="4150"/>
        <w:gridCol w:w="1008"/>
        <w:gridCol w:w="1008"/>
        <w:gridCol w:w="1008"/>
        <w:gridCol w:w="1138"/>
      </w:tblGrid>
      <w:tr w14:paraId="3EECB767" w14:textId="77777777" w:rsidTr="00F07C41">
        <w:tblPrEx>
          <w:tblW w:w="9103" w:type="dxa"/>
          <w:tblLook w:val="04A0"/>
        </w:tblPrEx>
        <w:trPr>
          <w:trHeight w:val="288"/>
        </w:trPr>
        <w:tc>
          <w:tcPr>
            <w:tcW w:w="791" w:type="dxa"/>
            <w:tcBorders>
              <w:top w:val="single" w:sz="18" w:space="0" w:color="auto"/>
              <w:bottom w:val="single" w:sz="18" w:space="0" w:color="auto"/>
              <w:right w:val="single" w:sz="2" w:space="0" w:color="auto"/>
            </w:tcBorders>
            <w:noWrap/>
            <w:vAlign w:val="bottom"/>
            <w:hideMark/>
          </w:tcPr>
          <w:p w:rsidR="00B347E0" w:rsidRPr="00805511" w:rsidP="00F07C41" w14:paraId="3B87300E" w14:textId="77777777">
            <w:pPr>
              <w:rPr>
                <w:color w:val="000000"/>
                <w:sz w:val="20"/>
              </w:rPr>
            </w:pPr>
            <w:r w:rsidRPr="00805511">
              <w:rPr>
                <w:color w:val="000000"/>
                <w:sz w:val="20"/>
              </w:rPr>
              <w:t>Row Label</w:t>
            </w:r>
          </w:p>
        </w:tc>
        <w:tc>
          <w:tcPr>
            <w:tcW w:w="4150" w:type="dxa"/>
            <w:tcBorders>
              <w:top w:val="single" w:sz="18" w:space="0" w:color="auto"/>
              <w:left w:val="single" w:sz="2" w:space="0" w:color="auto"/>
              <w:bottom w:val="single" w:sz="18" w:space="0" w:color="auto"/>
              <w:right w:val="single" w:sz="2" w:space="0" w:color="auto"/>
            </w:tcBorders>
            <w:noWrap/>
            <w:vAlign w:val="bottom"/>
            <w:hideMark/>
          </w:tcPr>
          <w:p w:rsidR="00B347E0" w:rsidRPr="00805511" w:rsidP="00F07C41" w14:paraId="4C4B63F9" w14:textId="77777777">
            <w:pPr>
              <w:rPr>
                <w:color w:val="000000"/>
                <w:sz w:val="20"/>
              </w:rPr>
            </w:pPr>
            <w:r w:rsidRPr="00805511">
              <w:rPr>
                <w:color w:val="000000"/>
                <w:sz w:val="20"/>
              </w:rPr>
              <w:t>Description</w:t>
            </w:r>
          </w:p>
        </w:tc>
        <w:tc>
          <w:tcPr>
            <w:tcW w:w="1008" w:type="dxa"/>
            <w:tcBorders>
              <w:top w:val="single" w:sz="18" w:space="0" w:color="auto"/>
              <w:left w:val="single" w:sz="2" w:space="0" w:color="auto"/>
              <w:bottom w:val="single" w:sz="18" w:space="0" w:color="auto"/>
              <w:right w:val="single" w:sz="2" w:space="0" w:color="auto"/>
            </w:tcBorders>
            <w:noWrap/>
            <w:vAlign w:val="bottom"/>
            <w:hideMark/>
          </w:tcPr>
          <w:p w:rsidR="00B347E0" w:rsidRPr="00805511" w:rsidP="00F07C41" w14:paraId="03472DF7" w14:textId="77777777">
            <w:pPr>
              <w:rPr>
                <w:color w:val="000000"/>
                <w:sz w:val="20"/>
              </w:rPr>
            </w:pPr>
            <w:r w:rsidRPr="00805511">
              <w:rPr>
                <w:color w:val="000000"/>
                <w:sz w:val="20"/>
              </w:rPr>
              <w:t>Public</w:t>
            </w:r>
          </w:p>
        </w:tc>
        <w:tc>
          <w:tcPr>
            <w:tcW w:w="1008" w:type="dxa"/>
            <w:tcBorders>
              <w:top w:val="single" w:sz="18" w:space="0" w:color="auto"/>
              <w:left w:val="single" w:sz="2" w:space="0" w:color="auto"/>
              <w:bottom w:val="single" w:sz="18" w:space="0" w:color="auto"/>
              <w:right w:val="single" w:sz="2" w:space="0" w:color="auto"/>
            </w:tcBorders>
            <w:noWrap/>
            <w:vAlign w:val="bottom"/>
            <w:hideMark/>
          </w:tcPr>
          <w:p w:rsidR="00B347E0" w:rsidRPr="00805511" w:rsidP="00F07C41" w14:paraId="5CBAFC6C" w14:textId="77777777">
            <w:pPr>
              <w:rPr>
                <w:color w:val="000000"/>
                <w:sz w:val="20"/>
              </w:rPr>
            </w:pPr>
            <w:r w:rsidRPr="00805511">
              <w:rPr>
                <w:color w:val="000000"/>
                <w:sz w:val="20"/>
              </w:rPr>
              <w:t>Private</w:t>
            </w:r>
          </w:p>
        </w:tc>
        <w:tc>
          <w:tcPr>
            <w:tcW w:w="1008" w:type="dxa"/>
            <w:tcBorders>
              <w:top w:val="single" w:sz="18" w:space="0" w:color="auto"/>
              <w:left w:val="single" w:sz="2" w:space="0" w:color="auto"/>
              <w:bottom w:val="single" w:sz="18" w:space="0" w:color="auto"/>
              <w:right w:val="single" w:sz="2" w:space="0" w:color="auto"/>
            </w:tcBorders>
            <w:noWrap/>
            <w:vAlign w:val="bottom"/>
            <w:hideMark/>
          </w:tcPr>
          <w:p w:rsidR="00B347E0" w:rsidRPr="00805511" w:rsidP="00F07C41" w14:paraId="0C72B513" w14:textId="77777777">
            <w:pPr>
              <w:rPr>
                <w:color w:val="000000"/>
                <w:sz w:val="20"/>
              </w:rPr>
            </w:pPr>
            <w:r w:rsidRPr="00805511">
              <w:rPr>
                <w:color w:val="000000"/>
                <w:sz w:val="20"/>
              </w:rPr>
              <w:t>Total</w:t>
            </w:r>
          </w:p>
        </w:tc>
        <w:tc>
          <w:tcPr>
            <w:tcW w:w="0" w:type="auto"/>
            <w:tcBorders>
              <w:top w:val="single" w:sz="18" w:space="0" w:color="auto"/>
              <w:left w:val="single" w:sz="2" w:space="0" w:color="auto"/>
              <w:bottom w:val="single" w:sz="18" w:space="0" w:color="auto"/>
            </w:tcBorders>
            <w:noWrap/>
            <w:vAlign w:val="bottom"/>
            <w:hideMark/>
          </w:tcPr>
          <w:p w:rsidR="00B347E0" w:rsidRPr="00805511" w:rsidP="00F07C41" w14:paraId="27994B5B" w14:textId="77777777">
            <w:pPr>
              <w:rPr>
                <w:color w:val="000000"/>
                <w:sz w:val="20"/>
              </w:rPr>
            </w:pPr>
            <w:r w:rsidRPr="00805511">
              <w:rPr>
                <w:color w:val="000000"/>
                <w:sz w:val="20"/>
              </w:rPr>
              <w:t>Calculation</w:t>
            </w:r>
          </w:p>
        </w:tc>
      </w:tr>
      <w:tr w14:paraId="42AB09E3" w14:textId="77777777" w:rsidTr="00F07C41">
        <w:tblPrEx>
          <w:tblW w:w="9103" w:type="dxa"/>
          <w:tblLook w:val="04A0"/>
        </w:tblPrEx>
        <w:trPr>
          <w:trHeight w:val="288"/>
        </w:trPr>
        <w:tc>
          <w:tcPr>
            <w:tcW w:w="791" w:type="dxa"/>
            <w:tcBorders>
              <w:top w:val="single" w:sz="18" w:space="0" w:color="auto"/>
              <w:right w:val="single" w:sz="2" w:space="0" w:color="auto"/>
            </w:tcBorders>
            <w:noWrap/>
            <w:vAlign w:val="bottom"/>
            <w:hideMark/>
          </w:tcPr>
          <w:p w:rsidR="00B347E0" w:rsidRPr="00805511" w:rsidP="00F07C41" w14:paraId="1A44BFFD" w14:textId="77777777">
            <w:pPr>
              <w:rPr>
                <w:color w:val="000000"/>
                <w:sz w:val="20"/>
              </w:rPr>
            </w:pPr>
            <w:r w:rsidRPr="00805511">
              <w:rPr>
                <w:color w:val="000000"/>
                <w:sz w:val="20"/>
              </w:rPr>
              <w:t>A</w:t>
            </w:r>
          </w:p>
        </w:tc>
        <w:tc>
          <w:tcPr>
            <w:tcW w:w="4150" w:type="dxa"/>
            <w:tcBorders>
              <w:top w:val="single" w:sz="18" w:space="0" w:color="auto"/>
              <w:left w:val="single" w:sz="2" w:space="0" w:color="auto"/>
              <w:right w:val="single" w:sz="2" w:space="0" w:color="auto"/>
            </w:tcBorders>
            <w:noWrap/>
            <w:vAlign w:val="bottom"/>
            <w:hideMark/>
          </w:tcPr>
          <w:p w:rsidR="00B347E0" w:rsidRPr="00805511" w:rsidP="00F07C41" w14:paraId="5A861105" w14:textId="77777777">
            <w:pPr>
              <w:rPr>
                <w:color w:val="000000"/>
                <w:sz w:val="20"/>
              </w:rPr>
            </w:pPr>
            <w:r w:rsidRPr="00805511">
              <w:rPr>
                <w:color w:val="000000"/>
                <w:sz w:val="20"/>
              </w:rPr>
              <w:t>Initial target student sample size</w:t>
            </w:r>
          </w:p>
        </w:tc>
        <w:tc>
          <w:tcPr>
            <w:tcW w:w="1008" w:type="dxa"/>
            <w:tcBorders>
              <w:top w:val="single" w:sz="18" w:space="0" w:color="auto"/>
              <w:left w:val="single" w:sz="2" w:space="0" w:color="auto"/>
              <w:right w:val="single" w:sz="2" w:space="0" w:color="auto"/>
            </w:tcBorders>
            <w:noWrap/>
            <w:vAlign w:val="bottom"/>
            <w:hideMark/>
          </w:tcPr>
          <w:p w:rsidR="00B347E0" w:rsidRPr="00805511" w:rsidP="00F07C41" w14:paraId="6447CAED" w14:textId="77777777">
            <w:pPr>
              <w:rPr>
                <w:color w:val="000000"/>
                <w:sz w:val="20"/>
              </w:rPr>
            </w:pPr>
            <w:r w:rsidRPr="00805511">
              <w:rPr>
                <w:color w:val="000000"/>
                <w:sz w:val="20"/>
              </w:rPr>
              <w:t xml:space="preserve">18,935 </w:t>
            </w:r>
          </w:p>
        </w:tc>
        <w:tc>
          <w:tcPr>
            <w:tcW w:w="1008" w:type="dxa"/>
            <w:tcBorders>
              <w:top w:val="single" w:sz="18" w:space="0" w:color="auto"/>
              <w:left w:val="single" w:sz="2" w:space="0" w:color="auto"/>
              <w:right w:val="single" w:sz="2" w:space="0" w:color="auto"/>
            </w:tcBorders>
            <w:noWrap/>
            <w:vAlign w:val="bottom"/>
            <w:hideMark/>
          </w:tcPr>
          <w:p w:rsidR="00B347E0" w:rsidRPr="00805511" w:rsidP="00F07C41" w14:paraId="3140C555" w14:textId="77777777">
            <w:pPr>
              <w:rPr>
                <w:color w:val="000000"/>
                <w:sz w:val="20"/>
              </w:rPr>
            </w:pPr>
            <w:r w:rsidRPr="00805511">
              <w:rPr>
                <w:color w:val="000000"/>
                <w:sz w:val="20"/>
              </w:rPr>
              <w:t xml:space="preserve">2,394 </w:t>
            </w:r>
          </w:p>
        </w:tc>
        <w:tc>
          <w:tcPr>
            <w:tcW w:w="1008" w:type="dxa"/>
            <w:tcBorders>
              <w:top w:val="single" w:sz="18" w:space="0" w:color="auto"/>
              <w:left w:val="single" w:sz="2" w:space="0" w:color="auto"/>
              <w:right w:val="single" w:sz="2" w:space="0" w:color="auto"/>
            </w:tcBorders>
            <w:noWrap/>
            <w:vAlign w:val="bottom"/>
            <w:hideMark/>
          </w:tcPr>
          <w:p w:rsidR="00B347E0" w:rsidRPr="00805511" w:rsidP="00F07C41" w14:paraId="1CDF228D" w14:textId="77777777">
            <w:pPr>
              <w:rPr>
                <w:color w:val="000000"/>
                <w:sz w:val="20"/>
              </w:rPr>
            </w:pPr>
            <w:r w:rsidRPr="00805511">
              <w:rPr>
                <w:color w:val="000000"/>
                <w:sz w:val="20"/>
              </w:rPr>
              <w:t xml:space="preserve">21,329 </w:t>
            </w:r>
          </w:p>
        </w:tc>
        <w:tc>
          <w:tcPr>
            <w:tcW w:w="0" w:type="auto"/>
            <w:tcBorders>
              <w:top w:val="single" w:sz="18" w:space="0" w:color="auto"/>
              <w:left w:val="single" w:sz="2" w:space="0" w:color="auto"/>
            </w:tcBorders>
            <w:noWrap/>
            <w:vAlign w:val="bottom"/>
            <w:hideMark/>
          </w:tcPr>
          <w:p w:rsidR="00B347E0" w:rsidRPr="00805511" w:rsidP="00F07C41" w14:paraId="373D3871" w14:textId="77777777">
            <w:pPr>
              <w:rPr>
                <w:color w:val="000000"/>
                <w:sz w:val="20"/>
              </w:rPr>
            </w:pPr>
            <w:r w:rsidRPr="00805511">
              <w:rPr>
                <w:color w:val="000000"/>
                <w:sz w:val="20"/>
              </w:rPr>
              <w:t>F*E/D</w:t>
            </w:r>
          </w:p>
        </w:tc>
      </w:tr>
      <w:tr w14:paraId="1353DCB8"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36A72434" w14:textId="77777777">
            <w:pPr>
              <w:rPr>
                <w:color w:val="000000"/>
                <w:sz w:val="20"/>
              </w:rPr>
            </w:pPr>
            <w:r w:rsidRPr="00805511">
              <w:rPr>
                <w:color w:val="000000"/>
                <w:sz w:val="20"/>
              </w:rPr>
              <w:t>B</w:t>
            </w:r>
          </w:p>
        </w:tc>
        <w:tc>
          <w:tcPr>
            <w:tcW w:w="4150" w:type="dxa"/>
            <w:tcBorders>
              <w:left w:val="single" w:sz="2" w:space="0" w:color="auto"/>
              <w:right w:val="single" w:sz="2" w:space="0" w:color="auto"/>
            </w:tcBorders>
            <w:noWrap/>
            <w:vAlign w:val="bottom"/>
            <w:hideMark/>
          </w:tcPr>
          <w:p w:rsidR="00B347E0" w:rsidRPr="00805511" w:rsidP="00F07C41" w14:paraId="4524B775" w14:textId="77777777">
            <w:pPr>
              <w:rPr>
                <w:color w:val="000000"/>
                <w:sz w:val="20"/>
              </w:rPr>
            </w:pPr>
            <w:r w:rsidRPr="00805511">
              <w:rPr>
                <w:color w:val="000000"/>
                <w:sz w:val="20"/>
              </w:rPr>
              <w:t xml:space="preserve">   School </w:t>
            </w:r>
            <w:r>
              <w:rPr>
                <w:color w:val="000000"/>
                <w:sz w:val="20"/>
              </w:rPr>
              <w:t>yield</w:t>
            </w:r>
            <w:r w:rsidRPr="00805511">
              <w:rPr>
                <w:color w:val="000000"/>
                <w:sz w:val="20"/>
              </w:rPr>
              <w:t xml:space="preserve"> rate</w:t>
            </w:r>
          </w:p>
        </w:tc>
        <w:tc>
          <w:tcPr>
            <w:tcW w:w="1008" w:type="dxa"/>
            <w:tcBorders>
              <w:left w:val="single" w:sz="2" w:space="0" w:color="auto"/>
              <w:right w:val="single" w:sz="2" w:space="0" w:color="auto"/>
            </w:tcBorders>
            <w:noWrap/>
            <w:vAlign w:val="bottom"/>
            <w:hideMark/>
          </w:tcPr>
          <w:p w:rsidR="00B347E0" w:rsidRPr="00805511" w:rsidP="00F07C41" w14:paraId="2C9ED1CE" w14:textId="77777777">
            <w:pPr>
              <w:jc w:val="right"/>
              <w:rPr>
                <w:color w:val="000000"/>
                <w:sz w:val="20"/>
              </w:rPr>
            </w:pPr>
            <w:r w:rsidRPr="00805511">
              <w:rPr>
                <w:color w:val="000000"/>
                <w:sz w:val="20"/>
              </w:rPr>
              <w:t>0.869</w:t>
            </w:r>
          </w:p>
        </w:tc>
        <w:tc>
          <w:tcPr>
            <w:tcW w:w="1008" w:type="dxa"/>
            <w:tcBorders>
              <w:left w:val="single" w:sz="2" w:space="0" w:color="auto"/>
              <w:right w:val="single" w:sz="2" w:space="0" w:color="auto"/>
            </w:tcBorders>
            <w:noWrap/>
            <w:vAlign w:val="bottom"/>
            <w:hideMark/>
          </w:tcPr>
          <w:p w:rsidR="00B347E0" w:rsidRPr="00805511" w:rsidP="00F07C41" w14:paraId="63E39E8E" w14:textId="77777777">
            <w:pPr>
              <w:jc w:val="right"/>
              <w:rPr>
                <w:color w:val="000000"/>
                <w:sz w:val="20"/>
              </w:rPr>
            </w:pPr>
            <w:r w:rsidRPr="00805511">
              <w:rPr>
                <w:color w:val="000000"/>
                <w:sz w:val="20"/>
              </w:rPr>
              <w:t>0.308</w:t>
            </w:r>
          </w:p>
        </w:tc>
        <w:tc>
          <w:tcPr>
            <w:tcW w:w="1008" w:type="dxa"/>
            <w:tcBorders>
              <w:left w:val="single" w:sz="2" w:space="0" w:color="auto"/>
              <w:right w:val="single" w:sz="2" w:space="0" w:color="auto"/>
            </w:tcBorders>
            <w:noWrap/>
            <w:vAlign w:val="bottom"/>
            <w:hideMark/>
          </w:tcPr>
          <w:p w:rsidR="00B347E0" w:rsidRPr="00805511" w:rsidP="00F07C41" w14:paraId="2E469BCF" w14:textId="77777777">
            <w:pPr>
              <w:jc w:val="right"/>
              <w:rPr>
                <w:color w:val="000000"/>
                <w:sz w:val="20"/>
              </w:rPr>
            </w:pPr>
          </w:p>
        </w:tc>
        <w:tc>
          <w:tcPr>
            <w:tcW w:w="0" w:type="auto"/>
            <w:tcBorders>
              <w:left w:val="single" w:sz="2" w:space="0" w:color="auto"/>
            </w:tcBorders>
            <w:noWrap/>
            <w:vAlign w:val="bottom"/>
            <w:hideMark/>
          </w:tcPr>
          <w:p w:rsidR="00B347E0" w:rsidRPr="00805511" w:rsidP="00F07C41" w14:paraId="65D40F17" w14:textId="77777777">
            <w:pPr>
              <w:rPr>
                <w:sz w:val="20"/>
              </w:rPr>
            </w:pPr>
          </w:p>
        </w:tc>
      </w:tr>
      <w:tr w14:paraId="68EF6E35"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13473FE2" w14:textId="77777777">
            <w:pPr>
              <w:rPr>
                <w:color w:val="000000"/>
                <w:sz w:val="20"/>
              </w:rPr>
            </w:pPr>
            <w:r w:rsidRPr="00805511">
              <w:rPr>
                <w:color w:val="000000"/>
                <w:sz w:val="20"/>
              </w:rPr>
              <w:t>C</w:t>
            </w:r>
          </w:p>
        </w:tc>
        <w:tc>
          <w:tcPr>
            <w:tcW w:w="4150" w:type="dxa"/>
            <w:tcBorders>
              <w:left w:val="single" w:sz="2" w:space="0" w:color="auto"/>
              <w:right w:val="single" w:sz="2" w:space="0" w:color="auto"/>
            </w:tcBorders>
            <w:noWrap/>
            <w:vAlign w:val="bottom"/>
            <w:hideMark/>
          </w:tcPr>
          <w:p w:rsidR="00B347E0" w:rsidRPr="00805511" w:rsidP="00F07C41" w14:paraId="2F6A8E0E" w14:textId="77777777">
            <w:pPr>
              <w:rPr>
                <w:color w:val="000000"/>
                <w:sz w:val="20"/>
              </w:rPr>
            </w:pPr>
            <w:r w:rsidRPr="00805511">
              <w:rPr>
                <w:color w:val="000000"/>
                <w:sz w:val="20"/>
              </w:rPr>
              <w:t xml:space="preserve">   Student </w:t>
            </w:r>
            <w:r>
              <w:rPr>
                <w:color w:val="000000"/>
                <w:sz w:val="20"/>
              </w:rPr>
              <w:t>yield</w:t>
            </w:r>
            <w:r w:rsidRPr="00805511">
              <w:rPr>
                <w:color w:val="000000"/>
                <w:sz w:val="20"/>
              </w:rPr>
              <w:t xml:space="preserve"> rate</w:t>
            </w:r>
          </w:p>
        </w:tc>
        <w:tc>
          <w:tcPr>
            <w:tcW w:w="1008" w:type="dxa"/>
            <w:tcBorders>
              <w:left w:val="single" w:sz="2" w:space="0" w:color="auto"/>
              <w:right w:val="single" w:sz="2" w:space="0" w:color="auto"/>
            </w:tcBorders>
            <w:noWrap/>
            <w:vAlign w:val="bottom"/>
            <w:hideMark/>
          </w:tcPr>
          <w:p w:rsidR="00B347E0" w:rsidRPr="00805511" w:rsidP="00F07C41" w14:paraId="25D87778" w14:textId="77777777">
            <w:pPr>
              <w:jc w:val="right"/>
              <w:rPr>
                <w:color w:val="000000"/>
                <w:sz w:val="20"/>
              </w:rPr>
            </w:pPr>
            <w:r w:rsidRPr="00805511">
              <w:rPr>
                <w:color w:val="000000"/>
                <w:sz w:val="20"/>
              </w:rPr>
              <w:t>0.827</w:t>
            </w:r>
          </w:p>
        </w:tc>
        <w:tc>
          <w:tcPr>
            <w:tcW w:w="1008" w:type="dxa"/>
            <w:tcBorders>
              <w:left w:val="single" w:sz="2" w:space="0" w:color="auto"/>
              <w:right w:val="single" w:sz="2" w:space="0" w:color="auto"/>
            </w:tcBorders>
            <w:noWrap/>
            <w:vAlign w:val="bottom"/>
            <w:hideMark/>
          </w:tcPr>
          <w:p w:rsidR="00B347E0" w:rsidRPr="00805511" w:rsidP="00F07C41" w14:paraId="7C6BFBE6" w14:textId="77777777">
            <w:pPr>
              <w:jc w:val="right"/>
              <w:rPr>
                <w:color w:val="000000"/>
                <w:sz w:val="20"/>
              </w:rPr>
            </w:pPr>
            <w:r w:rsidRPr="00805511">
              <w:rPr>
                <w:color w:val="000000"/>
                <w:sz w:val="20"/>
              </w:rPr>
              <w:t>0.895</w:t>
            </w:r>
          </w:p>
        </w:tc>
        <w:tc>
          <w:tcPr>
            <w:tcW w:w="1008" w:type="dxa"/>
            <w:tcBorders>
              <w:left w:val="single" w:sz="2" w:space="0" w:color="auto"/>
              <w:right w:val="single" w:sz="2" w:space="0" w:color="auto"/>
            </w:tcBorders>
            <w:noWrap/>
            <w:vAlign w:val="bottom"/>
            <w:hideMark/>
          </w:tcPr>
          <w:p w:rsidR="00B347E0" w:rsidRPr="00805511" w:rsidP="00F07C41" w14:paraId="55ABA76E" w14:textId="77777777">
            <w:pPr>
              <w:jc w:val="right"/>
              <w:rPr>
                <w:color w:val="000000"/>
                <w:sz w:val="20"/>
              </w:rPr>
            </w:pPr>
          </w:p>
        </w:tc>
        <w:tc>
          <w:tcPr>
            <w:tcW w:w="0" w:type="auto"/>
            <w:tcBorders>
              <w:left w:val="single" w:sz="2" w:space="0" w:color="auto"/>
            </w:tcBorders>
            <w:noWrap/>
            <w:vAlign w:val="bottom"/>
            <w:hideMark/>
          </w:tcPr>
          <w:p w:rsidR="00B347E0" w:rsidRPr="00805511" w:rsidP="00F07C41" w14:paraId="354310FC" w14:textId="77777777">
            <w:pPr>
              <w:rPr>
                <w:sz w:val="20"/>
              </w:rPr>
            </w:pPr>
          </w:p>
        </w:tc>
      </w:tr>
      <w:tr w14:paraId="1E8221AF"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4463DF37" w14:textId="77777777">
            <w:pPr>
              <w:rPr>
                <w:color w:val="000000"/>
                <w:sz w:val="20"/>
              </w:rPr>
            </w:pPr>
            <w:r w:rsidRPr="00805511">
              <w:rPr>
                <w:color w:val="000000"/>
                <w:sz w:val="20"/>
              </w:rPr>
              <w:t>D</w:t>
            </w:r>
          </w:p>
        </w:tc>
        <w:tc>
          <w:tcPr>
            <w:tcW w:w="4150" w:type="dxa"/>
            <w:tcBorders>
              <w:left w:val="single" w:sz="2" w:space="0" w:color="auto"/>
              <w:right w:val="single" w:sz="2" w:space="0" w:color="auto"/>
            </w:tcBorders>
            <w:noWrap/>
            <w:vAlign w:val="bottom"/>
            <w:hideMark/>
          </w:tcPr>
          <w:p w:rsidR="00B347E0" w:rsidRPr="00805511" w:rsidP="00F07C41" w14:paraId="46771367" w14:textId="77777777">
            <w:pPr>
              <w:rPr>
                <w:color w:val="000000"/>
                <w:sz w:val="20"/>
              </w:rPr>
            </w:pPr>
            <w:r w:rsidRPr="00805511">
              <w:rPr>
                <w:color w:val="000000"/>
                <w:sz w:val="20"/>
              </w:rPr>
              <w:t xml:space="preserve">Overall </w:t>
            </w:r>
            <w:r>
              <w:rPr>
                <w:color w:val="000000"/>
                <w:sz w:val="20"/>
              </w:rPr>
              <w:t>yield</w:t>
            </w:r>
            <w:r w:rsidRPr="00805511">
              <w:rPr>
                <w:color w:val="000000"/>
                <w:sz w:val="20"/>
              </w:rPr>
              <w:t xml:space="preserve"> rate</w:t>
            </w:r>
          </w:p>
        </w:tc>
        <w:tc>
          <w:tcPr>
            <w:tcW w:w="1008" w:type="dxa"/>
            <w:tcBorders>
              <w:left w:val="single" w:sz="2" w:space="0" w:color="auto"/>
              <w:right w:val="single" w:sz="2" w:space="0" w:color="auto"/>
            </w:tcBorders>
            <w:noWrap/>
            <w:vAlign w:val="bottom"/>
            <w:hideMark/>
          </w:tcPr>
          <w:p w:rsidR="00B347E0" w:rsidRPr="00805511" w:rsidP="00F07C41" w14:paraId="613028C3" w14:textId="77777777">
            <w:pPr>
              <w:jc w:val="right"/>
              <w:rPr>
                <w:color w:val="000000"/>
                <w:sz w:val="20"/>
              </w:rPr>
            </w:pPr>
            <w:r w:rsidRPr="00805511">
              <w:rPr>
                <w:color w:val="000000"/>
                <w:sz w:val="20"/>
              </w:rPr>
              <w:t>0.719</w:t>
            </w:r>
          </w:p>
        </w:tc>
        <w:tc>
          <w:tcPr>
            <w:tcW w:w="1008" w:type="dxa"/>
            <w:tcBorders>
              <w:left w:val="single" w:sz="2" w:space="0" w:color="auto"/>
              <w:right w:val="single" w:sz="2" w:space="0" w:color="auto"/>
            </w:tcBorders>
            <w:noWrap/>
            <w:vAlign w:val="bottom"/>
            <w:hideMark/>
          </w:tcPr>
          <w:p w:rsidR="00B347E0" w:rsidRPr="00805511" w:rsidP="00F07C41" w14:paraId="0F98B296" w14:textId="77777777">
            <w:pPr>
              <w:jc w:val="right"/>
              <w:rPr>
                <w:color w:val="000000"/>
                <w:sz w:val="20"/>
              </w:rPr>
            </w:pPr>
            <w:r w:rsidRPr="00805511">
              <w:rPr>
                <w:color w:val="000000"/>
                <w:sz w:val="20"/>
              </w:rPr>
              <w:t>0.276</w:t>
            </w:r>
          </w:p>
        </w:tc>
        <w:tc>
          <w:tcPr>
            <w:tcW w:w="1008" w:type="dxa"/>
            <w:tcBorders>
              <w:left w:val="single" w:sz="2" w:space="0" w:color="auto"/>
              <w:right w:val="single" w:sz="2" w:space="0" w:color="auto"/>
            </w:tcBorders>
            <w:noWrap/>
            <w:vAlign w:val="bottom"/>
            <w:hideMark/>
          </w:tcPr>
          <w:p w:rsidR="00B347E0" w:rsidRPr="00805511" w:rsidP="00F07C41" w14:paraId="7007CDA0" w14:textId="77777777">
            <w:pPr>
              <w:jc w:val="right"/>
              <w:rPr>
                <w:color w:val="000000"/>
                <w:sz w:val="20"/>
              </w:rPr>
            </w:pPr>
          </w:p>
        </w:tc>
        <w:tc>
          <w:tcPr>
            <w:tcW w:w="0" w:type="auto"/>
            <w:tcBorders>
              <w:left w:val="single" w:sz="2" w:space="0" w:color="auto"/>
            </w:tcBorders>
            <w:noWrap/>
            <w:vAlign w:val="bottom"/>
            <w:hideMark/>
          </w:tcPr>
          <w:p w:rsidR="00B347E0" w:rsidRPr="00805511" w:rsidP="00F07C41" w14:paraId="7668689C" w14:textId="77777777">
            <w:pPr>
              <w:rPr>
                <w:color w:val="000000"/>
                <w:sz w:val="20"/>
              </w:rPr>
            </w:pPr>
            <w:r w:rsidRPr="00805511">
              <w:rPr>
                <w:color w:val="000000"/>
                <w:sz w:val="20"/>
              </w:rPr>
              <w:t>B*C</w:t>
            </w:r>
          </w:p>
        </w:tc>
      </w:tr>
      <w:tr w14:paraId="24C52A6D"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0152F78B" w14:textId="77777777">
            <w:pPr>
              <w:rPr>
                <w:color w:val="000000"/>
                <w:sz w:val="20"/>
              </w:rPr>
            </w:pPr>
            <w:r w:rsidRPr="00805511">
              <w:rPr>
                <w:color w:val="000000"/>
                <w:sz w:val="20"/>
              </w:rPr>
              <w:t>E</w:t>
            </w:r>
          </w:p>
        </w:tc>
        <w:tc>
          <w:tcPr>
            <w:tcW w:w="4150" w:type="dxa"/>
            <w:tcBorders>
              <w:left w:val="single" w:sz="2" w:space="0" w:color="auto"/>
              <w:right w:val="single" w:sz="2" w:space="0" w:color="auto"/>
            </w:tcBorders>
            <w:noWrap/>
            <w:vAlign w:val="bottom"/>
            <w:hideMark/>
          </w:tcPr>
          <w:p w:rsidR="00B347E0" w:rsidRPr="00805511" w:rsidP="00F07C41" w14:paraId="66EF2F1D" w14:textId="77777777">
            <w:pPr>
              <w:rPr>
                <w:color w:val="000000"/>
                <w:sz w:val="20"/>
              </w:rPr>
            </w:pPr>
            <w:r w:rsidRPr="00805511">
              <w:rPr>
                <w:color w:val="000000"/>
                <w:sz w:val="20"/>
              </w:rPr>
              <w:t>Extra sample size inflation rate</w:t>
            </w:r>
          </w:p>
        </w:tc>
        <w:tc>
          <w:tcPr>
            <w:tcW w:w="1008" w:type="dxa"/>
            <w:tcBorders>
              <w:left w:val="single" w:sz="2" w:space="0" w:color="auto"/>
              <w:right w:val="single" w:sz="2" w:space="0" w:color="auto"/>
            </w:tcBorders>
            <w:noWrap/>
            <w:vAlign w:val="bottom"/>
            <w:hideMark/>
          </w:tcPr>
          <w:p w:rsidR="00B347E0" w:rsidRPr="00805511" w:rsidP="00F07C41" w14:paraId="00EF5E68" w14:textId="77777777">
            <w:pPr>
              <w:jc w:val="right"/>
              <w:rPr>
                <w:color w:val="000000"/>
                <w:sz w:val="20"/>
              </w:rPr>
            </w:pPr>
            <w:r w:rsidRPr="00805511">
              <w:rPr>
                <w:color w:val="000000"/>
                <w:sz w:val="20"/>
              </w:rPr>
              <w:t>1.200</w:t>
            </w:r>
          </w:p>
        </w:tc>
        <w:tc>
          <w:tcPr>
            <w:tcW w:w="1008" w:type="dxa"/>
            <w:tcBorders>
              <w:left w:val="single" w:sz="2" w:space="0" w:color="auto"/>
              <w:right w:val="single" w:sz="2" w:space="0" w:color="auto"/>
            </w:tcBorders>
            <w:noWrap/>
            <w:vAlign w:val="bottom"/>
            <w:hideMark/>
          </w:tcPr>
          <w:p w:rsidR="00B347E0" w:rsidRPr="00805511" w:rsidP="00F07C41" w14:paraId="7A0565D0" w14:textId="77777777">
            <w:pPr>
              <w:jc w:val="right"/>
              <w:rPr>
                <w:color w:val="000000"/>
                <w:sz w:val="20"/>
              </w:rPr>
            </w:pPr>
            <w:r w:rsidRPr="00805511">
              <w:rPr>
                <w:color w:val="000000"/>
                <w:sz w:val="20"/>
              </w:rPr>
              <w:t>1</w:t>
            </w:r>
          </w:p>
        </w:tc>
        <w:tc>
          <w:tcPr>
            <w:tcW w:w="1008" w:type="dxa"/>
            <w:tcBorders>
              <w:left w:val="single" w:sz="2" w:space="0" w:color="auto"/>
              <w:right w:val="single" w:sz="2" w:space="0" w:color="auto"/>
            </w:tcBorders>
            <w:noWrap/>
            <w:vAlign w:val="bottom"/>
            <w:hideMark/>
          </w:tcPr>
          <w:p w:rsidR="00B347E0" w:rsidRPr="00805511" w:rsidP="00F07C41" w14:paraId="3C1FD8F2" w14:textId="77777777">
            <w:pPr>
              <w:jc w:val="right"/>
              <w:rPr>
                <w:color w:val="000000"/>
                <w:sz w:val="20"/>
              </w:rPr>
            </w:pPr>
          </w:p>
        </w:tc>
        <w:tc>
          <w:tcPr>
            <w:tcW w:w="0" w:type="auto"/>
            <w:tcBorders>
              <w:left w:val="single" w:sz="2" w:space="0" w:color="auto"/>
            </w:tcBorders>
            <w:noWrap/>
            <w:vAlign w:val="bottom"/>
            <w:hideMark/>
          </w:tcPr>
          <w:p w:rsidR="00B347E0" w:rsidRPr="00805511" w:rsidP="00F07C41" w14:paraId="2CD28F03" w14:textId="77777777">
            <w:pPr>
              <w:rPr>
                <w:sz w:val="20"/>
              </w:rPr>
            </w:pPr>
          </w:p>
        </w:tc>
      </w:tr>
      <w:tr w14:paraId="2B460126"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3AF96440" w14:textId="77777777">
            <w:pPr>
              <w:rPr>
                <w:color w:val="000000"/>
                <w:sz w:val="20"/>
              </w:rPr>
            </w:pPr>
            <w:r w:rsidRPr="00805511">
              <w:rPr>
                <w:color w:val="000000"/>
                <w:sz w:val="20"/>
              </w:rPr>
              <w:t>F</w:t>
            </w:r>
          </w:p>
        </w:tc>
        <w:tc>
          <w:tcPr>
            <w:tcW w:w="4150" w:type="dxa"/>
            <w:tcBorders>
              <w:left w:val="single" w:sz="2" w:space="0" w:color="auto"/>
              <w:right w:val="single" w:sz="2" w:space="0" w:color="auto"/>
            </w:tcBorders>
            <w:noWrap/>
            <w:vAlign w:val="bottom"/>
            <w:hideMark/>
          </w:tcPr>
          <w:p w:rsidR="00B347E0" w:rsidRPr="00805511" w:rsidP="00F07C41" w14:paraId="0C87BE20" w14:textId="77777777">
            <w:pPr>
              <w:rPr>
                <w:color w:val="000000"/>
                <w:sz w:val="20"/>
              </w:rPr>
            </w:pPr>
            <w:r w:rsidRPr="00805511">
              <w:rPr>
                <w:color w:val="000000"/>
                <w:sz w:val="20"/>
              </w:rPr>
              <w:t xml:space="preserve">Target </w:t>
            </w:r>
            <w:r>
              <w:rPr>
                <w:color w:val="000000"/>
                <w:sz w:val="20"/>
              </w:rPr>
              <w:t>completed assessments</w:t>
            </w:r>
          </w:p>
        </w:tc>
        <w:tc>
          <w:tcPr>
            <w:tcW w:w="1008" w:type="dxa"/>
            <w:tcBorders>
              <w:left w:val="single" w:sz="2" w:space="0" w:color="auto"/>
              <w:right w:val="single" w:sz="2" w:space="0" w:color="auto"/>
            </w:tcBorders>
            <w:noWrap/>
            <w:vAlign w:val="bottom"/>
            <w:hideMark/>
          </w:tcPr>
          <w:p w:rsidR="00B347E0" w:rsidRPr="00805511" w:rsidP="00F07C41" w14:paraId="4E95810E" w14:textId="77777777">
            <w:pPr>
              <w:rPr>
                <w:color w:val="000000"/>
                <w:sz w:val="20"/>
              </w:rPr>
            </w:pPr>
            <w:r w:rsidRPr="00805511">
              <w:rPr>
                <w:color w:val="000000"/>
                <w:sz w:val="20"/>
              </w:rPr>
              <w:t xml:space="preserve">11,340 </w:t>
            </w:r>
          </w:p>
        </w:tc>
        <w:tc>
          <w:tcPr>
            <w:tcW w:w="1008" w:type="dxa"/>
            <w:tcBorders>
              <w:left w:val="single" w:sz="2" w:space="0" w:color="auto"/>
              <w:right w:val="single" w:sz="2" w:space="0" w:color="auto"/>
            </w:tcBorders>
            <w:noWrap/>
            <w:vAlign w:val="bottom"/>
            <w:hideMark/>
          </w:tcPr>
          <w:p w:rsidR="00B347E0" w:rsidRPr="00805511" w:rsidP="00F07C41" w14:paraId="5884CF19" w14:textId="77777777">
            <w:pPr>
              <w:rPr>
                <w:color w:val="000000"/>
                <w:sz w:val="20"/>
              </w:rPr>
            </w:pPr>
            <w:r>
              <w:rPr>
                <w:color w:val="000000"/>
                <w:sz w:val="20"/>
              </w:rPr>
              <w:t xml:space="preserve">  </w:t>
            </w:r>
            <w:r w:rsidRPr="00805511">
              <w:rPr>
                <w:color w:val="000000"/>
                <w:sz w:val="20"/>
              </w:rPr>
              <w:t xml:space="preserve">660 </w:t>
            </w:r>
          </w:p>
        </w:tc>
        <w:tc>
          <w:tcPr>
            <w:tcW w:w="1008" w:type="dxa"/>
            <w:tcBorders>
              <w:left w:val="single" w:sz="2" w:space="0" w:color="auto"/>
              <w:right w:val="single" w:sz="2" w:space="0" w:color="auto"/>
            </w:tcBorders>
            <w:noWrap/>
            <w:vAlign w:val="bottom"/>
            <w:hideMark/>
          </w:tcPr>
          <w:p w:rsidR="00B347E0" w:rsidRPr="00805511" w:rsidP="00F07C41" w14:paraId="7A09EA30" w14:textId="77777777">
            <w:pPr>
              <w:rPr>
                <w:color w:val="000000"/>
                <w:sz w:val="20"/>
              </w:rPr>
            </w:pPr>
            <w:r w:rsidRPr="00805511">
              <w:rPr>
                <w:color w:val="000000"/>
                <w:sz w:val="20"/>
              </w:rPr>
              <w:t xml:space="preserve">12,000 </w:t>
            </w:r>
          </w:p>
        </w:tc>
        <w:tc>
          <w:tcPr>
            <w:tcW w:w="0" w:type="auto"/>
            <w:tcBorders>
              <w:left w:val="single" w:sz="2" w:space="0" w:color="auto"/>
            </w:tcBorders>
            <w:noWrap/>
            <w:vAlign w:val="bottom"/>
            <w:hideMark/>
          </w:tcPr>
          <w:p w:rsidR="00B347E0" w:rsidRPr="00805511" w:rsidP="00F07C41" w14:paraId="696A3A28" w14:textId="77777777">
            <w:pPr>
              <w:rPr>
                <w:color w:val="000000"/>
                <w:sz w:val="20"/>
              </w:rPr>
            </w:pPr>
          </w:p>
        </w:tc>
      </w:tr>
      <w:tr w14:paraId="031D10D4" w14:textId="77777777" w:rsidTr="00F07C41">
        <w:tblPrEx>
          <w:tblW w:w="9103" w:type="dxa"/>
          <w:tblLook w:val="04A0"/>
        </w:tblPrEx>
        <w:trPr>
          <w:trHeight w:val="288"/>
        </w:trPr>
        <w:tc>
          <w:tcPr>
            <w:tcW w:w="791" w:type="dxa"/>
            <w:tcBorders>
              <w:right w:val="single" w:sz="2" w:space="0" w:color="auto"/>
            </w:tcBorders>
            <w:noWrap/>
            <w:vAlign w:val="bottom"/>
            <w:hideMark/>
          </w:tcPr>
          <w:p w:rsidR="00B347E0" w:rsidRPr="00805511" w:rsidP="00F07C41" w14:paraId="37A6E8DF" w14:textId="77777777">
            <w:pPr>
              <w:rPr>
                <w:color w:val="000000"/>
                <w:sz w:val="20"/>
              </w:rPr>
            </w:pPr>
            <w:r w:rsidRPr="00805511">
              <w:rPr>
                <w:color w:val="000000"/>
                <w:sz w:val="20"/>
              </w:rPr>
              <w:t>G</w:t>
            </w:r>
          </w:p>
        </w:tc>
        <w:tc>
          <w:tcPr>
            <w:tcW w:w="4150" w:type="dxa"/>
            <w:tcBorders>
              <w:left w:val="single" w:sz="2" w:space="0" w:color="auto"/>
              <w:right w:val="single" w:sz="2" w:space="0" w:color="auto"/>
            </w:tcBorders>
            <w:noWrap/>
            <w:vAlign w:val="bottom"/>
            <w:hideMark/>
          </w:tcPr>
          <w:p w:rsidR="00B347E0" w:rsidRPr="00805511" w:rsidP="00F07C41" w14:paraId="1940733A" w14:textId="77777777">
            <w:pPr>
              <w:rPr>
                <w:color w:val="000000"/>
                <w:sz w:val="20"/>
              </w:rPr>
            </w:pPr>
            <w:r w:rsidRPr="00805511">
              <w:rPr>
                <w:color w:val="000000"/>
                <w:sz w:val="20"/>
              </w:rPr>
              <w:t>Ratio of assessed students to participating schools</w:t>
            </w:r>
          </w:p>
        </w:tc>
        <w:tc>
          <w:tcPr>
            <w:tcW w:w="1008" w:type="dxa"/>
            <w:tcBorders>
              <w:left w:val="single" w:sz="2" w:space="0" w:color="auto"/>
              <w:right w:val="single" w:sz="2" w:space="0" w:color="auto"/>
            </w:tcBorders>
            <w:noWrap/>
            <w:vAlign w:val="bottom"/>
            <w:hideMark/>
          </w:tcPr>
          <w:p w:rsidR="00B347E0" w:rsidRPr="00805511" w:rsidP="00F07C41" w14:paraId="58914518" w14:textId="77777777">
            <w:pPr>
              <w:jc w:val="right"/>
              <w:rPr>
                <w:color w:val="000000"/>
                <w:sz w:val="20"/>
              </w:rPr>
            </w:pPr>
            <w:r w:rsidRPr="00805511">
              <w:rPr>
                <w:color w:val="000000"/>
                <w:sz w:val="20"/>
              </w:rPr>
              <w:t>39</w:t>
            </w:r>
          </w:p>
        </w:tc>
        <w:tc>
          <w:tcPr>
            <w:tcW w:w="1008" w:type="dxa"/>
            <w:tcBorders>
              <w:left w:val="single" w:sz="2" w:space="0" w:color="auto"/>
              <w:right w:val="single" w:sz="2" w:space="0" w:color="auto"/>
            </w:tcBorders>
            <w:noWrap/>
            <w:vAlign w:val="bottom"/>
            <w:hideMark/>
          </w:tcPr>
          <w:p w:rsidR="00B347E0" w:rsidRPr="00805511" w:rsidP="00F07C41" w14:paraId="58149F6E" w14:textId="77777777">
            <w:pPr>
              <w:jc w:val="right"/>
              <w:rPr>
                <w:color w:val="000000"/>
                <w:sz w:val="20"/>
              </w:rPr>
            </w:pPr>
            <w:r w:rsidRPr="00805511">
              <w:rPr>
                <w:color w:val="000000"/>
                <w:sz w:val="20"/>
              </w:rPr>
              <w:t>22</w:t>
            </w:r>
          </w:p>
        </w:tc>
        <w:tc>
          <w:tcPr>
            <w:tcW w:w="1008" w:type="dxa"/>
            <w:tcBorders>
              <w:left w:val="single" w:sz="2" w:space="0" w:color="auto"/>
              <w:right w:val="single" w:sz="2" w:space="0" w:color="auto"/>
            </w:tcBorders>
            <w:noWrap/>
            <w:vAlign w:val="bottom"/>
            <w:hideMark/>
          </w:tcPr>
          <w:p w:rsidR="00B347E0" w:rsidRPr="00805511" w:rsidP="00F07C41" w14:paraId="2A352683" w14:textId="77777777">
            <w:pPr>
              <w:jc w:val="right"/>
              <w:rPr>
                <w:color w:val="000000"/>
                <w:sz w:val="20"/>
              </w:rPr>
            </w:pPr>
          </w:p>
        </w:tc>
        <w:tc>
          <w:tcPr>
            <w:tcW w:w="0" w:type="auto"/>
            <w:tcBorders>
              <w:left w:val="single" w:sz="2" w:space="0" w:color="auto"/>
            </w:tcBorders>
            <w:noWrap/>
            <w:vAlign w:val="bottom"/>
            <w:hideMark/>
          </w:tcPr>
          <w:p w:rsidR="00B347E0" w:rsidRPr="00805511" w:rsidP="00F07C41" w14:paraId="54134A7A" w14:textId="77777777">
            <w:pPr>
              <w:rPr>
                <w:sz w:val="20"/>
              </w:rPr>
            </w:pPr>
          </w:p>
        </w:tc>
      </w:tr>
      <w:tr w14:paraId="6344E10E" w14:textId="77777777" w:rsidTr="00F07C41">
        <w:tblPrEx>
          <w:tblW w:w="9103" w:type="dxa"/>
          <w:tblLook w:val="04A0"/>
        </w:tblPrEx>
        <w:trPr>
          <w:trHeight w:val="288"/>
        </w:trPr>
        <w:tc>
          <w:tcPr>
            <w:tcW w:w="791" w:type="dxa"/>
            <w:tcBorders>
              <w:bottom w:val="single" w:sz="18" w:space="0" w:color="auto"/>
              <w:right w:val="single" w:sz="2" w:space="0" w:color="auto"/>
            </w:tcBorders>
            <w:noWrap/>
            <w:vAlign w:val="bottom"/>
            <w:hideMark/>
          </w:tcPr>
          <w:p w:rsidR="00B347E0" w:rsidRPr="00805511" w:rsidP="00F07C41" w14:paraId="0D1B34B7" w14:textId="77777777">
            <w:pPr>
              <w:rPr>
                <w:color w:val="000000"/>
                <w:sz w:val="20"/>
              </w:rPr>
            </w:pPr>
            <w:r w:rsidRPr="00805511">
              <w:rPr>
                <w:color w:val="000000"/>
                <w:sz w:val="20"/>
              </w:rPr>
              <w:t>H</w:t>
            </w:r>
          </w:p>
        </w:tc>
        <w:tc>
          <w:tcPr>
            <w:tcW w:w="4150" w:type="dxa"/>
            <w:tcBorders>
              <w:left w:val="single" w:sz="2" w:space="0" w:color="auto"/>
              <w:bottom w:val="single" w:sz="18" w:space="0" w:color="auto"/>
              <w:right w:val="single" w:sz="2" w:space="0" w:color="auto"/>
            </w:tcBorders>
            <w:noWrap/>
            <w:vAlign w:val="bottom"/>
            <w:hideMark/>
          </w:tcPr>
          <w:p w:rsidR="00B347E0" w:rsidRPr="00805511" w:rsidP="00F07C41" w14:paraId="67C1FD96" w14:textId="77777777">
            <w:pPr>
              <w:rPr>
                <w:color w:val="000000"/>
                <w:sz w:val="20"/>
              </w:rPr>
            </w:pPr>
            <w:r w:rsidRPr="00805511">
              <w:rPr>
                <w:color w:val="000000"/>
                <w:sz w:val="20"/>
              </w:rPr>
              <w:t>Number of participating schools</w:t>
            </w:r>
          </w:p>
        </w:tc>
        <w:tc>
          <w:tcPr>
            <w:tcW w:w="1008" w:type="dxa"/>
            <w:tcBorders>
              <w:left w:val="single" w:sz="2" w:space="0" w:color="auto"/>
              <w:bottom w:val="single" w:sz="18" w:space="0" w:color="auto"/>
              <w:right w:val="single" w:sz="2" w:space="0" w:color="auto"/>
            </w:tcBorders>
            <w:noWrap/>
            <w:vAlign w:val="bottom"/>
            <w:hideMark/>
          </w:tcPr>
          <w:p w:rsidR="00B347E0" w:rsidRPr="00805511" w:rsidP="00F07C41" w14:paraId="182A61AA" w14:textId="77777777">
            <w:pPr>
              <w:jc w:val="right"/>
              <w:rPr>
                <w:color w:val="000000"/>
                <w:sz w:val="20"/>
              </w:rPr>
            </w:pPr>
            <w:r w:rsidRPr="00805511">
              <w:rPr>
                <w:color w:val="000000"/>
                <w:sz w:val="20"/>
              </w:rPr>
              <w:t>291</w:t>
            </w:r>
          </w:p>
        </w:tc>
        <w:tc>
          <w:tcPr>
            <w:tcW w:w="1008" w:type="dxa"/>
            <w:tcBorders>
              <w:left w:val="single" w:sz="2" w:space="0" w:color="auto"/>
              <w:bottom w:val="single" w:sz="18" w:space="0" w:color="auto"/>
              <w:right w:val="single" w:sz="2" w:space="0" w:color="auto"/>
            </w:tcBorders>
            <w:noWrap/>
            <w:vAlign w:val="bottom"/>
            <w:hideMark/>
          </w:tcPr>
          <w:p w:rsidR="00B347E0" w:rsidRPr="00805511" w:rsidP="00F07C41" w14:paraId="2CF17CD1" w14:textId="77777777">
            <w:pPr>
              <w:jc w:val="right"/>
              <w:rPr>
                <w:color w:val="000000"/>
                <w:sz w:val="20"/>
              </w:rPr>
            </w:pPr>
            <w:r w:rsidRPr="00805511">
              <w:rPr>
                <w:color w:val="000000"/>
                <w:sz w:val="20"/>
              </w:rPr>
              <w:t>30</w:t>
            </w:r>
          </w:p>
        </w:tc>
        <w:tc>
          <w:tcPr>
            <w:tcW w:w="1008" w:type="dxa"/>
            <w:tcBorders>
              <w:left w:val="single" w:sz="2" w:space="0" w:color="auto"/>
              <w:bottom w:val="single" w:sz="18" w:space="0" w:color="auto"/>
              <w:right w:val="single" w:sz="2" w:space="0" w:color="auto"/>
            </w:tcBorders>
            <w:noWrap/>
            <w:vAlign w:val="bottom"/>
            <w:hideMark/>
          </w:tcPr>
          <w:p w:rsidR="00B347E0" w:rsidRPr="00805511" w:rsidP="00F07C41" w14:paraId="474E3165" w14:textId="77777777">
            <w:pPr>
              <w:jc w:val="right"/>
              <w:rPr>
                <w:color w:val="000000"/>
                <w:sz w:val="20"/>
              </w:rPr>
            </w:pPr>
            <w:r w:rsidRPr="00805511">
              <w:rPr>
                <w:color w:val="000000"/>
                <w:sz w:val="20"/>
              </w:rPr>
              <w:t>321</w:t>
            </w:r>
          </w:p>
        </w:tc>
        <w:tc>
          <w:tcPr>
            <w:tcW w:w="0" w:type="auto"/>
            <w:tcBorders>
              <w:left w:val="single" w:sz="2" w:space="0" w:color="auto"/>
              <w:bottom w:val="single" w:sz="18" w:space="0" w:color="auto"/>
            </w:tcBorders>
            <w:noWrap/>
            <w:vAlign w:val="bottom"/>
            <w:hideMark/>
          </w:tcPr>
          <w:p w:rsidR="00B347E0" w:rsidRPr="00805511" w:rsidP="00F07C41" w14:paraId="1DC9D6DF" w14:textId="77777777">
            <w:pPr>
              <w:rPr>
                <w:color w:val="000000"/>
                <w:sz w:val="20"/>
              </w:rPr>
            </w:pPr>
            <w:r w:rsidRPr="00805511">
              <w:rPr>
                <w:color w:val="000000"/>
                <w:sz w:val="20"/>
              </w:rPr>
              <w:t>F/G</w:t>
            </w:r>
          </w:p>
        </w:tc>
      </w:tr>
    </w:tbl>
    <w:p w:rsidR="00B347E0" w:rsidP="00B347E0" w14:paraId="647AD131" w14:textId="77777777"/>
    <w:p w:rsidR="00B347E0" w:rsidRPr="009F3C37" w:rsidP="00B347E0" w14:paraId="56B82F59" w14:textId="77777777">
      <w:pPr>
        <w:pStyle w:val="SP-SglSpPara"/>
        <w:ind w:firstLine="540"/>
        <w:rPr>
          <w:b/>
          <w:bCs/>
        </w:rPr>
      </w:pPr>
      <w:r w:rsidRPr="009F3C37">
        <w:rPr>
          <w:b/>
          <w:bCs/>
        </w:rPr>
        <w:t>Considerations for Mac OS schools</w:t>
      </w:r>
    </w:p>
    <w:p w:rsidR="00B347E0" w:rsidP="00B347E0" w14:paraId="72FD4E68" w14:textId="77777777">
      <w:pPr>
        <w:pStyle w:val="SP-SglSpPara"/>
        <w:ind w:firstLine="540"/>
      </w:pPr>
    </w:p>
    <w:p w:rsidR="00B347E0" w:rsidP="00B347E0" w14:paraId="7AB5ED41" w14:textId="77777777">
      <w:pPr>
        <w:pStyle w:val="SP-SglSpPara"/>
        <w:ind w:firstLine="540"/>
      </w:pPr>
      <w:r w:rsidRPr="00DB4831">
        <w:t>There are ongoing discussions regarding support for administering the assessment on Mac OS devices that may be provided by schools. If this option becomes available, results from the School Technology Survey (STS) will allow us in July to identify sampled schools that use Mac OS. These schools will initially be assigned NAEP</w:t>
      </w:r>
      <w:r w:rsidRPr="00DB4831">
        <w:noBreakHyphen/>
        <w:t>provided devices. Following OMB approval on September 11, NSSC will develop a communication—delivered by NSCs—informing Mac OS schools of the new option and offering them the opportunity to switch to using school</w:t>
      </w:r>
      <w:r w:rsidRPr="00DB4831">
        <w:noBreakHyphen/>
      </w:r>
      <w:r>
        <w:t>provided</w:t>
      </w:r>
      <w:r w:rsidRPr="00DB4831">
        <w:t xml:space="preserve"> devices.</w:t>
      </w:r>
    </w:p>
    <w:p w:rsidR="00B347E0" w:rsidRPr="00DB4831" w:rsidP="00B347E0" w14:paraId="305BD205" w14:textId="77777777">
      <w:pPr>
        <w:pStyle w:val="SP-SglSpPara"/>
        <w:ind w:firstLine="540"/>
      </w:pPr>
    </w:p>
    <w:p w:rsidR="00B347E0" w:rsidP="00B347E0" w14:paraId="4D94E9F3" w14:textId="77777777">
      <w:pPr>
        <w:pStyle w:val="SP-SglSpPara"/>
        <w:ind w:firstLine="540"/>
      </w:pPr>
      <w:r w:rsidRPr="00DB4831">
        <w:t>Because we will already be in direct communication with these schools, and to avoid the disruption of deselecting schools after outreach has begun, SW proposes treating Mac OS schools identified through the STS as certainty selections</w:t>
      </w:r>
      <w:r>
        <w:t xml:space="preserve"> (within PSUs)</w:t>
      </w:r>
      <w:r w:rsidRPr="00DB4831">
        <w:t>. Under this approach, the end</w:t>
      </w:r>
      <w:r w:rsidRPr="00DB4831">
        <w:noBreakHyphen/>
        <w:t>of</w:t>
      </w:r>
      <w:r w:rsidRPr="00DB4831">
        <w:noBreakHyphen/>
        <w:t>September deselection process would apply only to non–Mac OS schools. This approach is statistically sound: school base weights and preliminary weights will appropriately reflect schools’ probabilities of selection, preserving the representativeness of the sample.</w:t>
      </w:r>
    </w:p>
    <w:p w:rsidR="00B347E0" w:rsidRPr="00DB4831" w:rsidP="00B347E0" w14:paraId="64DFEAD6" w14:textId="77777777">
      <w:pPr>
        <w:pStyle w:val="SP-SglSpPara"/>
        <w:ind w:firstLine="540"/>
      </w:pPr>
    </w:p>
    <w:p w:rsidR="00B347E0" w:rsidRPr="00DB4831" w:rsidP="00B347E0" w14:paraId="7D411298" w14:textId="77777777">
      <w:pPr>
        <w:pStyle w:val="SP-SglSpPara"/>
        <w:ind w:firstLine="540"/>
      </w:pPr>
      <w:r w:rsidRPr="00DB4831">
        <w:t>Current NPD estimates suggest fewer than 30 Mac OS schools, so the impact on the overall sample is expected to be minimal. If July results indicate a meaningfully larger number of Mac OS schools, we would revisit this approach to ensure the sample is not unduly skewed. Any such adjustment would be minor and made in the best interest of the program.</w:t>
      </w:r>
    </w:p>
    <w:p w:rsidR="00B347E0" w:rsidRPr="009F3C37" w:rsidP="00B347E0" w14:paraId="44733EEA" w14:textId="77777777">
      <w:pPr>
        <w:pStyle w:val="SP-SglSpPara"/>
        <w:tabs>
          <w:tab w:val="clear" w:pos="576"/>
        </w:tabs>
        <w:ind w:firstLine="540"/>
      </w:pPr>
    </w:p>
    <w:p w:rsidR="00B347E0" w:rsidRPr="00035B07" w:rsidP="00B347E0" w14:paraId="14416DDA" w14:textId="77777777">
      <w:pPr>
        <w:pStyle w:val="SH-SglSpHead"/>
        <w:tabs>
          <w:tab w:val="clear" w:pos="576"/>
        </w:tabs>
        <w:ind w:left="540" w:hanging="540"/>
        <w:rPr>
          <w:sz w:val="32"/>
          <w:szCs w:val="32"/>
        </w:rPr>
      </w:pPr>
      <w:r>
        <w:rPr>
          <w:sz w:val="32"/>
          <w:szCs w:val="32"/>
        </w:rPr>
        <w:t>7</w:t>
      </w:r>
      <w:r w:rsidRPr="00035B07">
        <w:rPr>
          <w:sz w:val="32"/>
          <w:szCs w:val="32"/>
        </w:rPr>
        <w:t>.</w:t>
      </w:r>
      <w:r w:rsidRPr="00035B07">
        <w:rPr>
          <w:sz w:val="32"/>
          <w:szCs w:val="32"/>
        </w:rPr>
        <w:tab/>
        <w:t>Student Sampling</w:t>
      </w:r>
    </w:p>
    <w:p w:rsidR="00B347E0" w:rsidRPr="00035B07" w:rsidP="00B347E0" w14:paraId="2D200BAE" w14:textId="77777777">
      <w:pPr>
        <w:pStyle w:val="SP-SglSpPara"/>
        <w:rPr>
          <w:sz w:val="32"/>
          <w:szCs w:val="32"/>
        </w:rPr>
      </w:pPr>
    </w:p>
    <w:p w:rsidR="00B347E0" w:rsidP="00B347E0" w14:paraId="416CD0A0" w14:textId="77777777">
      <w:pPr>
        <w:pStyle w:val="SP-SglSpPara"/>
        <w:tabs>
          <w:tab w:val="clear" w:pos="576"/>
        </w:tabs>
        <w:ind w:firstLine="540"/>
      </w:pPr>
      <w:r>
        <w:t>For the pilot sample, s</w:t>
      </w:r>
      <w:r w:rsidRPr="008D008B">
        <w:t xml:space="preserve">tudents within the sampled schools will be selected with equal probability. </w:t>
      </w:r>
      <w:r>
        <w:t>In addition to this, student sample sizes within each school are determined as the combined result of two primary factors:</w:t>
      </w:r>
    </w:p>
    <w:p w:rsidR="00B347E0" w:rsidP="00B347E0" w14:paraId="068C6FBB" w14:textId="77777777">
      <w:pPr>
        <w:pStyle w:val="SP-SglSpPara"/>
      </w:pPr>
    </w:p>
    <w:p w:rsidR="00B347E0" w:rsidP="00B347E0" w14:paraId="54A71819" w14:textId="77777777">
      <w:pPr>
        <w:pStyle w:val="SP-SglSpPara"/>
        <w:tabs>
          <w:tab w:val="clear" w:pos="576"/>
          <w:tab w:val="left" w:pos="1170"/>
        </w:tabs>
        <w:ind w:left="1170" w:hanging="594"/>
      </w:pPr>
      <w:r>
        <w:t>1.</w:t>
      </w:r>
      <w:r>
        <w:tab/>
        <w:t>We wish to take all students in relatively small schools.</w:t>
      </w:r>
    </w:p>
    <w:p w:rsidR="00B347E0" w:rsidP="00B347E0" w14:paraId="295455A5" w14:textId="77777777">
      <w:pPr>
        <w:pStyle w:val="SP-SglSpPara"/>
        <w:tabs>
          <w:tab w:val="clear" w:pos="576"/>
          <w:tab w:val="left" w:pos="1170"/>
        </w:tabs>
        <w:ind w:left="1170" w:hanging="594"/>
      </w:pPr>
    </w:p>
    <w:p w:rsidR="00B347E0" w:rsidP="00B347E0" w14:paraId="23665743" w14:textId="77777777">
      <w:pPr>
        <w:pStyle w:val="N1-1stBullet"/>
      </w:pPr>
      <w:r>
        <w:t>2.</w:t>
      </w:r>
      <w:r>
        <w:tab/>
        <w:t>We do not wish to overburden the schools with unduly large student samples.</w:t>
      </w:r>
    </w:p>
    <w:p w:rsidR="00B347E0" w:rsidP="00B347E0" w14:paraId="282E6149" w14:textId="77777777">
      <w:pPr>
        <w:pStyle w:val="SH-SglSpHead"/>
        <w:keepNext w:val="0"/>
        <w:tabs>
          <w:tab w:val="clear" w:pos="576"/>
        </w:tabs>
        <w:ind w:left="0" w:firstLine="540"/>
        <w:rPr>
          <w:b w:val="0"/>
        </w:rPr>
      </w:pPr>
      <w:r w:rsidRPr="000D2956">
        <w:rPr>
          <w:b w:val="0"/>
        </w:rPr>
        <w:t xml:space="preserve">The plan below reflects the design that results from considering </w:t>
      </w:r>
      <w:r>
        <w:rPr>
          <w:b w:val="0"/>
        </w:rPr>
        <w:t>both</w:t>
      </w:r>
      <w:r w:rsidRPr="000D2956">
        <w:rPr>
          <w:b w:val="0"/>
        </w:rPr>
        <w:t xml:space="preserve"> of these factors and balancing them.</w:t>
      </w:r>
      <w:r>
        <w:rPr>
          <w:b w:val="0"/>
        </w:rPr>
        <w:t xml:space="preserve"> </w:t>
      </w:r>
      <w:r w:rsidRPr="00773DDB">
        <w:rPr>
          <w:b w:val="0"/>
        </w:rPr>
        <w:t xml:space="preserve">Prior to sampling, students will be sorted by </w:t>
      </w:r>
      <w:r>
        <w:rPr>
          <w:b w:val="0"/>
        </w:rPr>
        <w:t>sex</w:t>
      </w:r>
      <w:r w:rsidRPr="00773DDB">
        <w:rPr>
          <w:b w:val="0"/>
        </w:rPr>
        <w:t>, race, last name, first name, and middle name.</w:t>
      </w:r>
    </w:p>
    <w:p w:rsidR="00B347E0" w:rsidP="00B347E0" w14:paraId="1656ECFD" w14:textId="77777777">
      <w:pPr>
        <w:pStyle w:val="SH-SglSpHead"/>
        <w:keepNext w:val="0"/>
        <w:tabs>
          <w:tab w:val="clear" w:pos="576"/>
        </w:tabs>
        <w:ind w:left="0" w:firstLine="630"/>
        <w:rPr>
          <w:b w:val="0"/>
        </w:rPr>
      </w:pPr>
    </w:p>
    <w:p w:rsidR="00B347E0" w:rsidRPr="006977E4" w:rsidP="00B347E0" w14:paraId="1FCE539E" w14:textId="77777777">
      <w:pPr>
        <w:pStyle w:val="SP-SglSpPara"/>
        <w:keepNext/>
        <w:keepLines/>
        <w:ind w:firstLine="540"/>
      </w:pPr>
      <w:r w:rsidRPr="00BE5940">
        <w:t xml:space="preserve">In all </w:t>
      </w:r>
      <w:r>
        <w:t>participating</w:t>
      </w:r>
      <w:r w:rsidRPr="00BE5940">
        <w:t xml:space="preserve"> schools</w:t>
      </w:r>
      <w:r w:rsidRPr="002141E1">
        <w:t xml:space="preserve">, </w:t>
      </w:r>
      <w:r w:rsidRPr="005D6D5D">
        <w:t>the target sample size is 50</w:t>
      </w:r>
      <w:r w:rsidRPr="00BE5940">
        <w:t xml:space="preserve"> students</w:t>
      </w:r>
      <w:r w:rsidRPr="002141E1">
        <w:t xml:space="preserve">. </w:t>
      </w:r>
      <w:r w:rsidRPr="005D6D5D">
        <w:t>We will select all</w:t>
      </w:r>
      <w:r>
        <w:t xml:space="preserve"> grade 8</w:t>
      </w:r>
      <w:r w:rsidRPr="005D6D5D">
        <w:t xml:space="preserve"> students</w:t>
      </w:r>
      <w:r>
        <w:t xml:space="preserve"> in schools with</w:t>
      </w:r>
      <w:r w:rsidRPr="005D6D5D">
        <w:t xml:space="preserve"> 50</w:t>
      </w:r>
      <w:r>
        <w:t xml:space="preserve"> students or fewer</w:t>
      </w:r>
      <w:r w:rsidRPr="00BE5940">
        <w:t xml:space="preserve">. In schools with more than </w:t>
      </w:r>
      <w:r w:rsidRPr="005D6D5D">
        <w:t>50</w:t>
      </w:r>
      <w:r w:rsidRPr="00BE5940">
        <w:t xml:space="preserve"> such students</w:t>
      </w:r>
      <w:r>
        <w:t>,</w:t>
      </w:r>
      <w:r w:rsidRPr="00BE5940">
        <w:t xml:space="preserve"> we will select </w:t>
      </w:r>
      <w:r w:rsidRPr="005D6D5D">
        <w:t>50</w:t>
      </w:r>
      <w:r>
        <w:t xml:space="preserve"> students</w:t>
      </w:r>
      <w:r>
        <w:rPr>
          <w:rStyle w:val="FootnoteReference"/>
        </w:rPr>
        <w:footnoteReference w:id="3"/>
      </w:r>
      <w:r w:rsidRPr="00BE5940">
        <w:t xml:space="preserve">. </w:t>
      </w:r>
    </w:p>
    <w:p w:rsidR="00B347E0" w:rsidP="00B347E0" w14:paraId="496AA698" w14:textId="77777777">
      <w:pPr>
        <w:pStyle w:val="SP-SglSpPara"/>
        <w:keepNext/>
        <w:keepLines/>
        <w:tabs>
          <w:tab w:val="clear" w:pos="576"/>
        </w:tabs>
        <w:ind w:firstLine="540"/>
      </w:pPr>
    </w:p>
    <w:p w:rsidR="00B347E0" w:rsidRPr="00035B07" w:rsidP="00B347E0" w14:paraId="1B85F907" w14:textId="77777777">
      <w:pPr>
        <w:pStyle w:val="SH-SglSpHead"/>
        <w:rPr>
          <w:b w:val="0"/>
          <w:sz w:val="32"/>
          <w:szCs w:val="32"/>
          <w:u w:val="single"/>
        </w:rPr>
      </w:pPr>
      <w:r>
        <w:rPr>
          <w:sz w:val="32"/>
          <w:szCs w:val="32"/>
        </w:rPr>
        <w:t>8</w:t>
      </w:r>
      <w:r w:rsidRPr="00035B07">
        <w:rPr>
          <w:sz w:val="32"/>
          <w:szCs w:val="32"/>
        </w:rPr>
        <w:t>.</w:t>
      </w:r>
      <w:r w:rsidRPr="00035B07">
        <w:rPr>
          <w:sz w:val="32"/>
          <w:szCs w:val="32"/>
        </w:rPr>
        <w:tab/>
        <w:t>Weighting Requirements</w:t>
      </w:r>
    </w:p>
    <w:p w:rsidR="00B347E0" w:rsidRPr="00035B07" w:rsidP="00B347E0" w14:paraId="7DAF32EB" w14:textId="77777777">
      <w:pPr>
        <w:pStyle w:val="SP-SglSpPara"/>
        <w:rPr>
          <w:sz w:val="32"/>
          <w:szCs w:val="32"/>
        </w:rPr>
      </w:pPr>
    </w:p>
    <w:p w:rsidR="00B347E0" w:rsidP="00B347E0" w14:paraId="4541561C" w14:textId="77777777">
      <w:pPr>
        <w:pStyle w:val="SP-SglSpPara"/>
      </w:pPr>
      <w:r w:rsidRPr="00611017">
        <w:rPr>
          <w:szCs w:val="22"/>
        </w:rPr>
        <w:t>As is standard practice</w:t>
      </w:r>
      <w:r>
        <w:rPr>
          <w:szCs w:val="22"/>
        </w:rPr>
        <w:t xml:space="preserve"> for pilot assessments</w:t>
      </w:r>
      <w:r w:rsidRPr="00611017">
        <w:rPr>
          <w:szCs w:val="22"/>
        </w:rPr>
        <w:t>, preliminary weights will be provided. The sample weights will reflect probabilities of selection</w:t>
      </w:r>
      <w:r>
        <w:t xml:space="preserve"> </w:t>
      </w:r>
      <w:r>
        <w:t>but no adjustments for nonresponse, trimming, etc.</w:t>
      </w:r>
    </w:p>
    <w:p w:rsidR="00B347E0" w14:paraId="36DE781A" w14:textId="77777777">
      <w:pPr>
        <w:pStyle w:val="BodyText"/>
        <w:ind w:right="358"/>
      </w:pPr>
    </w:p>
    <w:sectPr w:rsidSect="00311586">
      <w:headerReference w:type="default" r:id="rId12"/>
      <w:footerReference w:type="default" r:id="rId13"/>
      <w:pgSz w:w="12240" w:h="15840"/>
      <w:pgMar w:top="1340" w:right="1080" w:bottom="960" w:left="1440" w:header="727" w:footer="76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F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3487039</wp:posOffset>
              </wp:positionH>
              <wp:positionV relativeFrom="page">
                <wp:posOffset>9419059</wp:posOffset>
              </wp:positionV>
              <wp:extent cx="800100" cy="19685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196850"/>
                      </a:xfrm>
                      <a:prstGeom prst="rect">
                        <a:avLst/>
                      </a:prstGeom>
                    </wps:spPr>
                    <wps:txbx>
                      <w:txbxContent>
                        <w:p w:rsidR="00382592"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49" type="#_x0000_t202" style="width:63pt;height:15.5pt;margin-top:741.65pt;margin-left:274.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82592" w14:paraId="5DC592EC"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FC7" w14:paraId="5958B7C2" w14:textId="77777777">
      <w:r>
        <w:separator/>
      </w:r>
    </w:p>
  </w:footnote>
  <w:footnote w:type="continuationSeparator" w:id="1">
    <w:p w:rsidR="00C81FC7" w14:paraId="62FB8AA1" w14:textId="77777777">
      <w:r>
        <w:continuationSeparator/>
      </w:r>
    </w:p>
  </w:footnote>
  <w:footnote w:id="2">
    <w:p w:rsidR="00B347E0" w:rsidP="00B347E0" w14:paraId="76914A02" w14:textId="77777777">
      <w:pPr>
        <w:pStyle w:val="FootnoteText"/>
      </w:pPr>
      <w:r>
        <w:rPr>
          <w:rStyle w:val="FootnoteReference"/>
        </w:rPr>
        <w:footnoteRef/>
      </w:r>
      <w:r>
        <w:t xml:space="preserve"> </w:t>
      </w:r>
      <w:r w:rsidRPr="00A00EBB">
        <w:t>Certainty PSUs were identified assuming a target sample size of 105 PSUs, which was our large PSU sample size from 2013-2024. 25 certainties were identified this way. Then to allow for population growth over time, PSUs with measures of size within 90% of the size of the smallest certainty were also identified as certainties. Finally</w:t>
      </w:r>
      <w:r>
        <w:t>,</w:t>
      </w:r>
      <w:r w:rsidRPr="00A00EBB">
        <w:t xml:space="preserve"> Honolulu was identified as a certainty due to its unique characteristics as had been done in the past</w:t>
      </w:r>
      <w:r>
        <w:t xml:space="preserve">. </w:t>
      </w:r>
    </w:p>
  </w:footnote>
  <w:footnote w:id="3">
    <w:p w:rsidR="00B347E0" w:rsidP="00B347E0" w14:paraId="3ED126C3" w14:textId="77777777">
      <w:pPr>
        <w:pStyle w:val="FootnoteText"/>
      </w:pPr>
      <w:r>
        <w:rPr>
          <w:rStyle w:val="FootnoteReference"/>
        </w:rPr>
        <w:footnoteRef/>
      </w:r>
      <w:r>
        <w:t xml:space="preserve"> For nonoperational assessments like this pilot, schools can request that an additional student or students be assessed if their enrollment is slightly more than 50 and they prefer it. In practice, this is applicable to a very small number of schools,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rsidRPr="00311586" w:rsidP="00311586" w14:paraId="08D0CEF0" w14:textId="5898DAE2">
    <w:pPr>
      <w:pStyle w:val="Header"/>
      <w:tabs>
        <w:tab w:val="right" w:pos="12960"/>
      </w:tabs>
    </w:pPr>
    <w:r w:rsidRPr="00924FC6">
      <w:t xml:space="preserve">Memorandum </w:t>
    </w:r>
    <w:r>
      <w:t>2027-m01v02s</w:t>
    </w:r>
    <w:r>
      <w:tab/>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tab/>
      <w:t>April 17,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86BEB"/>
    <w:multiLevelType w:val="hybridMultilevel"/>
    <w:tmpl w:val="AE28C3E6"/>
    <w:lvl w:ilvl="0">
      <w:start w:val="1"/>
      <w:numFmt w:val="decimal"/>
      <w:lvlText w:val="%1."/>
      <w:lvlJc w:val="left"/>
      <w:pPr>
        <w:ind w:left="1512" w:hanging="576"/>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376" w:hanging="576"/>
      </w:pPr>
      <w:rPr>
        <w:rFonts w:hint="default"/>
        <w:lang w:val="en-US" w:eastAsia="en-US" w:bidi="ar-SA"/>
      </w:rPr>
    </w:lvl>
    <w:lvl w:ilvl="2">
      <w:start w:val="0"/>
      <w:numFmt w:val="bullet"/>
      <w:lvlText w:val="•"/>
      <w:lvlJc w:val="left"/>
      <w:pPr>
        <w:ind w:left="3232" w:hanging="576"/>
      </w:pPr>
      <w:rPr>
        <w:rFonts w:hint="default"/>
        <w:lang w:val="en-US" w:eastAsia="en-US" w:bidi="ar-SA"/>
      </w:rPr>
    </w:lvl>
    <w:lvl w:ilvl="3">
      <w:start w:val="0"/>
      <w:numFmt w:val="bullet"/>
      <w:lvlText w:val="•"/>
      <w:lvlJc w:val="left"/>
      <w:pPr>
        <w:ind w:left="4088" w:hanging="576"/>
      </w:pPr>
      <w:rPr>
        <w:rFonts w:hint="default"/>
        <w:lang w:val="en-US" w:eastAsia="en-US" w:bidi="ar-SA"/>
      </w:rPr>
    </w:lvl>
    <w:lvl w:ilvl="4">
      <w:start w:val="0"/>
      <w:numFmt w:val="bullet"/>
      <w:lvlText w:val="•"/>
      <w:lvlJc w:val="left"/>
      <w:pPr>
        <w:ind w:left="4944" w:hanging="576"/>
      </w:pPr>
      <w:rPr>
        <w:rFonts w:hint="default"/>
        <w:lang w:val="en-US" w:eastAsia="en-US" w:bidi="ar-SA"/>
      </w:rPr>
    </w:lvl>
    <w:lvl w:ilvl="5">
      <w:start w:val="0"/>
      <w:numFmt w:val="bullet"/>
      <w:lvlText w:val="•"/>
      <w:lvlJc w:val="left"/>
      <w:pPr>
        <w:ind w:left="5800" w:hanging="576"/>
      </w:pPr>
      <w:rPr>
        <w:rFonts w:hint="default"/>
        <w:lang w:val="en-US" w:eastAsia="en-US" w:bidi="ar-SA"/>
      </w:rPr>
    </w:lvl>
    <w:lvl w:ilvl="6">
      <w:start w:val="0"/>
      <w:numFmt w:val="bullet"/>
      <w:lvlText w:val="•"/>
      <w:lvlJc w:val="left"/>
      <w:pPr>
        <w:ind w:left="6656" w:hanging="576"/>
      </w:pPr>
      <w:rPr>
        <w:rFonts w:hint="default"/>
        <w:lang w:val="en-US" w:eastAsia="en-US" w:bidi="ar-SA"/>
      </w:rPr>
    </w:lvl>
    <w:lvl w:ilvl="7">
      <w:start w:val="0"/>
      <w:numFmt w:val="bullet"/>
      <w:lvlText w:val="•"/>
      <w:lvlJc w:val="left"/>
      <w:pPr>
        <w:ind w:left="7512" w:hanging="576"/>
      </w:pPr>
      <w:rPr>
        <w:rFonts w:hint="default"/>
        <w:lang w:val="en-US" w:eastAsia="en-US" w:bidi="ar-SA"/>
      </w:rPr>
    </w:lvl>
    <w:lvl w:ilvl="8">
      <w:start w:val="0"/>
      <w:numFmt w:val="bullet"/>
      <w:lvlText w:val="•"/>
      <w:lvlJc w:val="left"/>
      <w:pPr>
        <w:ind w:left="8368" w:hanging="576"/>
      </w:pPr>
      <w:rPr>
        <w:rFonts w:hint="default"/>
        <w:lang w:val="en-US" w:eastAsia="en-US" w:bidi="ar-SA"/>
      </w:rPr>
    </w:lvl>
  </w:abstractNum>
  <w:abstractNum w:abstractNumId="1">
    <w:nsid w:val="1AA71E1D"/>
    <w:multiLevelType w:val="hybridMultilevel"/>
    <w:tmpl w:val="0B3AFB3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2FF5345"/>
    <w:multiLevelType w:val="hybridMultilevel"/>
    <w:tmpl w:val="84DA34B6"/>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3">
    <w:nsid w:val="282F3BD7"/>
    <w:multiLevelType w:val="hybridMultilevel"/>
    <w:tmpl w:val="0B3AFB3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2EBF066E"/>
    <w:multiLevelType w:val="hybridMultilevel"/>
    <w:tmpl w:val="8F2C2264"/>
    <w:lvl w:ilvl="0">
      <w:start w:val="0"/>
      <w:numFmt w:val="bullet"/>
      <w:lvlText w:val="*"/>
      <w:lvlJc w:val="left"/>
      <w:pPr>
        <w:ind w:left="494" w:hanging="135"/>
      </w:pPr>
      <w:rPr>
        <w:rFonts w:ascii="Franklin Gothic Medium" w:eastAsia="Franklin Gothic Medium" w:hAnsi="Franklin Gothic Medium" w:cs="Franklin Gothic Medium" w:hint="default"/>
        <w:b w:val="0"/>
        <w:bCs w:val="0"/>
        <w:i w:val="0"/>
        <w:iCs w:val="0"/>
        <w:spacing w:val="0"/>
        <w:w w:val="100"/>
        <w:sz w:val="16"/>
        <w:szCs w:val="16"/>
        <w:lang w:val="en-US" w:eastAsia="en-US" w:bidi="ar-SA"/>
      </w:rPr>
    </w:lvl>
    <w:lvl w:ilvl="1">
      <w:start w:val="0"/>
      <w:numFmt w:val="bullet"/>
      <w:lvlText w:val="•"/>
      <w:lvlJc w:val="left"/>
      <w:pPr>
        <w:ind w:left="1818" w:hanging="135"/>
      </w:pPr>
      <w:rPr>
        <w:rFonts w:hint="default"/>
        <w:lang w:val="en-US" w:eastAsia="en-US" w:bidi="ar-SA"/>
      </w:rPr>
    </w:lvl>
    <w:lvl w:ilvl="2">
      <w:start w:val="0"/>
      <w:numFmt w:val="bullet"/>
      <w:lvlText w:val="•"/>
      <w:lvlJc w:val="left"/>
      <w:pPr>
        <w:ind w:left="3136" w:hanging="135"/>
      </w:pPr>
      <w:rPr>
        <w:rFonts w:hint="default"/>
        <w:lang w:val="en-US" w:eastAsia="en-US" w:bidi="ar-SA"/>
      </w:rPr>
    </w:lvl>
    <w:lvl w:ilvl="3">
      <w:start w:val="0"/>
      <w:numFmt w:val="bullet"/>
      <w:lvlText w:val="•"/>
      <w:lvlJc w:val="left"/>
      <w:pPr>
        <w:ind w:left="4454" w:hanging="135"/>
      </w:pPr>
      <w:rPr>
        <w:rFonts w:hint="default"/>
        <w:lang w:val="en-US" w:eastAsia="en-US" w:bidi="ar-SA"/>
      </w:rPr>
    </w:lvl>
    <w:lvl w:ilvl="4">
      <w:start w:val="0"/>
      <w:numFmt w:val="bullet"/>
      <w:lvlText w:val="•"/>
      <w:lvlJc w:val="left"/>
      <w:pPr>
        <w:ind w:left="5772" w:hanging="135"/>
      </w:pPr>
      <w:rPr>
        <w:rFonts w:hint="default"/>
        <w:lang w:val="en-US" w:eastAsia="en-US" w:bidi="ar-SA"/>
      </w:rPr>
    </w:lvl>
    <w:lvl w:ilvl="5">
      <w:start w:val="0"/>
      <w:numFmt w:val="bullet"/>
      <w:lvlText w:val="•"/>
      <w:lvlJc w:val="left"/>
      <w:pPr>
        <w:ind w:left="7090" w:hanging="135"/>
      </w:pPr>
      <w:rPr>
        <w:rFonts w:hint="default"/>
        <w:lang w:val="en-US" w:eastAsia="en-US" w:bidi="ar-SA"/>
      </w:rPr>
    </w:lvl>
    <w:lvl w:ilvl="6">
      <w:start w:val="0"/>
      <w:numFmt w:val="bullet"/>
      <w:lvlText w:val="•"/>
      <w:lvlJc w:val="left"/>
      <w:pPr>
        <w:ind w:left="8408" w:hanging="135"/>
      </w:pPr>
      <w:rPr>
        <w:rFonts w:hint="default"/>
        <w:lang w:val="en-US" w:eastAsia="en-US" w:bidi="ar-SA"/>
      </w:rPr>
    </w:lvl>
    <w:lvl w:ilvl="7">
      <w:start w:val="0"/>
      <w:numFmt w:val="bullet"/>
      <w:lvlText w:val="•"/>
      <w:lvlJc w:val="left"/>
      <w:pPr>
        <w:ind w:left="9726" w:hanging="135"/>
      </w:pPr>
      <w:rPr>
        <w:rFonts w:hint="default"/>
        <w:lang w:val="en-US" w:eastAsia="en-US" w:bidi="ar-SA"/>
      </w:rPr>
    </w:lvl>
    <w:lvl w:ilvl="8">
      <w:start w:val="0"/>
      <w:numFmt w:val="bullet"/>
      <w:lvlText w:val="•"/>
      <w:lvlJc w:val="left"/>
      <w:pPr>
        <w:ind w:left="11044" w:hanging="135"/>
      </w:pPr>
      <w:rPr>
        <w:rFonts w:hint="default"/>
        <w:lang w:val="en-US" w:eastAsia="en-US" w:bidi="ar-SA"/>
      </w:rPr>
    </w:lvl>
  </w:abstractNum>
  <w:abstractNum w:abstractNumId="5">
    <w:nsid w:val="34794C45"/>
    <w:multiLevelType w:val="hybridMultilevel"/>
    <w:tmpl w:val="7CD0A0D6"/>
    <w:lvl w:ilvl="0">
      <w:start w:val="1"/>
      <w:numFmt w:val="decimal"/>
      <w:lvlText w:val="%1."/>
      <w:lvlJc w:val="left"/>
      <w:pPr>
        <w:ind w:left="93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33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6">
    <w:nsid w:val="355776BE"/>
    <w:multiLevelType w:val="hybridMultilevel"/>
    <w:tmpl w:val="0B3AFB3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38637387"/>
    <w:multiLevelType w:val="hybridMultilevel"/>
    <w:tmpl w:val="A3AA1F18"/>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8">
    <w:nsid w:val="3F2C39D7"/>
    <w:multiLevelType w:val="hybridMultilevel"/>
    <w:tmpl w:val="575CC410"/>
    <w:lvl w:ilvl="0">
      <w:start w:val="1"/>
      <w:numFmt w:val="upperLetter"/>
      <w:lvlText w:val="%1."/>
      <w:lvlJc w:val="left"/>
      <w:pPr>
        <w:ind w:left="93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854" w:hanging="576"/>
      </w:pPr>
      <w:rPr>
        <w:rFonts w:hint="default"/>
        <w:lang w:val="en-US" w:eastAsia="en-US" w:bidi="ar-SA"/>
      </w:rPr>
    </w:lvl>
    <w:lvl w:ilvl="2">
      <w:start w:val="0"/>
      <w:numFmt w:val="bullet"/>
      <w:lvlText w:val="•"/>
      <w:lvlJc w:val="left"/>
      <w:pPr>
        <w:ind w:left="2768" w:hanging="576"/>
      </w:pPr>
      <w:rPr>
        <w:rFonts w:hint="default"/>
        <w:lang w:val="en-US" w:eastAsia="en-US" w:bidi="ar-SA"/>
      </w:rPr>
    </w:lvl>
    <w:lvl w:ilvl="3">
      <w:start w:val="0"/>
      <w:numFmt w:val="bullet"/>
      <w:lvlText w:val="•"/>
      <w:lvlJc w:val="left"/>
      <w:pPr>
        <w:ind w:left="3682" w:hanging="576"/>
      </w:pPr>
      <w:rPr>
        <w:rFonts w:hint="default"/>
        <w:lang w:val="en-US" w:eastAsia="en-US" w:bidi="ar-SA"/>
      </w:rPr>
    </w:lvl>
    <w:lvl w:ilvl="4">
      <w:start w:val="0"/>
      <w:numFmt w:val="bullet"/>
      <w:lvlText w:val="•"/>
      <w:lvlJc w:val="left"/>
      <w:pPr>
        <w:ind w:left="4596" w:hanging="576"/>
      </w:pPr>
      <w:rPr>
        <w:rFonts w:hint="default"/>
        <w:lang w:val="en-US" w:eastAsia="en-US" w:bidi="ar-SA"/>
      </w:rPr>
    </w:lvl>
    <w:lvl w:ilvl="5">
      <w:start w:val="0"/>
      <w:numFmt w:val="bullet"/>
      <w:lvlText w:val="•"/>
      <w:lvlJc w:val="left"/>
      <w:pPr>
        <w:ind w:left="5510" w:hanging="576"/>
      </w:pPr>
      <w:rPr>
        <w:rFonts w:hint="default"/>
        <w:lang w:val="en-US" w:eastAsia="en-US" w:bidi="ar-SA"/>
      </w:rPr>
    </w:lvl>
    <w:lvl w:ilvl="6">
      <w:start w:val="0"/>
      <w:numFmt w:val="bullet"/>
      <w:lvlText w:val="•"/>
      <w:lvlJc w:val="left"/>
      <w:pPr>
        <w:ind w:left="6424" w:hanging="576"/>
      </w:pPr>
      <w:rPr>
        <w:rFonts w:hint="default"/>
        <w:lang w:val="en-US" w:eastAsia="en-US" w:bidi="ar-SA"/>
      </w:rPr>
    </w:lvl>
    <w:lvl w:ilvl="7">
      <w:start w:val="0"/>
      <w:numFmt w:val="bullet"/>
      <w:lvlText w:val="•"/>
      <w:lvlJc w:val="left"/>
      <w:pPr>
        <w:ind w:left="7338" w:hanging="576"/>
      </w:pPr>
      <w:rPr>
        <w:rFonts w:hint="default"/>
        <w:lang w:val="en-US" w:eastAsia="en-US" w:bidi="ar-SA"/>
      </w:rPr>
    </w:lvl>
    <w:lvl w:ilvl="8">
      <w:start w:val="0"/>
      <w:numFmt w:val="bullet"/>
      <w:lvlText w:val="•"/>
      <w:lvlJc w:val="left"/>
      <w:pPr>
        <w:ind w:left="8252" w:hanging="576"/>
      </w:pPr>
      <w:rPr>
        <w:rFonts w:hint="default"/>
        <w:lang w:val="en-US" w:eastAsia="en-US" w:bidi="ar-SA"/>
      </w:rPr>
    </w:lvl>
  </w:abstractNum>
  <w:abstractNum w:abstractNumId="9">
    <w:nsid w:val="402E621D"/>
    <w:multiLevelType w:val="hybridMultilevel"/>
    <w:tmpl w:val="0B3AFB3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484D038E"/>
    <w:multiLevelType w:val="hybridMultilevel"/>
    <w:tmpl w:val="3D7C27D6"/>
    <w:lvl w:ilvl="0">
      <w:start w:val="1"/>
      <w:numFmt w:val="upperRoman"/>
      <w:lvlText w:val="%1."/>
      <w:lvlJc w:val="left"/>
      <w:pPr>
        <w:ind w:left="1512" w:hanging="1152"/>
        <w:jc w:val="right"/>
      </w:pPr>
      <w:rPr>
        <w:rFonts w:hint="default"/>
        <w:spacing w:val="0"/>
        <w:w w:val="100"/>
        <w:lang w:val="en-US" w:eastAsia="en-US" w:bidi="ar-SA"/>
      </w:rPr>
    </w:lvl>
    <w:lvl w:ilvl="1">
      <w:start w:val="1"/>
      <w:numFmt w:val="upperLetter"/>
      <w:lvlText w:val="%2."/>
      <w:lvlJc w:val="left"/>
      <w:pPr>
        <w:ind w:left="1567"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1560" w:hanging="576"/>
      </w:pPr>
      <w:rPr>
        <w:rFonts w:hint="default"/>
        <w:lang w:val="en-US" w:eastAsia="en-US" w:bidi="ar-SA"/>
      </w:rPr>
    </w:lvl>
    <w:lvl w:ilvl="3">
      <w:start w:val="0"/>
      <w:numFmt w:val="bullet"/>
      <w:lvlText w:val="•"/>
      <w:lvlJc w:val="left"/>
      <w:pPr>
        <w:ind w:left="2580" w:hanging="576"/>
      </w:pPr>
      <w:rPr>
        <w:rFonts w:hint="default"/>
        <w:lang w:val="en-US" w:eastAsia="en-US" w:bidi="ar-SA"/>
      </w:rPr>
    </w:lvl>
    <w:lvl w:ilvl="4">
      <w:start w:val="0"/>
      <w:numFmt w:val="bullet"/>
      <w:lvlText w:val="•"/>
      <w:lvlJc w:val="left"/>
      <w:pPr>
        <w:ind w:left="360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640" w:hanging="576"/>
      </w:pPr>
      <w:rPr>
        <w:rFonts w:hint="default"/>
        <w:lang w:val="en-US" w:eastAsia="en-US" w:bidi="ar-SA"/>
      </w:rPr>
    </w:lvl>
    <w:lvl w:ilvl="7">
      <w:start w:val="0"/>
      <w:numFmt w:val="bullet"/>
      <w:lvlText w:val="•"/>
      <w:lvlJc w:val="left"/>
      <w:pPr>
        <w:ind w:left="6660" w:hanging="576"/>
      </w:pPr>
      <w:rPr>
        <w:rFonts w:hint="default"/>
        <w:lang w:val="en-US" w:eastAsia="en-US" w:bidi="ar-SA"/>
      </w:rPr>
    </w:lvl>
    <w:lvl w:ilvl="8">
      <w:start w:val="0"/>
      <w:numFmt w:val="bullet"/>
      <w:lvlText w:val="•"/>
      <w:lvlJc w:val="left"/>
      <w:pPr>
        <w:ind w:left="7680" w:hanging="576"/>
      </w:pPr>
      <w:rPr>
        <w:rFonts w:hint="default"/>
        <w:lang w:val="en-US" w:eastAsia="en-US" w:bidi="ar-SA"/>
      </w:rPr>
    </w:lvl>
  </w:abstractNum>
  <w:abstractNum w:abstractNumId="11">
    <w:nsid w:val="49190471"/>
    <w:multiLevelType w:val="hybridMultilevel"/>
    <w:tmpl w:val="024EA996"/>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abstractNum w:abstractNumId="12">
    <w:nsid w:val="4C063857"/>
    <w:multiLevelType w:val="hybridMultilevel"/>
    <w:tmpl w:val="3C643D7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3">
    <w:nsid w:val="4C27304A"/>
    <w:multiLevelType w:val="hybridMultilevel"/>
    <w:tmpl w:val="A8323570"/>
    <w:lvl w:ilvl="0">
      <w:start w:val="1"/>
      <w:numFmt w:val="decimal"/>
      <w:lvlText w:val="%1."/>
      <w:lvlJc w:val="left"/>
      <w:pPr>
        <w:ind w:left="1512" w:hanging="1152"/>
        <w:jc w:val="right"/>
      </w:pPr>
      <w:rPr>
        <w:rFonts w:ascii="Times New Roman" w:eastAsia="Times New Roman" w:hAnsi="Times New Roman" w:cs="Times New Roman" w:hint="default"/>
        <w:b/>
        <w:bCs/>
        <w:i w:val="0"/>
        <w:iCs w:val="0"/>
        <w:color w:val="314161"/>
        <w:spacing w:val="0"/>
        <w:w w:val="100"/>
        <w:sz w:val="24"/>
        <w:szCs w:val="24"/>
        <w:lang w:val="en-US" w:eastAsia="en-US" w:bidi="ar-SA"/>
      </w:rPr>
    </w:lvl>
    <w:lvl w:ilvl="1">
      <w:start w:val="0"/>
      <w:numFmt w:val="bullet"/>
      <w:lvlText w:val="•"/>
      <w:lvlJc w:val="left"/>
      <w:pPr>
        <w:ind w:left="2376" w:hanging="1152"/>
      </w:pPr>
      <w:rPr>
        <w:rFonts w:hint="default"/>
        <w:lang w:val="en-US" w:eastAsia="en-US" w:bidi="ar-SA"/>
      </w:rPr>
    </w:lvl>
    <w:lvl w:ilvl="2">
      <w:start w:val="0"/>
      <w:numFmt w:val="bullet"/>
      <w:lvlText w:val="•"/>
      <w:lvlJc w:val="left"/>
      <w:pPr>
        <w:ind w:left="3232" w:hanging="1152"/>
      </w:pPr>
      <w:rPr>
        <w:rFonts w:hint="default"/>
        <w:lang w:val="en-US" w:eastAsia="en-US" w:bidi="ar-SA"/>
      </w:rPr>
    </w:lvl>
    <w:lvl w:ilvl="3">
      <w:start w:val="0"/>
      <w:numFmt w:val="bullet"/>
      <w:lvlText w:val="•"/>
      <w:lvlJc w:val="left"/>
      <w:pPr>
        <w:ind w:left="4088" w:hanging="1152"/>
      </w:pPr>
      <w:rPr>
        <w:rFonts w:hint="default"/>
        <w:lang w:val="en-US" w:eastAsia="en-US" w:bidi="ar-SA"/>
      </w:rPr>
    </w:lvl>
    <w:lvl w:ilvl="4">
      <w:start w:val="0"/>
      <w:numFmt w:val="bullet"/>
      <w:lvlText w:val="•"/>
      <w:lvlJc w:val="left"/>
      <w:pPr>
        <w:ind w:left="4944" w:hanging="1152"/>
      </w:pPr>
      <w:rPr>
        <w:rFonts w:hint="default"/>
        <w:lang w:val="en-US" w:eastAsia="en-US" w:bidi="ar-SA"/>
      </w:rPr>
    </w:lvl>
    <w:lvl w:ilvl="5">
      <w:start w:val="0"/>
      <w:numFmt w:val="bullet"/>
      <w:lvlText w:val="•"/>
      <w:lvlJc w:val="left"/>
      <w:pPr>
        <w:ind w:left="5800" w:hanging="1152"/>
      </w:pPr>
      <w:rPr>
        <w:rFonts w:hint="default"/>
        <w:lang w:val="en-US" w:eastAsia="en-US" w:bidi="ar-SA"/>
      </w:rPr>
    </w:lvl>
    <w:lvl w:ilvl="6">
      <w:start w:val="0"/>
      <w:numFmt w:val="bullet"/>
      <w:lvlText w:val="•"/>
      <w:lvlJc w:val="left"/>
      <w:pPr>
        <w:ind w:left="6656" w:hanging="1152"/>
      </w:pPr>
      <w:rPr>
        <w:rFonts w:hint="default"/>
        <w:lang w:val="en-US" w:eastAsia="en-US" w:bidi="ar-SA"/>
      </w:rPr>
    </w:lvl>
    <w:lvl w:ilvl="7">
      <w:start w:val="0"/>
      <w:numFmt w:val="bullet"/>
      <w:lvlText w:val="•"/>
      <w:lvlJc w:val="left"/>
      <w:pPr>
        <w:ind w:left="7512" w:hanging="1152"/>
      </w:pPr>
      <w:rPr>
        <w:rFonts w:hint="default"/>
        <w:lang w:val="en-US" w:eastAsia="en-US" w:bidi="ar-SA"/>
      </w:rPr>
    </w:lvl>
    <w:lvl w:ilvl="8">
      <w:start w:val="0"/>
      <w:numFmt w:val="bullet"/>
      <w:lvlText w:val="•"/>
      <w:lvlJc w:val="left"/>
      <w:pPr>
        <w:ind w:left="8368" w:hanging="1152"/>
      </w:pPr>
      <w:rPr>
        <w:rFonts w:hint="default"/>
        <w:lang w:val="en-US" w:eastAsia="en-US" w:bidi="ar-SA"/>
      </w:rPr>
    </w:lvl>
  </w:abstractNum>
  <w:abstractNum w:abstractNumId="14">
    <w:nsid w:val="53D67B4E"/>
    <w:multiLevelType w:val="hybridMultilevel"/>
    <w:tmpl w:val="7898CB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6A32B9"/>
    <w:multiLevelType w:val="hybridMultilevel"/>
    <w:tmpl w:val="06346762"/>
    <w:lvl w:ilvl="0">
      <w:start w:val="1"/>
      <w:numFmt w:val="decimal"/>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6">
    <w:nsid w:val="6E120398"/>
    <w:multiLevelType w:val="hybridMultilevel"/>
    <w:tmpl w:val="27B6DF8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7">
    <w:nsid w:val="7FBD4EA6"/>
    <w:multiLevelType w:val="hybridMultilevel"/>
    <w:tmpl w:val="003C3412"/>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num w:numId="1" w16cid:durableId="4671129">
    <w:abstractNumId w:val="12"/>
  </w:num>
  <w:num w:numId="2" w16cid:durableId="2019505881">
    <w:abstractNumId w:val="16"/>
  </w:num>
  <w:num w:numId="3" w16cid:durableId="157120315">
    <w:abstractNumId w:val="2"/>
  </w:num>
  <w:num w:numId="4" w16cid:durableId="932015600">
    <w:abstractNumId w:val="7"/>
  </w:num>
  <w:num w:numId="5" w16cid:durableId="204946744">
    <w:abstractNumId w:val="17"/>
  </w:num>
  <w:num w:numId="6" w16cid:durableId="573901954">
    <w:abstractNumId w:val="11"/>
  </w:num>
  <w:num w:numId="7" w16cid:durableId="1806311863">
    <w:abstractNumId w:val="4"/>
  </w:num>
  <w:num w:numId="8" w16cid:durableId="775372554">
    <w:abstractNumId w:val="8"/>
  </w:num>
  <w:num w:numId="9" w16cid:durableId="1679959454">
    <w:abstractNumId w:val="13"/>
  </w:num>
  <w:num w:numId="10" w16cid:durableId="657731172">
    <w:abstractNumId w:val="0"/>
  </w:num>
  <w:num w:numId="11" w16cid:durableId="243688051">
    <w:abstractNumId w:val="10"/>
  </w:num>
  <w:num w:numId="12" w16cid:durableId="1724134124">
    <w:abstractNumId w:val="5"/>
  </w:num>
  <w:num w:numId="13" w16cid:durableId="1317147238">
    <w:abstractNumId w:val="15"/>
  </w:num>
  <w:num w:numId="14" w16cid:durableId="1397627423">
    <w:abstractNumId w:val="14"/>
  </w:num>
  <w:num w:numId="15" w16cid:durableId="1874807672">
    <w:abstractNumId w:val="1"/>
  </w:num>
  <w:num w:numId="16" w16cid:durableId="1882010252">
    <w:abstractNumId w:val="3"/>
  </w:num>
  <w:num w:numId="17" w16cid:durableId="472910415">
    <w:abstractNumId w:val="6"/>
  </w:num>
  <w:num w:numId="18" w16cid:durableId="942107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92"/>
    <w:rsid w:val="00035B07"/>
    <w:rsid w:val="00052FCF"/>
    <w:rsid w:val="000573BD"/>
    <w:rsid w:val="00065D05"/>
    <w:rsid w:val="00095DBB"/>
    <w:rsid w:val="0009675F"/>
    <w:rsid w:val="00096B87"/>
    <w:rsid w:val="000D2956"/>
    <w:rsid w:val="0011496C"/>
    <w:rsid w:val="00150E64"/>
    <w:rsid w:val="00150FAF"/>
    <w:rsid w:val="00154E38"/>
    <w:rsid w:val="00163008"/>
    <w:rsid w:val="00164BD2"/>
    <w:rsid w:val="00192654"/>
    <w:rsid w:val="001B31FC"/>
    <w:rsid w:val="001B7DE2"/>
    <w:rsid w:val="002115E2"/>
    <w:rsid w:val="002141E1"/>
    <w:rsid w:val="002565EE"/>
    <w:rsid w:val="00267FEC"/>
    <w:rsid w:val="0027470A"/>
    <w:rsid w:val="0028333D"/>
    <w:rsid w:val="002C0D0B"/>
    <w:rsid w:val="002D06D2"/>
    <w:rsid w:val="002F6EEC"/>
    <w:rsid w:val="00311586"/>
    <w:rsid w:val="0038239B"/>
    <w:rsid w:val="00382592"/>
    <w:rsid w:val="003A2932"/>
    <w:rsid w:val="003D0E06"/>
    <w:rsid w:val="00402CD7"/>
    <w:rsid w:val="00454669"/>
    <w:rsid w:val="00454AFE"/>
    <w:rsid w:val="004746AC"/>
    <w:rsid w:val="004B3884"/>
    <w:rsid w:val="004B670E"/>
    <w:rsid w:val="004C40A3"/>
    <w:rsid w:val="00515016"/>
    <w:rsid w:val="00541F6E"/>
    <w:rsid w:val="00563E50"/>
    <w:rsid w:val="00572701"/>
    <w:rsid w:val="005859E0"/>
    <w:rsid w:val="005D6D5D"/>
    <w:rsid w:val="006054A7"/>
    <w:rsid w:val="00611017"/>
    <w:rsid w:val="006218DD"/>
    <w:rsid w:val="00622281"/>
    <w:rsid w:val="00630149"/>
    <w:rsid w:val="00642B45"/>
    <w:rsid w:val="006930CE"/>
    <w:rsid w:val="006977E4"/>
    <w:rsid w:val="006D08F4"/>
    <w:rsid w:val="006E3BF4"/>
    <w:rsid w:val="0071419B"/>
    <w:rsid w:val="00773DDB"/>
    <w:rsid w:val="00775E15"/>
    <w:rsid w:val="00776059"/>
    <w:rsid w:val="007A32B1"/>
    <w:rsid w:val="007C17E2"/>
    <w:rsid w:val="00805511"/>
    <w:rsid w:val="00833B52"/>
    <w:rsid w:val="008511DB"/>
    <w:rsid w:val="00855CE9"/>
    <w:rsid w:val="00867BEC"/>
    <w:rsid w:val="008B1ED2"/>
    <w:rsid w:val="008B5B0D"/>
    <w:rsid w:val="008D008B"/>
    <w:rsid w:val="008E3140"/>
    <w:rsid w:val="0090446C"/>
    <w:rsid w:val="00924FC6"/>
    <w:rsid w:val="009266E9"/>
    <w:rsid w:val="009342BE"/>
    <w:rsid w:val="00941406"/>
    <w:rsid w:val="009B508D"/>
    <w:rsid w:val="009F3C37"/>
    <w:rsid w:val="00A00EBB"/>
    <w:rsid w:val="00A070B5"/>
    <w:rsid w:val="00A10ACE"/>
    <w:rsid w:val="00A66824"/>
    <w:rsid w:val="00AA7AE2"/>
    <w:rsid w:val="00AE2E50"/>
    <w:rsid w:val="00AF6FD0"/>
    <w:rsid w:val="00B230A1"/>
    <w:rsid w:val="00B347E0"/>
    <w:rsid w:val="00BD696F"/>
    <w:rsid w:val="00BE5940"/>
    <w:rsid w:val="00C067F3"/>
    <w:rsid w:val="00C07787"/>
    <w:rsid w:val="00C32FD7"/>
    <w:rsid w:val="00C81FC7"/>
    <w:rsid w:val="00CB067C"/>
    <w:rsid w:val="00CC015C"/>
    <w:rsid w:val="00CD5C73"/>
    <w:rsid w:val="00CE2499"/>
    <w:rsid w:val="00CE5C2E"/>
    <w:rsid w:val="00CF4F7D"/>
    <w:rsid w:val="00D36BB7"/>
    <w:rsid w:val="00D45BE4"/>
    <w:rsid w:val="00D54080"/>
    <w:rsid w:val="00DB4831"/>
    <w:rsid w:val="00DF4903"/>
    <w:rsid w:val="00E00A29"/>
    <w:rsid w:val="00E36E23"/>
    <w:rsid w:val="00EA64DF"/>
    <w:rsid w:val="00F0321D"/>
    <w:rsid w:val="00F07C41"/>
    <w:rsid w:val="00F12119"/>
    <w:rsid w:val="00F82CC6"/>
    <w:rsid w:val="00FA7390"/>
    <w:rsid w:val="046DB921"/>
    <w:rsid w:val="0B34C1F7"/>
    <w:rsid w:val="0F944D63"/>
    <w:rsid w:val="7866C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0C448"/>
  <w15:docId w15:val="{5BA94EE0-9CDE-4E66-877C-70523012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2" w:hanging="1152"/>
      <w:outlineLvl w:val="0"/>
    </w:pPr>
    <w:rPr>
      <w:b/>
      <w:bCs/>
      <w:sz w:val="28"/>
      <w:szCs w:val="28"/>
    </w:rPr>
  </w:style>
  <w:style w:type="paragraph" w:styleId="Heading2">
    <w:name w:val="heading 2"/>
    <w:basedOn w:val="Normal"/>
    <w:uiPriority w:val="9"/>
    <w:unhideWhenUsed/>
    <w:qFormat/>
    <w:pPr>
      <w:ind w:left="1152" w:hanging="1152"/>
      <w:outlineLvl w:val="1"/>
    </w:pPr>
    <w:rPr>
      <w:b/>
      <w:bCs/>
      <w:sz w:val="24"/>
      <w:szCs w:val="24"/>
    </w:rPr>
  </w:style>
  <w:style w:type="paragraph" w:styleId="Heading3">
    <w:name w:val="heading 3"/>
    <w:basedOn w:val="Normal"/>
    <w:uiPriority w:val="9"/>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2" w:hanging="576"/>
    </w:pPr>
  </w:style>
  <w:style w:type="paragraph" w:customStyle="1" w:styleId="TableParagraph">
    <w:name w:val="Table Paragraph"/>
    <w:basedOn w:val="Normal"/>
    <w:uiPriority w:val="1"/>
    <w:qFormat/>
    <w:pPr>
      <w:spacing w:before="13" w:line="206" w:lineRule="exact"/>
      <w:jc w:val="right"/>
    </w:pPr>
    <w:rPr>
      <w:rFonts w:ascii="Franklin Gothic Medium" w:eastAsia="Franklin Gothic Medium" w:hAnsi="Franklin Gothic Medium" w:cs="Franklin Gothic Medium"/>
    </w:rPr>
  </w:style>
  <w:style w:type="paragraph" w:styleId="Title">
    <w:name w:val="Title"/>
    <w:basedOn w:val="Normal"/>
    <w:next w:val="Normal"/>
    <w:link w:val="TitleChar"/>
    <w:uiPriority w:val="10"/>
    <w:qFormat/>
    <w:rsid w:val="007A32B1"/>
    <w:pPr>
      <w:contextualSpacing/>
    </w:pPr>
    <w:rPr>
      <w:rFonts w:asciiTheme="majorHAnsi" w:eastAsiaTheme="majorEastAsia" w:hAnsiTheme="majorHAnsi" w:cstheme="majorBidi"/>
      <w:spacing w:val="-10"/>
      <w:kern w:val="28"/>
      <w:sz w:val="56"/>
      <w:szCs w:val="56"/>
      <w:lang w:bidi="en-US"/>
    </w:rPr>
  </w:style>
  <w:style w:type="character" w:customStyle="1" w:styleId="TitleChar">
    <w:name w:val="Title Char"/>
    <w:basedOn w:val="DefaultParagraphFont"/>
    <w:link w:val="Title"/>
    <w:uiPriority w:val="10"/>
    <w:rsid w:val="007A32B1"/>
    <w:rPr>
      <w:rFonts w:asciiTheme="majorHAnsi" w:eastAsiaTheme="majorEastAsia" w:hAnsiTheme="majorHAnsi" w:cstheme="majorBidi"/>
      <w:spacing w:val="-10"/>
      <w:kern w:val="28"/>
      <w:sz w:val="56"/>
      <w:szCs w:val="56"/>
      <w:lang w:bidi="en-US"/>
    </w:rPr>
  </w:style>
  <w:style w:type="paragraph" w:styleId="Header">
    <w:name w:val="header"/>
    <w:basedOn w:val="Normal"/>
    <w:link w:val="HeaderChar"/>
    <w:uiPriority w:val="99"/>
    <w:unhideWhenUsed/>
    <w:rsid w:val="003A2932"/>
    <w:pPr>
      <w:tabs>
        <w:tab w:val="center" w:pos="4680"/>
        <w:tab w:val="right" w:pos="9360"/>
      </w:tabs>
    </w:pPr>
  </w:style>
  <w:style w:type="character" w:customStyle="1" w:styleId="HeaderChar">
    <w:name w:val="Header Char"/>
    <w:basedOn w:val="DefaultParagraphFont"/>
    <w:link w:val="Header"/>
    <w:uiPriority w:val="99"/>
    <w:rsid w:val="003A2932"/>
    <w:rPr>
      <w:rFonts w:ascii="Times New Roman" w:eastAsia="Times New Roman" w:hAnsi="Times New Roman" w:cs="Times New Roman"/>
    </w:rPr>
  </w:style>
  <w:style w:type="paragraph" w:styleId="Footer">
    <w:name w:val="footer"/>
    <w:basedOn w:val="Normal"/>
    <w:link w:val="FooterChar"/>
    <w:uiPriority w:val="99"/>
    <w:unhideWhenUsed/>
    <w:rsid w:val="003A2932"/>
    <w:pPr>
      <w:tabs>
        <w:tab w:val="center" w:pos="4680"/>
        <w:tab w:val="right" w:pos="9360"/>
      </w:tabs>
    </w:pPr>
  </w:style>
  <w:style w:type="character" w:customStyle="1" w:styleId="FooterChar">
    <w:name w:val="Footer Char"/>
    <w:basedOn w:val="DefaultParagraphFont"/>
    <w:link w:val="Footer"/>
    <w:uiPriority w:val="99"/>
    <w:rsid w:val="003A2932"/>
    <w:rPr>
      <w:rFonts w:ascii="Times New Roman" w:eastAsia="Times New Roman" w:hAnsi="Times New Roman" w:cs="Times New Roman"/>
    </w:rPr>
  </w:style>
  <w:style w:type="paragraph" w:styleId="Revision">
    <w:name w:val="Revision"/>
    <w:hidden/>
    <w:uiPriority w:val="99"/>
    <w:semiHidden/>
    <w:rsid w:val="00CF4F7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54A7"/>
    <w:rPr>
      <w:sz w:val="16"/>
      <w:szCs w:val="16"/>
    </w:rPr>
  </w:style>
  <w:style w:type="paragraph" w:styleId="CommentText">
    <w:name w:val="annotation text"/>
    <w:basedOn w:val="Normal"/>
    <w:link w:val="CommentTextChar"/>
    <w:uiPriority w:val="99"/>
    <w:unhideWhenUsed/>
    <w:rsid w:val="006054A7"/>
    <w:rPr>
      <w:sz w:val="20"/>
      <w:szCs w:val="20"/>
    </w:rPr>
  </w:style>
  <w:style w:type="character" w:customStyle="1" w:styleId="CommentTextChar">
    <w:name w:val="Comment Text Char"/>
    <w:basedOn w:val="DefaultParagraphFont"/>
    <w:link w:val="CommentText"/>
    <w:uiPriority w:val="99"/>
    <w:rsid w:val="006054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4A7"/>
    <w:rPr>
      <w:b/>
      <w:bCs/>
    </w:rPr>
  </w:style>
  <w:style w:type="character" w:customStyle="1" w:styleId="CommentSubjectChar">
    <w:name w:val="Comment Subject Char"/>
    <w:basedOn w:val="CommentTextChar"/>
    <w:link w:val="CommentSubject"/>
    <w:uiPriority w:val="99"/>
    <w:semiHidden/>
    <w:rsid w:val="006054A7"/>
    <w:rPr>
      <w:rFonts w:ascii="Times New Roman" w:eastAsia="Times New Roman" w:hAnsi="Times New Roman" w:cs="Times New Roman"/>
      <w:b/>
      <w:bCs/>
      <w:sz w:val="20"/>
      <w:szCs w:val="20"/>
    </w:rPr>
  </w:style>
  <w:style w:type="character" w:styleId="PageNumber">
    <w:name w:val="page number"/>
    <w:basedOn w:val="DefaultParagraphFont"/>
    <w:rsid w:val="00311586"/>
  </w:style>
  <w:style w:type="paragraph" w:customStyle="1" w:styleId="SL-FlLftSgl">
    <w:name w:val="SL-Fl Lft Sgl"/>
    <w:rsid w:val="002115E2"/>
    <w:pPr>
      <w:widowControl/>
      <w:autoSpaceDE/>
      <w:autoSpaceDN/>
      <w:spacing w:line="240" w:lineRule="atLeast"/>
      <w:jc w:val="both"/>
    </w:pPr>
    <w:rPr>
      <w:rFonts w:ascii="Times New Roman" w:eastAsia="Times New Roman" w:hAnsi="Times New Roman" w:cs="Times New Roman"/>
      <w:szCs w:val="20"/>
    </w:rPr>
  </w:style>
  <w:style w:type="paragraph" w:customStyle="1" w:styleId="L1-FlLSp12">
    <w:name w:val="L1-FlL Sp&amp;1/2"/>
    <w:basedOn w:val="Normal"/>
    <w:rsid w:val="002115E2"/>
    <w:pPr>
      <w:widowControl/>
      <w:tabs>
        <w:tab w:val="left" w:pos="1152"/>
      </w:tabs>
      <w:autoSpaceDE/>
      <w:autoSpaceDN/>
      <w:spacing w:line="360" w:lineRule="atLeast"/>
    </w:pPr>
    <w:rPr>
      <w:rFonts w:ascii="Garamond" w:hAnsi="Garamond"/>
      <w:sz w:val="24"/>
      <w:szCs w:val="20"/>
    </w:rPr>
  </w:style>
  <w:style w:type="paragraph" w:customStyle="1" w:styleId="N1-1stBullet">
    <w:name w:val="N1-1st Bullet"/>
    <w:basedOn w:val="Normal"/>
    <w:rsid w:val="00B347E0"/>
    <w:pPr>
      <w:widowControl/>
      <w:tabs>
        <w:tab w:val="left" w:pos="1152"/>
      </w:tabs>
      <w:autoSpaceDE/>
      <w:autoSpaceDN/>
      <w:spacing w:after="240" w:line="240" w:lineRule="atLeast"/>
      <w:ind w:left="1152" w:hanging="576"/>
      <w:jc w:val="both"/>
    </w:pPr>
    <w:rPr>
      <w:szCs w:val="20"/>
    </w:rPr>
  </w:style>
  <w:style w:type="paragraph" w:styleId="FootnoteText">
    <w:name w:val="footnote text"/>
    <w:aliases w:val="F1"/>
    <w:link w:val="FootnoteTextChar"/>
    <w:semiHidden/>
    <w:rsid w:val="00B347E0"/>
    <w:pPr>
      <w:widowControl/>
      <w:tabs>
        <w:tab w:val="left" w:pos="120"/>
      </w:tabs>
      <w:autoSpaceDE/>
      <w:autoSpaceDN/>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B347E0"/>
    <w:rPr>
      <w:rFonts w:ascii="Times New Roman" w:eastAsia="Times New Roman" w:hAnsi="Times New Roman" w:cs="Times New Roman"/>
      <w:sz w:val="16"/>
      <w:szCs w:val="20"/>
    </w:rPr>
  </w:style>
  <w:style w:type="paragraph" w:customStyle="1" w:styleId="SH-SglSpHead">
    <w:name w:val="SH-Sgl Sp Head"/>
    <w:rsid w:val="00B347E0"/>
    <w:pPr>
      <w:keepNext/>
      <w:widowControl/>
      <w:tabs>
        <w:tab w:val="left" w:pos="576"/>
      </w:tabs>
      <w:autoSpaceDE/>
      <w:autoSpaceDN/>
      <w:spacing w:line="240" w:lineRule="atLeast"/>
      <w:ind w:left="576" w:hanging="576"/>
    </w:pPr>
    <w:rPr>
      <w:rFonts w:ascii="Times New Roman" w:eastAsia="Times New Roman" w:hAnsi="Times New Roman" w:cs="Times New Roman"/>
      <w:b/>
      <w:szCs w:val="20"/>
    </w:rPr>
  </w:style>
  <w:style w:type="paragraph" w:customStyle="1" w:styleId="SP-SglSpPara">
    <w:name w:val="SP-Sgl Sp Para"/>
    <w:rsid w:val="00B347E0"/>
    <w:pPr>
      <w:widowControl/>
      <w:tabs>
        <w:tab w:val="left" w:pos="576"/>
      </w:tabs>
      <w:autoSpaceDE/>
      <w:autoSpaceDN/>
      <w:spacing w:line="240" w:lineRule="atLeast"/>
      <w:ind w:firstLine="576"/>
      <w:jc w:val="both"/>
    </w:pPr>
    <w:rPr>
      <w:rFonts w:ascii="Times New Roman" w:eastAsia="Times New Roman" w:hAnsi="Times New Roman" w:cs="Times New Roman"/>
      <w:szCs w:val="20"/>
    </w:rPr>
  </w:style>
  <w:style w:type="paragraph" w:customStyle="1" w:styleId="N3-3rdBullet">
    <w:name w:val="N3-3rd Bullet"/>
    <w:basedOn w:val="Normal"/>
    <w:rsid w:val="00B347E0"/>
    <w:pPr>
      <w:widowControl/>
      <w:tabs>
        <w:tab w:val="left" w:pos="2304"/>
      </w:tabs>
      <w:autoSpaceDE/>
      <w:autoSpaceDN/>
      <w:spacing w:after="240" w:line="240" w:lineRule="atLeast"/>
      <w:ind w:left="2304" w:hanging="576"/>
      <w:jc w:val="both"/>
    </w:pPr>
    <w:rPr>
      <w:szCs w:val="20"/>
    </w:rPr>
  </w:style>
  <w:style w:type="paragraph" w:customStyle="1" w:styleId="TT-TableTitle">
    <w:name w:val="TT-Table Title"/>
    <w:link w:val="TT-TableTitleChar"/>
    <w:rsid w:val="00B347E0"/>
    <w:pPr>
      <w:widowControl/>
      <w:tabs>
        <w:tab w:val="left" w:pos="1152"/>
      </w:tabs>
      <w:autoSpaceDE/>
      <w:autoSpaceDN/>
      <w:spacing w:line="240" w:lineRule="atLeast"/>
      <w:ind w:left="1152" w:hanging="1152"/>
    </w:pPr>
    <w:rPr>
      <w:rFonts w:ascii="Times New Roman" w:eastAsia="Times New Roman" w:hAnsi="Times New Roman" w:cs="Times New Roman"/>
      <w:szCs w:val="20"/>
    </w:rPr>
  </w:style>
  <w:style w:type="character" w:styleId="FootnoteReference">
    <w:name w:val="footnote reference"/>
    <w:basedOn w:val="DefaultParagraphFont"/>
    <w:semiHidden/>
    <w:rsid w:val="00B347E0"/>
    <w:rPr>
      <w:vertAlign w:val="superscript"/>
    </w:rPr>
  </w:style>
  <w:style w:type="paragraph" w:customStyle="1" w:styleId="TH-TableHeading">
    <w:name w:val="TH-Table Heading"/>
    <w:basedOn w:val="Heading1"/>
    <w:rsid w:val="00B347E0"/>
    <w:pPr>
      <w:keepNext/>
      <w:widowControl/>
      <w:autoSpaceDE/>
      <w:autoSpaceDN/>
      <w:spacing w:line="240" w:lineRule="atLeast"/>
      <w:ind w:left="0" w:firstLine="0"/>
      <w:jc w:val="center"/>
    </w:pPr>
    <w:rPr>
      <w:rFonts w:ascii="Franklin Gothic Medium" w:hAnsi="Franklin Gothic Medium"/>
      <w:bCs w:val="0"/>
      <w:sz w:val="20"/>
      <w:szCs w:val="20"/>
    </w:rPr>
  </w:style>
  <w:style w:type="character" w:customStyle="1" w:styleId="TT-TableTitleChar">
    <w:name w:val="TT-Table Title Char"/>
    <w:basedOn w:val="DefaultParagraphFont"/>
    <w:link w:val="TT-TableTitle"/>
    <w:rsid w:val="00B347E0"/>
    <w:rPr>
      <w:rFonts w:ascii="Times New Roman" w:eastAsia="Times New Roman" w:hAnsi="Times New Roman" w:cs="Times New Roman"/>
      <w:szCs w:val="20"/>
    </w:rPr>
  </w:style>
  <w:style w:type="character" w:styleId="Hyperlink">
    <w:name w:val="Hyperlink"/>
    <w:basedOn w:val="DefaultParagraphFont"/>
    <w:uiPriority w:val="99"/>
    <w:unhideWhenUsed/>
    <w:rsid w:val="00B347E0"/>
    <w:rPr>
      <w:color w:val="0000FF" w:themeColor="hyperlink"/>
      <w:u w:val="single"/>
    </w:rPr>
  </w:style>
  <w:style w:type="table" w:styleId="GridTableLight">
    <w:name w:val="Grid Table Light"/>
    <w:basedOn w:val="TableNormal"/>
    <w:uiPriority w:val="40"/>
    <w:rsid w:val="00B347E0"/>
    <w:pPr>
      <w:widowControl/>
      <w:autoSpaceDE/>
      <w:autoSpaceDN/>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0573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s://nces.ed.gov/nationsreportcard/tdw/sample_design/2022/sampling_of_public_schools_for_the_2022_long_term_trend_assessmen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BBF24-86CF-4C3E-A13A-9C2AC52D37D8}">
  <ds:schemaRefs>
    <ds:schemaRef ds:uri="http://schemas.openxmlformats.org/officeDocument/2006/bibliography"/>
  </ds:schemaRefs>
</ds:datastoreItem>
</file>

<file path=customXml/itemProps2.xml><?xml version="1.0" encoding="utf-8"?>
<ds:datastoreItem xmlns:ds="http://schemas.openxmlformats.org/officeDocument/2006/customXml" ds:itemID="{4E4314F6-4544-4398-8439-35E07C204D7B}">
  <ds:schemaRefs/>
</ds:datastoreItem>
</file>

<file path=customXml/itemProps3.xml><?xml version="1.0" encoding="utf-8"?>
<ds:datastoreItem xmlns:ds="http://schemas.openxmlformats.org/officeDocument/2006/customXml" ds:itemID="{91CA2D98-27FC-435D-82CF-007101283F4C}">
  <ds:schemaRefs>
    <ds:schemaRef ds:uri="http://schemas.microsoft.com/office/2006/metadata/properties"/>
    <ds:schemaRef ds:uri="http://schemas.microsoft.com/office/infopath/2007/PartnerControls"/>
    <ds:schemaRef ds:uri="d4b718a4-0e8e-43b9-957c-e89adf136a3a"/>
    <ds:schemaRef ds:uri="http://schemas.microsoft.com/sharepoint/v3"/>
    <ds:schemaRef ds:uri="fc4a1aeb-ec7e-41bb-8587-cbd65bd9ac16"/>
  </ds:schemaRefs>
</ds:datastoreItem>
</file>

<file path=customXml/itemProps4.xml><?xml version="1.0" encoding="utf-8"?>
<ds:datastoreItem xmlns:ds="http://schemas.openxmlformats.org/officeDocument/2006/customXml" ds:itemID="{D340FA3E-8085-4A44-973B-8D56DDF36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3121</Words>
  <Characters>16295</Characters>
  <Application>Microsoft Office Word</Application>
  <DocSecurity>0</DocSecurity>
  <Lines>428</Lines>
  <Paragraphs>213</Paragraphs>
  <ScaleCrop>false</ScaleCrop>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Sibley, Courtney</cp:lastModifiedBy>
  <cp:revision>31</cp:revision>
  <dcterms:created xsi:type="dcterms:W3CDTF">2025-08-28T02:29:00Z</dcterms:created>
  <dcterms:modified xsi:type="dcterms:W3CDTF">2026-07-10T19:25:00Z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Created">
    <vt:filetime>2025-07-21T00:00:00Z</vt:filetime>
  </property>
  <property fmtid="{D5CDD505-2E9C-101B-9397-08002B2CF9AE}" pid="5" name="Creator">
    <vt:lpwstr>Microsoft® Word for Microsoft 365</vt:lpwstr>
  </property>
  <property fmtid="{D5CDD505-2E9C-101B-9397-08002B2CF9AE}" pid="6" name="docLang">
    <vt:lpwstr>en</vt:lpwstr>
  </property>
  <property fmtid="{D5CDD505-2E9C-101B-9397-08002B2CF9AE}" pid="7" name="LastSaved">
    <vt:filetime>2025-08-27T00:00:00Z</vt:filetime>
  </property>
  <property fmtid="{D5CDD505-2E9C-101B-9397-08002B2CF9AE}" pid="8" name="MediaServiceImageTags">
    <vt:lpwstr/>
  </property>
  <property fmtid="{D5CDD505-2E9C-101B-9397-08002B2CF9AE}" pid="9" name="Order">
    <vt:r8>816800</vt:r8>
  </property>
  <property fmtid="{D5CDD505-2E9C-101B-9397-08002B2CF9AE}" pid="10" name="Producer">
    <vt:lpwstr>Microsoft® Word for Microsoft 365</vt:lpwstr>
  </property>
  <property fmtid="{D5CDD505-2E9C-101B-9397-08002B2CF9AE}" pid="11" name="TriggerFlowInfo">
    <vt:lpwstr/>
  </property>
  <property fmtid="{D5CDD505-2E9C-101B-9397-08002B2CF9AE}" pid="12" name="_ExtendedDescription">
    <vt:lpwstr/>
  </property>
</Properties>
</file>