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E214B" w:rsidP="00BD0F89" w14:paraId="0DE46580" w14:textId="0C58A6B0">
      <w:pPr>
        <w:spacing w:after="0" w:line="240" w:lineRule="auto"/>
        <w:jc w:val="center"/>
        <w:rPr>
          <w:rFonts w:ascii="Times New Roman" w:hAnsi="Times New Roman"/>
          <w:b/>
          <w:bCs/>
          <w:sz w:val="26"/>
          <w:szCs w:val="26"/>
        </w:rPr>
      </w:pPr>
    </w:p>
    <w:p w:rsidR="009C7F55" w:rsidRPr="00FB4D45" w:rsidP="00BD0F89" w14:paraId="17D3E202" w14:textId="211C598A">
      <w:pPr>
        <w:spacing w:after="0" w:line="240" w:lineRule="auto"/>
        <w:jc w:val="center"/>
        <w:rPr>
          <w:rFonts w:ascii="Times New Roman" w:hAnsi="Times New Roman"/>
          <w:b/>
          <w:bCs/>
          <w:sz w:val="26"/>
          <w:szCs w:val="26"/>
        </w:rPr>
      </w:pPr>
      <w:r w:rsidRPr="00FB4D45">
        <w:rPr>
          <w:rFonts w:ascii="Times New Roman" w:hAnsi="Times New Roman"/>
          <w:b/>
          <w:bCs/>
          <w:sz w:val="26"/>
          <w:szCs w:val="26"/>
        </w:rPr>
        <w:t>Supporting Statement</w:t>
      </w:r>
      <w:r w:rsidRPr="00FB4D45" w:rsidR="002953E1">
        <w:rPr>
          <w:rFonts w:ascii="Times New Roman" w:hAnsi="Times New Roman"/>
          <w:b/>
          <w:bCs/>
          <w:sz w:val="26"/>
          <w:szCs w:val="26"/>
        </w:rPr>
        <w:t xml:space="preserve"> for</w:t>
      </w:r>
    </w:p>
    <w:p w:rsidR="009D3942" w:rsidRPr="0073506C" w:rsidP="00BD0F89" w14:paraId="21AA4489" w14:textId="57A3C704">
      <w:pPr>
        <w:spacing w:after="0" w:line="240" w:lineRule="auto"/>
        <w:jc w:val="center"/>
        <w:rPr>
          <w:rFonts w:ascii="Times New Roman" w:hAnsi="Times New Roman"/>
          <w:b/>
          <w:sz w:val="26"/>
          <w:szCs w:val="26"/>
        </w:rPr>
      </w:pPr>
      <w:r w:rsidRPr="0073506C">
        <w:rPr>
          <w:rFonts w:ascii="Times New Roman" w:hAnsi="Times New Roman"/>
          <w:b/>
          <w:sz w:val="26"/>
          <w:szCs w:val="26"/>
        </w:rPr>
        <w:t>FERC Form No. 3-Q</w:t>
      </w:r>
      <w:r w:rsidR="00993D5C">
        <w:rPr>
          <w:rFonts w:ascii="Times New Roman" w:hAnsi="Times New Roman"/>
          <w:b/>
          <w:sz w:val="26"/>
          <w:szCs w:val="26"/>
        </w:rPr>
        <w:t xml:space="preserve"> </w:t>
      </w:r>
      <w:r w:rsidR="00DF0BBE">
        <w:rPr>
          <w:rFonts w:ascii="Times New Roman" w:hAnsi="Times New Roman"/>
          <w:b/>
          <w:sz w:val="26"/>
          <w:szCs w:val="26"/>
        </w:rPr>
        <w:t xml:space="preserve">as </w:t>
      </w:r>
      <w:r w:rsidR="00993D5C">
        <w:rPr>
          <w:rFonts w:ascii="Times New Roman" w:hAnsi="Times New Roman"/>
          <w:b/>
          <w:sz w:val="26"/>
          <w:szCs w:val="26"/>
        </w:rPr>
        <w:t>proposed</w:t>
      </w:r>
      <w:r w:rsidR="00DF0BBE">
        <w:rPr>
          <w:rFonts w:ascii="Times New Roman" w:hAnsi="Times New Roman"/>
          <w:b/>
          <w:sz w:val="26"/>
          <w:szCs w:val="26"/>
        </w:rPr>
        <w:t xml:space="preserve"> by </w:t>
      </w:r>
      <w:r w:rsidRPr="00AD49BE" w:rsidR="00DF0BBE">
        <w:rPr>
          <w:rFonts w:ascii="Times New Roman" w:hAnsi="Times New Roman"/>
          <w:b/>
          <w:sz w:val="26"/>
          <w:szCs w:val="26"/>
        </w:rPr>
        <w:t>RM2</w:t>
      </w:r>
      <w:r w:rsidRPr="00AD49BE" w:rsidR="00F022CD">
        <w:rPr>
          <w:rFonts w:ascii="Times New Roman" w:hAnsi="Times New Roman"/>
          <w:b/>
          <w:sz w:val="26"/>
          <w:szCs w:val="26"/>
        </w:rPr>
        <w:t>6</w:t>
      </w:r>
      <w:r w:rsidRPr="00AD49BE" w:rsidR="00DF0BBE">
        <w:rPr>
          <w:rFonts w:ascii="Times New Roman" w:hAnsi="Times New Roman"/>
          <w:b/>
          <w:sz w:val="26"/>
          <w:szCs w:val="26"/>
        </w:rPr>
        <w:t>-</w:t>
      </w:r>
      <w:r w:rsidRPr="00AD49BE" w:rsidR="00D760D2">
        <w:rPr>
          <w:rFonts w:ascii="Times New Roman" w:hAnsi="Times New Roman"/>
          <w:b/>
          <w:sz w:val="26"/>
          <w:szCs w:val="26"/>
        </w:rPr>
        <w:t>12</w:t>
      </w:r>
      <w:r w:rsidRPr="00AD49BE" w:rsidR="00DF0BBE">
        <w:rPr>
          <w:rFonts w:ascii="Times New Roman" w:hAnsi="Times New Roman"/>
          <w:b/>
          <w:sz w:val="26"/>
          <w:szCs w:val="26"/>
        </w:rPr>
        <w:t>-000</w:t>
      </w:r>
    </w:p>
    <w:p w:rsidR="009D3942" w:rsidRPr="0073506C" w:rsidP="00BD0F89" w14:paraId="1C13F22C" w14:textId="77777777">
      <w:pPr>
        <w:spacing w:after="0" w:line="240" w:lineRule="auto"/>
        <w:jc w:val="center"/>
        <w:rPr>
          <w:rFonts w:ascii="Times New Roman" w:hAnsi="Times New Roman"/>
          <w:b/>
          <w:sz w:val="26"/>
          <w:szCs w:val="26"/>
        </w:rPr>
      </w:pPr>
    </w:p>
    <w:p w:rsidR="0023006B" w:rsidP="00A5355F" w14:paraId="0EFB6998" w14:textId="0AAB58AA">
      <w:pPr>
        <w:spacing w:after="0" w:line="240" w:lineRule="auto"/>
        <w:rPr>
          <w:rFonts w:ascii="Times New Roman" w:hAnsi="Times New Roman"/>
          <w:iCs/>
          <w:sz w:val="26"/>
          <w:szCs w:val="26"/>
        </w:rPr>
      </w:pPr>
      <w:r w:rsidRPr="0073506C">
        <w:rPr>
          <w:rFonts w:ascii="Times New Roman" w:hAnsi="Times New Roman"/>
          <w:sz w:val="26"/>
          <w:szCs w:val="26"/>
        </w:rPr>
        <w:t>The Federal Energy Regulatory Commission (</w:t>
      </w:r>
      <w:r w:rsidRPr="0073506C" w:rsidR="00D13613">
        <w:rPr>
          <w:rFonts w:ascii="Times New Roman" w:hAnsi="Times New Roman"/>
          <w:sz w:val="26"/>
          <w:szCs w:val="26"/>
        </w:rPr>
        <w:t xml:space="preserve">Commission or </w:t>
      </w:r>
      <w:r w:rsidRPr="0073506C">
        <w:rPr>
          <w:rFonts w:ascii="Times New Roman" w:hAnsi="Times New Roman"/>
          <w:sz w:val="26"/>
          <w:szCs w:val="26"/>
        </w:rPr>
        <w:t xml:space="preserve">FERC) requests </w:t>
      </w:r>
      <w:r w:rsidR="004A25C1">
        <w:rPr>
          <w:rFonts w:ascii="Times New Roman" w:hAnsi="Times New Roman"/>
          <w:sz w:val="26"/>
          <w:szCs w:val="26"/>
        </w:rPr>
        <w:t xml:space="preserve">that </w:t>
      </w:r>
      <w:r w:rsidRPr="0073506C">
        <w:rPr>
          <w:rFonts w:ascii="Times New Roman" w:hAnsi="Times New Roman"/>
          <w:sz w:val="26"/>
          <w:szCs w:val="26"/>
        </w:rPr>
        <w:t>the Office of Management and Budget (OMB)</w:t>
      </w:r>
      <w:r w:rsidR="00C632FE">
        <w:rPr>
          <w:rFonts w:ascii="Times New Roman" w:hAnsi="Times New Roman"/>
          <w:sz w:val="26"/>
          <w:szCs w:val="26"/>
        </w:rPr>
        <w:t xml:space="preserve"> </w:t>
      </w:r>
      <w:r w:rsidR="00994878">
        <w:rPr>
          <w:rFonts w:ascii="Times New Roman" w:hAnsi="Times New Roman"/>
          <w:sz w:val="26"/>
          <w:szCs w:val="26"/>
        </w:rPr>
        <w:t xml:space="preserve">review </w:t>
      </w:r>
      <w:r w:rsidR="00384ABC">
        <w:rPr>
          <w:rFonts w:ascii="Times New Roman" w:hAnsi="Times New Roman"/>
          <w:sz w:val="26"/>
          <w:szCs w:val="26"/>
        </w:rPr>
        <w:t xml:space="preserve">the proposed changes to information collections that are included in </w:t>
      </w:r>
      <w:r w:rsidR="00F80C66">
        <w:rPr>
          <w:rFonts w:ascii="Times New Roman" w:hAnsi="Times New Roman"/>
          <w:sz w:val="26"/>
          <w:szCs w:val="26"/>
        </w:rPr>
        <w:t xml:space="preserve">the </w:t>
      </w:r>
      <w:r w:rsidR="00F022CD">
        <w:rPr>
          <w:rFonts w:ascii="Times New Roman" w:hAnsi="Times New Roman"/>
          <w:sz w:val="26"/>
          <w:szCs w:val="26"/>
        </w:rPr>
        <w:t>N</w:t>
      </w:r>
      <w:r w:rsidR="00F80C66">
        <w:rPr>
          <w:rFonts w:ascii="Times New Roman" w:hAnsi="Times New Roman"/>
          <w:sz w:val="26"/>
          <w:szCs w:val="26"/>
        </w:rPr>
        <w:t>otice of Proposed Rulemaking (N</w:t>
      </w:r>
      <w:r w:rsidR="00F022CD">
        <w:rPr>
          <w:rFonts w:ascii="Times New Roman" w:hAnsi="Times New Roman"/>
          <w:sz w:val="26"/>
          <w:szCs w:val="26"/>
        </w:rPr>
        <w:t>OPR</w:t>
      </w:r>
      <w:r w:rsidR="00F80C66">
        <w:rPr>
          <w:rFonts w:ascii="Times New Roman" w:hAnsi="Times New Roman"/>
          <w:sz w:val="26"/>
          <w:szCs w:val="26"/>
        </w:rPr>
        <w:t>)</w:t>
      </w:r>
      <w:r w:rsidR="00760104">
        <w:rPr>
          <w:rFonts w:ascii="Times New Roman" w:hAnsi="Times New Roman"/>
          <w:sz w:val="26"/>
          <w:szCs w:val="26"/>
        </w:rPr>
        <w:t xml:space="preserve">, </w:t>
      </w:r>
      <w:r w:rsidRPr="1EFB72D5" w:rsidR="00760104">
        <w:rPr>
          <w:rFonts w:ascii="Times New Roman" w:hAnsi="Times New Roman"/>
          <w:i/>
          <w:iCs/>
          <w:sz w:val="26"/>
          <w:szCs w:val="26"/>
        </w:rPr>
        <w:t>Revisions to Financial Forms Reporting and Filing Requirements,</w:t>
      </w:r>
      <w:r w:rsidR="00F022CD">
        <w:rPr>
          <w:rFonts w:ascii="Times New Roman" w:hAnsi="Times New Roman"/>
          <w:sz w:val="26"/>
          <w:szCs w:val="26"/>
        </w:rPr>
        <w:t xml:space="preserve"> RM26-</w:t>
      </w:r>
      <w:r w:rsidR="00D760D2">
        <w:rPr>
          <w:rFonts w:ascii="Times New Roman" w:hAnsi="Times New Roman"/>
          <w:sz w:val="26"/>
          <w:szCs w:val="26"/>
        </w:rPr>
        <w:t>12</w:t>
      </w:r>
      <w:r w:rsidR="00F022CD">
        <w:rPr>
          <w:rFonts w:ascii="Times New Roman" w:hAnsi="Times New Roman"/>
          <w:sz w:val="26"/>
          <w:szCs w:val="26"/>
        </w:rPr>
        <w:t>-000</w:t>
      </w:r>
      <w:r w:rsidR="008C7009">
        <w:rPr>
          <w:rFonts w:ascii="Times New Roman" w:hAnsi="Times New Roman"/>
          <w:sz w:val="26"/>
          <w:szCs w:val="26"/>
        </w:rPr>
        <w:t xml:space="preserve">, </w:t>
      </w:r>
      <w:r>
        <w:rPr>
          <w:rFonts w:ascii="Times New Roman" w:hAnsi="Times New Roman"/>
          <w:sz w:val="26"/>
          <w:szCs w:val="26"/>
        </w:rPr>
        <w:t xml:space="preserve">which </w:t>
      </w:r>
      <w:r w:rsidR="008C7009">
        <w:rPr>
          <w:rFonts w:ascii="Times New Roman" w:hAnsi="Times New Roman"/>
          <w:sz w:val="26"/>
          <w:szCs w:val="26"/>
        </w:rPr>
        <w:t>include substantive updates to FERC</w:t>
      </w:r>
      <w:r w:rsidR="00B46FEF">
        <w:rPr>
          <w:rFonts w:ascii="Times New Roman" w:hAnsi="Times New Roman"/>
          <w:sz w:val="26"/>
          <w:szCs w:val="26"/>
        </w:rPr>
        <w:t xml:space="preserve"> Form</w:t>
      </w:r>
      <w:r w:rsidR="00CA4361">
        <w:rPr>
          <w:rFonts w:ascii="Times New Roman" w:hAnsi="Times New Roman"/>
          <w:sz w:val="26"/>
          <w:szCs w:val="26"/>
        </w:rPr>
        <w:t xml:space="preserve"> No</w:t>
      </w:r>
      <w:r w:rsidR="00B46FEF">
        <w:rPr>
          <w:rFonts w:ascii="Times New Roman" w:hAnsi="Times New Roman"/>
          <w:sz w:val="26"/>
          <w:szCs w:val="26"/>
        </w:rPr>
        <w:t>s</w:t>
      </w:r>
      <w:r w:rsidR="00CA4361">
        <w:rPr>
          <w:rFonts w:ascii="Times New Roman" w:hAnsi="Times New Roman"/>
          <w:sz w:val="26"/>
          <w:szCs w:val="26"/>
        </w:rPr>
        <w:t>.</w:t>
      </w:r>
      <w:r w:rsidR="008C7009">
        <w:rPr>
          <w:rFonts w:ascii="Times New Roman" w:hAnsi="Times New Roman"/>
          <w:sz w:val="26"/>
          <w:szCs w:val="26"/>
        </w:rPr>
        <w:t xml:space="preserve"> 3-Q</w:t>
      </w:r>
      <w:r w:rsidR="00271186">
        <w:rPr>
          <w:rFonts w:ascii="Times New Roman" w:hAnsi="Times New Roman"/>
          <w:sz w:val="26"/>
          <w:szCs w:val="26"/>
        </w:rPr>
        <w:t>.</w:t>
      </w:r>
      <w:r>
        <w:rPr>
          <w:rStyle w:val="FootnoteReference"/>
          <w:rFonts w:ascii="Times New Roman" w:hAnsi="Times New Roman"/>
          <w:sz w:val="26"/>
          <w:szCs w:val="26"/>
        </w:rPr>
        <w:footnoteReference w:id="3"/>
      </w:r>
      <w:r w:rsidRPr="00AD49BE" w:rsidR="00DC516E">
        <w:rPr>
          <w:rFonts w:ascii="Times New Roman" w:hAnsi="Times New Roman"/>
          <w:sz w:val="26"/>
          <w:szCs w:val="26"/>
        </w:rPr>
        <w:t xml:space="preserve"> </w:t>
      </w:r>
      <w:r w:rsidRPr="00AD49BE" w:rsidR="001E47A0">
        <w:rPr>
          <w:rFonts w:ascii="Times New Roman" w:hAnsi="Times New Roman"/>
          <w:sz w:val="26"/>
          <w:szCs w:val="26"/>
        </w:rPr>
        <w:t xml:space="preserve"> </w:t>
      </w:r>
      <w:r w:rsidRPr="1EFB72D5">
        <w:rPr>
          <w:rFonts w:ascii="Times New Roman" w:hAnsi="Times New Roman"/>
          <w:sz w:val="26"/>
          <w:szCs w:val="26"/>
        </w:rPr>
        <w:t xml:space="preserve">The </w:t>
      </w:r>
      <w:r w:rsidRPr="1EFB72D5" w:rsidR="006C2CB4">
        <w:rPr>
          <w:rFonts w:ascii="Times New Roman" w:hAnsi="Times New Roman"/>
          <w:sz w:val="26"/>
          <w:szCs w:val="26"/>
        </w:rPr>
        <w:t>NOPR</w:t>
      </w:r>
      <w:r w:rsidRPr="1EFB72D5">
        <w:rPr>
          <w:rFonts w:ascii="Times New Roman" w:hAnsi="Times New Roman"/>
          <w:sz w:val="26"/>
          <w:szCs w:val="26"/>
        </w:rPr>
        <w:t xml:space="preserve"> </w:t>
      </w:r>
      <w:r w:rsidRPr="1EFB72D5" w:rsidR="002815D3">
        <w:rPr>
          <w:rFonts w:ascii="Times New Roman" w:hAnsi="Times New Roman"/>
          <w:sz w:val="26"/>
          <w:szCs w:val="26"/>
        </w:rPr>
        <w:t>propose</w:t>
      </w:r>
      <w:r w:rsidRPr="1EFB72D5" w:rsidR="00C8211B">
        <w:rPr>
          <w:rFonts w:ascii="Times New Roman" w:hAnsi="Times New Roman"/>
          <w:sz w:val="26"/>
          <w:szCs w:val="26"/>
        </w:rPr>
        <w:t>s</w:t>
      </w:r>
      <w:r w:rsidRPr="1EFB72D5" w:rsidR="006C0896">
        <w:rPr>
          <w:rFonts w:ascii="Times New Roman" w:hAnsi="Times New Roman"/>
          <w:sz w:val="26"/>
          <w:szCs w:val="26"/>
        </w:rPr>
        <w:t xml:space="preserve"> </w:t>
      </w:r>
      <w:r w:rsidRPr="1EFB72D5" w:rsidR="00C8211B">
        <w:rPr>
          <w:rFonts w:ascii="Times New Roman" w:hAnsi="Times New Roman"/>
          <w:sz w:val="26"/>
          <w:szCs w:val="26"/>
        </w:rPr>
        <w:t xml:space="preserve">to eliminate certain schedules from FERC Form No. 3-Q, Quarterly Financial Report of Electric Companies, Licensees, and Natural Gas Companies.  These </w:t>
      </w:r>
      <w:r w:rsidRPr="1EFB72D5" w:rsidR="00873534">
        <w:rPr>
          <w:rFonts w:ascii="Times New Roman" w:hAnsi="Times New Roman"/>
          <w:sz w:val="26"/>
          <w:szCs w:val="26"/>
        </w:rPr>
        <w:t xml:space="preserve">proposed </w:t>
      </w:r>
      <w:r w:rsidRPr="1EFB72D5" w:rsidR="00C8211B">
        <w:rPr>
          <w:rFonts w:ascii="Times New Roman" w:hAnsi="Times New Roman"/>
          <w:sz w:val="26"/>
          <w:szCs w:val="26"/>
        </w:rPr>
        <w:t>changes to the quarterly forms would reduce the reporting burden for entities</w:t>
      </w:r>
      <w:r w:rsidRPr="1EFB72D5" w:rsidR="00EA2642">
        <w:rPr>
          <w:rFonts w:ascii="Times New Roman" w:hAnsi="Times New Roman"/>
          <w:sz w:val="26"/>
          <w:szCs w:val="26"/>
        </w:rPr>
        <w:t xml:space="preserve"> subject to FERC’s </w:t>
      </w:r>
      <w:r w:rsidRPr="1EFB72D5" w:rsidR="00FA2A76">
        <w:rPr>
          <w:rFonts w:ascii="Times New Roman" w:hAnsi="Times New Roman"/>
          <w:sz w:val="26"/>
          <w:szCs w:val="26"/>
        </w:rPr>
        <w:t>jurisdiction</w:t>
      </w:r>
      <w:r w:rsidRPr="1EFB72D5" w:rsidR="00C8211B">
        <w:rPr>
          <w:rFonts w:ascii="Times New Roman" w:hAnsi="Times New Roman"/>
          <w:sz w:val="26"/>
          <w:szCs w:val="26"/>
        </w:rPr>
        <w:t>.</w:t>
      </w:r>
    </w:p>
    <w:p w:rsidR="00EA2642" w:rsidRPr="00A5355F" w:rsidP="00A5355F" w14:paraId="5419ACC4" w14:textId="77777777">
      <w:pPr>
        <w:spacing w:after="0" w:line="240" w:lineRule="auto"/>
        <w:rPr>
          <w:rFonts w:ascii="Times New Roman" w:hAnsi="Times New Roman"/>
          <w:sz w:val="26"/>
          <w:szCs w:val="26"/>
          <w:vertAlign w:val="superscript"/>
        </w:rPr>
      </w:pPr>
    </w:p>
    <w:p w:rsidR="009C7F55" w:rsidRPr="0073506C" w:rsidP="00BD0F89" w14:paraId="41D5B9C4"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 xml:space="preserve">CIRCUMSTANCES THAT MAKE THE COLLECTION OF INFORMATION NECESSARY </w:t>
      </w:r>
    </w:p>
    <w:p w:rsidR="0058372E" w:rsidRPr="0073506C" w14:paraId="7404A7AA" w14:textId="7D28578D">
      <w:pPr>
        <w:spacing w:after="0" w:line="240" w:lineRule="auto"/>
        <w:rPr>
          <w:rFonts w:ascii="Times New Roman" w:hAnsi="Times New Roman"/>
          <w:sz w:val="26"/>
          <w:szCs w:val="26"/>
        </w:rPr>
      </w:pPr>
    </w:p>
    <w:p w:rsidR="00CC72A5" w:rsidRPr="0073506C" w14:paraId="4185F36A" w14:textId="6F2BBC75">
      <w:pPr>
        <w:spacing w:after="0" w:line="240" w:lineRule="auto"/>
        <w:rPr>
          <w:rFonts w:ascii="Times New Roman" w:eastAsia="Times New Roman" w:hAnsi="Times New Roman"/>
          <w:sz w:val="26"/>
          <w:szCs w:val="26"/>
        </w:rPr>
      </w:pPr>
      <w:bookmarkStart w:id="0" w:name="_Hlk109673801"/>
      <w:r w:rsidRPr="1EFB72D5">
        <w:rPr>
          <w:rFonts w:ascii="Times New Roman" w:eastAsia="Times New Roman" w:hAnsi="Times New Roman"/>
          <w:sz w:val="26"/>
          <w:szCs w:val="26"/>
        </w:rPr>
        <w:t>In accordance with sections 304</w:t>
      </w:r>
      <w:r w:rsidRPr="1EFB72D5" w:rsidR="007C6F55">
        <w:rPr>
          <w:rFonts w:ascii="Times New Roman" w:eastAsia="Times New Roman" w:hAnsi="Times New Roman"/>
          <w:sz w:val="26"/>
          <w:szCs w:val="26"/>
        </w:rPr>
        <w:t>(a)</w:t>
      </w:r>
      <w:r w:rsidRPr="1EFB72D5">
        <w:rPr>
          <w:rFonts w:ascii="Times New Roman" w:eastAsia="Times New Roman" w:hAnsi="Times New Roman"/>
          <w:sz w:val="26"/>
          <w:szCs w:val="26"/>
        </w:rPr>
        <w:t xml:space="preserve"> and 309 of the </w:t>
      </w:r>
      <w:r w:rsidRPr="1EFB72D5" w:rsidR="00A43A49">
        <w:rPr>
          <w:rFonts w:ascii="Times New Roman" w:eastAsia="Times New Roman" w:hAnsi="Times New Roman"/>
          <w:sz w:val="26"/>
          <w:szCs w:val="26"/>
        </w:rPr>
        <w:t>Federal Power Act (</w:t>
      </w:r>
      <w:r w:rsidRPr="1EFB72D5" w:rsidR="00375F0B">
        <w:rPr>
          <w:rFonts w:ascii="Times New Roman" w:eastAsia="Times New Roman" w:hAnsi="Times New Roman"/>
          <w:sz w:val="26"/>
          <w:szCs w:val="26"/>
        </w:rPr>
        <w:t>FPA</w:t>
      </w:r>
      <w:bookmarkEnd w:id="0"/>
      <w:r w:rsidRPr="1EFB72D5" w:rsidR="00A43A49">
        <w:rPr>
          <w:rFonts w:ascii="Times New Roman" w:eastAsia="Times New Roman" w:hAnsi="Times New Roman"/>
          <w:sz w:val="26"/>
          <w:szCs w:val="26"/>
        </w:rPr>
        <w:t>)</w:t>
      </w:r>
      <w:r w:rsidRPr="1EFB72D5" w:rsidR="00B45388">
        <w:rPr>
          <w:rFonts w:ascii="Times New Roman" w:eastAsia="Times New Roman" w:hAnsi="Times New Roman"/>
          <w:sz w:val="26"/>
          <w:szCs w:val="26"/>
        </w:rPr>
        <w:t xml:space="preserve"> and sections </w:t>
      </w:r>
      <w:r w:rsidRPr="1EFB72D5" w:rsidR="00A43A49">
        <w:rPr>
          <w:rFonts w:ascii="Times New Roman" w:eastAsia="Times New Roman" w:hAnsi="Times New Roman"/>
          <w:sz w:val="26"/>
          <w:szCs w:val="26"/>
        </w:rPr>
        <w:t>10(a) and 16</w:t>
      </w:r>
      <w:r w:rsidRPr="1EFB72D5" w:rsidR="00B45388">
        <w:rPr>
          <w:rFonts w:ascii="Times New Roman" w:eastAsia="Times New Roman" w:hAnsi="Times New Roman"/>
          <w:sz w:val="26"/>
          <w:szCs w:val="26"/>
        </w:rPr>
        <w:t xml:space="preserve"> of the </w:t>
      </w:r>
      <w:r w:rsidRPr="1EFB72D5" w:rsidR="00A43A49">
        <w:rPr>
          <w:rFonts w:ascii="Times New Roman" w:eastAsia="Times New Roman" w:hAnsi="Times New Roman"/>
          <w:sz w:val="26"/>
          <w:szCs w:val="26"/>
        </w:rPr>
        <w:t>Natural Gas Act (</w:t>
      </w:r>
      <w:r w:rsidRPr="1EFB72D5" w:rsidR="00B45388">
        <w:rPr>
          <w:rFonts w:ascii="Times New Roman" w:eastAsia="Times New Roman" w:hAnsi="Times New Roman"/>
          <w:sz w:val="26"/>
          <w:szCs w:val="26"/>
        </w:rPr>
        <w:t>NGA</w:t>
      </w:r>
      <w:r w:rsidRPr="1EFB72D5" w:rsidR="000A58EA">
        <w:rPr>
          <w:rFonts w:ascii="Times New Roman" w:eastAsia="Times New Roman" w:hAnsi="Times New Roman"/>
          <w:sz w:val="26"/>
          <w:szCs w:val="26"/>
        </w:rPr>
        <w:t>),</w:t>
      </w:r>
      <w:r w:rsidRPr="1EFB72D5">
        <w:rPr>
          <w:rFonts w:ascii="Times New Roman" w:eastAsia="Times New Roman" w:hAnsi="Times New Roman"/>
          <w:sz w:val="26"/>
          <w:szCs w:val="26"/>
        </w:rPr>
        <w:t xml:space="preserve"> FERC is authorized to </w:t>
      </w:r>
      <w:r w:rsidRPr="1EFB72D5" w:rsidR="00D556A1">
        <w:rPr>
          <w:rFonts w:ascii="Times New Roman" w:eastAsia="Times New Roman" w:hAnsi="Times New Roman"/>
          <w:sz w:val="26"/>
          <w:szCs w:val="26"/>
        </w:rPr>
        <w:t>collect and record data</w:t>
      </w:r>
      <w:r w:rsidRPr="1EFB72D5" w:rsidR="4C22F736">
        <w:rPr>
          <w:rFonts w:ascii="Times New Roman" w:eastAsia="Times New Roman" w:hAnsi="Times New Roman"/>
          <w:sz w:val="26"/>
          <w:szCs w:val="26"/>
        </w:rPr>
        <w:t>,</w:t>
      </w:r>
      <w:r w:rsidRPr="1EFB72D5" w:rsidR="00B1032F">
        <w:rPr>
          <w:rFonts w:ascii="Times New Roman" w:eastAsia="Times New Roman" w:hAnsi="Times New Roman"/>
          <w:sz w:val="26"/>
          <w:szCs w:val="26"/>
        </w:rPr>
        <w:t xml:space="preserve"> to the extent it considers necessary, to </w:t>
      </w:r>
      <w:r w:rsidRPr="1EFB72D5">
        <w:rPr>
          <w:rFonts w:ascii="Times New Roman" w:eastAsia="Times New Roman" w:hAnsi="Times New Roman"/>
          <w:sz w:val="26"/>
          <w:szCs w:val="26"/>
        </w:rPr>
        <w:t>prescribe rules and regulations concerning account</w:t>
      </w:r>
      <w:r w:rsidRPr="1EFB72D5" w:rsidR="00B1032F">
        <w:rPr>
          <w:rFonts w:ascii="Times New Roman" w:eastAsia="Times New Roman" w:hAnsi="Times New Roman"/>
          <w:sz w:val="26"/>
          <w:szCs w:val="26"/>
        </w:rPr>
        <w:t>s,</w:t>
      </w:r>
      <w:r w:rsidRPr="1EFB72D5" w:rsidR="000E76BD">
        <w:rPr>
          <w:rFonts w:ascii="Times New Roman" w:eastAsia="Times New Roman" w:hAnsi="Times New Roman"/>
          <w:sz w:val="26"/>
          <w:szCs w:val="26"/>
        </w:rPr>
        <w:t xml:space="preserve"> record</w:t>
      </w:r>
      <w:r w:rsidRPr="1EFB72D5" w:rsidR="00B1032F">
        <w:rPr>
          <w:rFonts w:ascii="Times New Roman" w:eastAsia="Times New Roman" w:hAnsi="Times New Roman"/>
          <w:sz w:val="26"/>
          <w:szCs w:val="26"/>
        </w:rPr>
        <w:t>s</w:t>
      </w:r>
      <w:r w:rsidRPr="1EFB72D5" w:rsidR="000A01AB">
        <w:rPr>
          <w:rFonts w:ascii="Times New Roman" w:eastAsia="Times New Roman" w:hAnsi="Times New Roman"/>
          <w:sz w:val="26"/>
          <w:szCs w:val="26"/>
        </w:rPr>
        <w:t xml:space="preserve"> and memoranda</w:t>
      </w:r>
      <w:r w:rsidRPr="1EFB72D5" w:rsidR="00EA1C36">
        <w:rPr>
          <w:rFonts w:ascii="Times New Roman" w:eastAsia="Times New Roman" w:hAnsi="Times New Roman"/>
          <w:sz w:val="26"/>
          <w:szCs w:val="26"/>
        </w:rPr>
        <w:t>,</w:t>
      </w:r>
      <w:r w:rsidRPr="1EFB72D5">
        <w:rPr>
          <w:rFonts w:ascii="Times New Roman" w:eastAsia="Times New Roman" w:hAnsi="Times New Roman"/>
          <w:sz w:val="26"/>
          <w:szCs w:val="26"/>
        </w:rPr>
        <w:t xml:space="preserve"> and </w:t>
      </w:r>
      <w:r w:rsidRPr="1EFB72D5" w:rsidR="000E76BD">
        <w:rPr>
          <w:rFonts w:ascii="Times New Roman" w:eastAsia="Times New Roman" w:hAnsi="Times New Roman"/>
          <w:sz w:val="26"/>
          <w:szCs w:val="26"/>
        </w:rPr>
        <w:t xml:space="preserve">to require public utilities and licensees </w:t>
      </w:r>
      <w:r w:rsidRPr="1EFB72D5" w:rsidR="00B45388">
        <w:rPr>
          <w:rFonts w:ascii="Times New Roman" w:eastAsia="Times New Roman" w:hAnsi="Times New Roman"/>
          <w:sz w:val="26"/>
          <w:szCs w:val="26"/>
        </w:rPr>
        <w:t xml:space="preserve">and natural gas companies </w:t>
      </w:r>
      <w:r w:rsidRPr="1EFB72D5" w:rsidR="000E76BD">
        <w:rPr>
          <w:rFonts w:ascii="Times New Roman" w:eastAsia="Times New Roman" w:hAnsi="Times New Roman"/>
          <w:sz w:val="26"/>
          <w:szCs w:val="26"/>
        </w:rPr>
        <w:t xml:space="preserve">to file </w:t>
      </w:r>
      <w:r w:rsidRPr="1EFB72D5" w:rsidR="00DC1BBA">
        <w:rPr>
          <w:rFonts w:ascii="Times New Roman" w:eastAsia="Times New Roman" w:hAnsi="Times New Roman"/>
          <w:sz w:val="26"/>
          <w:szCs w:val="26"/>
        </w:rPr>
        <w:t>reports</w:t>
      </w:r>
      <w:r w:rsidRPr="1EFB72D5">
        <w:rPr>
          <w:rFonts w:ascii="Times New Roman" w:eastAsia="Times New Roman" w:hAnsi="Times New Roman"/>
          <w:sz w:val="26"/>
          <w:szCs w:val="26"/>
        </w:rPr>
        <w:t xml:space="preserve">.  </w:t>
      </w:r>
    </w:p>
    <w:p w:rsidR="0072587D" w:rsidP="00BD0F89" w14:paraId="6EA2727A" w14:textId="77777777">
      <w:pPr>
        <w:spacing w:after="0" w:line="240" w:lineRule="auto"/>
        <w:rPr>
          <w:rFonts w:ascii="Times New Roman" w:eastAsia="Times New Roman" w:hAnsi="Times New Roman"/>
          <w:b/>
          <w:bCs/>
          <w:sz w:val="26"/>
          <w:szCs w:val="26"/>
        </w:rPr>
      </w:pPr>
    </w:p>
    <w:p w:rsidR="0058372E" w:rsidP="00BD0F89" w14:paraId="1235837D" w14:textId="7B8C06D5">
      <w:pPr>
        <w:spacing w:after="0" w:line="240" w:lineRule="auto"/>
        <w:rPr>
          <w:rFonts w:ascii="Times New Roman" w:eastAsia="Times New Roman" w:hAnsi="Times New Roman"/>
          <w:b/>
          <w:bCs/>
          <w:sz w:val="26"/>
          <w:szCs w:val="26"/>
        </w:rPr>
      </w:pPr>
      <w:r w:rsidRPr="279A6072">
        <w:rPr>
          <w:rFonts w:ascii="Times New Roman" w:eastAsia="Times New Roman" w:hAnsi="Times New Roman"/>
          <w:b/>
          <w:bCs/>
          <w:sz w:val="26"/>
          <w:szCs w:val="26"/>
        </w:rPr>
        <w:t xml:space="preserve">FERC Form </w:t>
      </w:r>
      <w:r w:rsidR="00F76265">
        <w:rPr>
          <w:rFonts w:ascii="Times New Roman" w:eastAsia="Times New Roman" w:hAnsi="Times New Roman"/>
          <w:b/>
          <w:bCs/>
          <w:sz w:val="26"/>
          <w:szCs w:val="26"/>
        </w:rPr>
        <w:t xml:space="preserve">No. </w:t>
      </w:r>
      <w:r w:rsidR="00EA2642">
        <w:rPr>
          <w:rFonts w:ascii="Times New Roman" w:eastAsia="Times New Roman" w:hAnsi="Times New Roman"/>
          <w:b/>
          <w:bCs/>
          <w:sz w:val="26"/>
          <w:szCs w:val="26"/>
        </w:rPr>
        <w:t>3</w:t>
      </w:r>
      <w:r w:rsidR="00F76265">
        <w:rPr>
          <w:rFonts w:ascii="Times New Roman" w:eastAsia="Times New Roman" w:hAnsi="Times New Roman"/>
          <w:b/>
          <w:bCs/>
          <w:sz w:val="26"/>
          <w:szCs w:val="26"/>
        </w:rPr>
        <w:t>-</w:t>
      </w:r>
      <w:r w:rsidR="00EA2642">
        <w:rPr>
          <w:rFonts w:ascii="Times New Roman" w:eastAsia="Times New Roman" w:hAnsi="Times New Roman"/>
          <w:b/>
          <w:bCs/>
          <w:sz w:val="26"/>
          <w:szCs w:val="26"/>
        </w:rPr>
        <w:t>Q</w:t>
      </w:r>
    </w:p>
    <w:p w:rsidR="00BA41E5" w:rsidP="00BD0F89" w14:paraId="4358509B" w14:textId="77777777">
      <w:pPr>
        <w:spacing w:after="0" w:line="240" w:lineRule="auto"/>
        <w:rPr>
          <w:rFonts w:ascii="Times New Roman" w:eastAsia="Times New Roman" w:hAnsi="Times New Roman"/>
          <w:sz w:val="26"/>
          <w:szCs w:val="26"/>
        </w:rPr>
      </w:pPr>
    </w:p>
    <w:p w:rsidR="000B5FC5" w:rsidP="000B5FC5" w14:paraId="0B89CE8A" w14:textId="7DA4797C">
      <w:pPr>
        <w:spacing w:after="0" w:line="240" w:lineRule="auto"/>
        <w:rPr>
          <w:rFonts w:ascii="Times New Roman" w:eastAsia="Times New Roman" w:hAnsi="Times New Roman"/>
          <w:sz w:val="26"/>
          <w:szCs w:val="26"/>
        </w:rPr>
      </w:pPr>
      <w:r>
        <w:rPr>
          <w:rFonts w:ascii="Times New Roman" w:eastAsia="Times New Roman" w:hAnsi="Times New Roman"/>
          <w:sz w:val="26"/>
          <w:szCs w:val="26"/>
        </w:rPr>
        <w:t>U</w:t>
      </w:r>
      <w:r w:rsidRPr="0073506C">
        <w:rPr>
          <w:rFonts w:ascii="Times New Roman" w:eastAsia="Times New Roman" w:hAnsi="Times New Roman"/>
          <w:sz w:val="26"/>
          <w:szCs w:val="26"/>
        </w:rPr>
        <w:t xml:space="preserve">nder </w:t>
      </w:r>
      <w:r w:rsidR="008E76F2">
        <w:rPr>
          <w:rFonts w:ascii="Times New Roman" w:eastAsia="Times New Roman" w:hAnsi="Times New Roman"/>
          <w:sz w:val="26"/>
          <w:szCs w:val="26"/>
        </w:rPr>
        <w:t>the Commission</w:t>
      </w:r>
      <w:r>
        <w:rPr>
          <w:rFonts w:ascii="Times New Roman" w:eastAsia="Times New Roman" w:hAnsi="Times New Roman"/>
          <w:sz w:val="26"/>
          <w:szCs w:val="26"/>
        </w:rPr>
        <w:t xml:space="preserve">’s </w:t>
      </w:r>
      <w:r w:rsidRPr="0073506C">
        <w:rPr>
          <w:rFonts w:ascii="Times New Roman" w:eastAsia="Times New Roman" w:hAnsi="Times New Roman"/>
          <w:sz w:val="26"/>
          <w:szCs w:val="26"/>
        </w:rPr>
        <w:t xml:space="preserve">regulations, FERC jurisdictional entities subject to its </w:t>
      </w:r>
      <w:r w:rsidR="0065282F">
        <w:rPr>
          <w:rFonts w:ascii="Times New Roman" w:eastAsia="Times New Roman" w:hAnsi="Times New Roman"/>
          <w:sz w:val="26"/>
          <w:szCs w:val="26"/>
        </w:rPr>
        <w:t>Uniform System of Accounts (</w:t>
      </w:r>
      <w:r w:rsidRPr="0073506C">
        <w:rPr>
          <w:rFonts w:ascii="Times New Roman" w:eastAsia="Times New Roman" w:hAnsi="Times New Roman"/>
          <w:sz w:val="26"/>
          <w:szCs w:val="26"/>
        </w:rPr>
        <w:t>USofA</w:t>
      </w:r>
      <w:r w:rsidR="0065282F">
        <w:rPr>
          <w:rFonts w:ascii="Times New Roman" w:eastAsia="Times New Roman" w:hAnsi="Times New Roman"/>
          <w:sz w:val="26"/>
          <w:szCs w:val="26"/>
        </w:rPr>
        <w:t>)</w:t>
      </w:r>
      <w:r w:rsidRPr="0073506C">
        <w:rPr>
          <w:rFonts w:ascii="Times New Roman" w:eastAsia="Times New Roman" w:hAnsi="Times New Roman"/>
          <w:sz w:val="26"/>
          <w:szCs w:val="26"/>
        </w:rPr>
        <w:t xml:space="preserve"> must annually file with the Commission a complete set of financial statements, along with other selected financial and </w:t>
      </w:r>
      <w:r w:rsidR="00ED14BB">
        <w:rPr>
          <w:rFonts w:ascii="Times New Roman" w:eastAsia="Times New Roman" w:hAnsi="Times New Roman"/>
          <w:sz w:val="26"/>
          <w:szCs w:val="26"/>
        </w:rPr>
        <w:t>operational</w:t>
      </w:r>
      <w:r w:rsidRPr="0073506C">
        <w:rPr>
          <w:rFonts w:ascii="Times New Roman" w:eastAsia="Times New Roman" w:hAnsi="Times New Roman"/>
          <w:sz w:val="26"/>
          <w:szCs w:val="26"/>
        </w:rPr>
        <w:t xml:space="preserve"> data through the submission of FERC </w:t>
      </w:r>
      <w:r w:rsidR="001B5DBE">
        <w:rPr>
          <w:rFonts w:ascii="Times New Roman" w:eastAsia="Times New Roman" w:hAnsi="Times New Roman"/>
          <w:sz w:val="26"/>
          <w:szCs w:val="26"/>
        </w:rPr>
        <w:t>f</w:t>
      </w:r>
      <w:r w:rsidRPr="0073506C">
        <w:rPr>
          <w:rFonts w:ascii="Times New Roman" w:eastAsia="Times New Roman" w:hAnsi="Times New Roman"/>
          <w:sz w:val="26"/>
          <w:szCs w:val="26"/>
        </w:rPr>
        <w:t>orm</w:t>
      </w:r>
      <w:r>
        <w:rPr>
          <w:rFonts w:ascii="Times New Roman" w:eastAsia="Times New Roman" w:hAnsi="Times New Roman"/>
          <w:sz w:val="26"/>
          <w:szCs w:val="26"/>
        </w:rPr>
        <w:t>s</w:t>
      </w:r>
      <w:r w:rsidR="00F455B8">
        <w:rPr>
          <w:rFonts w:ascii="Times New Roman" w:eastAsia="Times New Roman" w:hAnsi="Times New Roman"/>
          <w:sz w:val="26"/>
          <w:szCs w:val="26"/>
        </w:rPr>
        <w:t>,</w:t>
      </w:r>
      <w:r w:rsidR="005D14A7">
        <w:rPr>
          <w:rFonts w:ascii="Times New Roman" w:eastAsia="Times New Roman" w:hAnsi="Times New Roman"/>
          <w:sz w:val="26"/>
          <w:szCs w:val="26"/>
        </w:rPr>
        <w:t xml:space="preserve"> including </w:t>
      </w:r>
      <w:r w:rsidRPr="008F1E9F" w:rsidR="005D14A7">
        <w:rPr>
          <w:rFonts w:ascii="Times New Roman" w:eastAsia="Times New Roman" w:hAnsi="Times New Roman"/>
          <w:sz w:val="26"/>
          <w:szCs w:val="26"/>
        </w:rPr>
        <w:t>(a) FERC Form Nos. 1 and 1-F for the electric industry, or (b) FERC Form Nos. 2 and 2-A for the natural gas industry</w:t>
      </w:r>
      <w:r w:rsidR="00477433">
        <w:rPr>
          <w:rFonts w:ascii="Times New Roman" w:eastAsia="Times New Roman" w:hAnsi="Times New Roman"/>
          <w:sz w:val="26"/>
          <w:szCs w:val="26"/>
        </w:rPr>
        <w:t>.</w:t>
      </w:r>
    </w:p>
    <w:p w:rsidR="00154F66" w:rsidP="000B5FC5" w14:paraId="1D8611EA" w14:textId="77777777">
      <w:pPr>
        <w:spacing w:after="0" w:line="240" w:lineRule="auto"/>
        <w:rPr>
          <w:rFonts w:ascii="Times New Roman" w:eastAsia="Times New Roman" w:hAnsi="Times New Roman"/>
          <w:sz w:val="26"/>
          <w:szCs w:val="26"/>
        </w:rPr>
      </w:pPr>
    </w:p>
    <w:p w:rsidR="006E650E" w:rsidRPr="0073506C" w14:paraId="52E973B2" w14:textId="02A2156E">
      <w:pPr>
        <w:spacing w:after="0" w:line="240" w:lineRule="auto"/>
        <w:rPr>
          <w:rFonts w:ascii="Times New Roman" w:eastAsia="Times New Roman" w:hAnsi="Times New Roman"/>
          <w:sz w:val="26"/>
          <w:szCs w:val="26"/>
        </w:rPr>
      </w:pPr>
      <w:r w:rsidRPr="1EFB72D5">
        <w:rPr>
          <w:rFonts w:ascii="Times New Roman" w:eastAsia="Times New Roman" w:hAnsi="Times New Roman"/>
          <w:sz w:val="26"/>
          <w:szCs w:val="26"/>
        </w:rPr>
        <w:t xml:space="preserve">FERC Form No. 3-Q is a quarterly financial and operating report for rate regulation, market oversight analysis, and financial audits which </w:t>
      </w:r>
      <w:r w:rsidRPr="1EFB72D5">
        <w:rPr>
          <w:rFonts w:ascii="Times New Roman" w:eastAsia="Times New Roman" w:hAnsi="Times New Roman"/>
          <w:sz w:val="26"/>
          <w:szCs w:val="26"/>
        </w:rPr>
        <w:t>supplements</w:t>
      </w:r>
      <w:r w:rsidRPr="1EFB72D5" w:rsidR="00E07A9D">
        <w:rPr>
          <w:rFonts w:ascii="Times New Roman" w:eastAsia="Times New Roman" w:hAnsi="Times New Roman"/>
          <w:sz w:val="26"/>
          <w:szCs w:val="26"/>
        </w:rPr>
        <w:t xml:space="preserve"> these annual filings</w:t>
      </w:r>
      <w:r w:rsidRPr="1EFB72D5">
        <w:rPr>
          <w:rFonts w:ascii="Times New Roman" w:eastAsia="Times New Roman" w:hAnsi="Times New Roman"/>
          <w:sz w:val="26"/>
          <w:szCs w:val="26"/>
        </w:rPr>
        <w:t>.</w:t>
      </w:r>
      <w:r w:rsidRPr="1EFB72D5" w:rsidR="009852C6">
        <w:rPr>
          <w:rFonts w:ascii="Times New Roman" w:eastAsia="Times New Roman" w:hAnsi="Times New Roman"/>
          <w:sz w:val="26"/>
          <w:szCs w:val="26"/>
        </w:rPr>
        <w:t xml:space="preserve"> </w:t>
      </w:r>
      <w:r w:rsidRPr="1EFB72D5" w:rsidR="005757FE">
        <w:rPr>
          <w:rFonts w:ascii="Times New Roman" w:eastAsia="Times New Roman" w:hAnsi="Times New Roman"/>
          <w:sz w:val="26"/>
          <w:szCs w:val="26"/>
        </w:rPr>
        <w:t xml:space="preserve"> </w:t>
      </w:r>
      <w:r w:rsidRPr="1EFB72D5" w:rsidR="009852C6">
        <w:rPr>
          <w:rFonts w:ascii="Times New Roman" w:eastAsia="Times New Roman" w:hAnsi="Times New Roman"/>
          <w:sz w:val="26"/>
          <w:szCs w:val="26"/>
        </w:rPr>
        <w:t xml:space="preserve">Together, these forms </w:t>
      </w:r>
      <w:r w:rsidRPr="1EFB72D5">
        <w:rPr>
          <w:rFonts w:ascii="Times New Roman" w:eastAsia="Times New Roman" w:hAnsi="Times New Roman"/>
          <w:sz w:val="26"/>
          <w:szCs w:val="26"/>
        </w:rPr>
        <w:t>provide an informative</w:t>
      </w:r>
      <w:r w:rsidRPr="1EFB72D5" w:rsidR="009852C6">
        <w:rPr>
          <w:rFonts w:ascii="Times New Roman" w:eastAsia="Times New Roman" w:hAnsi="Times New Roman"/>
          <w:sz w:val="26"/>
          <w:szCs w:val="26"/>
        </w:rPr>
        <w:t xml:space="preserve"> and timely</w:t>
      </w:r>
      <w:r w:rsidRPr="1EFB72D5">
        <w:rPr>
          <w:rFonts w:ascii="Times New Roman" w:eastAsia="Times New Roman" w:hAnsi="Times New Roman"/>
          <w:sz w:val="26"/>
          <w:szCs w:val="26"/>
        </w:rPr>
        <w:t xml:space="preserve"> picture of the jurisdictional entities’ financial conditions and other relevant data that are used by the Commission and the public in making economic judgments about the entity or its industry.  </w:t>
      </w:r>
    </w:p>
    <w:p w:rsidR="00000F93" w:rsidRPr="0073506C" w:rsidP="1EFB72D5" w14:paraId="2699B861" w14:textId="29187A4B">
      <w:pPr>
        <w:spacing w:after="0" w:line="240" w:lineRule="auto"/>
        <w:rPr>
          <w:rFonts w:ascii="Times New Roman" w:eastAsia="Times New Roman" w:hAnsi="Times New Roman"/>
          <w:sz w:val="26"/>
          <w:szCs w:val="26"/>
        </w:rPr>
      </w:pPr>
    </w:p>
    <w:p w:rsidR="1EFB72D5" w:rsidP="1EFB72D5" w14:paraId="65621EEE" w14:textId="6712908A">
      <w:pPr>
        <w:spacing w:after="0" w:line="240" w:lineRule="auto"/>
        <w:rPr>
          <w:rFonts w:ascii="Times New Roman" w:eastAsia="Times New Roman" w:hAnsi="Times New Roman"/>
          <w:sz w:val="26"/>
          <w:szCs w:val="26"/>
        </w:rPr>
      </w:pPr>
    </w:p>
    <w:p w:rsidR="1EFB72D5" w:rsidP="1EFB72D5" w14:paraId="3346848D" w14:textId="22CB55D8">
      <w:pPr>
        <w:spacing w:after="0" w:line="240" w:lineRule="auto"/>
        <w:rPr>
          <w:rFonts w:ascii="Times New Roman" w:eastAsia="Times New Roman" w:hAnsi="Times New Roman"/>
          <w:sz w:val="26"/>
          <w:szCs w:val="26"/>
        </w:rPr>
      </w:pPr>
    </w:p>
    <w:p w:rsidR="00471F97" w:rsidRPr="0073506C" w:rsidP="00BD0F89" w14:paraId="025D3203"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HOW, BY WHOM, AND FOR WHAT PURPOSE THE INFORMATION IS TO BE USED AND THE CONSEQUENCES OF NOT COLLECTING THE INFORMATION</w:t>
      </w:r>
    </w:p>
    <w:p w:rsidR="00EE0185" w:rsidP="00BD0F89" w14:paraId="60059BA9" w14:textId="77777777">
      <w:pPr>
        <w:spacing w:after="0" w:line="240" w:lineRule="auto"/>
        <w:rPr>
          <w:rFonts w:ascii="Times New Roman" w:hAnsi="Times New Roman"/>
          <w:sz w:val="26"/>
          <w:szCs w:val="26"/>
        </w:rPr>
      </w:pPr>
    </w:p>
    <w:p w:rsidR="007445A8" w:rsidP="00BD0F89" w14:paraId="4C545E0D" w14:textId="07F0628E">
      <w:pPr>
        <w:spacing w:after="0" w:line="240" w:lineRule="auto"/>
        <w:rPr>
          <w:rFonts w:ascii="Times New Roman" w:hAnsi="Times New Roman"/>
          <w:sz w:val="26"/>
          <w:szCs w:val="26"/>
        </w:rPr>
      </w:pPr>
      <w:r w:rsidRPr="1EFB72D5">
        <w:rPr>
          <w:rFonts w:ascii="Times New Roman" w:hAnsi="Times New Roman"/>
          <w:sz w:val="26"/>
          <w:szCs w:val="26"/>
        </w:rPr>
        <w:t>The Commission</w:t>
      </w:r>
      <w:r w:rsidRPr="1EFB72D5" w:rsidR="00E65D6F">
        <w:rPr>
          <w:rFonts w:ascii="Times New Roman" w:hAnsi="Times New Roman"/>
          <w:sz w:val="26"/>
          <w:szCs w:val="26"/>
        </w:rPr>
        <w:t xml:space="preserve"> </w:t>
      </w:r>
      <w:r w:rsidRPr="1EFB72D5" w:rsidR="0059618A">
        <w:rPr>
          <w:rFonts w:ascii="Times New Roman" w:hAnsi="Times New Roman"/>
          <w:sz w:val="26"/>
          <w:szCs w:val="26"/>
        </w:rPr>
        <w:t xml:space="preserve">uses </w:t>
      </w:r>
      <w:r w:rsidRPr="1EFB72D5" w:rsidR="00E10B48">
        <w:rPr>
          <w:rFonts w:ascii="Times New Roman" w:hAnsi="Times New Roman"/>
          <w:sz w:val="26"/>
          <w:szCs w:val="26"/>
        </w:rPr>
        <w:t xml:space="preserve">FERC </w:t>
      </w:r>
      <w:r w:rsidRPr="1EFB72D5" w:rsidR="0059618A">
        <w:rPr>
          <w:rFonts w:ascii="Times New Roman" w:hAnsi="Times New Roman"/>
          <w:sz w:val="26"/>
          <w:szCs w:val="26"/>
        </w:rPr>
        <w:t xml:space="preserve">Form </w:t>
      </w:r>
      <w:r w:rsidRPr="1EFB72D5" w:rsidR="00E10B48">
        <w:rPr>
          <w:rFonts w:ascii="Times New Roman" w:hAnsi="Times New Roman"/>
          <w:sz w:val="26"/>
          <w:szCs w:val="26"/>
        </w:rPr>
        <w:t xml:space="preserve">No. </w:t>
      </w:r>
      <w:r w:rsidRPr="1EFB72D5" w:rsidR="0059618A">
        <w:rPr>
          <w:rFonts w:ascii="Times New Roman" w:hAnsi="Times New Roman"/>
          <w:sz w:val="26"/>
          <w:szCs w:val="26"/>
        </w:rPr>
        <w:t>3</w:t>
      </w:r>
      <w:r w:rsidRPr="1EFB72D5" w:rsidR="000B0CAB">
        <w:rPr>
          <w:rFonts w:ascii="Times New Roman" w:hAnsi="Times New Roman"/>
          <w:sz w:val="26"/>
          <w:szCs w:val="26"/>
        </w:rPr>
        <w:t>-</w:t>
      </w:r>
      <w:r w:rsidRPr="1EFB72D5" w:rsidR="0059618A">
        <w:rPr>
          <w:rFonts w:ascii="Times New Roman" w:hAnsi="Times New Roman"/>
          <w:sz w:val="26"/>
          <w:szCs w:val="26"/>
        </w:rPr>
        <w:t xml:space="preserve">Q </w:t>
      </w:r>
      <w:r w:rsidRPr="1EFB72D5" w:rsidR="00E65D6F">
        <w:rPr>
          <w:rFonts w:ascii="Times New Roman" w:hAnsi="Times New Roman"/>
          <w:sz w:val="26"/>
          <w:szCs w:val="26"/>
        </w:rPr>
        <w:t xml:space="preserve">to collect </w:t>
      </w:r>
      <w:r w:rsidRPr="1EFB72D5" w:rsidR="00822F20">
        <w:rPr>
          <w:rFonts w:ascii="Times New Roman" w:hAnsi="Times New Roman"/>
          <w:sz w:val="26"/>
          <w:szCs w:val="26"/>
        </w:rPr>
        <w:t xml:space="preserve">quarterly </w:t>
      </w:r>
      <w:r w:rsidRPr="1EFB72D5" w:rsidR="00E65D6F">
        <w:rPr>
          <w:rFonts w:ascii="Times New Roman" w:hAnsi="Times New Roman"/>
          <w:sz w:val="26"/>
          <w:szCs w:val="26"/>
        </w:rPr>
        <w:t>financial and operational information from entities subject to the Commission’s jurisdiction.</w:t>
      </w:r>
      <w:r w:rsidRPr="1EFB72D5" w:rsidR="00EA62F9">
        <w:rPr>
          <w:rFonts w:ascii="Times New Roman" w:hAnsi="Times New Roman" w:eastAsiaTheme="minorEastAsia"/>
          <w:sz w:val="26"/>
          <w:szCs w:val="26"/>
        </w:rPr>
        <w:t xml:space="preserve"> </w:t>
      </w:r>
      <w:r w:rsidRPr="1EFB72D5" w:rsidR="00890C07">
        <w:rPr>
          <w:rFonts w:ascii="Times New Roman" w:hAnsi="Times New Roman" w:eastAsiaTheme="minorEastAsia"/>
          <w:sz w:val="26"/>
          <w:szCs w:val="26"/>
        </w:rPr>
        <w:t xml:space="preserve"> </w:t>
      </w:r>
      <w:r w:rsidRPr="1EFB72D5" w:rsidR="00EA62F9">
        <w:rPr>
          <w:rFonts w:ascii="Times New Roman" w:hAnsi="Times New Roman"/>
          <w:sz w:val="26"/>
          <w:szCs w:val="26"/>
        </w:rPr>
        <w:t>The information collected i</w:t>
      </w:r>
      <w:r w:rsidRPr="1EFB72D5" w:rsidR="00EE4281">
        <w:rPr>
          <w:rFonts w:ascii="Times New Roman" w:hAnsi="Times New Roman"/>
          <w:sz w:val="26"/>
          <w:szCs w:val="26"/>
        </w:rPr>
        <w:t>s</w:t>
      </w:r>
      <w:r w:rsidRPr="1EFB72D5" w:rsidR="00EA62F9">
        <w:rPr>
          <w:rFonts w:ascii="Times New Roman" w:hAnsi="Times New Roman"/>
          <w:sz w:val="26"/>
          <w:szCs w:val="26"/>
        </w:rPr>
        <w:t xml:space="preserve"> </w:t>
      </w:r>
      <w:r w:rsidRPr="1EFB72D5" w:rsidR="004B57A6">
        <w:rPr>
          <w:rFonts w:ascii="Times New Roman" w:hAnsi="Times New Roman"/>
          <w:sz w:val="26"/>
          <w:szCs w:val="26"/>
        </w:rPr>
        <w:t xml:space="preserve">used in collaboration with the information collected under </w:t>
      </w:r>
      <w:r w:rsidRPr="1EFB72D5" w:rsidR="00890C07">
        <w:rPr>
          <w:rFonts w:ascii="Times New Roman" w:hAnsi="Times New Roman"/>
          <w:sz w:val="26"/>
          <w:szCs w:val="26"/>
        </w:rPr>
        <w:t xml:space="preserve">FERC </w:t>
      </w:r>
      <w:r w:rsidRPr="1EFB72D5" w:rsidR="004B57A6">
        <w:rPr>
          <w:rFonts w:ascii="Times New Roman" w:hAnsi="Times New Roman"/>
          <w:sz w:val="26"/>
          <w:szCs w:val="26"/>
        </w:rPr>
        <w:t>Form</w:t>
      </w:r>
      <w:r w:rsidRPr="1EFB72D5" w:rsidR="00890C07">
        <w:rPr>
          <w:rFonts w:ascii="Times New Roman" w:hAnsi="Times New Roman"/>
          <w:sz w:val="26"/>
          <w:szCs w:val="26"/>
        </w:rPr>
        <w:t xml:space="preserve"> No</w:t>
      </w:r>
      <w:r w:rsidRPr="1EFB72D5" w:rsidR="004B57A6">
        <w:rPr>
          <w:rFonts w:ascii="Times New Roman" w:hAnsi="Times New Roman"/>
          <w:sz w:val="26"/>
          <w:szCs w:val="26"/>
        </w:rPr>
        <w:t>s</w:t>
      </w:r>
      <w:r w:rsidRPr="1EFB72D5" w:rsidR="00890C07">
        <w:rPr>
          <w:rFonts w:ascii="Times New Roman" w:hAnsi="Times New Roman"/>
          <w:sz w:val="26"/>
          <w:szCs w:val="26"/>
        </w:rPr>
        <w:t>.</w:t>
      </w:r>
      <w:r w:rsidRPr="1EFB72D5" w:rsidR="004B57A6">
        <w:rPr>
          <w:rFonts w:ascii="Times New Roman" w:hAnsi="Times New Roman"/>
          <w:sz w:val="26"/>
          <w:szCs w:val="26"/>
        </w:rPr>
        <w:t xml:space="preserve"> 1</w:t>
      </w:r>
      <w:r w:rsidRPr="1EFB72D5" w:rsidR="00E1256B">
        <w:rPr>
          <w:rFonts w:ascii="Times New Roman" w:hAnsi="Times New Roman"/>
          <w:sz w:val="26"/>
          <w:szCs w:val="26"/>
        </w:rPr>
        <w:t xml:space="preserve">, </w:t>
      </w:r>
      <w:r w:rsidRPr="1EFB72D5" w:rsidR="004B57A6">
        <w:rPr>
          <w:rFonts w:ascii="Times New Roman" w:hAnsi="Times New Roman"/>
          <w:sz w:val="26"/>
          <w:szCs w:val="26"/>
        </w:rPr>
        <w:t>1-F</w:t>
      </w:r>
      <w:r w:rsidRPr="1EFB72D5" w:rsidR="00E1256B">
        <w:rPr>
          <w:rFonts w:ascii="Times New Roman" w:hAnsi="Times New Roman"/>
          <w:sz w:val="26"/>
          <w:szCs w:val="26"/>
        </w:rPr>
        <w:t xml:space="preserve">, 2, </w:t>
      </w:r>
      <w:r w:rsidRPr="1EFB72D5" w:rsidR="00890C07">
        <w:rPr>
          <w:rFonts w:ascii="Times New Roman" w:hAnsi="Times New Roman"/>
          <w:sz w:val="26"/>
          <w:szCs w:val="26"/>
        </w:rPr>
        <w:t xml:space="preserve">and </w:t>
      </w:r>
      <w:r w:rsidRPr="1EFB72D5" w:rsidR="00E1256B">
        <w:rPr>
          <w:rFonts w:ascii="Times New Roman" w:hAnsi="Times New Roman"/>
          <w:sz w:val="26"/>
          <w:szCs w:val="26"/>
        </w:rPr>
        <w:t>2-A</w:t>
      </w:r>
      <w:r w:rsidRPr="1EFB72D5" w:rsidR="00873534">
        <w:rPr>
          <w:rFonts w:ascii="Times New Roman" w:hAnsi="Times New Roman"/>
          <w:sz w:val="26"/>
          <w:szCs w:val="26"/>
        </w:rPr>
        <w:t>,</w:t>
      </w:r>
      <w:r w:rsidRPr="1EFB72D5" w:rsidR="004B57A6">
        <w:rPr>
          <w:rFonts w:ascii="Times New Roman" w:hAnsi="Times New Roman"/>
          <w:sz w:val="26"/>
          <w:szCs w:val="26"/>
        </w:rPr>
        <w:t xml:space="preserve"> </w:t>
      </w:r>
      <w:r w:rsidRPr="1EFB72D5" w:rsidR="5172B48B">
        <w:rPr>
          <w:rFonts w:ascii="Times New Roman" w:hAnsi="Times New Roman"/>
          <w:sz w:val="26"/>
          <w:szCs w:val="26"/>
        </w:rPr>
        <w:t xml:space="preserve">to </w:t>
      </w:r>
      <w:r w:rsidRPr="1EFB72D5" w:rsidR="00EA62F9">
        <w:rPr>
          <w:rFonts w:ascii="Times New Roman" w:hAnsi="Times New Roman"/>
          <w:sz w:val="26"/>
          <w:szCs w:val="26"/>
        </w:rPr>
        <w:t>assist the Commission in the administration of its jurisdictional responsibilities</w:t>
      </w:r>
      <w:r w:rsidRPr="1EFB72D5" w:rsidR="00873534">
        <w:rPr>
          <w:rFonts w:ascii="Times New Roman" w:hAnsi="Times New Roman"/>
          <w:sz w:val="26"/>
          <w:szCs w:val="26"/>
        </w:rPr>
        <w:t>,</w:t>
      </w:r>
      <w:r w:rsidRPr="1EFB72D5" w:rsidR="00EA62F9">
        <w:rPr>
          <w:rFonts w:ascii="Times New Roman" w:hAnsi="Times New Roman"/>
          <w:sz w:val="26"/>
          <w:szCs w:val="26"/>
        </w:rPr>
        <w:t xml:space="preserve"> and is used by Commission staff, state regulatory agencies, customers, investors, financial analysts, and others in the review of the financial condition of regulated companies.  </w:t>
      </w:r>
      <w:r w:rsidRPr="1EFB72D5" w:rsidR="004B4D20">
        <w:rPr>
          <w:rFonts w:ascii="Times New Roman" w:hAnsi="Times New Roman"/>
          <w:sz w:val="26"/>
          <w:szCs w:val="26"/>
        </w:rPr>
        <w:t>The information is also used in various rate proceedings, industry analyses</w:t>
      </w:r>
      <w:r w:rsidRPr="1EFB72D5" w:rsidR="007E4930">
        <w:rPr>
          <w:rFonts w:ascii="Times New Roman" w:hAnsi="Times New Roman"/>
          <w:sz w:val="26"/>
          <w:szCs w:val="26"/>
        </w:rPr>
        <w:t>,</w:t>
      </w:r>
      <w:r w:rsidRPr="1EFB72D5" w:rsidR="004B4D20">
        <w:rPr>
          <w:rFonts w:ascii="Times New Roman" w:hAnsi="Times New Roman"/>
          <w:sz w:val="26"/>
          <w:szCs w:val="26"/>
        </w:rPr>
        <w:t xml:space="preserve"> and in the Commission’s audit program</w:t>
      </w:r>
      <w:r w:rsidRPr="1EFB72D5" w:rsidR="00474CD5">
        <w:rPr>
          <w:rFonts w:ascii="Times New Roman" w:hAnsi="Times New Roman"/>
          <w:sz w:val="26"/>
          <w:szCs w:val="26"/>
        </w:rPr>
        <w:t>.</w:t>
      </w:r>
      <w:r w:rsidRPr="1EFB72D5" w:rsidR="004B4D20">
        <w:rPr>
          <w:rFonts w:ascii="Times New Roman" w:hAnsi="Times New Roman"/>
          <w:sz w:val="26"/>
          <w:szCs w:val="26"/>
        </w:rPr>
        <w:t xml:space="preserve"> </w:t>
      </w:r>
      <w:r w:rsidRPr="1EFB72D5" w:rsidR="00B377B6">
        <w:rPr>
          <w:rFonts w:ascii="Times New Roman" w:hAnsi="Times New Roman"/>
          <w:sz w:val="26"/>
          <w:szCs w:val="26"/>
        </w:rPr>
        <w:t xml:space="preserve"> </w:t>
      </w:r>
    </w:p>
    <w:p w:rsidR="00EE0185" w:rsidRPr="0073506C" w:rsidP="00BD0F89" w14:paraId="4783A78F" w14:textId="77777777">
      <w:pPr>
        <w:spacing w:after="0" w:line="240" w:lineRule="auto"/>
        <w:rPr>
          <w:rFonts w:ascii="Times New Roman" w:hAnsi="Times New Roman"/>
          <w:sz w:val="26"/>
          <w:szCs w:val="26"/>
        </w:rPr>
      </w:pPr>
    </w:p>
    <w:p w:rsidR="006E27DB" w14:paraId="217191E3" w14:textId="2578FC6D">
      <w:pPr>
        <w:spacing w:after="0" w:line="240" w:lineRule="auto"/>
        <w:rPr>
          <w:rFonts w:ascii="Times New Roman" w:hAnsi="Times New Roman"/>
          <w:sz w:val="26"/>
          <w:szCs w:val="26"/>
        </w:rPr>
      </w:pPr>
      <w:r w:rsidRPr="0073506C">
        <w:rPr>
          <w:rFonts w:ascii="Times New Roman" w:hAnsi="Times New Roman"/>
          <w:sz w:val="26"/>
          <w:szCs w:val="26"/>
        </w:rPr>
        <w:t>These forms provide information concerning a company’s current performance, compiled using the Commission’s USofA.</w:t>
      </w:r>
      <w:r>
        <w:rPr>
          <w:rFonts w:ascii="Times New Roman" w:hAnsi="Times New Roman"/>
          <w:b/>
          <w:bCs/>
          <w:sz w:val="26"/>
          <w:szCs w:val="26"/>
          <w:vertAlign w:val="superscript"/>
        </w:rPr>
        <w:footnoteReference w:id="4"/>
      </w:r>
      <w:r w:rsidRPr="0073506C">
        <w:rPr>
          <w:rFonts w:ascii="Times New Roman" w:hAnsi="Times New Roman"/>
          <w:sz w:val="26"/>
          <w:szCs w:val="26"/>
        </w:rPr>
        <w:t xml:space="preserve">  The forms include a basic set of financial statements</w:t>
      </w:r>
      <w:r w:rsidRPr="0073506C" w:rsidR="007844F3">
        <w:rPr>
          <w:rFonts w:ascii="Times New Roman" w:hAnsi="Times New Roman"/>
          <w:sz w:val="26"/>
          <w:szCs w:val="26"/>
        </w:rPr>
        <w:t xml:space="preserve">: </w:t>
      </w:r>
      <w:r w:rsidR="007844F3">
        <w:rPr>
          <w:rFonts w:ascii="Times New Roman" w:hAnsi="Times New Roman"/>
          <w:sz w:val="26"/>
          <w:szCs w:val="26"/>
        </w:rPr>
        <w:t>Comparative</w:t>
      </w:r>
      <w:r w:rsidRPr="0073506C">
        <w:rPr>
          <w:rFonts w:ascii="Times New Roman" w:hAnsi="Times New Roman"/>
          <w:sz w:val="26"/>
          <w:szCs w:val="26"/>
        </w:rPr>
        <w:t xml:space="preserve"> Balance Sheet, Statement of Income</w:t>
      </w:r>
      <w:r w:rsidR="001A7950">
        <w:rPr>
          <w:rFonts w:ascii="Times New Roman" w:hAnsi="Times New Roman"/>
          <w:sz w:val="26"/>
          <w:szCs w:val="26"/>
        </w:rPr>
        <w:t>,</w:t>
      </w:r>
      <w:r w:rsidRPr="0073506C">
        <w:rPr>
          <w:rFonts w:ascii="Times New Roman" w:hAnsi="Times New Roman"/>
          <w:sz w:val="26"/>
          <w:szCs w:val="26"/>
        </w:rPr>
        <w:t xml:space="preserve"> Statement of Retained Earnings, Statement of Cash Flows, and the Statement of Comprehensive Income and Hedging Activities</w:t>
      </w:r>
      <w:r w:rsidR="009F508C">
        <w:rPr>
          <w:rFonts w:ascii="Times New Roman" w:hAnsi="Times New Roman"/>
          <w:sz w:val="26"/>
          <w:szCs w:val="26"/>
        </w:rPr>
        <w:t>;</w:t>
      </w:r>
      <w:r w:rsidRPr="0073506C">
        <w:rPr>
          <w:rFonts w:ascii="Times New Roman" w:hAnsi="Times New Roman"/>
          <w:sz w:val="26"/>
          <w:szCs w:val="26"/>
        </w:rPr>
        <w:t xml:space="preserve"> and supporting schedules containing supplementary information.  </w:t>
      </w:r>
      <w:r w:rsidRPr="00542F3A" w:rsidR="00451236">
        <w:rPr>
          <w:rFonts w:ascii="Times New Roman" w:hAnsi="Times New Roman"/>
          <w:sz w:val="26"/>
          <w:szCs w:val="26"/>
        </w:rPr>
        <w:t xml:space="preserve">The </w:t>
      </w:r>
      <w:r w:rsidR="00451236">
        <w:rPr>
          <w:rFonts w:ascii="Times New Roman" w:hAnsi="Times New Roman"/>
          <w:sz w:val="26"/>
          <w:szCs w:val="26"/>
        </w:rPr>
        <w:t>USofA</w:t>
      </w:r>
      <w:r w:rsidRPr="00542F3A" w:rsidR="00451236">
        <w:rPr>
          <w:rFonts w:ascii="Times New Roman" w:hAnsi="Times New Roman"/>
          <w:sz w:val="26"/>
          <w:szCs w:val="26"/>
        </w:rPr>
        <w:t xml:space="preserve"> permits companies to account for similar transactions and events in a consistent manner </w:t>
      </w:r>
      <w:r w:rsidR="00451236">
        <w:rPr>
          <w:rFonts w:ascii="Times New Roman" w:hAnsi="Times New Roman"/>
          <w:sz w:val="26"/>
          <w:szCs w:val="26"/>
        </w:rPr>
        <w:t>across the</w:t>
      </w:r>
      <w:r w:rsidRPr="00542F3A" w:rsidR="00451236">
        <w:rPr>
          <w:rFonts w:ascii="Times New Roman" w:hAnsi="Times New Roman"/>
          <w:sz w:val="26"/>
          <w:szCs w:val="26"/>
        </w:rPr>
        <w:t xml:space="preserve"> </w:t>
      </w:r>
      <w:r w:rsidRPr="00542F3A" w:rsidR="00A13A3D">
        <w:rPr>
          <w:rFonts w:ascii="Times New Roman" w:hAnsi="Times New Roman"/>
          <w:sz w:val="26"/>
          <w:szCs w:val="26"/>
        </w:rPr>
        <w:t>industry and</w:t>
      </w:r>
      <w:r w:rsidRPr="00542F3A" w:rsidR="00451236">
        <w:rPr>
          <w:rFonts w:ascii="Times New Roman" w:hAnsi="Times New Roman"/>
          <w:sz w:val="26"/>
          <w:szCs w:val="26"/>
        </w:rPr>
        <w:t xml:space="preserve"> communicate those results to the Commission on a periodic basis.  </w:t>
      </w:r>
      <w:r w:rsidRPr="0073506C" w:rsidR="00451236">
        <w:rPr>
          <w:rFonts w:ascii="Times New Roman" w:hAnsi="Times New Roman"/>
          <w:sz w:val="26"/>
          <w:szCs w:val="26"/>
        </w:rPr>
        <w:t>The information is also used in market oversight</w:t>
      </w:r>
      <w:r w:rsidR="00451236">
        <w:rPr>
          <w:rFonts w:ascii="Times New Roman" w:hAnsi="Times New Roman"/>
          <w:sz w:val="26"/>
          <w:szCs w:val="26"/>
        </w:rPr>
        <w:t xml:space="preserve"> and</w:t>
      </w:r>
      <w:r w:rsidRPr="0073506C" w:rsidR="00451236">
        <w:rPr>
          <w:rFonts w:ascii="Times New Roman" w:hAnsi="Times New Roman"/>
          <w:sz w:val="26"/>
          <w:szCs w:val="26"/>
        </w:rPr>
        <w:t xml:space="preserve"> the Commission’s audit program based on certain schedules contained </w:t>
      </w:r>
      <w:r w:rsidR="00451236">
        <w:rPr>
          <w:rFonts w:ascii="Times New Roman" w:hAnsi="Times New Roman"/>
          <w:sz w:val="26"/>
          <w:szCs w:val="26"/>
        </w:rPr>
        <w:t>i</w:t>
      </w:r>
      <w:r w:rsidRPr="0073506C" w:rsidR="00451236">
        <w:rPr>
          <w:rFonts w:ascii="Times New Roman" w:hAnsi="Times New Roman"/>
          <w:sz w:val="26"/>
          <w:szCs w:val="26"/>
        </w:rPr>
        <w:t xml:space="preserve">n the forms. </w:t>
      </w:r>
      <w:r w:rsidR="00451236">
        <w:rPr>
          <w:rFonts w:ascii="Times New Roman" w:hAnsi="Times New Roman"/>
          <w:sz w:val="26"/>
          <w:szCs w:val="26"/>
        </w:rPr>
        <w:tab/>
      </w:r>
    </w:p>
    <w:p w:rsidR="000E5055" w14:paraId="0A9E2596" w14:textId="77777777">
      <w:pPr>
        <w:spacing w:after="0" w:line="240" w:lineRule="auto"/>
        <w:rPr>
          <w:rFonts w:ascii="Times New Roman" w:hAnsi="Times New Roman"/>
          <w:sz w:val="26"/>
          <w:szCs w:val="26"/>
        </w:rPr>
      </w:pPr>
    </w:p>
    <w:p w:rsidR="00CC72A5" w14:paraId="62912085" w14:textId="4F71D1C4">
      <w:pPr>
        <w:spacing w:after="0" w:line="240" w:lineRule="auto"/>
        <w:rPr>
          <w:rFonts w:ascii="Times New Roman" w:hAnsi="Times New Roman"/>
          <w:sz w:val="26"/>
          <w:szCs w:val="26"/>
        </w:rPr>
      </w:pPr>
      <w:r w:rsidRPr="00542F3A">
        <w:rPr>
          <w:rFonts w:ascii="Times New Roman" w:hAnsi="Times New Roman"/>
          <w:sz w:val="26"/>
          <w:szCs w:val="26"/>
        </w:rPr>
        <w:t>Additionally, the uniformity helps accurately present the entity's financial condition and produces comprehensive data related to the entity's financial history</w:t>
      </w:r>
      <w:r>
        <w:rPr>
          <w:rFonts w:ascii="Times New Roman" w:hAnsi="Times New Roman"/>
          <w:sz w:val="26"/>
          <w:szCs w:val="26"/>
        </w:rPr>
        <w:t>,</w:t>
      </w:r>
      <w:r w:rsidRPr="00542F3A">
        <w:rPr>
          <w:rFonts w:ascii="Times New Roman" w:hAnsi="Times New Roman"/>
          <w:sz w:val="26"/>
          <w:szCs w:val="26"/>
        </w:rPr>
        <w:t xml:space="preserve"> which guide</w:t>
      </w:r>
      <w:r>
        <w:rPr>
          <w:rFonts w:ascii="Times New Roman" w:hAnsi="Times New Roman"/>
          <w:sz w:val="26"/>
          <w:szCs w:val="26"/>
        </w:rPr>
        <w:t>s</w:t>
      </w:r>
      <w:r w:rsidRPr="00542F3A">
        <w:rPr>
          <w:rFonts w:ascii="Times New Roman" w:hAnsi="Times New Roman"/>
          <w:sz w:val="26"/>
          <w:szCs w:val="26"/>
        </w:rPr>
        <w:t xml:space="preserve"> future action.  </w:t>
      </w:r>
      <w:r>
        <w:rPr>
          <w:rFonts w:ascii="Times New Roman" w:hAnsi="Times New Roman"/>
          <w:sz w:val="26"/>
          <w:szCs w:val="26"/>
        </w:rPr>
        <w:t>Absent the uniformity provided by the USofA, it would be difficult to c</w:t>
      </w:r>
      <w:r w:rsidRPr="00542F3A">
        <w:rPr>
          <w:rFonts w:ascii="Times New Roman" w:hAnsi="Times New Roman"/>
          <w:sz w:val="26"/>
          <w:szCs w:val="26"/>
        </w:rPr>
        <w:t>ompar</w:t>
      </w:r>
      <w:r>
        <w:rPr>
          <w:rFonts w:ascii="Times New Roman" w:hAnsi="Times New Roman"/>
          <w:sz w:val="26"/>
          <w:szCs w:val="26"/>
        </w:rPr>
        <w:t>e</w:t>
      </w:r>
      <w:r w:rsidRPr="00542F3A">
        <w:rPr>
          <w:rFonts w:ascii="Times New Roman" w:hAnsi="Times New Roman"/>
          <w:sz w:val="26"/>
          <w:szCs w:val="26"/>
        </w:rPr>
        <w:t xml:space="preserve"> data and</w:t>
      </w:r>
      <w:r>
        <w:rPr>
          <w:rFonts w:ascii="Times New Roman" w:hAnsi="Times New Roman"/>
          <w:sz w:val="26"/>
          <w:szCs w:val="26"/>
        </w:rPr>
        <w:t xml:space="preserve"> analyze</w:t>
      </w:r>
      <w:r w:rsidRPr="00542F3A">
        <w:rPr>
          <w:rFonts w:ascii="Times New Roman" w:hAnsi="Times New Roman"/>
          <w:sz w:val="26"/>
          <w:szCs w:val="26"/>
        </w:rPr>
        <w:t xml:space="preserve"> financial statement</w:t>
      </w:r>
      <w:r>
        <w:rPr>
          <w:rFonts w:ascii="Times New Roman" w:hAnsi="Times New Roman"/>
          <w:sz w:val="26"/>
          <w:szCs w:val="26"/>
        </w:rPr>
        <w:t>s</w:t>
      </w:r>
      <w:r w:rsidRPr="00542F3A">
        <w:rPr>
          <w:rFonts w:ascii="Times New Roman" w:hAnsi="Times New Roman"/>
          <w:sz w:val="26"/>
          <w:szCs w:val="26"/>
        </w:rPr>
        <w:t xml:space="preserve"> for a particular entity from one period to the next, or between entities within the same industry.</w:t>
      </w:r>
    </w:p>
    <w:p w:rsidR="00E04EAA" w14:paraId="3A11E5B0" w14:textId="77777777">
      <w:pPr>
        <w:spacing w:after="0" w:line="240" w:lineRule="auto"/>
        <w:rPr>
          <w:rFonts w:ascii="Times New Roman" w:hAnsi="Times New Roman"/>
          <w:sz w:val="26"/>
          <w:szCs w:val="26"/>
        </w:rPr>
      </w:pPr>
    </w:p>
    <w:p w:rsidR="00E04EAA" w:rsidRPr="0073506C" w14:paraId="546ACCBB" w14:textId="0B346F71">
      <w:pPr>
        <w:spacing w:after="0" w:line="240" w:lineRule="auto"/>
        <w:rPr>
          <w:rFonts w:ascii="Times New Roman" w:hAnsi="Times New Roman"/>
          <w:sz w:val="26"/>
          <w:szCs w:val="26"/>
        </w:rPr>
      </w:pPr>
      <w:r w:rsidRPr="00C10438">
        <w:rPr>
          <w:rFonts w:ascii="Times New Roman" w:hAnsi="Times New Roman"/>
          <w:sz w:val="26"/>
          <w:szCs w:val="26"/>
        </w:rPr>
        <w:t xml:space="preserve">Furthermore, </w:t>
      </w:r>
      <w:r w:rsidR="005321FC">
        <w:rPr>
          <w:rFonts w:ascii="Times New Roman" w:hAnsi="Times New Roman"/>
          <w:sz w:val="26"/>
          <w:szCs w:val="26"/>
        </w:rPr>
        <w:t xml:space="preserve">some </w:t>
      </w:r>
      <w:r w:rsidRPr="00C10438">
        <w:rPr>
          <w:rFonts w:ascii="Times New Roman" w:hAnsi="Times New Roman"/>
          <w:sz w:val="26"/>
          <w:szCs w:val="26"/>
        </w:rPr>
        <w:t xml:space="preserve">state regulatory commissions use </w:t>
      </w:r>
      <w:r w:rsidR="00CD5C3D">
        <w:rPr>
          <w:rFonts w:ascii="Times New Roman" w:hAnsi="Times New Roman"/>
          <w:sz w:val="26"/>
          <w:szCs w:val="26"/>
        </w:rPr>
        <w:t xml:space="preserve">this data </w:t>
      </w:r>
      <w:r w:rsidRPr="00C10438">
        <w:rPr>
          <w:rFonts w:ascii="Times New Roman" w:hAnsi="Times New Roman"/>
          <w:sz w:val="26"/>
          <w:szCs w:val="26"/>
        </w:rPr>
        <w:t xml:space="preserve">and the Commission’s USofA to satisfy their reporting requirements for those companies under their jurisdiction. </w:t>
      </w:r>
      <w:r w:rsidR="00E51025">
        <w:rPr>
          <w:rFonts w:ascii="Times New Roman" w:hAnsi="Times New Roman"/>
          <w:sz w:val="26"/>
          <w:szCs w:val="26"/>
        </w:rPr>
        <w:t xml:space="preserve"> </w:t>
      </w:r>
      <w:r w:rsidRPr="00C10438">
        <w:rPr>
          <w:rFonts w:ascii="Times New Roman" w:hAnsi="Times New Roman"/>
          <w:sz w:val="26"/>
          <w:szCs w:val="26"/>
        </w:rPr>
        <w:t xml:space="preserve">In addition, the public uses the data to assist in monitoring rates, the financial condition of the </w:t>
      </w:r>
      <w:r w:rsidR="000A25C9">
        <w:rPr>
          <w:rFonts w:ascii="Times New Roman" w:hAnsi="Times New Roman"/>
          <w:sz w:val="26"/>
          <w:szCs w:val="26"/>
        </w:rPr>
        <w:t>electric and gas</w:t>
      </w:r>
      <w:r w:rsidRPr="00C10438">
        <w:rPr>
          <w:rFonts w:ascii="Times New Roman" w:hAnsi="Times New Roman"/>
          <w:sz w:val="26"/>
          <w:szCs w:val="26"/>
        </w:rPr>
        <w:t xml:space="preserve"> industry, and in assessing energy markets.</w:t>
      </w:r>
    </w:p>
    <w:p w:rsidR="00542F3A" w:rsidRPr="00542F3A" w:rsidP="00542F3A" w14:paraId="448356C9" w14:textId="75EDEF63">
      <w:pPr>
        <w:spacing w:after="0" w:line="240" w:lineRule="auto"/>
        <w:rPr>
          <w:rFonts w:ascii="Times New Roman" w:hAnsi="Times New Roman"/>
          <w:sz w:val="26"/>
          <w:szCs w:val="26"/>
        </w:rPr>
      </w:pPr>
    </w:p>
    <w:p w:rsidR="00136DE8" w:rsidP="00136DE8" w14:paraId="6383684B" w14:textId="4A3958D5">
      <w:pPr>
        <w:spacing w:after="0" w:line="240" w:lineRule="auto"/>
        <w:rPr>
          <w:rFonts w:ascii="Times New Roman" w:hAnsi="Times New Roman"/>
          <w:sz w:val="26"/>
          <w:szCs w:val="26"/>
        </w:rPr>
      </w:pPr>
      <w:r w:rsidRPr="00337956">
        <w:rPr>
          <w:rFonts w:ascii="Times New Roman" w:hAnsi="Times New Roman"/>
          <w:sz w:val="26"/>
          <w:szCs w:val="26"/>
        </w:rPr>
        <w:t xml:space="preserve">If data from FERC Form </w:t>
      </w:r>
      <w:r w:rsidR="002C69A8">
        <w:rPr>
          <w:rFonts w:ascii="Times New Roman" w:hAnsi="Times New Roman"/>
          <w:sz w:val="26"/>
          <w:szCs w:val="26"/>
        </w:rPr>
        <w:t xml:space="preserve">No. </w:t>
      </w:r>
      <w:r w:rsidR="00EA5E5B">
        <w:rPr>
          <w:rFonts w:ascii="Times New Roman" w:hAnsi="Times New Roman"/>
          <w:sz w:val="26"/>
          <w:szCs w:val="26"/>
        </w:rPr>
        <w:t>3Q</w:t>
      </w:r>
      <w:r w:rsidRPr="00337956">
        <w:rPr>
          <w:rFonts w:ascii="Times New Roman" w:hAnsi="Times New Roman"/>
          <w:sz w:val="26"/>
          <w:szCs w:val="26"/>
        </w:rPr>
        <w:t xml:space="preserve"> were not available, it would be difficult for the Commission to meet its mandatory responsibilities to ensure just and reasonable rates for wholesale sales of </w:t>
      </w:r>
      <w:r w:rsidR="00B60C4A">
        <w:rPr>
          <w:rFonts w:ascii="Times New Roman" w:hAnsi="Times New Roman"/>
          <w:sz w:val="26"/>
          <w:szCs w:val="26"/>
        </w:rPr>
        <w:t>natural gas,</w:t>
      </w:r>
      <w:r w:rsidRPr="00337956" w:rsidR="00B60C4A">
        <w:rPr>
          <w:rFonts w:ascii="Times New Roman" w:hAnsi="Times New Roman"/>
          <w:sz w:val="26"/>
          <w:szCs w:val="26"/>
        </w:rPr>
        <w:t xml:space="preserve"> </w:t>
      </w:r>
      <w:r w:rsidRPr="00337956">
        <w:rPr>
          <w:rFonts w:ascii="Times New Roman" w:hAnsi="Times New Roman"/>
          <w:sz w:val="26"/>
          <w:szCs w:val="26"/>
        </w:rPr>
        <w:t>electricity</w:t>
      </w:r>
      <w:r w:rsidR="00EE29D9">
        <w:rPr>
          <w:rFonts w:ascii="Times New Roman" w:hAnsi="Times New Roman"/>
          <w:sz w:val="26"/>
          <w:szCs w:val="26"/>
        </w:rPr>
        <w:t xml:space="preserve">, </w:t>
      </w:r>
      <w:r w:rsidRPr="00337956">
        <w:rPr>
          <w:rFonts w:ascii="Times New Roman" w:hAnsi="Times New Roman"/>
          <w:sz w:val="26"/>
          <w:szCs w:val="26"/>
        </w:rPr>
        <w:t xml:space="preserve">and transmission in interstate commerce for jurisdictional utilities, power marketers, power pools, power exchanges, and independent system operators and to oversee the issuance of certain stock and debt securities, assumption of obligations and liabilities, and mergers because the Commission would have </w:t>
      </w:r>
      <w:r w:rsidR="00EA5E5B">
        <w:rPr>
          <w:rFonts w:ascii="Times New Roman" w:hAnsi="Times New Roman"/>
          <w:sz w:val="26"/>
          <w:szCs w:val="26"/>
        </w:rPr>
        <w:t xml:space="preserve">less timely information and </w:t>
      </w:r>
      <w:r w:rsidRPr="00337956">
        <w:rPr>
          <w:rFonts w:ascii="Times New Roman" w:hAnsi="Times New Roman"/>
          <w:sz w:val="26"/>
          <w:szCs w:val="26"/>
        </w:rPr>
        <w:t xml:space="preserve">fewer regulatory mechanisms to ensure transparency and to protect ratepayers. </w:t>
      </w:r>
      <w:r w:rsidR="00B86745">
        <w:rPr>
          <w:rFonts w:ascii="Times New Roman" w:hAnsi="Times New Roman"/>
          <w:sz w:val="26"/>
          <w:szCs w:val="26"/>
        </w:rPr>
        <w:t xml:space="preserve"> </w:t>
      </w:r>
      <w:r w:rsidRPr="00136DE8">
        <w:rPr>
          <w:rFonts w:ascii="Times New Roman" w:hAnsi="Times New Roman"/>
          <w:sz w:val="26"/>
          <w:szCs w:val="26"/>
        </w:rPr>
        <w:t>The financial information filed with the Commission represents, in most cases, the only source of financial data presented in a format and detail suitable for the Commission to exercise its duties and responsibilities</w:t>
      </w:r>
      <w:r w:rsidR="004E527D">
        <w:rPr>
          <w:rFonts w:ascii="Times New Roman" w:hAnsi="Times New Roman"/>
          <w:sz w:val="26"/>
          <w:szCs w:val="26"/>
        </w:rPr>
        <w:t>.</w:t>
      </w:r>
      <w:r>
        <w:rPr>
          <w:rFonts w:ascii="Times New Roman" w:hAnsi="Times New Roman"/>
          <w:b/>
          <w:bCs/>
          <w:sz w:val="26"/>
          <w:szCs w:val="26"/>
          <w:vertAlign w:val="superscript"/>
        </w:rPr>
        <w:footnoteReference w:id="5"/>
      </w:r>
    </w:p>
    <w:p w:rsidR="001A0DAB" w:rsidP="001A0DAB" w14:paraId="597D2002" w14:textId="77777777">
      <w:pPr>
        <w:spacing w:after="0" w:line="240" w:lineRule="auto"/>
        <w:rPr>
          <w:rFonts w:ascii="Times New Roman" w:hAnsi="Times New Roman"/>
          <w:b/>
          <w:bCs/>
          <w:sz w:val="26"/>
          <w:szCs w:val="26"/>
        </w:rPr>
      </w:pPr>
    </w:p>
    <w:p w:rsidR="001A0DAB" w:rsidP="001B25F2" w14:paraId="61224EC6" w14:textId="75A3F6F2">
      <w:pPr>
        <w:spacing w:after="0" w:line="240" w:lineRule="auto"/>
        <w:rPr>
          <w:rFonts w:ascii="Times New Roman" w:hAnsi="Times New Roman"/>
          <w:b/>
          <w:bCs/>
          <w:sz w:val="26"/>
          <w:szCs w:val="26"/>
        </w:rPr>
      </w:pPr>
      <w:r>
        <w:rPr>
          <w:rFonts w:ascii="Times New Roman" w:hAnsi="Times New Roman"/>
          <w:b/>
          <w:bCs/>
          <w:sz w:val="26"/>
          <w:szCs w:val="26"/>
        </w:rPr>
        <w:t>Proposed changes</w:t>
      </w:r>
      <w:r w:rsidR="001B25F2">
        <w:rPr>
          <w:rFonts w:ascii="Times New Roman" w:hAnsi="Times New Roman"/>
          <w:b/>
          <w:bCs/>
          <w:sz w:val="26"/>
          <w:szCs w:val="26"/>
        </w:rPr>
        <w:t xml:space="preserve"> to</w:t>
      </w:r>
      <w:r>
        <w:rPr>
          <w:rFonts w:ascii="Times New Roman" w:hAnsi="Times New Roman"/>
          <w:b/>
          <w:bCs/>
          <w:sz w:val="26"/>
          <w:szCs w:val="26"/>
        </w:rPr>
        <w:t xml:space="preserve"> </w:t>
      </w:r>
      <w:r w:rsidRPr="007020C0" w:rsidR="001B25F2">
        <w:rPr>
          <w:rFonts w:ascii="Times New Roman" w:hAnsi="Times New Roman"/>
          <w:b/>
          <w:bCs/>
          <w:sz w:val="26"/>
          <w:szCs w:val="26"/>
        </w:rPr>
        <w:t xml:space="preserve">FERC Form </w:t>
      </w:r>
      <w:r w:rsidR="002C69A8">
        <w:rPr>
          <w:rFonts w:ascii="Times New Roman" w:hAnsi="Times New Roman"/>
          <w:b/>
          <w:bCs/>
          <w:sz w:val="26"/>
          <w:szCs w:val="26"/>
        </w:rPr>
        <w:t xml:space="preserve">No. </w:t>
      </w:r>
      <w:r w:rsidRPr="007020C0" w:rsidR="001B25F2">
        <w:rPr>
          <w:rFonts w:ascii="Times New Roman" w:hAnsi="Times New Roman"/>
          <w:b/>
          <w:bCs/>
          <w:sz w:val="26"/>
          <w:szCs w:val="26"/>
        </w:rPr>
        <w:t>3Q</w:t>
      </w:r>
      <w:r w:rsidR="001B25F2">
        <w:rPr>
          <w:rFonts w:ascii="Times New Roman" w:hAnsi="Times New Roman"/>
          <w:b/>
          <w:bCs/>
          <w:sz w:val="26"/>
          <w:szCs w:val="26"/>
        </w:rPr>
        <w:t xml:space="preserve"> </w:t>
      </w:r>
      <w:r>
        <w:rPr>
          <w:rFonts w:ascii="Times New Roman" w:hAnsi="Times New Roman"/>
          <w:b/>
          <w:bCs/>
          <w:sz w:val="26"/>
          <w:szCs w:val="26"/>
        </w:rPr>
        <w:t>in</w:t>
      </w:r>
      <w:r w:rsidRPr="00232129">
        <w:rPr>
          <w:rFonts w:ascii="Times New Roman" w:hAnsi="Times New Roman"/>
          <w:b/>
          <w:bCs/>
          <w:sz w:val="26"/>
          <w:szCs w:val="26"/>
        </w:rPr>
        <w:t xml:space="preserve"> </w:t>
      </w:r>
      <w:r w:rsidRPr="00AD49BE">
        <w:rPr>
          <w:rFonts w:ascii="Times New Roman" w:hAnsi="Times New Roman"/>
          <w:b/>
          <w:bCs/>
          <w:sz w:val="26"/>
          <w:szCs w:val="26"/>
        </w:rPr>
        <w:t>RM26-</w:t>
      </w:r>
      <w:r w:rsidRPr="00AD49BE" w:rsidR="00D760D2">
        <w:rPr>
          <w:rFonts w:ascii="Times New Roman" w:hAnsi="Times New Roman"/>
          <w:b/>
          <w:bCs/>
          <w:sz w:val="26"/>
          <w:szCs w:val="26"/>
        </w:rPr>
        <w:t>12</w:t>
      </w:r>
      <w:r w:rsidRPr="00AD49BE">
        <w:rPr>
          <w:rFonts w:ascii="Times New Roman" w:hAnsi="Times New Roman"/>
          <w:b/>
          <w:bCs/>
          <w:sz w:val="26"/>
          <w:szCs w:val="26"/>
        </w:rPr>
        <w:t>-000</w:t>
      </w:r>
    </w:p>
    <w:p w:rsidR="005321FC" w:rsidRPr="00232129" w:rsidP="001B25F2" w14:paraId="1223D15B" w14:textId="77777777">
      <w:pPr>
        <w:spacing w:after="0" w:line="240" w:lineRule="auto"/>
        <w:rPr>
          <w:rFonts w:ascii="Times New Roman" w:hAnsi="Times New Roman"/>
          <w:b/>
          <w:bCs/>
          <w:sz w:val="26"/>
          <w:szCs w:val="26"/>
        </w:rPr>
      </w:pPr>
    </w:p>
    <w:p w:rsidR="00DC09C7" w:rsidRPr="00215406" w:rsidP="00AD49BE" w14:paraId="18281FD0" w14:textId="16183567">
      <w:pPr>
        <w:spacing w:after="0" w:line="240" w:lineRule="auto"/>
        <w:rPr>
          <w:rFonts w:ascii="Times New Roman" w:hAnsi="Times New Roman"/>
          <w:iCs/>
          <w:sz w:val="26"/>
          <w:szCs w:val="26"/>
        </w:rPr>
      </w:pPr>
      <w:r>
        <w:rPr>
          <w:rFonts w:ascii="Times New Roman" w:hAnsi="Times New Roman"/>
          <w:iCs/>
          <w:sz w:val="26"/>
          <w:szCs w:val="26"/>
        </w:rPr>
        <w:t>T</w:t>
      </w:r>
      <w:r w:rsidRPr="0096003F">
        <w:rPr>
          <w:rFonts w:ascii="Times New Roman" w:hAnsi="Times New Roman"/>
          <w:iCs/>
          <w:sz w:val="26"/>
          <w:szCs w:val="26"/>
        </w:rPr>
        <w:t xml:space="preserve">he Commission conducted a </w:t>
      </w:r>
      <w:r w:rsidRPr="00215ED7">
        <w:rPr>
          <w:rFonts w:ascii="Times New Roman" w:hAnsi="Times New Roman"/>
          <w:iCs/>
          <w:sz w:val="26"/>
          <w:szCs w:val="26"/>
        </w:rPr>
        <w:t xml:space="preserve">comprehensive review of the </w:t>
      </w:r>
      <w:r w:rsidRPr="0096003F">
        <w:rPr>
          <w:rFonts w:ascii="Times New Roman" w:hAnsi="Times New Roman"/>
          <w:iCs/>
          <w:sz w:val="26"/>
          <w:szCs w:val="26"/>
        </w:rPr>
        <w:t xml:space="preserve">information collected in the </w:t>
      </w:r>
      <w:r w:rsidR="002C0923">
        <w:rPr>
          <w:rFonts w:ascii="Times New Roman" w:hAnsi="Times New Roman"/>
          <w:iCs/>
          <w:sz w:val="26"/>
          <w:szCs w:val="26"/>
        </w:rPr>
        <w:t>q</w:t>
      </w:r>
      <w:r w:rsidRPr="0096003F">
        <w:rPr>
          <w:rFonts w:ascii="Times New Roman" w:hAnsi="Times New Roman"/>
          <w:iCs/>
          <w:sz w:val="26"/>
          <w:szCs w:val="26"/>
        </w:rPr>
        <w:t xml:space="preserve">uarterly </w:t>
      </w:r>
      <w:r w:rsidR="002C0923">
        <w:rPr>
          <w:rFonts w:ascii="Times New Roman" w:hAnsi="Times New Roman"/>
          <w:iCs/>
          <w:sz w:val="26"/>
          <w:szCs w:val="26"/>
        </w:rPr>
        <w:t>f</w:t>
      </w:r>
      <w:r w:rsidRPr="0096003F">
        <w:rPr>
          <w:rFonts w:ascii="Times New Roman" w:hAnsi="Times New Roman"/>
          <w:iCs/>
          <w:sz w:val="26"/>
          <w:szCs w:val="26"/>
        </w:rPr>
        <w:t xml:space="preserve">inancial </w:t>
      </w:r>
      <w:r w:rsidR="002C0923">
        <w:rPr>
          <w:rFonts w:ascii="Times New Roman" w:hAnsi="Times New Roman"/>
          <w:iCs/>
          <w:sz w:val="26"/>
          <w:szCs w:val="26"/>
        </w:rPr>
        <w:t>f</w:t>
      </w:r>
      <w:r w:rsidRPr="0096003F">
        <w:rPr>
          <w:rFonts w:ascii="Times New Roman" w:hAnsi="Times New Roman"/>
          <w:iCs/>
          <w:sz w:val="26"/>
          <w:szCs w:val="26"/>
        </w:rPr>
        <w:t xml:space="preserve">orms and proposes </w:t>
      </w:r>
      <w:r w:rsidRPr="0096003F">
        <w:rPr>
          <w:rFonts w:ascii="Times New Roman" w:hAnsi="Times New Roman"/>
          <w:iCs/>
          <w:sz w:val="26"/>
          <w:szCs w:val="26"/>
        </w:rPr>
        <w:t>to delete</w:t>
      </w:r>
      <w:r w:rsidR="001F17CD">
        <w:rPr>
          <w:rFonts w:ascii="Times New Roman" w:hAnsi="Times New Roman"/>
          <w:iCs/>
          <w:sz w:val="26"/>
          <w:szCs w:val="26"/>
        </w:rPr>
        <w:t xml:space="preserve"> </w:t>
      </w:r>
      <w:r w:rsidR="00B34B0D">
        <w:rPr>
          <w:rFonts w:ascii="Times New Roman" w:hAnsi="Times New Roman"/>
          <w:iCs/>
          <w:sz w:val="26"/>
          <w:szCs w:val="26"/>
        </w:rPr>
        <w:t xml:space="preserve">a total of </w:t>
      </w:r>
      <w:r w:rsidR="00BF12F0">
        <w:rPr>
          <w:rFonts w:ascii="Times New Roman" w:hAnsi="Times New Roman"/>
          <w:iCs/>
          <w:sz w:val="26"/>
          <w:szCs w:val="26"/>
        </w:rPr>
        <w:t>20</w:t>
      </w:r>
      <w:r w:rsidR="00B34B0D">
        <w:rPr>
          <w:rFonts w:ascii="Times New Roman" w:hAnsi="Times New Roman"/>
          <w:iCs/>
          <w:sz w:val="26"/>
          <w:szCs w:val="26"/>
        </w:rPr>
        <w:t xml:space="preserve"> </w:t>
      </w:r>
      <w:r w:rsidRPr="0096003F">
        <w:rPr>
          <w:rFonts w:ascii="Times New Roman" w:hAnsi="Times New Roman"/>
          <w:iCs/>
          <w:sz w:val="26"/>
          <w:szCs w:val="26"/>
        </w:rPr>
        <w:t xml:space="preserve">schedules </w:t>
      </w:r>
      <w:r w:rsidR="00D55089">
        <w:rPr>
          <w:rFonts w:ascii="Times New Roman" w:hAnsi="Times New Roman"/>
          <w:iCs/>
          <w:sz w:val="26"/>
          <w:szCs w:val="26"/>
        </w:rPr>
        <w:t xml:space="preserve">from </w:t>
      </w:r>
      <w:r w:rsidRPr="00C8211B" w:rsidR="001F17CD">
        <w:rPr>
          <w:rFonts w:ascii="Times New Roman" w:hAnsi="Times New Roman"/>
          <w:iCs/>
          <w:sz w:val="26"/>
          <w:szCs w:val="26"/>
        </w:rPr>
        <w:t>FERC Form No. 3-Q</w:t>
      </w:r>
      <w:r w:rsidR="00F033E3">
        <w:rPr>
          <w:rFonts w:ascii="Times New Roman" w:hAnsi="Times New Roman"/>
          <w:iCs/>
          <w:sz w:val="26"/>
          <w:szCs w:val="26"/>
        </w:rPr>
        <w:t xml:space="preserve"> across both Electric</w:t>
      </w:r>
      <w:r w:rsidR="00C522E7">
        <w:rPr>
          <w:rFonts w:ascii="Times New Roman" w:hAnsi="Times New Roman"/>
          <w:iCs/>
          <w:sz w:val="26"/>
          <w:szCs w:val="26"/>
        </w:rPr>
        <w:t xml:space="preserve"> (1</w:t>
      </w:r>
      <w:r w:rsidR="00D83ACF">
        <w:rPr>
          <w:rFonts w:ascii="Times New Roman" w:hAnsi="Times New Roman"/>
          <w:iCs/>
          <w:sz w:val="26"/>
          <w:szCs w:val="26"/>
        </w:rPr>
        <w:t>7</w:t>
      </w:r>
      <w:r w:rsidR="00B34B0D">
        <w:rPr>
          <w:rFonts w:ascii="Times New Roman" w:hAnsi="Times New Roman"/>
          <w:iCs/>
          <w:sz w:val="26"/>
          <w:szCs w:val="26"/>
        </w:rPr>
        <w:t xml:space="preserve"> schedules)</w:t>
      </w:r>
      <w:r w:rsidR="00F033E3">
        <w:rPr>
          <w:rFonts w:ascii="Times New Roman" w:hAnsi="Times New Roman"/>
          <w:iCs/>
          <w:sz w:val="26"/>
          <w:szCs w:val="26"/>
        </w:rPr>
        <w:t xml:space="preserve"> and Gas </w:t>
      </w:r>
      <w:r w:rsidR="00C522E7">
        <w:rPr>
          <w:rFonts w:ascii="Times New Roman" w:hAnsi="Times New Roman"/>
          <w:iCs/>
          <w:sz w:val="26"/>
          <w:szCs w:val="26"/>
        </w:rPr>
        <w:t>(3</w:t>
      </w:r>
      <w:r w:rsidR="00B34B0D">
        <w:rPr>
          <w:rFonts w:ascii="Times New Roman" w:hAnsi="Times New Roman"/>
          <w:iCs/>
          <w:sz w:val="26"/>
          <w:szCs w:val="26"/>
        </w:rPr>
        <w:t xml:space="preserve"> schedules</w:t>
      </w:r>
      <w:r w:rsidR="00C522E7">
        <w:rPr>
          <w:rFonts w:ascii="Times New Roman" w:hAnsi="Times New Roman"/>
          <w:iCs/>
          <w:sz w:val="26"/>
          <w:szCs w:val="26"/>
        </w:rPr>
        <w:t>)</w:t>
      </w:r>
      <w:r w:rsidR="001F17CD">
        <w:rPr>
          <w:rFonts w:ascii="Times New Roman" w:hAnsi="Times New Roman"/>
          <w:iCs/>
          <w:sz w:val="26"/>
          <w:szCs w:val="26"/>
        </w:rPr>
        <w:t xml:space="preserve">. </w:t>
      </w:r>
      <w:r w:rsidR="00B2406D">
        <w:rPr>
          <w:rFonts w:ascii="Times New Roman" w:hAnsi="Times New Roman"/>
          <w:iCs/>
          <w:sz w:val="26"/>
          <w:szCs w:val="26"/>
        </w:rPr>
        <w:t xml:space="preserve"> </w:t>
      </w:r>
      <w:r w:rsidR="00D55089">
        <w:rPr>
          <w:rFonts w:ascii="Times New Roman" w:hAnsi="Times New Roman"/>
          <w:iCs/>
          <w:sz w:val="26"/>
          <w:szCs w:val="26"/>
        </w:rPr>
        <w:t>In this NOPR, t</w:t>
      </w:r>
      <w:r w:rsidRPr="0096003F">
        <w:rPr>
          <w:rFonts w:ascii="Times New Roman" w:hAnsi="Times New Roman"/>
          <w:iCs/>
          <w:sz w:val="26"/>
          <w:szCs w:val="26"/>
        </w:rPr>
        <w:t xml:space="preserve">he Commission seeks </w:t>
      </w:r>
      <w:r w:rsidRPr="0096003F">
        <w:rPr>
          <w:rFonts w:ascii="Times New Roman" w:hAnsi="Times New Roman"/>
          <w:iCs/>
          <w:sz w:val="26"/>
          <w:szCs w:val="26"/>
        </w:rPr>
        <w:t>comment</w:t>
      </w:r>
      <w:r w:rsidRPr="0096003F">
        <w:rPr>
          <w:rFonts w:ascii="Times New Roman" w:hAnsi="Times New Roman"/>
          <w:iCs/>
          <w:sz w:val="26"/>
          <w:szCs w:val="26"/>
        </w:rPr>
        <w:t xml:space="preserve"> on whether the data reported on the indicated schedules is helpful to the public and, if so, how this data is used.  The Commission also seeks comment on whether there may be a better way for the public to access the data </w:t>
      </w:r>
      <w:r w:rsidR="008F643D">
        <w:rPr>
          <w:rFonts w:ascii="Times New Roman" w:hAnsi="Times New Roman"/>
          <w:iCs/>
          <w:sz w:val="26"/>
          <w:szCs w:val="26"/>
        </w:rPr>
        <w:t xml:space="preserve">in these 20 schedules, </w:t>
      </w:r>
      <w:r w:rsidRPr="0096003F">
        <w:rPr>
          <w:rFonts w:ascii="Times New Roman" w:hAnsi="Times New Roman"/>
          <w:iCs/>
          <w:sz w:val="26"/>
          <w:szCs w:val="26"/>
        </w:rPr>
        <w:t xml:space="preserve">rather than through the </w:t>
      </w:r>
      <w:r w:rsidR="008F643D">
        <w:rPr>
          <w:rFonts w:ascii="Times New Roman" w:hAnsi="Times New Roman"/>
          <w:iCs/>
          <w:sz w:val="26"/>
          <w:szCs w:val="26"/>
        </w:rPr>
        <w:t>q</w:t>
      </w:r>
      <w:r w:rsidRPr="0096003F">
        <w:rPr>
          <w:rFonts w:ascii="Times New Roman" w:hAnsi="Times New Roman"/>
          <w:iCs/>
          <w:sz w:val="26"/>
          <w:szCs w:val="26"/>
        </w:rPr>
        <w:t xml:space="preserve">uarterly </w:t>
      </w:r>
      <w:r w:rsidR="008F643D">
        <w:rPr>
          <w:rFonts w:ascii="Times New Roman" w:hAnsi="Times New Roman"/>
          <w:iCs/>
          <w:sz w:val="26"/>
          <w:szCs w:val="26"/>
        </w:rPr>
        <w:t>f</w:t>
      </w:r>
      <w:r w:rsidRPr="0096003F">
        <w:rPr>
          <w:rFonts w:ascii="Times New Roman" w:hAnsi="Times New Roman"/>
          <w:iCs/>
          <w:sz w:val="26"/>
          <w:szCs w:val="26"/>
        </w:rPr>
        <w:t xml:space="preserve">inancial </w:t>
      </w:r>
      <w:r w:rsidR="008F643D">
        <w:rPr>
          <w:rFonts w:ascii="Times New Roman" w:hAnsi="Times New Roman"/>
          <w:iCs/>
          <w:sz w:val="26"/>
          <w:szCs w:val="26"/>
        </w:rPr>
        <w:t>f</w:t>
      </w:r>
      <w:r w:rsidRPr="0096003F">
        <w:rPr>
          <w:rFonts w:ascii="Times New Roman" w:hAnsi="Times New Roman"/>
          <w:iCs/>
          <w:sz w:val="26"/>
          <w:szCs w:val="26"/>
        </w:rPr>
        <w:t>orms.</w:t>
      </w:r>
    </w:p>
    <w:p w:rsidR="00232129" w:rsidP="00BD0F89" w14:paraId="7B2D1F02" w14:textId="0D0B76E9">
      <w:pPr>
        <w:spacing w:after="0" w:line="240" w:lineRule="auto"/>
        <w:rPr>
          <w:rFonts w:ascii="Times New Roman" w:hAnsi="Times New Roman"/>
          <w:sz w:val="26"/>
          <w:szCs w:val="26"/>
        </w:rPr>
      </w:pPr>
    </w:p>
    <w:p w:rsidR="00471F97" w:rsidRPr="0073506C" w:rsidP="00BD0F89" w14:paraId="5FCC3BB8"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DESCRIBE ANY CONSIDERATION OF THE USE OF IMPROVED INFORMATION TECHNOLOGY TO REDUCE THE BURDEN AND TECHNICAL OR LEGAL OBSTACLES TO REDUCING BURDEN</w:t>
      </w:r>
    </w:p>
    <w:p w:rsidR="00471F97" w:rsidRPr="0073506C" w:rsidP="00BD0F89" w14:paraId="391BE832" w14:textId="77777777">
      <w:pPr>
        <w:spacing w:after="0" w:line="240" w:lineRule="auto"/>
        <w:ind w:left="360" w:hanging="360"/>
        <w:rPr>
          <w:rFonts w:ascii="Times New Roman" w:hAnsi="Times New Roman"/>
          <w:sz w:val="26"/>
          <w:szCs w:val="26"/>
        </w:rPr>
      </w:pPr>
    </w:p>
    <w:p w:rsidR="00271EF4" w14:paraId="5047DE1A" w14:textId="78C5311F">
      <w:pPr>
        <w:spacing w:after="0" w:line="240" w:lineRule="auto"/>
        <w:rPr>
          <w:rFonts w:ascii="Times New Roman" w:hAnsi="Times New Roman"/>
          <w:sz w:val="26"/>
          <w:szCs w:val="26"/>
        </w:rPr>
      </w:pPr>
      <w:r w:rsidRPr="0073506C">
        <w:rPr>
          <w:rFonts w:ascii="Times New Roman" w:hAnsi="Times New Roman"/>
          <w:sz w:val="26"/>
          <w:szCs w:val="26"/>
        </w:rPr>
        <w:t xml:space="preserve">The </w:t>
      </w:r>
      <w:r w:rsidRPr="0073506C">
        <w:rPr>
          <w:rFonts w:ascii="Times New Roman" w:hAnsi="Times New Roman"/>
          <w:sz w:val="26"/>
          <w:szCs w:val="26"/>
        </w:rPr>
        <w:t>f</w:t>
      </w:r>
      <w:r w:rsidRPr="0073506C">
        <w:rPr>
          <w:rFonts w:ascii="Times New Roman" w:hAnsi="Times New Roman"/>
          <w:sz w:val="26"/>
          <w:szCs w:val="26"/>
        </w:rPr>
        <w:t>orms are filed electronically</w:t>
      </w:r>
      <w:r w:rsidR="00563359">
        <w:rPr>
          <w:rFonts w:ascii="Times New Roman" w:hAnsi="Times New Roman"/>
          <w:sz w:val="26"/>
          <w:szCs w:val="26"/>
        </w:rPr>
        <w:t xml:space="preserve"> in XBRL</w:t>
      </w:r>
      <w:r w:rsidR="001E61B3">
        <w:rPr>
          <w:rFonts w:ascii="Times New Roman" w:hAnsi="Times New Roman"/>
          <w:sz w:val="26"/>
          <w:szCs w:val="26"/>
        </w:rPr>
        <w:t xml:space="preserve"> through FERC</w:t>
      </w:r>
      <w:r w:rsidR="00BC38DD">
        <w:rPr>
          <w:rFonts w:ascii="Times New Roman" w:hAnsi="Times New Roman"/>
          <w:sz w:val="26"/>
          <w:szCs w:val="26"/>
        </w:rPr>
        <w:t xml:space="preserve">’s </w:t>
      </w:r>
      <w:r w:rsidR="00BC38DD">
        <w:rPr>
          <w:rFonts w:ascii="Times New Roman" w:hAnsi="Times New Roman"/>
          <w:sz w:val="26"/>
          <w:szCs w:val="26"/>
        </w:rPr>
        <w:t>eForms</w:t>
      </w:r>
      <w:r w:rsidR="00BC38DD">
        <w:rPr>
          <w:rFonts w:ascii="Times New Roman" w:hAnsi="Times New Roman"/>
          <w:sz w:val="26"/>
          <w:szCs w:val="26"/>
        </w:rPr>
        <w:t xml:space="preserve"> system</w:t>
      </w:r>
      <w:r w:rsidR="00C514A7">
        <w:rPr>
          <w:rFonts w:ascii="Times New Roman" w:hAnsi="Times New Roman"/>
          <w:sz w:val="26"/>
          <w:szCs w:val="26"/>
        </w:rPr>
        <w:t>.</w:t>
      </w:r>
    </w:p>
    <w:p w:rsidR="00B65D79" w:rsidRPr="0073506C" w:rsidP="00B65D79" w14:paraId="6100A309" w14:textId="77777777">
      <w:pPr>
        <w:spacing w:after="0" w:line="240" w:lineRule="auto"/>
        <w:rPr>
          <w:rFonts w:ascii="Times New Roman" w:hAnsi="Times New Roman"/>
          <w:sz w:val="26"/>
          <w:szCs w:val="26"/>
        </w:rPr>
      </w:pPr>
    </w:p>
    <w:p w:rsidR="00F0627E" w:rsidRPr="0073506C" w:rsidP="00BD0F89" w14:paraId="235E8FE2"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DESCRIBE EFFORTS TO IDENTIFY DUPLICATION AND SHOW SPECIFICALLY WHY ANY SIMILAR INFORMATION ALREADY AVAILABLE CANNOT BE USED OR MODIFIED FOR USE FOR THE PURPOSE(S) DESCRIBED IN INSTRUCTION NO. 2</w:t>
      </w:r>
    </w:p>
    <w:p w:rsidR="00F0627E" w:rsidRPr="0073506C" w:rsidP="00BD0F89" w14:paraId="7DC29030" w14:textId="77777777">
      <w:pPr>
        <w:spacing w:after="0" w:line="240" w:lineRule="auto"/>
        <w:ind w:left="360" w:hanging="360"/>
        <w:rPr>
          <w:rFonts w:ascii="Times New Roman" w:hAnsi="Times New Roman"/>
          <w:sz w:val="26"/>
          <w:szCs w:val="26"/>
        </w:rPr>
      </w:pPr>
    </w:p>
    <w:p w:rsidR="00CE2887" w:rsidRPr="0073506C" w14:paraId="0FA05911" w14:textId="670AC4BC">
      <w:pPr>
        <w:spacing w:after="0" w:line="240" w:lineRule="auto"/>
        <w:rPr>
          <w:rFonts w:ascii="Times New Roman" w:eastAsia="Times New Roman" w:hAnsi="Times New Roman"/>
          <w:sz w:val="26"/>
          <w:szCs w:val="26"/>
        </w:rPr>
      </w:pPr>
      <w:r w:rsidRPr="00641282">
        <w:rPr>
          <w:rFonts w:ascii="Times New Roman" w:eastAsia="Times New Roman" w:hAnsi="Times New Roman"/>
          <w:sz w:val="26"/>
          <w:szCs w:val="26"/>
        </w:rPr>
        <w:t>The Commission's filings and data requirements are periodically reviewed in conjunction with OMB clearance expirat</w:t>
      </w:r>
      <w:r w:rsidRPr="001D3353">
        <w:rPr>
          <w:rFonts w:ascii="Times New Roman" w:eastAsia="Times New Roman" w:hAnsi="Times New Roman"/>
          <w:sz w:val="26"/>
          <w:szCs w:val="26"/>
        </w:rPr>
        <w:t>ion dates.</w:t>
      </w:r>
    </w:p>
    <w:p w:rsidR="0058372E" w:rsidRPr="0073506C" w:rsidP="00CE2887" w14:paraId="2A5B33C6" w14:textId="77777777">
      <w:pPr>
        <w:spacing w:after="0" w:line="240" w:lineRule="auto"/>
        <w:rPr>
          <w:rFonts w:ascii="Times New Roman" w:eastAsia="Times New Roman" w:hAnsi="Times New Roman"/>
          <w:sz w:val="26"/>
          <w:szCs w:val="26"/>
        </w:rPr>
      </w:pPr>
    </w:p>
    <w:p w:rsidR="007F298D" w:rsidRPr="0073506C" w:rsidP="007F298D" w14:paraId="50696163" w14:textId="54E14FF0">
      <w:pPr>
        <w:spacing w:after="0" w:line="240" w:lineRule="auto"/>
        <w:rPr>
          <w:rFonts w:ascii="Times New Roman" w:eastAsia="Times New Roman" w:hAnsi="Times New Roman"/>
          <w:sz w:val="26"/>
          <w:szCs w:val="26"/>
        </w:rPr>
      </w:pPr>
      <w:r w:rsidRPr="000F07BD">
        <w:rPr>
          <w:rFonts w:ascii="Times New Roman" w:eastAsia="Times New Roman" w:hAnsi="Times New Roman"/>
          <w:sz w:val="26"/>
          <w:szCs w:val="26"/>
        </w:rPr>
        <w:t xml:space="preserve">While some jurisdictional entities may file similar </w:t>
      </w:r>
      <w:r>
        <w:rPr>
          <w:rFonts w:ascii="Times New Roman" w:eastAsia="Times New Roman" w:hAnsi="Times New Roman"/>
          <w:sz w:val="26"/>
          <w:szCs w:val="26"/>
        </w:rPr>
        <w:t xml:space="preserve">financial </w:t>
      </w:r>
      <w:r w:rsidRPr="000F07BD">
        <w:rPr>
          <w:rFonts w:ascii="Times New Roman" w:eastAsia="Times New Roman" w:hAnsi="Times New Roman"/>
          <w:sz w:val="26"/>
          <w:szCs w:val="26"/>
        </w:rPr>
        <w:t>information with the Securities and Exchange Commission (SEC), the level of detail concerning assets</w:t>
      </w:r>
      <w:r w:rsidRPr="001D3353">
        <w:rPr>
          <w:rFonts w:ascii="Times New Roman" w:eastAsia="Times New Roman" w:hAnsi="Times New Roman"/>
          <w:sz w:val="26"/>
          <w:szCs w:val="26"/>
        </w:rPr>
        <w:t>, liabilities, stockholders' equity</w:t>
      </w:r>
      <w:r>
        <w:rPr>
          <w:rFonts w:ascii="Times New Roman" w:eastAsia="Times New Roman" w:hAnsi="Times New Roman"/>
          <w:sz w:val="26"/>
          <w:szCs w:val="26"/>
        </w:rPr>
        <w:t>,</w:t>
      </w:r>
      <w:r w:rsidRPr="001D3353">
        <w:rPr>
          <w:rFonts w:ascii="Times New Roman" w:eastAsia="Times New Roman" w:hAnsi="Times New Roman"/>
          <w:sz w:val="26"/>
          <w:szCs w:val="26"/>
        </w:rPr>
        <w:t xml:space="preserve"> along with the revenues, expenses, gains, and losses </w:t>
      </w:r>
      <w:r w:rsidRPr="001D3353">
        <w:rPr>
          <w:rFonts w:ascii="Times New Roman" w:eastAsia="Times New Roman" w:hAnsi="Times New Roman"/>
          <w:sz w:val="26"/>
          <w:szCs w:val="26"/>
        </w:rPr>
        <w:t>differ</w:t>
      </w:r>
      <w:r w:rsidR="00FD1F27">
        <w:rPr>
          <w:rFonts w:ascii="Times New Roman" w:eastAsia="Times New Roman" w:hAnsi="Times New Roman"/>
          <w:sz w:val="26"/>
          <w:szCs w:val="26"/>
        </w:rPr>
        <w:t>s between</w:t>
      </w:r>
      <w:r w:rsidRPr="001D3353">
        <w:rPr>
          <w:rFonts w:ascii="Times New Roman" w:eastAsia="Times New Roman" w:hAnsi="Times New Roman"/>
          <w:sz w:val="26"/>
          <w:szCs w:val="26"/>
        </w:rPr>
        <w:t xml:space="preserve"> the Commission and the SEC.  </w:t>
      </w:r>
      <w:r w:rsidR="00565496">
        <w:rPr>
          <w:rFonts w:ascii="Times New Roman" w:eastAsia="Times New Roman" w:hAnsi="Times New Roman"/>
          <w:sz w:val="26"/>
          <w:szCs w:val="26"/>
        </w:rPr>
        <w:t>A majority</w:t>
      </w:r>
      <w:r w:rsidRPr="001D3353" w:rsidR="00CE3CE1">
        <w:rPr>
          <w:rFonts w:ascii="Times New Roman" w:eastAsia="Times New Roman" w:hAnsi="Times New Roman"/>
          <w:sz w:val="26"/>
          <w:szCs w:val="26"/>
        </w:rPr>
        <w:t xml:space="preserve"> of</w:t>
      </w:r>
      <w:r w:rsidRPr="001D3353">
        <w:rPr>
          <w:rFonts w:ascii="Times New Roman" w:eastAsia="Times New Roman" w:hAnsi="Times New Roman"/>
          <w:sz w:val="26"/>
          <w:szCs w:val="26"/>
        </w:rPr>
        <w:t xml:space="preserve"> the jurisdictional entities that </w:t>
      </w:r>
      <w:r w:rsidR="00582481">
        <w:rPr>
          <w:rFonts w:ascii="Times New Roman" w:eastAsia="Times New Roman" w:hAnsi="Times New Roman"/>
          <w:sz w:val="26"/>
          <w:szCs w:val="26"/>
        </w:rPr>
        <w:t>FERC</w:t>
      </w:r>
      <w:r w:rsidRPr="0073506C">
        <w:rPr>
          <w:rFonts w:ascii="Times New Roman" w:eastAsia="Times New Roman" w:hAnsi="Times New Roman"/>
          <w:sz w:val="26"/>
          <w:szCs w:val="26"/>
        </w:rPr>
        <w:t xml:space="preserve"> </w:t>
      </w:r>
      <w:r w:rsidRPr="0073506C">
        <w:rPr>
          <w:rFonts w:ascii="Times New Roman" w:eastAsia="Times New Roman" w:hAnsi="Times New Roman"/>
          <w:sz w:val="26"/>
          <w:szCs w:val="26"/>
        </w:rPr>
        <w:t>regulates</w:t>
      </w:r>
      <w:r w:rsidRPr="0073506C">
        <w:rPr>
          <w:rFonts w:ascii="Times New Roman" w:eastAsia="Times New Roman" w:hAnsi="Times New Roman"/>
          <w:sz w:val="26"/>
          <w:szCs w:val="26"/>
        </w:rPr>
        <w:t xml:space="preserve"> consolidate their assets, liabilities</w:t>
      </w:r>
      <w:r>
        <w:rPr>
          <w:rFonts w:ascii="Times New Roman" w:eastAsia="Times New Roman" w:hAnsi="Times New Roman"/>
          <w:sz w:val="26"/>
          <w:szCs w:val="26"/>
        </w:rPr>
        <w:t>,</w:t>
      </w:r>
      <w:r w:rsidRPr="0073506C">
        <w:rPr>
          <w:rFonts w:ascii="Times New Roman" w:eastAsia="Times New Roman" w:hAnsi="Times New Roman"/>
          <w:sz w:val="26"/>
          <w:szCs w:val="26"/>
        </w:rPr>
        <w:t xml:space="preserve"> and profits with their parent company or combine regulated and unregulated operations in </w:t>
      </w:r>
      <w:r w:rsidR="00733713">
        <w:rPr>
          <w:rFonts w:ascii="Times New Roman" w:eastAsia="Times New Roman" w:hAnsi="Times New Roman"/>
          <w:sz w:val="26"/>
          <w:szCs w:val="26"/>
        </w:rPr>
        <w:t xml:space="preserve">financial </w:t>
      </w:r>
      <w:r w:rsidRPr="0073506C">
        <w:rPr>
          <w:rFonts w:ascii="Times New Roman" w:eastAsia="Times New Roman" w:hAnsi="Times New Roman"/>
          <w:sz w:val="26"/>
          <w:szCs w:val="26"/>
        </w:rPr>
        <w:t xml:space="preserve">reports to the SEC.  While consolidation is appropriate for SEC reporting, the Commission requires more detailed information concerning the results of operations and the financial position of each jurisdictional entity </w:t>
      </w:r>
      <w:r w:rsidRPr="0073506C" w:rsidR="00CE3CE1">
        <w:rPr>
          <w:rFonts w:ascii="Times New Roman" w:eastAsia="Times New Roman" w:hAnsi="Times New Roman"/>
          <w:sz w:val="26"/>
          <w:szCs w:val="26"/>
        </w:rPr>
        <w:t>to</w:t>
      </w:r>
      <w:r w:rsidRPr="0073506C">
        <w:rPr>
          <w:rFonts w:ascii="Times New Roman" w:eastAsia="Times New Roman" w:hAnsi="Times New Roman"/>
          <w:sz w:val="26"/>
          <w:szCs w:val="26"/>
        </w:rPr>
        <w:t xml:space="preserve"> meet its </w:t>
      </w:r>
      <w:r w:rsidR="00F92CE0">
        <w:rPr>
          <w:rFonts w:ascii="Times New Roman" w:eastAsia="Times New Roman" w:hAnsi="Times New Roman"/>
          <w:sz w:val="26"/>
          <w:szCs w:val="26"/>
        </w:rPr>
        <w:t>statutory duties</w:t>
      </w:r>
      <w:r w:rsidRPr="0073506C">
        <w:rPr>
          <w:rFonts w:ascii="Times New Roman" w:eastAsia="Times New Roman" w:hAnsi="Times New Roman"/>
          <w:sz w:val="26"/>
          <w:szCs w:val="26"/>
        </w:rPr>
        <w:t xml:space="preserve">.  </w:t>
      </w:r>
      <w:r>
        <w:rPr>
          <w:rFonts w:ascii="Times New Roman" w:eastAsia="Times New Roman" w:hAnsi="Times New Roman"/>
          <w:sz w:val="26"/>
          <w:szCs w:val="26"/>
        </w:rPr>
        <w:t>Pursuant to the FPA</w:t>
      </w:r>
      <w:r w:rsidR="00412D58">
        <w:rPr>
          <w:rFonts w:ascii="Times New Roman" w:eastAsia="Times New Roman" w:hAnsi="Times New Roman"/>
          <w:sz w:val="26"/>
          <w:szCs w:val="26"/>
        </w:rPr>
        <w:t xml:space="preserve"> and </w:t>
      </w:r>
      <w:r w:rsidR="0037548D">
        <w:rPr>
          <w:rFonts w:ascii="Times New Roman" w:eastAsia="Times New Roman" w:hAnsi="Times New Roman"/>
          <w:sz w:val="26"/>
          <w:szCs w:val="26"/>
        </w:rPr>
        <w:t>NGA</w:t>
      </w:r>
      <w:r>
        <w:rPr>
          <w:rFonts w:ascii="Times New Roman" w:eastAsia="Times New Roman" w:hAnsi="Times New Roman"/>
          <w:sz w:val="26"/>
          <w:szCs w:val="26"/>
        </w:rPr>
        <w:t xml:space="preserve">, the Commission regulates the rates, terms, and conditions of each jurisdictional entity.  Accordingly, entity-specific financial and operational information is </w:t>
      </w:r>
      <w:r w:rsidR="00FE5E3A">
        <w:rPr>
          <w:rFonts w:ascii="Times New Roman" w:eastAsia="Times New Roman" w:hAnsi="Times New Roman"/>
          <w:sz w:val="26"/>
          <w:szCs w:val="26"/>
        </w:rPr>
        <w:t>needed to</w:t>
      </w:r>
      <w:r>
        <w:rPr>
          <w:rFonts w:ascii="Times New Roman" w:eastAsia="Times New Roman" w:hAnsi="Times New Roman"/>
          <w:sz w:val="26"/>
          <w:szCs w:val="26"/>
        </w:rPr>
        <w:t xml:space="preserve"> provide detailed components of an entity’s approved rate on file with </w:t>
      </w:r>
      <w:r w:rsidR="0050565E">
        <w:rPr>
          <w:rFonts w:ascii="Times New Roman" w:eastAsia="Times New Roman" w:hAnsi="Times New Roman"/>
          <w:sz w:val="26"/>
          <w:szCs w:val="26"/>
        </w:rPr>
        <w:t>the Commission</w:t>
      </w:r>
      <w:r>
        <w:rPr>
          <w:rFonts w:ascii="Times New Roman" w:eastAsia="Times New Roman" w:hAnsi="Times New Roman"/>
          <w:sz w:val="26"/>
          <w:szCs w:val="26"/>
        </w:rPr>
        <w:t xml:space="preserve">.  For this reason, </w:t>
      </w:r>
      <w:r w:rsidRPr="0073506C">
        <w:rPr>
          <w:rFonts w:ascii="Times New Roman" w:eastAsia="Times New Roman" w:hAnsi="Times New Roman"/>
          <w:sz w:val="26"/>
          <w:szCs w:val="26"/>
        </w:rPr>
        <w:t>the Commission require</w:t>
      </w:r>
      <w:r>
        <w:rPr>
          <w:rFonts w:ascii="Times New Roman" w:eastAsia="Times New Roman" w:hAnsi="Times New Roman"/>
          <w:sz w:val="26"/>
          <w:szCs w:val="26"/>
        </w:rPr>
        <w:t>s</w:t>
      </w:r>
      <w:r w:rsidRPr="0073506C">
        <w:rPr>
          <w:rFonts w:ascii="Times New Roman" w:eastAsia="Times New Roman" w:hAnsi="Times New Roman"/>
          <w:sz w:val="26"/>
          <w:szCs w:val="26"/>
        </w:rPr>
        <w:t xml:space="preserve"> jurisdictional entities to file financial information on a jurisdictional entity level basis using a </w:t>
      </w:r>
      <w:r w:rsidR="00514EDD">
        <w:rPr>
          <w:rFonts w:ascii="Times New Roman" w:eastAsia="Times New Roman" w:hAnsi="Times New Roman"/>
          <w:sz w:val="26"/>
          <w:szCs w:val="26"/>
        </w:rPr>
        <w:t>uniform system of accounts</w:t>
      </w:r>
      <w:r w:rsidRPr="0073506C">
        <w:rPr>
          <w:rFonts w:ascii="Times New Roman" w:eastAsia="Times New Roman" w:hAnsi="Times New Roman"/>
          <w:sz w:val="26"/>
          <w:szCs w:val="26"/>
        </w:rPr>
        <w:t>.</w:t>
      </w:r>
      <w:r>
        <w:rPr>
          <w:rFonts w:ascii="Times New Roman" w:eastAsia="Times New Roman" w:hAnsi="Times New Roman"/>
          <w:sz w:val="26"/>
          <w:szCs w:val="26"/>
        </w:rPr>
        <w:t xml:space="preserve">  </w:t>
      </w:r>
      <w:r w:rsidRPr="00187445">
        <w:rPr>
          <w:rFonts w:ascii="Times New Roman" w:eastAsia="Times New Roman" w:hAnsi="Times New Roman"/>
          <w:sz w:val="26"/>
          <w:szCs w:val="26"/>
        </w:rPr>
        <w:t xml:space="preserve">Additionally, </w:t>
      </w:r>
      <w:r w:rsidRPr="0073506C" w:rsidR="0058588E">
        <w:rPr>
          <w:rFonts w:ascii="Times New Roman" w:eastAsia="Times New Roman" w:hAnsi="Times New Roman"/>
          <w:sz w:val="26"/>
          <w:szCs w:val="26"/>
        </w:rPr>
        <w:t xml:space="preserve">the Commission </w:t>
      </w:r>
      <w:r w:rsidRPr="00187445">
        <w:rPr>
          <w:rFonts w:ascii="Times New Roman" w:eastAsia="Times New Roman" w:hAnsi="Times New Roman"/>
          <w:sz w:val="26"/>
          <w:szCs w:val="26"/>
        </w:rPr>
        <w:t>regulates several private companies, cooperatives, and governmental entities at various levels that are not required to file financial statements with the SEC.</w:t>
      </w:r>
    </w:p>
    <w:p w:rsidR="00494814" w:rsidRPr="0073506C" w:rsidP="00BD0F89" w14:paraId="2C904CCD" w14:textId="17255E53">
      <w:pPr>
        <w:spacing w:after="0" w:line="240" w:lineRule="auto"/>
        <w:rPr>
          <w:rFonts w:ascii="Times New Roman" w:hAnsi="Times New Roman"/>
          <w:sz w:val="26"/>
          <w:szCs w:val="26"/>
        </w:rPr>
      </w:pPr>
    </w:p>
    <w:p w:rsidR="00F0627E" w:rsidRPr="0073506C" w:rsidP="00BD0F89" w14:paraId="1043320F"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METHODS USED TO MINIMIZE THE BURDEN IN COLLECTION OF INFORMATION INVOLVING SMALL ENTITIES</w:t>
      </w:r>
    </w:p>
    <w:p w:rsidR="00F0627E" w:rsidRPr="0073506C" w:rsidP="00BD0F89" w14:paraId="7CE41F3F" w14:textId="77777777">
      <w:pPr>
        <w:spacing w:after="0" w:line="240" w:lineRule="auto"/>
        <w:rPr>
          <w:rFonts w:ascii="Times New Roman" w:hAnsi="Times New Roman"/>
          <w:sz w:val="26"/>
          <w:szCs w:val="26"/>
        </w:rPr>
      </w:pPr>
    </w:p>
    <w:p w:rsidR="00F003F8" w14:paraId="75AAD113" w14:textId="294C7C43">
      <w:pPr>
        <w:spacing w:after="0" w:line="240" w:lineRule="auto"/>
        <w:rPr>
          <w:rFonts w:ascii="Times New Roman" w:eastAsia="Times New Roman" w:hAnsi="Times New Roman"/>
          <w:sz w:val="26"/>
          <w:szCs w:val="26"/>
        </w:rPr>
      </w:pPr>
      <w:r w:rsidRPr="1EFB72D5">
        <w:rPr>
          <w:rFonts w:ascii="Times New Roman" w:eastAsia="Times New Roman" w:hAnsi="Times New Roman"/>
          <w:sz w:val="26"/>
          <w:szCs w:val="26"/>
        </w:rPr>
        <w:t>The Commission</w:t>
      </w:r>
      <w:r w:rsidRPr="1EFB72D5" w:rsidR="001B2D83">
        <w:rPr>
          <w:rFonts w:ascii="Times New Roman" w:eastAsia="Times New Roman" w:hAnsi="Times New Roman"/>
          <w:sz w:val="26"/>
          <w:szCs w:val="26"/>
        </w:rPr>
        <w:t xml:space="preserve"> provides additional time for </w:t>
      </w:r>
      <w:r w:rsidRPr="1EFB72D5" w:rsidR="000D66FB">
        <w:rPr>
          <w:rFonts w:ascii="Times New Roman" w:eastAsia="Times New Roman" w:hAnsi="Times New Roman"/>
          <w:sz w:val="26"/>
          <w:szCs w:val="26"/>
        </w:rPr>
        <w:t xml:space="preserve">entities </w:t>
      </w:r>
      <w:r w:rsidRPr="1EFB72D5" w:rsidR="00C53A2B">
        <w:rPr>
          <w:rFonts w:ascii="Times New Roman" w:eastAsia="Times New Roman" w:hAnsi="Times New Roman"/>
          <w:sz w:val="26"/>
          <w:szCs w:val="26"/>
        </w:rPr>
        <w:t xml:space="preserve">to file </w:t>
      </w:r>
      <w:r w:rsidRPr="1EFB72D5" w:rsidR="00746FE2">
        <w:rPr>
          <w:rFonts w:ascii="Times New Roman" w:eastAsia="Times New Roman" w:hAnsi="Times New Roman"/>
          <w:sz w:val="26"/>
          <w:szCs w:val="26"/>
        </w:rPr>
        <w:t xml:space="preserve">FERC Form No. 3-Q </w:t>
      </w:r>
      <w:r w:rsidRPr="1EFB72D5" w:rsidR="00C53A2B">
        <w:rPr>
          <w:rFonts w:ascii="Times New Roman" w:eastAsia="Times New Roman" w:hAnsi="Times New Roman"/>
          <w:sz w:val="26"/>
          <w:szCs w:val="26"/>
        </w:rPr>
        <w:t xml:space="preserve">if they 1) have a total sales of 10,000 megawatt-hours or less </w:t>
      </w:r>
      <w:r w:rsidRPr="1EFB72D5" w:rsidR="00746FE2">
        <w:rPr>
          <w:rFonts w:ascii="Times New Roman" w:eastAsia="Times New Roman" w:hAnsi="Times New Roman"/>
          <w:sz w:val="26"/>
          <w:szCs w:val="26"/>
        </w:rPr>
        <w:t xml:space="preserve">(electric) </w:t>
      </w:r>
      <w:r w:rsidRPr="1EFB72D5" w:rsidR="00C53A2B">
        <w:rPr>
          <w:rFonts w:ascii="Times New Roman" w:eastAsia="Times New Roman" w:hAnsi="Times New Roman"/>
          <w:sz w:val="26"/>
          <w:szCs w:val="26"/>
        </w:rPr>
        <w:t xml:space="preserve">or </w:t>
      </w:r>
      <w:r w:rsidRPr="1EFB72D5" w:rsidR="00D74D6F">
        <w:rPr>
          <w:rFonts w:ascii="Times New Roman" w:eastAsia="Times New Roman" w:hAnsi="Times New Roman"/>
          <w:sz w:val="26"/>
          <w:szCs w:val="26"/>
        </w:rPr>
        <w:t xml:space="preserve">2) </w:t>
      </w:r>
      <w:r w:rsidRPr="1EFB72D5" w:rsidR="00B965E9">
        <w:rPr>
          <w:rFonts w:ascii="Times New Roman" w:eastAsia="Times New Roman" w:hAnsi="Times New Roman"/>
          <w:sz w:val="26"/>
          <w:szCs w:val="26"/>
        </w:rPr>
        <w:t>have a combined gas transport or storage of more than 200,000 dekatherms</w:t>
      </w:r>
      <w:r w:rsidRPr="1EFB72D5" w:rsidR="00021C5A">
        <w:rPr>
          <w:rFonts w:ascii="Times New Roman" w:eastAsia="Times New Roman" w:hAnsi="Times New Roman"/>
          <w:sz w:val="26"/>
          <w:szCs w:val="26"/>
        </w:rPr>
        <w:t xml:space="preserve"> in each of the three prior calendar years</w:t>
      </w:r>
      <w:r w:rsidRPr="1EFB72D5" w:rsidR="00935B7B">
        <w:rPr>
          <w:rFonts w:ascii="Times New Roman" w:eastAsia="Times New Roman" w:hAnsi="Times New Roman"/>
          <w:sz w:val="26"/>
          <w:szCs w:val="26"/>
        </w:rPr>
        <w:t>, but less than 50 million dekatherms in any of the three prior calendar years</w:t>
      </w:r>
      <w:r w:rsidRPr="1EFB72D5" w:rsidR="793AFD76">
        <w:rPr>
          <w:rFonts w:ascii="Times New Roman" w:eastAsia="Times New Roman" w:hAnsi="Times New Roman"/>
          <w:sz w:val="26"/>
          <w:szCs w:val="26"/>
        </w:rPr>
        <w:t xml:space="preserve"> (gas)</w:t>
      </w:r>
      <w:r w:rsidRPr="1EFB72D5" w:rsidR="00B965E9">
        <w:rPr>
          <w:rFonts w:ascii="Times New Roman" w:eastAsia="Times New Roman" w:hAnsi="Times New Roman"/>
          <w:sz w:val="26"/>
          <w:szCs w:val="26"/>
        </w:rPr>
        <w:t>.</w:t>
      </w:r>
      <w:r w:rsidRPr="1EFB72D5" w:rsidR="00911A31">
        <w:rPr>
          <w:rFonts w:ascii="Times New Roman" w:eastAsia="Times New Roman" w:hAnsi="Times New Roman"/>
          <w:sz w:val="26"/>
          <w:szCs w:val="26"/>
        </w:rPr>
        <w:t xml:space="preserve"> </w:t>
      </w:r>
      <w:r w:rsidRPr="1EFB72D5" w:rsidR="00B965E9">
        <w:rPr>
          <w:rFonts w:ascii="Times New Roman" w:eastAsia="Times New Roman" w:hAnsi="Times New Roman"/>
          <w:sz w:val="26"/>
          <w:szCs w:val="26"/>
        </w:rPr>
        <w:t xml:space="preserve"> </w:t>
      </w:r>
      <w:r w:rsidRPr="1EFB72D5" w:rsidR="00AE317B">
        <w:rPr>
          <w:rFonts w:ascii="Times New Roman" w:eastAsia="Times New Roman" w:hAnsi="Times New Roman"/>
          <w:sz w:val="26"/>
          <w:szCs w:val="26"/>
        </w:rPr>
        <w:t>To</w:t>
      </w:r>
      <w:r w:rsidRPr="1EFB72D5" w:rsidR="005D2C04">
        <w:rPr>
          <w:rFonts w:ascii="Times New Roman" w:eastAsia="Times New Roman" w:hAnsi="Times New Roman"/>
          <w:sz w:val="26"/>
          <w:szCs w:val="26"/>
        </w:rPr>
        <w:t xml:space="preserve"> minimize the reporting burden on small entities, t</w:t>
      </w:r>
      <w:r w:rsidRPr="1EFB72D5" w:rsidR="00B965E9">
        <w:rPr>
          <w:rFonts w:ascii="Times New Roman" w:eastAsia="Times New Roman" w:hAnsi="Times New Roman"/>
          <w:sz w:val="26"/>
          <w:szCs w:val="26"/>
        </w:rPr>
        <w:t>hese entities</w:t>
      </w:r>
      <w:r w:rsidRPr="1EFB72D5" w:rsidR="005D2C04">
        <w:rPr>
          <w:rFonts w:ascii="Times New Roman" w:eastAsia="Times New Roman" w:hAnsi="Times New Roman"/>
          <w:sz w:val="26"/>
          <w:szCs w:val="26"/>
        </w:rPr>
        <w:t xml:space="preserve"> are provided</w:t>
      </w:r>
      <w:r w:rsidRPr="1EFB72D5" w:rsidR="00B965E9">
        <w:rPr>
          <w:rFonts w:ascii="Times New Roman" w:eastAsia="Times New Roman" w:hAnsi="Times New Roman"/>
          <w:sz w:val="26"/>
          <w:szCs w:val="26"/>
        </w:rPr>
        <w:t xml:space="preserve"> </w:t>
      </w:r>
      <w:r w:rsidRPr="1EFB72D5" w:rsidR="00D06535">
        <w:rPr>
          <w:rFonts w:ascii="Times New Roman" w:eastAsia="Times New Roman" w:hAnsi="Times New Roman"/>
          <w:sz w:val="26"/>
          <w:szCs w:val="26"/>
        </w:rPr>
        <w:t xml:space="preserve">70 days </w:t>
      </w:r>
      <w:r w:rsidRPr="1EFB72D5" w:rsidR="005D2C04">
        <w:rPr>
          <w:rFonts w:ascii="Times New Roman" w:eastAsia="Times New Roman" w:hAnsi="Times New Roman"/>
          <w:sz w:val="26"/>
          <w:szCs w:val="26"/>
        </w:rPr>
        <w:t>after the end of the reporting quarter to submit their filings</w:t>
      </w:r>
      <w:r w:rsidRPr="1EFB72D5" w:rsidR="00C1067D">
        <w:rPr>
          <w:rFonts w:ascii="Times New Roman" w:eastAsia="Times New Roman" w:hAnsi="Times New Roman"/>
          <w:sz w:val="26"/>
          <w:szCs w:val="26"/>
        </w:rPr>
        <w:t xml:space="preserve">, </w:t>
      </w:r>
      <w:r w:rsidRPr="1EFB72D5" w:rsidR="00D06535">
        <w:rPr>
          <w:rFonts w:ascii="Times New Roman" w:eastAsia="Times New Roman" w:hAnsi="Times New Roman"/>
          <w:sz w:val="26"/>
          <w:szCs w:val="26"/>
        </w:rPr>
        <w:t>compared to</w:t>
      </w:r>
      <w:r w:rsidRPr="1EFB72D5" w:rsidR="00C1067D">
        <w:rPr>
          <w:rFonts w:ascii="Times New Roman" w:eastAsia="Times New Roman" w:hAnsi="Times New Roman"/>
          <w:sz w:val="26"/>
          <w:szCs w:val="26"/>
        </w:rPr>
        <w:t xml:space="preserve"> the</w:t>
      </w:r>
      <w:r w:rsidRPr="1EFB72D5" w:rsidR="00D06535">
        <w:rPr>
          <w:rFonts w:ascii="Times New Roman" w:eastAsia="Times New Roman" w:hAnsi="Times New Roman"/>
          <w:sz w:val="26"/>
          <w:szCs w:val="26"/>
        </w:rPr>
        <w:t xml:space="preserve"> 60</w:t>
      </w:r>
      <w:r w:rsidRPr="1EFB72D5" w:rsidR="005D2389">
        <w:rPr>
          <w:rFonts w:ascii="Times New Roman" w:eastAsia="Times New Roman" w:hAnsi="Times New Roman"/>
          <w:sz w:val="26"/>
          <w:szCs w:val="26"/>
        </w:rPr>
        <w:t>-</w:t>
      </w:r>
      <w:r w:rsidRPr="1EFB72D5" w:rsidR="00D06535">
        <w:rPr>
          <w:rFonts w:ascii="Times New Roman" w:eastAsia="Times New Roman" w:hAnsi="Times New Roman"/>
          <w:sz w:val="26"/>
          <w:szCs w:val="26"/>
        </w:rPr>
        <w:t>day</w:t>
      </w:r>
      <w:r w:rsidRPr="1EFB72D5" w:rsidR="00B06C1B">
        <w:rPr>
          <w:rFonts w:ascii="Times New Roman" w:eastAsia="Times New Roman" w:hAnsi="Times New Roman"/>
          <w:sz w:val="26"/>
          <w:szCs w:val="26"/>
        </w:rPr>
        <w:t xml:space="preserve"> filing deadline applicable to</w:t>
      </w:r>
      <w:r w:rsidRPr="1EFB72D5" w:rsidR="00D06535">
        <w:rPr>
          <w:rFonts w:ascii="Times New Roman" w:eastAsia="Times New Roman" w:hAnsi="Times New Roman"/>
          <w:sz w:val="26"/>
          <w:szCs w:val="26"/>
        </w:rPr>
        <w:t xml:space="preserve"> other </w:t>
      </w:r>
      <w:r w:rsidRPr="1EFB72D5" w:rsidR="00BB0687">
        <w:rPr>
          <w:rFonts w:ascii="Times New Roman" w:eastAsia="Times New Roman" w:hAnsi="Times New Roman"/>
          <w:sz w:val="26"/>
          <w:szCs w:val="26"/>
        </w:rPr>
        <w:t xml:space="preserve">major </w:t>
      </w:r>
      <w:r w:rsidRPr="1EFB72D5" w:rsidR="00D06535">
        <w:rPr>
          <w:rFonts w:ascii="Times New Roman" w:eastAsia="Times New Roman" w:hAnsi="Times New Roman"/>
          <w:sz w:val="26"/>
          <w:szCs w:val="26"/>
        </w:rPr>
        <w:t xml:space="preserve">entities. </w:t>
      </w:r>
    </w:p>
    <w:p w:rsidR="00807476" w14:paraId="7D67C399" w14:textId="77777777">
      <w:pPr>
        <w:spacing w:after="0" w:line="240" w:lineRule="auto"/>
        <w:rPr>
          <w:rFonts w:ascii="Times New Roman" w:eastAsia="Times New Roman" w:hAnsi="Times New Roman"/>
          <w:sz w:val="26"/>
          <w:szCs w:val="26"/>
        </w:rPr>
      </w:pPr>
    </w:p>
    <w:p w:rsidR="007D436E" w14:paraId="568F9DC2" w14:textId="2EC5999E">
      <w:pPr>
        <w:spacing w:after="0" w:line="240" w:lineRule="auto"/>
        <w:rPr>
          <w:rFonts w:ascii="Times New Roman" w:eastAsia="Times New Roman" w:hAnsi="Times New Roman"/>
          <w:sz w:val="26"/>
          <w:szCs w:val="26"/>
        </w:rPr>
      </w:pPr>
      <w:r w:rsidRPr="0073506C">
        <w:rPr>
          <w:rFonts w:ascii="Times New Roman" w:eastAsia="Times New Roman" w:hAnsi="Times New Roman"/>
          <w:sz w:val="26"/>
          <w:szCs w:val="26"/>
        </w:rPr>
        <w:t xml:space="preserve">If the reporting requirements represent an undue burden on small </w:t>
      </w:r>
      <w:r w:rsidR="00C64387">
        <w:rPr>
          <w:rFonts w:ascii="Times New Roman" w:eastAsia="Times New Roman" w:hAnsi="Times New Roman"/>
          <w:sz w:val="26"/>
          <w:szCs w:val="26"/>
        </w:rPr>
        <w:t>entities</w:t>
      </w:r>
      <w:r w:rsidRPr="0073506C">
        <w:rPr>
          <w:rFonts w:ascii="Times New Roman" w:eastAsia="Times New Roman" w:hAnsi="Times New Roman"/>
          <w:sz w:val="26"/>
          <w:szCs w:val="26"/>
        </w:rPr>
        <w:t xml:space="preserve">, </w:t>
      </w:r>
      <w:r w:rsidR="008B4440">
        <w:rPr>
          <w:rFonts w:ascii="Times New Roman" w:eastAsia="Times New Roman" w:hAnsi="Times New Roman"/>
          <w:sz w:val="26"/>
          <w:szCs w:val="26"/>
        </w:rPr>
        <w:t>th</w:t>
      </w:r>
      <w:r w:rsidR="00C64387">
        <w:rPr>
          <w:rFonts w:ascii="Times New Roman" w:eastAsia="Times New Roman" w:hAnsi="Times New Roman"/>
          <w:sz w:val="26"/>
          <w:szCs w:val="26"/>
        </w:rPr>
        <w:t>ose entities</w:t>
      </w:r>
      <w:r w:rsidRPr="0073506C">
        <w:rPr>
          <w:rFonts w:ascii="Times New Roman" w:eastAsia="Times New Roman" w:hAnsi="Times New Roman"/>
          <w:sz w:val="26"/>
          <w:szCs w:val="26"/>
        </w:rPr>
        <w:t xml:space="preserve"> may seek </w:t>
      </w:r>
      <w:r w:rsidR="00FF26BF">
        <w:rPr>
          <w:rFonts w:ascii="Times New Roman" w:eastAsia="Times New Roman" w:hAnsi="Times New Roman"/>
          <w:sz w:val="26"/>
          <w:szCs w:val="26"/>
        </w:rPr>
        <w:t xml:space="preserve">a </w:t>
      </w:r>
      <w:r w:rsidRPr="0073506C">
        <w:rPr>
          <w:rFonts w:ascii="Times New Roman" w:eastAsia="Times New Roman" w:hAnsi="Times New Roman"/>
          <w:sz w:val="26"/>
          <w:szCs w:val="26"/>
        </w:rPr>
        <w:t>waiver of the</w:t>
      </w:r>
      <w:r w:rsidR="00FF26BF">
        <w:rPr>
          <w:rFonts w:ascii="Times New Roman" w:eastAsia="Times New Roman" w:hAnsi="Times New Roman"/>
          <w:sz w:val="26"/>
          <w:szCs w:val="26"/>
        </w:rPr>
        <w:t xml:space="preserve"> filing</w:t>
      </w:r>
      <w:r w:rsidRPr="0073506C">
        <w:rPr>
          <w:rFonts w:ascii="Times New Roman" w:eastAsia="Times New Roman" w:hAnsi="Times New Roman"/>
          <w:sz w:val="26"/>
          <w:szCs w:val="26"/>
        </w:rPr>
        <w:t xml:space="preserve"> requirements from the Commission.  However, the Commission believes the information collected </w:t>
      </w:r>
      <w:r w:rsidR="007641F7">
        <w:rPr>
          <w:rFonts w:ascii="Times New Roman" w:eastAsia="Times New Roman" w:hAnsi="Times New Roman"/>
          <w:sz w:val="26"/>
          <w:szCs w:val="26"/>
        </w:rPr>
        <w:t>through</w:t>
      </w:r>
      <w:r w:rsidRPr="0073506C">
        <w:rPr>
          <w:rFonts w:ascii="Times New Roman" w:eastAsia="Times New Roman" w:hAnsi="Times New Roman"/>
          <w:sz w:val="26"/>
          <w:szCs w:val="26"/>
        </w:rPr>
        <w:t xml:space="preserve"> these forms </w:t>
      </w:r>
      <w:r w:rsidR="005D2DAB">
        <w:rPr>
          <w:rFonts w:ascii="Times New Roman" w:eastAsia="Times New Roman" w:hAnsi="Times New Roman"/>
          <w:sz w:val="26"/>
          <w:szCs w:val="26"/>
        </w:rPr>
        <w:t xml:space="preserve">represents </w:t>
      </w:r>
      <w:r w:rsidRPr="0073506C">
        <w:rPr>
          <w:rFonts w:ascii="Times New Roman" w:eastAsia="Times New Roman" w:hAnsi="Times New Roman"/>
          <w:sz w:val="26"/>
          <w:szCs w:val="26"/>
        </w:rPr>
        <w:t xml:space="preserve">the minimum necessary to </w:t>
      </w:r>
      <w:r w:rsidR="00347652">
        <w:rPr>
          <w:rFonts w:ascii="Times New Roman" w:eastAsia="Times New Roman" w:hAnsi="Times New Roman"/>
          <w:sz w:val="26"/>
          <w:szCs w:val="26"/>
        </w:rPr>
        <w:t>conduct</w:t>
      </w:r>
      <w:r w:rsidRPr="0073506C">
        <w:rPr>
          <w:rFonts w:ascii="Times New Roman" w:eastAsia="Times New Roman" w:hAnsi="Times New Roman"/>
          <w:sz w:val="26"/>
          <w:szCs w:val="26"/>
        </w:rPr>
        <w:t xml:space="preserve"> meaningful </w:t>
      </w:r>
      <w:r w:rsidR="00347652">
        <w:rPr>
          <w:rFonts w:ascii="Times New Roman" w:eastAsia="Times New Roman" w:hAnsi="Times New Roman"/>
          <w:sz w:val="26"/>
          <w:szCs w:val="26"/>
        </w:rPr>
        <w:t xml:space="preserve">oversight </w:t>
      </w:r>
      <w:r w:rsidRPr="0073506C">
        <w:rPr>
          <w:rFonts w:ascii="Times New Roman" w:eastAsia="Times New Roman" w:hAnsi="Times New Roman"/>
          <w:sz w:val="26"/>
          <w:szCs w:val="26"/>
        </w:rPr>
        <w:t xml:space="preserve">of </w:t>
      </w:r>
      <w:r w:rsidR="002F2DDC">
        <w:rPr>
          <w:rFonts w:ascii="Times New Roman" w:eastAsia="Times New Roman" w:hAnsi="Times New Roman"/>
          <w:sz w:val="26"/>
          <w:szCs w:val="26"/>
        </w:rPr>
        <w:t>jurisdictional</w:t>
      </w:r>
      <w:r w:rsidR="00653348">
        <w:rPr>
          <w:rFonts w:ascii="Times New Roman" w:eastAsia="Times New Roman" w:hAnsi="Times New Roman"/>
          <w:sz w:val="26"/>
          <w:szCs w:val="26"/>
        </w:rPr>
        <w:t xml:space="preserve"> entities</w:t>
      </w:r>
      <w:r w:rsidR="00A6398B">
        <w:rPr>
          <w:rFonts w:ascii="Times New Roman" w:eastAsia="Times New Roman" w:hAnsi="Times New Roman"/>
          <w:sz w:val="26"/>
          <w:szCs w:val="26"/>
        </w:rPr>
        <w:t xml:space="preserve"> while imposing the</w:t>
      </w:r>
      <w:r w:rsidRPr="0073506C">
        <w:rPr>
          <w:rFonts w:ascii="Times New Roman" w:eastAsia="Times New Roman" w:hAnsi="Times New Roman"/>
          <w:sz w:val="26"/>
          <w:szCs w:val="26"/>
        </w:rPr>
        <w:t xml:space="preserve"> least possible burden on </w:t>
      </w:r>
      <w:r w:rsidR="0005528B">
        <w:rPr>
          <w:rFonts w:ascii="Times New Roman" w:eastAsia="Times New Roman" w:hAnsi="Times New Roman"/>
          <w:sz w:val="26"/>
          <w:szCs w:val="26"/>
        </w:rPr>
        <w:t>respondents</w:t>
      </w:r>
      <w:r w:rsidRPr="0073506C">
        <w:rPr>
          <w:rFonts w:ascii="Times New Roman" w:eastAsia="Times New Roman" w:hAnsi="Times New Roman"/>
          <w:sz w:val="26"/>
          <w:szCs w:val="26"/>
        </w:rPr>
        <w:t xml:space="preserve">.  </w:t>
      </w:r>
    </w:p>
    <w:p w:rsidR="00B65D79" w:rsidRPr="0073506C" w:rsidP="00BD0F89" w14:paraId="76823E50" w14:textId="19F5B9D3">
      <w:pPr>
        <w:spacing w:after="0" w:line="240" w:lineRule="auto"/>
        <w:rPr>
          <w:rFonts w:ascii="Times New Roman" w:eastAsia="Times New Roman" w:hAnsi="Times New Roman"/>
          <w:sz w:val="26"/>
          <w:szCs w:val="26"/>
        </w:rPr>
      </w:pPr>
    </w:p>
    <w:p w:rsidR="00F0627E" w:rsidRPr="0073506C" w:rsidP="00BD0F89" w14:paraId="26442DFE"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CONSEQUENCE TO FEDERAL PROGRAM IF COLLECTION WERE CONDUCTED LESS FREQUENTLY</w:t>
      </w:r>
    </w:p>
    <w:p w:rsidR="00F0627E" w:rsidRPr="0073506C" w:rsidP="00BD0F89" w14:paraId="20A53002" w14:textId="77777777">
      <w:pPr>
        <w:spacing w:after="0" w:line="240" w:lineRule="auto"/>
        <w:rPr>
          <w:rFonts w:ascii="Times New Roman" w:hAnsi="Times New Roman"/>
          <w:sz w:val="26"/>
          <w:szCs w:val="26"/>
        </w:rPr>
      </w:pPr>
    </w:p>
    <w:p w:rsidR="00B705E5" w:rsidRPr="0073506C" w14:paraId="4CC98597" w14:textId="04836E96">
      <w:pPr>
        <w:spacing w:after="0" w:line="240" w:lineRule="auto"/>
        <w:rPr>
          <w:rFonts w:ascii="Times New Roman" w:hAnsi="Times New Roman"/>
          <w:sz w:val="26"/>
          <w:szCs w:val="26"/>
        </w:rPr>
      </w:pPr>
      <w:r w:rsidRPr="0073506C">
        <w:rPr>
          <w:rFonts w:ascii="Times New Roman" w:hAnsi="Times New Roman"/>
          <w:sz w:val="26"/>
          <w:szCs w:val="26"/>
        </w:rPr>
        <w:t xml:space="preserve">The existing </w:t>
      </w:r>
      <w:r w:rsidR="00F1585D">
        <w:rPr>
          <w:rFonts w:ascii="Times New Roman" w:hAnsi="Times New Roman"/>
          <w:sz w:val="26"/>
          <w:szCs w:val="26"/>
        </w:rPr>
        <w:t xml:space="preserve">FERC </w:t>
      </w:r>
      <w:r w:rsidRPr="0073506C">
        <w:rPr>
          <w:rFonts w:ascii="Times New Roman" w:hAnsi="Times New Roman"/>
          <w:sz w:val="26"/>
          <w:szCs w:val="26"/>
        </w:rPr>
        <w:t>Form Nos. 1</w:t>
      </w:r>
      <w:r w:rsidR="0026478D">
        <w:rPr>
          <w:rFonts w:ascii="Times New Roman" w:hAnsi="Times New Roman"/>
          <w:sz w:val="26"/>
          <w:szCs w:val="26"/>
        </w:rPr>
        <w:t>,</w:t>
      </w:r>
      <w:r w:rsidRPr="0073506C">
        <w:rPr>
          <w:rFonts w:ascii="Times New Roman" w:hAnsi="Times New Roman"/>
          <w:sz w:val="26"/>
          <w:szCs w:val="26"/>
        </w:rPr>
        <w:t xml:space="preserve"> 1-F</w:t>
      </w:r>
      <w:r w:rsidR="0026478D">
        <w:rPr>
          <w:rFonts w:ascii="Times New Roman" w:hAnsi="Times New Roman"/>
          <w:sz w:val="26"/>
          <w:szCs w:val="26"/>
        </w:rPr>
        <w:t>, 2, and 2</w:t>
      </w:r>
      <w:r w:rsidR="003111D5">
        <w:rPr>
          <w:rFonts w:ascii="Times New Roman" w:hAnsi="Times New Roman"/>
          <w:sz w:val="26"/>
          <w:szCs w:val="26"/>
        </w:rPr>
        <w:t>-</w:t>
      </w:r>
      <w:r w:rsidR="0026478D">
        <w:rPr>
          <w:rFonts w:ascii="Times New Roman" w:hAnsi="Times New Roman"/>
          <w:sz w:val="26"/>
          <w:szCs w:val="26"/>
        </w:rPr>
        <w:t>A</w:t>
      </w:r>
      <w:r w:rsidRPr="0073506C">
        <w:rPr>
          <w:rFonts w:ascii="Times New Roman" w:hAnsi="Times New Roman"/>
          <w:sz w:val="26"/>
          <w:szCs w:val="26"/>
        </w:rPr>
        <w:t xml:space="preserve"> are required by the Commission to be submitted annually.  Annual reporting is consistent with reporting to the companies' own management, the Internal Revenue Service, </w:t>
      </w:r>
      <w:r w:rsidR="002545FF">
        <w:rPr>
          <w:rFonts w:ascii="Times New Roman" w:hAnsi="Times New Roman"/>
          <w:sz w:val="26"/>
          <w:szCs w:val="26"/>
        </w:rPr>
        <w:t xml:space="preserve">and </w:t>
      </w:r>
      <w:r w:rsidRPr="0073506C">
        <w:rPr>
          <w:rFonts w:ascii="Times New Roman" w:hAnsi="Times New Roman"/>
          <w:sz w:val="26"/>
          <w:szCs w:val="26"/>
        </w:rPr>
        <w:t xml:space="preserve">state and other Federal agencies' requirements. </w:t>
      </w:r>
      <w:r w:rsidRPr="0073506C" w:rsidR="006D7D01">
        <w:rPr>
          <w:rFonts w:ascii="Times New Roman" w:hAnsi="Times New Roman"/>
          <w:sz w:val="26"/>
          <w:szCs w:val="26"/>
        </w:rPr>
        <w:t xml:space="preserve"> </w:t>
      </w:r>
      <w:r w:rsidRPr="0073506C" w:rsidR="00C42E58">
        <w:rPr>
          <w:rFonts w:ascii="Times New Roman" w:hAnsi="Times New Roman"/>
          <w:sz w:val="26"/>
          <w:szCs w:val="26"/>
        </w:rPr>
        <w:t xml:space="preserve">FERC </w:t>
      </w:r>
      <w:r w:rsidRPr="0073506C">
        <w:rPr>
          <w:rFonts w:ascii="Times New Roman" w:hAnsi="Times New Roman"/>
          <w:sz w:val="26"/>
          <w:szCs w:val="26"/>
        </w:rPr>
        <w:t xml:space="preserve">Form No. 3-Q filings provide quarterly updates to supplement the </w:t>
      </w:r>
      <w:r w:rsidR="00F1585D">
        <w:rPr>
          <w:rFonts w:ascii="Times New Roman" w:hAnsi="Times New Roman"/>
          <w:sz w:val="26"/>
          <w:szCs w:val="26"/>
        </w:rPr>
        <w:t xml:space="preserve">FERC </w:t>
      </w:r>
      <w:r w:rsidRPr="0073506C">
        <w:rPr>
          <w:rFonts w:ascii="Times New Roman" w:hAnsi="Times New Roman"/>
          <w:sz w:val="26"/>
          <w:szCs w:val="26"/>
        </w:rPr>
        <w:t>Form Nos</w:t>
      </w:r>
      <w:r w:rsidR="00C95768">
        <w:rPr>
          <w:rFonts w:ascii="Times New Roman" w:hAnsi="Times New Roman"/>
          <w:sz w:val="26"/>
          <w:szCs w:val="26"/>
        </w:rPr>
        <w:t>.</w:t>
      </w:r>
      <w:r w:rsidRPr="0073506C">
        <w:rPr>
          <w:rFonts w:ascii="Times New Roman" w:hAnsi="Times New Roman"/>
          <w:sz w:val="26"/>
          <w:szCs w:val="26"/>
        </w:rPr>
        <w:t xml:space="preserve"> 1, 1-F, 2, and 2</w:t>
      </w:r>
      <w:r w:rsidR="003111D5">
        <w:rPr>
          <w:rFonts w:ascii="Times New Roman" w:hAnsi="Times New Roman"/>
          <w:sz w:val="26"/>
          <w:szCs w:val="26"/>
        </w:rPr>
        <w:t>-</w:t>
      </w:r>
      <w:r w:rsidRPr="0073506C">
        <w:rPr>
          <w:rFonts w:ascii="Times New Roman" w:hAnsi="Times New Roman"/>
          <w:sz w:val="26"/>
          <w:szCs w:val="26"/>
        </w:rPr>
        <w:t xml:space="preserve">A.  This quarterly information provides the Commission and the public with updated and timely information regarding a company’s financial and operational status.  </w:t>
      </w:r>
    </w:p>
    <w:p w:rsidR="007F298D" w:rsidP="007F298D" w14:paraId="366A66A0" w14:textId="77777777">
      <w:pPr>
        <w:spacing w:after="0" w:line="240" w:lineRule="auto"/>
        <w:rPr>
          <w:rFonts w:ascii="Times New Roman" w:hAnsi="Times New Roman"/>
          <w:sz w:val="26"/>
          <w:szCs w:val="26"/>
        </w:rPr>
      </w:pPr>
    </w:p>
    <w:p w:rsidR="007D436E" w:rsidRPr="0073506C" w:rsidP="00C0510A" w14:paraId="38370DCD" w14:textId="2A5259DA">
      <w:pPr>
        <w:spacing w:after="0" w:line="240" w:lineRule="auto"/>
        <w:rPr>
          <w:rFonts w:ascii="Times New Roman" w:hAnsi="Times New Roman"/>
          <w:sz w:val="26"/>
          <w:szCs w:val="26"/>
        </w:rPr>
      </w:pPr>
      <w:r w:rsidRPr="0073506C">
        <w:rPr>
          <w:rFonts w:ascii="Times New Roman" w:hAnsi="Times New Roman"/>
          <w:sz w:val="26"/>
          <w:szCs w:val="26"/>
        </w:rPr>
        <w:t xml:space="preserve">Some of the information in particular filings may change markedly from one year to the next.  </w:t>
      </w:r>
      <w:r w:rsidR="00DE1E4C">
        <w:rPr>
          <w:rFonts w:ascii="Times New Roman" w:hAnsi="Times New Roman"/>
          <w:sz w:val="26"/>
          <w:szCs w:val="26"/>
        </w:rPr>
        <w:t>L</w:t>
      </w:r>
      <w:r w:rsidRPr="0073506C">
        <w:rPr>
          <w:rFonts w:ascii="Times New Roman" w:hAnsi="Times New Roman"/>
          <w:sz w:val="26"/>
          <w:szCs w:val="26"/>
        </w:rPr>
        <w:t>ess frequent</w:t>
      </w:r>
      <w:r w:rsidR="00DE1E4C">
        <w:rPr>
          <w:rFonts w:ascii="Times New Roman" w:hAnsi="Times New Roman"/>
          <w:sz w:val="26"/>
          <w:szCs w:val="26"/>
        </w:rPr>
        <w:t xml:space="preserve"> information collection would impede</w:t>
      </w:r>
      <w:r w:rsidRPr="0073506C">
        <w:rPr>
          <w:rFonts w:ascii="Times New Roman" w:hAnsi="Times New Roman"/>
          <w:sz w:val="26"/>
          <w:szCs w:val="26"/>
        </w:rPr>
        <w:t xml:space="preserve"> the Commission</w:t>
      </w:r>
      <w:r w:rsidR="00DE1E4C">
        <w:rPr>
          <w:rFonts w:ascii="Times New Roman" w:hAnsi="Times New Roman"/>
          <w:sz w:val="26"/>
          <w:szCs w:val="26"/>
        </w:rPr>
        <w:t>’s</w:t>
      </w:r>
      <w:r w:rsidRPr="0073506C">
        <w:rPr>
          <w:rFonts w:ascii="Times New Roman" w:hAnsi="Times New Roman"/>
          <w:sz w:val="26"/>
          <w:szCs w:val="26"/>
        </w:rPr>
        <w:t xml:space="preserve"> </w:t>
      </w:r>
      <w:r w:rsidR="00E141B8">
        <w:rPr>
          <w:rFonts w:ascii="Times New Roman" w:hAnsi="Times New Roman"/>
          <w:sz w:val="26"/>
          <w:szCs w:val="26"/>
        </w:rPr>
        <w:t xml:space="preserve">timely and accurate </w:t>
      </w:r>
      <w:r w:rsidRPr="0073506C">
        <w:rPr>
          <w:rFonts w:ascii="Times New Roman" w:hAnsi="Times New Roman"/>
          <w:sz w:val="26"/>
          <w:szCs w:val="26"/>
        </w:rPr>
        <w:t>perform</w:t>
      </w:r>
      <w:r w:rsidR="00DE1E4C">
        <w:rPr>
          <w:rFonts w:ascii="Times New Roman" w:hAnsi="Times New Roman"/>
          <w:sz w:val="26"/>
          <w:szCs w:val="26"/>
        </w:rPr>
        <w:t>ance of</w:t>
      </w:r>
      <w:r w:rsidRPr="0073506C">
        <w:rPr>
          <w:rFonts w:ascii="Times New Roman" w:hAnsi="Times New Roman"/>
          <w:sz w:val="26"/>
          <w:szCs w:val="26"/>
        </w:rPr>
        <w:t xml:space="preserve"> </w:t>
      </w:r>
      <w:r w:rsidR="007E1B06">
        <w:rPr>
          <w:rFonts w:ascii="Times New Roman" w:hAnsi="Times New Roman"/>
          <w:sz w:val="26"/>
          <w:szCs w:val="26"/>
        </w:rPr>
        <w:t xml:space="preserve">its </w:t>
      </w:r>
      <w:r w:rsidRPr="0073506C">
        <w:rPr>
          <w:rFonts w:ascii="Times New Roman" w:hAnsi="Times New Roman"/>
          <w:sz w:val="26"/>
          <w:szCs w:val="26"/>
        </w:rPr>
        <w:t xml:space="preserve">mandated review and oversight </w:t>
      </w:r>
      <w:r w:rsidR="00E141B8">
        <w:rPr>
          <w:rFonts w:ascii="Times New Roman" w:hAnsi="Times New Roman"/>
          <w:sz w:val="26"/>
          <w:szCs w:val="26"/>
        </w:rPr>
        <w:t>responsibilities</w:t>
      </w:r>
      <w:r w:rsidR="00622BE3">
        <w:rPr>
          <w:rFonts w:ascii="Times New Roman" w:hAnsi="Times New Roman"/>
          <w:sz w:val="26"/>
          <w:szCs w:val="26"/>
        </w:rPr>
        <w:t>, as described above</w:t>
      </w:r>
      <w:r w:rsidRPr="0073506C">
        <w:rPr>
          <w:rFonts w:ascii="Times New Roman" w:hAnsi="Times New Roman"/>
          <w:sz w:val="26"/>
          <w:szCs w:val="26"/>
        </w:rPr>
        <w:t>.</w:t>
      </w:r>
      <w:r w:rsidRPr="0073506C" w:rsidR="00B75C18">
        <w:rPr>
          <w:rFonts w:ascii="Times New Roman" w:hAnsi="Times New Roman"/>
          <w:sz w:val="26"/>
          <w:szCs w:val="26"/>
        </w:rPr>
        <w:t xml:space="preserve">  </w:t>
      </w:r>
    </w:p>
    <w:p w:rsidR="00F0627E" w:rsidRPr="0073506C" w:rsidP="00BD0F89" w14:paraId="3319550E" w14:textId="77777777">
      <w:pPr>
        <w:spacing w:after="0" w:line="240" w:lineRule="auto"/>
        <w:rPr>
          <w:rFonts w:ascii="Times New Roman" w:hAnsi="Times New Roman"/>
          <w:sz w:val="26"/>
          <w:szCs w:val="26"/>
        </w:rPr>
      </w:pPr>
    </w:p>
    <w:p w:rsidR="1EFB72D5" w:rsidP="1EFB72D5" w14:paraId="5D2E0753" w14:textId="78ABE6A4">
      <w:pPr>
        <w:spacing w:after="0" w:line="240" w:lineRule="auto"/>
        <w:rPr>
          <w:rFonts w:ascii="Times New Roman" w:hAnsi="Times New Roman"/>
          <w:sz w:val="26"/>
          <w:szCs w:val="26"/>
        </w:rPr>
      </w:pPr>
    </w:p>
    <w:p w:rsidR="00F0627E" w:rsidRPr="0073506C" w:rsidP="00BD0F89" w14:paraId="6DE0BCEB"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EXPLAIN ANY SPECIAL CIRCUMSTANCES RELATING TO THE INFORMATION COLLECTION</w:t>
      </w:r>
    </w:p>
    <w:p w:rsidR="00F0627E" w:rsidRPr="00FB4D45" w:rsidP="00BD0F89" w14:paraId="61BC8479" w14:textId="77777777">
      <w:pPr>
        <w:spacing w:after="0" w:line="240" w:lineRule="auto"/>
        <w:rPr>
          <w:rFonts w:ascii="Times New Roman" w:hAnsi="Times New Roman"/>
          <w:b/>
          <w:bCs/>
          <w:sz w:val="26"/>
          <w:szCs w:val="26"/>
        </w:rPr>
      </w:pPr>
    </w:p>
    <w:p w:rsidR="00F0627E" w:rsidRPr="0073506C" w14:paraId="1832EE9A" w14:textId="36FC2C34">
      <w:pPr>
        <w:spacing w:after="0" w:line="240" w:lineRule="auto"/>
        <w:rPr>
          <w:rFonts w:ascii="Times New Roman" w:hAnsi="Times New Roman"/>
          <w:sz w:val="26"/>
          <w:szCs w:val="26"/>
        </w:rPr>
      </w:pPr>
      <w:r w:rsidRPr="0073506C">
        <w:rPr>
          <w:rFonts w:ascii="Times New Roman" w:hAnsi="Times New Roman"/>
          <w:sz w:val="26"/>
          <w:szCs w:val="26"/>
        </w:rPr>
        <w:t>There are no special circumstances related to th</w:t>
      </w:r>
      <w:r w:rsidRPr="0073506C" w:rsidR="00EC66AC">
        <w:rPr>
          <w:rFonts w:ascii="Times New Roman" w:hAnsi="Times New Roman"/>
          <w:sz w:val="26"/>
          <w:szCs w:val="26"/>
        </w:rPr>
        <w:t>ese</w:t>
      </w:r>
      <w:r w:rsidRPr="0073506C">
        <w:rPr>
          <w:rFonts w:ascii="Times New Roman" w:hAnsi="Times New Roman"/>
          <w:sz w:val="26"/>
          <w:szCs w:val="26"/>
        </w:rPr>
        <w:t xml:space="preserve"> information collection</w:t>
      </w:r>
      <w:r w:rsidRPr="0073506C" w:rsidR="00EC66AC">
        <w:rPr>
          <w:rFonts w:ascii="Times New Roman" w:hAnsi="Times New Roman"/>
          <w:sz w:val="26"/>
          <w:szCs w:val="26"/>
        </w:rPr>
        <w:t>s</w:t>
      </w:r>
      <w:r w:rsidRPr="0073506C">
        <w:rPr>
          <w:rFonts w:ascii="Times New Roman" w:hAnsi="Times New Roman"/>
          <w:sz w:val="26"/>
          <w:szCs w:val="26"/>
        </w:rPr>
        <w:t>.</w:t>
      </w:r>
    </w:p>
    <w:p w:rsidR="00517EC0" w:rsidRPr="0073506C" w:rsidP="00BD0F89" w14:paraId="74F838D9" w14:textId="77777777">
      <w:pPr>
        <w:spacing w:after="0" w:line="240" w:lineRule="auto"/>
        <w:ind w:left="360" w:hanging="360"/>
        <w:rPr>
          <w:rFonts w:ascii="Times New Roman" w:hAnsi="Times New Roman"/>
          <w:sz w:val="26"/>
          <w:szCs w:val="26"/>
        </w:rPr>
      </w:pPr>
    </w:p>
    <w:p w:rsidR="00F0627E" w:rsidRPr="0073506C" w:rsidP="00BD0F89" w14:paraId="75DA9249"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DESCRIBE EFFORTS TO CONSULT OUTSIDE THE AGENCY: SUMMARIZE PUBLIC COMMENTS AND THE AGENCY’S RESPONSE</w:t>
      </w:r>
    </w:p>
    <w:p w:rsidR="00F0627E" w:rsidRPr="0073506C" w:rsidP="00BD0F89" w14:paraId="5D2AE01F" w14:textId="77777777">
      <w:pPr>
        <w:spacing w:after="0" w:line="240" w:lineRule="auto"/>
        <w:rPr>
          <w:rFonts w:ascii="Times New Roman" w:hAnsi="Times New Roman"/>
          <w:sz w:val="26"/>
          <w:szCs w:val="26"/>
        </w:rPr>
      </w:pPr>
    </w:p>
    <w:p w:rsidR="003C4121" w:rsidRPr="00B15DD0" w:rsidP="00003D06" w14:paraId="33541DAD" w14:textId="6DA318F0">
      <w:pPr>
        <w:pStyle w:val="ListParagraph"/>
        <w:spacing w:after="0" w:line="240" w:lineRule="auto"/>
        <w:ind w:left="0"/>
        <w:rPr>
          <w:rFonts w:ascii="Times New Roman" w:hAnsi="Times New Roman"/>
          <w:sz w:val="26"/>
          <w:szCs w:val="26"/>
        </w:rPr>
      </w:pPr>
      <w:r w:rsidRPr="00B15DD0">
        <w:rPr>
          <w:rFonts w:ascii="Times New Roman" w:hAnsi="Times New Roman"/>
          <w:sz w:val="26"/>
          <w:szCs w:val="26"/>
        </w:rPr>
        <w:t xml:space="preserve">The </w:t>
      </w:r>
      <w:r w:rsidR="003111D5">
        <w:rPr>
          <w:rFonts w:ascii="Times New Roman" w:hAnsi="Times New Roman"/>
          <w:sz w:val="26"/>
          <w:szCs w:val="26"/>
        </w:rPr>
        <w:t>C</w:t>
      </w:r>
      <w:r w:rsidRPr="00B15DD0">
        <w:rPr>
          <w:rFonts w:ascii="Times New Roman" w:hAnsi="Times New Roman"/>
          <w:sz w:val="26"/>
          <w:szCs w:val="26"/>
        </w:rPr>
        <w:t xml:space="preserve">ommission </w:t>
      </w:r>
      <w:r w:rsidRPr="00B15DD0" w:rsidR="00C80194">
        <w:rPr>
          <w:rFonts w:ascii="Times New Roman" w:hAnsi="Times New Roman"/>
          <w:sz w:val="26"/>
          <w:szCs w:val="26"/>
        </w:rPr>
        <w:t xml:space="preserve">published a Notice of Proposed Rulemaking in the Federal Register to solicit comments </w:t>
      </w:r>
      <w:r w:rsidRPr="00B15DD0" w:rsidR="00ED4495">
        <w:rPr>
          <w:rFonts w:ascii="Times New Roman" w:hAnsi="Times New Roman"/>
          <w:sz w:val="26"/>
          <w:szCs w:val="26"/>
        </w:rPr>
        <w:t>on the</w:t>
      </w:r>
      <w:r w:rsidRPr="00B15DD0" w:rsidR="00EF308C">
        <w:rPr>
          <w:rFonts w:ascii="Times New Roman" w:hAnsi="Times New Roman"/>
          <w:sz w:val="26"/>
          <w:szCs w:val="26"/>
        </w:rPr>
        <w:t>se</w:t>
      </w:r>
      <w:r w:rsidRPr="00B15DD0" w:rsidR="00ED4495">
        <w:rPr>
          <w:rFonts w:ascii="Times New Roman" w:hAnsi="Times New Roman"/>
          <w:sz w:val="26"/>
          <w:szCs w:val="26"/>
        </w:rPr>
        <w:t xml:space="preserve"> proposed changes</w:t>
      </w:r>
      <w:r w:rsidRPr="00B15DD0" w:rsidR="00EF308C">
        <w:rPr>
          <w:rFonts w:ascii="Times New Roman" w:hAnsi="Times New Roman"/>
          <w:sz w:val="26"/>
          <w:szCs w:val="26"/>
        </w:rPr>
        <w:t>.</w:t>
      </w:r>
      <w:r>
        <w:rPr>
          <w:rStyle w:val="FootnoteReference"/>
          <w:rFonts w:ascii="Times New Roman" w:hAnsi="Times New Roman"/>
          <w:sz w:val="26"/>
          <w:szCs w:val="26"/>
        </w:rPr>
        <w:footnoteReference w:id="6"/>
      </w:r>
      <w:r w:rsidR="0044199B">
        <w:rPr>
          <w:rFonts w:ascii="Times New Roman" w:hAnsi="Times New Roman"/>
          <w:sz w:val="26"/>
          <w:szCs w:val="26"/>
        </w:rPr>
        <w:t xml:space="preserve"> </w:t>
      </w:r>
      <w:r w:rsidRPr="00B15DD0" w:rsidR="00EF308C">
        <w:rPr>
          <w:rFonts w:ascii="Times New Roman" w:hAnsi="Times New Roman"/>
          <w:sz w:val="26"/>
          <w:szCs w:val="26"/>
        </w:rPr>
        <w:t xml:space="preserve"> </w:t>
      </w:r>
      <w:r w:rsidRPr="00B15DD0" w:rsidR="00D90DEE">
        <w:rPr>
          <w:rFonts w:ascii="Times New Roman" w:hAnsi="Times New Roman"/>
          <w:sz w:val="26"/>
          <w:szCs w:val="26"/>
        </w:rPr>
        <w:t xml:space="preserve">In preparing this NOPR, the Commission also reviewed previously filed comments on the information collection renewal of </w:t>
      </w:r>
      <w:r w:rsidRPr="00B15DD0">
        <w:rPr>
          <w:rFonts w:ascii="Times New Roman" w:hAnsi="Times New Roman"/>
          <w:sz w:val="26"/>
          <w:szCs w:val="26"/>
        </w:rPr>
        <w:t xml:space="preserve">FERC Form </w:t>
      </w:r>
      <w:r w:rsidR="00C95768">
        <w:rPr>
          <w:rFonts w:ascii="Times New Roman" w:hAnsi="Times New Roman"/>
          <w:sz w:val="26"/>
          <w:szCs w:val="26"/>
        </w:rPr>
        <w:t xml:space="preserve">No. </w:t>
      </w:r>
      <w:r w:rsidRPr="00B15DD0">
        <w:rPr>
          <w:rFonts w:ascii="Times New Roman" w:hAnsi="Times New Roman"/>
          <w:sz w:val="26"/>
          <w:szCs w:val="26"/>
        </w:rPr>
        <w:t>3-Q.</w:t>
      </w:r>
      <w:r>
        <w:rPr>
          <w:rStyle w:val="FootnoteReference"/>
          <w:rFonts w:ascii="Times New Roman" w:hAnsi="Times New Roman"/>
          <w:sz w:val="26"/>
          <w:szCs w:val="26"/>
        </w:rPr>
        <w:footnoteReference w:id="7"/>
      </w:r>
      <w:r w:rsidRPr="00B15DD0">
        <w:rPr>
          <w:rFonts w:ascii="Times New Roman" w:hAnsi="Times New Roman"/>
          <w:sz w:val="26"/>
          <w:szCs w:val="26"/>
        </w:rPr>
        <w:t xml:space="preserve"> </w:t>
      </w:r>
    </w:p>
    <w:p w:rsidR="009C451A" w:rsidRPr="0073506C" w:rsidP="00BD0F89" w14:paraId="1F5BA73E" w14:textId="078EEF55">
      <w:pPr>
        <w:pStyle w:val="ListParagraph"/>
        <w:spacing w:after="0" w:line="240" w:lineRule="auto"/>
        <w:ind w:left="0"/>
        <w:rPr>
          <w:rFonts w:ascii="Times New Roman" w:hAnsi="Times New Roman"/>
          <w:b/>
          <w:sz w:val="26"/>
          <w:szCs w:val="26"/>
        </w:rPr>
      </w:pPr>
      <w:r>
        <w:rPr>
          <w:rFonts w:ascii="Times New Roman" w:hAnsi="Times New Roman"/>
          <w:sz w:val="26"/>
          <w:szCs w:val="26"/>
        </w:rPr>
        <w:tab/>
      </w:r>
    </w:p>
    <w:p w:rsidR="00F0627E" w:rsidRPr="0073506C" w:rsidP="00BD0F89" w14:paraId="1A2BC3FA"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EXPLAIN ANY PAYMENT OR GIFTS TO RESPONDENTS</w:t>
      </w:r>
    </w:p>
    <w:p w:rsidR="00F0627E" w:rsidRPr="0073506C" w:rsidP="00BD0F89" w14:paraId="1C0A081E" w14:textId="77777777">
      <w:pPr>
        <w:spacing w:after="0" w:line="240" w:lineRule="auto"/>
        <w:rPr>
          <w:rFonts w:ascii="Times New Roman" w:hAnsi="Times New Roman"/>
          <w:sz w:val="26"/>
          <w:szCs w:val="26"/>
        </w:rPr>
      </w:pPr>
    </w:p>
    <w:p w:rsidR="00F0627E" w:rsidRPr="0073506C" w14:paraId="47E62683" w14:textId="1B78BE97">
      <w:pPr>
        <w:spacing w:after="0" w:line="240" w:lineRule="auto"/>
        <w:rPr>
          <w:rFonts w:ascii="Times New Roman" w:hAnsi="Times New Roman"/>
          <w:sz w:val="26"/>
          <w:szCs w:val="26"/>
        </w:rPr>
      </w:pPr>
      <w:r w:rsidRPr="00872C51">
        <w:rPr>
          <w:rFonts w:ascii="Times New Roman" w:hAnsi="Times New Roman"/>
          <w:sz w:val="26"/>
          <w:szCs w:val="26"/>
        </w:rPr>
        <w:t>The Commission does not mak</w:t>
      </w:r>
      <w:r>
        <w:rPr>
          <w:rFonts w:ascii="Times New Roman" w:hAnsi="Times New Roman"/>
          <w:sz w:val="26"/>
          <w:szCs w:val="26"/>
        </w:rPr>
        <w:t>e</w:t>
      </w:r>
      <w:r w:rsidR="008E3C4F">
        <w:rPr>
          <w:rFonts w:ascii="Times New Roman" w:hAnsi="Times New Roman"/>
          <w:sz w:val="26"/>
          <w:szCs w:val="26"/>
        </w:rPr>
        <w:t xml:space="preserve"> </w:t>
      </w:r>
      <w:r w:rsidRPr="0073506C">
        <w:rPr>
          <w:rFonts w:ascii="Times New Roman" w:hAnsi="Times New Roman"/>
          <w:sz w:val="26"/>
          <w:szCs w:val="26"/>
        </w:rPr>
        <w:t>payments or gifts to respondents</w:t>
      </w:r>
      <w:r>
        <w:rPr>
          <w:rFonts w:ascii="Times New Roman" w:hAnsi="Times New Roman"/>
          <w:sz w:val="26"/>
          <w:szCs w:val="26"/>
        </w:rPr>
        <w:t xml:space="preserve"> </w:t>
      </w:r>
      <w:r w:rsidRPr="00872C51">
        <w:rPr>
          <w:rFonts w:ascii="Times New Roman" w:hAnsi="Times New Roman"/>
          <w:sz w:val="26"/>
          <w:szCs w:val="26"/>
        </w:rPr>
        <w:t>related to these collections</w:t>
      </w:r>
      <w:r w:rsidRPr="0073506C">
        <w:rPr>
          <w:rFonts w:ascii="Times New Roman" w:hAnsi="Times New Roman"/>
          <w:sz w:val="26"/>
          <w:szCs w:val="26"/>
        </w:rPr>
        <w:t>.</w:t>
      </w:r>
    </w:p>
    <w:p w:rsidR="00F0627E" w:rsidRPr="0073506C" w:rsidP="00BD0F89" w14:paraId="63605198" w14:textId="77777777">
      <w:pPr>
        <w:spacing w:after="0" w:line="240" w:lineRule="auto"/>
        <w:rPr>
          <w:rFonts w:ascii="Times New Roman" w:hAnsi="Times New Roman"/>
          <w:sz w:val="26"/>
          <w:szCs w:val="26"/>
        </w:rPr>
      </w:pPr>
    </w:p>
    <w:p w:rsidR="00F0627E" w:rsidRPr="0073506C" w:rsidP="00BD0F89" w14:paraId="0127248A"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DESCRIBE ANY ASSURANCE OF CONFIDENTIALITY PROVIDED TO RESPONDENTS</w:t>
      </w:r>
    </w:p>
    <w:p w:rsidR="00F0627E" w:rsidRPr="0073506C" w:rsidP="00BD0F89" w14:paraId="55B18053" w14:textId="77777777">
      <w:pPr>
        <w:spacing w:after="0" w:line="240" w:lineRule="auto"/>
        <w:rPr>
          <w:rFonts w:ascii="Times New Roman" w:hAnsi="Times New Roman"/>
          <w:sz w:val="26"/>
          <w:szCs w:val="26"/>
        </w:rPr>
      </w:pPr>
    </w:p>
    <w:p w:rsidR="00F0627E" w:rsidRPr="0073506C" w14:paraId="1594C0DB" w14:textId="1D233C18">
      <w:pPr>
        <w:spacing w:after="0" w:line="240" w:lineRule="auto"/>
        <w:rPr>
          <w:rFonts w:ascii="Times New Roman" w:hAnsi="Times New Roman"/>
          <w:sz w:val="26"/>
          <w:szCs w:val="26"/>
        </w:rPr>
      </w:pPr>
      <w:r w:rsidRPr="0073506C">
        <w:rPr>
          <w:rFonts w:ascii="Times New Roman" w:hAnsi="Times New Roman"/>
          <w:sz w:val="26"/>
          <w:szCs w:val="26"/>
        </w:rPr>
        <w:t xml:space="preserve">The information collected in </w:t>
      </w:r>
      <w:r w:rsidR="003633BE">
        <w:rPr>
          <w:rFonts w:ascii="Times New Roman" w:hAnsi="Times New Roman"/>
          <w:sz w:val="26"/>
          <w:szCs w:val="26"/>
        </w:rPr>
        <w:t xml:space="preserve">FERC Form Nos. 1, 1-F, </w:t>
      </w:r>
      <w:r w:rsidR="008C6E65">
        <w:rPr>
          <w:rFonts w:ascii="Times New Roman" w:hAnsi="Times New Roman"/>
          <w:sz w:val="26"/>
          <w:szCs w:val="26"/>
        </w:rPr>
        <w:t xml:space="preserve">2, 2-A, </w:t>
      </w:r>
      <w:r w:rsidR="003633BE">
        <w:rPr>
          <w:rFonts w:ascii="Times New Roman" w:hAnsi="Times New Roman"/>
          <w:sz w:val="26"/>
          <w:szCs w:val="26"/>
        </w:rPr>
        <w:t>and 3-Q is publicly available</w:t>
      </w:r>
      <w:r w:rsidR="00847887">
        <w:rPr>
          <w:rFonts w:ascii="Times New Roman" w:hAnsi="Times New Roman"/>
          <w:sz w:val="26"/>
          <w:szCs w:val="26"/>
        </w:rPr>
        <w:t xml:space="preserve"> </w:t>
      </w:r>
      <w:r w:rsidRPr="00847887" w:rsidR="00847887">
        <w:rPr>
          <w:rFonts w:ascii="Times New Roman" w:hAnsi="Times New Roman"/>
          <w:sz w:val="26"/>
          <w:szCs w:val="26"/>
        </w:rPr>
        <w:t>at https://ecollection.ferc.gov/</w:t>
      </w:r>
      <w:r w:rsidRPr="0073506C">
        <w:rPr>
          <w:rFonts w:ascii="Times New Roman" w:hAnsi="Times New Roman"/>
          <w:sz w:val="26"/>
          <w:szCs w:val="26"/>
        </w:rPr>
        <w:t>.  However, the Commission will consider specific requests for confidential treatment (e.g.</w:t>
      </w:r>
      <w:r w:rsidR="00FA7EDE">
        <w:rPr>
          <w:rFonts w:ascii="Times New Roman" w:hAnsi="Times New Roman"/>
          <w:sz w:val="26"/>
          <w:szCs w:val="26"/>
        </w:rPr>
        <w:t>,</w:t>
      </w:r>
      <w:r w:rsidRPr="0073506C">
        <w:rPr>
          <w:rFonts w:ascii="Times New Roman" w:hAnsi="Times New Roman"/>
          <w:sz w:val="26"/>
          <w:szCs w:val="26"/>
        </w:rPr>
        <w:t xml:space="preserve"> Critical </w:t>
      </w:r>
      <w:r w:rsidRPr="0073506C" w:rsidR="00084A7F">
        <w:rPr>
          <w:rFonts w:ascii="Times New Roman" w:hAnsi="Times New Roman"/>
          <w:sz w:val="26"/>
          <w:szCs w:val="26"/>
        </w:rPr>
        <w:t>Energy/Electric</w:t>
      </w:r>
      <w:r w:rsidRPr="0073506C">
        <w:rPr>
          <w:rFonts w:ascii="Times New Roman" w:hAnsi="Times New Roman"/>
          <w:sz w:val="26"/>
          <w:szCs w:val="26"/>
        </w:rPr>
        <w:t xml:space="preserve"> Infrastructure Information [CEII] or non-public) to the extent permitted by law.</w:t>
      </w:r>
      <w:r>
        <w:rPr>
          <w:rFonts w:ascii="Times New Roman" w:hAnsi="Times New Roman"/>
          <w:b/>
          <w:sz w:val="26"/>
          <w:szCs w:val="26"/>
          <w:vertAlign w:val="superscript"/>
        </w:rPr>
        <w:footnoteReference w:id="8"/>
      </w:r>
      <w:r w:rsidRPr="0073506C">
        <w:rPr>
          <w:rFonts w:ascii="Times New Roman" w:hAnsi="Times New Roman"/>
          <w:sz w:val="26"/>
          <w:szCs w:val="26"/>
        </w:rPr>
        <w:t xml:space="preserve">  The Commission will review each request for confidential treatment on a case-by-case basis.</w:t>
      </w:r>
      <w:r w:rsidRPr="0073506C" w:rsidR="00084A7F">
        <w:rPr>
          <w:rFonts w:ascii="Times New Roman" w:hAnsi="Times New Roman"/>
          <w:sz w:val="26"/>
          <w:szCs w:val="26"/>
        </w:rPr>
        <w:t xml:space="preserve"> </w:t>
      </w:r>
    </w:p>
    <w:p w:rsidR="00F0627E" w:rsidRPr="0073506C" w:rsidP="00BD0F89" w14:paraId="06B74231" w14:textId="77777777">
      <w:pPr>
        <w:spacing w:after="0" w:line="240" w:lineRule="auto"/>
        <w:rPr>
          <w:rFonts w:ascii="Times New Roman" w:hAnsi="Times New Roman"/>
          <w:sz w:val="26"/>
          <w:szCs w:val="26"/>
        </w:rPr>
      </w:pPr>
    </w:p>
    <w:p w:rsidR="00F0627E" w:rsidRPr="0073506C" w:rsidP="00BD0F89" w14:paraId="3F7300DB"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PROVIDE ADDITIONAL JUSTIFICATION FOR ANY QUESTIONS OF A SENSITIVE NATURE, SUCH AS SEXUAL BEHAVIOR AND ATTITUDES, RELIGIOUS BELIEFS, AND OTHER MATTERS THAT ARE COMMONLY CONSIDERED PRIVATE.</w:t>
      </w:r>
    </w:p>
    <w:p w:rsidR="00F0627E" w:rsidRPr="0073506C" w:rsidP="00BD0F89" w14:paraId="39F4AE19" w14:textId="77777777">
      <w:pPr>
        <w:spacing w:after="0" w:line="240" w:lineRule="auto"/>
        <w:rPr>
          <w:rFonts w:ascii="Times New Roman" w:hAnsi="Times New Roman"/>
          <w:sz w:val="26"/>
          <w:szCs w:val="26"/>
        </w:rPr>
      </w:pPr>
    </w:p>
    <w:p w:rsidR="009E73C6" w:rsidRPr="009E73C6" w:rsidP="009E73C6" w14:paraId="0EA84BAB" w14:textId="77777777">
      <w:pPr>
        <w:spacing w:after="0" w:line="240" w:lineRule="auto"/>
        <w:rPr>
          <w:rFonts w:ascii="Times New Roman" w:hAnsi="Times New Roman"/>
          <w:sz w:val="26"/>
          <w:szCs w:val="26"/>
        </w:rPr>
      </w:pPr>
      <w:r w:rsidRPr="009E73C6">
        <w:rPr>
          <w:rFonts w:ascii="Times New Roman" w:hAnsi="Times New Roman"/>
          <w:sz w:val="26"/>
          <w:szCs w:val="26"/>
        </w:rPr>
        <w:t xml:space="preserve">The </w:t>
      </w:r>
      <w:r w:rsidRPr="009E73C6" w:rsidR="00FE35A9">
        <w:rPr>
          <w:rFonts w:ascii="Times New Roman" w:hAnsi="Times New Roman"/>
          <w:sz w:val="26"/>
          <w:szCs w:val="26"/>
        </w:rPr>
        <w:t>forms do not contain</w:t>
      </w:r>
      <w:r w:rsidRPr="009E73C6">
        <w:rPr>
          <w:rFonts w:ascii="Times New Roman" w:hAnsi="Times New Roman"/>
          <w:sz w:val="26"/>
          <w:szCs w:val="26"/>
        </w:rPr>
        <w:t xml:space="preserve"> questions of a sensitive nature.</w:t>
      </w:r>
    </w:p>
    <w:p w:rsidR="009E73C6" w:rsidRPr="009E73C6" w:rsidP="009E73C6" w14:paraId="696B8EC6" w14:textId="77777777">
      <w:pPr>
        <w:pStyle w:val="ListParagraph"/>
        <w:rPr>
          <w:rFonts w:ascii="Times New Roman" w:hAnsi="Times New Roman"/>
          <w:sz w:val="26"/>
          <w:szCs w:val="26"/>
        </w:rPr>
      </w:pPr>
    </w:p>
    <w:p w:rsidR="00F0627E" w:rsidRPr="0073506C" w:rsidP="00BD0F89" w14:paraId="21A98BF8" w14:textId="2500A786">
      <w:pPr>
        <w:pStyle w:val="ListParagraph"/>
        <w:numPr>
          <w:ilvl w:val="0"/>
          <w:numId w:val="14"/>
        </w:numPr>
        <w:spacing w:after="0" w:line="240" w:lineRule="auto"/>
        <w:rPr>
          <w:rFonts w:ascii="Times New Roman" w:hAnsi="Times New Roman"/>
          <w:sz w:val="26"/>
          <w:szCs w:val="26"/>
        </w:rPr>
      </w:pPr>
      <w:r w:rsidRPr="0073506C">
        <w:rPr>
          <w:rFonts w:ascii="Times New Roman" w:hAnsi="Times New Roman"/>
          <w:b/>
          <w:sz w:val="26"/>
          <w:szCs w:val="26"/>
        </w:rPr>
        <w:t>ESTIMATED BURDEN OF COLLECTION OF INFORMATION</w:t>
      </w:r>
    </w:p>
    <w:p w:rsidR="00AD2C01" w:rsidRPr="0073506C" w:rsidP="00BD0F89" w14:paraId="006B7021" w14:textId="77777777">
      <w:pPr>
        <w:spacing w:after="0" w:line="240" w:lineRule="auto"/>
        <w:rPr>
          <w:rFonts w:ascii="Times New Roman" w:hAnsi="Times New Roman"/>
          <w:sz w:val="26"/>
          <w:szCs w:val="26"/>
        </w:rPr>
      </w:pPr>
      <w:r w:rsidRPr="0073506C">
        <w:rPr>
          <w:rFonts w:ascii="Times New Roman" w:hAnsi="Times New Roman"/>
          <w:sz w:val="26"/>
          <w:szCs w:val="26"/>
        </w:rPr>
        <w:t xml:space="preserve"> </w:t>
      </w:r>
    </w:p>
    <w:p w:rsidR="004B037D" w:rsidP="004B037D" w14:paraId="2A36DA0E" w14:textId="25278EBB">
      <w:pPr>
        <w:spacing w:after="0" w:line="240" w:lineRule="auto"/>
        <w:rPr>
          <w:rFonts w:ascii="Times New Roman" w:hAnsi="Times New Roman"/>
          <w:sz w:val="26"/>
          <w:szCs w:val="26"/>
        </w:rPr>
      </w:pPr>
      <w:r w:rsidRPr="004B037D">
        <w:rPr>
          <w:rFonts w:ascii="Times New Roman" w:hAnsi="Times New Roman"/>
          <w:sz w:val="26"/>
          <w:szCs w:val="26"/>
        </w:rPr>
        <w:t xml:space="preserve">This proposed rule would reduce the number of required </w:t>
      </w:r>
      <w:r w:rsidR="00755BE1">
        <w:rPr>
          <w:rFonts w:ascii="Times New Roman" w:hAnsi="Times New Roman"/>
          <w:sz w:val="26"/>
          <w:szCs w:val="26"/>
        </w:rPr>
        <w:t xml:space="preserve">quarterly </w:t>
      </w:r>
      <w:r w:rsidRPr="004B037D">
        <w:rPr>
          <w:rFonts w:ascii="Times New Roman" w:hAnsi="Times New Roman"/>
          <w:sz w:val="26"/>
          <w:szCs w:val="26"/>
        </w:rPr>
        <w:t xml:space="preserve">schedules that need to be completed by the electric industry (removing 17 of 24 schedules and </w:t>
      </w:r>
      <w:r w:rsidR="00B96D29">
        <w:rPr>
          <w:rFonts w:ascii="Times New Roman" w:hAnsi="Times New Roman"/>
          <w:sz w:val="26"/>
          <w:szCs w:val="26"/>
        </w:rPr>
        <w:t xml:space="preserve">an </w:t>
      </w:r>
      <w:r w:rsidRPr="004B037D">
        <w:rPr>
          <w:rFonts w:ascii="Times New Roman" w:hAnsi="Times New Roman"/>
          <w:sz w:val="26"/>
          <w:szCs w:val="26"/>
        </w:rPr>
        <w:t>estimat</w:t>
      </w:r>
      <w:r w:rsidR="00B96D29">
        <w:rPr>
          <w:rFonts w:ascii="Times New Roman" w:hAnsi="Times New Roman"/>
          <w:sz w:val="26"/>
          <w:szCs w:val="26"/>
        </w:rPr>
        <w:t>ed</w:t>
      </w:r>
      <w:r w:rsidRPr="004B037D">
        <w:rPr>
          <w:rFonts w:ascii="Times New Roman" w:hAnsi="Times New Roman"/>
          <w:sz w:val="26"/>
          <w:szCs w:val="26"/>
        </w:rPr>
        <w:t xml:space="preserve"> 70% reduction in burden) and the gas industry (removing 3 of 19 schedules and an estimated 15% reduction in burden).</w:t>
      </w:r>
    </w:p>
    <w:p w:rsidR="00021742" w:rsidRPr="004B037D" w:rsidP="004B037D" w14:paraId="533587C8" w14:textId="77777777">
      <w:pPr>
        <w:spacing w:after="0" w:line="240" w:lineRule="auto"/>
        <w:rPr>
          <w:rFonts w:ascii="Times New Roman" w:hAnsi="Times New Roman"/>
          <w:sz w:val="26"/>
          <w:szCs w:val="26"/>
        </w:rPr>
      </w:pPr>
    </w:p>
    <w:p w:rsidR="004B037D" w:rsidRPr="004B037D" w:rsidP="004B037D" w14:paraId="155816C4" w14:textId="77777777">
      <w:pPr>
        <w:spacing w:after="0" w:line="240" w:lineRule="auto"/>
        <w:rPr>
          <w:rFonts w:ascii="Times New Roman" w:hAnsi="Times New Roman"/>
          <w:sz w:val="26"/>
          <w:szCs w:val="26"/>
        </w:rPr>
      </w:pPr>
      <w:r w:rsidRPr="004B037D">
        <w:rPr>
          <w:rFonts w:ascii="Times New Roman" w:hAnsi="Times New Roman"/>
          <w:i/>
          <w:iCs/>
          <w:sz w:val="26"/>
          <w:szCs w:val="26"/>
        </w:rPr>
        <w:t>Public Reporting Burden</w:t>
      </w:r>
      <w:r w:rsidRPr="004B037D">
        <w:rPr>
          <w:rFonts w:ascii="Times New Roman" w:hAnsi="Times New Roman"/>
          <w:i/>
          <w:iCs/>
          <w:sz w:val="26"/>
          <w:szCs w:val="26"/>
        </w:rPr>
        <w:t xml:space="preserve">: </w:t>
      </w:r>
      <w:r w:rsidRPr="004B037D">
        <w:rPr>
          <w:rFonts w:ascii="Times New Roman" w:hAnsi="Times New Roman"/>
          <w:sz w:val="26"/>
          <w:szCs w:val="26"/>
        </w:rPr>
        <w:t> The</w:t>
      </w:r>
      <w:r w:rsidRPr="004B037D">
        <w:rPr>
          <w:rFonts w:ascii="Times New Roman" w:hAnsi="Times New Roman"/>
          <w:sz w:val="26"/>
          <w:szCs w:val="26"/>
        </w:rPr>
        <w:t xml:space="preserve"> Commission estimates burden</w:t>
      </w:r>
      <w:r>
        <w:rPr>
          <w:rFonts w:ascii="Times New Roman" w:hAnsi="Times New Roman"/>
          <w:b/>
          <w:sz w:val="26"/>
          <w:szCs w:val="26"/>
          <w:vertAlign w:val="superscript"/>
        </w:rPr>
        <w:footnoteReference w:id="9"/>
      </w:r>
      <w:r w:rsidRPr="004B037D">
        <w:rPr>
          <w:rFonts w:ascii="Times New Roman" w:hAnsi="Times New Roman"/>
          <w:sz w:val="26"/>
          <w:szCs w:val="26"/>
          <w:vertAlign w:val="superscript"/>
        </w:rPr>
        <w:t> </w:t>
      </w:r>
      <w:r w:rsidRPr="004B037D">
        <w:rPr>
          <w:rFonts w:ascii="Times New Roman" w:hAnsi="Times New Roman"/>
          <w:sz w:val="26"/>
          <w:szCs w:val="26"/>
        </w:rPr>
        <w:t>and cost</w:t>
      </w:r>
      <w:r>
        <w:rPr>
          <w:rFonts w:ascii="Times New Roman" w:hAnsi="Times New Roman"/>
          <w:b/>
          <w:sz w:val="26"/>
          <w:szCs w:val="26"/>
          <w:vertAlign w:val="superscript"/>
        </w:rPr>
        <w:footnoteReference w:id="10"/>
      </w:r>
      <w:r w:rsidRPr="004B037D">
        <w:rPr>
          <w:rFonts w:ascii="Times New Roman" w:hAnsi="Times New Roman"/>
          <w:sz w:val="26"/>
          <w:szCs w:val="26"/>
        </w:rPr>
        <w:t> as follows: </w:t>
      </w:r>
    </w:p>
    <w:tbl>
      <w:tblPr>
        <w:tblW w:w="95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72"/>
        <w:gridCol w:w="1348"/>
        <w:gridCol w:w="1324"/>
        <w:gridCol w:w="1280"/>
        <w:gridCol w:w="1867"/>
        <w:gridCol w:w="1317"/>
        <w:gridCol w:w="1307"/>
      </w:tblGrid>
      <w:tr w14:paraId="299EF8FD" w14:textId="77777777">
        <w:tblPrEx>
          <w:tblW w:w="95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072" w:type="dxa"/>
            <w:tcBorders>
              <w:top w:val="single" w:sz="6" w:space="0" w:color="auto"/>
              <w:left w:val="single" w:sz="6" w:space="0" w:color="auto"/>
              <w:bottom w:val="nil"/>
              <w:right w:val="single" w:sz="6" w:space="0" w:color="auto"/>
            </w:tcBorders>
            <w:shd w:val="clear" w:color="auto" w:fill="D9D9D9"/>
            <w:hideMark/>
          </w:tcPr>
          <w:p w:rsidR="004B037D" w:rsidRPr="004B037D" w:rsidP="004B037D" w14:paraId="6F6E2236" w14:textId="77777777">
            <w:pPr>
              <w:spacing w:after="0" w:line="240" w:lineRule="auto"/>
              <w:rPr>
                <w:rFonts w:ascii="Times New Roman" w:hAnsi="Times New Roman"/>
              </w:rPr>
            </w:pPr>
            <w:r w:rsidRPr="004B037D">
              <w:rPr>
                <w:rFonts w:ascii="Times New Roman" w:hAnsi="Times New Roman"/>
              </w:rPr>
              <w:t> </w:t>
            </w:r>
          </w:p>
        </w:tc>
        <w:tc>
          <w:tcPr>
            <w:tcW w:w="1348" w:type="dxa"/>
            <w:tcBorders>
              <w:top w:val="single" w:sz="6" w:space="0" w:color="auto"/>
              <w:left w:val="single" w:sz="6" w:space="0" w:color="auto"/>
              <w:bottom w:val="nil"/>
              <w:right w:val="single" w:sz="6" w:space="0" w:color="auto"/>
            </w:tcBorders>
            <w:shd w:val="clear" w:color="auto" w:fill="D9D9D9"/>
            <w:hideMark/>
          </w:tcPr>
          <w:p w:rsidR="004B037D" w:rsidRPr="004B037D" w:rsidP="004B037D" w14:paraId="6F23569E" w14:textId="77777777">
            <w:pPr>
              <w:spacing w:after="0" w:line="240" w:lineRule="auto"/>
              <w:rPr>
                <w:rFonts w:ascii="Times New Roman" w:hAnsi="Times New Roman"/>
              </w:rPr>
            </w:pPr>
            <w:r w:rsidRPr="004B037D">
              <w:rPr>
                <w:rFonts w:ascii="Times New Roman" w:hAnsi="Times New Roman"/>
                <w:b/>
              </w:rPr>
              <w:t>Number of respondents</w:t>
            </w:r>
            <w:r w:rsidRPr="004B037D">
              <w:rPr>
                <w:rFonts w:ascii="Times New Roman" w:hAnsi="Times New Roman"/>
              </w:rPr>
              <w:t> </w:t>
            </w:r>
          </w:p>
        </w:tc>
        <w:tc>
          <w:tcPr>
            <w:tcW w:w="1324" w:type="dxa"/>
            <w:tcBorders>
              <w:top w:val="single" w:sz="6" w:space="0" w:color="auto"/>
              <w:left w:val="single" w:sz="6" w:space="0" w:color="auto"/>
              <w:bottom w:val="nil"/>
              <w:right w:val="single" w:sz="6" w:space="0" w:color="auto"/>
            </w:tcBorders>
            <w:shd w:val="clear" w:color="auto" w:fill="D9D9D9"/>
            <w:hideMark/>
          </w:tcPr>
          <w:p w:rsidR="004B037D" w:rsidRPr="004B037D" w:rsidP="004B037D" w14:paraId="39BEE5E8" w14:textId="77777777">
            <w:pPr>
              <w:spacing w:after="0" w:line="240" w:lineRule="auto"/>
              <w:rPr>
                <w:rFonts w:ascii="Times New Roman" w:hAnsi="Times New Roman"/>
              </w:rPr>
            </w:pPr>
            <w:r w:rsidRPr="004B037D">
              <w:rPr>
                <w:rFonts w:ascii="Times New Roman" w:hAnsi="Times New Roman"/>
                <w:b/>
              </w:rPr>
              <w:t>Annual number of responses per respondent</w:t>
            </w:r>
            <w:r w:rsidRPr="004B037D">
              <w:rPr>
                <w:rFonts w:ascii="Times New Roman" w:hAnsi="Times New Roman"/>
              </w:rPr>
              <w:t> </w:t>
            </w:r>
          </w:p>
        </w:tc>
        <w:tc>
          <w:tcPr>
            <w:tcW w:w="1280" w:type="dxa"/>
            <w:tcBorders>
              <w:top w:val="single" w:sz="6" w:space="0" w:color="auto"/>
              <w:left w:val="single" w:sz="6" w:space="0" w:color="auto"/>
              <w:bottom w:val="nil"/>
              <w:right w:val="single" w:sz="6" w:space="0" w:color="auto"/>
            </w:tcBorders>
            <w:shd w:val="clear" w:color="auto" w:fill="D9D9D9"/>
            <w:hideMark/>
          </w:tcPr>
          <w:p w:rsidR="004B037D" w:rsidRPr="004B037D" w:rsidP="004B037D" w14:paraId="6B86CE85" w14:textId="77777777">
            <w:pPr>
              <w:spacing w:after="0" w:line="240" w:lineRule="auto"/>
              <w:rPr>
                <w:rFonts w:ascii="Times New Roman" w:hAnsi="Times New Roman"/>
              </w:rPr>
            </w:pPr>
            <w:r w:rsidRPr="004B037D">
              <w:rPr>
                <w:rFonts w:ascii="Times New Roman" w:hAnsi="Times New Roman"/>
                <w:b/>
              </w:rPr>
              <w:t>Total number of responses</w:t>
            </w:r>
            <w:r w:rsidRPr="004B037D">
              <w:rPr>
                <w:rFonts w:ascii="Times New Roman" w:hAnsi="Times New Roman"/>
              </w:rPr>
              <w:t> </w:t>
            </w:r>
          </w:p>
        </w:tc>
        <w:tc>
          <w:tcPr>
            <w:tcW w:w="1867" w:type="dxa"/>
            <w:tcBorders>
              <w:top w:val="single" w:sz="6" w:space="0" w:color="auto"/>
              <w:left w:val="single" w:sz="6" w:space="0" w:color="auto"/>
              <w:bottom w:val="nil"/>
              <w:right w:val="single" w:sz="6" w:space="0" w:color="auto"/>
            </w:tcBorders>
            <w:shd w:val="clear" w:color="auto" w:fill="D9D9D9"/>
            <w:hideMark/>
          </w:tcPr>
          <w:p w:rsidR="004B037D" w:rsidRPr="004B037D" w:rsidP="004B037D" w14:paraId="2DADAAF8" w14:textId="77777777">
            <w:pPr>
              <w:spacing w:after="0" w:line="240" w:lineRule="auto"/>
              <w:rPr>
                <w:rFonts w:ascii="Times New Roman" w:hAnsi="Times New Roman"/>
              </w:rPr>
            </w:pPr>
            <w:r w:rsidRPr="004B037D">
              <w:rPr>
                <w:rFonts w:ascii="Times New Roman" w:hAnsi="Times New Roman"/>
                <w:b/>
              </w:rPr>
              <w:t>Average </w:t>
            </w:r>
            <w:r w:rsidRPr="004B037D">
              <w:rPr>
                <w:rFonts w:ascii="Times New Roman" w:hAnsi="Times New Roman"/>
                <w:b/>
              </w:rPr>
              <w:t>burden</w:t>
            </w:r>
            <w:r w:rsidRPr="004B037D">
              <w:rPr>
                <w:rFonts w:ascii="Times New Roman" w:hAnsi="Times New Roman"/>
                <w:b/>
              </w:rPr>
              <w:t> hr. per response</w:t>
            </w:r>
            <w:r w:rsidRPr="004B037D">
              <w:rPr>
                <w:rFonts w:ascii="Times New Roman" w:hAnsi="Times New Roman"/>
              </w:rPr>
              <w:t> </w:t>
            </w:r>
          </w:p>
        </w:tc>
        <w:tc>
          <w:tcPr>
            <w:tcW w:w="1317" w:type="dxa"/>
            <w:tcBorders>
              <w:top w:val="single" w:sz="6" w:space="0" w:color="auto"/>
              <w:left w:val="single" w:sz="6" w:space="0" w:color="auto"/>
              <w:bottom w:val="nil"/>
              <w:right w:val="single" w:sz="6" w:space="0" w:color="auto"/>
            </w:tcBorders>
            <w:shd w:val="clear" w:color="auto" w:fill="D9D9D9"/>
            <w:hideMark/>
          </w:tcPr>
          <w:p w:rsidR="004B037D" w:rsidRPr="004B037D" w:rsidP="004B037D" w14:paraId="7A84C03C" w14:textId="77777777">
            <w:pPr>
              <w:spacing w:after="0" w:line="240" w:lineRule="auto"/>
              <w:rPr>
                <w:rFonts w:ascii="Times New Roman" w:hAnsi="Times New Roman"/>
              </w:rPr>
            </w:pPr>
            <w:r w:rsidRPr="004B037D">
              <w:rPr>
                <w:rFonts w:ascii="Times New Roman" w:hAnsi="Times New Roman"/>
                <w:b/>
              </w:rPr>
              <w:t>Total annual burden hours &amp; total annual cost</w:t>
            </w:r>
            <w:r w:rsidRPr="004B037D">
              <w:rPr>
                <w:rFonts w:ascii="Times New Roman" w:hAnsi="Times New Roman"/>
              </w:rPr>
              <w:t> </w:t>
            </w:r>
          </w:p>
        </w:tc>
        <w:tc>
          <w:tcPr>
            <w:tcW w:w="1307" w:type="dxa"/>
            <w:tcBorders>
              <w:top w:val="single" w:sz="6" w:space="0" w:color="auto"/>
              <w:left w:val="single" w:sz="6" w:space="0" w:color="auto"/>
              <w:bottom w:val="nil"/>
              <w:right w:val="single" w:sz="6" w:space="0" w:color="auto"/>
            </w:tcBorders>
            <w:shd w:val="clear" w:color="auto" w:fill="D9D9D9"/>
            <w:hideMark/>
          </w:tcPr>
          <w:p w:rsidR="004B037D" w:rsidRPr="004B037D" w:rsidP="004B037D" w14:paraId="51CFBD53" w14:textId="77777777">
            <w:pPr>
              <w:spacing w:after="0" w:line="240" w:lineRule="auto"/>
              <w:rPr>
                <w:rFonts w:ascii="Times New Roman" w:hAnsi="Times New Roman"/>
              </w:rPr>
            </w:pPr>
            <w:r w:rsidRPr="004B037D">
              <w:rPr>
                <w:rFonts w:ascii="Times New Roman" w:hAnsi="Times New Roman"/>
                <w:b/>
              </w:rPr>
              <w:t>Annual costs per respondent ($)</w:t>
            </w:r>
            <w:r w:rsidRPr="004B037D">
              <w:rPr>
                <w:rFonts w:ascii="Times New Roman" w:hAnsi="Times New Roman"/>
              </w:rPr>
              <w:t> </w:t>
            </w:r>
          </w:p>
        </w:tc>
      </w:tr>
      <w:tr w14:paraId="115DB5FF" w14:textId="77777777">
        <w:tblPrEx>
          <w:tblW w:w="9515" w:type="dxa"/>
          <w:tblCellMar>
            <w:left w:w="0" w:type="dxa"/>
            <w:right w:w="0" w:type="dxa"/>
          </w:tblCellMar>
          <w:tblLook w:val="04A0"/>
        </w:tblPrEx>
        <w:trPr>
          <w:trHeight w:val="300"/>
        </w:trPr>
        <w:tc>
          <w:tcPr>
            <w:tcW w:w="1072" w:type="dxa"/>
            <w:tcBorders>
              <w:top w:val="nil"/>
              <w:left w:val="single" w:sz="6" w:space="0" w:color="auto"/>
              <w:bottom w:val="single" w:sz="6" w:space="0" w:color="auto"/>
              <w:right w:val="single" w:sz="6" w:space="0" w:color="auto"/>
            </w:tcBorders>
            <w:shd w:val="clear" w:color="auto" w:fill="D9D9D9"/>
            <w:hideMark/>
          </w:tcPr>
          <w:p w:rsidR="004B037D" w:rsidRPr="004B037D" w:rsidP="004B037D" w14:paraId="52C2C199" w14:textId="77777777">
            <w:pPr>
              <w:spacing w:after="0" w:line="240" w:lineRule="auto"/>
              <w:rPr>
                <w:rFonts w:ascii="Times New Roman" w:hAnsi="Times New Roman"/>
              </w:rPr>
            </w:pPr>
            <w:r w:rsidRPr="004B037D">
              <w:rPr>
                <w:rFonts w:ascii="Times New Roman" w:hAnsi="Times New Roman"/>
              </w:rPr>
              <w:t> </w:t>
            </w:r>
          </w:p>
        </w:tc>
        <w:tc>
          <w:tcPr>
            <w:tcW w:w="1348" w:type="dxa"/>
            <w:tcBorders>
              <w:top w:val="nil"/>
              <w:left w:val="single" w:sz="6" w:space="0" w:color="auto"/>
              <w:bottom w:val="single" w:sz="6" w:space="0" w:color="auto"/>
              <w:right w:val="single" w:sz="6" w:space="0" w:color="auto"/>
            </w:tcBorders>
            <w:shd w:val="clear" w:color="auto" w:fill="D9D9D9"/>
            <w:hideMark/>
          </w:tcPr>
          <w:p w:rsidR="004B037D" w:rsidRPr="004B037D" w:rsidP="004B037D" w14:paraId="1489F38F" w14:textId="77777777">
            <w:pPr>
              <w:spacing w:after="0" w:line="240" w:lineRule="auto"/>
              <w:rPr>
                <w:rFonts w:ascii="Times New Roman" w:hAnsi="Times New Roman"/>
              </w:rPr>
            </w:pPr>
            <w:r w:rsidRPr="004B037D">
              <w:rPr>
                <w:rFonts w:ascii="Times New Roman" w:hAnsi="Times New Roman"/>
                <w:b/>
              </w:rPr>
              <w:t>(1)</w:t>
            </w:r>
            <w:r w:rsidRPr="004B037D">
              <w:rPr>
                <w:rFonts w:ascii="Times New Roman" w:hAnsi="Times New Roman"/>
              </w:rPr>
              <w:t> </w:t>
            </w:r>
          </w:p>
        </w:tc>
        <w:tc>
          <w:tcPr>
            <w:tcW w:w="1324" w:type="dxa"/>
            <w:tcBorders>
              <w:top w:val="nil"/>
              <w:left w:val="single" w:sz="6" w:space="0" w:color="auto"/>
              <w:bottom w:val="single" w:sz="6" w:space="0" w:color="auto"/>
              <w:right w:val="single" w:sz="6" w:space="0" w:color="auto"/>
            </w:tcBorders>
            <w:shd w:val="clear" w:color="auto" w:fill="D9D9D9"/>
            <w:hideMark/>
          </w:tcPr>
          <w:p w:rsidR="004B037D" w:rsidRPr="004B037D" w:rsidP="004B037D" w14:paraId="0B517AC9" w14:textId="77777777">
            <w:pPr>
              <w:spacing w:after="0" w:line="240" w:lineRule="auto"/>
              <w:rPr>
                <w:rFonts w:ascii="Times New Roman" w:hAnsi="Times New Roman"/>
              </w:rPr>
            </w:pPr>
            <w:r w:rsidRPr="004B037D">
              <w:rPr>
                <w:rFonts w:ascii="Times New Roman" w:hAnsi="Times New Roman"/>
                <w:b/>
              </w:rPr>
              <w:t>(2)</w:t>
            </w:r>
            <w:r w:rsidRPr="004B037D">
              <w:rPr>
                <w:rFonts w:ascii="Times New Roman" w:hAnsi="Times New Roman"/>
              </w:rPr>
              <w:t> </w:t>
            </w:r>
          </w:p>
        </w:tc>
        <w:tc>
          <w:tcPr>
            <w:tcW w:w="1280" w:type="dxa"/>
            <w:tcBorders>
              <w:top w:val="nil"/>
              <w:left w:val="single" w:sz="6" w:space="0" w:color="auto"/>
              <w:bottom w:val="single" w:sz="6" w:space="0" w:color="auto"/>
              <w:right w:val="single" w:sz="6" w:space="0" w:color="auto"/>
            </w:tcBorders>
            <w:shd w:val="clear" w:color="auto" w:fill="D9D9D9"/>
            <w:hideMark/>
          </w:tcPr>
          <w:p w:rsidR="004B037D" w:rsidRPr="004B037D" w:rsidP="004B037D" w14:paraId="4FE02F96" w14:textId="77777777">
            <w:pPr>
              <w:spacing w:after="0" w:line="240" w:lineRule="auto"/>
              <w:rPr>
                <w:rFonts w:ascii="Times New Roman" w:hAnsi="Times New Roman"/>
              </w:rPr>
            </w:pPr>
            <w:r w:rsidRPr="004B037D">
              <w:rPr>
                <w:rFonts w:ascii="Times New Roman" w:hAnsi="Times New Roman"/>
                <w:b/>
              </w:rPr>
              <w:t>(1) * (2) = (3)</w:t>
            </w:r>
            <w:r w:rsidRPr="004B037D">
              <w:rPr>
                <w:rFonts w:ascii="Times New Roman" w:hAnsi="Times New Roman"/>
              </w:rPr>
              <w:t> </w:t>
            </w:r>
          </w:p>
        </w:tc>
        <w:tc>
          <w:tcPr>
            <w:tcW w:w="1867" w:type="dxa"/>
            <w:tcBorders>
              <w:top w:val="nil"/>
              <w:left w:val="single" w:sz="6" w:space="0" w:color="auto"/>
              <w:bottom w:val="single" w:sz="6" w:space="0" w:color="auto"/>
              <w:right w:val="single" w:sz="6" w:space="0" w:color="auto"/>
            </w:tcBorders>
            <w:shd w:val="clear" w:color="auto" w:fill="D9D9D9"/>
            <w:hideMark/>
          </w:tcPr>
          <w:p w:rsidR="004B037D" w:rsidRPr="004B037D" w:rsidP="004B037D" w14:paraId="668E5AAB" w14:textId="77777777">
            <w:pPr>
              <w:spacing w:after="0" w:line="240" w:lineRule="auto"/>
              <w:rPr>
                <w:rFonts w:ascii="Times New Roman" w:hAnsi="Times New Roman"/>
              </w:rPr>
            </w:pPr>
            <w:r w:rsidRPr="004B037D">
              <w:rPr>
                <w:rFonts w:ascii="Times New Roman" w:hAnsi="Times New Roman"/>
                <w:b/>
              </w:rPr>
              <w:t>(4)</w:t>
            </w:r>
            <w:r w:rsidRPr="004B037D">
              <w:rPr>
                <w:rFonts w:ascii="Times New Roman" w:hAnsi="Times New Roman"/>
              </w:rPr>
              <w:t> </w:t>
            </w:r>
          </w:p>
        </w:tc>
        <w:tc>
          <w:tcPr>
            <w:tcW w:w="1317" w:type="dxa"/>
            <w:tcBorders>
              <w:top w:val="nil"/>
              <w:left w:val="single" w:sz="6" w:space="0" w:color="auto"/>
              <w:bottom w:val="single" w:sz="6" w:space="0" w:color="auto"/>
              <w:right w:val="single" w:sz="6" w:space="0" w:color="auto"/>
            </w:tcBorders>
            <w:shd w:val="clear" w:color="auto" w:fill="D9D9D9"/>
            <w:hideMark/>
          </w:tcPr>
          <w:p w:rsidR="004B037D" w:rsidRPr="004B037D" w:rsidP="004B037D" w14:paraId="7E392F67" w14:textId="77777777">
            <w:pPr>
              <w:spacing w:after="0" w:line="240" w:lineRule="auto"/>
              <w:rPr>
                <w:rFonts w:ascii="Times New Roman" w:hAnsi="Times New Roman"/>
              </w:rPr>
            </w:pPr>
            <w:r w:rsidRPr="004B037D">
              <w:rPr>
                <w:rFonts w:ascii="Times New Roman" w:hAnsi="Times New Roman"/>
                <w:b/>
              </w:rPr>
              <w:t>(3) * (4) = (5)</w:t>
            </w:r>
            <w:r w:rsidRPr="004B037D">
              <w:rPr>
                <w:rFonts w:ascii="Times New Roman" w:hAnsi="Times New Roman"/>
              </w:rPr>
              <w:t> </w:t>
            </w:r>
          </w:p>
        </w:tc>
        <w:tc>
          <w:tcPr>
            <w:tcW w:w="1307" w:type="dxa"/>
            <w:tcBorders>
              <w:top w:val="nil"/>
              <w:left w:val="single" w:sz="6" w:space="0" w:color="auto"/>
              <w:bottom w:val="single" w:sz="6" w:space="0" w:color="auto"/>
              <w:right w:val="single" w:sz="6" w:space="0" w:color="auto"/>
            </w:tcBorders>
            <w:shd w:val="clear" w:color="auto" w:fill="D9D9D9"/>
            <w:hideMark/>
          </w:tcPr>
          <w:p w:rsidR="004B037D" w:rsidRPr="004B037D" w:rsidP="004B037D" w14:paraId="72DC8816" w14:textId="77777777">
            <w:pPr>
              <w:spacing w:after="0" w:line="240" w:lineRule="auto"/>
              <w:rPr>
                <w:rFonts w:ascii="Times New Roman" w:hAnsi="Times New Roman"/>
              </w:rPr>
            </w:pPr>
            <w:r w:rsidRPr="004B037D">
              <w:rPr>
                <w:rFonts w:ascii="Times New Roman" w:hAnsi="Times New Roman"/>
                <w:b/>
              </w:rPr>
              <w:t>(5)</w:t>
            </w:r>
            <w:r w:rsidRPr="004B037D">
              <w:rPr>
                <w:rFonts w:ascii="Times New Roman" w:hAnsi="Times New Roman"/>
                <w:b/>
              </w:rPr>
              <w:t>/(</w:t>
            </w:r>
            <w:r w:rsidRPr="004B037D">
              <w:rPr>
                <w:rFonts w:ascii="Times New Roman" w:hAnsi="Times New Roman"/>
                <w:b/>
              </w:rPr>
              <w:t>1) = (6)</w:t>
            </w:r>
            <w:r w:rsidRPr="004B037D">
              <w:rPr>
                <w:rFonts w:ascii="Times New Roman" w:hAnsi="Times New Roman"/>
              </w:rPr>
              <w:t> </w:t>
            </w:r>
          </w:p>
        </w:tc>
      </w:tr>
      <w:tr w14:paraId="6A81C9CF" w14:textId="77777777">
        <w:tblPrEx>
          <w:tblW w:w="9515" w:type="dxa"/>
          <w:tblCellMar>
            <w:left w:w="0" w:type="dxa"/>
            <w:right w:w="0" w:type="dxa"/>
          </w:tblCellMar>
          <w:tblLook w:val="04A0"/>
        </w:tblPrEx>
        <w:trPr>
          <w:trHeight w:val="300"/>
        </w:trPr>
        <w:tc>
          <w:tcPr>
            <w:tcW w:w="1072" w:type="dxa"/>
            <w:tcBorders>
              <w:top w:val="single" w:sz="6" w:space="0" w:color="auto"/>
              <w:left w:val="single" w:sz="6" w:space="0" w:color="auto"/>
              <w:bottom w:val="single" w:sz="6" w:space="0" w:color="auto"/>
              <w:right w:val="single" w:sz="6" w:space="0" w:color="auto"/>
            </w:tcBorders>
            <w:vAlign w:val="center"/>
            <w:hideMark/>
          </w:tcPr>
          <w:p w:rsidR="004B037D" w:rsidRPr="004B037D" w:rsidP="004B037D" w14:paraId="531BB0CE" w14:textId="77777777">
            <w:pPr>
              <w:spacing w:after="0" w:line="240" w:lineRule="auto"/>
              <w:rPr>
                <w:rFonts w:ascii="Times New Roman" w:hAnsi="Times New Roman"/>
              </w:rPr>
            </w:pPr>
            <w:r w:rsidRPr="004B037D">
              <w:rPr>
                <w:rFonts w:ascii="Times New Roman" w:hAnsi="Times New Roman"/>
              </w:rPr>
              <w:t>Form</w:t>
            </w:r>
            <w:r w:rsidRPr="004B037D">
              <w:rPr>
                <w:rFonts w:ascii="Times New Roman" w:hAnsi="Times New Roman"/>
              </w:rPr>
              <w:t xml:space="preserve"> 3-Q (Electric) </w:t>
            </w:r>
          </w:p>
        </w:tc>
        <w:tc>
          <w:tcPr>
            <w:tcW w:w="1348" w:type="dxa"/>
            <w:tcBorders>
              <w:top w:val="single" w:sz="6" w:space="0" w:color="auto"/>
              <w:left w:val="single" w:sz="6" w:space="0" w:color="auto"/>
              <w:bottom w:val="single" w:sz="6" w:space="0" w:color="auto"/>
              <w:right w:val="single" w:sz="6" w:space="0" w:color="auto"/>
            </w:tcBorders>
            <w:vAlign w:val="center"/>
            <w:hideMark/>
          </w:tcPr>
          <w:p w:rsidR="004B037D" w:rsidRPr="004B037D" w:rsidP="005520F6" w14:paraId="685ABF60" w14:textId="77777777">
            <w:pPr>
              <w:spacing w:after="0" w:line="240" w:lineRule="auto"/>
              <w:jc w:val="center"/>
              <w:rPr>
                <w:rFonts w:ascii="Times New Roman" w:hAnsi="Times New Roman"/>
              </w:rPr>
            </w:pPr>
            <w:r w:rsidRPr="004B037D">
              <w:rPr>
                <w:rFonts w:ascii="Times New Roman" w:hAnsi="Times New Roman"/>
              </w:rPr>
              <w:t>218</w:t>
            </w:r>
          </w:p>
        </w:tc>
        <w:tc>
          <w:tcPr>
            <w:tcW w:w="1324" w:type="dxa"/>
            <w:tcBorders>
              <w:top w:val="single" w:sz="6" w:space="0" w:color="auto"/>
              <w:left w:val="single" w:sz="6" w:space="0" w:color="auto"/>
              <w:bottom w:val="single" w:sz="6" w:space="0" w:color="auto"/>
              <w:right w:val="single" w:sz="6" w:space="0" w:color="auto"/>
            </w:tcBorders>
            <w:vAlign w:val="center"/>
            <w:hideMark/>
          </w:tcPr>
          <w:p w:rsidR="004B037D" w:rsidRPr="004B037D" w:rsidP="005520F6" w14:paraId="7C6CBF55" w14:textId="77777777">
            <w:pPr>
              <w:spacing w:after="0" w:line="240" w:lineRule="auto"/>
              <w:jc w:val="center"/>
              <w:rPr>
                <w:rFonts w:ascii="Times New Roman" w:hAnsi="Times New Roman"/>
              </w:rPr>
            </w:pPr>
            <w:r w:rsidRPr="004B037D">
              <w:rPr>
                <w:rFonts w:ascii="Times New Roman" w:hAnsi="Times New Roman"/>
              </w:rPr>
              <w:t>3</w:t>
            </w:r>
          </w:p>
        </w:tc>
        <w:tc>
          <w:tcPr>
            <w:tcW w:w="1280" w:type="dxa"/>
            <w:tcBorders>
              <w:top w:val="single" w:sz="6" w:space="0" w:color="auto"/>
              <w:left w:val="single" w:sz="6" w:space="0" w:color="auto"/>
              <w:bottom w:val="single" w:sz="6" w:space="0" w:color="auto"/>
              <w:right w:val="single" w:sz="6" w:space="0" w:color="auto"/>
            </w:tcBorders>
            <w:vAlign w:val="center"/>
            <w:hideMark/>
          </w:tcPr>
          <w:p w:rsidR="004B037D" w:rsidRPr="004B037D" w:rsidP="005520F6" w14:paraId="72F50A93" w14:textId="77777777">
            <w:pPr>
              <w:spacing w:after="0" w:line="240" w:lineRule="auto"/>
              <w:jc w:val="center"/>
              <w:rPr>
                <w:rFonts w:ascii="Times New Roman" w:hAnsi="Times New Roman"/>
              </w:rPr>
            </w:pPr>
            <w:r w:rsidRPr="004B037D">
              <w:rPr>
                <w:rFonts w:ascii="Times New Roman" w:hAnsi="Times New Roman"/>
              </w:rPr>
              <w:t>654</w:t>
            </w:r>
          </w:p>
        </w:tc>
        <w:tc>
          <w:tcPr>
            <w:tcW w:w="1867" w:type="dxa"/>
            <w:tcBorders>
              <w:top w:val="single" w:sz="6" w:space="0" w:color="auto"/>
              <w:left w:val="single" w:sz="6" w:space="0" w:color="auto"/>
              <w:bottom w:val="single" w:sz="6" w:space="0" w:color="auto"/>
              <w:right w:val="single" w:sz="6" w:space="0" w:color="auto"/>
            </w:tcBorders>
            <w:vAlign w:val="center"/>
            <w:hideMark/>
          </w:tcPr>
          <w:p w:rsidR="004B037D" w:rsidRPr="004B037D" w:rsidP="005520F6" w14:paraId="3DA39C6B" w14:textId="77777777">
            <w:pPr>
              <w:spacing w:after="0" w:line="240" w:lineRule="auto"/>
              <w:jc w:val="right"/>
              <w:rPr>
                <w:rFonts w:ascii="Times New Roman" w:hAnsi="Times New Roman"/>
              </w:rPr>
            </w:pPr>
            <w:r w:rsidRPr="004B037D">
              <w:rPr>
                <w:rFonts w:ascii="Times New Roman" w:hAnsi="Times New Roman"/>
              </w:rPr>
              <w:t>49 </w:t>
            </w:r>
          </w:p>
          <w:p w:rsidR="004B037D" w:rsidRPr="004B037D" w:rsidP="005520F6" w14:paraId="48B487D1" w14:textId="77777777">
            <w:pPr>
              <w:spacing w:after="0" w:line="240" w:lineRule="auto"/>
              <w:jc w:val="right"/>
              <w:rPr>
                <w:rFonts w:ascii="Times New Roman" w:hAnsi="Times New Roman"/>
              </w:rPr>
            </w:pPr>
            <w:r w:rsidRPr="004B037D">
              <w:rPr>
                <w:rFonts w:ascii="Times New Roman" w:hAnsi="Times New Roman"/>
              </w:rPr>
              <w:t>$4,998 </w:t>
            </w:r>
          </w:p>
          <w:p w:rsidR="004B037D" w:rsidRPr="004B037D" w:rsidP="005520F6" w14:paraId="50CB39B0" w14:textId="77777777">
            <w:pPr>
              <w:spacing w:after="0" w:line="240" w:lineRule="auto"/>
              <w:jc w:val="right"/>
              <w:rPr>
                <w:rFonts w:ascii="Times New Roman" w:hAnsi="Times New Roman"/>
              </w:rPr>
            </w:pPr>
            <w:r w:rsidRPr="004B037D">
              <w:rPr>
                <w:rFonts w:ascii="Times New Roman" w:hAnsi="Times New Roman"/>
              </w:rPr>
              <w:t> </w:t>
            </w:r>
          </w:p>
        </w:tc>
        <w:tc>
          <w:tcPr>
            <w:tcW w:w="1317" w:type="dxa"/>
            <w:tcBorders>
              <w:top w:val="single" w:sz="6" w:space="0" w:color="auto"/>
              <w:left w:val="single" w:sz="6" w:space="0" w:color="auto"/>
              <w:bottom w:val="single" w:sz="6" w:space="0" w:color="auto"/>
              <w:right w:val="single" w:sz="6" w:space="0" w:color="auto"/>
            </w:tcBorders>
            <w:vAlign w:val="center"/>
            <w:hideMark/>
          </w:tcPr>
          <w:p w:rsidR="004B037D" w:rsidRPr="004B037D" w:rsidP="005520F6" w14:paraId="1F70E9D5" w14:textId="77777777">
            <w:pPr>
              <w:spacing w:after="0" w:line="240" w:lineRule="auto"/>
              <w:jc w:val="right"/>
              <w:rPr>
                <w:rFonts w:ascii="Times New Roman" w:hAnsi="Times New Roman"/>
              </w:rPr>
            </w:pPr>
            <w:r w:rsidRPr="004B037D">
              <w:rPr>
                <w:rFonts w:ascii="Times New Roman" w:hAnsi="Times New Roman"/>
              </w:rPr>
              <w:t>32,046</w:t>
            </w:r>
          </w:p>
          <w:p w:rsidR="004B037D" w:rsidRPr="004B037D" w:rsidP="005520F6" w14:paraId="49C76280" w14:textId="77777777">
            <w:pPr>
              <w:spacing w:after="0" w:line="240" w:lineRule="auto"/>
              <w:jc w:val="right"/>
              <w:rPr>
                <w:rFonts w:ascii="Times New Roman" w:hAnsi="Times New Roman"/>
              </w:rPr>
            </w:pPr>
            <w:r w:rsidRPr="004B037D">
              <w:rPr>
                <w:rFonts w:ascii="Times New Roman" w:hAnsi="Times New Roman"/>
              </w:rPr>
              <w:t>$3,268,692 </w:t>
            </w:r>
          </w:p>
          <w:p w:rsidR="004B037D" w:rsidRPr="004B037D" w:rsidP="005520F6" w14:paraId="011AA557" w14:textId="77777777">
            <w:pPr>
              <w:spacing w:after="0" w:line="240" w:lineRule="auto"/>
              <w:jc w:val="right"/>
              <w:rPr>
                <w:rFonts w:ascii="Times New Roman" w:hAnsi="Times New Roman"/>
              </w:rPr>
            </w:pPr>
            <w:r w:rsidRPr="004B037D">
              <w:rPr>
                <w:rFonts w:ascii="Times New Roman" w:hAnsi="Times New Roman"/>
              </w:rPr>
              <w:t> </w:t>
            </w:r>
          </w:p>
        </w:tc>
        <w:tc>
          <w:tcPr>
            <w:tcW w:w="1307" w:type="dxa"/>
            <w:tcBorders>
              <w:top w:val="single" w:sz="6" w:space="0" w:color="auto"/>
              <w:left w:val="single" w:sz="6" w:space="0" w:color="auto"/>
              <w:bottom w:val="single" w:sz="6" w:space="0" w:color="auto"/>
              <w:right w:val="single" w:sz="6" w:space="0" w:color="auto"/>
            </w:tcBorders>
            <w:vAlign w:val="center"/>
            <w:hideMark/>
          </w:tcPr>
          <w:p w:rsidR="004B037D" w:rsidRPr="004B037D" w:rsidP="005520F6" w14:paraId="7645B01A" w14:textId="77777777">
            <w:pPr>
              <w:spacing w:after="0" w:line="240" w:lineRule="auto"/>
              <w:jc w:val="right"/>
              <w:rPr>
                <w:rFonts w:ascii="Times New Roman" w:hAnsi="Times New Roman"/>
              </w:rPr>
            </w:pPr>
            <w:r w:rsidRPr="004B037D">
              <w:rPr>
                <w:rFonts w:ascii="Times New Roman" w:hAnsi="Times New Roman"/>
              </w:rPr>
              <w:t>$14,994 </w:t>
            </w:r>
          </w:p>
        </w:tc>
      </w:tr>
      <w:tr w14:paraId="7F1EC930" w14:textId="77777777">
        <w:tblPrEx>
          <w:tblW w:w="9515" w:type="dxa"/>
          <w:tblCellMar>
            <w:left w:w="0" w:type="dxa"/>
            <w:right w:w="0" w:type="dxa"/>
          </w:tblCellMar>
          <w:tblLook w:val="04A0"/>
        </w:tblPrEx>
        <w:trPr>
          <w:trHeight w:val="300"/>
        </w:trPr>
        <w:tc>
          <w:tcPr>
            <w:tcW w:w="1072" w:type="dxa"/>
            <w:tcBorders>
              <w:top w:val="single" w:sz="6" w:space="0" w:color="auto"/>
              <w:left w:val="single" w:sz="6" w:space="0" w:color="auto"/>
              <w:bottom w:val="single" w:sz="6" w:space="0" w:color="auto"/>
              <w:right w:val="single" w:sz="6" w:space="0" w:color="auto"/>
            </w:tcBorders>
            <w:vAlign w:val="center"/>
            <w:hideMark/>
          </w:tcPr>
          <w:p w:rsidR="004B037D" w:rsidRPr="004B037D" w:rsidP="004B037D" w14:paraId="1027F307" w14:textId="77777777">
            <w:pPr>
              <w:spacing w:after="0" w:line="240" w:lineRule="auto"/>
              <w:rPr>
                <w:rFonts w:ascii="Times New Roman" w:hAnsi="Times New Roman"/>
              </w:rPr>
            </w:pPr>
            <w:r w:rsidRPr="004B037D">
              <w:rPr>
                <w:rFonts w:ascii="Times New Roman" w:hAnsi="Times New Roman"/>
              </w:rPr>
              <w:t>Form 3-Q (Gas) </w:t>
            </w:r>
          </w:p>
          <w:p w:rsidR="004B037D" w:rsidRPr="004B037D" w:rsidP="004B037D" w14:paraId="67A30B70" w14:textId="77777777">
            <w:pPr>
              <w:spacing w:after="0" w:line="240" w:lineRule="auto"/>
              <w:rPr>
                <w:rFonts w:ascii="Times New Roman" w:hAnsi="Times New Roman"/>
              </w:rPr>
            </w:pPr>
            <w:r w:rsidRPr="004B037D">
              <w:rPr>
                <w:rFonts w:ascii="Times New Roman" w:hAnsi="Times New Roman"/>
              </w:rPr>
              <w:t> </w:t>
            </w:r>
          </w:p>
        </w:tc>
        <w:tc>
          <w:tcPr>
            <w:tcW w:w="1348" w:type="dxa"/>
            <w:tcBorders>
              <w:top w:val="single" w:sz="6" w:space="0" w:color="auto"/>
              <w:left w:val="single" w:sz="6" w:space="0" w:color="auto"/>
              <w:bottom w:val="single" w:sz="6" w:space="0" w:color="auto"/>
              <w:right w:val="single" w:sz="6" w:space="0" w:color="auto"/>
            </w:tcBorders>
            <w:vAlign w:val="center"/>
            <w:hideMark/>
          </w:tcPr>
          <w:p w:rsidR="004B037D" w:rsidRPr="004B037D" w:rsidP="005520F6" w14:paraId="74FAB4DB" w14:textId="77777777">
            <w:pPr>
              <w:spacing w:after="0" w:line="240" w:lineRule="auto"/>
              <w:jc w:val="center"/>
              <w:rPr>
                <w:rFonts w:ascii="Times New Roman" w:hAnsi="Times New Roman"/>
              </w:rPr>
            </w:pPr>
            <w:r w:rsidRPr="004B037D">
              <w:rPr>
                <w:rFonts w:ascii="Times New Roman" w:hAnsi="Times New Roman"/>
              </w:rPr>
              <w:t>148</w:t>
            </w:r>
          </w:p>
        </w:tc>
        <w:tc>
          <w:tcPr>
            <w:tcW w:w="1324" w:type="dxa"/>
            <w:tcBorders>
              <w:top w:val="single" w:sz="6" w:space="0" w:color="auto"/>
              <w:left w:val="single" w:sz="6" w:space="0" w:color="auto"/>
              <w:bottom w:val="single" w:sz="6" w:space="0" w:color="auto"/>
              <w:right w:val="single" w:sz="6" w:space="0" w:color="auto"/>
            </w:tcBorders>
            <w:vAlign w:val="center"/>
            <w:hideMark/>
          </w:tcPr>
          <w:p w:rsidR="004B037D" w:rsidRPr="004B037D" w:rsidP="005520F6" w14:paraId="50F92859" w14:textId="77777777">
            <w:pPr>
              <w:spacing w:after="0" w:line="240" w:lineRule="auto"/>
              <w:jc w:val="center"/>
              <w:rPr>
                <w:rFonts w:ascii="Times New Roman" w:hAnsi="Times New Roman"/>
              </w:rPr>
            </w:pPr>
            <w:r w:rsidRPr="004B037D">
              <w:rPr>
                <w:rFonts w:ascii="Times New Roman" w:hAnsi="Times New Roman"/>
              </w:rPr>
              <w:t>3</w:t>
            </w:r>
          </w:p>
        </w:tc>
        <w:tc>
          <w:tcPr>
            <w:tcW w:w="1280" w:type="dxa"/>
            <w:tcBorders>
              <w:top w:val="single" w:sz="6" w:space="0" w:color="auto"/>
              <w:left w:val="single" w:sz="6" w:space="0" w:color="auto"/>
              <w:bottom w:val="single" w:sz="6" w:space="0" w:color="auto"/>
              <w:right w:val="single" w:sz="6" w:space="0" w:color="auto"/>
            </w:tcBorders>
            <w:vAlign w:val="center"/>
            <w:hideMark/>
          </w:tcPr>
          <w:p w:rsidR="004B037D" w:rsidRPr="004B037D" w:rsidP="005520F6" w14:paraId="018DC2AA" w14:textId="77777777">
            <w:pPr>
              <w:spacing w:after="0" w:line="240" w:lineRule="auto"/>
              <w:jc w:val="center"/>
              <w:rPr>
                <w:rFonts w:ascii="Times New Roman" w:hAnsi="Times New Roman"/>
              </w:rPr>
            </w:pPr>
            <w:r w:rsidRPr="004B037D">
              <w:rPr>
                <w:rFonts w:ascii="Times New Roman" w:hAnsi="Times New Roman"/>
              </w:rPr>
              <w:t>444</w:t>
            </w:r>
          </w:p>
        </w:tc>
        <w:tc>
          <w:tcPr>
            <w:tcW w:w="1867" w:type="dxa"/>
            <w:tcBorders>
              <w:top w:val="single" w:sz="6" w:space="0" w:color="auto"/>
              <w:left w:val="single" w:sz="6" w:space="0" w:color="auto"/>
              <w:bottom w:val="single" w:sz="6" w:space="0" w:color="auto"/>
              <w:right w:val="single" w:sz="6" w:space="0" w:color="auto"/>
            </w:tcBorders>
            <w:vAlign w:val="center"/>
            <w:hideMark/>
          </w:tcPr>
          <w:p w:rsidR="004B037D" w:rsidRPr="004B037D" w:rsidP="005520F6" w14:paraId="3671AF8D" w14:textId="77777777">
            <w:pPr>
              <w:spacing w:after="0" w:line="240" w:lineRule="auto"/>
              <w:jc w:val="right"/>
              <w:rPr>
                <w:rFonts w:ascii="Times New Roman" w:hAnsi="Times New Roman"/>
              </w:rPr>
            </w:pPr>
            <w:r w:rsidRPr="004B037D">
              <w:rPr>
                <w:rFonts w:ascii="Times New Roman" w:hAnsi="Times New Roman"/>
              </w:rPr>
              <w:t>140 </w:t>
            </w:r>
          </w:p>
          <w:p w:rsidR="004B037D" w:rsidRPr="004B037D" w:rsidP="005520F6" w14:paraId="42688C1D" w14:textId="77777777">
            <w:pPr>
              <w:spacing w:after="0" w:line="240" w:lineRule="auto"/>
              <w:jc w:val="right"/>
              <w:rPr>
                <w:rFonts w:ascii="Times New Roman" w:hAnsi="Times New Roman"/>
              </w:rPr>
            </w:pPr>
            <w:r w:rsidRPr="004B037D">
              <w:rPr>
                <w:rFonts w:ascii="Times New Roman" w:hAnsi="Times New Roman"/>
              </w:rPr>
              <w:t>$14,280 </w:t>
            </w:r>
          </w:p>
        </w:tc>
        <w:tc>
          <w:tcPr>
            <w:tcW w:w="1317" w:type="dxa"/>
            <w:tcBorders>
              <w:top w:val="single" w:sz="6" w:space="0" w:color="auto"/>
              <w:left w:val="single" w:sz="6" w:space="0" w:color="auto"/>
              <w:bottom w:val="single" w:sz="6" w:space="0" w:color="auto"/>
              <w:right w:val="single" w:sz="6" w:space="0" w:color="auto"/>
            </w:tcBorders>
            <w:vAlign w:val="center"/>
            <w:hideMark/>
          </w:tcPr>
          <w:p w:rsidR="004B037D" w:rsidRPr="004B037D" w:rsidP="005520F6" w14:paraId="3FD41C50" w14:textId="77777777">
            <w:pPr>
              <w:spacing w:after="0" w:line="240" w:lineRule="auto"/>
              <w:jc w:val="right"/>
              <w:rPr>
                <w:rFonts w:ascii="Times New Roman" w:hAnsi="Times New Roman"/>
              </w:rPr>
            </w:pPr>
            <w:r w:rsidRPr="004B037D">
              <w:rPr>
                <w:rFonts w:ascii="Times New Roman" w:hAnsi="Times New Roman"/>
              </w:rPr>
              <w:t>62,160</w:t>
            </w:r>
          </w:p>
          <w:p w:rsidR="004B037D" w:rsidRPr="004B037D" w:rsidP="005520F6" w14:paraId="474EF27E" w14:textId="77777777">
            <w:pPr>
              <w:spacing w:after="0" w:line="240" w:lineRule="auto"/>
              <w:jc w:val="right"/>
              <w:rPr>
                <w:rFonts w:ascii="Times New Roman" w:hAnsi="Times New Roman"/>
              </w:rPr>
            </w:pPr>
            <w:r w:rsidRPr="004B037D">
              <w:rPr>
                <w:rFonts w:ascii="Times New Roman" w:hAnsi="Times New Roman"/>
              </w:rPr>
              <w:t>$6,340,320 </w:t>
            </w:r>
          </w:p>
        </w:tc>
        <w:tc>
          <w:tcPr>
            <w:tcW w:w="1307" w:type="dxa"/>
            <w:tcBorders>
              <w:top w:val="single" w:sz="6" w:space="0" w:color="auto"/>
              <w:left w:val="single" w:sz="6" w:space="0" w:color="auto"/>
              <w:bottom w:val="single" w:sz="6" w:space="0" w:color="auto"/>
              <w:right w:val="single" w:sz="6" w:space="0" w:color="auto"/>
            </w:tcBorders>
            <w:vAlign w:val="center"/>
            <w:hideMark/>
          </w:tcPr>
          <w:p w:rsidR="004B037D" w:rsidRPr="004B037D" w:rsidP="005520F6" w14:paraId="3AB9A5EA" w14:textId="77777777">
            <w:pPr>
              <w:spacing w:after="0" w:line="240" w:lineRule="auto"/>
              <w:jc w:val="right"/>
              <w:rPr>
                <w:rFonts w:ascii="Times New Roman" w:hAnsi="Times New Roman"/>
              </w:rPr>
            </w:pPr>
            <w:r w:rsidRPr="004B037D">
              <w:rPr>
                <w:rFonts w:ascii="Times New Roman" w:hAnsi="Times New Roman"/>
              </w:rPr>
              <w:t>$42,840 </w:t>
            </w:r>
          </w:p>
        </w:tc>
      </w:tr>
      <w:tr w14:paraId="681C5C64" w14:textId="77777777">
        <w:tblPrEx>
          <w:tblW w:w="9515" w:type="dxa"/>
          <w:tblCellMar>
            <w:left w:w="0" w:type="dxa"/>
            <w:right w:w="0" w:type="dxa"/>
          </w:tblCellMar>
          <w:tblLook w:val="04A0"/>
        </w:tblPrEx>
        <w:trPr>
          <w:trHeight w:val="300"/>
        </w:trPr>
        <w:tc>
          <w:tcPr>
            <w:tcW w:w="1072" w:type="dxa"/>
            <w:tcBorders>
              <w:top w:val="single" w:sz="6" w:space="0" w:color="auto"/>
              <w:left w:val="single" w:sz="6" w:space="0" w:color="auto"/>
              <w:bottom w:val="single" w:sz="6" w:space="0" w:color="auto"/>
              <w:right w:val="single" w:sz="6" w:space="0" w:color="auto"/>
            </w:tcBorders>
            <w:vAlign w:val="center"/>
            <w:hideMark/>
          </w:tcPr>
          <w:p w:rsidR="004B037D" w:rsidRPr="004B037D" w:rsidP="004B037D" w14:paraId="5B1925B4" w14:textId="77777777">
            <w:pPr>
              <w:spacing w:after="0" w:line="240" w:lineRule="auto"/>
              <w:rPr>
                <w:rFonts w:ascii="Times New Roman" w:hAnsi="Times New Roman"/>
              </w:rPr>
            </w:pPr>
            <w:r w:rsidRPr="004B037D">
              <w:rPr>
                <w:rFonts w:ascii="Times New Roman" w:hAnsi="Times New Roman"/>
              </w:rPr>
              <w:t>Total </w:t>
            </w:r>
          </w:p>
        </w:tc>
        <w:tc>
          <w:tcPr>
            <w:tcW w:w="1348"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4B037D" w:rsidRPr="004B037D" w:rsidP="005520F6" w14:paraId="6EC8608D" w14:textId="77777777">
            <w:pPr>
              <w:spacing w:after="0" w:line="240" w:lineRule="auto"/>
              <w:jc w:val="center"/>
              <w:rPr>
                <w:rFonts w:ascii="Times New Roman" w:hAnsi="Times New Roman"/>
              </w:rPr>
            </w:pPr>
          </w:p>
        </w:tc>
        <w:tc>
          <w:tcPr>
            <w:tcW w:w="13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4B037D" w:rsidRPr="004B037D" w:rsidP="005520F6" w14:paraId="182CEC39" w14:textId="77777777">
            <w:pPr>
              <w:spacing w:after="0" w:line="240" w:lineRule="auto"/>
              <w:jc w:val="center"/>
              <w:rPr>
                <w:rFonts w:ascii="Times New Roman" w:hAnsi="Times New Roman"/>
              </w:rPr>
            </w:pPr>
          </w:p>
        </w:tc>
        <w:tc>
          <w:tcPr>
            <w:tcW w:w="1280" w:type="dxa"/>
            <w:tcBorders>
              <w:top w:val="single" w:sz="6" w:space="0" w:color="auto"/>
              <w:left w:val="single" w:sz="6" w:space="0" w:color="auto"/>
              <w:bottom w:val="single" w:sz="6" w:space="0" w:color="auto"/>
              <w:right w:val="single" w:sz="6" w:space="0" w:color="auto"/>
            </w:tcBorders>
            <w:vAlign w:val="center"/>
            <w:hideMark/>
          </w:tcPr>
          <w:p w:rsidR="004B037D" w:rsidRPr="004B037D" w:rsidP="005520F6" w14:paraId="0E6F08DF" w14:textId="77777777">
            <w:pPr>
              <w:spacing w:after="0" w:line="240" w:lineRule="auto"/>
              <w:jc w:val="center"/>
              <w:rPr>
                <w:rFonts w:ascii="Times New Roman" w:hAnsi="Times New Roman"/>
              </w:rPr>
            </w:pPr>
            <w:r w:rsidRPr="004B037D">
              <w:rPr>
                <w:rFonts w:ascii="Times New Roman" w:hAnsi="Times New Roman"/>
              </w:rPr>
              <w:t>1,098</w:t>
            </w:r>
          </w:p>
        </w:tc>
        <w:tc>
          <w:tcPr>
            <w:tcW w:w="1867"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4B037D" w:rsidRPr="004B037D" w:rsidP="004B037D" w14:paraId="54B41566" w14:textId="77777777">
            <w:pPr>
              <w:spacing w:after="0" w:line="240" w:lineRule="auto"/>
              <w:rPr>
                <w:rFonts w:ascii="Times New Roman" w:hAnsi="Times New Roman"/>
              </w:rPr>
            </w:pPr>
          </w:p>
        </w:tc>
        <w:tc>
          <w:tcPr>
            <w:tcW w:w="1317" w:type="dxa"/>
            <w:tcBorders>
              <w:top w:val="single" w:sz="6" w:space="0" w:color="auto"/>
              <w:left w:val="single" w:sz="6" w:space="0" w:color="auto"/>
              <w:bottom w:val="single" w:sz="6" w:space="0" w:color="auto"/>
              <w:right w:val="single" w:sz="6" w:space="0" w:color="auto"/>
            </w:tcBorders>
            <w:vAlign w:val="center"/>
            <w:hideMark/>
          </w:tcPr>
          <w:p w:rsidR="004B037D" w:rsidRPr="004B037D" w:rsidP="005520F6" w14:paraId="1BA5C159" w14:textId="77777777">
            <w:pPr>
              <w:spacing w:after="0" w:line="240" w:lineRule="auto"/>
              <w:jc w:val="right"/>
              <w:rPr>
                <w:rFonts w:ascii="Times New Roman" w:hAnsi="Times New Roman"/>
              </w:rPr>
            </w:pPr>
            <w:r w:rsidRPr="004B037D">
              <w:rPr>
                <w:rFonts w:ascii="Times New Roman" w:hAnsi="Times New Roman"/>
              </w:rPr>
              <w:t xml:space="preserve"> 94,206 hrs.; $9,609,012 </w:t>
            </w:r>
          </w:p>
        </w:tc>
        <w:tc>
          <w:tcPr>
            <w:tcW w:w="1307"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4B037D" w:rsidRPr="004B037D" w:rsidP="004B037D" w14:paraId="40F73E43" w14:textId="77777777">
            <w:pPr>
              <w:spacing w:after="0" w:line="240" w:lineRule="auto"/>
              <w:rPr>
                <w:rFonts w:ascii="Times New Roman" w:hAnsi="Times New Roman"/>
              </w:rPr>
            </w:pPr>
          </w:p>
        </w:tc>
      </w:tr>
    </w:tbl>
    <w:p w:rsidR="002E44FB" w:rsidRPr="0073506C" w:rsidP="00BD0F89" w14:paraId="138B7815" w14:textId="77777777">
      <w:pPr>
        <w:spacing w:after="0" w:line="240" w:lineRule="auto"/>
        <w:rPr>
          <w:rFonts w:ascii="Times New Roman" w:hAnsi="Times New Roman"/>
          <w:sz w:val="26"/>
          <w:szCs w:val="26"/>
        </w:rPr>
      </w:pPr>
    </w:p>
    <w:p w:rsidR="00974AFC" w:rsidRPr="0073506C" w:rsidP="00BD0F89" w14:paraId="09148C17" w14:textId="53F661F7">
      <w:pPr>
        <w:spacing w:after="0" w:line="240" w:lineRule="auto"/>
        <w:rPr>
          <w:rFonts w:ascii="Times New Roman" w:hAnsi="Times New Roman"/>
          <w:b/>
          <w:sz w:val="26"/>
          <w:szCs w:val="26"/>
        </w:rPr>
      </w:pPr>
      <w:r w:rsidRPr="0073506C">
        <w:rPr>
          <w:rFonts w:ascii="Times New Roman" w:hAnsi="Times New Roman"/>
          <w:b/>
          <w:sz w:val="26"/>
          <w:szCs w:val="26"/>
        </w:rPr>
        <w:t>13</w:t>
      </w:r>
      <w:r w:rsidRPr="0073506C">
        <w:rPr>
          <w:rFonts w:ascii="Times New Roman" w:hAnsi="Times New Roman"/>
          <w:b/>
          <w:sz w:val="26"/>
          <w:szCs w:val="26"/>
        </w:rPr>
        <w:t>.</w:t>
      </w:r>
      <w:r w:rsidRPr="0073506C" w:rsidR="00BF3095">
        <w:rPr>
          <w:rFonts w:ascii="Times New Roman" w:hAnsi="Times New Roman"/>
          <w:b/>
          <w:sz w:val="26"/>
          <w:szCs w:val="26"/>
        </w:rPr>
        <w:t xml:space="preserve">  ESTIMATE</w:t>
      </w:r>
      <w:r w:rsidRPr="0073506C" w:rsidR="00BF3095">
        <w:rPr>
          <w:rFonts w:ascii="Times New Roman" w:hAnsi="Times New Roman"/>
          <w:b/>
          <w:sz w:val="26"/>
          <w:szCs w:val="26"/>
        </w:rPr>
        <w:t xml:space="preserve"> OF THE TOTAL ANNUAL COST BURDEN TO </w:t>
      </w:r>
      <w:r w:rsidRPr="0073506C" w:rsidR="00F1537F">
        <w:rPr>
          <w:rFonts w:ascii="Times New Roman" w:hAnsi="Times New Roman"/>
          <w:b/>
          <w:sz w:val="26"/>
          <w:szCs w:val="26"/>
        </w:rPr>
        <w:t>RESPONDENTS</w:t>
      </w:r>
      <w:r w:rsidRPr="0073506C" w:rsidR="00BF3095">
        <w:rPr>
          <w:rFonts w:ascii="Times New Roman" w:hAnsi="Times New Roman"/>
          <w:b/>
          <w:sz w:val="26"/>
          <w:szCs w:val="26"/>
        </w:rPr>
        <w:t xml:space="preserve"> </w:t>
      </w:r>
    </w:p>
    <w:p w:rsidR="00974AFC" w:rsidRPr="0073506C" w:rsidP="00BD0F89" w14:paraId="744F03A0" w14:textId="77777777">
      <w:pPr>
        <w:spacing w:after="0" w:line="240" w:lineRule="auto"/>
        <w:rPr>
          <w:rFonts w:ascii="Times New Roman" w:hAnsi="Times New Roman"/>
          <w:sz w:val="26"/>
          <w:szCs w:val="26"/>
        </w:rPr>
      </w:pPr>
    </w:p>
    <w:p w:rsidR="00F0627E" w:rsidRPr="0073506C" w14:paraId="691BA5A9" w14:textId="0EF35816">
      <w:pPr>
        <w:spacing w:after="0" w:line="240" w:lineRule="auto"/>
        <w:rPr>
          <w:rFonts w:ascii="Times New Roman" w:hAnsi="Times New Roman"/>
          <w:sz w:val="26"/>
          <w:szCs w:val="26"/>
        </w:rPr>
      </w:pPr>
      <w:r w:rsidRPr="0073506C">
        <w:rPr>
          <w:rFonts w:ascii="Times New Roman" w:hAnsi="Times New Roman"/>
          <w:sz w:val="26"/>
          <w:szCs w:val="26"/>
        </w:rPr>
        <w:t xml:space="preserve">All costs are related to burden hours and are discussed in Questions 12 and 15. </w:t>
      </w:r>
      <w:r w:rsidR="00D04549">
        <w:rPr>
          <w:rFonts w:ascii="Times New Roman" w:hAnsi="Times New Roman"/>
          <w:sz w:val="26"/>
          <w:szCs w:val="26"/>
        </w:rPr>
        <w:t xml:space="preserve"> </w:t>
      </w:r>
      <w:r w:rsidRPr="0073506C">
        <w:rPr>
          <w:rFonts w:ascii="Times New Roman" w:hAnsi="Times New Roman"/>
          <w:sz w:val="26"/>
          <w:szCs w:val="26"/>
        </w:rPr>
        <w:t>There are no capital costs.</w:t>
      </w:r>
    </w:p>
    <w:p w:rsidR="005B4F28" w:rsidRPr="0073506C" w:rsidP="00BD0F89" w14:paraId="4A8C8E33" w14:textId="77777777">
      <w:pPr>
        <w:spacing w:after="0" w:line="240" w:lineRule="auto"/>
        <w:rPr>
          <w:rFonts w:ascii="Times New Roman" w:hAnsi="Times New Roman"/>
          <w:sz w:val="26"/>
          <w:szCs w:val="26"/>
        </w:rPr>
      </w:pPr>
    </w:p>
    <w:p w:rsidR="00F0627E" w:rsidRPr="0073506C" w:rsidP="00BD0F89" w14:paraId="64AF384F" w14:textId="799B679C">
      <w:pPr>
        <w:pStyle w:val="ListParagraph"/>
        <w:spacing w:after="0" w:line="240" w:lineRule="auto"/>
        <w:ind w:left="0"/>
        <w:rPr>
          <w:rFonts w:ascii="Times New Roman" w:hAnsi="Times New Roman"/>
          <w:sz w:val="26"/>
          <w:szCs w:val="26"/>
        </w:rPr>
      </w:pPr>
      <w:r w:rsidRPr="0073506C">
        <w:rPr>
          <w:rFonts w:ascii="Times New Roman" w:hAnsi="Times New Roman"/>
          <w:b/>
          <w:sz w:val="26"/>
          <w:szCs w:val="26"/>
        </w:rPr>
        <w:t xml:space="preserve">14. </w:t>
      </w:r>
      <w:r w:rsidRPr="0073506C" w:rsidR="00BF3095">
        <w:rPr>
          <w:rFonts w:ascii="Times New Roman" w:hAnsi="Times New Roman"/>
          <w:b/>
          <w:sz w:val="26"/>
          <w:szCs w:val="26"/>
        </w:rPr>
        <w:t>ESTIMATED ANNUALIZED COST TO FEDERAL GOVERNMENT</w:t>
      </w:r>
    </w:p>
    <w:p w:rsidR="00BF3095" w:rsidRPr="0073506C" w:rsidP="00BD0F89" w14:paraId="31100877" w14:textId="77777777">
      <w:pPr>
        <w:pStyle w:val="ListParagraph"/>
        <w:spacing w:after="0" w:line="240" w:lineRule="auto"/>
        <w:ind w:left="0"/>
        <w:rPr>
          <w:rFonts w:ascii="Times New Roman" w:hAnsi="Times New Roman"/>
          <w:sz w:val="26"/>
          <w:szCs w:val="26"/>
        </w:rPr>
      </w:pPr>
    </w:p>
    <w:p w:rsidR="00154BD3" w:rsidP="00BD0F89" w14:paraId="24B99C63" w14:textId="59E2B70B">
      <w:pPr>
        <w:spacing w:after="0" w:line="240" w:lineRule="auto"/>
        <w:rPr>
          <w:rFonts w:ascii="Times New Roman" w:hAnsi="Times New Roman"/>
          <w:sz w:val="26"/>
          <w:szCs w:val="26"/>
        </w:rPr>
      </w:pPr>
      <w:r w:rsidRPr="0073506C">
        <w:rPr>
          <w:rFonts w:ascii="Times New Roman" w:hAnsi="Times New Roman"/>
          <w:sz w:val="26"/>
          <w:szCs w:val="26"/>
        </w:rPr>
        <w:t xml:space="preserve">The estimate of the cost for </w:t>
      </w:r>
      <w:r w:rsidR="00D04549">
        <w:rPr>
          <w:rFonts w:ascii="Times New Roman" w:hAnsi="Times New Roman"/>
          <w:sz w:val="26"/>
          <w:szCs w:val="26"/>
        </w:rPr>
        <w:t>“</w:t>
      </w:r>
      <w:r w:rsidRPr="0073506C">
        <w:rPr>
          <w:rFonts w:ascii="Times New Roman" w:hAnsi="Times New Roman"/>
          <w:sz w:val="26"/>
          <w:szCs w:val="26"/>
        </w:rPr>
        <w:t>analysis and processing of filings</w:t>
      </w:r>
      <w:r w:rsidR="00D04549">
        <w:rPr>
          <w:rFonts w:ascii="Times New Roman" w:hAnsi="Times New Roman"/>
          <w:sz w:val="26"/>
          <w:szCs w:val="26"/>
        </w:rPr>
        <w:t>”</w:t>
      </w:r>
      <w:r w:rsidRPr="0073506C">
        <w:rPr>
          <w:rFonts w:ascii="Times New Roman" w:hAnsi="Times New Roman"/>
          <w:sz w:val="26"/>
          <w:szCs w:val="26"/>
          <w:vertAlign w:val="superscript"/>
        </w:rPr>
        <w:t xml:space="preserve"> </w:t>
      </w:r>
      <w:r w:rsidRPr="0073506C">
        <w:rPr>
          <w:rFonts w:ascii="Times New Roman" w:hAnsi="Times New Roman"/>
          <w:sz w:val="26"/>
          <w:szCs w:val="26"/>
        </w:rPr>
        <w:t>is based on salaries and benefits for professional and clerical support.</w:t>
      </w:r>
      <w:r w:rsidR="00A25801">
        <w:rPr>
          <w:rFonts w:ascii="Times New Roman" w:hAnsi="Times New Roman"/>
          <w:sz w:val="26"/>
          <w:szCs w:val="26"/>
        </w:rPr>
        <w:t xml:space="preserve">  </w:t>
      </w:r>
      <w:r w:rsidRPr="00AD49BE" w:rsidR="00A25801">
        <w:rPr>
          <w:rFonts w:ascii="Times New Roman" w:hAnsi="Times New Roman"/>
          <w:sz w:val="26"/>
          <w:szCs w:val="26"/>
        </w:rPr>
        <w:t>This estimated cost represents staff analysis, decision-making, and review of any actual filings submitted in response to the information collections</w:t>
      </w:r>
      <w:r w:rsidR="006A7DDB">
        <w:rPr>
          <w:rFonts w:ascii="Times New Roman" w:hAnsi="Times New Roman"/>
          <w:sz w:val="26"/>
          <w:szCs w:val="26"/>
        </w:rPr>
        <w:t>.</w:t>
      </w:r>
      <w:r w:rsidRPr="00A25801">
        <w:rPr>
          <w:rFonts w:ascii="Times New Roman" w:hAnsi="Times New Roman"/>
          <w:sz w:val="26"/>
          <w:szCs w:val="26"/>
        </w:rPr>
        <w:t xml:space="preserve"> </w:t>
      </w:r>
      <w:r w:rsidRPr="00A25801" w:rsidR="00DF34CB">
        <w:rPr>
          <w:rFonts w:ascii="Times New Roman" w:hAnsi="Times New Roman"/>
          <w:sz w:val="26"/>
          <w:szCs w:val="26"/>
        </w:rPr>
        <w:t xml:space="preserve"> </w:t>
      </w:r>
      <w:r w:rsidRPr="00A25801">
        <w:rPr>
          <w:rFonts w:ascii="Times New Roman" w:hAnsi="Times New Roman"/>
          <w:sz w:val="26"/>
          <w:szCs w:val="26"/>
        </w:rPr>
        <w:t>Th</w:t>
      </w:r>
      <w:r w:rsidRPr="0073506C">
        <w:rPr>
          <w:rFonts w:ascii="Times New Roman" w:hAnsi="Times New Roman"/>
          <w:sz w:val="26"/>
          <w:szCs w:val="26"/>
        </w:rPr>
        <w:t>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58372E" w:rsidRPr="0073506C" w:rsidP="00BD0F89" w14:paraId="5D81E42B" w14:textId="69950612">
      <w:pPr>
        <w:spacing w:after="0" w:line="240" w:lineRule="auto"/>
        <w:rPr>
          <w:rFonts w:ascii="Times New Roman" w:hAnsi="Times New Roman"/>
          <w:sz w:val="26"/>
          <w:szCs w:val="26"/>
        </w:rPr>
      </w:pPr>
    </w:p>
    <w:p w:rsidR="00467B09" w:rsidP="00BD0F89" w14:paraId="1EF2998E" w14:textId="77777777">
      <w:pPr>
        <w:spacing w:after="0" w:line="240" w:lineRule="auto"/>
        <w:rPr>
          <w:rFonts w:ascii="Times New Roman" w:hAnsi="Times New Roman"/>
          <w:sz w:val="26"/>
          <w:szCs w:val="26"/>
          <w:vertAlign w:val="superscript"/>
        </w:rPr>
      </w:pPr>
      <w:r w:rsidRPr="0073506C">
        <w:rPr>
          <w:rFonts w:ascii="Times New Roman" w:hAnsi="Times New Roman"/>
          <w:sz w:val="26"/>
          <w:szCs w:val="26"/>
        </w:rPr>
        <w:t xml:space="preserve">The estimated </w:t>
      </w:r>
      <w:r w:rsidRPr="0073506C" w:rsidR="00F20B97">
        <w:rPr>
          <w:rFonts w:ascii="Times New Roman" w:hAnsi="Times New Roman"/>
          <w:sz w:val="26"/>
          <w:szCs w:val="26"/>
        </w:rPr>
        <w:t xml:space="preserve">annualized </w:t>
      </w:r>
      <w:r w:rsidRPr="0073506C">
        <w:rPr>
          <w:rFonts w:ascii="Times New Roman" w:hAnsi="Times New Roman"/>
          <w:sz w:val="26"/>
          <w:szCs w:val="26"/>
        </w:rPr>
        <w:t>cost</w:t>
      </w:r>
      <w:r w:rsidRPr="0073506C" w:rsidR="00F20B97">
        <w:rPr>
          <w:rFonts w:ascii="Times New Roman" w:hAnsi="Times New Roman"/>
          <w:sz w:val="26"/>
          <w:szCs w:val="26"/>
        </w:rPr>
        <w:t xml:space="preserve"> to the Federal Government</w:t>
      </w:r>
      <w:r w:rsidRPr="0073506C" w:rsidR="00247EBC">
        <w:rPr>
          <w:rFonts w:ascii="Times New Roman" w:hAnsi="Times New Roman"/>
          <w:sz w:val="26"/>
          <w:szCs w:val="26"/>
        </w:rPr>
        <w:t xml:space="preserve"> </w:t>
      </w:r>
      <w:r w:rsidRPr="0073506C" w:rsidR="00E20CEF">
        <w:rPr>
          <w:rFonts w:ascii="Times New Roman" w:hAnsi="Times New Roman"/>
          <w:sz w:val="26"/>
          <w:szCs w:val="26"/>
        </w:rPr>
        <w:t>follows.</w:t>
      </w:r>
      <w:r>
        <w:rPr>
          <w:rStyle w:val="FootnoteReference"/>
          <w:rFonts w:ascii="Times New Roman" w:hAnsi="Times New Roman"/>
          <w:sz w:val="26"/>
          <w:szCs w:val="26"/>
        </w:rPr>
        <w:footnoteReference w:id="11"/>
      </w:r>
      <w:r w:rsidRPr="0073506C">
        <w:rPr>
          <w:rFonts w:ascii="Times New Roman" w:hAnsi="Times New Roman"/>
          <w:sz w:val="26"/>
          <w:szCs w:val="26"/>
          <w:vertAlign w:val="superscript"/>
        </w:rPr>
        <w:t xml:space="preserve"> </w:t>
      </w:r>
    </w:p>
    <w:p w:rsidR="00467B09" w:rsidP="00BD0F89" w14:paraId="48A2070C" w14:textId="77777777">
      <w:pPr>
        <w:spacing w:after="0" w:line="240" w:lineRule="auto"/>
        <w:rPr>
          <w:rFonts w:ascii="Times New Roman" w:hAnsi="Times New Roman"/>
          <w:sz w:val="26"/>
          <w:szCs w:val="26"/>
          <w:vertAlign w:val="superscrip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70"/>
        <w:gridCol w:w="3030"/>
        <w:gridCol w:w="3015"/>
      </w:tblGrid>
      <w:tr w14:paraId="7C310015"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270"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467B09" w:rsidRPr="00467B09" w:rsidP="00467B09" w14:paraId="026CC8C6" w14:textId="77777777">
            <w:pPr>
              <w:spacing w:after="0" w:line="240" w:lineRule="auto"/>
              <w:rPr>
                <w:rFonts w:ascii="Times New Roman" w:hAnsi="Times New Roman"/>
                <w:sz w:val="26"/>
                <w:szCs w:val="26"/>
              </w:rPr>
            </w:pPr>
            <w:r w:rsidRPr="00467B09">
              <w:rPr>
                <w:rFonts w:ascii="Times New Roman" w:hAnsi="Times New Roman"/>
                <w:sz w:val="26"/>
                <w:szCs w:val="26"/>
              </w:rPr>
              <w:t> </w:t>
            </w:r>
          </w:p>
        </w:tc>
        <w:tc>
          <w:tcPr>
            <w:tcW w:w="3030"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467B09" w:rsidRPr="00467B09" w:rsidP="00467B09" w14:paraId="225EF487" w14:textId="77777777">
            <w:pPr>
              <w:spacing w:after="0" w:line="240" w:lineRule="auto"/>
              <w:rPr>
                <w:rFonts w:ascii="Times New Roman" w:hAnsi="Times New Roman"/>
                <w:sz w:val="26"/>
                <w:szCs w:val="26"/>
              </w:rPr>
            </w:pPr>
            <w:r w:rsidRPr="00467B09">
              <w:rPr>
                <w:rFonts w:ascii="Times New Roman" w:hAnsi="Times New Roman"/>
                <w:b/>
                <w:bCs/>
                <w:sz w:val="26"/>
                <w:szCs w:val="26"/>
              </w:rPr>
              <w:t>Number of Employees (FTE)</w:t>
            </w:r>
            <w:r w:rsidRPr="00467B09">
              <w:rPr>
                <w:rFonts w:ascii="Times New Roman" w:hAnsi="Times New Roman"/>
                <w:sz w:val="26"/>
                <w:szCs w:val="26"/>
              </w:rPr>
              <w:t> </w:t>
            </w:r>
          </w:p>
        </w:tc>
        <w:tc>
          <w:tcPr>
            <w:tcW w:w="3015"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467B09" w:rsidRPr="00467B09" w:rsidP="00467B09" w14:paraId="2FD7930C" w14:textId="77777777">
            <w:pPr>
              <w:spacing w:after="0" w:line="240" w:lineRule="auto"/>
              <w:rPr>
                <w:rFonts w:ascii="Times New Roman" w:hAnsi="Times New Roman"/>
                <w:sz w:val="26"/>
                <w:szCs w:val="26"/>
              </w:rPr>
            </w:pPr>
            <w:r w:rsidRPr="00467B09">
              <w:rPr>
                <w:rFonts w:ascii="Times New Roman" w:hAnsi="Times New Roman"/>
                <w:b/>
                <w:bCs/>
                <w:sz w:val="26"/>
                <w:szCs w:val="26"/>
              </w:rPr>
              <w:t>Estimated Annual Federal Cost</w:t>
            </w:r>
            <w:r w:rsidRPr="00467B09">
              <w:rPr>
                <w:rFonts w:ascii="Times New Roman" w:hAnsi="Times New Roman"/>
                <w:sz w:val="26"/>
                <w:szCs w:val="26"/>
              </w:rPr>
              <w:t> </w:t>
            </w:r>
          </w:p>
        </w:tc>
      </w:tr>
      <w:tr w14:paraId="2EE5AA86" w14:textId="77777777">
        <w:tblPrEx>
          <w:tblW w:w="0" w:type="dxa"/>
          <w:tblCellMar>
            <w:left w:w="0" w:type="dxa"/>
            <w:right w:w="0" w:type="dxa"/>
          </w:tblCellMar>
          <w:tblLook w:val="04A0"/>
        </w:tblPrEx>
        <w:trPr>
          <w:trHeight w:val="300"/>
        </w:trPr>
        <w:tc>
          <w:tcPr>
            <w:tcW w:w="3270" w:type="dxa"/>
            <w:tcBorders>
              <w:top w:val="single" w:sz="6" w:space="0" w:color="auto"/>
              <w:left w:val="single" w:sz="6" w:space="0" w:color="auto"/>
              <w:bottom w:val="single" w:sz="6" w:space="0" w:color="auto"/>
              <w:right w:val="single" w:sz="6" w:space="0" w:color="auto"/>
            </w:tcBorders>
            <w:vAlign w:val="center"/>
            <w:hideMark/>
          </w:tcPr>
          <w:p w:rsidR="00467B09" w:rsidRPr="00467B09" w:rsidP="00467B09" w14:paraId="7EDD25D4" w14:textId="77777777">
            <w:pPr>
              <w:spacing w:after="0" w:line="240" w:lineRule="auto"/>
              <w:rPr>
                <w:rFonts w:ascii="Times New Roman" w:hAnsi="Times New Roman"/>
                <w:sz w:val="26"/>
                <w:szCs w:val="26"/>
              </w:rPr>
            </w:pPr>
            <w:r w:rsidRPr="00467B09">
              <w:rPr>
                <w:rFonts w:ascii="Times New Roman" w:hAnsi="Times New Roman"/>
                <w:sz w:val="26"/>
                <w:szCs w:val="26"/>
              </w:rPr>
              <w:t>Analysis and Processing of Filings</w:t>
            </w:r>
            <w:r w:rsidRPr="00467B09">
              <w:rPr>
                <w:rFonts w:ascii="Times New Roman" w:hAnsi="Times New Roman"/>
                <w:sz w:val="26"/>
                <w:szCs w:val="26"/>
                <w:vertAlign w:val="superscript"/>
              </w:rPr>
              <w:t>7</w:t>
            </w:r>
            <w:r w:rsidRPr="00467B09">
              <w:rPr>
                <w:rFonts w:ascii="Times New Roman" w:hAnsi="Times New Roman"/>
                <w:sz w:val="26"/>
                <w:szCs w:val="26"/>
              </w:rPr>
              <w:t> </w:t>
            </w:r>
          </w:p>
        </w:tc>
        <w:tc>
          <w:tcPr>
            <w:tcW w:w="3030" w:type="dxa"/>
            <w:tcBorders>
              <w:top w:val="single" w:sz="6" w:space="0" w:color="auto"/>
              <w:left w:val="single" w:sz="6" w:space="0" w:color="auto"/>
              <w:bottom w:val="single" w:sz="6" w:space="0" w:color="auto"/>
              <w:right w:val="single" w:sz="6" w:space="0" w:color="auto"/>
            </w:tcBorders>
            <w:vAlign w:val="center"/>
            <w:hideMark/>
          </w:tcPr>
          <w:p w:rsidR="00467B09" w:rsidRPr="00467B09" w:rsidP="00EC2F54" w14:paraId="05012E21" w14:textId="77777777">
            <w:pPr>
              <w:spacing w:after="0" w:line="240" w:lineRule="auto"/>
              <w:jc w:val="right"/>
              <w:rPr>
                <w:rFonts w:ascii="Times New Roman" w:hAnsi="Times New Roman"/>
                <w:sz w:val="26"/>
                <w:szCs w:val="26"/>
              </w:rPr>
            </w:pPr>
            <w:r w:rsidRPr="00467B09">
              <w:rPr>
                <w:rFonts w:ascii="Times New Roman" w:hAnsi="Times New Roman"/>
                <w:sz w:val="26"/>
                <w:szCs w:val="26"/>
              </w:rPr>
              <w:t>1 </w:t>
            </w:r>
          </w:p>
        </w:tc>
        <w:tc>
          <w:tcPr>
            <w:tcW w:w="3015" w:type="dxa"/>
            <w:tcBorders>
              <w:top w:val="single" w:sz="6" w:space="0" w:color="auto"/>
              <w:left w:val="single" w:sz="6" w:space="0" w:color="auto"/>
              <w:bottom w:val="single" w:sz="6" w:space="0" w:color="auto"/>
              <w:right w:val="single" w:sz="6" w:space="0" w:color="auto"/>
            </w:tcBorders>
            <w:vAlign w:val="center"/>
            <w:hideMark/>
          </w:tcPr>
          <w:p w:rsidR="00467B09" w:rsidRPr="00467B09" w:rsidP="00EC2F54" w14:paraId="1953620F" w14:textId="2D628EAE">
            <w:pPr>
              <w:spacing w:after="0" w:line="240" w:lineRule="auto"/>
              <w:jc w:val="right"/>
              <w:rPr>
                <w:rFonts w:ascii="Times New Roman" w:hAnsi="Times New Roman"/>
                <w:sz w:val="26"/>
                <w:szCs w:val="26"/>
              </w:rPr>
            </w:pPr>
            <w:r w:rsidRPr="00467B09">
              <w:rPr>
                <w:rFonts w:ascii="Times New Roman" w:hAnsi="Times New Roman"/>
                <w:sz w:val="26"/>
                <w:szCs w:val="26"/>
              </w:rPr>
              <w:t>$</w:t>
            </w:r>
            <w:r w:rsidR="00EC2F54">
              <w:rPr>
                <w:rFonts w:ascii="Times New Roman" w:hAnsi="Times New Roman"/>
                <w:sz w:val="26"/>
                <w:szCs w:val="26"/>
              </w:rPr>
              <w:t>213,003</w:t>
            </w:r>
            <w:r w:rsidRPr="00467B09">
              <w:rPr>
                <w:rFonts w:ascii="Times New Roman" w:hAnsi="Times New Roman"/>
                <w:sz w:val="26"/>
                <w:szCs w:val="26"/>
              </w:rPr>
              <w:t> </w:t>
            </w:r>
          </w:p>
        </w:tc>
      </w:tr>
      <w:tr w14:paraId="4BBC05F0" w14:textId="77777777">
        <w:tblPrEx>
          <w:tblW w:w="0" w:type="dxa"/>
          <w:tblCellMar>
            <w:left w:w="0" w:type="dxa"/>
            <w:right w:w="0" w:type="dxa"/>
          </w:tblCellMar>
          <w:tblLook w:val="04A0"/>
        </w:tblPrEx>
        <w:trPr>
          <w:trHeight w:val="300"/>
        </w:trPr>
        <w:tc>
          <w:tcPr>
            <w:tcW w:w="3270" w:type="dxa"/>
            <w:tcBorders>
              <w:top w:val="single" w:sz="6" w:space="0" w:color="auto"/>
              <w:left w:val="single" w:sz="6" w:space="0" w:color="auto"/>
              <w:bottom w:val="single" w:sz="6" w:space="0" w:color="auto"/>
              <w:right w:val="single" w:sz="6" w:space="0" w:color="auto"/>
            </w:tcBorders>
            <w:vAlign w:val="center"/>
            <w:hideMark/>
          </w:tcPr>
          <w:p w:rsidR="00467B09" w:rsidRPr="00467B09" w:rsidP="00467B09" w14:paraId="3BCB9EB0" w14:textId="77777777">
            <w:pPr>
              <w:spacing w:after="0" w:line="240" w:lineRule="auto"/>
              <w:rPr>
                <w:rFonts w:ascii="Times New Roman" w:hAnsi="Times New Roman"/>
                <w:sz w:val="26"/>
                <w:szCs w:val="26"/>
              </w:rPr>
            </w:pPr>
            <w:r w:rsidRPr="00467B09">
              <w:rPr>
                <w:rFonts w:ascii="Times New Roman" w:hAnsi="Times New Roman"/>
                <w:sz w:val="26"/>
                <w:szCs w:val="26"/>
              </w:rPr>
              <w:t>PRA</w:t>
            </w:r>
            <w:r w:rsidRPr="00467B09">
              <w:rPr>
                <w:rFonts w:ascii="Times New Roman" w:hAnsi="Times New Roman"/>
                <w:sz w:val="26"/>
                <w:szCs w:val="26"/>
                <w:vertAlign w:val="superscript"/>
              </w:rPr>
              <w:t>8</w:t>
            </w:r>
            <w:r w:rsidRPr="00467B09">
              <w:rPr>
                <w:rFonts w:ascii="Times New Roman" w:hAnsi="Times New Roman"/>
                <w:sz w:val="26"/>
                <w:szCs w:val="26"/>
              </w:rPr>
              <w:t> Administrative Cost </w:t>
            </w:r>
          </w:p>
        </w:tc>
        <w:tc>
          <w:tcPr>
            <w:tcW w:w="3030"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467B09" w:rsidRPr="00467B09" w:rsidP="00EC2F54" w14:paraId="0D938EC5" w14:textId="77777777">
            <w:pPr>
              <w:spacing w:after="0" w:line="240" w:lineRule="auto"/>
              <w:jc w:val="right"/>
              <w:rPr>
                <w:rFonts w:ascii="Times New Roman" w:hAnsi="Times New Roman"/>
                <w:sz w:val="26"/>
                <w:szCs w:val="26"/>
              </w:rPr>
            </w:pPr>
            <w:r w:rsidRPr="00467B09">
              <w:rPr>
                <w:rFonts w:ascii="Times New Roman" w:hAnsi="Times New Roman"/>
                <w:sz w:val="26"/>
                <w:szCs w:val="26"/>
              </w:rPr>
              <w:t> </w:t>
            </w:r>
          </w:p>
        </w:tc>
        <w:tc>
          <w:tcPr>
            <w:tcW w:w="3015" w:type="dxa"/>
            <w:tcBorders>
              <w:top w:val="single" w:sz="6" w:space="0" w:color="auto"/>
              <w:left w:val="single" w:sz="6" w:space="0" w:color="auto"/>
              <w:bottom w:val="single" w:sz="6" w:space="0" w:color="auto"/>
              <w:right w:val="single" w:sz="6" w:space="0" w:color="auto"/>
            </w:tcBorders>
            <w:vAlign w:val="center"/>
            <w:hideMark/>
          </w:tcPr>
          <w:p w:rsidR="00467B09" w:rsidRPr="00467B09" w:rsidP="00EC2F54" w14:paraId="70D8E452" w14:textId="0ECCC277">
            <w:pPr>
              <w:spacing w:after="0" w:line="240" w:lineRule="auto"/>
              <w:jc w:val="right"/>
              <w:rPr>
                <w:rFonts w:ascii="Times New Roman" w:hAnsi="Times New Roman"/>
                <w:sz w:val="26"/>
                <w:szCs w:val="26"/>
              </w:rPr>
            </w:pPr>
            <w:r w:rsidRPr="00467B09">
              <w:rPr>
                <w:rFonts w:ascii="Times New Roman" w:hAnsi="Times New Roman"/>
                <w:sz w:val="26"/>
                <w:szCs w:val="26"/>
              </w:rPr>
              <w:t>$</w:t>
            </w:r>
            <w:r w:rsidR="00EC2F54">
              <w:rPr>
                <w:rFonts w:ascii="Times New Roman" w:hAnsi="Times New Roman"/>
                <w:sz w:val="26"/>
                <w:szCs w:val="26"/>
              </w:rPr>
              <w:t>8,404</w:t>
            </w:r>
            <w:r w:rsidRPr="00467B09">
              <w:rPr>
                <w:rFonts w:ascii="Times New Roman" w:hAnsi="Times New Roman"/>
                <w:sz w:val="26"/>
                <w:szCs w:val="26"/>
              </w:rPr>
              <w:t> </w:t>
            </w:r>
          </w:p>
        </w:tc>
      </w:tr>
      <w:tr w14:paraId="6AA49005" w14:textId="77777777">
        <w:tblPrEx>
          <w:tblW w:w="0" w:type="dxa"/>
          <w:tblCellMar>
            <w:left w:w="0" w:type="dxa"/>
            <w:right w:w="0" w:type="dxa"/>
          </w:tblCellMar>
          <w:tblLook w:val="04A0"/>
        </w:tblPrEx>
        <w:trPr>
          <w:trHeight w:val="300"/>
        </w:trPr>
        <w:tc>
          <w:tcPr>
            <w:tcW w:w="3270" w:type="dxa"/>
            <w:tcBorders>
              <w:top w:val="single" w:sz="6" w:space="0" w:color="auto"/>
              <w:left w:val="single" w:sz="6" w:space="0" w:color="auto"/>
              <w:bottom w:val="single" w:sz="6" w:space="0" w:color="auto"/>
              <w:right w:val="single" w:sz="6" w:space="0" w:color="auto"/>
            </w:tcBorders>
            <w:vAlign w:val="center"/>
            <w:hideMark/>
          </w:tcPr>
          <w:p w:rsidR="00467B09" w:rsidRPr="00467B09" w:rsidP="00467B09" w14:paraId="073CB49D" w14:textId="77777777">
            <w:pPr>
              <w:spacing w:after="0" w:line="240" w:lineRule="auto"/>
              <w:rPr>
                <w:rFonts w:ascii="Times New Roman" w:hAnsi="Times New Roman"/>
                <w:sz w:val="26"/>
                <w:szCs w:val="26"/>
              </w:rPr>
            </w:pPr>
            <w:r w:rsidRPr="00467B09">
              <w:rPr>
                <w:rFonts w:ascii="Times New Roman" w:hAnsi="Times New Roman"/>
                <w:sz w:val="26"/>
                <w:szCs w:val="26"/>
              </w:rPr>
              <w:t>FERC Total </w:t>
            </w:r>
          </w:p>
        </w:tc>
        <w:tc>
          <w:tcPr>
            <w:tcW w:w="3030"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467B09" w:rsidRPr="00467B09" w:rsidP="00EC2F54" w14:paraId="3EE99824" w14:textId="77777777">
            <w:pPr>
              <w:spacing w:after="0" w:line="240" w:lineRule="auto"/>
              <w:jc w:val="right"/>
              <w:rPr>
                <w:rFonts w:ascii="Times New Roman" w:hAnsi="Times New Roman"/>
                <w:sz w:val="26"/>
                <w:szCs w:val="26"/>
              </w:rPr>
            </w:pPr>
            <w:r w:rsidRPr="00467B09">
              <w:rPr>
                <w:rFonts w:ascii="Times New Roman" w:hAnsi="Times New Roman"/>
                <w:sz w:val="26"/>
                <w:szCs w:val="26"/>
              </w:rPr>
              <w:t> </w:t>
            </w:r>
          </w:p>
        </w:tc>
        <w:tc>
          <w:tcPr>
            <w:tcW w:w="3015" w:type="dxa"/>
            <w:tcBorders>
              <w:top w:val="single" w:sz="6" w:space="0" w:color="auto"/>
              <w:left w:val="single" w:sz="6" w:space="0" w:color="auto"/>
              <w:bottom w:val="single" w:sz="6" w:space="0" w:color="auto"/>
              <w:right w:val="single" w:sz="6" w:space="0" w:color="auto"/>
            </w:tcBorders>
            <w:vAlign w:val="center"/>
            <w:hideMark/>
          </w:tcPr>
          <w:p w:rsidR="00467B09" w:rsidRPr="00467B09" w:rsidP="00EC2F54" w14:paraId="227E8442" w14:textId="0B67BEB9">
            <w:pPr>
              <w:spacing w:after="0" w:line="240" w:lineRule="auto"/>
              <w:jc w:val="right"/>
              <w:rPr>
                <w:rFonts w:ascii="Times New Roman" w:hAnsi="Times New Roman"/>
                <w:sz w:val="26"/>
                <w:szCs w:val="26"/>
              </w:rPr>
            </w:pPr>
            <w:r w:rsidRPr="00467B09">
              <w:rPr>
                <w:rFonts w:ascii="Times New Roman" w:hAnsi="Times New Roman"/>
                <w:sz w:val="26"/>
                <w:szCs w:val="26"/>
              </w:rPr>
              <w:t>$</w:t>
            </w:r>
            <w:r w:rsidR="00F649E6">
              <w:rPr>
                <w:rFonts w:ascii="Times New Roman" w:hAnsi="Times New Roman"/>
                <w:sz w:val="26"/>
                <w:szCs w:val="26"/>
              </w:rPr>
              <w:t>213,843</w:t>
            </w:r>
            <w:r w:rsidRPr="00467B09">
              <w:rPr>
                <w:rFonts w:ascii="Times New Roman" w:hAnsi="Times New Roman"/>
                <w:sz w:val="26"/>
                <w:szCs w:val="26"/>
              </w:rPr>
              <w:t> </w:t>
            </w:r>
          </w:p>
        </w:tc>
      </w:tr>
    </w:tbl>
    <w:p w:rsidR="003F4A59" w:rsidRPr="0073506C" w:rsidP="00BD0F89" w14:paraId="55FC1BFA" w14:textId="77777777">
      <w:pPr>
        <w:spacing w:after="0" w:line="240" w:lineRule="auto"/>
        <w:rPr>
          <w:rFonts w:ascii="Times New Roman" w:hAnsi="Times New Roman"/>
          <w:sz w:val="26"/>
          <w:szCs w:val="26"/>
        </w:rPr>
      </w:pPr>
    </w:p>
    <w:p w:rsidR="00F20B97" w:rsidRPr="0073506C" w:rsidP="00BD0F89" w14:paraId="43CA34DD" w14:textId="77777777">
      <w:pPr>
        <w:spacing w:after="0" w:line="240" w:lineRule="auto"/>
        <w:rPr>
          <w:rFonts w:ascii="Times New Roman" w:hAnsi="Times New Roman"/>
          <w:b/>
          <w:sz w:val="26"/>
          <w:szCs w:val="26"/>
        </w:rPr>
      </w:pPr>
      <w:r w:rsidRPr="0073506C">
        <w:rPr>
          <w:rFonts w:ascii="Times New Roman" w:hAnsi="Times New Roman"/>
          <w:b/>
          <w:sz w:val="26"/>
          <w:szCs w:val="26"/>
        </w:rPr>
        <w:t>15. REASONS FOR CHANGES IN BURDEN INCLUDING THE NEED FOR ANY INCREASE</w:t>
      </w:r>
    </w:p>
    <w:p w:rsidR="00E31823" w:rsidRPr="0073506C" w:rsidP="00BD0F89" w14:paraId="3B838B49" w14:textId="77777777">
      <w:pPr>
        <w:spacing w:after="0" w:line="240" w:lineRule="auto"/>
        <w:rPr>
          <w:rFonts w:ascii="Times New Roman" w:hAnsi="Times New Roman"/>
          <w:b/>
          <w:bCs/>
          <w:sz w:val="26"/>
          <w:szCs w:val="26"/>
          <w:u w:val="single"/>
        </w:rPr>
      </w:pPr>
      <w:bookmarkStart w:id="1" w:name="_bmk1"/>
    </w:p>
    <w:p w:rsidR="00A278D6" w:rsidRPr="0004648E" w:rsidP="1EFB72D5" w14:paraId="588F7CC4" w14:textId="5D173AD6">
      <w:pPr>
        <w:spacing w:after="0" w:line="240" w:lineRule="auto"/>
        <w:rPr>
          <w:rFonts w:ascii="Times New Roman" w:hAnsi="Times New Roman"/>
          <w:sz w:val="26"/>
          <w:szCs w:val="26"/>
        </w:rPr>
      </w:pPr>
      <w:r w:rsidRPr="1EFB72D5">
        <w:rPr>
          <w:rFonts w:ascii="Times New Roman" w:hAnsi="Times New Roman"/>
          <w:sz w:val="26"/>
          <w:szCs w:val="26"/>
        </w:rPr>
        <w:t xml:space="preserve">As described above, the Commission is proposing </w:t>
      </w:r>
      <w:r w:rsidRPr="1EFB72D5" w:rsidR="00F41C80">
        <w:rPr>
          <w:rFonts w:ascii="Times New Roman" w:hAnsi="Times New Roman"/>
          <w:sz w:val="26"/>
          <w:szCs w:val="26"/>
        </w:rPr>
        <w:t xml:space="preserve">to significantly reduce the reporting burden under FERC Form </w:t>
      </w:r>
      <w:r w:rsidRPr="1EFB72D5" w:rsidR="00B7473B">
        <w:rPr>
          <w:rFonts w:ascii="Times New Roman" w:hAnsi="Times New Roman"/>
          <w:sz w:val="26"/>
          <w:szCs w:val="26"/>
        </w:rPr>
        <w:t xml:space="preserve">No. </w:t>
      </w:r>
      <w:r w:rsidRPr="1EFB72D5" w:rsidR="00F41C80">
        <w:rPr>
          <w:rFonts w:ascii="Times New Roman" w:hAnsi="Times New Roman"/>
          <w:sz w:val="26"/>
          <w:szCs w:val="26"/>
        </w:rPr>
        <w:t xml:space="preserve">3-Q by deleting </w:t>
      </w:r>
      <w:r w:rsidRPr="1EFB72D5" w:rsidR="00835824">
        <w:rPr>
          <w:rFonts w:ascii="Times New Roman" w:hAnsi="Times New Roman"/>
          <w:sz w:val="26"/>
          <w:szCs w:val="26"/>
        </w:rPr>
        <w:t>20</w:t>
      </w:r>
      <w:r w:rsidRPr="1EFB72D5" w:rsidR="00F41C80">
        <w:rPr>
          <w:rFonts w:ascii="Times New Roman" w:hAnsi="Times New Roman"/>
          <w:sz w:val="26"/>
          <w:szCs w:val="26"/>
        </w:rPr>
        <w:t xml:space="preserve"> schedules from FERC Form No. 3-Q across both Electric (1</w:t>
      </w:r>
      <w:r w:rsidRPr="1EFB72D5" w:rsidR="00835824">
        <w:rPr>
          <w:rFonts w:ascii="Times New Roman" w:hAnsi="Times New Roman"/>
          <w:sz w:val="26"/>
          <w:szCs w:val="26"/>
        </w:rPr>
        <w:t>7</w:t>
      </w:r>
      <w:r w:rsidRPr="1EFB72D5" w:rsidR="00A52A89">
        <w:rPr>
          <w:rFonts w:ascii="Times New Roman" w:hAnsi="Times New Roman"/>
          <w:sz w:val="26"/>
          <w:szCs w:val="26"/>
        </w:rPr>
        <w:t xml:space="preserve"> schedules)</w:t>
      </w:r>
      <w:r w:rsidRPr="1EFB72D5" w:rsidR="00F41C80">
        <w:rPr>
          <w:rFonts w:ascii="Times New Roman" w:hAnsi="Times New Roman"/>
          <w:sz w:val="26"/>
          <w:szCs w:val="26"/>
        </w:rPr>
        <w:t xml:space="preserve"> and Gas (3</w:t>
      </w:r>
      <w:r w:rsidRPr="1EFB72D5" w:rsidR="00A52A89">
        <w:rPr>
          <w:rFonts w:ascii="Times New Roman" w:hAnsi="Times New Roman"/>
          <w:sz w:val="26"/>
          <w:szCs w:val="26"/>
        </w:rPr>
        <w:t xml:space="preserve"> schedules</w:t>
      </w:r>
      <w:r w:rsidRPr="1EFB72D5" w:rsidR="00F41C80">
        <w:rPr>
          <w:rFonts w:ascii="Times New Roman" w:hAnsi="Times New Roman"/>
          <w:sz w:val="26"/>
          <w:szCs w:val="26"/>
        </w:rPr>
        <w:t xml:space="preserve">). </w:t>
      </w:r>
      <w:r w:rsidRPr="1EFB72D5" w:rsidR="4E5C3BD5">
        <w:rPr>
          <w:rFonts w:ascii="Times New Roman" w:hAnsi="Times New Roman"/>
          <w:sz w:val="26"/>
          <w:szCs w:val="26"/>
        </w:rPr>
        <w:t>There are no proposed changes to the number of respondents.</w:t>
      </w:r>
    </w:p>
    <w:p w:rsidR="00241CFA" w:rsidRPr="0073506C" w:rsidP="00BD0F89" w14:paraId="40833C19" w14:textId="20FDE5E9">
      <w:pPr>
        <w:spacing w:after="0" w:line="240" w:lineRule="auto"/>
        <w:rPr>
          <w:rFonts w:ascii="Times New Roman" w:hAnsi="Times New Roman"/>
          <w:bCs/>
          <w:sz w:val="26"/>
          <w:szCs w:val="26"/>
        </w:rPr>
      </w:pPr>
    </w:p>
    <w:tbl>
      <w:tblPr>
        <w:tblW w:w="9530" w:type="dxa"/>
        <w:tblInd w:w="10" w:type="dxa"/>
        <w:tblLayout w:type="fixed"/>
        <w:tblLook w:val="04A0"/>
      </w:tblPr>
      <w:tblGrid>
        <w:gridCol w:w="2250"/>
        <w:gridCol w:w="1520"/>
        <w:gridCol w:w="1530"/>
        <w:gridCol w:w="1975"/>
        <w:gridCol w:w="2255"/>
      </w:tblGrid>
      <w:tr w14:paraId="466476A3" w14:textId="77777777" w:rsidTr="00137B65">
        <w:tblPrEx>
          <w:tblW w:w="9530" w:type="dxa"/>
          <w:tblInd w:w="10" w:type="dxa"/>
          <w:tblLayout w:type="fixed"/>
          <w:tblLook w:val="04A0"/>
        </w:tblPrEx>
        <w:trPr>
          <w:trHeight w:val="288"/>
        </w:trPr>
        <w:tc>
          <w:tcPr>
            <w:tcW w:w="225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7F6335" w:rsidRPr="00AD49BE" w:rsidP="00533D70" w14:paraId="00503542" w14:textId="77777777">
            <w:pPr>
              <w:spacing w:after="0" w:line="240" w:lineRule="auto"/>
              <w:jc w:val="center"/>
              <w:rPr>
                <w:rFonts w:ascii="Times New Roman" w:eastAsia="Times New Roman" w:hAnsi="Times New Roman"/>
                <w:b/>
                <w:color w:val="000000"/>
                <w:sz w:val="26"/>
                <w:szCs w:val="26"/>
              </w:rPr>
            </w:pPr>
            <w:r w:rsidRPr="00AD49BE">
              <w:rPr>
                <w:rFonts w:ascii="Times New Roman" w:eastAsia="Times New Roman" w:hAnsi="Times New Roman"/>
                <w:b/>
                <w:color w:val="000000"/>
                <w:sz w:val="26"/>
                <w:szCs w:val="26"/>
              </w:rPr>
              <w:t> </w:t>
            </w:r>
          </w:p>
        </w:tc>
        <w:tc>
          <w:tcPr>
            <w:tcW w:w="1520" w:type="dxa"/>
            <w:tcBorders>
              <w:top w:val="single" w:sz="4" w:space="0" w:color="auto"/>
              <w:left w:val="nil"/>
              <w:bottom w:val="single" w:sz="4" w:space="0" w:color="auto"/>
              <w:right w:val="single" w:sz="4" w:space="0" w:color="auto"/>
            </w:tcBorders>
            <w:shd w:val="clear" w:color="000000" w:fill="D9D9D9"/>
            <w:hideMark/>
          </w:tcPr>
          <w:p w:rsidR="007F6335" w:rsidRPr="00AD49BE" w:rsidP="00137B65" w14:paraId="2017E857" w14:textId="77777777">
            <w:pPr>
              <w:spacing w:after="0" w:line="240" w:lineRule="auto"/>
              <w:jc w:val="center"/>
              <w:rPr>
                <w:rFonts w:ascii="Times New Roman" w:eastAsia="Times New Roman" w:hAnsi="Times New Roman"/>
                <w:b/>
                <w:color w:val="000000"/>
                <w:sz w:val="26"/>
                <w:szCs w:val="26"/>
              </w:rPr>
            </w:pPr>
            <w:r w:rsidRPr="00AD49BE">
              <w:rPr>
                <w:rFonts w:ascii="Times New Roman" w:eastAsia="Times New Roman" w:hAnsi="Times New Roman"/>
                <w:b/>
                <w:color w:val="000000"/>
                <w:sz w:val="26"/>
                <w:szCs w:val="26"/>
              </w:rPr>
              <w:t>Total Request</w:t>
            </w:r>
          </w:p>
        </w:tc>
        <w:tc>
          <w:tcPr>
            <w:tcW w:w="1530" w:type="dxa"/>
            <w:tcBorders>
              <w:top w:val="single" w:sz="4" w:space="0" w:color="auto"/>
              <w:left w:val="nil"/>
              <w:bottom w:val="single" w:sz="4" w:space="0" w:color="auto"/>
              <w:right w:val="single" w:sz="4" w:space="0" w:color="auto"/>
            </w:tcBorders>
            <w:shd w:val="clear" w:color="000000" w:fill="D9D9D9"/>
            <w:hideMark/>
          </w:tcPr>
          <w:p w:rsidR="007F6335" w:rsidRPr="00AD49BE" w:rsidP="00137B65" w14:paraId="50391065" w14:textId="77777777">
            <w:pPr>
              <w:spacing w:after="0" w:line="240" w:lineRule="auto"/>
              <w:jc w:val="center"/>
              <w:rPr>
                <w:rFonts w:ascii="Times New Roman" w:eastAsia="Times New Roman" w:hAnsi="Times New Roman"/>
                <w:b/>
                <w:color w:val="000000"/>
                <w:sz w:val="26"/>
                <w:szCs w:val="26"/>
              </w:rPr>
            </w:pPr>
            <w:r w:rsidRPr="00AD49BE">
              <w:rPr>
                <w:rFonts w:ascii="Times New Roman" w:eastAsia="Times New Roman" w:hAnsi="Times New Roman"/>
                <w:b/>
                <w:color w:val="000000"/>
                <w:sz w:val="26"/>
                <w:szCs w:val="26"/>
              </w:rPr>
              <w:t>Previously Approved</w:t>
            </w:r>
          </w:p>
        </w:tc>
        <w:tc>
          <w:tcPr>
            <w:tcW w:w="1975" w:type="dxa"/>
            <w:tcBorders>
              <w:top w:val="single" w:sz="4" w:space="0" w:color="auto"/>
              <w:left w:val="nil"/>
              <w:bottom w:val="single" w:sz="4" w:space="0" w:color="auto"/>
              <w:right w:val="single" w:sz="4" w:space="0" w:color="auto"/>
            </w:tcBorders>
            <w:shd w:val="clear" w:color="000000" w:fill="D9D9D9"/>
            <w:hideMark/>
          </w:tcPr>
          <w:p w:rsidR="007F6335" w:rsidRPr="00AD49BE" w:rsidP="00137B65" w14:paraId="3836E329" w14:textId="77777777">
            <w:pPr>
              <w:spacing w:after="0" w:line="240" w:lineRule="auto"/>
              <w:jc w:val="center"/>
              <w:rPr>
                <w:rFonts w:ascii="Times New Roman" w:eastAsia="Times New Roman" w:hAnsi="Times New Roman"/>
                <w:b/>
                <w:color w:val="000000"/>
                <w:sz w:val="26"/>
                <w:szCs w:val="26"/>
              </w:rPr>
            </w:pPr>
            <w:r w:rsidRPr="00AD49BE">
              <w:rPr>
                <w:rFonts w:ascii="Times New Roman" w:eastAsia="Times New Roman" w:hAnsi="Times New Roman"/>
                <w:b/>
                <w:color w:val="000000"/>
                <w:sz w:val="26"/>
                <w:szCs w:val="26"/>
              </w:rPr>
              <w:t>Change due to Adjustment in Estimate</w:t>
            </w:r>
          </w:p>
        </w:tc>
        <w:tc>
          <w:tcPr>
            <w:tcW w:w="2255" w:type="dxa"/>
            <w:tcBorders>
              <w:top w:val="single" w:sz="4" w:space="0" w:color="auto"/>
              <w:left w:val="nil"/>
              <w:bottom w:val="single" w:sz="4" w:space="0" w:color="auto"/>
              <w:right w:val="single" w:sz="4" w:space="0" w:color="auto"/>
            </w:tcBorders>
            <w:shd w:val="clear" w:color="000000" w:fill="D9D9D9"/>
            <w:hideMark/>
          </w:tcPr>
          <w:p w:rsidR="007F6335" w:rsidRPr="00AD49BE" w:rsidP="00137B65" w14:paraId="2CB56806" w14:textId="2D65AA32">
            <w:pPr>
              <w:spacing w:after="0" w:line="240" w:lineRule="auto"/>
              <w:jc w:val="center"/>
              <w:rPr>
                <w:rFonts w:ascii="Times New Roman" w:eastAsia="Times New Roman" w:hAnsi="Times New Roman"/>
                <w:b/>
                <w:color w:val="000000"/>
                <w:sz w:val="26"/>
                <w:szCs w:val="26"/>
              </w:rPr>
            </w:pPr>
            <w:r w:rsidRPr="00AD49BE">
              <w:rPr>
                <w:rFonts w:ascii="Times New Roman" w:eastAsia="Times New Roman" w:hAnsi="Times New Roman"/>
                <w:b/>
                <w:color w:val="000000"/>
                <w:sz w:val="26"/>
                <w:szCs w:val="26"/>
              </w:rPr>
              <w:t>Change Due to Agency Discretion</w:t>
            </w:r>
          </w:p>
        </w:tc>
      </w:tr>
      <w:tr w14:paraId="21B01E4C" w14:textId="77777777" w:rsidTr="00137B65">
        <w:tblPrEx>
          <w:tblW w:w="9530" w:type="dxa"/>
          <w:tblInd w:w="10" w:type="dxa"/>
          <w:tblLayout w:type="fixed"/>
          <w:tblLook w:val="04A0"/>
        </w:tblPrEx>
        <w:trPr>
          <w:trHeight w:val="288"/>
        </w:trPr>
        <w:tc>
          <w:tcPr>
            <w:tcW w:w="2250" w:type="dxa"/>
            <w:tcBorders>
              <w:top w:val="nil"/>
              <w:left w:val="single" w:sz="4" w:space="0" w:color="auto"/>
              <w:bottom w:val="single" w:sz="4" w:space="0" w:color="auto"/>
              <w:right w:val="single" w:sz="4" w:space="0" w:color="auto"/>
            </w:tcBorders>
            <w:vAlign w:val="center"/>
            <w:hideMark/>
          </w:tcPr>
          <w:p w:rsidR="004A2047" w:rsidRPr="00AD49BE" w:rsidP="004A2047" w14:paraId="01F7429E" w14:textId="7912CFB8">
            <w:pPr>
              <w:spacing w:after="0" w:line="240" w:lineRule="auto"/>
              <w:rPr>
                <w:rFonts w:ascii="Times New Roman" w:eastAsia="Times New Roman" w:hAnsi="Times New Roman"/>
                <w:color w:val="000000"/>
                <w:sz w:val="26"/>
                <w:szCs w:val="26"/>
              </w:rPr>
            </w:pPr>
            <w:r w:rsidRPr="00AD49BE">
              <w:rPr>
                <w:rFonts w:ascii="Times New Roman" w:eastAsia="Times New Roman" w:hAnsi="Times New Roman"/>
                <w:color w:val="000000"/>
                <w:sz w:val="26"/>
                <w:szCs w:val="26"/>
              </w:rPr>
              <w:t>Annual Number of Responses</w:t>
            </w:r>
          </w:p>
        </w:tc>
        <w:tc>
          <w:tcPr>
            <w:tcW w:w="1520" w:type="dxa"/>
            <w:tcBorders>
              <w:top w:val="nil"/>
              <w:left w:val="nil"/>
              <w:bottom w:val="single" w:sz="4" w:space="0" w:color="auto"/>
              <w:right w:val="single" w:sz="4" w:space="0" w:color="auto"/>
            </w:tcBorders>
            <w:vAlign w:val="bottom"/>
          </w:tcPr>
          <w:p w:rsidR="004A2047" w:rsidRPr="00AD49BE" w:rsidP="004A2047" w14:paraId="05C355B5" w14:textId="017983CD">
            <w:pPr>
              <w:spacing w:after="0" w:line="240" w:lineRule="auto"/>
              <w:jc w:val="right"/>
              <w:rPr>
                <w:rFonts w:ascii="Times New Roman" w:eastAsia="Times New Roman" w:hAnsi="Times New Roman"/>
                <w:color w:val="000000"/>
                <w:sz w:val="26"/>
                <w:szCs w:val="26"/>
              </w:rPr>
            </w:pPr>
            <w:r w:rsidRPr="00AD49BE">
              <w:rPr>
                <w:rFonts w:ascii="Times New Roman" w:eastAsia="Times New Roman" w:hAnsi="Times New Roman"/>
                <w:color w:val="000000"/>
                <w:sz w:val="26"/>
                <w:szCs w:val="26"/>
              </w:rPr>
              <w:t>1098</w:t>
            </w:r>
          </w:p>
        </w:tc>
        <w:tc>
          <w:tcPr>
            <w:tcW w:w="1530" w:type="dxa"/>
            <w:tcBorders>
              <w:top w:val="nil"/>
              <w:left w:val="nil"/>
              <w:bottom w:val="single" w:sz="4" w:space="0" w:color="auto"/>
              <w:right w:val="single" w:sz="4" w:space="0" w:color="auto"/>
            </w:tcBorders>
            <w:vAlign w:val="bottom"/>
            <w:hideMark/>
          </w:tcPr>
          <w:p w:rsidR="004A2047" w:rsidRPr="00AD49BE" w:rsidP="004A2047" w14:paraId="31BBBDF9" w14:textId="25D75527">
            <w:pPr>
              <w:spacing w:after="0" w:line="240" w:lineRule="auto"/>
              <w:jc w:val="right"/>
              <w:rPr>
                <w:rFonts w:ascii="Times New Roman" w:eastAsia="Times New Roman" w:hAnsi="Times New Roman"/>
                <w:color w:val="000000"/>
                <w:sz w:val="26"/>
                <w:szCs w:val="26"/>
              </w:rPr>
            </w:pPr>
            <w:r w:rsidRPr="00AD49BE">
              <w:rPr>
                <w:rFonts w:ascii="Times New Roman" w:eastAsia="Times New Roman" w:hAnsi="Times New Roman"/>
                <w:color w:val="000000"/>
                <w:sz w:val="26"/>
                <w:szCs w:val="26"/>
              </w:rPr>
              <w:t>1098</w:t>
            </w:r>
          </w:p>
        </w:tc>
        <w:tc>
          <w:tcPr>
            <w:tcW w:w="1975" w:type="dxa"/>
            <w:tcBorders>
              <w:top w:val="nil"/>
              <w:left w:val="nil"/>
              <w:bottom w:val="single" w:sz="4" w:space="0" w:color="auto"/>
              <w:right w:val="single" w:sz="4" w:space="0" w:color="auto"/>
            </w:tcBorders>
            <w:vAlign w:val="bottom"/>
          </w:tcPr>
          <w:p w:rsidR="004A2047" w:rsidRPr="00AD49BE" w:rsidP="004A2047" w14:paraId="0A73D34A" w14:textId="65879621">
            <w:pPr>
              <w:spacing w:after="0" w:line="240" w:lineRule="auto"/>
              <w:jc w:val="right"/>
              <w:rPr>
                <w:rFonts w:ascii="Times New Roman" w:eastAsia="Times New Roman" w:hAnsi="Times New Roman"/>
                <w:color w:val="000000"/>
                <w:sz w:val="26"/>
                <w:szCs w:val="26"/>
              </w:rPr>
            </w:pPr>
            <w:r w:rsidRPr="00AD49BE">
              <w:rPr>
                <w:rFonts w:ascii="Times New Roman" w:eastAsia="Times New Roman" w:hAnsi="Times New Roman"/>
                <w:color w:val="000000"/>
                <w:sz w:val="26"/>
                <w:szCs w:val="26"/>
              </w:rPr>
              <w:t>0</w:t>
            </w:r>
          </w:p>
        </w:tc>
        <w:tc>
          <w:tcPr>
            <w:tcW w:w="2255" w:type="dxa"/>
            <w:tcBorders>
              <w:top w:val="nil"/>
              <w:left w:val="nil"/>
              <w:bottom w:val="single" w:sz="4" w:space="0" w:color="auto"/>
              <w:right w:val="single" w:sz="4" w:space="0" w:color="auto"/>
            </w:tcBorders>
            <w:vAlign w:val="bottom"/>
            <w:hideMark/>
          </w:tcPr>
          <w:p w:rsidR="004A2047" w:rsidRPr="00AD49BE" w:rsidP="004A2047" w14:paraId="187D804F" w14:textId="5012B767">
            <w:pPr>
              <w:spacing w:after="0" w:line="240" w:lineRule="auto"/>
              <w:jc w:val="right"/>
              <w:rPr>
                <w:rFonts w:ascii="Times New Roman" w:eastAsia="Times New Roman" w:hAnsi="Times New Roman"/>
                <w:color w:val="000000"/>
                <w:sz w:val="26"/>
                <w:szCs w:val="26"/>
              </w:rPr>
            </w:pPr>
            <w:r w:rsidRPr="00AD49BE">
              <w:rPr>
                <w:rFonts w:ascii="Times New Roman" w:eastAsia="Times New Roman" w:hAnsi="Times New Roman"/>
                <w:color w:val="000000"/>
                <w:sz w:val="26"/>
                <w:szCs w:val="26"/>
              </w:rPr>
              <w:t>0</w:t>
            </w:r>
          </w:p>
        </w:tc>
      </w:tr>
      <w:tr w14:paraId="39490F82" w14:textId="77777777" w:rsidTr="00137B65">
        <w:tblPrEx>
          <w:tblW w:w="9530" w:type="dxa"/>
          <w:tblInd w:w="10" w:type="dxa"/>
          <w:tblLayout w:type="fixed"/>
          <w:tblLook w:val="04A0"/>
        </w:tblPrEx>
        <w:trPr>
          <w:trHeight w:val="288"/>
        </w:trPr>
        <w:tc>
          <w:tcPr>
            <w:tcW w:w="2250" w:type="dxa"/>
            <w:tcBorders>
              <w:top w:val="single" w:sz="4" w:space="0" w:color="auto"/>
              <w:left w:val="single" w:sz="4" w:space="0" w:color="auto"/>
              <w:bottom w:val="single" w:sz="4" w:space="0" w:color="auto"/>
              <w:right w:val="single" w:sz="4" w:space="0" w:color="auto"/>
            </w:tcBorders>
            <w:vAlign w:val="center"/>
            <w:hideMark/>
          </w:tcPr>
          <w:p w:rsidR="004A2047" w:rsidRPr="00AD49BE" w:rsidP="004A2047" w14:paraId="61FCD2D9" w14:textId="375EEF65">
            <w:pPr>
              <w:spacing w:after="0" w:line="240" w:lineRule="auto"/>
              <w:rPr>
                <w:rFonts w:ascii="Times New Roman" w:eastAsia="Times New Roman" w:hAnsi="Times New Roman"/>
                <w:color w:val="000000"/>
                <w:sz w:val="26"/>
                <w:szCs w:val="26"/>
              </w:rPr>
            </w:pPr>
            <w:r w:rsidRPr="00AD49BE">
              <w:rPr>
                <w:rFonts w:ascii="Times New Roman" w:eastAsia="Times New Roman" w:hAnsi="Times New Roman"/>
                <w:color w:val="000000"/>
                <w:sz w:val="26"/>
                <w:szCs w:val="26"/>
              </w:rPr>
              <w:t>Annual Time Burden (Hr.)</w:t>
            </w:r>
          </w:p>
        </w:tc>
        <w:tc>
          <w:tcPr>
            <w:tcW w:w="1520" w:type="dxa"/>
            <w:tcBorders>
              <w:top w:val="single" w:sz="4" w:space="0" w:color="auto"/>
              <w:left w:val="nil"/>
              <w:bottom w:val="single" w:sz="4" w:space="0" w:color="auto"/>
              <w:right w:val="single" w:sz="4" w:space="0" w:color="auto"/>
            </w:tcBorders>
            <w:vAlign w:val="bottom"/>
          </w:tcPr>
          <w:p w:rsidR="004A2047" w:rsidRPr="00AD49BE" w:rsidP="004A2047" w14:paraId="3B31B4F6" w14:textId="0216994A">
            <w:pPr>
              <w:spacing w:after="0" w:line="240" w:lineRule="auto"/>
              <w:jc w:val="right"/>
              <w:rPr>
                <w:rFonts w:ascii="Times New Roman" w:eastAsia="Times New Roman" w:hAnsi="Times New Roman"/>
                <w:color w:val="000000"/>
                <w:sz w:val="26"/>
                <w:szCs w:val="26"/>
              </w:rPr>
            </w:pPr>
            <w:r w:rsidRPr="00AD49BE">
              <w:rPr>
                <w:rFonts w:ascii="Times New Roman" w:hAnsi="Times New Roman"/>
                <w:sz w:val="26"/>
                <w:szCs w:val="26"/>
              </w:rPr>
              <w:t xml:space="preserve">94,206 </w:t>
            </w:r>
          </w:p>
        </w:tc>
        <w:tc>
          <w:tcPr>
            <w:tcW w:w="1530" w:type="dxa"/>
            <w:tcBorders>
              <w:top w:val="single" w:sz="4" w:space="0" w:color="auto"/>
              <w:left w:val="nil"/>
              <w:bottom w:val="single" w:sz="4" w:space="0" w:color="auto"/>
              <w:right w:val="single" w:sz="4" w:space="0" w:color="auto"/>
            </w:tcBorders>
            <w:vAlign w:val="bottom"/>
            <w:hideMark/>
          </w:tcPr>
          <w:p w:rsidR="004A2047" w:rsidRPr="00AD49BE" w:rsidP="004A2047" w14:paraId="7CF80AF2" w14:textId="592BA9A9">
            <w:pPr>
              <w:spacing w:after="0" w:line="240" w:lineRule="auto"/>
              <w:jc w:val="right"/>
              <w:rPr>
                <w:rFonts w:ascii="Times New Roman" w:eastAsia="Times New Roman" w:hAnsi="Times New Roman"/>
                <w:color w:val="000000"/>
                <w:sz w:val="26"/>
                <w:szCs w:val="26"/>
              </w:rPr>
            </w:pPr>
            <w:r w:rsidRPr="00AD49BE">
              <w:rPr>
                <w:rFonts w:ascii="Times New Roman" w:eastAsia="Times New Roman" w:hAnsi="Times New Roman"/>
                <w:color w:val="000000"/>
                <w:sz w:val="26"/>
                <w:szCs w:val="26"/>
              </w:rPr>
              <w:t>184,464</w:t>
            </w:r>
          </w:p>
        </w:tc>
        <w:tc>
          <w:tcPr>
            <w:tcW w:w="1975" w:type="dxa"/>
            <w:tcBorders>
              <w:top w:val="single" w:sz="4" w:space="0" w:color="auto"/>
              <w:left w:val="nil"/>
              <w:bottom w:val="single" w:sz="4" w:space="0" w:color="auto"/>
              <w:right w:val="single" w:sz="4" w:space="0" w:color="auto"/>
            </w:tcBorders>
            <w:vAlign w:val="bottom"/>
          </w:tcPr>
          <w:p w:rsidR="004A2047" w:rsidRPr="00AD49BE" w:rsidP="004A2047" w14:paraId="52C8CDFD" w14:textId="700745E9">
            <w:pPr>
              <w:spacing w:after="0" w:line="240" w:lineRule="auto"/>
              <w:jc w:val="right"/>
              <w:rPr>
                <w:rFonts w:ascii="Times New Roman" w:eastAsia="Times New Roman" w:hAnsi="Times New Roman"/>
                <w:color w:val="000000"/>
                <w:sz w:val="26"/>
                <w:szCs w:val="26"/>
              </w:rPr>
            </w:pPr>
            <w:r w:rsidRPr="00AD49BE">
              <w:rPr>
                <w:rFonts w:ascii="Times New Roman" w:eastAsia="Times New Roman" w:hAnsi="Times New Roman"/>
                <w:color w:val="000000"/>
                <w:sz w:val="26"/>
                <w:szCs w:val="26"/>
              </w:rPr>
              <w:t>0</w:t>
            </w:r>
          </w:p>
        </w:tc>
        <w:tc>
          <w:tcPr>
            <w:tcW w:w="2255" w:type="dxa"/>
            <w:tcBorders>
              <w:top w:val="single" w:sz="4" w:space="0" w:color="auto"/>
              <w:left w:val="nil"/>
              <w:bottom w:val="single" w:sz="4" w:space="0" w:color="auto"/>
              <w:right w:val="single" w:sz="4" w:space="0" w:color="auto"/>
            </w:tcBorders>
            <w:vAlign w:val="bottom"/>
            <w:hideMark/>
          </w:tcPr>
          <w:p w:rsidR="004A2047" w:rsidRPr="00AD49BE" w:rsidP="004A2047" w14:paraId="7C934849" w14:textId="50DF0AE5">
            <w:pPr>
              <w:spacing w:after="0" w:line="240" w:lineRule="auto"/>
              <w:jc w:val="right"/>
              <w:rPr>
                <w:rFonts w:ascii="Times New Roman" w:eastAsia="Times New Roman" w:hAnsi="Times New Roman"/>
                <w:color w:val="000000"/>
                <w:sz w:val="26"/>
                <w:szCs w:val="26"/>
              </w:rPr>
            </w:pPr>
            <w:r w:rsidRPr="00AD49BE">
              <w:rPr>
                <w:rFonts w:ascii="Times New Roman" w:eastAsia="Times New Roman" w:hAnsi="Times New Roman"/>
                <w:color w:val="000000"/>
                <w:sz w:val="26"/>
                <w:szCs w:val="26"/>
              </w:rPr>
              <w:t>-90,258</w:t>
            </w:r>
          </w:p>
        </w:tc>
      </w:tr>
      <w:tr w14:paraId="0888360B" w14:textId="77777777" w:rsidTr="00137B65">
        <w:tblPrEx>
          <w:tblW w:w="9530" w:type="dxa"/>
          <w:tblInd w:w="10" w:type="dxa"/>
          <w:tblLayout w:type="fixed"/>
          <w:tblLook w:val="04A0"/>
        </w:tblPrEx>
        <w:trPr>
          <w:trHeight w:val="288"/>
        </w:trPr>
        <w:tc>
          <w:tcPr>
            <w:tcW w:w="2250" w:type="dxa"/>
            <w:tcBorders>
              <w:top w:val="single" w:sz="4" w:space="0" w:color="auto"/>
              <w:left w:val="single" w:sz="4" w:space="0" w:color="auto"/>
              <w:bottom w:val="single" w:sz="4" w:space="0" w:color="auto"/>
              <w:right w:val="single" w:sz="4" w:space="0" w:color="auto"/>
            </w:tcBorders>
            <w:vAlign w:val="center"/>
            <w:hideMark/>
          </w:tcPr>
          <w:p w:rsidR="00E80FDC" w:rsidRPr="00AD49BE" w:rsidP="00E80FDC" w14:paraId="5AABAA93" w14:textId="28CBE4BC">
            <w:pPr>
              <w:spacing w:after="0" w:line="240" w:lineRule="auto"/>
              <w:rPr>
                <w:rFonts w:ascii="Times New Roman" w:eastAsia="Times New Roman" w:hAnsi="Times New Roman"/>
                <w:color w:val="000000"/>
                <w:sz w:val="26"/>
                <w:szCs w:val="26"/>
              </w:rPr>
            </w:pPr>
            <w:r w:rsidRPr="00AD49BE">
              <w:rPr>
                <w:rFonts w:ascii="Times New Roman" w:eastAsia="Times New Roman" w:hAnsi="Times New Roman"/>
                <w:color w:val="000000"/>
                <w:sz w:val="26"/>
                <w:szCs w:val="26"/>
              </w:rPr>
              <w:t>Annual Cost Burden ($)</w:t>
            </w:r>
          </w:p>
        </w:tc>
        <w:tc>
          <w:tcPr>
            <w:tcW w:w="1520" w:type="dxa"/>
            <w:tcBorders>
              <w:top w:val="single" w:sz="4" w:space="0" w:color="auto"/>
              <w:left w:val="nil"/>
              <w:bottom w:val="single" w:sz="4" w:space="0" w:color="auto"/>
              <w:right w:val="single" w:sz="4" w:space="0" w:color="auto"/>
            </w:tcBorders>
            <w:vAlign w:val="bottom"/>
          </w:tcPr>
          <w:p w:rsidR="00E80FDC" w:rsidRPr="00AD49BE" w:rsidP="00812729" w14:paraId="06BBB647" w14:textId="191D259F">
            <w:pPr>
              <w:spacing w:after="0" w:line="240" w:lineRule="auto"/>
              <w:jc w:val="right"/>
              <w:rPr>
                <w:rStyle w:val="FootnoteReference"/>
                <w:sz w:val="26"/>
                <w:szCs w:val="26"/>
              </w:rPr>
            </w:pPr>
            <w:r w:rsidRPr="00AD49BE">
              <w:rPr>
                <w:rFonts w:ascii="Times New Roman" w:eastAsia="Times New Roman" w:hAnsi="Times New Roman"/>
                <w:color w:val="000000"/>
                <w:sz w:val="26"/>
                <w:szCs w:val="26"/>
              </w:rPr>
              <w:t>$0</w:t>
            </w:r>
          </w:p>
        </w:tc>
        <w:tc>
          <w:tcPr>
            <w:tcW w:w="1530" w:type="dxa"/>
            <w:tcBorders>
              <w:top w:val="single" w:sz="4" w:space="0" w:color="auto"/>
              <w:left w:val="nil"/>
              <w:bottom w:val="single" w:sz="4" w:space="0" w:color="auto"/>
              <w:right w:val="single" w:sz="4" w:space="0" w:color="auto"/>
            </w:tcBorders>
            <w:vAlign w:val="bottom"/>
          </w:tcPr>
          <w:p w:rsidR="00E80FDC" w:rsidRPr="00AD49BE" w:rsidP="00E80FDC" w14:paraId="6A4C7258" w14:textId="327A7A42">
            <w:pPr>
              <w:spacing w:after="0" w:line="240" w:lineRule="auto"/>
              <w:jc w:val="right"/>
              <w:rPr>
                <w:rFonts w:ascii="Times New Roman" w:eastAsia="Times New Roman" w:hAnsi="Times New Roman"/>
                <w:color w:val="000000"/>
                <w:sz w:val="26"/>
                <w:szCs w:val="26"/>
              </w:rPr>
            </w:pPr>
            <w:r w:rsidRPr="00AD49BE">
              <w:rPr>
                <w:rFonts w:ascii="Times New Roman" w:eastAsia="Times New Roman" w:hAnsi="Times New Roman"/>
                <w:color w:val="000000"/>
                <w:sz w:val="26"/>
                <w:szCs w:val="26"/>
              </w:rPr>
              <w:t>$0</w:t>
            </w:r>
          </w:p>
        </w:tc>
        <w:tc>
          <w:tcPr>
            <w:tcW w:w="1975" w:type="dxa"/>
            <w:tcBorders>
              <w:top w:val="single" w:sz="4" w:space="0" w:color="auto"/>
              <w:left w:val="nil"/>
              <w:bottom w:val="single" w:sz="4" w:space="0" w:color="auto"/>
              <w:right w:val="single" w:sz="4" w:space="0" w:color="auto"/>
            </w:tcBorders>
            <w:vAlign w:val="bottom"/>
          </w:tcPr>
          <w:p w:rsidR="00E80FDC" w:rsidRPr="00AD49BE" w:rsidP="00E80FDC" w14:paraId="11CB8EC9" w14:textId="1FB0F9F0">
            <w:pPr>
              <w:spacing w:after="0" w:line="240" w:lineRule="auto"/>
              <w:jc w:val="right"/>
              <w:rPr>
                <w:rFonts w:ascii="Times New Roman" w:eastAsia="Times New Roman" w:hAnsi="Times New Roman"/>
                <w:color w:val="000000"/>
                <w:sz w:val="26"/>
                <w:szCs w:val="26"/>
              </w:rPr>
            </w:pPr>
            <w:r w:rsidRPr="00AD49BE">
              <w:rPr>
                <w:rFonts w:ascii="Times New Roman" w:eastAsia="Times New Roman" w:hAnsi="Times New Roman"/>
                <w:color w:val="000000"/>
                <w:sz w:val="26"/>
                <w:szCs w:val="26"/>
              </w:rPr>
              <w:t>$0</w:t>
            </w:r>
          </w:p>
        </w:tc>
        <w:tc>
          <w:tcPr>
            <w:tcW w:w="2255" w:type="dxa"/>
            <w:tcBorders>
              <w:top w:val="single" w:sz="4" w:space="0" w:color="auto"/>
              <w:left w:val="nil"/>
              <w:bottom w:val="single" w:sz="4" w:space="0" w:color="auto"/>
              <w:right w:val="single" w:sz="4" w:space="0" w:color="auto"/>
            </w:tcBorders>
            <w:vAlign w:val="bottom"/>
            <w:hideMark/>
          </w:tcPr>
          <w:p w:rsidR="00E80FDC" w:rsidRPr="00AD49BE" w:rsidP="00E80FDC" w14:paraId="49316F50" w14:textId="125A2F0E">
            <w:pPr>
              <w:spacing w:after="0" w:line="240" w:lineRule="auto"/>
              <w:jc w:val="right"/>
              <w:rPr>
                <w:rFonts w:ascii="Times New Roman" w:eastAsia="Times New Roman" w:hAnsi="Times New Roman"/>
                <w:color w:val="000000"/>
                <w:sz w:val="26"/>
                <w:szCs w:val="26"/>
              </w:rPr>
            </w:pPr>
            <w:r w:rsidRPr="00AD49BE">
              <w:rPr>
                <w:rFonts w:ascii="Times New Roman" w:eastAsia="Times New Roman" w:hAnsi="Times New Roman"/>
                <w:color w:val="000000"/>
                <w:sz w:val="26"/>
                <w:szCs w:val="26"/>
              </w:rPr>
              <w:t>$0</w:t>
            </w:r>
          </w:p>
        </w:tc>
      </w:tr>
    </w:tbl>
    <w:p w:rsidR="005C65C3" w:rsidRPr="00563D38" w:rsidP="003A3343" w14:paraId="7B4EABF9" w14:textId="77777777">
      <w:pPr>
        <w:spacing w:after="0" w:line="259" w:lineRule="auto"/>
        <w:rPr>
          <w:rFonts w:ascii="Times New Roman" w:hAnsi="Times New Roman"/>
          <w:bCs/>
          <w:sz w:val="26"/>
          <w:szCs w:val="26"/>
        </w:rPr>
      </w:pPr>
    </w:p>
    <w:bookmarkEnd w:id="1"/>
    <w:p w:rsidR="00F0627E" w:rsidRPr="00232AEE" w:rsidP="00BD0F89" w14:paraId="115E3405" w14:textId="77777777">
      <w:pPr>
        <w:spacing w:after="0" w:line="240" w:lineRule="auto"/>
        <w:rPr>
          <w:rFonts w:ascii="Times New Roman" w:hAnsi="Times New Roman"/>
          <w:b/>
          <w:sz w:val="26"/>
          <w:szCs w:val="26"/>
        </w:rPr>
      </w:pPr>
      <w:r w:rsidRPr="00232AEE">
        <w:rPr>
          <w:rFonts w:ascii="Times New Roman" w:hAnsi="Times New Roman"/>
          <w:b/>
          <w:sz w:val="26"/>
          <w:szCs w:val="26"/>
        </w:rPr>
        <w:t>16. TIME SCHEDULE FOR PUBLICATION OF DATA</w:t>
      </w:r>
    </w:p>
    <w:p w:rsidR="00F0627E" w:rsidRPr="00232AEE" w:rsidP="00BD0F89" w14:paraId="65FE4B4D" w14:textId="77777777">
      <w:pPr>
        <w:spacing w:after="0" w:line="240" w:lineRule="auto"/>
        <w:rPr>
          <w:rFonts w:ascii="Times New Roman" w:hAnsi="Times New Roman"/>
          <w:sz w:val="26"/>
          <w:szCs w:val="26"/>
        </w:rPr>
      </w:pPr>
    </w:p>
    <w:p w:rsidR="00105D44" w:rsidRPr="00406F1A" w:rsidP="00DA7BE8" w14:paraId="0DC28BE9" w14:textId="17125E9C">
      <w:pPr>
        <w:spacing w:after="0"/>
        <w:rPr>
          <w:rFonts w:ascii="Times New Roman" w:eastAsia="Times New Roman" w:hAnsi="Times New Roman"/>
          <w:sz w:val="26"/>
          <w:szCs w:val="26"/>
        </w:rPr>
      </w:pPr>
      <w:r w:rsidRPr="00406F1A">
        <w:rPr>
          <w:rFonts w:ascii="Times New Roman" w:eastAsia="Times New Roman" w:hAnsi="Times New Roman"/>
          <w:sz w:val="26"/>
          <w:szCs w:val="26"/>
        </w:rPr>
        <w:t>The information provided in FERC Form No. 3-Q</w:t>
      </w:r>
      <w:r w:rsidRPr="00406F1A" w:rsidR="00232AEE">
        <w:rPr>
          <w:rFonts w:ascii="Times New Roman" w:eastAsia="Times New Roman" w:hAnsi="Times New Roman"/>
          <w:sz w:val="26"/>
          <w:szCs w:val="26"/>
        </w:rPr>
        <w:t xml:space="preserve"> </w:t>
      </w:r>
      <w:r w:rsidRPr="00406F1A">
        <w:rPr>
          <w:rFonts w:ascii="Times New Roman" w:eastAsia="Times New Roman" w:hAnsi="Times New Roman"/>
          <w:sz w:val="26"/>
          <w:szCs w:val="26"/>
        </w:rPr>
        <w:t>is available on the FERC website (</w:t>
      </w:r>
      <w:hyperlink r:id="rId9" w:history="1">
        <w:r w:rsidRPr="00406F1A" w:rsidR="00406F1A">
          <w:rPr>
            <w:rStyle w:val="Hyperlink"/>
            <w:rFonts w:ascii="Times New Roman" w:hAnsi="Times New Roman"/>
            <w:sz w:val="26"/>
            <w:szCs w:val="26"/>
          </w:rPr>
          <w:t>https://www.ferc.gov/general-information-0/electric-industry-forms</w:t>
        </w:r>
      </w:hyperlink>
      <w:r w:rsidRPr="00406F1A" w:rsidR="00406F1A">
        <w:rPr>
          <w:rFonts w:ascii="Times New Roman" w:hAnsi="Times New Roman"/>
          <w:sz w:val="26"/>
          <w:szCs w:val="26"/>
        </w:rPr>
        <w:t xml:space="preserve"> </w:t>
      </w:r>
      <w:r w:rsidRPr="00406F1A" w:rsidR="00181616">
        <w:rPr>
          <w:rFonts w:ascii="Times New Roman" w:hAnsi="Times New Roman"/>
          <w:sz w:val="26"/>
          <w:szCs w:val="26"/>
        </w:rPr>
        <w:t xml:space="preserve">and </w:t>
      </w:r>
      <w:hyperlink r:id="rId10" w:history="1">
        <w:r w:rsidRPr="00406F1A" w:rsidR="00406F1A">
          <w:rPr>
            <w:rStyle w:val="Hyperlink"/>
            <w:rFonts w:ascii="Times New Roman" w:hAnsi="Times New Roman"/>
            <w:sz w:val="26"/>
            <w:szCs w:val="26"/>
          </w:rPr>
          <w:t>https://www.ferc.gov/industries-data/natural-gas/industry-forms</w:t>
        </w:r>
      </w:hyperlink>
      <w:r w:rsidRPr="00406F1A">
        <w:rPr>
          <w:rFonts w:ascii="Times New Roman" w:eastAsia="Times New Roman" w:hAnsi="Times New Roman"/>
          <w:sz w:val="26"/>
          <w:szCs w:val="26"/>
        </w:rPr>
        <w:t>).</w:t>
      </w:r>
    </w:p>
    <w:p w:rsidR="00F20B97" w:rsidRPr="00C2149A" w:rsidP="1EFB72D5" w14:paraId="5CEC4741" w14:textId="5A426C3C">
      <w:pPr>
        <w:spacing w:after="0" w:line="240" w:lineRule="auto"/>
        <w:rPr>
          <w:rFonts w:ascii="Times New Roman" w:hAnsi="Times New Roman"/>
          <w:sz w:val="26"/>
          <w:szCs w:val="26"/>
        </w:rPr>
      </w:pPr>
      <w:r w:rsidRPr="00C2149A">
        <w:rPr>
          <w:rFonts w:ascii="Times New Roman" w:hAnsi="Times New Roman"/>
          <w:sz w:val="26"/>
          <w:szCs w:val="26"/>
        </w:rPr>
        <w:t xml:space="preserve"> </w:t>
      </w:r>
    </w:p>
    <w:p w:rsidR="00F0627E" w:rsidRPr="00232AEE" w:rsidP="00BD0F89" w14:paraId="6F76679F" w14:textId="77777777">
      <w:pPr>
        <w:spacing w:after="0" w:line="240" w:lineRule="auto"/>
        <w:rPr>
          <w:rFonts w:ascii="Times New Roman" w:hAnsi="Times New Roman"/>
          <w:b/>
          <w:sz w:val="26"/>
          <w:szCs w:val="26"/>
        </w:rPr>
      </w:pPr>
      <w:r w:rsidRPr="00232AEE">
        <w:rPr>
          <w:rFonts w:ascii="Times New Roman" w:hAnsi="Times New Roman"/>
          <w:b/>
          <w:sz w:val="26"/>
          <w:szCs w:val="26"/>
        </w:rPr>
        <w:t>17. DISPLAY OF EXPIRATION DATE</w:t>
      </w:r>
    </w:p>
    <w:p w:rsidR="00F0627E" w:rsidRPr="00232AEE" w:rsidP="00BD0F89" w14:paraId="2C7224E4" w14:textId="77777777">
      <w:pPr>
        <w:spacing w:after="0" w:line="240" w:lineRule="auto"/>
        <w:rPr>
          <w:rFonts w:ascii="Times New Roman" w:hAnsi="Times New Roman"/>
          <w:sz w:val="26"/>
          <w:szCs w:val="26"/>
        </w:rPr>
      </w:pPr>
    </w:p>
    <w:p w:rsidR="008F283D" w:rsidRPr="00232AEE" w:rsidP="00DA7BE8" w14:paraId="2E0405B5" w14:textId="222847C5">
      <w:pPr>
        <w:spacing w:after="0"/>
        <w:rPr>
          <w:rFonts w:ascii="Times New Roman" w:hAnsi="Times New Roman"/>
          <w:i/>
          <w:iCs/>
          <w:sz w:val="26"/>
          <w:szCs w:val="26"/>
        </w:rPr>
      </w:pPr>
      <w:r w:rsidRPr="00232AEE">
        <w:rPr>
          <w:rFonts w:ascii="Times New Roman" w:hAnsi="Times New Roman"/>
          <w:sz w:val="26"/>
          <w:szCs w:val="26"/>
        </w:rPr>
        <w:t xml:space="preserve">FERC Form </w:t>
      </w:r>
      <w:r w:rsidR="00B7473B">
        <w:rPr>
          <w:rFonts w:ascii="Times New Roman" w:hAnsi="Times New Roman"/>
          <w:sz w:val="26"/>
          <w:szCs w:val="26"/>
        </w:rPr>
        <w:t xml:space="preserve">No. </w:t>
      </w:r>
      <w:r w:rsidRPr="00232AEE" w:rsidR="00B71238">
        <w:rPr>
          <w:rFonts w:ascii="Times New Roman" w:hAnsi="Times New Roman"/>
          <w:sz w:val="26"/>
          <w:szCs w:val="26"/>
        </w:rPr>
        <w:t>3</w:t>
      </w:r>
      <w:r w:rsidRPr="00232AEE">
        <w:rPr>
          <w:rFonts w:ascii="Times New Roman" w:hAnsi="Times New Roman"/>
          <w:sz w:val="26"/>
          <w:szCs w:val="26"/>
        </w:rPr>
        <w:t>-Q display</w:t>
      </w:r>
      <w:r w:rsidR="0089358D">
        <w:rPr>
          <w:rFonts w:ascii="Times New Roman" w:hAnsi="Times New Roman"/>
          <w:sz w:val="26"/>
          <w:szCs w:val="26"/>
        </w:rPr>
        <w:t>s</w:t>
      </w:r>
      <w:r w:rsidRPr="00232AEE">
        <w:rPr>
          <w:rFonts w:ascii="Times New Roman" w:hAnsi="Times New Roman"/>
          <w:sz w:val="26"/>
          <w:szCs w:val="26"/>
        </w:rPr>
        <w:t xml:space="preserve"> the OMB control numbers and the expiration dates.  </w:t>
      </w:r>
      <w:r w:rsidRPr="00232AEE" w:rsidR="006415A9">
        <w:rPr>
          <w:rFonts w:ascii="Times New Roman" w:hAnsi="Times New Roman"/>
          <w:sz w:val="26"/>
          <w:szCs w:val="26"/>
        </w:rPr>
        <w:t xml:space="preserve">The Commission </w:t>
      </w:r>
      <w:r w:rsidRPr="00232AEE">
        <w:rPr>
          <w:rFonts w:ascii="Times New Roman" w:hAnsi="Times New Roman"/>
          <w:sz w:val="26"/>
          <w:szCs w:val="26"/>
        </w:rPr>
        <w:t xml:space="preserve">provides the OMB </w:t>
      </w:r>
      <w:r w:rsidR="0041636B">
        <w:rPr>
          <w:rFonts w:ascii="Times New Roman" w:hAnsi="Times New Roman"/>
          <w:sz w:val="26"/>
          <w:szCs w:val="26"/>
        </w:rPr>
        <w:t>c</w:t>
      </w:r>
      <w:r w:rsidRPr="00232AEE">
        <w:rPr>
          <w:rFonts w:ascii="Times New Roman" w:hAnsi="Times New Roman"/>
          <w:sz w:val="26"/>
          <w:szCs w:val="26"/>
        </w:rPr>
        <w:t xml:space="preserve">ontrol </w:t>
      </w:r>
      <w:r w:rsidR="0041636B">
        <w:rPr>
          <w:rFonts w:ascii="Times New Roman" w:hAnsi="Times New Roman"/>
          <w:sz w:val="26"/>
          <w:szCs w:val="26"/>
        </w:rPr>
        <w:t>n</w:t>
      </w:r>
      <w:r w:rsidRPr="00232AEE">
        <w:rPr>
          <w:rFonts w:ascii="Times New Roman" w:hAnsi="Times New Roman"/>
          <w:sz w:val="26"/>
          <w:szCs w:val="26"/>
        </w:rPr>
        <w:t xml:space="preserve">umbers of the information collections along with their expiration dates at </w:t>
      </w:r>
      <w:hyperlink r:id="rId11" w:tgtFrame="_blank" w:history="1">
        <w:r w:rsidRPr="00232AEE">
          <w:rPr>
            <w:rStyle w:val="Hyperlink"/>
            <w:rFonts w:ascii="Times New Roman" w:hAnsi="Times New Roman"/>
            <w:sz w:val="26"/>
            <w:szCs w:val="26"/>
          </w:rPr>
          <w:t xml:space="preserve">www.ferc.gov/information-collections. </w:t>
        </w:r>
      </w:hyperlink>
    </w:p>
    <w:p w:rsidR="00027DC9" w:rsidRPr="00232AEE" w:rsidP="00BD0F89" w14:paraId="799845B9" w14:textId="77777777">
      <w:pPr>
        <w:spacing w:after="0" w:line="240" w:lineRule="auto"/>
        <w:rPr>
          <w:rFonts w:ascii="Times New Roman" w:hAnsi="Times New Roman"/>
          <w:sz w:val="26"/>
          <w:szCs w:val="26"/>
        </w:rPr>
      </w:pPr>
    </w:p>
    <w:p w:rsidR="00F0627E" w:rsidRPr="0073506C" w:rsidP="00BD0F89" w14:paraId="61B7D1C0" w14:textId="7E561B1E">
      <w:pPr>
        <w:spacing w:after="0" w:line="240" w:lineRule="auto"/>
        <w:rPr>
          <w:rFonts w:ascii="Times New Roman" w:hAnsi="Times New Roman"/>
          <w:b/>
          <w:sz w:val="26"/>
          <w:szCs w:val="26"/>
        </w:rPr>
      </w:pPr>
      <w:r w:rsidRPr="00232AEE">
        <w:rPr>
          <w:rFonts w:ascii="Times New Roman" w:hAnsi="Times New Roman"/>
          <w:b/>
          <w:sz w:val="26"/>
          <w:szCs w:val="26"/>
        </w:rPr>
        <w:t>18. EXCEPTIONS TO THE CERTIFICATION STATEMENT</w:t>
      </w:r>
    </w:p>
    <w:p w:rsidR="001D289D" w:rsidRPr="0073506C" w:rsidP="00BD0F89" w14:paraId="63F6A337" w14:textId="77777777">
      <w:pPr>
        <w:spacing w:after="0" w:line="240" w:lineRule="auto"/>
        <w:rPr>
          <w:rFonts w:ascii="Times New Roman" w:hAnsi="Times New Roman"/>
          <w:b/>
          <w:sz w:val="26"/>
          <w:szCs w:val="26"/>
        </w:rPr>
      </w:pPr>
    </w:p>
    <w:p w:rsidR="00F0627E" w:rsidRPr="0073506C" w14:paraId="07E0677A" w14:textId="77777777">
      <w:pPr>
        <w:spacing w:after="160" w:line="240" w:lineRule="auto"/>
        <w:rPr>
          <w:rFonts w:ascii="Times New Roman" w:hAnsi="Times New Roman"/>
          <w:sz w:val="26"/>
          <w:szCs w:val="26"/>
        </w:rPr>
      </w:pPr>
      <w:r w:rsidRPr="0073506C">
        <w:rPr>
          <w:rFonts w:ascii="Times New Roman" w:hAnsi="Times New Roman"/>
          <w:sz w:val="26"/>
          <w:szCs w:val="26"/>
        </w:rPr>
        <w:t>There are no exception</w:t>
      </w:r>
      <w:r w:rsidRPr="0073506C" w:rsidR="000836EF">
        <w:rPr>
          <w:rFonts w:ascii="Times New Roman" w:hAnsi="Times New Roman"/>
          <w:sz w:val="26"/>
          <w:szCs w:val="26"/>
        </w:rPr>
        <w:t>s</w:t>
      </w:r>
      <w:r w:rsidRPr="0073506C">
        <w:rPr>
          <w:rFonts w:ascii="Times New Roman" w:hAnsi="Times New Roman"/>
          <w:sz w:val="26"/>
          <w:szCs w:val="26"/>
        </w:rPr>
        <w:t xml:space="preserve">. </w:t>
      </w: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37812702"/>
      <w:docPartObj>
        <w:docPartGallery w:val="Page Numbers (Bottom of Page)"/>
        <w:docPartUnique/>
      </w:docPartObj>
    </w:sdtPr>
    <w:sdtEndPr>
      <w:rPr>
        <w:noProof/>
      </w:rPr>
    </w:sdtEndPr>
    <w:sdtContent>
      <w:p w:rsidR="008E3C4F" w14:paraId="694AABE9" w14:textId="21257982">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color w:val="2B579A"/>
            <w:shd w:val="clear" w:color="auto" w:fill="E6E6E6"/>
          </w:rPr>
          <w:fldChar w:fldCharType="end"/>
        </w:r>
      </w:p>
    </w:sdtContent>
  </w:sdt>
  <w:p w:rsidR="008E3C4F" w14:paraId="70B209D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66DA1" w:rsidP="009C7F55" w14:paraId="7DC9A82F" w14:textId="77777777">
      <w:pPr>
        <w:spacing w:after="0" w:line="240" w:lineRule="auto"/>
      </w:pPr>
      <w:r>
        <w:separator/>
      </w:r>
    </w:p>
  </w:footnote>
  <w:footnote w:type="continuationSeparator" w:id="1">
    <w:p w:rsidR="00A66DA1" w:rsidP="009C7F55" w14:paraId="6724DF20" w14:textId="77777777">
      <w:pPr>
        <w:spacing w:after="0" w:line="240" w:lineRule="auto"/>
      </w:pPr>
      <w:r>
        <w:continuationSeparator/>
      </w:r>
    </w:p>
  </w:footnote>
  <w:footnote w:type="continuationNotice" w:id="2">
    <w:p w:rsidR="00A66DA1" w14:paraId="267039D3" w14:textId="77777777">
      <w:pPr>
        <w:spacing w:after="0" w:line="240" w:lineRule="auto"/>
      </w:pPr>
    </w:p>
  </w:footnote>
  <w:footnote w:id="3">
    <w:p w:rsidR="00351B05" w:rsidRPr="00AD49BE" w:rsidP="00AD49BE" w14:paraId="533FE6D8" w14:textId="6724A58E">
      <w:pPr>
        <w:pStyle w:val="FootnoteText"/>
        <w:ind w:firstLine="720"/>
        <w:rPr>
          <w:sz w:val="26"/>
          <w:szCs w:val="26"/>
        </w:rPr>
      </w:pPr>
      <w:r w:rsidRPr="00AD49BE">
        <w:rPr>
          <w:rStyle w:val="FootnoteReference"/>
          <w:sz w:val="26"/>
          <w:szCs w:val="26"/>
        </w:rPr>
        <w:footnoteRef/>
      </w:r>
      <w:r w:rsidRPr="00AD49BE" w:rsidR="1EFB72D5">
        <w:rPr>
          <w:sz w:val="26"/>
          <w:szCs w:val="26"/>
        </w:rPr>
        <w:t xml:space="preserve"> RM26-12-000 also includes proposed changes and substantive updates to FERC Form No. 6-Q, as well as proposed non-</w:t>
      </w:r>
      <w:r w:rsidRPr="00AD49BE" w:rsidR="1EFB72D5">
        <w:rPr>
          <w:sz w:val="26"/>
          <w:szCs w:val="26"/>
        </w:rPr>
        <w:t>substantive</w:t>
      </w:r>
      <w:r w:rsidRPr="00AD49BE" w:rsidR="1EFB72D5">
        <w:rPr>
          <w:sz w:val="26"/>
          <w:szCs w:val="26"/>
        </w:rPr>
        <w:t xml:space="preserve"> updates to FERC Form Nos. 1, 1-F, 2, 2-A, 6, 6-Q, and 60.  Proposed updates to FERC Form No. 6-Q are reflected in a separate Supporting Statement issued under OMB Control No. 1902-0206.   </w:t>
      </w:r>
    </w:p>
  </w:footnote>
  <w:footnote w:id="4">
    <w:p w:rsidR="008E3C4F" w:rsidRPr="00AD49BE" w:rsidP="00AD49BE" w14:paraId="484AE026" w14:textId="45645A2B">
      <w:pPr>
        <w:pStyle w:val="FootnoteText"/>
        <w:ind w:firstLine="720"/>
        <w:rPr>
          <w:sz w:val="26"/>
          <w:szCs w:val="26"/>
        </w:rPr>
      </w:pPr>
      <w:r w:rsidRPr="00EF4BD1">
        <w:rPr>
          <w:rStyle w:val="FootnoteReference"/>
          <w:rFonts w:eastAsia="Calibri"/>
          <w:sz w:val="26"/>
          <w:szCs w:val="26"/>
        </w:rPr>
        <w:footnoteRef/>
      </w:r>
      <w:r w:rsidRPr="00AD49BE">
        <w:rPr>
          <w:sz w:val="26"/>
          <w:szCs w:val="26"/>
        </w:rPr>
        <w:t xml:space="preserve"> </w:t>
      </w:r>
      <w:r w:rsidRPr="00AD49BE">
        <w:rPr>
          <w:i/>
          <w:sz w:val="26"/>
          <w:szCs w:val="26"/>
        </w:rPr>
        <w:t>See</w:t>
      </w:r>
      <w:r w:rsidRPr="00AD49BE">
        <w:rPr>
          <w:sz w:val="26"/>
          <w:szCs w:val="26"/>
        </w:rPr>
        <w:t xml:space="preserve"> 18 C.F.R. Part 101 (Uniform System of Accounts Prescribed </w:t>
      </w:r>
      <w:r w:rsidRPr="005321FC" w:rsidR="005321FC">
        <w:rPr>
          <w:sz w:val="26"/>
          <w:szCs w:val="26"/>
        </w:rPr>
        <w:t>for</w:t>
      </w:r>
      <w:r w:rsidRPr="00AD49BE">
        <w:rPr>
          <w:sz w:val="26"/>
          <w:szCs w:val="26"/>
        </w:rPr>
        <w:t xml:space="preserve"> Public Utilities </w:t>
      </w:r>
      <w:r w:rsidR="005321FC">
        <w:rPr>
          <w:sz w:val="26"/>
          <w:szCs w:val="26"/>
        </w:rPr>
        <w:t>a</w:t>
      </w:r>
      <w:r w:rsidRPr="00AD49BE">
        <w:rPr>
          <w:sz w:val="26"/>
          <w:szCs w:val="26"/>
        </w:rPr>
        <w:t xml:space="preserve">nd Licensees Subject </w:t>
      </w:r>
      <w:r w:rsidR="005321FC">
        <w:rPr>
          <w:sz w:val="26"/>
          <w:szCs w:val="26"/>
        </w:rPr>
        <w:t>t</w:t>
      </w:r>
      <w:r w:rsidRPr="00AD49BE">
        <w:rPr>
          <w:sz w:val="26"/>
          <w:szCs w:val="26"/>
        </w:rPr>
        <w:t xml:space="preserve">o </w:t>
      </w:r>
      <w:r w:rsidR="005321FC">
        <w:rPr>
          <w:sz w:val="26"/>
          <w:szCs w:val="26"/>
        </w:rPr>
        <w:t>t</w:t>
      </w:r>
      <w:r w:rsidRPr="00AD49BE">
        <w:rPr>
          <w:sz w:val="26"/>
          <w:szCs w:val="26"/>
        </w:rPr>
        <w:t xml:space="preserve">he Provisions </w:t>
      </w:r>
      <w:r w:rsidR="00921E25">
        <w:rPr>
          <w:sz w:val="26"/>
          <w:szCs w:val="26"/>
        </w:rPr>
        <w:t>o</w:t>
      </w:r>
      <w:r w:rsidRPr="00AD49BE">
        <w:rPr>
          <w:sz w:val="26"/>
          <w:szCs w:val="26"/>
        </w:rPr>
        <w:t xml:space="preserve">f </w:t>
      </w:r>
      <w:r w:rsidR="00921E25">
        <w:rPr>
          <w:sz w:val="26"/>
          <w:szCs w:val="26"/>
        </w:rPr>
        <w:t>t</w:t>
      </w:r>
      <w:r w:rsidRPr="00AD49BE">
        <w:rPr>
          <w:sz w:val="26"/>
          <w:szCs w:val="26"/>
        </w:rPr>
        <w:t>he Federal Power Act)</w:t>
      </w:r>
      <w:r w:rsidRPr="00AD49BE" w:rsidR="008D24A8">
        <w:rPr>
          <w:sz w:val="26"/>
          <w:szCs w:val="26"/>
        </w:rPr>
        <w:t xml:space="preserve"> </w:t>
      </w:r>
      <w:r w:rsidRPr="00AD49BE" w:rsidR="00310786">
        <w:rPr>
          <w:sz w:val="26"/>
          <w:szCs w:val="26"/>
        </w:rPr>
        <w:t xml:space="preserve">and </w:t>
      </w:r>
      <w:r w:rsidRPr="00AD49BE" w:rsidR="008D24A8">
        <w:rPr>
          <w:sz w:val="26"/>
          <w:szCs w:val="26"/>
        </w:rPr>
        <w:t xml:space="preserve">18 C.F.R. Part </w:t>
      </w:r>
      <w:r w:rsidRPr="00AD49BE" w:rsidR="004E0C6E">
        <w:rPr>
          <w:sz w:val="26"/>
          <w:szCs w:val="26"/>
        </w:rPr>
        <w:t>2</w:t>
      </w:r>
      <w:r w:rsidRPr="00AD49BE" w:rsidR="008D24A8">
        <w:rPr>
          <w:sz w:val="26"/>
          <w:szCs w:val="26"/>
        </w:rPr>
        <w:t xml:space="preserve">01 (Uniform System of Accounts Prescribed </w:t>
      </w:r>
      <w:r w:rsidR="005321FC">
        <w:rPr>
          <w:sz w:val="26"/>
          <w:szCs w:val="26"/>
        </w:rPr>
        <w:t>f</w:t>
      </w:r>
      <w:r w:rsidRPr="00AD49BE" w:rsidR="008D24A8">
        <w:rPr>
          <w:sz w:val="26"/>
          <w:szCs w:val="26"/>
        </w:rPr>
        <w:t xml:space="preserve">or </w:t>
      </w:r>
      <w:r w:rsidRPr="00AD49BE" w:rsidR="00685512">
        <w:rPr>
          <w:sz w:val="26"/>
          <w:szCs w:val="26"/>
        </w:rPr>
        <w:t>Natural Gas Companies Sub</w:t>
      </w:r>
      <w:r w:rsidRPr="00AD49BE" w:rsidR="00A95569">
        <w:rPr>
          <w:sz w:val="26"/>
          <w:szCs w:val="26"/>
        </w:rPr>
        <w:t xml:space="preserve">ject </w:t>
      </w:r>
      <w:r w:rsidR="005321FC">
        <w:rPr>
          <w:sz w:val="26"/>
          <w:szCs w:val="26"/>
        </w:rPr>
        <w:t>t</w:t>
      </w:r>
      <w:r w:rsidRPr="00AD49BE" w:rsidR="00A95569">
        <w:rPr>
          <w:sz w:val="26"/>
          <w:szCs w:val="26"/>
        </w:rPr>
        <w:t xml:space="preserve">o </w:t>
      </w:r>
      <w:r w:rsidR="005321FC">
        <w:rPr>
          <w:sz w:val="26"/>
          <w:szCs w:val="26"/>
        </w:rPr>
        <w:t>t</w:t>
      </w:r>
      <w:r w:rsidRPr="00AD49BE" w:rsidR="00A95569">
        <w:rPr>
          <w:sz w:val="26"/>
          <w:szCs w:val="26"/>
        </w:rPr>
        <w:t xml:space="preserve">he </w:t>
      </w:r>
      <w:r w:rsidRPr="00AD49BE" w:rsidR="00FA5AD0">
        <w:rPr>
          <w:sz w:val="26"/>
          <w:szCs w:val="26"/>
        </w:rPr>
        <w:t xml:space="preserve">Provisions </w:t>
      </w:r>
      <w:r w:rsidRPr="00AD49BE" w:rsidR="00FA5AD0">
        <w:rPr>
          <w:sz w:val="26"/>
          <w:szCs w:val="26"/>
        </w:rPr>
        <w:t>Of</w:t>
      </w:r>
      <w:r w:rsidRPr="00AD49BE" w:rsidR="00FA5AD0">
        <w:rPr>
          <w:sz w:val="26"/>
          <w:szCs w:val="26"/>
        </w:rPr>
        <w:t xml:space="preserve"> the Na</w:t>
      </w:r>
      <w:r w:rsidRPr="00AD49BE" w:rsidR="00C36BD9">
        <w:rPr>
          <w:sz w:val="26"/>
          <w:szCs w:val="26"/>
        </w:rPr>
        <w:t>tural</w:t>
      </w:r>
      <w:r w:rsidRPr="00AD49BE" w:rsidR="005D4E66">
        <w:rPr>
          <w:sz w:val="26"/>
          <w:szCs w:val="26"/>
        </w:rPr>
        <w:t xml:space="preserve"> Gas</w:t>
      </w:r>
      <w:r w:rsidRPr="00AD49BE" w:rsidR="0022096D">
        <w:rPr>
          <w:sz w:val="26"/>
          <w:szCs w:val="26"/>
        </w:rPr>
        <w:t xml:space="preserve"> </w:t>
      </w:r>
      <w:r w:rsidRPr="00AD49BE" w:rsidR="008D24A8">
        <w:rPr>
          <w:sz w:val="26"/>
          <w:szCs w:val="26"/>
        </w:rPr>
        <w:t>Act)</w:t>
      </w:r>
      <w:r w:rsidRPr="00AD49BE">
        <w:rPr>
          <w:sz w:val="26"/>
          <w:szCs w:val="26"/>
        </w:rPr>
        <w:t>.</w:t>
      </w:r>
      <w:r w:rsidRPr="00AD49BE" w:rsidR="00877593">
        <w:rPr>
          <w:sz w:val="26"/>
          <w:szCs w:val="26"/>
        </w:rPr>
        <w:t xml:space="preserve"> </w:t>
      </w:r>
    </w:p>
  </w:footnote>
  <w:footnote w:id="5">
    <w:p w:rsidR="00DA00B2" w:rsidRPr="00431E3B" w:rsidP="00AD49BE" w14:paraId="17064BEC" w14:textId="77777777">
      <w:pPr>
        <w:pStyle w:val="FootnoteText"/>
        <w:ind w:firstLine="720"/>
        <w:rPr>
          <w:sz w:val="26"/>
          <w:szCs w:val="26"/>
        </w:rPr>
      </w:pPr>
      <w:r w:rsidRPr="00431E3B">
        <w:rPr>
          <w:rStyle w:val="FootnoteReference"/>
          <w:sz w:val="26"/>
          <w:szCs w:val="26"/>
        </w:rPr>
        <w:footnoteRef/>
      </w:r>
      <w:r w:rsidRPr="00431E3B">
        <w:rPr>
          <w:sz w:val="26"/>
          <w:szCs w:val="26"/>
        </w:rPr>
        <w:t xml:space="preserve"> </w:t>
      </w:r>
      <w:r w:rsidRPr="00431E3B">
        <w:rPr>
          <w:i/>
          <w:iCs/>
          <w:sz w:val="26"/>
          <w:szCs w:val="26"/>
        </w:rPr>
        <w:t>Q. Fin. Reporting &amp; Revisions to the Ann. Reps.</w:t>
      </w:r>
      <w:r w:rsidRPr="00431E3B">
        <w:rPr>
          <w:sz w:val="26"/>
          <w:szCs w:val="26"/>
        </w:rPr>
        <w:t>, Order No. 646, 106 FERC ¶ 61,113, at P 16 (2004).</w:t>
      </w:r>
      <w:r w:rsidRPr="00431E3B">
        <w:rPr>
          <w:i/>
          <w:iCs/>
          <w:sz w:val="26"/>
          <w:szCs w:val="26"/>
        </w:rPr>
        <w:t xml:space="preserve"> </w:t>
      </w:r>
    </w:p>
  </w:footnote>
  <w:footnote w:id="6">
    <w:p w:rsidR="00EF308C" w:rsidRPr="00C2149A" w:rsidP="1EFB72D5" w14:paraId="21085DC1" w14:textId="7EA23766">
      <w:pPr>
        <w:pStyle w:val="FootnoteText"/>
        <w:ind w:firstLine="720"/>
      </w:pPr>
      <w:r w:rsidRPr="00C2149A">
        <w:rPr>
          <w:rStyle w:val="FootnoteReference"/>
          <w:sz w:val="26"/>
          <w:szCs w:val="26"/>
        </w:rPr>
        <w:footnoteRef/>
      </w:r>
      <w:r w:rsidRPr="00C2149A" w:rsidR="00C2149A">
        <w:rPr>
          <w:sz w:val="26"/>
          <w:szCs w:val="26"/>
        </w:rPr>
        <w:t xml:space="preserve"> </w:t>
      </w:r>
      <w:r w:rsidRPr="00C2149A" w:rsidR="1EFB72D5">
        <w:rPr>
          <w:sz w:val="26"/>
          <w:szCs w:val="26"/>
        </w:rPr>
        <w:t>June 24, 2026 (91 FR 37881)</w:t>
      </w:r>
    </w:p>
    <w:p w:rsidR="00560A7A" w:rsidRPr="00AD49BE" w:rsidP="00AD49BE" w14:paraId="372D7C61" w14:textId="77777777">
      <w:pPr>
        <w:pStyle w:val="FootnoteText"/>
        <w:ind w:firstLine="720"/>
        <w:rPr>
          <w:sz w:val="26"/>
          <w:szCs w:val="26"/>
        </w:rPr>
      </w:pPr>
    </w:p>
  </w:footnote>
  <w:footnote w:id="7">
    <w:p w:rsidR="00E56B0E" w14:paraId="2C91D7BB" w14:textId="35E40E9F">
      <w:pPr>
        <w:pStyle w:val="FootnoteText"/>
        <w:ind w:firstLine="720"/>
        <w:rPr>
          <w:sz w:val="26"/>
          <w:szCs w:val="26"/>
        </w:rPr>
      </w:pPr>
      <w:r w:rsidRPr="00AD49BE">
        <w:rPr>
          <w:rStyle w:val="FootnoteReference"/>
          <w:sz w:val="26"/>
          <w:szCs w:val="26"/>
        </w:rPr>
        <w:footnoteRef/>
      </w:r>
      <w:r w:rsidRPr="00AD49BE">
        <w:rPr>
          <w:sz w:val="26"/>
          <w:szCs w:val="26"/>
        </w:rPr>
        <w:t xml:space="preserve"> </w:t>
      </w:r>
      <w:r w:rsidRPr="00AD49BE" w:rsidR="00FE2950">
        <w:rPr>
          <w:sz w:val="26"/>
          <w:szCs w:val="26"/>
        </w:rPr>
        <w:t xml:space="preserve">Published on </w:t>
      </w:r>
      <w:r w:rsidRPr="00AD49BE" w:rsidR="00B15DD0">
        <w:rPr>
          <w:sz w:val="26"/>
          <w:szCs w:val="26"/>
        </w:rPr>
        <w:t xml:space="preserve">eLibrary under Docket </w:t>
      </w:r>
      <w:r w:rsidRPr="00AD49BE" w:rsidR="008E627F">
        <w:rPr>
          <w:sz w:val="26"/>
          <w:szCs w:val="26"/>
        </w:rPr>
        <w:t>No.</w:t>
      </w:r>
      <w:r w:rsidRPr="00AD49BE" w:rsidR="00B15DD0">
        <w:rPr>
          <w:sz w:val="26"/>
          <w:szCs w:val="26"/>
        </w:rPr>
        <w:t xml:space="preserve"> IC25-7-000</w:t>
      </w:r>
      <w:r w:rsidR="00560A7A">
        <w:rPr>
          <w:sz w:val="26"/>
          <w:szCs w:val="26"/>
        </w:rPr>
        <w:t>.</w:t>
      </w:r>
    </w:p>
    <w:p w:rsidR="00560A7A" w:rsidRPr="00AD49BE" w:rsidP="00AD49BE" w14:paraId="0D9DD024" w14:textId="77777777">
      <w:pPr>
        <w:pStyle w:val="FootnoteText"/>
        <w:ind w:firstLine="720"/>
        <w:rPr>
          <w:sz w:val="26"/>
          <w:szCs w:val="26"/>
        </w:rPr>
      </w:pPr>
    </w:p>
  </w:footnote>
  <w:footnote w:id="8">
    <w:p w:rsidR="008E3C4F" w:rsidRPr="00AD49BE" w:rsidP="00AD49BE" w14:paraId="2236E29A" w14:textId="770BD965">
      <w:pPr>
        <w:pStyle w:val="FootnoteText"/>
        <w:ind w:firstLine="720"/>
        <w:rPr>
          <w:sz w:val="26"/>
          <w:szCs w:val="26"/>
        </w:rPr>
      </w:pPr>
      <w:r w:rsidRPr="00EF4BD1">
        <w:rPr>
          <w:rStyle w:val="FootnoteReference"/>
          <w:sz w:val="26"/>
          <w:szCs w:val="26"/>
        </w:rPr>
        <w:footnoteRef/>
      </w:r>
      <w:r w:rsidRPr="00AD49BE">
        <w:rPr>
          <w:sz w:val="26"/>
          <w:szCs w:val="26"/>
        </w:rPr>
        <w:t xml:space="preserve"> 18 C.F.R. §§ 388.112 and 388.113.  More information on the CEII definition, program and requirements is posted at </w:t>
      </w:r>
      <w:hyperlink r:id="rId1" w:history="1">
        <w:r w:rsidRPr="00AD49BE">
          <w:rPr>
            <w:rStyle w:val="Hyperlink"/>
            <w:color w:val="auto"/>
            <w:sz w:val="26"/>
            <w:szCs w:val="26"/>
          </w:rPr>
          <w:t>http://www.ferc.gov/legal/ceii-foia/ceii.asp</w:t>
        </w:r>
      </w:hyperlink>
      <w:r w:rsidRPr="00AD49BE">
        <w:rPr>
          <w:sz w:val="26"/>
          <w:szCs w:val="26"/>
        </w:rPr>
        <w:t xml:space="preserve">. </w:t>
      </w:r>
    </w:p>
    <w:p w:rsidR="00281BA3" w:rsidRPr="00AD49BE" w:rsidP="00D025E5" w14:paraId="1874BDE8" w14:textId="77777777">
      <w:pPr>
        <w:pStyle w:val="FootnoteText"/>
        <w:rPr>
          <w:sz w:val="26"/>
          <w:szCs w:val="26"/>
        </w:rPr>
      </w:pPr>
    </w:p>
  </w:footnote>
  <w:footnote w:id="9">
    <w:p w:rsidR="004B037D" w:rsidRPr="00AD49BE" w:rsidP="00AD49BE" w14:paraId="6A3DC51B" w14:textId="697E2DE6">
      <w:pPr>
        <w:pStyle w:val="FootnoteText"/>
        <w:ind w:firstLine="720"/>
        <w:rPr>
          <w:sz w:val="26"/>
          <w:szCs w:val="26"/>
        </w:rPr>
      </w:pPr>
      <w:r w:rsidRPr="00AD49BE">
        <w:rPr>
          <w:rStyle w:val="FootnoteReference"/>
          <w:sz w:val="26"/>
          <w:szCs w:val="26"/>
        </w:rPr>
        <w:footnoteRef/>
      </w:r>
      <w:r w:rsidRPr="00AD49BE">
        <w:rPr>
          <w:sz w:val="26"/>
          <w:szCs w:val="26"/>
        </w:rPr>
        <w:t xml:space="preserve"> Burden is defined as the total time, effort, or financial resources expended by persons to generate, maintain, retain, disclose, or provide information to or for a </w:t>
      </w:r>
      <w:r w:rsidRPr="00AD49BE">
        <w:rPr>
          <w:sz w:val="26"/>
          <w:szCs w:val="26"/>
        </w:rPr>
        <w:t>Federal</w:t>
      </w:r>
      <w:r w:rsidRPr="00AD49BE">
        <w:rPr>
          <w:sz w:val="26"/>
          <w:szCs w:val="26"/>
        </w:rPr>
        <w:t xml:space="preserve"> agency. </w:t>
      </w:r>
      <w:r w:rsidRPr="00AD49BE" w:rsidR="00CA62C9">
        <w:rPr>
          <w:sz w:val="26"/>
          <w:szCs w:val="26"/>
        </w:rPr>
        <w:t xml:space="preserve"> </w:t>
      </w:r>
      <w:r w:rsidRPr="00AD49BE">
        <w:rPr>
          <w:sz w:val="26"/>
          <w:szCs w:val="26"/>
        </w:rPr>
        <w:t>For further explanation of what is included in the information collection burden, refer to 5 C.F.R. § 1320.3. </w:t>
      </w:r>
    </w:p>
    <w:p w:rsidR="004B037D" w:rsidRPr="00AD49BE" w:rsidP="004B037D" w14:paraId="7EC05168" w14:textId="77777777">
      <w:pPr>
        <w:pStyle w:val="FootnoteText"/>
        <w:rPr>
          <w:sz w:val="26"/>
          <w:szCs w:val="26"/>
        </w:rPr>
      </w:pPr>
    </w:p>
  </w:footnote>
  <w:footnote w:id="10">
    <w:p w:rsidR="004B037D" w:rsidRPr="00AD49BE" w:rsidP="00AD49BE" w14:paraId="5EBF9930" w14:textId="4AC2F8C5">
      <w:pPr>
        <w:pStyle w:val="FootnoteText"/>
        <w:ind w:firstLine="720"/>
        <w:rPr>
          <w:sz w:val="26"/>
          <w:szCs w:val="26"/>
        </w:rPr>
      </w:pPr>
      <w:r w:rsidRPr="00AD49BE">
        <w:rPr>
          <w:rStyle w:val="FootnoteReference"/>
          <w:sz w:val="26"/>
          <w:szCs w:val="26"/>
        </w:rPr>
        <w:footnoteRef/>
      </w:r>
      <w:r w:rsidRPr="00AD49BE">
        <w:rPr>
          <w:sz w:val="26"/>
          <w:szCs w:val="26"/>
        </w:rPr>
        <w:t xml:space="preserve"> The cost is based on FERC’s 2026 Commission-wide average salary cost (salary plus benefits) of $102/hour. </w:t>
      </w:r>
      <w:r w:rsidRPr="00AD49BE" w:rsidR="008658A4">
        <w:rPr>
          <w:sz w:val="26"/>
          <w:szCs w:val="26"/>
        </w:rPr>
        <w:t xml:space="preserve"> </w:t>
      </w:r>
      <w:r w:rsidRPr="00AD49BE">
        <w:rPr>
          <w:sz w:val="26"/>
          <w:szCs w:val="26"/>
        </w:rPr>
        <w:t>The Commission staff believes the FERC full-time equivalent (FTE) average cost for wages plus benefits is representative of the corresponding cost for the industry respondents.  </w:t>
      </w:r>
    </w:p>
  </w:footnote>
  <w:footnote w:id="11">
    <w:p w:rsidR="008E3C4F" w:rsidRPr="00AD49BE" w:rsidP="00AD49BE" w14:paraId="58CB363F" w14:textId="4F0580E6">
      <w:pPr>
        <w:pStyle w:val="FootnoteText"/>
        <w:ind w:firstLine="720"/>
        <w:rPr>
          <w:sz w:val="26"/>
          <w:szCs w:val="26"/>
        </w:rPr>
      </w:pPr>
      <w:r w:rsidRPr="00EF4BD1">
        <w:rPr>
          <w:rStyle w:val="FootnoteReference"/>
          <w:sz w:val="26"/>
          <w:szCs w:val="26"/>
        </w:rPr>
        <w:footnoteRef/>
      </w:r>
      <w:r w:rsidRPr="00AD49BE">
        <w:rPr>
          <w:sz w:val="26"/>
          <w:szCs w:val="26"/>
          <w:vertAlign w:val="superscript"/>
        </w:rPr>
        <w:t xml:space="preserve"> </w:t>
      </w:r>
      <w:r w:rsidRPr="00AD49BE">
        <w:rPr>
          <w:sz w:val="26"/>
          <w:szCs w:val="26"/>
        </w:rPr>
        <w:t xml:space="preserve">The federal costs for the FERC Form Nos. 1, 1-F, and 3-Q (for both electric and gas) </w:t>
      </w:r>
      <w:r w:rsidRPr="00AD49BE" w:rsidR="008603AC">
        <w:rPr>
          <w:sz w:val="26"/>
          <w:szCs w:val="26"/>
        </w:rPr>
        <w:t>are</w:t>
      </w:r>
      <w:r w:rsidRPr="00AD49BE">
        <w:rPr>
          <w:sz w:val="26"/>
          <w:szCs w:val="26"/>
        </w:rPr>
        <w:t xml:space="preserve"> included under the ICR for FERC Form No. 1 in ROCIS and reginfo.gov.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017A" w14:paraId="1FCC2538" w14:textId="6520250C">
    <w:pPr>
      <w:pStyle w:val="Header"/>
      <w:rPr>
        <w:rFonts w:ascii="Times New Roman" w:hAnsi="Times New Roman"/>
        <w:sz w:val="24"/>
        <w:szCs w:val="24"/>
      </w:rPr>
    </w:pPr>
    <w:r>
      <w:rPr>
        <w:rFonts w:ascii="Times New Roman" w:hAnsi="Times New Roman"/>
        <w:sz w:val="24"/>
        <w:szCs w:val="24"/>
      </w:rPr>
      <w:t>FERC Form Nos. 3-Q (electric)</w:t>
    </w:r>
    <w:r w:rsidR="00444460">
      <w:rPr>
        <w:rFonts w:ascii="Times New Roman" w:hAnsi="Times New Roman"/>
        <w:sz w:val="24"/>
        <w:szCs w:val="24"/>
      </w:rPr>
      <w:t>,</w:t>
    </w:r>
    <w:r>
      <w:rPr>
        <w:rFonts w:ascii="Times New Roman" w:hAnsi="Times New Roman"/>
        <w:sz w:val="24"/>
        <w:szCs w:val="24"/>
      </w:rPr>
      <w:t xml:space="preserve"> </w:t>
    </w:r>
    <w:r w:rsidR="000D4F3E">
      <w:rPr>
        <w:rFonts w:ascii="Times New Roman" w:hAnsi="Times New Roman"/>
        <w:sz w:val="24"/>
        <w:szCs w:val="24"/>
      </w:rPr>
      <w:t>3-Q (gas)</w:t>
    </w:r>
    <w:r w:rsidR="00654EFF">
      <w:rPr>
        <w:rFonts w:ascii="Times New Roman" w:hAnsi="Times New Roman"/>
        <w:sz w:val="24"/>
        <w:szCs w:val="24"/>
      </w:rPr>
      <w:t xml:space="preserve">, </w:t>
    </w:r>
    <w:r w:rsidR="00D630C0">
      <w:rPr>
        <w:rFonts w:ascii="Times New Roman" w:hAnsi="Times New Roman"/>
        <w:sz w:val="24"/>
        <w:szCs w:val="24"/>
      </w:rPr>
      <w:t>Notice of Proposed</w:t>
    </w:r>
    <w:r w:rsidR="008A65C4">
      <w:rPr>
        <w:rFonts w:ascii="Times New Roman" w:hAnsi="Times New Roman"/>
        <w:sz w:val="24"/>
        <w:szCs w:val="24"/>
      </w:rPr>
      <w:t xml:space="preserve"> Rulemaking</w:t>
    </w:r>
    <w:r w:rsidR="009D4944">
      <w:rPr>
        <w:rFonts w:ascii="Times New Roman" w:hAnsi="Times New Roman"/>
        <w:sz w:val="24"/>
        <w:szCs w:val="24"/>
      </w:rPr>
      <w:t xml:space="preserve"> </w:t>
    </w:r>
    <w:r w:rsidR="008A65C4">
      <w:rPr>
        <w:rFonts w:ascii="Times New Roman" w:hAnsi="Times New Roman"/>
        <w:sz w:val="24"/>
        <w:szCs w:val="24"/>
      </w:rPr>
      <w:t>(</w:t>
    </w:r>
    <w:r w:rsidR="0021190B">
      <w:rPr>
        <w:rFonts w:ascii="Times New Roman" w:hAnsi="Times New Roman"/>
        <w:sz w:val="24"/>
        <w:szCs w:val="24"/>
      </w:rPr>
      <w:t>NOPR</w:t>
    </w:r>
    <w:r w:rsidR="008A65C4">
      <w:rPr>
        <w:rFonts w:ascii="Times New Roman" w:hAnsi="Times New Roman"/>
        <w:sz w:val="24"/>
        <w:szCs w:val="24"/>
      </w:rPr>
      <w:t>)</w:t>
    </w:r>
    <w:r w:rsidR="00B45249">
      <w:rPr>
        <w:rFonts w:ascii="Times New Roman" w:hAnsi="Times New Roman"/>
        <w:sz w:val="24"/>
        <w:szCs w:val="24"/>
      </w:rPr>
      <w:t>,</w:t>
    </w:r>
    <w:r w:rsidRPr="00B45249" w:rsidR="00B45249">
      <w:rPr>
        <w:rFonts w:ascii="Times New Roman" w:hAnsi="Times New Roman"/>
        <w:i/>
        <w:iCs/>
        <w:sz w:val="26"/>
        <w:szCs w:val="26"/>
      </w:rPr>
      <w:t xml:space="preserve"> </w:t>
    </w:r>
    <w:r w:rsidRPr="00E02D0F" w:rsidR="00B45249">
      <w:rPr>
        <w:rFonts w:ascii="Times New Roman" w:hAnsi="Times New Roman"/>
        <w:i/>
        <w:iCs/>
        <w:sz w:val="26"/>
        <w:szCs w:val="26"/>
      </w:rPr>
      <w:t>Revisions to Financial Forms Reporting and Filing Requirements</w:t>
    </w:r>
    <w:r w:rsidR="00B45249">
      <w:rPr>
        <w:rFonts w:ascii="Times New Roman" w:hAnsi="Times New Roman"/>
        <w:i/>
        <w:iCs/>
        <w:sz w:val="26"/>
        <w:szCs w:val="26"/>
      </w:rPr>
      <w:t>,</w:t>
    </w:r>
    <w:r w:rsidR="00B45249">
      <w:rPr>
        <w:rFonts w:ascii="Times New Roman" w:hAnsi="Times New Roman"/>
        <w:sz w:val="24"/>
        <w:szCs w:val="24"/>
      </w:rPr>
      <w:t xml:space="preserve"> </w:t>
    </w:r>
    <w:r w:rsidR="009D4944">
      <w:rPr>
        <w:rFonts w:ascii="Times New Roman" w:hAnsi="Times New Roman"/>
        <w:sz w:val="24"/>
        <w:szCs w:val="24"/>
      </w:rPr>
      <w:t>Docket No.</w:t>
    </w:r>
    <w:r>
      <w:rPr>
        <w:rFonts w:ascii="Times New Roman" w:hAnsi="Times New Roman"/>
        <w:sz w:val="24"/>
        <w:szCs w:val="24"/>
      </w:rPr>
      <w:t xml:space="preserve"> RM2</w:t>
    </w:r>
    <w:r w:rsidR="004C54F8">
      <w:rPr>
        <w:rFonts w:ascii="Times New Roman" w:hAnsi="Times New Roman"/>
        <w:sz w:val="24"/>
        <w:szCs w:val="24"/>
      </w:rPr>
      <w:t>6</w:t>
    </w:r>
    <w:r>
      <w:rPr>
        <w:rFonts w:ascii="Times New Roman" w:hAnsi="Times New Roman"/>
        <w:sz w:val="24"/>
        <w:szCs w:val="24"/>
      </w:rPr>
      <w:t>-1</w:t>
    </w:r>
    <w:r w:rsidR="00963805">
      <w:rPr>
        <w:rFonts w:ascii="Times New Roman" w:hAnsi="Times New Roman"/>
        <w:sz w:val="24"/>
        <w:szCs w:val="24"/>
      </w:rPr>
      <w:t>2</w:t>
    </w:r>
    <w:r>
      <w:rPr>
        <w:rFonts w:ascii="Times New Roman" w:hAnsi="Times New Roman"/>
        <w:sz w:val="24"/>
        <w:szCs w:val="24"/>
      </w:rPr>
      <w:t>-000.</w:t>
    </w:r>
  </w:p>
  <w:p w:rsidR="008E3C4F" w14:paraId="6A3A0E61" w14:textId="54C6F7E0">
    <w:pPr>
      <w:pStyle w:val="Header"/>
      <w:rPr>
        <w:rFonts w:ascii="Times New Roman" w:hAnsi="Times New Roman"/>
        <w:sz w:val="24"/>
        <w:szCs w:val="24"/>
      </w:rPr>
    </w:pPr>
    <w:r>
      <w:rPr>
        <w:rFonts w:ascii="Times New Roman" w:hAnsi="Times New Roman"/>
        <w:sz w:val="24"/>
        <w:szCs w:val="24"/>
      </w:rPr>
      <w:t>OMB Control No. 1902-0</w:t>
    </w:r>
    <w:r w:rsidR="00FC3CA9">
      <w:rPr>
        <w:rFonts w:ascii="Times New Roman" w:hAnsi="Times New Roman"/>
        <w:sz w:val="24"/>
        <w:szCs w:val="24"/>
      </w:rPr>
      <w:t>205</w:t>
    </w:r>
    <w:r>
      <w:rPr>
        <w:rFonts w:ascii="Times New Roman" w:hAnsi="Times New Roman"/>
        <w:sz w:val="24"/>
        <w:szCs w:val="24"/>
      </w:rPr>
      <w:t xml:space="preserve"> </w:t>
    </w:r>
  </w:p>
  <w:p w:rsidR="000C393C" w:rsidRPr="00274467" w14:paraId="0AE0083C" w14:textId="70201C65">
    <w:pPr>
      <w:pStyle w:val="Header"/>
      <w:rPr>
        <w:rFonts w:ascii="Times New Roman" w:hAnsi="Times New Roman"/>
        <w:sz w:val="24"/>
        <w:szCs w:val="24"/>
      </w:rPr>
    </w:pPr>
    <w:r w:rsidRPr="006500C9">
      <w:rPr>
        <w:rFonts w:ascii="Times New Roman" w:hAnsi="Times New Roman"/>
        <w:sz w:val="24"/>
        <w:szCs w:val="24"/>
      </w:rPr>
      <w:t>RIN</w:t>
    </w:r>
    <w:r w:rsidRPr="007458AA" w:rsidR="007458AA">
      <w:rPr>
        <w:rFonts w:ascii="Times New Roman" w:hAnsi="Times New Roman"/>
        <w:sz w:val="24"/>
        <w:szCs w:val="24"/>
      </w:rPr>
      <w:t>: 1902-A</w:t>
    </w:r>
    <w:r w:rsidR="00F02CDB">
      <w:rPr>
        <w:rFonts w:ascii="Times New Roman" w:hAnsi="Times New Roman"/>
        <w:sz w:val="24"/>
        <w:szCs w:val="24"/>
      </w:rPr>
      <w:t>G49</w:t>
    </w:r>
  </w:p>
  <w:p w:rsidR="008E3C4F" w:rsidRPr="002953E1" w:rsidP="00C632FE" w14:paraId="48BC8A50" w14:textId="588CFCAB">
    <w:pPr>
      <w:pStyle w:val="Header"/>
      <w:rPr>
        <w:rFonts w:ascii="Times New Roman" w:hAnsi="Times New Roman"/>
        <w:sz w:val="20"/>
        <w:szCs w:val="20"/>
      </w:rPr>
    </w:pPr>
    <w:r>
      <w:rPr>
        <w:rFonts w:ascii="Times New Roman" w:hAnsi="Times New Roman"/>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64066"/>
    <w:multiLevelType w:val="hybridMultilevel"/>
    <w:tmpl w:val="AA68E0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F50755"/>
    <w:multiLevelType w:val="hybridMultilevel"/>
    <w:tmpl w:val="EAB0F5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D17ACB"/>
    <w:multiLevelType w:val="hybridMultilevel"/>
    <w:tmpl w:val="FC34F5D8"/>
    <w:lvl w:ilvl="0">
      <w:start w:val="1"/>
      <w:numFmt w:val="bullet"/>
      <w:lvlText w:val=""/>
      <w:lvlJc w:val="left"/>
      <w:pPr>
        <w:tabs>
          <w:tab w:val="num" w:pos="1440"/>
        </w:tabs>
        <w:ind w:left="1440" w:hanging="360"/>
      </w:pPr>
      <w:rPr>
        <w:rFonts w:ascii="Symbol" w:hAnsi="Symbol" w:hint="default"/>
        <w:color w:val="auto"/>
      </w:rPr>
    </w:lvl>
    <w:lvl w:ilvl="1">
      <w:start w:val="1"/>
      <w:numFmt w:val="decimal"/>
      <w:lvlText w:val="%2."/>
      <w:lvlJc w:val="left"/>
      <w:pPr>
        <w:tabs>
          <w:tab w:val="num" w:pos="1800"/>
        </w:tabs>
        <w:ind w:left="1800" w:hanging="360"/>
      </w:pPr>
      <w:rPr>
        <w:rFonts w:cs="Times New Roman"/>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3">
    <w:nsid w:val="0F4A3048"/>
    <w:multiLevelType w:val="hybridMultilevel"/>
    <w:tmpl w:val="005E7582"/>
    <w:lvl w:ilvl="0">
      <w:start w:val="1"/>
      <w:numFmt w:val="bullet"/>
      <w:lvlText w:val=""/>
      <w:lvlJc w:val="left"/>
      <w:pPr>
        <w:tabs>
          <w:tab w:val="num" w:pos="1440"/>
        </w:tabs>
        <w:ind w:left="1440" w:hanging="360"/>
      </w:pPr>
      <w:rPr>
        <w:rFonts w:ascii="Symbol" w:hAnsi="Symbol" w:hint="default"/>
        <w:color w:val="auto"/>
      </w:rPr>
    </w:lvl>
    <w:lvl w:ilvl="1">
      <w:start w:val="1"/>
      <w:numFmt w:val="decimal"/>
      <w:lvlText w:val="%2."/>
      <w:lvlJc w:val="left"/>
      <w:pPr>
        <w:tabs>
          <w:tab w:val="num" w:pos="1800"/>
        </w:tabs>
        <w:ind w:left="1800" w:hanging="360"/>
      </w:pPr>
      <w:rPr>
        <w:rFonts w:cs="Times New Roman"/>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4">
    <w:nsid w:val="0F502655"/>
    <w:multiLevelType w:val="hybridMultilevel"/>
    <w:tmpl w:val="A182A73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6C2963"/>
    <w:multiLevelType w:val="hybridMultilevel"/>
    <w:tmpl w:val="CE1A700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4113FB"/>
    <w:multiLevelType w:val="hybridMultilevel"/>
    <w:tmpl w:val="93E06B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1118BC"/>
    <w:multiLevelType w:val="hybridMultilevel"/>
    <w:tmpl w:val="8BDAC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4B6162D"/>
    <w:multiLevelType w:val="hybridMultilevel"/>
    <w:tmpl w:val="D9DA28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0C7D1B"/>
    <w:multiLevelType w:val="hybridMultilevel"/>
    <w:tmpl w:val="ADCE66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7C4573"/>
    <w:multiLevelType w:val="hybridMultilevel"/>
    <w:tmpl w:val="4208A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F14D98"/>
    <w:multiLevelType w:val="hybridMultilevel"/>
    <w:tmpl w:val="1438F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EF3953"/>
    <w:multiLevelType w:val="hybridMultilevel"/>
    <w:tmpl w:val="CFE886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051A2B"/>
    <w:multiLevelType w:val="hybridMultilevel"/>
    <w:tmpl w:val="403A86EC"/>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5">
    <w:nsid w:val="376A0BBF"/>
    <w:multiLevelType w:val="hybridMultilevel"/>
    <w:tmpl w:val="BC00F5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86A02FA"/>
    <w:multiLevelType w:val="hybridMultilevel"/>
    <w:tmpl w:val="E0CCA850"/>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2614ABA"/>
    <w:multiLevelType w:val="hybridMultilevel"/>
    <w:tmpl w:val="E314F6B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77D38C3"/>
    <w:multiLevelType w:val="hybridMultilevel"/>
    <w:tmpl w:val="B6823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C0D4B3C"/>
    <w:multiLevelType w:val="hybridMultilevel"/>
    <w:tmpl w:val="04F6BC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FCC1895"/>
    <w:multiLevelType w:val="hybridMultilevel"/>
    <w:tmpl w:val="AD6818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0D40E9F"/>
    <w:multiLevelType w:val="hybridMultilevel"/>
    <w:tmpl w:val="4DF8B6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217785A"/>
    <w:multiLevelType w:val="hybridMultilevel"/>
    <w:tmpl w:val="BD2274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2460FD9"/>
    <w:multiLevelType w:val="hybridMultilevel"/>
    <w:tmpl w:val="371A5118"/>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6">
    <w:nsid w:val="5BA62A20"/>
    <w:multiLevelType w:val="hybridMultilevel"/>
    <w:tmpl w:val="3A36B0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6437021"/>
    <w:multiLevelType w:val="hybridMultilevel"/>
    <w:tmpl w:val="A2BEE8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9AF1DF6"/>
    <w:multiLevelType w:val="hybridMultilevel"/>
    <w:tmpl w:val="48FE9A9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0">
    <w:nsid w:val="6A505C28"/>
    <w:multiLevelType w:val="hybridMultilevel"/>
    <w:tmpl w:val="9808048E"/>
    <w:lvl w:ilvl="0">
      <w:start w:val="1"/>
      <w:numFmt w:val="bullet"/>
      <w:lvlText w:val=""/>
      <w:lvlJc w:val="left"/>
      <w:pPr>
        <w:ind w:left="1080" w:hanging="360"/>
      </w:pPr>
      <w:rPr>
        <w:rFonts w:ascii="Symbol" w:eastAsia="Calibri"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D843B68"/>
    <w:multiLevelType w:val="hybridMultilevel"/>
    <w:tmpl w:val="6F9C4B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79AF0F0F"/>
    <w:multiLevelType w:val="hybridMultilevel"/>
    <w:tmpl w:val="04BC191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F3C7DBB"/>
    <w:multiLevelType w:val="hybridMultilevel"/>
    <w:tmpl w:val="35648F04"/>
    <w:lvl w:ilvl="0">
      <w:start w:val="1"/>
      <w:numFmt w:val="decimal"/>
      <w:lvlText w:val="%1."/>
      <w:lvlJc w:val="left"/>
      <w:pPr>
        <w:ind w:left="45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50755630">
    <w:abstractNumId w:val="22"/>
  </w:num>
  <w:num w:numId="2" w16cid:durableId="2009476938">
    <w:abstractNumId w:val="29"/>
  </w:num>
  <w:num w:numId="3" w16cid:durableId="2031106488">
    <w:abstractNumId w:val="20"/>
  </w:num>
  <w:num w:numId="4" w16cid:durableId="583801337">
    <w:abstractNumId w:val="31"/>
  </w:num>
  <w:num w:numId="5" w16cid:durableId="1137063950">
    <w:abstractNumId w:val="6"/>
  </w:num>
  <w:num w:numId="6" w16cid:durableId="1104301281">
    <w:abstractNumId w:val="32"/>
  </w:num>
  <w:num w:numId="7" w16cid:durableId="1481266597">
    <w:abstractNumId w:val="7"/>
  </w:num>
  <w:num w:numId="8" w16cid:durableId="1329946152">
    <w:abstractNumId w:val="4"/>
  </w:num>
  <w:num w:numId="9" w16cid:durableId="1622684606">
    <w:abstractNumId w:val="18"/>
  </w:num>
  <w:num w:numId="10" w16cid:durableId="1219629684">
    <w:abstractNumId w:val="10"/>
  </w:num>
  <w:num w:numId="11" w16cid:durableId="410280613">
    <w:abstractNumId w:val="23"/>
  </w:num>
  <w:num w:numId="12" w16cid:durableId="1856726513">
    <w:abstractNumId w:val="17"/>
  </w:num>
  <w:num w:numId="13" w16cid:durableId="1554653809">
    <w:abstractNumId w:val="5"/>
  </w:num>
  <w:num w:numId="14" w16cid:durableId="1540164525">
    <w:abstractNumId w:val="33"/>
  </w:num>
  <w:num w:numId="15" w16cid:durableId="2049446521">
    <w:abstractNumId w:val="12"/>
  </w:num>
  <w:num w:numId="16" w16cid:durableId="877087313">
    <w:abstractNumId w:val="26"/>
  </w:num>
  <w:num w:numId="17" w16cid:durableId="154151277">
    <w:abstractNumId w:val="9"/>
  </w:num>
  <w:num w:numId="18" w16cid:durableId="693533955">
    <w:abstractNumId w:val="16"/>
  </w:num>
  <w:num w:numId="19" w16cid:durableId="1261648387">
    <w:abstractNumId w:val="21"/>
  </w:num>
  <w:num w:numId="20" w16cid:durableId="1062632958">
    <w:abstractNumId w:val="19"/>
  </w:num>
  <w:num w:numId="21" w16cid:durableId="293411349">
    <w:abstractNumId w:val="28"/>
  </w:num>
  <w:num w:numId="22" w16cid:durableId="1213811510">
    <w:abstractNumId w:val="15"/>
  </w:num>
  <w:num w:numId="23" w16cid:durableId="1497378438">
    <w:abstractNumId w:val="11"/>
  </w:num>
  <w:num w:numId="24" w16cid:durableId="17124213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1927545">
    <w:abstractNumId w:val="3"/>
    <w:lvlOverride w:ilvl="0"/>
    <w:lvlOverride w:ilvl="1">
      <w:startOverride w:val="1"/>
    </w:lvlOverride>
    <w:lvlOverride w:ilvl="2"/>
    <w:lvlOverride w:ilvl="3"/>
    <w:lvlOverride w:ilvl="4"/>
    <w:lvlOverride w:ilvl="5"/>
    <w:lvlOverride w:ilvl="6"/>
    <w:lvlOverride w:ilvl="7"/>
    <w:lvlOverride w:ilvl="8"/>
  </w:num>
  <w:num w:numId="26" w16cid:durableId="1691056734">
    <w:abstractNumId w:val="2"/>
    <w:lvlOverride w:ilvl="0"/>
    <w:lvlOverride w:ilvl="1">
      <w:startOverride w:val="1"/>
    </w:lvlOverride>
    <w:lvlOverride w:ilvl="2"/>
    <w:lvlOverride w:ilvl="3"/>
    <w:lvlOverride w:ilvl="4"/>
    <w:lvlOverride w:ilvl="5"/>
    <w:lvlOverride w:ilvl="6"/>
    <w:lvlOverride w:ilvl="7"/>
    <w:lvlOverride w:ilvl="8"/>
  </w:num>
  <w:num w:numId="27" w16cid:durableId="507256837">
    <w:abstractNumId w:val="25"/>
  </w:num>
  <w:num w:numId="28" w16cid:durableId="967128291">
    <w:abstractNumId w:val="14"/>
  </w:num>
  <w:num w:numId="29" w16cid:durableId="1723212624">
    <w:abstractNumId w:val="27"/>
  </w:num>
  <w:num w:numId="30" w16cid:durableId="1156384990">
    <w:abstractNumId w:val="2"/>
  </w:num>
  <w:num w:numId="31" w16cid:durableId="1115638972">
    <w:abstractNumId w:val="1"/>
  </w:num>
  <w:num w:numId="32" w16cid:durableId="179200410">
    <w:abstractNumId w:val="13"/>
  </w:num>
  <w:num w:numId="33" w16cid:durableId="1410269602">
    <w:abstractNumId w:val="0"/>
  </w:num>
  <w:num w:numId="34" w16cid:durableId="3085606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89380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55"/>
    <w:rsid w:val="00000F93"/>
    <w:rsid w:val="00003D06"/>
    <w:rsid w:val="0000579D"/>
    <w:rsid w:val="000063C9"/>
    <w:rsid w:val="00006F72"/>
    <w:rsid w:val="000076FA"/>
    <w:rsid w:val="00015810"/>
    <w:rsid w:val="000201FB"/>
    <w:rsid w:val="00020470"/>
    <w:rsid w:val="00020D84"/>
    <w:rsid w:val="00021742"/>
    <w:rsid w:val="00021C5A"/>
    <w:rsid w:val="0002290F"/>
    <w:rsid w:val="000235CB"/>
    <w:rsid w:val="00025A95"/>
    <w:rsid w:val="00027DC9"/>
    <w:rsid w:val="00030D70"/>
    <w:rsid w:val="0003147A"/>
    <w:rsid w:val="00031C79"/>
    <w:rsid w:val="0003459B"/>
    <w:rsid w:val="0003545C"/>
    <w:rsid w:val="00035976"/>
    <w:rsid w:val="00036218"/>
    <w:rsid w:val="00036D30"/>
    <w:rsid w:val="00037F63"/>
    <w:rsid w:val="0004023D"/>
    <w:rsid w:val="000402E2"/>
    <w:rsid w:val="00040F9F"/>
    <w:rsid w:val="0004170D"/>
    <w:rsid w:val="00041ECE"/>
    <w:rsid w:val="000424EB"/>
    <w:rsid w:val="00042586"/>
    <w:rsid w:val="00042C21"/>
    <w:rsid w:val="00042FA5"/>
    <w:rsid w:val="00043028"/>
    <w:rsid w:val="00043480"/>
    <w:rsid w:val="00044A19"/>
    <w:rsid w:val="00045518"/>
    <w:rsid w:val="000457E0"/>
    <w:rsid w:val="00045EFB"/>
    <w:rsid w:val="0004648E"/>
    <w:rsid w:val="00046EBE"/>
    <w:rsid w:val="00052172"/>
    <w:rsid w:val="0005358B"/>
    <w:rsid w:val="000537E0"/>
    <w:rsid w:val="0005439F"/>
    <w:rsid w:val="0005528B"/>
    <w:rsid w:val="00062C64"/>
    <w:rsid w:val="00062D93"/>
    <w:rsid w:val="00062DCC"/>
    <w:rsid w:val="00064B9C"/>
    <w:rsid w:val="000650FC"/>
    <w:rsid w:val="00065CEB"/>
    <w:rsid w:val="00066375"/>
    <w:rsid w:val="000677D6"/>
    <w:rsid w:val="00070425"/>
    <w:rsid w:val="000718A2"/>
    <w:rsid w:val="00072071"/>
    <w:rsid w:val="0007469F"/>
    <w:rsid w:val="00074E1A"/>
    <w:rsid w:val="00075D7D"/>
    <w:rsid w:val="000762E1"/>
    <w:rsid w:val="0007645B"/>
    <w:rsid w:val="00077B16"/>
    <w:rsid w:val="00080280"/>
    <w:rsid w:val="00081434"/>
    <w:rsid w:val="0008302B"/>
    <w:rsid w:val="0008322C"/>
    <w:rsid w:val="000836EF"/>
    <w:rsid w:val="00083A04"/>
    <w:rsid w:val="00084A7F"/>
    <w:rsid w:val="00085070"/>
    <w:rsid w:val="000855DE"/>
    <w:rsid w:val="000856A0"/>
    <w:rsid w:val="0008628B"/>
    <w:rsid w:val="000904E1"/>
    <w:rsid w:val="0009171A"/>
    <w:rsid w:val="00092424"/>
    <w:rsid w:val="000924F2"/>
    <w:rsid w:val="000930CB"/>
    <w:rsid w:val="0009422B"/>
    <w:rsid w:val="000951BE"/>
    <w:rsid w:val="00095C38"/>
    <w:rsid w:val="0009656C"/>
    <w:rsid w:val="000A018B"/>
    <w:rsid w:val="000A01AB"/>
    <w:rsid w:val="000A0547"/>
    <w:rsid w:val="000A25C9"/>
    <w:rsid w:val="000A2E71"/>
    <w:rsid w:val="000A2E76"/>
    <w:rsid w:val="000A3CC0"/>
    <w:rsid w:val="000A40AD"/>
    <w:rsid w:val="000A4B85"/>
    <w:rsid w:val="000A4E4C"/>
    <w:rsid w:val="000A58EA"/>
    <w:rsid w:val="000A6077"/>
    <w:rsid w:val="000A6C43"/>
    <w:rsid w:val="000A6F2E"/>
    <w:rsid w:val="000A706F"/>
    <w:rsid w:val="000B0965"/>
    <w:rsid w:val="000B0CAB"/>
    <w:rsid w:val="000B2145"/>
    <w:rsid w:val="000B40D1"/>
    <w:rsid w:val="000B51C8"/>
    <w:rsid w:val="000B51EA"/>
    <w:rsid w:val="000B5CD2"/>
    <w:rsid w:val="000B5FC5"/>
    <w:rsid w:val="000B72B1"/>
    <w:rsid w:val="000C0209"/>
    <w:rsid w:val="000C05E9"/>
    <w:rsid w:val="000C3902"/>
    <w:rsid w:val="000C393C"/>
    <w:rsid w:val="000C7147"/>
    <w:rsid w:val="000D05E9"/>
    <w:rsid w:val="000D0959"/>
    <w:rsid w:val="000D1A99"/>
    <w:rsid w:val="000D1D54"/>
    <w:rsid w:val="000D2DD6"/>
    <w:rsid w:val="000D33DB"/>
    <w:rsid w:val="000D3F25"/>
    <w:rsid w:val="000D4125"/>
    <w:rsid w:val="000D4F3E"/>
    <w:rsid w:val="000D5C62"/>
    <w:rsid w:val="000D66FB"/>
    <w:rsid w:val="000D72FE"/>
    <w:rsid w:val="000E11CB"/>
    <w:rsid w:val="000E2CA4"/>
    <w:rsid w:val="000E2E26"/>
    <w:rsid w:val="000E2F0F"/>
    <w:rsid w:val="000E332B"/>
    <w:rsid w:val="000E4567"/>
    <w:rsid w:val="000E47FC"/>
    <w:rsid w:val="000E4925"/>
    <w:rsid w:val="000E4E87"/>
    <w:rsid w:val="000E5055"/>
    <w:rsid w:val="000E76BD"/>
    <w:rsid w:val="000F07BD"/>
    <w:rsid w:val="000F102B"/>
    <w:rsid w:val="000F1339"/>
    <w:rsid w:val="000F1377"/>
    <w:rsid w:val="000F4303"/>
    <w:rsid w:val="000F448F"/>
    <w:rsid w:val="000F49DF"/>
    <w:rsid w:val="000F619B"/>
    <w:rsid w:val="000F6ABA"/>
    <w:rsid w:val="00100259"/>
    <w:rsid w:val="00100E2F"/>
    <w:rsid w:val="001021F0"/>
    <w:rsid w:val="001029BE"/>
    <w:rsid w:val="00102BD6"/>
    <w:rsid w:val="00102DD9"/>
    <w:rsid w:val="0010332E"/>
    <w:rsid w:val="00104412"/>
    <w:rsid w:val="00104ACF"/>
    <w:rsid w:val="00104CF7"/>
    <w:rsid w:val="00105451"/>
    <w:rsid w:val="00105D44"/>
    <w:rsid w:val="00105D96"/>
    <w:rsid w:val="001072E3"/>
    <w:rsid w:val="00107DA8"/>
    <w:rsid w:val="001114E4"/>
    <w:rsid w:val="00111642"/>
    <w:rsid w:val="00111C1D"/>
    <w:rsid w:val="00111E0C"/>
    <w:rsid w:val="001121AE"/>
    <w:rsid w:val="00112D70"/>
    <w:rsid w:val="00114734"/>
    <w:rsid w:val="00116509"/>
    <w:rsid w:val="00116766"/>
    <w:rsid w:val="00116CF2"/>
    <w:rsid w:val="0012028E"/>
    <w:rsid w:val="001236C8"/>
    <w:rsid w:val="001254AB"/>
    <w:rsid w:val="0012603B"/>
    <w:rsid w:val="001263E8"/>
    <w:rsid w:val="001265D4"/>
    <w:rsid w:val="00127815"/>
    <w:rsid w:val="0013099A"/>
    <w:rsid w:val="00130FC3"/>
    <w:rsid w:val="00132BDA"/>
    <w:rsid w:val="00132EEB"/>
    <w:rsid w:val="00133311"/>
    <w:rsid w:val="00133C20"/>
    <w:rsid w:val="00133C4C"/>
    <w:rsid w:val="001360DE"/>
    <w:rsid w:val="00136DE8"/>
    <w:rsid w:val="0013718A"/>
    <w:rsid w:val="00137958"/>
    <w:rsid w:val="00137B65"/>
    <w:rsid w:val="00141ED0"/>
    <w:rsid w:val="00141EF9"/>
    <w:rsid w:val="001422BC"/>
    <w:rsid w:val="001432A0"/>
    <w:rsid w:val="00145B05"/>
    <w:rsid w:val="00145DC0"/>
    <w:rsid w:val="00146341"/>
    <w:rsid w:val="00147C65"/>
    <w:rsid w:val="00147E99"/>
    <w:rsid w:val="00147FB6"/>
    <w:rsid w:val="00151068"/>
    <w:rsid w:val="00151780"/>
    <w:rsid w:val="00151A76"/>
    <w:rsid w:val="00151D8D"/>
    <w:rsid w:val="00151E08"/>
    <w:rsid w:val="00152282"/>
    <w:rsid w:val="00154BD3"/>
    <w:rsid w:val="00154F66"/>
    <w:rsid w:val="00155EEC"/>
    <w:rsid w:val="00156589"/>
    <w:rsid w:val="00157463"/>
    <w:rsid w:val="00157B58"/>
    <w:rsid w:val="001636C5"/>
    <w:rsid w:val="00163942"/>
    <w:rsid w:val="00164E16"/>
    <w:rsid w:val="001668D3"/>
    <w:rsid w:val="00166CDE"/>
    <w:rsid w:val="00167AE2"/>
    <w:rsid w:val="00167CFB"/>
    <w:rsid w:val="00171AC2"/>
    <w:rsid w:val="00172F51"/>
    <w:rsid w:val="00173D17"/>
    <w:rsid w:val="00173EBE"/>
    <w:rsid w:val="00174B35"/>
    <w:rsid w:val="00175DD8"/>
    <w:rsid w:val="001775DF"/>
    <w:rsid w:val="00177716"/>
    <w:rsid w:val="00181616"/>
    <w:rsid w:val="00183A75"/>
    <w:rsid w:val="00183B18"/>
    <w:rsid w:val="00183CBA"/>
    <w:rsid w:val="00185D8A"/>
    <w:rsid w:val="00186976"/>
    <w:rsid w:val="00186C42"/>
    <w:rsid w:val="00187445"/>
    <w:rsid w:val="00187B3E"/>
    <w:rsid w:val="00187D6F"/>
    <w:rsid w:val="00187F2E"/>
    <w:rsid w:val="001902A4"/>
    <w:rsid w:val="001936D1"/>
    <w:rsid w:val="001968EA"/>
    <w:rsid w:val="00196A05"/>
    <w:rsid w:val="0019727C"/>
    <w:rsid w:val="0019752D"/>
    <w:rsid w:val="001A0DAB"/>
    <w:rsid w:val="001A153B"/>
    <w:rsid w:val="001A25BF"/>
    <w:rsid w:val="001A450A"/>
    <w:rsid w:val="001A5362"/>
    <w:rsid w:val="001A62D9"/>
    <w:rsid w:val="001A6AE8"/>
    <w:rsid w:val="001A7950"/>
    <w:rsid w:val="001B0A54"/>
    <w:rsid w:val="001B2309"/>
    <w:rsid w:val="001B25F2"/>
    <w:rsid w:val="001B2D83"/>
    <w:rsid w:val="001B3255"/>
    <w:rsid w:val="001B430C"/>
    <w:rsid w:val="001B5048"/>
    <w:rsid w:val="001B5056"/>
    <w:rsid w:val="001B5DBE"/>
    <w:rsid w:val="001C0A09"/>
    <w:rsid w:val="001C19AC"/>
    <w:rsid w:val="001C2900"/>
    <w:rsid w:val="001C2A53"/>
    <w:rsid w:val="001C34B8"/>
    <w:rsid w:val="001C3FAA"/>
    <w:rsid w:val="001C4846"/>
    <w:rsid w:val="001C4FB9"/>
    <w:rsid w:val="001C653B"/>
    <w:rsid w:val="001C70BA"/>
    <w:rsid w:val="001C74AB"/>
    <w:rsid w:val="001C7BE9"/>
    <w:rsid w:val="001D0B5C"/>
    <w:rsid w:val="001D1B4E"/>
    <w:rsid w:val="001D1D74"/>
    <w:rsid w:val="001D289D"/>
    <w:rsid w:val="001D3353"/>
    <w:rsid w:val="001D4C72"/>
    <w:rsid w:val="001D550F"/>
    <w:rsid w:val="001D5571"/>
    <w:rsid w:val="001D5674"/>
    <w:rsid w:val="001D67DD"/>
    <w:rsid w:val="001D67EE"/>
    <w:rsid w:val="001D7B2E"/>
    <w:rsid w:val="001E139D"/>
    <w:rsid w:val="001E1528"/>
    <w:rsid w:val="001E1BBC"/>
    <w:rsid w:val="001E33A6"/>
    <w:rsid w:val="001E3E6B"/>
    <w:rsid w:val="001E42AD"/>
    <w:rsid w:val="001E47A0"/>
    <w:rsid w:val="001E55A1"/>
    <w:rsid w:val="001E5D9D"/>
    <w:rsid w:val="001E61B3"/>
    <w:rsid w:val="001E70C6"/>
    <w:rsid w:val="001F096A"/>
    <w:rsid w:val="001F0A0B"/>
    <w:rsid w:val="001F0B90"/>
    <w:rsid w:val="001F170D"/>
    <w:rsid w:val="001F17CD"/>
    <w:rsid w:val="001F18B7"/>
    <w:rsid w:val="001F2364"/>
    <w:rsid w:val="001F3412"/>
    <w:rsid w:val="001F4CDF"/>
    <w:rsid w:val="001F56F4"/>
    <w:rsid w:val="001F5AAD"/>
    <w:rsid w:val="001F5F1E"/>
    <w:rsid w:val="001F73B0"/>
    <w:rsid w:val="001F7477"/>
    <w:rsid w:val="001F7C4C"/>
    <w:rsid w:val="00200CB5"/>
    <w:rsid w:val="00201715"/>
    <w:rsid w:val="00201EDE"/>
    <w:rsid w:val="0020207C"/>
    <w:rsid w:val="00203031"/>
    <w:rsid w:val="00206CAB"/>
    <w:rsid w:val="0021190B"/>
    <w:rsid w:val="002123B8"/>
    <w:rsid w:val="00214C0F"/>
    <w:rsid w:val="00215406"/>
    <w:rsid w:val="00215C92"/>
    <w:rsid w:val="00215ED7"/>
    <w:rsid w:val="002166E8"/>
    <w:rsid w:val="00217071"/>
    <w:rsid w:val="002200D8"/>
    <w:rsid w:val="0022096D"/>
    <w:rsid w:val="002213AA"/>
    <w:rsid w:val="00221430"/>
    <w:rsid w:val="0022155D"/>
    <w:rsid w:val="00221794"/>
    <w:rsid w:val="00221EB9"/>
    <w:rsid w:val="00222295"/>
    <w:rsid w:val="00222BC5"/>
    <w:rsid w:val="00222DAD"/>
    <w:rsid w:val="00227E8A"/>
    <w:rsid w:val="00227F0E"/>
    <w:rsid w:val="0023006B"/>
    <w:rsid w:val="0023048C"/>
    <w:rsid w:val="00230706"/>
    <w:rsid w:val="00230A77"/>
    <w:rsid w:val="00231C3E"/>
    <w:rsid w:val="00232129"/>
    <w:rsid w:val="00232AEE"/>
    <w:rsid w:val="00232B1B"/>
    <w:rsid w:val="00232DF7"/>
    <w:rsid w:val="00233478"/>
    <w:rsid w:val="00233709"/>
    <w:rsid w:val="00234AC3"/>
    <w:rsid w:val="002356D9"/>
    <w:rsid w:val="00236849"/>
    <w:rsid w:val="00236DFB"/>
    <w:rsid w:val="002373C6"/>
    <w:rsid w:val="00241AFC"/>
    <w:rsid w:val="00241CFA"/>
    <w:rsid w:val="002434F3"/>
    <w:rsid w:val="002441C4"/>
    <w:rsid w:val="00244BC9"/>
    <w:rsid w:val="00245CB2"/>
    <w:rsid w:val="002460B9"/>
    <w:rsid w:val="002476F2"/>
    <w:rsid w:val="00247EBC"/>
    <w:rsid w:val="00250D73"/>
    <w:rsid w:val="00253F79"/>
    <w:rsid w:val="002545FF"/>
    <w:rsid w:val="00255390"/>
    <w:rsid w:val="002563E6"/>
    <w:rsid w:val="002570FB"/>
    <w:rsid w:val="002573DC"/>
    <w:rsid w:val="00260AA6"/>
    <w:rsid w:val="0026269A"/>
    <w:rsid w:val="0026478D"/>
    <w:rsid w:val="00264FED"/>
    <w:rsid w:val="002657E6"/>
    <w:rsid w:val="002665D6"/>
    <w:rsid w:val="00266990"/>
    <w:rsid w:val="00266DA7"/>
    <w:rsid w:val="0026713B"/>
    <w:rsid w:val="0026733F"/>
    <w:rsid w:val="00271186"/>
    <w:rsid w:val="002714F2"/>
    <w:rsid w:val="00271EF4"/>
    <w:rsid w:val="00272E94"/>
    <w:rsid w:val="00273661"/>
    <w:rsid w:val="002743E7"/>
    <w:rsid w:val="00274467"/>
    <w:rsid w:val="00275769"/>
    <w:rsid w:val="00276398"/>
    <w:rsid w:val="0027683E"/>
    <w:rsid w:val="0027754C"/>
    <w:rsid w:val="00277FE1"/>
    <w:rsid w:val="002801E0"/>
    <w:rsid w:val="00280258"/>
    <w:rsid w:val="002815D3"/>
    <w:rsid w:val="00281942"/>
    <w:rsid w:val="00281BA3"/>
    <w:rsid w:val="00281E62"/>
    <w:rsid w:val="002829F4"/>
    <w:rsid w:val="00283BFF"/>
    <w:rsid w:val="00284E19"/>
    <w:rsid w:val="00286A0D"/>
    <w:rsid w:val="00286B58"/>
    <w:rsid w:val="002878BF"/>
    <w:rsid w:val="002913ED"/>
    <w:rsid w:val="002920C7"/>
    <w:rsid w:val="002928D2"/>
    <w:rsid w:val="00293111"/>
    <w:rsid w:val="00293F34"/>
    <w:rsid w:val="002948FB"/>
    <w:rsid w:val="00295050"/>
    <w:rsid w:val="002953E1"/>
    <w:rsid w:val="002959EB"/>
    <w:rsid w:val="00295EB7"/>
    <w:rsid w:val="00296F65"/>
    <w:rsid w:val="0029781A"/>
    <w:rsid w:val="002A32BD"/>
    <w:rsid w:val="002A352B"/>
    <w:rsid w:val="002A37EE"/>
    <w:rsid w:val="002A56EC"/>
    <w:rsid w:val="002A6B8E"/>
    <w:rsid w:val="002A725B"/>
    <w:rsid w:val="002B071A"/>
    <w:rsid w:val="002B093B"/>
    <w:rsid w:val="002B381C"/>
    <w:rsid w:val="002B419F"/>
    <w:rsid w:val="002B4655"/>
    <w:rsid w:val="002B4D57"/>
    <w:rsid w:val="002B54FA"/>
    <w:rsid w:val="002B60DD"/>
    <w:rsid w:val="002B65B9"/>
    <w:rsid w:val="002B692F"/>
    <w:rsid w:val="002B6A22"/>
    <w:rsid w:val="002B78E9"/>
    <w:rsid w:val="002C04ED"/>
    <w:rsid w:val="002C0782"/>
    <w:rsid w:val="002C0923"/>
    <w:rsid w:val="002C0D47"/>
    <w:rsid w:val="002C0DA6"/>
    <w:rsid w:val="002C147F"/>
    <w:rsid w:val="002C248B"/>
    <w:rsid w:val="002C2F20"/>
    <w:rsid w:val="002C3322"/>
    <w:rsid w:val="002C38E8"/>
    <w:rsid w:val="002C3D5D"/>
    <w:rsid w:val="002C48AF"/>
    <w:rsid w:val="002C5E41"/>
    <w:rsid w:val="002C6711"/>
    <w:rsid w:val="002C69A8"/>
    <w:rsid w:val="002D0023"/>
    <w:rsid w:val="002D18C4"/>
    <w:rsid w:val="002D2A01"/>
    <w:rsid w:val="002D33C0"/>
    <w:rsid w:val="002D5CAD"/>
    <w:rsid w:val="002D5D22"/>
    <w:rsid w:val="002D7472"/>
    <w:rsid w:val="002E034F"/>
    <w:rsid w:val="002E1D89"/>
    <w:rsid w:val="002E36BA"/>
    <w:rsid w:val="002E3C82"/>
    <w:rsid w:val="002E4216"/>
    <w:rsid w:val="002E44FB"/>
    <w:rsid w:val="002E4AE9"/>
    <w:rsid w:val="002E554B"/>
    <w:rsid w:val="002E7379"/>
    <w:rsid w:val="002F0085"/>
    <w:rsid w:val="002F0CAD"/>
    <w:rsid w:val="002F1776"/>
    <w:rsid w:val="002F2DDC"/>
    <w:rsid w:val="002F30F7"/>
    <w:rsid w:val="002F3E65"/>
    <w:rsid w:val="002F405E"/>
    <w:rsid w:val="002F471F"/>
    <w:rsid w:val="002F4935"/>
    <w:rsid w:val="002F5C7C"/>
    <w:rsid w:val="002F641C"/>
    <w:rsid w:val="002F6CB2"/>
    <w:rsid w:val="002F7930"/>
    <w:rsid w:val="00300112"/>
    <w:rsid w:val="003003CD"/>
    <w:rsid w:val="003008FF"/>
    <w:rsid w:val="00300975"/>
    <w:rsid w:val="00301FFD"/>
    <w:rsid w:val="003022E4"/>
    <w:rsid w:val="003023A0"/>
    <w:rsid w:val="003023A8"/>
    <w:rsid w:val="00304F42"/>
    <w:rsid w:val="003056DE"/>
    <w:rsid w:val="00305824"/>
    <w:rsid w:val="00305EF1"/>
    <w:rsid w:val="00306736"/>
    <w:rsid w:val="003072DA"/>
    <w:rsid w:val="0030738E"/>
    <w:rsid w:val="003076AC"/>
    <w:rsid w:val="00310786"/>
    <w:rsid w:val="003111D5"/>
    <w:rsid w:val="003113A3"/>
    <w:rsid w:val="00313648"/>
    <w:rsid w:val="003136A8"/>
    <w:rsid w:val="003137AB"/>
    <w:rsid w:val="003147E3"/>
    <w:rsid w:val="00315098"/>
    <w:rsid w:val="003159A7"/>
    <w:rsid w:val="003163E8"/>
    <w:rsid w:val="0031780A"/>
    <w:rsid w:val="00320FF6"/>
    <w:rsid w:val="00321BC8"/>
    <w:rsid w:val="00322F2C"/>
    <w:rsid w:val="003231E3"/>
    <w:rsid w:val="00325916"/>
    <w:rsid w:val="0032632B"/>
    <w:rsid w:val="003310A7"/>
    <w:rsid w:val="0033147A"/>
    <w:rsid w:val="00331936"/>
    <w:rsid w:val="00331FD7"/>
    <w:rsid w:val="0033202E"/>
    <w:rsid w:val="0033348C"/>
    <w:rsid w:val="003334C6"/>
    <w:rsid w:val="00333789"/>
    <w:rsid w:val="00334574"/>
    <w:rsid w:val="00334904"/>
    <w:rsid w:val="00335D5D"/>
    <w:rsid w:val="003364B2"/>
    <w:rsid w:val="00337481"/>
    <w:rsid w:val="00337563"/>
    <w:rsid w:val="003376ED"/>
    <w:rsid w:val="00337956"/>
    <w:rsid w:val="00340184"/>
    <w:rsid w:val="00340B02"/>
    <w:rsid w:val="0034121C"/>
    <w:rsid w:val="00343643"/>
    <w:rsid w:val="003448BE"/>
    <w:rsid w:val="00344A9A"/>
    <w:rsid w:val="00344C60"/>
    <w:rsid w:val="00346BF6"/>
    <w:rsid w:val="00347652"/>
    <w:rsid w:val="00350764"/>
    <w:rsid w:val="00350B71"/>
    <w:rsid w:val="00351B05"/>
    <w:rsid w:val="00352C8D"/>
    <w:rsid w:val="00353A92"/>
    <w:rsid w:val="00353E6D"/>
    <w:rsid w:val="00353FF7"/>
    <w:rsid w:val="003566C5"/>
    <w:rsid w:val="003566C8"/>
    <w:rsid w:val="0035671C"/>
    <w:rsid w:val="003568D6"/>
    <w:rsid w:val="00357252"/>
    <w:rsid w:val="00360789"/>
    <w:rsid w:val="00360969"/>
    <w:rsid w:val="00360DDD"/>
    <w:rsid w:val="00361948"/>
    <w:rsid w:val="00361A96"/>
    <w:rsid w:val="00362532"/>
    <w:rsid w:val="003625D4"/>
    <w:rsid w:val="003633BE"/>
    <w:rsid w:val="00363EE5"/>
    <w:rsid w:val="00364AC2"/>
    <w:rsid w:val="00364B5B"/>
    <w:rsid w:val="00364E7B"/>
    <w:rsid w:val="003665B8"/>
    <w:rsid w:val="00366CFE"/>
    <w:rsid w:val="0037124F"/>
    <w:rsid w:val="003725EE"/>
    <w:rsid w:val="0037548D"/>
    <w:rsid w:val="00375A86"/>
    <w:rsid w:val="00375F0B"/>
    <w:rsid w:val="00376D8D"/>
    <w:rsid w:val="00376DC7"/>
    <w:rsid w:val="00380BA3"/>
    <w:rsid w:val="00380ED0"/>
    <w:rsid w:val="00380F3F"/>
    <w:rsid w:val="003813BA"/>
    <w:rsid w:val="0038193A"/>
    <w:rsid w:val="003821F1"/>
    <w:rsid w:val="003827C6"/>
    <w:rsid w:val="00384ABC"/>
    <w:rsid w:val="00385291"/>
    <w:rsid w:val="00385467"/>
    <w:rsid w:val="003856AE"/>
    <w:rsid w:val="00386869"/>
    <w:rsid w:val="0039091C"/>
    <w:rsid w:val="00390C6F"/>
    <w:rsid w:val="003911CF"/>
    <w:rsid w:val="00391707"/>
    <w:rsid w:val="00391797"/>
    <w:rsid w:val="003929C6"/>
    <w:rsid w:val="00393917"/>
    <w:rsid w:val="00395C37"/>
    <w:rsid w:val="00395E45"/>
    <w:rsid w:val="00397094"/>
    <w:rsid w:val="00397505"/>
    <w:rsid w:val="003A23FA"/>
    <w:rsid w:val="003A2FE8"/>
    <w:rsid w:val="003A3343"/>
    <w:rsid w:val="003A3DE2"/>
    <w:rsid w:val="003A4DD1"/>
    <w:rsid w:val="003A4EF3"/>
    <w:rsid w:val="003A64FF"/>
    <w:rsid w:val="003B102E"/>
    <w:rsid w:val="003B3352"/>
    <w:rsid w:val="003B37C5"/>
    <w:rsid w:val="003B43FE"/>
    <w:rsid w:val="003B49ED"/>
    <w:rsid w:val="003B5869"/>
    <w:rsid w:val="003B6C91"/>
    <w:rsid w:val="003B797D"/>
    <w:rsid w:val="003C070E"/>
    <w:rsid w:val="003C0E57"/>
    <w:rsid w:val="003C1A04"/>
    <w:rsid w:val="003C205C"/>
    <w:rsid w:val="003C261F"/>
    <w:rsid w:val="003C3D8F"/>
    <w:rsid w:val="003C4121"/>
    <w:rsid w:val="003C41CE"/>
    <w:rsid w:val="003C44ED"/>
    <w:rsid w:val="003C62D2"/>
    <w:rsid w:val="003C729F"/>
    <w:rsid w:val="003D07C5"/>
    <w:rsid w:val="003D08BB"/>
    <w:rsid w:val="003D205A"/>
    <w:rsid w:val="003D2490"/>
    <w:rsid w:val="003D33BB"/>
    <w:rsid w:val="003D430E"/>
    <w:rsid w:val="003D4AE3"/>
    <w:rsid w:val="003D52B9"/>
    <w:rsid w:val="003D5A12"/>
    <w:rsid w:val="003D5E9D"/>
    <w:rsid w:val="003D62F9"/>
    <w:rsid w:val="003D668E"/>
    <w:rsid w:val="003D79BB"/>
    <w:rsid w:val="003E024E"/>
    <w:rsid w:val="003E3380"/>
    <w:rsid w:val="003E4AD1"/>
    <w:rsid w:val="003E4D39"/>
    <w:rsid w:val="003E57A0"/>
    <w:rsid w:val="003E5CC1"/>
    <w:rsid w:val="003E6B4D"/>
    <w:rsid w:val="003E74C9"/>
    <w:rsid w:val="003F25BB"/>
    <w:rsid w:val="003F4A59"/>
    <w:rsid w:val="003F6F9B"/>
    <w:rsid w:val="003F749E"/>
    <w:rsid w:val="003F7BF5"/>
    <w:rsid w:val="0040101D"/>
    <w:rsid w:val="00401A54"/>
    <w:rsid w:val="00403FA6"/>
    <w:rsid w:val="0040685D"/>
    <w:rsid w:val="00406F1A"/>
    <w:rsid w:val="00407694"/>
    <w:rsid w:val="004101B0"/>
    <w:rsid w:val="004102E6"/>
    <w:rsid w:val="00411202"/>
    <w:rsid w:val="004118BF"/>
    <w:rsid w:val="004122BD"/>
    <w:rsid w:val="004124EF"/>
    <w:rsid w:val="00412D58"/>
    <w:rsid w:val="00413357"/>
    <w:rsid w:val="00413BEE"/>
    <w:rsid w:val="00413C13"/>
    <w:rsid w:val="00414464"/>
    <w:rsid w:val="00414B2D"/>
    <w:rsid w:val="00414BC7"/>
    <w:rsid w:val="00415251"/>
    <w:rsid w:val="00415856"/>
    <w:rsid w:val="0041636B"/>
    <w:rsid w:val="00417FF8"/>
    <w:rsid w:val="00421ABB"/>
    <w:rsid w:val="004242EF"/>
    <w:rsid w:val="00425155"/>
    <w:rsid w:val="004259BE"/>
    <w:rsid w:val="00427324"/>
    <w:rsid w:val="00427C6E"/>
    <w:rsid w:val="00430425"/>
    <w:rsid w:val="0043192A"/>
    <w:rsid w:val="00431E3B"/>
    <w:rsid w:val="004320CB"/>
    <w:rsid w:val="004322E2"/>
    <w:rsid w:val="00432C38"/>
    <w:rsid w:val="004345EE"/>
    <w:rsid w:val="00434D25"/>
    <w:rsid w:val="00434D67"/>
    <w:rsid w:val="004355FC"/>
    <w:rsid w:val="00436544"/>
    <w:rsid w:val="00436BC1"/>
    <w:rsid w:val="00437AB6"/>
    <w:rsid w:val="004400CA"/>
    <w:rsid w:val="00440659"/>
    <w:rsid w:val="004412C2"/>
    <w:rsid w:val="0044199B"/>
    <w:rsid w:val="004432C4"/>
    <w:rsid w:val="0044394A"/>
    <w:rsid w:val="0044420D"/>
    <w:rsid w:val="00444280"/>
    <w:rsid w:val="00444460"/>
    <w:rsid w:val="00444888"/>
    <w:rsid w:val="0044598A"/>
    <w:rsid w:val="00445DAD"/>
    <w:rsid w:val="00446E92"/>
    <w:rsid w:val="004470B4"/>
    <w:rsid w:val="0044734D"/>
    <w:rsid w:val="004501B3"/>
    <w:rsid w:val="00450550"/>
    <w:rsid w:val="00450F57"/>
    <w:rsid w:val="00451236"/>
    <w:rsid w:val="00453885"/>
    <w:rsid w:val="00454326"/>
    <w:rsid w:val="004547FE"/>
    <w:rsid w:val="0045485B"/>
    <w:rsid w:val="00456A2B"/>
    <w:rsid w:val="00457793"/>
    <w:rsid w:val="00460364"/>
    <w:rsid w:val="004604BA"/>
    <w:rsid w:val="00460D05"/>
    <w:rsid w:val="0046117B"/>
    <w:rsid w:val="0046160A"/>
    <w:rsid w:val="00462C28"/>
    <w:rsid w:val="004665B0"/>
    <w:rsid w:val="00467B09"/>
    <w:rsid w:val="004705BB"/>
    <w:rsid w:val="0047089C"/>
    <w:rsid w:val="0047172F"/>
    <w:rsid w:val="00471F97"/>
    <w:rsid w:val="004729E7"/>
    <w:rsid w:val="00473137"/>
    <w:rsid w:val="004733B2"/>
    <w:rsid w:val="00474CD5"/>
    <w:rsid w:val="00475233"/>
    <w:rsid w:val="0047741E"/>
    <w:rsid w:val="00477433"/>
    <w:rsid w:val="00480D2F"/>
    <w:rsid w:val="00481EB0"/>
    <w:rsid w:val="00482C27"/>
    <w:rsid w:val="004830DC"/>
    <w:rsid w:val="00483889"/>
    <w:rsid w:val="0048441C"/>
    <w:rsid w:val="0048721A"/>
    <w:rsid w:val="00487B87"/>
    <w:rsid w:val="00487C6B"/>
    <w:rsid w:val="00490D11"/>
    <w:rsid w:val="00491568"/>
    <w:rsid w:val="00491CB3"/>
    <w:rsid w:val="00491D03"/>
    <w:rsid w:val="00492362"/>
    <w:rsid w:val="00492E54"/>
    <w:rsid w:val="00493DD9"/>
    <w:rsid w:val="00494814"/>
    <w:rsid w:val="00494A19"/>
    <w:rsid w:val="004960EB"/>
    <w:rsid w:val="0049670D"/>
    <w:rsid w:val="00496754"/>
    <w:rsid w:val="0049693A"/>
    <w:rsid w:val="004975ED"/>
    <w:rsid w:val="004977E2"/>
    <w:rsid w:val="00497F41"/>
    <w:rsid w:val="004A03CA"/>
    <w:rsid w:val="004A1B77"/>
    <w:rsid w:val="004A2047"/>
    <w:rsid w:val="004A25C1"/>
    <w:rsid w:val="004A3313"/>
    <w:rsid w:val="004A36E5"/>
    <w:rsid w:val="004A3B7F"/>
    <w:rsid w:val="004A3C4C"/>
    <w:rsid w:val="004A524D"/>
    <w:rsid w:val="004A57EC"/>
    <w:rsid w:val="004B037D"/>
    <w:rsid w:val="004B0F72"/>
    <w:rsid w:val="004B1487"/>
    <w:rsid w:val="004B26EF"/>
    <w:rsid w:val="004B2E15"/>
    <w:rsid w:val="004B2E4A"/>
    <w:rsid w:val="004B30DA"/>
    <w:rsid w:val="004B31EF"/>
    <w:rsid w:val="004B3E1C"/>
    <w:rsid w:val="004B421C"/>
    <w:rsid w:val="004B4640"/>
    <w:rsid w:val="004B4CD5"/>
    <w:rsid w:val="004B4D20"/>
    <w:rsid w:val="004B5296"/>
    <w:rsid w:val="004B57A6"/>
    <w:rsid w:val="004B6860"/>
    <w:rsid w:val="004B7E8E"/>
    <w:rsid w:val="004C3208"/>
    <w:rsid w:val="004C3C5F"/>
    <w:rsid w:val="004C48B9"/>
    <w:rsid w:val="004C5451"/>
    <w:rsid w:val="004C54F8"/>
    <w:rsid w:val="004C5C74"/>
    <w:rsid w:val="004C77D5"/>
    <w:rsid w:val="004C7946"/>
    <w:rsid w:val="004D0087"/>
    <w:rsid w:val="004D0568"/>
    <w:rsid w:val="004D07A4"/>
    <w:rsid w:val="004D22D0"/>
    <w:rsid w:val="004D25D2"/>
    <w:rsid w:val="004D30AE"/>
    <w:rsid w:val="004D3EAD"/>
    <w:rsid w:val="004D5AAD"/>
    <w:rsid w:val="004D5DAB"/>
    <w:rsid w:val="004D6316"/>
    <w:rsid w:val="004D6D5A"/>
    <w:rsid w:val="004E0BBC"/>
    <w:rsid w:val="004E0C6E"/>
    <w:rsid w:val="004E1CF1"/>
    <w:rsid w:val="004E2915"/>
    <w:rsid w:val="004E2A6E"/>
    <w:rsid w:val="004E527D"/>
    <w:rsid w:val="004E5C8C"/>
    <w:rsid w:val="004E5EC9"/>
    <w:rsid w:val="004E614A"/>
    <w:rsid w:val="004F0530"/>
    <w:rsid w:val="004F08F7"/>
    <w:rsid w:val="004F0A3A"/>
    <w:rsid w:val="004F0B4D"/>
    <w:rsid w:val="004F2819"/>
    <w:rsid w:val="004F3392"/>
    <w:rsid w:val="004F4BCE"/>
    <w:rsid w:val="004F5376"/>
    <w:rsid w:val="004F67F6"/>
    <w:rsid w:val="004F7A21"/>
    <w:rsid w:val="0050069B"/>
    <w:rsid w:val="00500D5E"/>
    <w:rsid w:val="005012ED"/>
    <w:rsid w:val="0050228B"/>
    <w:rsid w:val="00503C59"/>
    <w:rsid w:val="0050528C"/>
    <w:rsid w:val="005052A7"/>
    <w:rsid w:val="0050565E"/>
    <w:rsid w:val="00505D03"/>
    <w:rsid w:val="00510E25"/>
    <w:rsid w:val="00512214"/>
    <w:rsid w:val="00512E5D"/>
    <w:rsid w:val="00513CC8"/>
    <w:rsid w:val="0051491B"/>
    <w:rsid w:val="00514EDD"/>
    <w:rsid w:val="00515869"/>
    <w:rsid w:val="00515F5E"/>
    <w:rsid w:val="005162D1"/>
    <w:rsid w:val="00516A16"/>
    <w:rsid w:val="00517EC0"/>
    <w:rsid w:val="0052094C"/>
    <w:rsid w:val="005216E5"/>
    <w:rsid w:val="00522B84"/>
    <w:rsid w:val="00523EBC"/>
    <w:rsid w:val="00524C2C"/>
    <w:rsid w:val="00524F63"/>
    <w:rsid w:val="005250E1"/>
    <w:rsid w:val="0052605E"/>
    <w:rsid w:val="00530163"/>
    <w:rsid w:val="00530D7B"/>
    <w:rsid w:val="00531594"/>
    <w:rsid w:val="005321FC"/>
    <w:rsid w:val="005322A0"/>
    <w:rsid w:val="00532A90"/>
    <w:rsid w:val="00532CEA"/>
    <w:rsid w:val="00533D70"/>
    <w:rsid w:val="00534581"/>
    <w:rsid w:val="00534DFB"/>
    <w:rsid w:val="00536175"/>
    <w:rsid w:val="005365A6"/>
    <w:rsid w:val="005373CC"/>
    <w:rsid w:val="00541AD8"/>
    <w:rsid w:val="0054216B"/>
    <w:rsid w:val="00542725"/>
    <w:rsid w:val="00542982"/>
    <w:rsid w:val="00542F3A"/>
    <w:rsid w:val="00543182"/>
    <w:rsid w:val="005434F9"/>
    <w:rsid w:val="00544330"/>
    <w:rsid w:val="00544CF5"/>
    <w:rsid w:val="005513D0"/>
    <w:rsid w:val="00551756"/>
    <w:rsid w:val="005520F6"/>
    <w:rsid w:val="0055244E"/>
    <w:rsid w:val="005525AB"/>
    <w:rsid w:val="005532A7"/>
    <w:rsid w:val="00553380"/>
    <w:rsid w:val="005547BD"/>
    <w:rsid w:val="00554E46"/>
    <w:rsid w:val="00554E82"/>
    <w:rsid w:val="00555470"/>
    <w:rsid w:val="00555EA7"/>
    <w:rsid w:val="00560A7A"/>
    <w:rsid w:val="00560B00"/>
    <w:rsid w:val="00563359"/>
    <w:rsid w:val="00563D38"/>
    <w:rsid w:val="00563DD5"/>
    <w:rsid w:val="00563FE6"/>
    <w:rsid w:val="00565432"/>
    <w:rsid w:val="00565496"/>
    <w:rsid w:val="00566FD5"/>
    <w:rsid w:val="005676E5"/>
    <w:rsid w:val="00570BB8"/>
    <w:rsid w:val="00570BC1"/>
    <w:rsid w:val="00572B96"/>
    <w:rsid w:val="005733F5"/>
    <w:rsid w:val="005748BB"/>
    <w:rsid w:val="005757FE"/>
    <w:rsid w:val="00576235"/>
    <w:rsid w:val="00576739"/>
    <w:rsid w:val="00577119"/>
    <w:rsid w:val="00577B00"/>
    <w:rsid w:val="00577DB1"/>
    <w:rsid w:val="0058002B"/>
    <w:rsid w:val="00580750"/>
    <w:rsid w:val="005822B4"/>
    <w:rsid w:val="00582481"/>
    <w:rsid w:val="00582CEF"/>
    <w:rsid w:val="0058372E"/>
    <w:rsid w:val="00583972"/>
    <w:rsid w:val="00583991"/>
    <w:rsid w:val="00583C4B"/>
    <w:rsid w:val="00584669"/>
    <w:rsid w:val="0058588E"/>
    <w:rsid w:val="00586881"/>
    <w:rsid w:val="00587081"/>
    <w:rsid w:val="00587AD0"/>
    <w:rsid w:val="005900E2"/>
    <w:rsid w:val="00590632"/>
    <w:rsid w:val="0059069E"/>
    <w:rsid w:val="00591A87"/>
    <w:rsid w:val="005923E7"/>
    <w:rsid w:val="005929C3"/>
    <w:rsid w:val="005932F8"/>
    <w:rsid w:val="00593988"/>
    <w:rsid w:val="00594854"/>
    <w:rsid w:val="00594E71"/>
    <w:rsid w:val="0059524F"/>
    <w:rsid w:val="00595902"/>
    <w:rsid w:val="00595F2B"/>
    <w:rsid w:val="0059618A"/>
    <w:rsid w:val="00597EE4"/>
    <w:rsid w:val="005A007F"/>
    <w:rsid w:val="005A076F"/>
    <w:rsid w:val="005A0F1F"/>
    <w:rsid w:val="005A33F0"/>
    <w:rsid w:val="005A3D1C"/>
    <w:rsid w:val="005A41C2"/>
    <w:rsid w:val="005A5400"/>
    <w:rsid w:val="005A5716"/>
    <w:rsid w:val="005A5AAE"/>
    <w:rsid w:val="005A6433"/>
    <w:rsid w:val="005A687C"/>
    <w:rsid w:val="005A7AF4"/>
    <w:rsid w:val="005B0185"/>
    <w:rsid w:val="005B04A8"/>
    <w:rsid w:val="005B04C3"/>
    <w:rsid w:val="005B1236"/>
    <w:rsid w:val="005B2FD6"/>
    <w:rsid w:val="005B41CA"/>
    <w:rsid w:val="005B4F28"/>
    <w:rsid w:val="005B7BC6"/>
    <w:rsid w:val="005C1C62"/>
    <w:rsid w:val="005C2270"/>
    <w:rsid w:val="005C2389"/>
    <w:rsid w:val="005C24AF"/>
    <w:rsid w:val="005C48B9"/>
    <w:rsid w:val="005C55C8"/>
    <w:rsid w:val="005C5D9F"/>
    <w:rsid w:val="005C5DAB"/>
    <w:rsid w:val="005C5FA3"/>
    <w:rsid w:val="005C65C3"/>
    <w:rsid w:val="005D08A7"/>
    <w:rsid w:val="005D14A7"/>
    <w:rsid w:val="005D1C9E"/>
    <w:rsid w:val="005D21B5"/>
    <w:rsid w:val="005D2389"/>
    <w:rsid w:val="005D23D1"/>
    <w:rsid w:val="005D2688"/>
    <w:rsid w:val="005D2C04"/>
    <w:rsid w:val="005D2DAB"/>
    <w:rsid w:val="005D2ED1"/>
    <w:rsid w:val="005D3BC2"/>
    <w:rsid w:val="005D4E66"/>
    <w:rsid w:val="005D4F8B"/>
    <w:rsid w:val="005D58A5"/>
    <w:rsid w:val="005D6962"/>
    <w:rsid w:val="005E05F6"/>
    <w:rsid w:val="005E0B91"/>
    <w:rsid w:val="005E1FE3"/>
    <w:rsid w:val="005E43CD"/>
    <w:rsid w:val="005E4F96"/>
    <w:rsid w:val="005E52B7"/>
    <w:rsid w:val="005E60C1"/>
    <w:rsid w:val="005E6661"/>
    <w:rsid w:val="005E71B7"/>
    <w:rsid w:val="005E72E2"/>
    <w:rsid w:val="005E743D"/>
    <w:rsid w:val="005E77C1"/>
    <w:rsid w:val="005F0217"/>
    <w:rsid w:val="005F1420"/>
    <w:rsid w:val="005F14E4"/>
    <w:rsid w:val="005F1EFB"/>
    <w:rsid w:val="005F2783"/>
    <w:rsid w:val="005F2FBA"/>
    <w:rsid w:val="005F529B"/>
    <w:rsid w:val="005F6134"/>
    <w:rsid w:val="005F6706"/>
    <w:rsid w:val="005F6F5D"/>
    <w:rsid w:val="005F6F6E"/>
    <w:rsid w:val="00600383"/>
    <w:rsid w:val="00600A02"/>
    <w:rsid w:val="00600B07"/>
    <w:rsid w:val="00600BD2"/>
    <w:rsid w:val="00601689"/>
    <w:rsid w:val="006029E5"/>
    <w:rsid w:val="0060379C"/>
    <w:rsid w:val="00610587"/>
    <w:rsid w:val="006111C4"/>
    <w:rsid w:val="006115F3"/>
    <w:rsid w:val="006128B2"/>
    <w:rsid w:val="00612ACE"/>
    <w:rsid w:val="006137F1"/>
    <w:rsid w:val="00613BDD"/>
    <w:rsid w:val="00613E82"/>
    <w:rsid w:val="00613ECA"/>
    <w:rsid w:val="0061443E"/>
    <w:rsid w:val="00614E9D"/>
    <w:rsid w:val="006202AD"/>
    <w:rsid w:val="006225AB"/>
    <w:rsid w:val="00622BE3"/>
    <w:rsid w:val="00622EDB"/>
    <w:rsid w:val="00623FDF"/>
    <w:rsid w:val="0062408D"/>
    <w:rsid w:val="006241F8"/>
    <w:rsid w:val="00624A1F"/>
    <w:rsid w:val="00624CBB"/>
    <w:rsid w:val="0062523A"/>
    <w:rsid w:val="006256B2"/>
    <w:rsid w:val="00630B8E"/>
    <w:rsid w:val="00631DA8"/>
    <w:rsid w:val="00631FA2"/>
    <w:rsid w:val="006320F6"/>
    <w:rsid w:val="00632EA1"/>
    <w:rsid w:val="00633864"/>
    <w:rsid w:val="00635ED2"/>
    <w:rsid w:val="00636078"/>
    <w:rsid w:val="006377D8"/>
    <w:rsid w:val="006404D7"/>
    <w:rsid w:val="00641282"/>
    <w:rsid w:val="006415A9"/>
    <w:rsid w:val="00641955"/>
    <w:rsid w:val="00642D99"/>
    <w:rsid w:val="006437C1"/>
    <w:rsid w:val="00643CFE"/>
    <w:rsid w:val="0064499E"/>
    <w:rsid w:val="00647180"/>
    <w:rsid w:val="006500C9"/>
    <w:rsid w:val="00652759"/>
    <w:rsid w:val="0065282F"/>
    <w:rsid w:val="00652AD4"/>
    <w:rsid w:val="00653348"/>
    <w:rsid w:val="006540D2"/>
    <w:rsid w:val="00654909"/>
    <w:rsid w:val="00654EFF"/>
    <w:rsid w:val="00656733"/>
    <w:rsid w:val="006605AD"/>
    <w:rsid w:val="00662A33"/>
    <w:rsid w:val="0066379F"/>
    <w:rsid w:val="00664B4C"/>
    <w:rsid w:val="00665B2D"/>
    <w:rsid w:val="00666B75"/>
    <w:rsid w:val="00666CEE"/>
    <w:rsid w:val="00667321"/>
    <w:rsid w:val="00670142"/>
    <w:rsid w:val="0067145A"/>
    <w:rsid w:val="00672217"/>
    <w:rsid w:val="00672874"/>
    <w:rsid w:val="00673209"/>
    <w:rsid w:val="006752DC"/>
    <w:rsid w:val="00676409"/>
    <w:rsid w:val="006768A7"/>
    <w:rsid w:val="00676D8D"/>
    <w:rsid w:val="00677D55"/>
    <w:rsid w:val="006802EC"/>
    <w:rsid w:val="00680C13"/>
    <w:rsid w:val="00682842"/>
    <w:rsid w:val="00683482"/>
    <w:rsid w:val="00685512"/>
    <w:rsid w:val="00686B53"/>
    <w:rsid w:val="00687127"/>
    <w:rsid w:val="00690C5B"/>
    <w:rsid w:val="0069191C"/>
    <w:rsid w:val="00691E04"/>
    <w:rsid w:val="00692311"/>
    <w:rsid w:val="00693A9F"/>
    <w:rsid w:val="00694C84"/>
    <w:rsid w:val="006955A3"/>
    <w:rsid w:val="00696BC1"/>
    <w:rsid w:val="006A1D54"/>
    <w:rsid w:val="006A446C"/>
    <w:rsid w:val="006A52D6"/>
    <w:rsid w:val="006A6B45"/>
    <w:rsid w:val="006A7DDB"/>
    <w:rsid w:val="006B04B4"/>
    <w:rsid w:val="006B083F"/>
    <w:rsid w:val="006B137D"/>
    <w:rsid w:val="006B1512"/>
    <w:rsid w:val="006B2BB6"/>
    <w:rsid w:val="006B2D5B"/>
    <w:rsid w:val="006B2FA2"/>
    <w:rsid w:val="006B48FF"/>
    <w:rsid w:val="006C0896"/>
    <w:rsid w:val="006C0AA8"/>
    <w:rsid w:val="006C2B07"/>
    <w:rsid w:val="006C2CB4"/>
    <w:rsid w:val="006C3DA0"/>
    <w:rsid w:val="006C4D26"/>
    <w:rsid w:val="006C5B8B"/>
    <w:rsid w:val="006C66E8"/>
    <w:rsid w:val="006C6A37"/>
    <w:rsid w:val="006C7AB8"/>
    <w:rsid w:val="006C7CEC"/>
    <w:rsid w:val="006D079D"/>
    <w:rsid w:val="006D09AF"/>
    <w:rsid w:val="006D22CF"/>
    <w:rsid w:val="006D3FCD"/>
    <w:rsid w:val="006D522A"/>
    <w:rsid w:val="006D6EBD"/>
    <w:rsid w:val="006D7C5C"/>
    <w:rsid w:val="006D7D01"/>
    <w:rsid w:val="006E08D9"/>
    <w:rsid w:val="006E159B"/>
    <w:rsid w:val="006E18B4"/>
    <w:rsid w:val="006E1DFD"/>
    <w:rsid w:val="006E27DB"/>
    <w:rsid w:val="006E2AE1"/>
    <w:rsid w:val="006E2DE1"/>
    <w:rsid w:val="006E4613"/>
    <w:rsid w:val="006E4F89"/>
    <w:rsid w:val="006E5C21"/>
    <w:rsid w:val="006E5D79"/>
    <w:rsid w:val="006E650E"/>
    <w:rsid w:val="006E6C88"/>
    <w:rsid w:val="006E72E7"/>
    <w:rsid w:val="006F14BF"/>
    <w:rsid w:val="006F1A5B"/>
    <w:rsid w:val="006F26C7"/>
    <w:rsid w:val="006F2B76"/>
    <w:rsid w:val="006F33DA"/>
    <w:rsid w:val="006F4A47"/>
    <w:rsid w:val="006F54B7"/>
    <w:rsid w:val="006F5CD1"/>
    <w:rsid w:val="006F602A"/>
    <w:rsid w:val="0070041C"/>
    <w:rsid w:val="00700D7D"/>
    <w:rsid w:val="00701724"/>
    <w:rsid w:val="007020C0"/>
    <w:rsid w:val="00703688"/>
    <w:rsid w:val="007038AF"/>
    <w:rsid w:val="007038B0"/>
    <w:rsid w:val="007049B9"/>
    <w:rsid w:val="00705579"/>
    <w:rsid w:val="007060B2"/>
    <w:rsid w:val="0070630C"/>
    <w:rsid w:val="00706A5E"/>
    <w:rsid w:val="007100F4"/>
    <w:rsid w:val="0071314C"/>
    <w:rsid w:val="007163E6"/>
    <w:rsid w:val="00716D54"/>
    <w:rsid w:val="00716D66"/>
    <w:rsid w:val="00717126"/>
    <w:rsid w:val="00717CF4"/>
    <w:rsid w:val="007216E8"/>
    <w:rsid w:val="00722F21"/>
    <w:rsid w:val="0072429F"/>
    <w:rsid w:val="0072587D"/>
    <w:rsid w:val="00725B4C"/>
    <w:rsid w:val="00725E44"/>
    <w:rsid w:val="00726354"/>
    <w:rsid w:val="00726AC9"/>
    <w:rsid w:val="00726EAE"/>
    <w:rsid w:val="007272D1"/>
    <w:rsid w:val="0072794B"/>
    <w:rsid w:val="007300B3"/>
    <w:rsid w:val="007306BE"/>
    <w:rsid w:val="0073232E"/>
    <w:rsid w:val="00732EB0"/>
    <w:rsid w:val="00733415"/>
    <w:rsid w:val="00733713"/>
    <w:rsid w:val="00734330"/>
    <w:rsid w:val="007347F9"/>
    <w:rsid w:val="0073506C"/>
    <w:rsid w:val="00736330"/>
    <w:rsid w:val="00736C27"/>
    <w:rsid w:val="007421B8"/>
    <w:rsid w:val="00742B28"/>
    <w:rsid w:val="0074302D"/>
    <w:rsid w:val="007435DD"/>
    <w:rsid w:val="007445A8"/>
    <w:rsid w:val="00744B1C"/>
    <w:rsid w:val="007453F5"/>
    <w:rsid w:val="007458AA"/>
    <w:rsid w:val="007469CF"/>
    <w:rsid w:val="00746F5A"/>
    <w:rsid w:val="00746FE2"/>
    <w:rsid w:val="00747D6E"/>
    <w:rsid w:val="0075007E"/>
    <w:rsid w:val="00750374"/>
    <w:rsid w:val="0075103B"/>
    <w:rsid w:val="00754795"/>
    <w:rsid w:val="007554CF"/>
    <w:rsid w:val="00755BE1"/>
    <w:rsid w:val="00756BE0"/>
    <w:rsid w:val="00756C72"/>
    <w:rsid w:val="00760104"/>
    <w:rsid w:val="007603ED"/>
    <w:rsid w:val="007608C7"/>
    <w:rsid w:val="00761CF1"/>
    <w:rsid w:val="007641F7"/>
    <w:rsid w:val="00764D7B"/>
    <w:rsid w:val="0076535E"/>
    <w:rsid w:val="00771626"/>
    <w:rsid w:val="007721E5"/>
    <w:rsid w:val="007723BD"/>
    <w:rsid w:val="007747BE"/>
    <w:rsid w:val="007767B9"/>
    <w:rsid w:val="00776D99"/>
    <w:rsid w:val="00780149"/>
    <w:rsid w:val="00780A75"/>
    <w:rsid w:val="007827A8"/>
    <w:rsid w:val="00782DCD"/>
    <w:rsid w:val="007844F3"/>
    <w:rsid w:val="007868F0"/>
    <w:rsid w:val="0078772D"/>
    <w:rsid w:val="007878A0"/>
    <w:rsid w:val="00790E03"/>
    <w:rsid w:val="00791799"/>
    <w:rsid w:val="00792878"/>
    <w:rsid w:val="007938DF"/>
    <w:rsid w:val="00794347"/>
    <w:rsid w:val="007944B5"/>
    <w:rsid w:val="007952CA"/>
    <w:rsid w:val="00795C5E"/>
    <w:rsid w:val="00797209"/>
    <w:rsid w:val="007A0B43"/>
    <w:rsid w:val="007A0ECA"/>
    <w:rsid w:val="007A1572"/>
    <w:rsid w:val="007A4A2F"/>
    <w:rsid w:val="007A5629"/>
    <w:rsid w:val="007A5AF7"/>
    <w:rsid w:val="007A5EC9"/>
    <w:rsid w:val="007A6113"/>
    <w:rsid w:val="007A612F"/>
    <w:rsid w:val="007A6E93"/>
    <w:rsid w:val="007B35E6"/>
    <w:rsid w:val="007B529B"/>
    <w:rsid w:val="007B5C13"/>
    <w:rsid w:val="007B68C2"/>
    <w:rsid w:val="007B7820"/>
    <w:rsid w:val="007B7AC3"/>
    <w:rsid w:val="007C0F66"/>
    <w:rsid w:val="007C19E9"/>
    <w:rsid w:val="007C27C5"/>
    <w:rsid w:val="007C32BF"/>
    <w:rsid w:val="007C5187"/>
    <w:rsid w:val="007C5E46"/>
    <w:rsid w:val="007C66F3"/>
    <w:rsid w:val="007C6F55"/>
    <w:rsid w:val="007C7A8E"/>
    <w:rsid w:val="007D00E6"/>
    <w:rsid w:val="007D04AB"/>
    <w:rsid w:val="007D0A0E"/>
    <w:rsid w:val="007D0A32"/>
    <w:rsid w:val="007D1B2F"/>
    <w:rsid w:val="007D26C3"/>
    <w:rsid w:val="007D2EF7"/>
    <w:rsid w:val="007D3648"/>
    <w:rsid w:val="007D3DC6"/>
    <w:rsid w:val="007D436E"/>
    <w:rsid w:val="007D5622"/>
    <w:rsid w:val="007D583E"/>
    <w:rsid w:val="007D5E05"/>
    <w:rsid w:val="007D5E97"/>
    <w:rsid w:val="007D7408"/>
    <w:rsid w:val="007D7F7E"/>
    <w:rsid w:val="007E0D8A"/>
    <w:rsid w:val="007E1B06"/>
    <w:rsid w:val="007E1F76"/>
    <w:rsid w:val="007E3364"/>
    <w:rsid w:val="007E3661"/>
    <w:rsid w:val="007E4930"/>
    <w:rsid w:val="007E55D0"/>
    <w:rsid w:val="007E640A"/>
    <w:rsid w:val="007E6A42"/>
    <w:rsid w:val="007E7453"/>
    <w:rsid w:val="007F0974"/>
    <w:rsid w:val="007F0BAA"/>
    <w:rsid w:val="007F1D30"/>
    <w:rsid w:val="007F298D"/>
    <w:rsid w:val="007F41F8"/>
    <w:rsid w:val="007F6335"/>
    <w:rsid w:val="007F773F"/>
    <w:rsid w:val="007F7B05"/>
    <w:rsid w:val="008014AE"/>
    <w:rsid w:val="0080189E"/>
    <w:rsid w:val="00802160"/>
    <w:rsid w:val="00802BA4"/>
    <w:rsid w:val="00803BFB"/>
    <w:rsid w:val="00804BA7"/>
    <w:rsid w:val="00804EA4"/>
    <w:rsid w:val="00804EDA"/>
    <w:rsid w:val="008051B2"/>
    <w:rsid w:val="00806836"/>
    <w:rsid w:val="00807476"/>
    <w:rsid w:val="00810394"/>
    <w:rsid w:val="00810A96"/>
    <w:rsid w:val="008118C8"/>
    <w:rsid w:val="00811E58"/>
    <w:rsid w:val="00812301"/>
    <w:rsid w:val="00812729"/>
    <w:rsid w:val="008143EC"/>
    <w:rsid w:val="0081579B"/>
    <w:rsid w:val="008168B2"/>
    <w:rsid w:val="00816A32"/>
    <w:rsid w:val="00816F96"/>
    <w:rsid w:val="00817365"/>
    <w:rsid w:val="008178E8"/>
    <w:rsid w:val="00820173"/>
    <w:rsid w:val="0082124B"/>
    <w:rsid w:val="00821743"/>
    <w:rsid w:val="00822F20"/>
    <w:rsid w:val="00824684"/>
    <w:rsid w:val="00824ED3"/>
    <w:rsid w:val="008250BA"/>
    <w:rsid w:val="00825922"/>
    <w:rsid w:val="00831518"/>
    <w:rsid w:val="0083154E"/>
    <w:rsid w:val="008318BC"/>
    <w:rsid w:val="008323D2"/>
    <w:rsid w:val="00832BBC"/>
    <w:rsid w:val="00833FDA"/>
    <w:rsid w:val="00834A28"/>
    <w:rsid w:val="00835824"/>
    <w:rsid w:val="008358BB"/>
    <w:rsid w:val="0083614A"/>
    <w:rsid w:val="0083759E"/>
    <w:rsid w:val="00840406"/>
    <w:rsid w:val="00841F27"/>
    <w:rsid w:val="00842D7E"/>
    <w:rsid w:val="0084303A"/>
    <w:rsid w:val="00843B10"/>
    <w:rsid w:val="00845789"/>
    <w:rsid w:val="008464E0"/>
    <w:rsid w:val="0084652F"/>
    <w:rsid w:val="00846D5C"/>
    <w:rsid w:val="0084720B"/>
    <w:rsid w:val="00847289"/>
    <w:rsid w:val="00847546"/>
    <w:rsid w:val="00847887"/>
    <w:rsid w:val="00847EC7"/>
    <w:rsid w:val="00850FDE"/>
    <w:rsid w:val="008530FC"/>
    <w:rsid w:val="00855994"/>
    <w:rsid w:val="00856605"/>
    <w:rsid w:val="00856707"/>
    <w:rsid w:val="008603AC"/>
    <w:rsid w:val="0086042E"/>
    <w:rsid w:val="008634BD"/>
    <w:rsid w:val="00863DB1"/>
    <w:rsid w:val="008658A4"/>
    <w:rsid w:val="00866475"/>
    <w:rsid w:val="00866941"/>
    <w:rsid w:val="00867915"/>
    <w:rsid w:val="00870D54"/>
    <w:rsid w:val="00872BCC"/>
    <w:rsid w:val="00872C51"/>
    <w:rsid w:val="00873534"/>
    <w:rsid w:val="00873BEA"/>
    <w:rsid w:val="008748DD"/>
    <w:rsid w:val="008758C1"/>
    <w:rsid w:val="00876084"/>
    <w:rsid w:val="008768ED"/>
    <w:rsid w:val="00876A9C"/>
    <w:rsid w:val="008770AA"/>
    <w:rsid w:val="00877593"/>
    <w:rsid w:val="00877952"/>
    <w:rsid w:val="00877E6E"/>
    <w:rsid w:val="008800DD"/>
    <w:rsid w:val="00881442"/>
    <w:rsid w:val="00881CBE"/>
    <w:rsid w:val="00883041"/>
    <w:rsid w:val="008830E8"/>
    <w:rsid w:val="008833AD"/>
    <w:rsid w:val="0088425D"/>
    <w:rsid w:val="00884948"/>
    <w:rsid w:val="00884E6B"/>
    <w:rsid w:val="00886EA2"/>
    <w:rsid w:val="00887DAD"/>
    <w:rsid w:val="0089022F"/>
    <w:rsid w:val="008903CA"/>
    <w:rsid w:val="00890C07"/>
    <w:rsid w:val="008912F6"/>
    <w:rsid w:val="00891F8C"/>
    <w:rsid w:val="00892257"/>
    <w:rsid w:val="0089358D"/>
    <w:rsid w:val="00893BC7"/>
    <w:rsid w:val="00893F1D"/>
    <w:rsid w:val="00895940"/>
    <w:rsid w:val="008A2523"/>
    <w:rsid w:val="008A291B"/>
    <w:rsid w:val="008A440E"/>
    <w:rsid w:val="008A4913"/>
    <w:rsid w:val="008A65C4"/>
    <w:rsid w:val="008B0A71"/>
    <w:rsid w:val="008B0CCF"/>
    <w:rsid w:val="008B1169"/>
    <w:rsid w:val="008B14CD"/>
    <w:rsid w:val="008B2A91"/>
    <w:rsid w:val="008B2EF9"/>
    <w:rsid w:val="008B4440"/>
    <w:rsid w:val="008B4AC8"/>
    <w:rsid w:val="008B6230"/>
    <w:rsid w:val="008B6988"/>
    <w:rsid w:val="008B7DCF"/>
    <w:rsid w:val="008C00AE"/>
    <w:rsid w:val="008C01DA"/>
    <w:rsid w:val="008C1CB2"/>
    <w:rsid w:val="008C3F09"/>
    <w:rsid w:val="008C4024"/>
    <w:rsid w:val="008C6BC7"/>
    <w:rsid w:val="008C6E65"/>
    <w:rsid w:val="008C7009"/>
    <w:rsid w:val="008D24A8"/>
    <w:rsid w:val="008D3319"/>
    <w:rsid w:val="008D33A0"/>
    <w:rsid w:val="008D377C"/>
    <w:rsid w:val="008D4B3A"/>
    <w:rsid w:val="008D52BD"/>
    <w:rsid w:val="008D5589"/>
    <w:rsid w:val="008D57E1"/>
    <w:rsid w:val="008E05A7"/>
    <w:rsid w:val="008E0FBB"/>
    <w:rsid w:val="008E21CD"/>
    <w:rsid w:val="008E3C4F"/>
    <w:rsid w:val="008E3CB7"/>
    <w:rsid w:val="008E5F00"/>
    <w:rsid w:val="008E627F"/>
    <w:rsid w:val="008E6E94"/>
    <w:rsid w:val="008E7655"/>
    <w:rsid w:val="008E76F2"/>
    <w:rsid w:val="008F1E9F"/>
    <w:rsid w:val="008F283D"/>
    <w:rsid w:val="008F28F7"/>
    <w:rsid w:val="008F3A82"/>
    <w:rsid w:val="008F5A2A"/>
    <w:rsid w:val="008F6143"/>
    <w:rsid w:val="008F61F8"/>
    <w:rsid w:val="008F643D"/>
    <w:rsid w:val="008F65E6"/>
    <w:rsid w:val="008F6DF1"/>
    <w:rsid w:val="008F6EF7"/>
    <w:rsid w:val="008F711B"/>
    <w:rsid w:val="008F7F17"/>
    <w:rsid w:val="00900248"/>
    <w:rsid w:val="00900535"/>
    <w:rsid w:val="00901A60"/>
    <w:rsid w:val="00902C25"/>
    <w:rsid w:val="00903773"/>
    <w:rsid w:val="00906819"/>
    <w:rsid w:val="00911A31"/>
    <w:rsid w:val="0091222D"/>
    <w:rsid w:val="009128B6"/>
    <w:rsid w:val="00913164"/>
    <w:rsid w:val="009152F6"/>
    <w:rsid w:val="00917462"/>
    <w:rsid w:val="00917828"/>
    <w:rsid w:val="009210E8"/>
    <w:rsid w:val="00921556"/>
    <w:rsid w:val="00921E25"/>
    <w:rsid w:val="0092238A"/>
    <w:rsid w:val="00922491"/>
    <w:rsid w:val="009224B2"/>
    <w:rsid w:val="00923E07"/>
    <w:rsid w:val="00924DFC"/>
    <w:rsid w:val="00925F60"/>
    <w:rsid w:val="00925F99"/>
    <w:rsid w:val="0092686E"/>
    <w:rsid w:val="009312F1"/>
    <w:rsid w:val="0093161B"/>
    <w:rsid w:val="00931B80"/>
    <w:rsid w:val="00932D78"/>
    <w:rsid w:val="00934F45"/>
    <w:rsid w:val="00935B7B"/>
    <w:rsid w:val="00941811"/>
    <w:rsid w:val="0094390D"/>
    <w:rsid w:val="009441C7"/>
    <w:rsid w:val="00944F95"/>
    <w:rsid w:val="0094509B"/>
    <w:rsid w:val="0094517B"/>
    <w:rsid w:val="009457B9"/>
    <w:rsid w:val="0094589B"/>
    <w:rsid w:val="009460CC"/>
    <w:rsid w:val="009460EE"/>
    <w:rsid w:val="0094694E"/>
    <w:rsid w:val="00946E0D"/>
    <w:rsid w:val="00951D5A"/>
    <w:rsid w:val="00953135"/>
    <w:rsid w:val="00953EDD"/>
    <w:rsid w:val="00954D76"/>
    <w:rsid w:val="00956AA9"/>
    <w:rsid w:val="00956AF4"/>
    <w:rsid w:val="00957B46"/>
    <w:rsid w:val="00957ED8"/>
    <w:rsid w:val="0096003F"/>
    <w:rsid w:val="00960A67"/>
    <w:rsid w:val="00963805"/>
    <w:rsid w:val="00963986"/>
    <w:rsid w:val="00963B50"/>
    <w:rsid w:val="00965306"/>
    <w:rsid w:val="00965416"/>
    <w:rsid w:val="009658D5"/>
    <w:rsid w:val="00965DC3"/>
    <w:rsid w:val="0096666B"/>
    <w:rsid w:val="00967F31"/>
    <w:rsid w:val="009706C0"/>
    <w:rsid w:val="00970B95"/>
    <w:rsid w:val="00971016"/>
    <w:rsid w:val="00972301"/>
    <w:rsid w:val="009738AE"/>
    <w:rsid w:val="00973B10"/>
    <w:rsid w:val="00973DE4"/>
    <w:rsid w:val="00973E82"/>
    <w:rsid w:val="00974AFC"/>
    <w:rsid w:val="00976960"/>
    <w:rsid w:val="00977DAE"/>
    <w:rsid w:val="009844B9"/>
    <w:rsid w:val="009848AA"/>
    <w:rsid w:val="00984BAE"/>
    <w:rsid w:val="009852B7"/>
    <w:rsid w:val="009852C6"/>
    <w:rsid w:val="00985EF5"/>
    <w:rsid w:val="00986811"/>
    <w:rsid w:val="00993D5C"/>
    <w:rsid w:val="00994878"/>
    <w:rsid w:val="00995470"/>
    <w:rsid w:val="00996607"/>
    <w:rsid w:val="009974DA"/>
    <w:rsid w:val="009A1489"/>
    <w:rsid w:val="009A1E1A"/>
    <w:rsid w:val="009A20B6"/>
    <w:rsid w:val="009A27AC"/>
    <w:rsid w:val="009A428C"/>
    <w:rsid w:val="009A55CC"/>
    <w:rsid w:val="009B0417"/>
    <w:rsid w:val="009B11E7"/>
    <w:rsid w:val="009B15CB"/>
    <w:rsid w:val="009B2DD4"/>
    <w:rsid w:val="009B3503"/>
    <w:rsid w:val="009B3BC7"/>
    <w:rsid w:val="009B41DB"/>
    <w:rsid w:val="009B513C"/>
    <w:rsid w:val="009B5630"/>
    <w:rsid w:val="009B56B9"/>
    <w:rsid w:val="009B6F37"/>
    <w:rsid w:val="009B7390"/>
    <w:rsid w:val="009C017A"/>
    <w:rsid w:val="009C0A3E"/>
    <w:rsid w:val="009C3462"/>
    <w:rsid w:val="009C352F"/>
    <w:rsid w:val="009C451A"/>
    <w:rsid w:val="009C6A92"/>
    <w:rsid w:val="009C7060"/>
    <w:rsid w:val="009C7F55"/>
    <w:rsid w:val="009D235A"/>
    <w:rsid w:val="009D260D"/>
    <w:rsid w:val="009D3942"/>
    <w:rsid w:val="009D3BC7"/>
    <w:rsid w:val="009D4944"/>
    <w:rsid w:val="009D5AC4"/>
    <w:rsid w:val="009D6B59"/>
    <w:rsid w:val="009D7790"/>
    <w:rsid w:val="009E04AB"/>
    <w:rsid w:val="009E0C70"/>
    <w:rsid w:val="009E14B3"/>
    <w:rsid w:val="009E31A1"/>
    <w:rsid w:val="009E3BA7"/>
    <w:rsid w:val="009E4C7C"/>
    <w:rsid w:val="009E53EE"/>
    <w:rsid w:val="009E73C6"/>
    <w:rsid w:val="009F08AB"/>
    <w:rsid w:val="009F136F"/>
    <w:rsid w:val="009F1CCD"/>
    <w:rsid w:val="009F2120"/>
    <w:rsid w:val="009F308B"/>
    <w:rsid w:val="009F461B"/>
    <w:rsid w:val="009F508C"/>
    <w:rsid w:val="009F5AD3"/>
    <w:rsid w:val="009F5E26"/>
    <w:rsid w:val="009F616E"/>
    <w:rsid w:val="009F6869"/>
    <w:rsid w:val="009F6CFB"/>
    <w:rsid w:val="009F6D6D"/>
    <w:rsid w:val="009F721D"/>
    <w:rsid w:val="00A008B4"/>
    <w:rsid w:val="00A015F6"/>
    <w:rsid w:val="00A021BC"/>
    <w:rsid w:val="00A02532"/>
    <w:rsid w:val="00A0286D"/>
    <w:rsid w:val="00A03054"/>
    <w:rsid w:val="00A04162"/>
    <w:rsid w:val="00A045E1"/>
    <w:rsid w:val="00A04665"/>
    <w:rsid w:val="00A04B1E"/>
    <w:rsid w:val="00A06351"/>
    <w:rsid w:val="00A067FA"/>
    <w:rsid w:val="00A06841"/>
    <w:rsid w:val="00A071B5"/>
    <w:rsid w:val="00A1030D"/>
    <w:rsid w:val="00A10FBC"/>
    <w:rsid w:val="00A116AE"/>
    <w:rsid w:val="00A11C19"/>
    <w:rsid w:val="00A12093"/>
    <w:rsid w:val="00A136AD"/>
    <w:rsid w:val="00A13A3D"/>
    <w:rsid w:val="00A14857"/>
    <w:rsid w:val="00A14BA2"/>
    <w:rsid w:val="00A15363"/>
    <w:rsid w:val="00A15AF9"/>
    <w:rsid w:val="00A16491"/>
    <w:rsid w:val="00A16AC8"/>
    <w:rsid w:val="00A16D90"/>
    <w:rsid w:val="00A175D6"/>
    <w:rsid w:val="00A210C0"/>
    <w:rsid w:val="00A22F28"/>
    <w:rsid w:val="00A23DF1"/>
    <w:rsid w:val="00A23F07"/>
    <w:rsid w:val="00A24B3E"/>
    <w:rsid w:val="00A25801"/>
    <w:rsid w:val="00A25FB5"/>
    <w:rsid w:val="00A27235"/>
    <w:rsid w:val="00A27827"/>
    <w:rsid w:val="00A278D6"/>
    <w:rsid w:val="00A27B71"/>
    <w:rsid w:val="00A301F9"/>
    <w:rsid w:val="00A31CD3"/>
    <w:rsid w:val="00A326E2"/>
    <w:rsid w:val="00A32CC6"/>
    <w:rsid w:val="00A33CDF"/>
    <w:rsid w:val="00A3739B"/>
    <w:rsid w:val="00A37EC4"/>
    <w:rsid w:val="00A41B14"/>
    <w:rsid w:val="00A4362B"/>
    <w:rsid w:val="00A43A49"/>
    <w:rsid w:val="00A44A71"/>
    <w:rsid w:val="00A46875"/>
    <w:rsid w:val="00A47042"/>
    <w:rsid w:val="00A51BC6"/>
    <w:rsid w:val="00A52612"/>
    <w:rsid w:val="00A528FF"/>
    <w:rsid w:val="00A52A89"/>
    <w:rsid w:val="00A5355F"/>
    <w:rsid w:val="00A541FD"/>
    <w:rsid w:val="00A57435"/>
    <w:rsid w:val="00A60DFC"/>
    <w:rsid w:val="00A6398B"/>
    <w:rsid w:val="00A6647B"/>
    <w:rsid w:val="00A66DA1"/>
    <w:rsid w:val="00A670AC"/>
    <w:rsid w:val="00A6761F"/>
    <w:rsid w:val="00A67A23"/>
    <w:rsid w:val="00A67E5E"/>
    <w:rsid w:val="00A67EF4"/>
    <w:rsid w:val="00A67F56"/>
    <w:rsid w:val="00A71CBD"/>
    <w:rsid w:val="00A72F2A"/>
    <w:rsid w:val="00A7338F"/>
    <w:rsid w:val="00A8054E"/>
    <w:rsid w:val="00A83026"/>
    <w:rsid w:val="00A8311F"/>
    <w:rsid w:val="00A83CFF"/>
    <w:rsid w:val="00A842F0"/>
    <w:rsid w:val="00A843A4"/>
    <w:rsid w:val="00A84D24"/>
    <w:rsid w:val="00A84F60"/>
    <w:rsid w:val="00A871E5"/>
    <w:rsid w:val="00A87286"/>
    <w:rsid w:val="00A9143D"/>
    <w:rsid w:val="00A91605"/>
    <w:rsid w:val="00A922E4"/>
    <w:rsid w:val="00A92AC7"/>
    <w:rsid w:val="00A92CE0"/>
    <w:rsid w:val="00A93FF1"/>
    <w:rsid w:val="00A948E3"/>
    <w:rsid w:val="00A94966"/>
    <w:rsid w:val="00A94EEC"/>
    <w:rsid w:val="00A95569"/>
    <w:rsid w:val="00A962BC"/>
    <w:rsid w:val="00A96327"/>
    <w:rsid w:val="00A9668A"/>
    <w:rsid w:val="00A96DDA"/>
    <w:rsid w:val="00A97B24"/>
    <w:rsid w:val="00A97D0A"/>
    <w:rsid w:val="00AA05FF"/>
    <w:rsid w:val="00AA0765"/>
    <w:rsid w:val="00AA1D24"/>
    <w:rsid w:val="00AA2BD5"/>
    <w:rsid w:val="00AA3268"/>
    <w:rsid w:val="00AA58D3"/>
    <w:rsid w:val="00AA59BE"/>
    <w:rsid w:val="00AA5A41"/>
    <w:rsid w:val="00AA5D9F"/>
    <w:rsid w:val="00AA6B6F"/>
    <w:rsid w:val="00AB0E51"/>
    <w:rsid w:val="00AB125E"/>
    <w:rsid w:val="00AB3680"/>
    <w:rsid w:val="00AB3926"/>
    <w:rsid w:val="00AB42C6"/>
    <w:rsid w:val="00AB5F37"/>
    <w:rsid w:val="00AB6AC1"/>
    <w:rsid w:val="00AB7A63"/>
    <w:rsid w:val="00AB7D6C"/>
    <w:rsid w:val="00AB7F2C"/>
    <w:rsid w:val="00AC19A4"/>
    <w:rsid w:val="00AC2B90"/>
    <w:rsid w:val="00AC485F"/>
    <w:rsid w:val="00AC4DFA"/>
    <w:rsid w:val="00AC5A6D"/>
    <w:rsid w:val="00AC5D8A"/>
    <w:rsid w:val="00AC60DF"/>
    <w:rsid w:val="00AC66B6"/>
    <w:rsid w:val="00AC7BF8"/>
    <w:rsid w:val="00AD01B0"/>
    <w:rsid w:val="00AD10FF"/>
    <w:rsid w:val="00AD115A"/>
    <w:rsid w:val="00AD180E"/>
    <w:rsid w:val="00AD1D4C"/>
    <w:rsid w:val="00AD29A7"/>
    <w:rsid w:val="00AD2C01"/>
    <w:rsid w:val="00AD49BE"/>
    <w:rsid w:val="00AD57C3"/>
    <w:rsid w:val="00AD67B6"/>
    <w:rsid w:val="00AD7202"/>
    <w:rsid w:val="00AE1501"/>
    <w:rsid w:val="00AE1B35"/>
    <w:rsid w:val="00AE214B"/>
    <w:rsid w:val="00AE317B"/>
    <w:rsid w:val="00AE392B"/>
    <w:rsid w:val="00AE3C19"/>
    <w:rsid w:val="00AE4AE7"/>
    <w:rsid w:val="00AE6820"/>
    <w:rsid w:val="00AE7BA5"/>
    <w:rsid w:val="00AF05B7"/>
    <w:rsid w:val="00AF2AA1"/>
    <w:rsid w:val="00AF2BF2"/>
    <w:rsid w:val="00AF33FD"/>
    <w:rsid w:val="00AF3755"/>
    <w:rsid w:val="00AF4CFE"/>
    <w:rsid w:val="00AF4F3C"/>
    <w:rsid w:val="00AF5436"/>
    <w:rsid w:val="00AF7046"/>
    <w:rsid w:val="00AF7EC7"/>
    <w:rsid w:val="00B02EDB"/>
    <w:rsid w:val="00B03A3A"/>
    <w:rsid w:val="00B04E52"/>
    <w:rsid w:val="00B05CEF"/>
    <w:rsid w:val="00B066A9"/>
    <w:rsid w:val="00B06C1B"/>
    <w:rsid w:val="00B06D93"/>
    <w:rsid w:val="00B1032F"/>
    <w:rsid w:val="00B105C7"/>
    <w:rsid w:val="00B10B37"/>
    <w:rsid w:val="00B1154D"/>
    <w:rsid w:val="00B128B4"/>
    <w:rsid w:val="00B1316A"/>
    <w:rsid w:val="00B13517"/>
    <w:rsid w:val="00B13D59"/>
    <w:rsid w:val="00B14B20"/>
    <w:rsid w:val="00B14E3F"/>
    <w:rsid w:val="00B15DD0"/>
    <w:rsid w:val="00B17883"/>
    <w:rsid w:val="00B20356"/>
    <w:rsid w:val="00B20A47"/>
    <w:rsid w:val="00B21F74"/>
    <w:rsid w:val="00B23CE8"/>
    <w:rsid w:val="00B2406D"/>
    <w:rsid w:val="00B24FF6"/>
    <w:rsid w:val="00B25483"/>
    <w:rsid w:val="00B26CB2"/>
    <w:rsid w:val="00B27030"/>
    <w:rsid w:val="00B270B9"/>
    <w:rsid w:val="00B27B47"/>
    <w:rsid w:val="00B303A5"/>
    <w:rsid w:val="00B31EEB"/>
    <w:rsid w:val="00B320CB"/>
    <w:rsid w:val="00B33512"/>
    <w:rsid w:val="00B3439D"/>
    <w:rsid w:val="00B34B0D"/>
    <w:rsid w:val="00B36055"/>
    <w:rsid w:val="00B377B6"/>
    <w:rsid w:val="00B37B00"/>
    <w:rsid w:val="00B406E6"/>
    <w:rsid w:val="00B40D29"/>
    <w:rsid w:val="00B4291E"/>
    <w:rsid w:val="00B42F06"/>
    <w:rsid w:val="00B432A6"/>
    <w:rsid w:val="00B44F39"/>
    <w:rsid w:val="00B45249"/>
    <w:rsid w:val="00B45388"/>
    <w:rsid w:val="00B46486"/>
    <w:rsid w:val="00B4668C"/>
    <w:rsid w:val="00B46D5F"/>
    <w:rsid w:val="00B46FEF"/>
    <w:rsid w:val="00B50D77"/>
    <w:rsid w:val="00B5132F"/>
    <w:rsid w:val="00B517BE"/>
    <w:rsid w:val="00B53833"/>
    <w:rsid w:val="00B559FF"/>
    <w:rsid w:val="00B56079"/>
    <w:rsid w:val="00B5758E"/>
    <w:rsid w:val="00B5778B"/>
    <w:rsid w:val="00B60023"/>
    <w:rsid w:val="00B603B6"/>
    <w:rsid w:val="00B60C4A"/>
    <w:rsid w:val="00B61424"/>
    <w:rsid w:val="00B6311A"/>
    <w:rsid w:val="00B6477D"/>
    <w:rsid w:val="00B65729"/>
    <w:rsid w:val="00B6586C"/>
    <w:rsid w:val="00B65D79"/>
    <w:rsid w:val="00B65F15"/>
    <w:rsid w:val="00B66C65"/>
    <w:rsid w:val="00B70357"/>
    <w:rsid w:val="00B705E5"/>
    <w:rsid w:val="00B70E08"/>
    <w:rsid w:val="00B71238"/>
    <w:rsid w:val="00B728F4"/>
    <w:rsid w:val="00B72FC9"/>
    <w:rsid w:val="00B73F00"/>
    <w:rsid w:val="00B740A7"/>
    <w:rsid w:val="00B74152"/>
    <w:rsid w:val="00B7473B"/>
    <w:rsid w:val="00B74E8B"/>
    <w:rsid w:val="00B75C18"/>
    <w:rsid w:val="00B75FEE"/>
    <w:rsid w:val="00B7648D"/>
    <w:rsid w:val="00B76BAF"/>
    <w:rsid w:val="00B770B2"/>
    <w:rsid w:val="00B77D36"/>
    <w:rsid w:val="00B81214"/>
    <w:rsid w:val="00B81796"/>
    <w:rsid w:val="00B81935"/>
    <w:rsid w:val="00B82FD6"/>
    <w:rsid w:val="00B8344C"/>
    <w:rsid w:val="00B83F18"/>
    <w:rsid w:val="00B8648B"/>
    <w:rsid w:val="00B86745"/>
    <w:rsid w:val="00B868DB"/>
    <w:rsid w:val="00B90410"/>
    <w:rsid w:val="00B90DC2"/>
    <w:rsid w:val="00B914A6"/>
    <w:rsid w:val="00B930D3"/>
    <w:rsid w:val="00B965E9"/>
    <w:rsid w:val="00B967AD"/>
    <w:rsid w:val="00B96D29"/>
    <w:rsid w:val="00B97A98"/>
    <w:rsid w:val="00BA0095"/>
    <w:rsid w:val="00BA0479"/>
    <w:rsid w:val="00BA1C67"/>
    <w:rsid w:val="00BA3BB7"/>
    <w:rsid w:val="00BA3D88"/>
    <w:rsid w:val="00BA412D"/>
    <w:rsid w:val="00BA41E5"/>
    <w:rsid w:val="00BA47E0"/>
    <w:rsid w:val="00BA61E7"/>
    <w:rsid w:val="00BA7959"/>
    <w:rsid w:val="00BA79C7"/>
    <w:rsid w:val="00BB0687"/>
    <w:rsid w:val="00BB12DC"/>
    <w:rsid w:val="00BB2A85"/>
    <w:rsid w:val="00BB3984"/>
    <w:rsid w:val="00BB405A"/>
    <w:rsid w:val="00BB4271"/>
    <w:rsid w:val="00BB5037"/>
    <w:rsid w:val="00BB5ADD"/>
    <w:rsid w:val="00BC1FE6"/>
    <w:rsid w:val="00BC21C6"/>
    <w:rsid w:val="00BC38DD"/>
    <w:rsid w:val="00BC4342"/>
    <w:rsid w:val="00BC4F0C"/>
    <w:rsid w:val="00BC5B8A"/>
    <w:rsid w:val="00BC5CED"/>
    <w:rsid w:val="00BC5F1F"/>
    <w:rsid w:val="00BC67F3"/>
    <w:rsid w:val="00BC73A4"/>
    <w:rsid w:val="00BC7516"/>
    <w:rsid w:val="00BC7678"/>
    <w:rsid w:val="00BD0368"/>
    <w:rsid w:val="00BD0F89"/>
    <w:rsid w:val="00BD1797"/>
    <w:rsid w:val="00BD1E81"/>
    <w:rsid w:val="00BD39C2"/>
    <w:rsid w:val="00BD7398"/>
    <w:rsid w:val="00BD77BE"/>
    <w:rsid w:val="00BD7A22"/>
    <w:rsid w:val="00BE00F1"/>
    <w:rsid w:val="00BE04D4"/>
    <w:rsid w:val="00BE264B"/>
    <w:rsid w:val="00BE3C78"/>
    <w:rsid w:val="00BE401D"/>
    <w:rsid w:val="00BE6430"/>
    <w:rsid w:val="00BE6618"/>
    <w:rsid w:val="00BE7305"/>
    <w:rsid w:val="00BE75DC"/>
    <w:rsid w:val="00BF034A"/>
    <w:rsid w:val="00BF0E0C"/>
    <w:rsid w:val="00BF12F0"/>
    <w:rsid w:val="00BF189C"/>
    <w:rsid w:val="00BF1EFC"/>
    <w:rsid w:val="00BF3095"/>
    <w:rsid w:val="00BF3D5B"/>
    <w:rsid w:val="00BF4790"/>
    <w:rsid w:val="00BF537C"/>
    <w:rsid w:val="00BF618E"/>
    <w:rsid w:val="00BF6341"/>
    <w:rsid w:val="00C01C81"/>
    <w:rsid w:val="00C030D2"/>
    <w:rsid w:val="00C040B5"/>
    <w:rsid w:val="00C0510A"/>
    <w:rsid w:val="00C060D2"/>
    <w:rsid w:val="00C0629F"/>
    <w:rsid w:val="00C06AF6"/>
    <w:rsid w:val="00C10438"/>
    <w:rsid w:val="00C1067D"/>
    <w:rsid w:val="00C1079E"/>
    <w:rsid w:val="00C10D6A"/>
    <w:rsid w:val="00C110FB"/>
    <w:rsid w:val="00C117C3"/>
    <w:rsid w:val="00C12874"/>
    <w:rsid w:val="00C128FF"/>
    <w:rsid w:val="00C12EF0"/>
    <w:rsid w:val="00C139CA"/>
    <w:rsid w:val="00C13DC0"/>
    <w:rsid w:val="00C1740A"/>
    <w:rsid w:val="00C1745B"/>
    <w:rsid w:val="00C2149A"/>
    <w:rsid w:val="00C216E4"/>
    <w:rsid w:val="00C25649"/>
    <w:rsid w:val="00C25DF2"/>
    <w:rsid w:val="00C27D83"/>
    <w:rsid w:val="00C32B7D"/>
    <w:rsid w:val="00C35456"/>
    <w:rsid w:val="00C36BD9"/>
    <w:rsid w:val="00C4079D"/>
    <w:rsid w:val="00C41EDB"/>
    <w:rsid w:val="00C420CA"/>
    <w:rsid w:val="00C42E58"/>
    <w:rsid w:val="00C43344"/>
    <w:rsid w:val="00C43698"/>
    <w:rsid w:val="00C443EF"/>
    <w:rsid w:val="00C45355"/>
    <w:rsid w:val="00C456EB"/>
    <w:rsid w:val="00C4624A"/>
    <w:rsid w:val="00C464CA"/>
    <w:rsid w:val="00C47938"/>
    <w:rsid w:val="00C479F9"/>
    <w:rsid w:val="00C5088F"/>
    <w:rsid w:val="00C514A7"/>
    <w:rsid w:val="00C51648"/>
    <w:rsid w:val="00C517A1"/>
    <w:rsid w:val="00C522E7"/>
    <w:rsid w:val="00C52E5B"/>
    <w:rsid w:val="00C532EB"/>
    <w:rsid w:val="00C53A2B"/>
    <w:rsid w:val="00C53C1B"/>
    <w:rsid w:val="00C53C5C"/>
    <w:rsid w:val="00C54986"/>
    <w:rsid w:val="00C55211"/>
    <w:rsid w:val="00C557D6"/>
    <w:rsid w:val="00C561C1"/>
    <w:rsid w:val="00C567DD"/>
    <w:rsid w:val="00C56D52"/>
    <w:rsid w:val="00C571B0"/>
    <w:rsid w:val="00C57F88"/>
    <w:rsid w:val="00C6047B"/>
    <w:rsid w:val="00C62D8F"/>
    <w:rsid w:val="00C632FE"/>
    <w:rsid w:val="00C6354A"/>
    <w:rsid w:val="00C63E0F"/>
    <w:rsid w:val="00C64387"/>
    <w:rsid w:val="00C64970"/>
    <w:rsid w:val="00C6696E"/>
    <w:rsid w:val="00C70452"/>
    <w:rsid w:val="00C72F19"/>
    <w:rsid w:val="00C731FD"/>
    <w:rsid w:val="00C740BC"/>
    <w:rsid w:val="00C74349"/>
    <w:rsid w:val="00C748C1"/>
    <w:rsid w:val="00C75FFF"/>
    <w:rsid w:val="00C767C3"/>
    <w:rsid w:val="00C7689A"/>
    <w:rsid w:val="00C77C2C"/>
    <w:rsid w:val="00C80194"/>
    <w:rsid w:val="00C80888"/>
    <w:rsid w:val="00C8155F"/>
    <w:rsid w:val="00C8211B"/>
    <w:rsid w:val="00C82822"/>
    <w:rsid w:val="00C838AB"/>
    <w:rsid w:val="00C8405D"/>
    <w:rsid w:val="00C842F9"/>
    <w:rsid w:val="00C8596E"/>
    <w:rsid w:val="00C85A82"/>
    <w:rsid w:val="00C85B56"/>
    <w:rsid w:val="00C87990"/>
    <w:rsid w:val="00C90390"/>
    <w:rsid w:val="00C952C0"/>
    <w:rsid w:val="00C95768"/>
    <w:rsid w:val="00C95F14"/>
    <w:rsid w:val="00C96383"/>
    <w:rsid w:val="00C9776D"/>
    <w:rsid w:val="00C97E5C"/>
    <w:rsid w:val="00CA0203"/>
    <w:rsid w:val="00CA16B4"/>
    <w:rsid w:val="00CA1FED"/>
    <w:rsid w:val="00CA2AF6"/>
    <w:rsid w:val="00CA403D"/>
    <w:rsid w:val="00CA4361"/>
    <w:rsid w:val="00CA4364"/>
    <w:rsid w:val="00CA5934"/>
    <w:rsid w:val="00CA62C9"/>
    <w:rsid w:val="00CA6D90"/>
    <w:rsid w:val="00CA7B4A"/>
    <w:rsid w:val="00CB06E1"/>
    <w:rsid w:val="00CB0D43"/>
    <w:rsid w:val="00CB0F5E"/>
    <w:rsid w:val="00CB1E7C"/>
    <w:rsid w:val="00CB2F25"/>
    <w:rsid w:val="00CB67E2"/>
    <w:rsid w:val="00CB6FE4"/>
    <w:rsid w:val="00CB7B5D"/>
    <w:rsid w:val="00CC16D9"/>
    <w:rsid w:val="00CC2E37"/>
    <w:rsid w:val="00CC33FC"/>
    <w:rsid w:val="00CC3F8D"/>
    <w:rsid w:val="00CC52A8"/>
    <w:rsid w:val="00CC5935"/>
    <w:rsid w:val="00CC6A15"/>
    <w:rsid w:val="00CC72A5"/>
    <w:rsid w:val="00CD00E4"/>
    <w:rsid w:val="00CD0E9B"/>
    <w:rsid w:val="00CD113F"/>
    <w:rsid w:val="00CD146E"/>
    <w:rsid w:val="00CD2ED1"/>
    <w:rsid w:val="00CD3238"/>
    <w:rsid w:val="00CD3416"/>
    <w:rsid w:val="00CD3908"/>
    <w:rsid w:val="00CD4025"/>
    <w:rsid w:val="00CD4031"/>
    <w:rsid w:val="00CD422E"/>
    <w:rsid w:val="00CD43FF"/>
    <w:rsid w:val="00CD4F70"/>
    <w:rsid w:val="00CD4F8E"/>
    <w:rsid w:val="00CD5C3D"/>
    <w:rsid w:val="00CD5F6C"/>
    <w:rsid w:val="00CD7236"/>
    <w:rsid w:val="00CE0A9F"/>
    <w:rsid w:val="00CE193E"/>
    <w:rsid w:val="00CE2887"/>
    <w:rsid w:val="00CE3060"/>
    <w:rsid w:val="00CE3CE1"/>
    <w:rsid w:val="00CE448F"/>
    <w:rsid w:val="00CE493C"/>
    <w:rsid w:val="00CE4CD1"/>
    <w:rsid w:val="00CE6587"/>
    <w:rsid w:val="00CE7A34"/>
    <w:rsid w:val="00CE7B52"/>
    <w:rsid w:val="00CE7DA4"/>
    <w:rsid w:val="00CF1276"/>
    <w:rsid w:val="00CF2498"/>
    <w:rsid w:val="00CF25C3"/>
    <w:rsid w:val="00CF5D69"/>
    <w:rsid w:val="00CF64BE"/>
    <w:rsid w:val="00CF7CFC"/>
    <w:rsid w:val="00D00D93"/>
    <w:rsid w:val="00D025E5"/>
    <w:rsid w:val="00D02B44"/>
    <w:rsid w:val="00D03BDB"/>
    <w:rsid w:val="00D042E5"/>
    <w:rsid w:val="00D04549"/>
    <w:rsid w:val="00D0497D"/>
    <w:rsid w:val="00D04D1B"/>
    <w:rsid w:val="00D06535"/>
    <w:rsid w:val="00D066D0"/>
    <w:rsid w:val="00D06925"/>
    <w:rsid w:val="00D07CA0"/>
    <w:rsid w:val="00D11211"/>
    <w:rsid w:val="00D12651"/>
    <w:rsid w:val="00D12C80"/>
    <w:rsid w:val="00D13613"/>
    <w:rsid w:val="00D157FC"/>
    <w:rsid w:val="00D16328"/>
    <w:rsid w:val="00D17AA9"/>
    <w:rsid w:val="00D17B10"/>
    <w:rsid w:val="00D17E68"/>
    <w:rsid w:val="00D21E6B"/>
    <w:rsid w:val="00D21F93"/>
    <w:rsid w:val="00D2462F"/>
    <w:rsid w:val="00D24757"/>
    <w:rsid w:val="00D25089"/>
    <w:rsid w:val="00D26A54"/>
    <w:rsid w:val="00D26B35"/>
    <w:rsid w:val="00D2750E"/>
    <w:rsid w:val="00D30C0C"/>
    <w:rsid w:val="00D30CDC"/>
    <w:rsid w:val="00D324A3"/>
    <w:rsid w:val="00D329E2"/>
    <w:rsid w:val="00D32FE7"/>
    <w:rsid w:val="00D3325D"/>
    <w:rsid w:val="00D354B7"/>
    <w:rsid w:val="00D35BD6"/>
    <w:rsid w:val="00D3656D"/>
    <w:rsid w:val="00D36922"/>
    <w:rsid w:val="00D373A3"/>
    <w:rsid w:val="00D379B3"/>
    <w:rsid w:val="00D40471"/>
    <w:rsid w:val="00D414C1"/>
    <w:rsid w:val="00D4211B"/>
    <w:rsid w:val="00D44FCA"/>
    <w:rsid w:val="00D452FF"/>
    <w:rsid w:val="00D47F8E"/>
    <w:rsid w:val="00D50329"/>
    <w:rsid w:val="00D51592"/>
    <w:rsid w:val="00D51B46"/>
    <w:rsid w:val="00D522C0"/>
    <w:rsid w:val="00D52A96"/>
    <w:rsid w:val="00D52E91"/>
    <w:rsid w:val="00D53FDE"/>
    <w:rsid w:val="00D54618"/>
    <w:rsid w:val="00D54AEE"/>
    <w:rsid w:val="00D55089"/>
    <w:rsid w:val="00D556A1"/>
    <w:rsid w:val="00D55715"/>
    <w:rsid w:val="00D55CFD"/>
    <w:rsid w:val="00D5609A"/>
    <w:rsid w:val="00D56C74"/>
    <w:rsid w:val="00D57062"/>
    <w:rsid w:val="00D6259D"/>
    <w:rsid w:val="00D62D87"/>
    <w:rsid w:val="00D630C0"/>
    <w:rsid w:val="00D631E3"/>
    <w:rsid w:val="00D64113"/>
    <w:rsid w:val="00D648B1"/>
    <w:rsid w:val="00D65269"/>
    <w:rsid w:val="00D66646"/>
    <w:rsid w:val="00D66E59"/>
    <w:rsid w:val="00D66E7C"/>
    <w:rsid w:val="00D70BE5"/>
    <w:rsid w:val="00D71F7E"/>
    <w:rsid w:val="00D74D6F"/>
    <w:rsid w:val="00D7558D"/>
    <w:rsid w:val="00D75D8A"/>
    <w:rsid w:val="00D760D2"/>
    <w:rsid w:val="00D8026F"/>
    <w:rsid w:val="00D82520"/>
    <w:rsid w:val="00D82A64"/>
    <w:rsid w:val="00D82E3C"/>
    <w:rsid w:val="00D82E93"/>
    <w:rsid w:val="00D83ACF"/>
    <w:rsid w:val="00D86BF6"/>
    <w:rsid w:val="00D87ADE"/>
    <w:rsid w:val="00D904B0"/>
    <w:rsid w:val="00D90627"/>
    <w:rsid w:val="00D90DEE"/>
    <w:rsid w:val="00D92002"/>
    <w:rsid w:val="00D9245D"/>
    <w:rsid w:val="00D946D9"/>
    <w:rsid w:val="00D966A1"/>
    <w:rsid w:val="00D966B5"/>
    <w:rsid w:val="00DA00B2"/>
    <w:rsid w:val="00DA0DE5"/>
    <w:rsid w:val="00DA1081"/>
    <w:rsid w:val="00DA303E"/>
    <w:rsid w:val="00DA46A2"/>
    <w:rsid w:val="00DA4FB1"/>
    <w:rsid w:val="00DA5459"/>
    <w:rsid w:val="00DA5A5F"/>
    <w:rsid w:val="00DA5E1B"/>
    <w:rsid w:val="00DA67C7"/>
    <w:rsid w:val="00DA6E10"/>
    <w:rsid w:val="00DA7905"/>
    <w:rsid w:val="00DA7BE8"/>
    <w:rsid w:val="00DA7F49"/>
    <w:rsid w:val="00DB039F"/>
    <w:rsid w:val="00DB0BB8"/>
    <w:rsid w:val="00DB191F"/>
    <w:rsid w:val="00DB20D0"/>
    <w:rsid w:val="00DB2732"/>
    <w:rsid w:val="00DB2809"/>
    <w:rsid w:val="00DB4D60"/>
    <w:rsid w:val="00DB524E"/>
    <w:rsid w:val="00DB531F"/>
    <w:rsid w:val="00DB63AB"/>
    <w:rsid w:val="00DB67CD"/>
    <w:rsid w:val="00DB684E"/>
    <w:rsid w:val="00DB7C1B"/>
    <w:rsid w:val="00DB7E51"/>
    <w:rsid w:val="00DC09C7"/>
    <w:rsid w:val="00DC1BBA"/>
    <w:rsid w:val="00DC1E66"/>
    <w:rsid w:val="00DC2DF2"/>
    <w:rsid w:val="00DC36C0"/>
    <w:rsid w:val="00DC50A0"/>
    <w:rsid w:val="00DC516E"/>
    <w:rsid w:val="00DC65B5"/>
    <w:rsid w:val="00DC755F"/>
    <w:rsid w:val="00DC7D56"/>
    <w:rsid w:val="00DD2CBC"/>
    <w:rsid w:val="00DD342A"/>
    <w:rsid w:val="00DD64B9"/>
    <w:rsid w:val="00DE1E4C"/>
    <w:rsid w:val="00DE1ED3"/>
    <w:rsid w:val="00DE2213"/>
    <w:rsid w:val="00DE22FE"/>
    <w:rsid w:val="00DE45F5"/>
    <w:rsid w:val="00DE4E57"/>
    <w:rsid w:val="00DE55CB"/>
    <w:rsid w:val="00DE586A"/>
    <w:rsid w:val="00DE61D4"/>
    <w:rsid w:val="00DE6BAA"/>
    <w:rsid w:val="00DE6BF7"/>
    <w:rsid w:val="00DE6E29"/>
    <w:rsid w:val="00DF00CC"/>
    <w:rsid w:val="00DF015E"/>
    <w:rsid w:val="00DF0BBE"/>
    <w:rsid w:val="00DF1465"/>
    <w:rsid w:val="00DF1CDF"/>
    <w:rsid w:val="00DF34CB"/>
    <w:rsid w:val="00DF4233"/>
    <w:rsid w:val="00DF4375"/>
    <w:rsid w:val="00DF4996"/>
    <w:rsid w:val="00DF703E"/>
    <w:rsid w:val="00E0190B"/>
    <w:rsid w:val="00E02B8A"/>
    <w:rsid w:val="00E02D0F"/>
    <w:rsid w:val="00E04A62"/>
    <w:rsid w:val="00E04EAA"/>
    <w:rsid w:val="00E05251"/>
    <w:rsid w:val="00E07461"/>
    <w:rsid w:val="00E07A9D"/>
    <w:rsid w:val="00E10B48"/>
    <w:rsid w:val="00E113C3"/>
    <w:rsid w:val="00E1256B"/>
    <w:rsid w:val="00E12C2E"/>
    <w:rsid w:val="00E13B86"/>
    <w:rsid w:val="00E141B8"/>
    <w:rsid w:val="00E1426D"/>
    <w:rsid w:val="00E147E8"/>
    <w:rsid w:val="00E14A9B"/>
    <w:rsid w:val="00E17A65"/>
    <w:rsid w:val="00E20CEF"/>
    <w:rsid w:val="00E220E3"/>
    <w:rsid w:val="00E2248E"/>
    <w:rsid w:val="00E22761"/>
    <w:rsid w:val="00E229C1"/>
    <w:rsid w:val="00E236D1"/>
    <w:rsid w:val="00E248AE"/>
    <w:rsid w:val="00E25E23"/>
    <w:rsid w:val="00E31823"/>
    <w:rsid w:val="00E3186C"/>
    <w:rsid w:val="00E32FFB"/>
    <w:rsid w:val="00E33205"/>
    <w:rsid w:val="00E33694"/>
    <w:rsid w:val="00E33D03"/>
    <w:rsid w:val="00E41507"/>
    <w:rsid w:val="00E44F78"/>
    <w:rsid w:val="00E45220"/>
    <w:rsid w:val="00E45830"/>
    <w:rsid w:val="00E45D83"/>
    <w:rsid w:val="00E47DBC"/>
    <w:rsid w:val="00E47DF9"/>
    <w:rsid w:val="00E47F59"/>
    <w:rsid w:val="00E51025"/>
    <w:rsid w:val="00E53F53"/>
    <w:rsid w:val="00E54185"/>
    <w:rsid w:val="00E55236"/>
    <w:rsid w:val="00E5589D"/>
    <w:rsid w:val="00E55E4E"/>
    <w:rsid w:val="00E55FFB"/>
    <w:rsid w:val="00E56B0E"/>
    <w:rsid w:val="00E57E17"/>
    <w:rsid w:val="00E603B8"/>
    <w:rsid w:val="00E60ABC"/>
    <w:rsid w:val="00E61314"/>
    <w:rsid w:val="00E61541"/>
    <w:rsid w:val="00E62B7D"/>
    <w:rsid w:val="00E62D54"/>
    <w:rsid w:val="00E62EE3"/>
    <w:rsid w:val="00E63F4C"/>
    <w:rsid w:val="00E646F3"/>
    <w:rsid w:val="00E64B16"/>
    <w:rsid w:val="00E64CA6"/>
    <w:rsid w:val="00E6521C"/>
    <w:rsid w:val="00E65D6F"/>
    <w:rsid w:val="00E66A2C"/>
    <w:rsid w:val="00E66E72"/>
    <w:rsid w:val="00E71334"/>
    <w:rsid w:val="00E71432"/>
    <w:rsid w:val="00E71A9C"/>
    <w:rsid w:val="00E72FAA"/>
    <w:rsid w:val="00E73C2D"/>
    <w:rsid w:val="00E73CEF"/>
    <w:rsid w:val="00E742EF"/>
    <w:rsid w:val="00E74812"/>
    <w:rsid w:val="00E75FDA"/>
    <w:rsid w:val="00E7664F"/>
    <w:rsid w:val="00E772B2"/>
    <w:rsid w:val="00E8077B"/>
    <w:rsid w:val="00E80FDC"/>
    <w:rsid w:val="00E8125F"/>
    <w:rsid w:val="00E83743"/>
    <w:rsid w:val="00E837F5"/>
    <w:rsid w:val="00E85160"/>
    <w:rsid w:val="00E86A3C"/>
    <w:rsid w:val="00E90F63"/>
    <w:rsid w:val="00E91098"/>
    <w:rsid w:val="00E91742"/>
    <w:rsid w:val="00E91CB1"/>
    <w:rsid w:val="00E92BAE"/>
    <w:rsid w:val="00E93202"/>
    <w:rsid w:val="00E9381D"/>
    <w:rsid w:val="00E946A4"/>
    <w:rsid w:val="00E94890"/>
    <w:rsid w:val="00E96DA4"/>
    <w:rsid w:val="00E96FA8"/>
    <w:rsid w:val="00EA0F6E"/>
    <w:rsid w:val="00EA13DC"/>
    <w:rsid w:val="00EA1C36"/>
    <w:rsid w:val="00EA2642"/>
    <w:rsid w:val="00EA431C"/>
    <w:rsid w:val="00EA483D"/>
    <w:rsid w:val="00EA5213"/>
    <w:rsid w:val="00EA55E8"/>
    <w:rsid w:val="00EA5E5B"/>
    <w:rsid w:val="00EA62F9"/>
    <w:rsid w:val="00EA6EF8"/>
    <w:rsid w:val="00EA7F24"/>
    <w:rsid w:val="00EB1871"/>
    <w:rsid w:val="00EB1F54"/>
    <w:rsid w:val="00EB20E9"/>
    <w:rsid w:val="00EB31AF"/>
    <w:rsid w:val="00EB39C4"/>
    <w:rsid w:val="00EB4AFD"/>
    <w:rsid w:val="00EB5542"/>
    <w:rsid w:val="00EB55B2"/>
    <w:rsid w:val="00EB628C"/>
    <w:rsid w:val="00EB790F"/>
    <w:rsid w:val="00EC03CA"/>
    <w:rsid w:val="00EC14F8"/>
    <w:rsid w:val="00EC2F1A"/>
    <w:rsid w:val="00EC2F54"/>
    <w:rsid w:val="00EC316C"/>
    <w:rsid w:val="00EC3D52"/>
    <w:rsid w:val="00EC3E45"/>
    <w:rsid w:val="00EC4373"/>
    <w:rsid w:val="00EC65F8"/>
    <w:rsid w:val="00EC66AC"/>
    <w:rsid w:val="00ED0585"/>
    <w:rsid w:val="00ED14BB"/>
    <w:rsid w:val="00ED2293"/>
    <w:rsid w:val="00ED24E5"/>
    <w:rsid w:val="00ED2ADA"/>
    <w:rsid w:val="00ED4466"/>
    <w:rsid w:val="00ED4495"/>
    <w:rsid w:val="00ED4531"/>
    <w:rsid w:val="00ED4806"/>
    <w:rsid w:val="00ED6497"/>
    <w:rsid w:val="00ED6AC5"/>
    <w:rsid w:val="00ED6DD4"/>
    <w:rsid w:val="00ED7211"/>
    <w:rsid w:val="00ED7558"/>
    <w:rsid w:val="00EE0185"/>
    <w:rsid w:val="00EE1809"/>
    <w:rsid w:val="00EE24A8"/>
    <w:rsid w:val="00EE29D9"/>
    <w:rsid w:val="00EE2A51"/>
    <w:rsid w:val="00EE3F5A"/>
    <w:rsid w:val="00EE3F87"/>
    <w:rsid w:val="00EE4281"/>
    <w:rsid w:val="00EE76AB"/>
    <w:rsid w:val="00EE7D2B"/>
    <w:rsid w:val="00EF015C"/>
    <w:rsid w:val="00EF280E"/>
    <w:rsid w:val="00EF308C"/>
    <w:rsid w:val="00EF3C51"/>
    <w:rsid w:val="00EF4BD1"/>
    <w:rsid w:val="00EF5D92"/>
    <w:rsid w:val="00EF6BC3"/>
    <w:rsid w:val="00EF6E19"/>
    <w:rsid w:val="00EF7914"/>
    <w:rsid w:val="00F003F8"/>
    <w:rsid w:val="00F00BB4"/>
    <w:rsid w:val="00F020FA"/>
    <w:rsid w:val="00F022CD"/>
    <w:rsid w:val="00F02CDB"/>
    <w:rsid w:val="00F033E3"/>
    <w:rsid w:val="00F03B07"/>
    <w:rsid w:val="00F04C98"/>
    <w:rsid w:val="00F04E23"/>
    <w:rsid w:val="00F051B8"/>
    <w:rsid w:val="00F05D2B"/>
    <w:rsid w:val="00F0627E"/>
    <w:rsid w:val="00F06868"/>
    <w:rsid w:val="00F0786E"/>
    <w:rsid w:val="00F138B6"/>
    <w:rsid w:val="00F13AC2"/>
    <w:rsid w:val="00F13B6E"/>
    <w:rsid w:val="00F142B8"/>
    <w:rsid w:val="00F14E3D"/>
    <w:rsid w:val="00F1537F"/>
    <w:rsid w:val="00F1585D"/>
    <w:rsid w:val="00F15D27"/>
    <w:rsid w:val="00F16E26"/>
    <w:rsid w:val="00F176BF"/>
    <w:rsid w:val="00F20B97"/>
    <w:rsid w:val="00F21FFE"/>
    <w:rsid w:val="00F22B61"/>
    <w:rsid w:val="00F22C78"/>
    <w:rsid w:val="00F24648"/>
    <w:rsid w:val="00F24965"/>
    <w:rsid w:val="00F2523E"/>
    <w:rsid w:val="00F25DC6"/>
    <w:rsid w:val="00F27141"/>
    <w:rsid w:val="00F271DD"/>
    <w:rsid w:val="00F3112D"/>
    <w:rsid w:val="00F31E27"/>
    <w:rsid w:val="00F32AE8"/>
    <w:rsid w:val="00F33D5A"/>
    <w:rsid w:val="00F34348"/>
    <w:rsid w:val="00F35B01"/>
    <w:rsid w:val="00F37FDE"/>
    <w:rsid w:val="00F40071"/>
    <w:rsid w:val="00F4048B"/>
    <w:rsid w:val="00F41C80"/>
    <w:rsid w:val="00F4274D"/>
    <w:rsid w:val="00F42B4E"/>
    <w:rsid w:val="00F42BCC"/>
    <w:rsid w:val="00F43C6B"/>
    <w:rsid w:val="00F44150"/>
    <w:rsid w:val="00F44E01"/>
    <w:rsid w:val="00F45526"/>
    <w:rsid w:val="00F455B8"/>
    <w:rsid w:val="00F45685"/>
    <w:rsid w:val="00F46E61"/>
    <w:rsid w:val="00F4797B"/>
    <w:rsid w:val="00F502B1"/>
    <w:rsid w:val="00F509D1"/>
    <w:rsid w:val="00F50DEC"/>
    <w:rsid w:val="00F539A5"/>
    <w:rsid w:val="00F55070"/>
    <w:rsid w:val="00F552DF"/>
    <w:rsid w:val="00F56268"/>
    <w:rsid w:val="00F56391"/>
    <w:rsid w:val="00F57903"/>
    <w:rsid w:val="00F60F4E"/>
    <w:rsid w:val="00F63B33"/>
    <w:rsid w:val="00F649E6"/>
    <w:rsid w:val="00F656F6"/>
    <w:rsid w:val="00F65721"/>
    <w:rsid w:val="00F66C6C"/>
    <w:rsid w:val="00F67878"/>
    <w:rsid w:val="00F703E7"/>
    <w:rsid w:val="00F7235D"/>
    <w:rsid w:val="00F72C0B"/>
    <w:rsid w:val="00F739FA"/>
    <w:rsid w:val="00F74D83"/>
    <w:rsid w:val="00F75C5C"/>
    <w:rsid w:val="00F75CD2"/>
    <w:rsid w:val="00F76265"/>
    <w:rsid w:val="00F76BC5"/>
    <w:rsid w:val="00F774D1"/>
    <w:rsid w:val="00F8004A"/>
    <w:rsid w:val="00F80C66"/>
    <w:rsid w:val="00F8110F"/>
    <w:rsid w:val="00F830D4"/>
    <w:rsid w:val="00F83142"/>
    <w:rsid w:val="00F83E09"/>
    <w:rsid w:val="00F84151"/>
    <w:rsid w:val="00F85FEF"/>
    <w:rsid w:val="00F86665"/>
    <w:rsid w:val="00F907BC"/>
    <w:rsid w:val="00F9089A"/>
    <w:rsid w:val="00F90E4B"/>
    <w:rsid w:val="00F90F7A"/>
    <w:rsid w:val="00F91316"/>
    <w:rsid w:val="00F91B63"/>
    <w:rsid w:val="00F91C76"/>
    <w:rsid w:val="00F92CE0"/>
    <w:rsid w:val="00F9337A"/>
    <w:rsid w:val="00F9579B"/>
    <w:rsid w:val="00F958BA"/>
    <w:rsid w:val="00F95BED"/>
    <w:rsid w:val="00F97AD7"/>
    <w:rsid w:val="00F97BD8"/>
    <w:rsid w:val="00FA2A76"/>
    <w:rsid w:val="00FA2BB2"/>
    <w:rsid w:val="00FA2D8C"/>
    <w:rsid w:val="00FA3A78"/>
    <w:rsid w:val="00FA5AD0"/>
    <w:rsid w:val="00FA72AA"/>
    <w:rsid w:val="00FA7EDE"/>
    <w:rsid w:val="00FB02BB"/>
    <w:rsid w:val="00FB3DBC"/>
    <w:rsid w:val="00FB4D45"/>
    <w:rsid w:val="00FB5639"/>
    <w:rsid w:val="00FB5CFB"/>
    <w:rsid w:val="00FB699F"/>
    <w:rsid w:val="00FB6AEF"/>
    <w:rsid w:val="00FB6E0C"/>
    <w:rsid w:val="00FB6F1D"/>
    <w:rsid w:val="00FC0054"/>
    <w:rsid w:val="00FC0233"/>
    <w:rsid w:val="00FC3AB3"/>
    <w:rsid w:val="00FC3CA9"/>
    <w:rsid w:val="00FC61F2"/>
    <w:rsid w:val="00FC69E8"/>
    <w:rsid w:val="00FC738F"/>
    <w:rsid w:val="00FD1DA6"/>
    <w:rsid w:val="00FD1F27"/>
    <w:rsid w:val="00FD25F7"/>
    <w:rsid w:val="00FD26AE"/>
    <w:rsid w:val="00FD2A2C"/>
    <w:rsid w:val="00FD2D5E"/>
    <w:rsid w:val="00FD484D"/>
    <w:rsid w:val="00FD48C8"/>
    <w:rsid w:val="00FD504F"/>
    <w:rsid w:val="00FD5D32"/>
    <w:rsid w:val="00FE1780"/>
    <w:rsid w:val="00FE19F4"/>
    <w:rsid w:val="00FE1C27"/>
    <w:rsid w:val="00FE260F"/>
    <w:rsid w:val="00FE2950"/>
    <w:rsid w:val="00FE2B2D"/>
    <w:rsid w:val="00FE2FB1"/>
    <w:rsid w:val="00FE3265"/>
    <w:rsid w:val="00FE335A"/>
    <w:rsid w:val="00FE35A9"/>
    <w:rsid w:val="00FE39EF"/>
    <w:rsid w:val="00FE4084"/>
    <w:rsid w:val="00FE4B4B"/>
    <w:rsid w:val="00FE5E3A"/>
    <w:rsid w:val="00FE6D7F"/>
    <w:rsid w:val="00FE78A0"/>
    <w:rsid w:val="00FF11CD"/>
    <w:rsid w:val="00FF1655"/>
    <w:rsid w:val="00FF1ABE"/>
    <w:rsid w:val="00FF26BF"/>
    <w:rsid w:val="00FF30A3"/>
    <w:rsid w:val="00FF3881"/>
    <w:rsid w:val="00FF3AC4"/>
    <w:rsid w:val="00FF3FAF"/>
    <w:rsid w:val="00FF4574"/>
    <w:rsid w:val="00FF4A1B"/>
    <w:rsid w:val="00FF510F"/>
    <w:rsid w:val="00FF53AC"/>
    <w:rsid w:val="00FF5B01"/>
    <w:rsid w:val="00FF6BDF"/>
    <w:rsid w:val="00FF71B5"/>
    <w:rsid w:val="026CFAF0"/>
    <w:rsid w:val="0356F1FB"/>
    <w:rsid w:val="0BE4177B"/>
    <w:rsid w:val="0D55F241"/>
    <w:rsid w:val="0D8DFB85"/>
    <w:rsid w:val="0E2ECCF5"/>
    <w:rsid w:val="12AA8535"/>
    <w:rsid w:val="12BA4CA2"/>
    <w:rsid w:val="1316CCC4"/>
    <w:rsid w:val="15A4CC25"/>
    <w:rsid w:val="1B7CD5CC"/>
    <w:rsid w:val="1B8AE975"/>
    <w:rsid w:val="1B91D9E1"/>
    <w:rsid w:val="1CCD70BA"/>
    <w:rsid w:val="1EFB72D5"/>
    <w:rsid w:val="22C0BD99"/>
    <w:rsid w:val="24820398"/>
    <w:rsid w:val="24EDFB69"/>
    <w:rsid w:val="279A6072"/>
    <w:rsid w:val="288FA1EA"/>
    <w:rsid w:val="2940CCFA"/>
    <w:rsid w:val="307379F0"/>
    <w:rsid w:val="320098E2"/>
    <w:rsid w:val="37C7DB99"/>
    <w:rsid w:val="43D86DA0"/>
    <w:rsid w:val="443C30AE"/>
    <w:rsid w:val="45743E01"/>
    <w:rsid w:val="46E0623F"/>
    <w:rsid w:val="476E4D74"/>
    <w:rsid w:val="480B1EAD"/>
    <w:rsid w:val="4860888C"/>
    <w:rsid w:val="4C22F736"/>
    <w:rsid w:val="4E5C3BD5"/>
    <w:rsid w:val="4F311887"/>
    <w:rsid w:val="50577988"/>
    <w:rsid w:val="5172B48B"/>
    <w:rsid w:val="559ED7B6"/>
    <w:rsid w:val="569586B3"/>
    <w:rsid w:val="576F9DB7"/>
    <w:rsid w:val="5C0190D5"/>
    <w:rsid w:val="5CC46D22"/>
    <w:rsid w:val="5FE1F400"/>
    <w:rsid w:val="60BBD99B"/>
    <w:rsid w:val="61330BF6"/>
    <w:rsid w:val="613C792D"/>
    <w:rsid w:val="63944007"/>
    <w:rsid w:val="6406EADB"/>
    <w:rsid w:val="6505C2A3"/>
    <w:rsid w:val="689F2150"/>
    <w:rsid w:val="6D4A1E95"/>
    <w:rsid w:val="6D698190"/>
    <w:rsid w:val="6EF1CCD2"/>
    <w:rsid w:val="7564D84F"/>
    <w:rsid w:val="793AFD76"/>
    <w:rsid w:val="7A943DAF"/>
    <w:rsid w:val="7BFBF745"/>
    <w:rsid w:val="7FE09CA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72D17AA"/>
  <w15:docId w15:val="{99DF54B5-39E2-4216-BBB4-28C04E8A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1C1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qFormat/>
    <w:rsid w:val="004501B3"/>
    <w:rPr>
      <w:vertAlign w:val="superscript"/>
    </w:rPr>
  </w:style>
  <w:style w:type="paragraph" w:styleId="FootnoteText">
    <w:name w:val="footnote text"/>
    <w:aliases w:val="Char,Footnote Text Char Char Char Char Char,Footnote Text Char Char1 Char,Footnote Text Char1 Char Char Char,Footnote Text Char1 Char Char Char Char Char Char Char,Footnote Text Char1 Char1 Char,Footnote Text Char2 Char,f,fn,ft,ft Char Ch"/>
    <w:basedOn w:val="Normal"/>
    <w:link w:val="FootnoteTextChar1"/>
    <w:uiPriority w:val="99"/>
    <w:qFormat/>
    <w:rsid w:val="00D025E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rsid w:val="009C7F55"/>
    <w:rPr>
      <w:rFonts w:ascii="Calibri" w:eastAsia="Calibri" w:hAnsi="Calibri" w:cs="Times New Roman"/>
      <w:sz w:val="20"/>
      <w:szCs w:val="20"/>
    </w:rPr>
  </w:style>
  <w:style w:type="character" w:customStyle="1" w:styleId="FootnoteTextChar1">
    <w:name w:val="Footnote Text Char1"/>
    <w:aliases w:val="Char Char,Footnote Text Char Char Char Char Char Char,Footnote Text Char Char1 Char Char,Footnote Text Char1 Char Char Char Char,Footnote Text Char1 Char Char Char Char Char Char Char Char,Footnote Text Char1 Char1 Char Char,f Char"/>
    <w:link w:val="FootnoteText"/>
    <w:rsid w:val="00D025E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656C"/>
    <w:rPr>
      <w:color w:val="605E5C"/>
      <w:shd w:val="clear" w:color="auto" w:fill="E1DFDD"/>
    </w:rPr>
  </w:style>
  <w:style w:type="paragraph" w:styleId="NoSpacing">
    <w:name w:val="No Spacing"/>
    <w:uiPriority w:val="1"/>
    <w:qFormat/>
    <w:rsid w:val="008F283D"/>
    <w:pPr>
      <w:spacing w:after="0" w:line="240" w:lineRule="auto"/>
    </w:pPr>
  </w:style>
  <w:style w:type="table" w:customStyle="1" w:styleId="TableGrid1">
    <w:name w:val="Table Grid1"/>
    <w:basedOn w:val="TableNormal"/>
    <w:next w:val="TableGrid"/>
    <w:rsid w:val="00DB63A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91568"/>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920C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industries-data/natural-gas/industry-forms" TargetMode="External" /><Relationship Id="rId11" Type="http://schemas.openxmlformats.org/officeDocument/2006/relationships/hyperlink" Target="https://www.ferc.gov/information-collection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general-information-0/electric-industry-form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ferc.gov/legal/ceii-foia/ceii.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431604-29cd-4315-8796-3e5c08451dcf" xsi:nil="true"/>
    <lcf76f155ced4ddcb4097134ff3c332f xmlns="36d16fec-2881-4e42-8e3e-82d2ddd01c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CE9DBF6E931146816AB24CE04876B2" ma:contentTypeVersion="6" ma:contentTypeDescription="Create a new document." ma:contentTypeScope="" ma:versionID="bca20141d25f829ed05f7161852586a6">
  <xsd:schema xmlns:xsd="http://www.w3.org/2001/XMLSchema" xmlns:xs="http://www.w3.org/2001/XMLSchema" xmlns:p="http://schemas.microsoft.com/office/2006/metadata/properties" xmlns:ns2="36d16fec-2881-4e42-8e3e-82d2ddd01ccf" xmlns:ns3="8e431604-29cd-4315-8796-3e5c08451dcf" targetNamespace="http://schemas.microsoft.com/office/2006/metadata/properties" ma:root="true" ma:fieldsID="8e2b739283d6716ab9dc17dc8402665c" ns2:_="" ns3:_="">
    <xsd:import namespace="36d16fec-2881-4e42-8e3e-82d2ddd01ccf"/>
    <xsd:import namespace="8e431604-29cd-4315-8796-3e5c08451dcf"/>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16fec-2881-4e42-8e3e-82d2ddd01ccf"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31604-29cd-4315-8796-3e5c08451dc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cb36dc6-8347-480a-85d7-39ff36616223}" ma:internalName="TaxCatchAll" ma:showField="CatchAllData" ma:web="8e431604-29cd-4315-8796-3e5c08451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57017-6D35-4700-942D-9BCDC1A55FC4}">
  <ds:schemaRefs>
    <ds:schemaRef ds:uri="http://schemas.microsoft.com/office/2006/metadata/properties"/>
    <ds:schemaRef ds:uri="http://schemas.microsoft.com/office/infopath/2007/PartnerControls"/>
    <ds:schemaRef ds:uri="8e431604-29cd-4315-8796-3e5c08451dcf"/>
    <ds:schemaRef ds:uri="36d16fec-2881-4e42-8e3e-82d2ddd01ccf"/>
  </ds:schemaRefs>
</ds:datastoreItem>
</file>

<file path=customXml/itemProps2.xml><?xml version="1.0" encoding="utf-8"?>
<ds:datastoreItem xmlns:ds="http://schemas.openxmlformats.org/officeDocument/2006/customXml" ds:itemID="{60CE78A7-5CA5-43E8-884E-C16F51A42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16fec-2881-4e42-8e3e-82d2ddd01ccf"/>
    <ds:schemaRef ds:uri="8e431604-29cd-4315-8796-3e5c08451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4.xml><?xml version="1.0" encoding="utf-8"?>
<ds:datastoreItem xmlns:ds="http://schemas.openxmlformats.org/officeDocument/2006/customXml" ds:itemID="{2D0448F9-BBE8-47D6-ACCE-55399A474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2160</Words>
  <Characters>12380</Characters>
  <Application>Microsoft Office Word</Application>
  <DocSecurity>0</DocSecurity>
  <Lines>364</Lines>
  <Paragraphs>137</Paragraphs>
  <ScaleCrop>false</ScaleCrop>
  <Company>FERC</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Chambers</dc:creator>
  <cp:lastModifiedBy>Ken Ambrose</cp:lastModifiedBy>
  <cp:revision>2</cp:revision>
  <cp:lastPrinted>2026-06-03T14:26:00Z</cp:lastPrinted>
  <dcterms:created xsi:type="dcterms:W3CDTF">2026-07-06T15:50:00Z</dcterms:created>
  <dcterms:modified xsi:type="dcterms:W3CDTF">2026-07-06T15:50:00Z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0x01010032CE9DBF6E931146816AB24CE04876B2</vt:lpwstr>
  </property>
  <property fmtid="{D5CDD505-2E9C-101B-9397-08002B2CF9AE}" pid="3" name="docLang">
    <vt:lpwstr>en</vt:lpwstr>
  </property>
  <property fmtid="{D5CDD505-2E9C-101B-9397-08002B2CF9AE}" pid="4" name="MediaServiceImageTags">
    <vt:lpwstr/>
  </property>
  <property fmtid="{D5CDD505-2E9C-101B-9397-08002B2CF9AE}" pid="5" name="MSIP_Label_bd24d06a-0e85-4d57-b1e0-ba34b1abc708_ActionId">
    <vt:lpwstr>6298d01a-4c93-4353-92ed-b12f6d4142ed</vt:lpwstr>
  </property>
  <property fmtid="{D5CDD505-2E9C-101B-9397-08002B2CF9AE}" pid="6" name="MSIP_Label_bd24d06a-0e85-4d57-b1e0-ba34b1abc708_ContentBits">
    <vt:lpwstr>0</vt:lpwstr>
  </property>
  <property fmtid="{D5CDD505-2E9C-101B-9397-08002B2CF9AE}" pid="7" name="MSIP_Label_bd24d06a-0e85-4d57-b1e0-ba34b1abc708_Enabled">
    <vt:lpwstr>true</vt:lpwstr>
  </property>
  <property fmtid="{D5CDD505-2E9C-101B-9397-08002B2CF9AE}" pid="8" name="MSIP_Label_bd24d06a-0e85-4d57-b1e0-ba34b1abc708_Method">
    <vt:lpwstr>Privileged</vt:lpwstr>
  </property>
  <property fmtid="{D5CDD505-2E9C-101B-9397-08002B2CF9AE}" pid="9" name="MSIP_Label_bd24d06a-0e85-4d57-b1e0-ba34b1abc708_Name">
    <vt:lpwstr>bd24d06a-0e85-4d57-b1e0-ba34b1abc708</vt:lpwstr>
  </property>
  <property fmtid="{D5CDD505-2E9C-101B-9397-08002B2CF9AE}" pid="10" name="MSIP_Label_bd24d06a-0e85-4d57-b1e0-ba34b1abc708_SetDate">
    <vt:lpwstr>2026-05-01T13:14:00Z</vt:lpwstr>
  </property>
  <property fmtid="{D5CDD505-2E9C-101B-9397-08002B2CF9AE}" pid="11" name="MSIP_Label_bd24d06a-0e85-4d57-b1e0-ba34b1abc708_SiteId">
    <vt:lpwstr>19caa9e9-04ff-43fa-885f-d77fac387903</vt:lpwstr>
  </property>
  <property fmtid="{D5CDD505-2E9C-101B-9397-08002B2CF9AE}" pid="12" name="MSIP_Label_bd24d06a-0e85-4d57-b1e0-ba34b1abc708_Tag">
    <vt:lpwstr>10, 0, 1, 1</vt:lpwstr>
  </property>
  <property fmtid="{D5CDD505-2E9C-101B-9397-08002B2CF9AE}" pid="13" name="Order">
    <vt:r8>1163400</vt:r8>
  </property>
</Properties>
</file>