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214B" w:rsidP="00BD0F89" w14:paraId="0DE46580" w14:textId="77777777">
      <w:pPr>
        <w:spacing w:after="0" w:line="240" w:lineRule="auto"/>
        <w:jc w:val="center"/>
        <w:rPr>
          <w:rFonts w:ascii="Times New Roman" w:hAnsi="Times New Roman"/>
          <w:b/>
          <w:bCs/>
          <w:sz w:val="26"/>
          <w:szCs w:val="26"/>
        </w:rPr>
      </w:pPr>
    </w:p>
    <w:p w:rsidR="009C7F55" w:rsidRPr="00FB4D45" w:rsidP="00BD0F89" w14:paraId="17D3E202" w14:textId="45C27235">
      <w:pPr>
        <w:spacing w:after="0" w:line="240" w:lineRule="auto"/>
        <w:jc w:val="center"/>
        <w:rPr>
          <w:rFonts w:ascii="Times New Roman" w:hAnsi="Times New Roman"/>
          <w:b/>
          <w:bCs/>
          <w:sz w:val="26"/>
          <w:szCs w:val="26"/>
        </w:rPr>
      </w:pPr>
      <w:r w:rsidRPr="00FB4D45">
        <w:rPr>
          <w:rFonts w:ascii="Times New Roman" w:hAnsi="Times New Roman"/>
          <w:b/>
          <w:bCs/>
          <w:sz w:val="26"/>
          <w:szCs w:val="26"/>
        </w:rPr>
        <w:t>Supporting Statement</w:t>
      </w:r>
      <w:r w:rsidRPr="00FB4D45" w:rsidR="002953E1">
        <w:rPr>
          <w:rFonts w:ascii="Times New Roman" w:hAnsi="Times New Roman"/>
          <w:b/>
          <w:bCs/>
          <w:sz w:val="26"/>
          <w:szCs w:val="26"/>
        </w:rPr>
        <w:t xml:space="preserve"> for</w:t>
      </w:r>
    </w:p>
    <w:p w:rsidR="009D3942" w:rsidRPr="0073506C" w:rsidP="00BD0F89" w14:paraId="21AA4489" w14:textId="5F1CD1CF">
      <w:pPr>
        <w:spacing w:after="0" w:line="240" w:lineRule="auto"/>
        <w:jc w:val="center"/>
        <w:rPr>
          <w:rFonts w:ascii="Times New Roman" w:hAnsi="Times New Roman"/>
          <w:b/>
          <w:sz w:val="26"/>
          <w:szCs w:val="26"/>
        </w:rPr>
      </w:pPr>
      <w:r w:rsidRPr="0073506C">
        <w:rPr>
          <w:rFonts w:ascii="Times New Roman" w:hAnsi="Times New Roman"/>
          <w:b/>
          <w:sz w:val="26"/>
          <w:szCs w:val="26"/>
        </w:rPr>
        <w:t xml:space="preserve">FERC Form No. </w:t>
      </w:r>
      <w:r w:rsidR="00CB0F5E">
        <w:rPr>
          <w:rFonts w:ascii="Times New Roman" w:hAnsi="Times New Roman"/>
          <w:b/>
          <w:sz w:val="26"/>
          <w:szCs w:val="26"/>
        </w:rPr>
        <w:t>6-Q</w:t>
      </w:r>
      <w:r w:rsidR="00993D5C">
        <w:rPr>
          <w:rFonts w:ascii="Times New Roman" w:hAnsi="Times New Roman"/>
          <w:b/>
          <w:sz w:val="26"/>
          <w:szCs w:val="26"/>
        </w:rPr>
        <w:t xml:space="preserve"> </w:t>
      </w:r>
      <w:r w:rsidR="00DF0BBE">
        <w:rPr>
          <w:rFonts w:ascii="Times New Roman" w:hAnsi="Times New Roman"/>
          <w:b/>
          <w:sz w:val="26"/>
          <w:szCs w:val="26"/>
        </w:rPr>
        <w:t xml:space="preserve">as </w:t>
      </w:r>
      <w:r w:rsidR="00993D5C">
        <w:rPr>
          <w:rFonts w:ascii="Times New Roman" w:hAnsi="Times New Roman"/>
          <w:b/>
          <w:sz w:val="26"/>
          <w:szCs w:val="26"/>
        </w:rPr>
        <w:t>proposed</w:t>
      </w:r>
      <w:r w:rsidR="00DF0BBE">
        <w:rPr>
          <w:rFonts w:ascii="Times New Roman" w:hAnsi="Times New Roman"/>
          <w:b/>
          <w:sz w:val="26"/>
          <w:szCs w:val="26"/>
        </w:rPr>
        <w:t xml:space="preserve"> by </w:t>
      </w:r>
      <w:r w:rsidRPr="00E02D0F" w:rsidR="00DF0BBE">
        <w:rPr>
          <w:rFonts w:ascii="Times New Roman" w:hAnsi="Times New Roman"/>
          <w:b/>
          <w:sz w:val="26"/>
          <w:szCs w:val="26"/>
        </w:rPr>
        <w:t>RM2</w:t>
      </w:r>
      <w:r w:rsidRPr="00E02D0F" w:rsidR="00F022CD">
        <w:rPr>
          <w:rFonts w:ascii="Times New Roman" w:hAnsi="Times New Roman"/>
          <w:b/>
          <w:sz w:val="26"/>
          <w:szCs w:val="26"/>
        </w:rPr>
        <w:t>6</w:t>
      </w:r>
      <w:r w:rsidRPr="00E02D0F" w:rsidR="00DF0BBE">
        <w:rPr>
          <w:rFonts w:ascii="Times New Roman" w:hAnsi="Times New Roman"/>
          <w:b/>
          <w:sz w:val="26"/>
          <w:szCs w:val="26"/>
        </w:rPr>
        <w:t>-</w:t>
      </w:r>
      <w:r w:rsidRPr="00E02D0F" w:rsidR="00D65733">
        <w:rPr>
          <w:rFonts w:ascii="Times New Roman" w:hAnsi="Times New Roman"/>
          <w:b/>
          <w:sz w:val="26"/>
          <w:szCs w:val="26"/>
        </w:rPr>
        <w:t>12</w:t>
      </w:r>
      <w:r w:rsidRPr="00E02D0F" w:rsidR="00DF0BBE">
        <w:rPr>
          <w:rFonts w:ascii="Times New Roman" w:hAnsi="Times New Roman"/>
          <w:b/>
          <w:sz w:val="26"/>
          <w:szCs w:val="26"/>
        </w:rPr>
        <w:t>-000</w:t>
      </w:r>
    </w:p>
    <w:p w:rsidR="009D3942" w:rsidRPr="0073506C" w:rsidP="00BD0F89" w14:paraId="1C13F22C" w14:textId="77777777">
      <w:pPr>
        <w:spacing w:after="0" w:line="240" w:lineRule="auto"/>
        <w:jc w:val="center"/>
        <w:rPr>
          <w:rFonts w:ascii="Times New Roman" w:hAnsi="Times New Roman"/>
          <w:b/>
          <w:sz w:val="26"/>
          <w:szCs w:val="26"/>
        </w:rPr>
      </w:pPr>
    </w:p>
    <w:p w:rsidR="0023006B" w:rsidP="008E7FE4" w14:paraId="0EFB6998" w14:textId="378E05B8">
      <w:pPr>
        <w:spacing w:after="0" w:line="240" w:lineRule="auto"/>
        <w:rPr>
          <w:rFonts w:ascii="Times New Roman" w:hAnsi="Times New Roman"/>
          <w:iCs/>
          <w:sz w:val="26"/>
          <w:szCs w:val="26"/>
        </w:rPr>
      </w:pPr>
      <w:r w:rsidRPr="00A33862">
        <w:rPr>
          <w:rFonts w:ascii="Times New Roman" w:hAnsi="Times New Roman"/>
          <w:sz w:val="26"/>
          <w:szCs w:val="26"/>
        </w:rPr>
        <w:t xml:space="preserve">The Federal Energy Regulatory Commission (Commission or FERC) requests that the Office of Management and Budget (OMB) review the proposed changes to information collections included in </w:t>
      </w:r>
      <w:r w:rsidR="00AF300B">
        <w:rPr>
          <w:rFonts w:ascii="Times New Roman" w:hAnsi="Times New Roman"/>
          <w:sz w:val="26"/>
          <w:szCs w:val="26"/>
        </w:rPr>
        <w:t xml:space="preserve">the </w:t>
      </w:r>
      <w:r w:rsidRPr="00A33862">
        <w:rPr>
          <w:rFonts w:ascii="Times New Roman" w:hAnsi="Times New Roman"/>
          <w:sz w:val="26"/>
          <w:szCs w:val="26"/>
        </w:rPr>
        <w:t>N</w:t>
      </w:r>
      <w:r w:rsidR="00AF300B">
        <w:rPr>
          <w:rFonts w:ascii="Times New Roman" w:hAnsi="Times New Roman"/>
          <w:sz w:val="26"/>
          <w:szCs w:val="26"/>
        </w:rPr>
        <w:t>otice of Proposed Rulemaking (N</w:t>
      </w:r>
      <w:r w:rsidRPr="00A33862">
        <w:rPr>
          <w:rFonts w:ascii="Times New Roman" w:hAnsi="Times New Roman"/>
          <w:sz w:val="26"/>
          <w:szCs w:val="26"/>
        </w:rPr>
        <w:t>OPR</w:t>
      </w:r>
      <w:r w:rsidR="00AF300B">
        <w:rPr>
          <w:rFonts w:ascii="Times New Roman" w:hAnsi="Times New Roman"/>
          <w:sz w:val="26"/>
          <w:szCs w:val="26"/>
        </w:rPr>
        <w:t>)</w:t>
      </w:r>
      <w:r w:rsidR="004859D0">
        <w:rPr>
          <w:rFonts w:ascii="Times New Roman" w:hAnsi="Times New Roman"/>
          <w:sz w:val="26"/>
          <w:szCs w:val="26"/>
        </w:rPr>
        <w:t>,</w:t>
      </w:r>
      <w:r w:rsidRPr="00532D5E" w:rsidR="00532D5E">
        <w:t xml:space="preserve"> </w:t>
      </w:r>
      <w:r w:rsidRPr="00E02D0F" w:rsidR="00532D5E">
        <w:rPr>
          <w:rFonts w:ascii="Times New Roman" w:hAnsi="Times New Roman"/>
          <w:i/>
          <w:iCs/>
          <w:sz w:val="26"/>
          <w:szCs w:val="26"/>
        </w:rPr>
        <w:t>Revisions to Financial Forms Reporting and Filing Requirements</w:t>
      </w:r>
      <w:r w:rsidRPr="00532D5E" w:rsidR="00532D5E">
        <w:rPr>
          <w:rFonts w:ascii="Times New Roman" w:hAnsi="Times New Roman"/>
          <w:sz w:val="26"/>
          <w:szCs w:val="26"/>
        </w:rPr>
        <w:t>,</w:t>
      </w:r>
      <w:r w:rsidRPr="00A33862">
        <w:rPr>
          <w:rFonts w:ascii="Times New Roman" w:hAnsi="Times New Roman"/>
          <w:sz w:val="26"/>
          <w:szCs w:val="26"/>
        </w:rPr>
        <w:t xml:space="preserve"> RM26-</w:t>
      </w:r>
      <w:r w:rsidR="00D65733">
        <w:rPr>
          <w:rFonts w:ascii="Times New Roman" w:hAnsi="Times New Roman"/>
          <w:sz w:val="26"/>
          <w:szCs w:val="26"/>
        </w:rPr>
        <w:t>12</w:t>
      </w:r>
      <w:r w:rsidRPr="00A33862">
        <w:rPr>
          <w:rFonts w:ascii="Times New Roman" w:hAnsi="Times New Roman"/>
          <w:sz w:val="26"/>
          <w:szCs w:val="26"/>
        </w:rPr>
        <w:t>-000, which include substantive updates to FERC Form</w:t>
      </w:r>
      <w:r w:rsidR="00CB0AFA">
        <w:rPr>
          <w:rFonts w:ascii="Times New Roman" w:hAnsi="Times New Roman"/>
          <w:sz w:val="26"/>
          <w:szCs w:val="26"/>
        </w:rPr>
        <w:t xml:space="preserve"> </w:t>
      </w:r>
      <w:r w:rsidR="003B6C3A">
        <w:rPr>
          <w:rFonts w:ascii="Times New Roman" w:hAnsi="Times New Roman"/>
          <w:sz w:val="26"/>
          <w:szCs w:val="26"/>
        </w:rPr>
        <w:t>N</w:t>
      </w:r>
      <w:r w:rsidR="00CB0AFA">
        <w:rPr>
          <w:rFonts w:ascii="Times New Roman" w:hAnsi="Times New Roman"/>
          <w:sz w:val="26"/>
          <w:szCs w:val="26"/>
        </w:rPr>
        <w:t>o.</w:t>
      </w:r>
      <w:r w:rsidRPr="00A33862">
        <w:rPr>
          <w:rFonts w:ascii="Times New Roman" w:hAnsi="Times New Roman"/>
          <w:sz w:val="26"/>
          <w:szCs w:val="26"/>
        </w:rPr>
        <w:t xml:space="preserve"> </w:t>
      </w:r>
      <w:r w:rsidR="002C526F">
        <w:rPr>
          <w:rFonts w:ascii="Times New Roman" w:hAnsi="Times New Roman"/>
          <w:sz w:val="26"/>
          <w:szCs w:val="26"/>
        </w:rPr>
        <w:t>6</w:t>
      </w:r>
      <w:r w:rsidRPr="00A33862">
        <w:rPr>
          <w:rFonts w:ascii="Times New Roman" w:hAnsi="Times New Roman"/>
          <w:sz w:val="26"/>
          <w:szCs w:val="26"/>
        </w:rPr>
        <w:t>-Q</w:t>
      </w:r>
      <w:r w:rsidRPr="00C8211B" w:rsidR="00FD3894">
        <w:rPr>
          <w:rFonts w:ascii="Times New Roman" w:hAnsi="Times New Roman"/>
          <w:iCs/>
          <w:sz w:val="26"/>
          <w:szCs w:val="26"/>
        </w:rPr>
        <w:t>, Quarterly Financial Report of Oil Pipeline Companies</w:t>
      </w:r>
      <w:r w:rsidR="00CB0AFA">
        <w:rPr>
          <w:rFonts w:ascii="Times New Roman" w:hAnsi="Times New Roman"/>
          <w:sz w:val="26"/>
          <w:szCs w:val="26"/>
        </w:rPr>
        <w:t>.</w:t>
      </w:r>
      <w:r>
        <w:rPr>
          <w:rFonts w:ascii="Times New Roman" w:hAnsi="Times New Roman"/>
          <w:sz w:val="26"/>
          <w:szCs w:val="26"/>
          <w:vertAlign w:val="superscript"/>
        </w:rPr>
        <w:footnoteReference w:id="3"/>
      </w:r>
      <w:r w:rsidRPr="00E02D0F">
        <w:rPr>
          <w:rFonts w:ascii="Times New Roman" w:hAnsi="Times New Roman"/>
          <w:sz w:val="26"/>
          <w:szCs w:val="26"/>
        </w:rPr>
        <w:t xml:space="preserve">  </w:t>
      </w:r>
      <w:r w:rsidR="006D7D01">
        <w:rPr>
          <w:rFonts w:ascii="Times New Roman" w:hAnsi="Times New Roman"/>
          <w:iCs/>
          <w:sz w:val="26"/>
          <w:szCs w:val="26"/>
        </w:rPr>
        <w:t xml:space="preserve">The </w:t>
      </w:r>
      <w:r w:rsidR="00AF300B">
        <w:rPr>
          <w:rFonts w:ascii="Times New Roman" w:hAnsi="Times New Roman"/>
          <w:iCs/>
          <w:sz w:val="26"/>
          <w:szCs w:val="26"/>
        </w:rPr>
        <w:t>NOPR</w:t>
      </w:r>
      <w:r w:rsidR="006D7D01">
        <w:rPr>
          <w:rFonts w:ascii="Times New Roman" w:hAnsi="Times New Roman"/>
          <w:iCs/>
          <w:sz w:val="26"/>
          <w:szCs w:val="26"/>
        </w:rPr>
        <w:t xml:space="preserve"> </w:t>
      </w:r>
      <w:r w:rsidR="002815D3">
        <w:rPr>
          <w:rFonts w:ascii="Times New Roman" w:hAnsi="Times New Roman"/>
          <w:iCs/>
          <w:sz w:val="26"/>
          <w:szCs w:val="26"/>
        </w:rPr>
        <w:t>propose</w:t>
      </w:r>
      <w:r w:rsidR="00C8211B">
        <w:rPr>
          <w:rFonts w:ascii="Times New Roman" w:hAnsi="Times New Roman"/>
          <w:iCs/>
          <w:sz w:val="26"/>
          <w:szCs w:val="26"/>
        </w:rPr>
        <w:t>s</w:t>
      </w:r>
      <w:r w:rsidR="006C0896">
        <w:rPr>
          <w:rFonts w:ascii="Times New Roman" w:hAnsi="Times New Roman"/>
          <w:iCs/>
          <w:sz w:val="26"/>
          <w:szCs w:val="26"/>
        </w:rPr>
        <w:t xml:space="preserve"> to </w:t>
      </w:r>
      <w:r w:rsidRPr="00C8211B" w:rsidR="00C8211B">
        <w:rPr>
          <w:rFonts w:ascii="Times New Roman" w:hAnsi="Times New Roman"/>
          <w:iCs/>
          <w:sz w:val="26"/>
          <w:szCs w:val="26"/>
        </w:rPr>
        <w:t>revise the regulation</w:t>
      </w:r>
      <w:r w:rsidR="00215C59">
        <w:rPr>
          <w:rFonts w:ascii="Times New Roman" w:hAnsi="Times New Roman"/>
          <w:iCs/>
          <w:sz w:val="26"/>
          <w:szCs w:val="26"/>
        </w:rPr>
        <w:t>s</w:t>
      </w:r>
      <w:r w:rsidRPr="00C8211B" w:rsidR="00C8211B">
        <w:rPr>
          <w:rFonts w:ascii="Times New Roman" w:hAnsi="Times New Roman"/>
          <w:iCs/>
          <w:sz w:val="26"/>
          <w:szCs w:val="26"/>
        </w:rPr>
        <w:t xml:space="preserve"> for FERC Form No. 6-Q to specify that oil pipelines with annual jurisdictional operating revenues below $500,000 are exempt from filing the quarterly form. </w:t>
      </w:r>
      <w:r w:rsidR="00987DD2">
        <w:rPr>
          <w:rFonts w:ascii="Times New Roman" w:hAnsi="Times New Roman"/>
          <w:iCs/>
          <w:sz w:val="26"/>
          <w:szCs w:val="26"/>
        </w:rPr>
        <w:t xml:space="preserve"> </w:t>
      </w:r>
      <w:r w:rsidRPr="00C8211B" w:rsidR="00C8211B">
        <w:rPr>
          <w:rFonts w:ascii="Times New Roman" w:hAnsi="Times New Roman"/>
          <w:iCs/>
          <w:sz w:val="26"/>
          <w:szCs w:val="26"/>
        </w:rPr>
        <w:t>The Commission also proposes to</w:t>
      </w:r>
      <w:r w:rsidR="005D2775">
        <w:rPr>
          <w:rFonts w:ascii="Times New Roman" w:hAnsi="Times New Roman"/>
          <w:iCs/>
          <w:sz w:val="26"/>
          <w:szCs w:val="26"/>
        </w:rPr>
        <w:t xml:space="preserve"> </w:t>
      </w:r>
      <w:r w:rsidRPr="00C8211B" w:rsidR="00C8211B">
        <w:rPr>
          <w:rFonts w:ascii="Times New Roman" w:hAnsi="Times New Roman"/>
          <w:iCs/>
          <w:sz w:val="26"/>
          <w:szCs w:val="26"/>
        </w:rPr>
        <w:t xml:space="preserve">eliminate certain schedules from FERC Form No. 6-Q.  These </w:t>
      </w:r>
      <w:r w:rsidR="00065533">
        <w:rPr>
          <w:rFonts w:ascii="Times New Roman" w:hAnsi="Times New Roman"/>
          <w:iCs/>
          <w:sz w:val="26"/>
          <w:szCs w:val="26"/>
        </w:rPr>
        <w:t xml:space="preserve">proposed </w:t>
      </w:r>
      <w:r w:rsidRPr="00C8211B" w:rsidR="00C8211B">
        <w:rPr>
          <w:rFonts w:ascii="Times New Roman" w:hAnsi="Times New Roman"/>
          <w:iCs/>
          <w:sz w:val="26"/>
          <w:szCs w:val="26"/>
        </w:rPr>
        <w:t xml:space="preserve">changes to the quarterly form would reduce the </w:t>
      </w:r>
      <w:r w:rsidRPr="004434BF" w:rsidR="004434BF">
        <w:rPr>
          <w:rFonts w:ascii="Times New Roman" w:hAnsi="Times New Roman"/>
          <w:iCs/>
          <w:sz w:val="26"/>
          <w:szCs w:val="26"/>
        </w:rPr>
        <w:t xml:space="preserve">reporting burden for </w:t>
      </w:r>
      <w:r w:rsidR="00792141">
        <w:rPr>
          <w:rFonts w:ascii="Times New Roman" w:hAnsi="Times New Roman"/>
          <w:iCs/>
          <w:sz w:val="26"/>
          <w:szCs w:val="26"/>
        </w:rPr>
        <w:t>oi</w:t>
      </w:r>
      <w:r w:rsidR="006E5A2D">
        <w:rPr>
          <w:rFonts w:ascii="Times New Roman" w:hAnsi="Times New Roman"/>
          <w:iCs/>
          <w:sz w:val="26"/>
          <w:szCs w:val="26"/>
        </w:rPr>
        <w:t>l pipeline companies</w:t>
      </w:r>
      <w:r w:rsidRPr="004434BF" w:rsidR="004434BF">
        <w:rPr>
          <w:rFonts w:ascii="Times New Roman" w:hAnsi="Times New Roman"/>
          <w:iCs/>
          <w:sz w:val="26"/>
          <w:szCs w:val="26"/>
        </w:rPr>
        <w:t xml:space="preserve"> subject to FERC’s jurisdiction</w:t>
      </w:r>
      <w:r w:rsidRPr="00C8211B" w:rsidR="00C8211B">
        <w:rPr>
          <w:rFonts w:ascii="Times New Roman" w:hAnsi="Times New Roman"/>
          <w:iCs/>
          <w:sz w:val="26"/>
          <w:szCs w:val="26"/>
        </w:rPr>
        <w:t>.</w:t>
      </w:r>
    </w:p>
    <w:p w:rsidR="00215C59" w:rsidP="008E7FE4" w14:paraId="305A30AD" w14:textId="77777777">
      <w:pPr>
        <w:spacing w:after="0" w:line="240" w:lineRule="auto"/>
        <w:rPr>
          <w:rFonts w:ascii="Times New Roman" w:hAnsi="Times New Roman"/>
          <w:iCs/>
          <w:sz w:val="26"/>
          <w:szCs w:val="26"/>
        </w:rPr>
      </w:pPr>
    </w:p>
    <w:p w:rsidR="009C7F55" w:rsidRPr="0073506C" w:rsidP="00BD0F89" w14:paraId="41D5B9C4"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 xml:space="preserve">CIRCUMSTANCES THAT MAKE THE COLLECTION OF INFORMATION NECESSARY </w:t>
      </w:r>
    </w:p>
    <w:p w:rsidR="0058372E" w:rsidRPr="0073506C" w14:paraId="7404A7AA" w14:textId="7D28578D">
      <w:pPr>
        <w:spacing w:after="0" w:line="240" w:lineRule="auto"/>
        <w:rPr>
          <w:rFonts w:ascii="Times New Roman" w:hAnsi="Times New Roman"/>
          <w:sz w:val="26"/>
          <w:szCs w:val="26"/>
        </w:rPr>
      </w:pPr>
    </w:p>
    <w:p w:rsidR="002430EB" w:rsidRPr="002430EB" w:rsidP="002430EB" w14:paraId="2192AA93" w14:textId="4E4C8FB0">
      <w:pPr>
        <w:spacing w:after="0" w:line="240" w:lineRule="auto"/>
        <w:rPr>
          <w:rFonts w:ascii="Times New Roman" w:eastAsia="Times New Roman" w:hAnsi="Times New Roman"/>
          <w:bCs/>
          <w:sz w:val="26"/>
          <w:szCs w:val="26"/>
        </w:rPr>
      </w:pPr>
      <w:r w:rsidRPr="00E02D0F">
        <w:rPr>
          <w:rFonts w:ascii="Times New Roman" w:eastAsia="Times New Roman" w:hAnsi="Times New Roman"/>
          <w:bCs/>
          <w:sz w:val="26"/>
          <w:szCs w:val="26"/>
        </w:rPr>
        <w:t>Under the Interstate Commerce Act</w:t>
      </w:r>
      <w:r w:rsidRPr="00585221">
        <w:rPr>
          <w:rFonts w:ascii="Times New Roman" w:eastAsia="Times New Roman" w:hAnsi="Times New Roman"/>
          <w:bCs/>
          <w:sz w:val="26"/>
          <w:szCs w:val="26"/>
          <w:vertAlign w:val="superscript"/>
        </w:rPr>
        <w:t xml:space="preserve"> </w:t>
      </w:r>
      <w:r w:rsidRPr="00E02D0F">
        <w:rPr>
          <w:rFonts w:ascii="Times New Roman" w:eastAsia="Times New Roman" w:hAnsi="Times New Roman"/>
          <w:bCs/>
          <w:sz w:val="26"/>
          <w:szCs w:val="26"/>
        </w:rPr>
        <w:t>(ICA),</w:t>
      </w:r>
      <w:r>
        <w:rPr>
          <w:rFonts w:ascii="Times New Roman" w:eastAsia="Times New Roman" w:hAnsi="Times New Roman"/>
          <w:b/>
          <w:bCs/>
          <w:sz w:val="26"/>
          <w:szCs w:val="26"/>
          <w:vertAlign w:val="superscript"/>
        </w:rPr>
        <w:footnoteReference w:id="4"/>
      </w:r>
      <w:r w:rsidRPr="00585221">
        <w:rPr>
          <w:rFonts w:ascii="Times New Roman" w:eastAsia="Times New Roman" w:hAnsi="Times New Roman"/>
          <w:bCs/>
          <w:sz w:val="26"/>
          <w:szCs w:val="26"/>
          <w:vertAlign w:val="superscript"/>
        </w:rPr>
        <w:t xml:space="preserve"> </w:t>
      </w:r>
      <w:r w:rsidRPr="00E02D0F">
        <w:rPr>
          <w:rFonts w:ascii="Times New Roman" w:eastAsia="Times New Roman" w:hAnsi="Times New Roman"/>
          <w:sz w:val="26"/>
          <w:szCs w:val="26"/>
        </w:rPr>
        <w:t xml:space="preserve">the Commission is authorized to collect and record data to the extent </w:t>
      </w:r>
      <w:r w:rsidR="00E26776">
        <w:rPr>
          <w:rFonts w:ascii="Times New Roman" w:eastAsia="Times New Roman" w:hAnsi="Times New Roman"/>
          <w:sz w:val="26"/>
          <w:szCs w:val="26"/>
        </w:rPr>
        <w:t>it</w:t>
      </w:r>
      <w:r w:rsidRPr="00E02D0F">
        <w:rPr>
          <w:rFonts w:ascii="Times New Roman" w:eastAsia="Times New Roman" w:hAnsi="Times New Roman"/>
          <w:sz w:val="26"/>
          <w:szCs w:val="26"/>
        </w:rPr>
        <w:t xml:space="preserve"> consider</w:t>
      </w:r>
      <w:r w:rsidR="00E26776">
        <w:rPr>
          <w:rFonts w:ascii="Times New Roman" w:eastAsia="Times New Roman" w:hAnsi="Times New Roman"/>
          <w:sz w:val="26"/>
          <w:szCs w:val="26"/>
        </w:rPr>
        <w:t>s</w:t>
      </w:r>
      <w:r w:rsidRPr="00E02D0F">
        <w:rPr>
          <w:rFonts w:ascii="Times New Roman" w:eastAsia="Times New Roman" w:hAnsi="Times New Roman"/>
          <w:sz w:val="26"/>
          <w:szCs w:val="26"/>
        </w:rPr>
        <w:t xml:space="preserve"> such data necessary or useful for the purpose of carrying out the provisions of the ICA.</w:t>
      </w:r>
      <w:r w:rsidRPr="00585221">
        <w:rPr>
          <w:rFonts w:ascii="Times New Roman" w:eastAsia="Times New Roman" w:hAnsi="Times New Roman"/>
          <w:bCs/>
          <w:sz w:val="26"/>
          <w:szCs w:val="26"/>
          <w:vertAlign w:val="superscript"/>
        </w:rPr>
        <w:t xml:space="preserve">  </w:t>
      </w:r>
    </w:p>
    <w:p w:rsidR="00114734" w:rsidRPr="00114734" w:rsidP="00114734" w14:paraId="7F4D1F90" w14:textId="30467C83">
      <w:pPr>
        <w:spacing w:after="0" w:line="240" w:lineRule="auto"/>
        <w:rPr>
          <w:rFonts w:ascii="Times New Roman" w:eastAsia="Times New Roman" w:hAnsi="Times New Roman"/>
          <w:sz w:val="26"/>
          <w:szCs w:val="26"/>
        </w:rPr>
      </w:pPr>
    </w:p>
    <w:p w:rsidR="003507C9" w:rsidRPr="003507C9" w:rsidP="003507C9" w14:paraId="08D3CA03" w14:textId="6E020226">
      <w:pPr>
        <w:spacing w:after="0" w:line="240" w:lineRule="auto"/>
        <w:rPr>
          <w:rFonts w:ascii="Times New Roman" w:eastAsia="Times New Roman" w:hAnsi="Times New Roman"/>
          <w:sz w:val="26"/>
          <w:szCs w:val="26"/>
        </w:rPr>
      </w:pPr>
      <w:r w:rsidRPr="003507C9">
        <w:rPr>
          <w:rFonts w:ascii="Times New Roman" w:eastAsia="Times New Roman" w:hAnsi="Times New Roman"/>
          <w:b/>
          <w:bCs/>
          <w:sz w:val="26"/>
          <w:szCs w:val="26"/>
        </w:rPr>
        <w:t xml:space="preserve">FERC Form No. </w:t>
      </w:r>
      <w:r>
        <w:rPr>
          <w:rFonts w:ascii="Times New Roman" w:eastAsia="Times New Roman" w:hAnsi="Times New Roman"/>
          <w:b/>
          <w:bCs/>
          <w:sz w:val="26"/>
          <w:szCs w:val="26"/>
        </w:rPr>
        <w:t>6</w:t>
      </w:r>
      <w:r w:rsidRPr="003507C9">
        <w:rPr>
          <w:rFonts w:ascii="Times New Roman" w:eastAsia="Times New Roman" w:hAnsi="Times New Roman"/>
          <w:b/>
          <w:bCs/>
          <w:sz w:val="26"/>
          <w:szCs w:val="26"/>
        </w:rPr>
        <w:t>-Q</w:t>
      </w:r>
    </w:p>
    <w:p w:rsidR="007C47B1" w:rsidP="00ED58F0" w14:paraId="3B2A985F" w14:textId="77777777">
      <w:pPr>
        <w:spacing w:after="0" w:line="240" w:lineRule="auto"/>
        <w:rPr>
          <w:rFonts w:ascii="Times New Roman" w:eastAsia="Times New Roman" w:hAnsi="Times New Roman"/>
          <w:sz w:val="26"/>
          <w:szCs w:val="26"/>
        </w:rPr>
      </w:pPr>
    </w:p>
    <w:p w:rsidR="007C47B1" w:rsidP="00ED58F0" w14:paraId="1FC97E4F" w14:textId="769FBE81">
      <w:pPr>
        <w:spacing w:after="0" w:line="240" w:lineRule="auto"/>
        <w:rPr>
          <w:rFonts w:ascii="Times New Roman" w:eastAsia="Times New Roman" w:hAnsi="Times New Roman"/>
          <w:sz w:val="26"/>
          <w:szCs w:val="26"/>
        </w:rPr>
      </w:pPr>
      <w:r w:rsidRPr="005B07E5">
        <w:rPr>
          <w:rFonts w:ascii="Times New Roman" w:eastAsia="Times New Roman" w:hAnsi="Times New Roman"/>
          <w:sz w:val="26"/>
          <w:szCs w:val="26"/>
        </w:rPr>
        <w:t xml:space="preserve">Under </w:t>
      </w:r>
      <w:r w:rsidR="00AD0962">
        <w:rPr>
          <w:rFonts w:ascii="Times New Roman" w:eastAsia="Times New Roman" w:hAnsi="Times New Roman"/>
          <w:sz w:val="26"/>
          <w:szCs w:val="26"/>
        </w:rPr>
        <w:t>the Commission</w:t>
      </w:r>
      <w:r w:rsidRPr="005B07E5">
        <w:rPr>
          <w:rFonts w:ascii="Times New Roman" w:eastAsia="Times New Roman" w:hAnsi="Times New Roman"/>
          <w:sz w:val="26"/>
          <w:szCs w:val="26"/>
        </w:rPr>
        <w:t xml:space="preserve">’s regulations, FERC jurisdictional entities subject to its Uniform System of Accounts (USofA) must annually file with the Commission a complete set of financial statements, along with other selected financial and </w:t>
      </w:r>
      <w:r w:rsidR="00AD0962">
        <w:rPr>
          <w:rFonts w:ascii="Times New Roman" w:eastAsia="Times New Roman" w:hAnsi="Times New Roman"/>
          <w:sz w:val="26"/>
          <w:szCs w:val="26"/>
        </w:rPr>
        <w:t>operational</w:t>
      </w:r>
      <w:r w:rsidRPr="005B07E5">
        <w:rPr>
          <w:rFonts w:ascii="Times New Roman" w:eastAsia="Times New Roman" w:hAnsi="Times New Roman"/>
          <w:sz w:val="26"/>
          <w:szCs w:val="26"/>
        </w:rPr>
        <w:t xml:space="preserve"> data through the submission of FERC </w:t>
      </w:r>
      <w:r w:rsidR="001843EA">
        <w:rPr>
          <w:rFonts w:ascii="Times New Roman" w:eastAsia="Times New Roman" w:hAnsi="Times New Roman"/>
          <w:sz w:val="26"/>
          <w:szCs w:val="26"/>
        </w:rPr>
        <w:t>f</w:t>
      </w:r>
      <w:r w:rsidRPr="005B07E5">
        <w:rPr>
          <w:rFonts w:ascii="Times New Roman" w:eastAsia="Times New Roman" w:hAnsi="Times New Roman"/>
          <w:sz w:val="26"/>
          <w:szCs w:val="26"/>
        </w:rPr>
        <w:t xml:space="preserve">orms including FERC Form No. </w:t>
      </w:r>
      <w:r w:rsidR="00682662">
        <w:rPr>
          <w:rFonts w:ascii="Times New Roman" w:eastAsia="Times New Roman" w:hAnsi="Times New Roman"/>
          <w:sz w:val="26"/>
          <w:szCs w:val="26"/>
        </w:rPr>
        <w:t>6</w:t>
      </w:r>
      <w:r w:rsidRPr="005B07E5">
        <w:rPr>
          <w:rFonts w:ascii="Times New Roman" w:eastAsia="Times New Roman" w:hAnsi="Times New Roman"/>
          <w:sz w:val="26"/>
          <w:szCs w:val="26"/>
        </w:rPr>
        <w:t xml:space="preserve"> for the </w:t>
      </w:r>
      <w:r w:rsidR="00682662">
        <w:rPr>
          <w:rFonts w:ascii="Times New Roman" w:eastAsia="Times New Roman" w:hAnsi="Times New Roman"/>
          <w:sz w:val="26"/>
          <w:szCs w:val="26"/>
        </w:rPr>
        <w:t>oil pipeline</w:t>
      </w:r>
      <w:r w:rsidRPr="005B07E5">
        <w:rPr>
          <w:rFonts w:ascii="Times New Roman" w:eastAsia="Times New Roman" w:hAnsi="Times New Roman"/>
          <w:sz w:val="26"/>
          <w:szCs w:val="26"/>
        </w:rPr>
        <w:t xml:space="preserve"> industry</w:t>
      </w:r>
      <w:r w:rsidR="00C0089F">
        <w:rPr>
          <w:rFonts w:ascii="Times New Roman" w:eastAsia="Times New Roman" w:hAnsi="Times New Roman"/>
          <w:sz w:val="26"/>
          <w:szCs w:val="26"/>
        </w:rPr>
        <w:t>.</w:t>
      </w:r>
      <w:r w:rsidR="00ED58F0">
        <w:rPr>
          <w:rFonts w:ascii="Times New Roman" w:eastAsia="Times New Roman" w:hAnsi="Times New Roman"/>
          <w:sz w:val="26"/>
          <w:szCs w:val="26"/>
        </w:rPr>
        <w:t xml:space="preserve">  </w:t>
      </w:r>
    </w:p>
    <w:p w:rsidR="007C47B1" w:rsidP="00ED58F0" w14:paraId="74E17A48" w14:textId="77777777">
      <w:pPr>
        <w:spacing w:after="0" w:line="240" w:lineRule="auto"/>
        <w:rPr>
          <w:rFonts w:ascii="Times New Roman" w:eastAsia="Times New Roman" w:hAnsi="Times New Roman"/>
          <w:sz w:val="26"/>
          <w:szCs w:val="26"/>
        </w:rPr>
      </w:pPr>
    </w:p>
    <w:p w:rsidR="00ED58F0" w:rsidRPr="00ED58F0" w:rsidP="00ED58F0" w14:paraId="68EFB46B" w14:textId="7FD6F77D">
      <w:pPr>
        <w:spacing w:after="0" w:line="240" w:lineRule="auto"/>
        <w:rPr>
          <w:rFonts w:ascii="Times New Roman" w:eastAsia="Times New Roman" w:hAnsi="Times New Roman"/>
          <w:sz w:val="26"/>
          <w:szCs w:val="26"/>
        </w:rPr>
      </w:pPr>
      <w:r w:rsidRPr="00ED58F0">
        <w:rPr>
          <w:rFonts w:ascii="Times New Roman" w:eastAsia="Times New Roman" w:hAnsi="Times New Roman"/>
          <w:sz w:val="26"/>
          <w:szCs w:val="26"/>
        </w:rPr>
        <w:t xml:space="preserve">FERC Form No. </w:t>
      </w:r>
      <w:r>
        <w:rPr>
          <w:rFonts w:ascii="Times New Roman" w:eastAsia="Times New Roman" w:hAnsi="Times New Roman"/>
          <w:sz w:val="26"/>
          <w:szCs w:val="26"/>
        </w:rPr>
        <w:t>6</w:t>
      </w:r>
      <w:r w:rsidRPr="00ED58F0">
        <w:rPr>
          <w:rFonts w:ascii="Times New Roman" w:eastAsia="Times New Roman" w:hAnsi="Times New Roman"/>
          <w:sz w:val="26"/>
          <w:szCs w:val="26"/>
        </w:rPr>
        <w:t xml:space="preserve">-Q is a quarterly financial and </w:t>
      </w:r>
      <w:r w:rsidRPr="00ED58F0" w:rsidR="00C957CD">
        <w:rPr>
          <w:rFonts w:ascii="Times New Roman" w:eastAsia="Times New Roman" w:hAnsi="Times New Roman"/>
          <w:sz w:val="26"/>
          <w:szCs w:val="26"/>
        </w:rPr>
        <w:t>operat</w:t>
      </w:r>
      <w:r w:rsidR="00C957CD">
        <w:rPr>
          <w:rFonts w:ascii="Times New Roman" w:eastAsia="Times New Roman" w:hAnsi="Times New Roman"/>
          <w:sz w:val="26"/>
          <w:szCs w:val="26"/>
        </w:rPr>
        <w:t>ional</w:t>
      </w:r>
      <w:r w:rsidRPr="00ED58F0">
        <w:rPr>
          <w:rFonts w:ascii="Times New Roman" w:eastAsia="Times New Roman" w:hAnsi="Times New Roman"/>
          <w:sz w:val="26"/>
          <w:szCs w:val="26"/>
        </w:rPr>
        <w:t xml:space="preserve"> report </w:t>
      </w:r>
      <w:r w:rsidR="00C54BAE">
        <w:rPr>
          <w:rFonts w:ascii="Times New Roman" w:eastAsia="Times New Roman" w:hAnsi="Times New Roman"/>
          <w:sz w:val="26"/>
          <w:szCs w:val="26"/>
        </w:rPr>
        <w:t xml:space="preserve">used </w:t>
      </w:r>
      <w:r w:rsidR="00BA7446">
        <w:rPr>
          <w:rFonts w:ascii="Times New Roman" w:eastAsia="Times New Roman" w:hAnsi="Times New Roman"/>
          <w:sz w:val="26"/>
          <w:szCs w:val="26"/>
        </w:rPr>
        <w:t>in</w:t>
      </w:r>
      <w:r w:rsidRPr="00ED58F0">
        <w:rPr>
          <w:rFonts w:ascii="Times New Roman" w:eastAsia="Times New Roman" w:hAnsi="Times New Roman"/>
          <w:sz w:val="26"/>
          <w:szCs w:val="26"/>
        </w:rPr>
        <w:t xml:space="preserve"> rate regulation</w:t>
      </w:r>
      <w:r w:rsidRPr="00ED58F0">
        <w:rPr>
          <w:rFonts w:ascii="Times New Roman" w:eastAsia="Times New Roman" w:hAnsi="Times New Roman"/>
          <w:sz w:val="26"/>
          <w:szCs w:val="26"/>
        </w:rPr>
        <w:t>,</w:t>
      </w:r>
      <w:r w:rsidRPr="00ED58F0">
        <w:rPr>
          <w:rFonts w:ascii="Times New Roman" w:eastAsia="Times New Roman" w:hAnsi="Times New Roman"/>
          <w:sz w:val="26"/>
          <w:szCs w:val="26"/>
        </w:rPr>
        <w:t xml:space="preserve"> market oversight analysis</w:t>
      </w:r>
      <w:r w:rsidRPr="00ED58F0">
        <w:rPr>
          <w:rFonts w:ascii="Times New Roman" w:eastAsia="Times New Roman" w:hAnsi="Times New Roman"/>
          <w:sz w:val="26"/>
          <w:szCs w:val="26"/>
        </w:rPr>
        <w:t>, and financial audits</w:t>
      </w:r>
      <w:r w:rsidRPr="00ED58F0">
        <w:rPr>
          <w:rFonts w:ascii="Times New Roman" w:eastAsia="Times New Roman" w:hAnsi="Times New Roman"/>
          <w:sz w:val="26"/>
          <w:szCs w:val="26"/>
        </w:rPr>
        <w:t xml:space="preserve"> </w:t>
      </w:r>
      <w:r w:rsidRPr="00ED58F0">
        <w:rPr>
          <w:rFonts w:ascii="Times New Roman" w:eastAsia="Times New Roman" w:hAnsi="Times New Roman"/>
          <w:sz w:val="26"/>
          <w:szCs w:val="26"/>
        </w:rPr>
        <w:t xml:space="preserve">which </w:t>
      </w:r>
      <w:r w:rsidRPr="00ED58F0">
        <w:rPr>
          <w:rFonts w:ascii="Times New Roman" w:eastAsia="Times New Roman" w:hAnsi="Times New Roman"/>
          <w:sz w:val="26"/>
          <w:szCs w:val="26"/>
        </w:rPr>
        <w:t>supplements</w:t>
      </w:r>
      <w:r w:rsidRPr="00ED58F0">
        <w:rPr>
          <w:rFonts w:ascii="Times New Roman" w:eastAsia="Times New Roman" w:hAnsi="Times New Roman"/>
          <w:sz w:val="26"/>
          <w:szCs w:val="26"/>
        </w:rPr>
        <w:t xml:space="preserve"> these annual filings.  Together, these forms provide an informative and timely picture of the </w:t>
      </w:r>
      <w:r w:rsidRPr="00ED58F0">
        <w:rPr>
          <w:rFonts w:ascii="Times New Roman" w:eastAsia="Times New Roman" w:hAnsi="Times New Roman"/>
          <w:sz w:val="26"/>
          <w:szCs w:val="26"/>
        </w:rPr>
        <w:t xml:space="preserve">jurisdictional entities’ financial conditions and other relevant data that are used by the Commission and the public in making economic judgments about the entity or its industry.  </w:t>
      </w:r>
    </w:p>
    <w:p w:rsidR="00114734" w:rsidP="00BD0F89" w14:paraId="4E254CEB" w14:textId="4EE968E0">
      <w:pPr>
        <w:spacing w:after="0" w:line="240" w:lineRule="auto"/>
        <w:rPr>
          <w:rFonts w:ascii="Times New Roman" w:eastAsia="Times New Roman" w:hAnsi="Times New Roman"/>
          <w:sz w:val="26"/>
          <w:szCs w:val="26"/>
        </w:rPr>
      </w:pPr>
    </w:p>
    <w:p w:rsidR="00471F97" w:rsidRPr="0073506C" w:rsidP="00BD0F89" w14:paraId="025D3203"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HOW, BY WHOM, AND FOR WHAT PURPOSE THE INFORMATION IS TO BE USED AND THE CONSEQUENCES OF NOT COLLECTING THE INFORMATION</w:t>
      </w:r>
    </w:p>
    <w:p w:rsidR="00EE0185" w:rsidP="00BD0F89" w14:paraId="60059BA9" w14:textId="77777777">
      <w:pPr>
        <w:spacing w:after="0" w:line="240" w:lineRule="auto"/>
        <w:rPr>
          <w:rFonts w:ascii="Times New Roman" w:hAnsi="Times New Roman"/>
          <w:sz w:val="26"/>
          <w:szCs w:val="26"/>
        </w:rPr>
      </w:pPr>
    </w:p>
    <w:p w:rsidR="00164517" w:rsidRPr="00E02D0F" w:rsidP="00BD0F89" w14:paraId="282476A2" w14:textId="13139B7C">
      <w:pPr>
        <w:spacing w:after="0" w:line="240" w:lineRule="auto"/>
        <w:rPr>
          <w:rFonts w:ascii="Times New Roman" w:hAnsi="Times New Roman"/>
          <w:sz w:val="26"/>
          <w:szCs w:val="26"/>
        </w:rPr>
      </w:pPr>
      <w:r>
        <w:rPr>
          <w:rFonts w:ascii="Times New Roman" w:hAnsi="Times New Roman"/>
          <w:sz w:val="26"/>
          <w:szCs w:val="26"/>
        </w:rPr>
        <w:t>The Commission</w:t>
      </w:r>
      <w:r w:rsidRPr="00E65D6F" w:rsidR="00E65D6F">
        <w:rPr>
          <w:rFonts w:ascii="Times New Roman" w:hAnsi="Times New Roman"/>
          <w:sz w:val="26"/>
          <w:szCs w:val="26"/>
        </w:rPr>
        <w:t xml:space="preserve"> </w:t>
      </w:r>
      <w:r w:rsidR="008B7F3A">
        <w:rPr>
          <w:rFonts w:ascii="Times New Roman" w:hAnsi="Times New Roman"/>
          <w:sz w:val="26"/>
          <w:szCs w:val="26"/>
        </w:rPr>
        <w:t xml:space="preserve">uses </w:t>
      </w:r>
      <w:r w:rsidR="00633FEB">
        <w:rPr>
          <w:rFonts w:ascii="Times New Roman" w:hAnsi="Times New Roman"/>
          <w:sz w:val="26"/>
          <w:szCs w:val="26"/>
        </w:rPr>
        <w:t>FERC F</w:t>
      </w:r>
      <w:r w:rsidRPr="00E65D6F" w:rsidR="00E65D6F">
        <w:rPr>
          <w:rFonts w:ascii="Times New Roman" w:hAnsi="Times New Roman"/>
          <w:sz w:val="26"/>
          <w:szCs w:val="26"/>
        </w:rPr>
        <w:t>orm</w:t>
      </w:r>
      <w:r w:rsidR="00633FEB">
        <w:rPr>
          <w:rFonts w:ascii="Times New Roman" w:hAnsi="Times New Roman"/>
          <w:sz w:val="26"/>
          <w:szCs w:val="26"/>
        </w:rPr>
        <w:t xml:space="preserve"> No.</w:t>
      </w:r>
      <w:r w:rsidR="00FD12D2">
        <w:rPr>
          <w:rFonts w:ascii="Times New Roman" w:hAnsi="Times New Roman"/>
          <w:sz w:val="26"/>
          <w:szCs w:val="26"/>
        </w:rPr>
        <w:t xml:space="preserve"> </w:t>
      </w:r>
      <w:r w:rsidR="00BC1CD0">
        <w:rPr>
          <w:rFonts w:ascii="Times New Roman" w:hAnsi="Times New Roman"/>
          <w:sz w:val="26"/>
          <w:szCs w:val="26"/>
        </w:rPr>
        <w:t>6-Q</w:t>
      </w:r>
      <w:r w:rsidRPr="00E65D6F" w:rsidR="00E65D6F">
        <w:rPr>
          <w:rFonts w:ascii="Times New Roman" w:hAnsi="Times New Roman"/>
          <w:sz w:val="26"/>
          <w:szCs w:val="26"/>
        </w:rPr>
        <w:t xml:space="preserve"> to collect </w:t>
      </w:r>
      <w:r w:rsidR="002F349A">
        <w:rPr>
          <w:rFonts w:ascii="Times New Roman" w:hAnsi="Times New Roman"/>
          <w:sz w:val="26"/>
          <w:szCs w:val="26"/>
        </w:rPr>
        <w:t xml:space="preserve">quarterly </w:t>
      </w:r>
      <w:r w:rsidRPr="00E65D6F" w:rsidR="00E65D6F">
        <w:rPr>
          <w:rFonts w:ascii="Times New Roman" w:hAnsi="Times New Roman"/>
          <w:sz w:val="26"/>
          <w:szCs w:val="26"/>
        </w:rPr>
        <w:t>financial and operational information from entities subject to the Commission’s jurisdiction.</w:t>
      </w:r>
      <w:r w:rsidRPr="00EA62F9" w:rsidR="00EA62F9">
        <w:rPr>
          <w:rFonts w:ascii="Times New Roman" w:hAnsi="Times New Roman" w:eastAsiaTheme="minorHAnsi"/>
          <w:sz w:val="26"/>
        </w:rPr>
        <w:t xml:space="preserve"> </w:t>
      </w:r>
      <w:r w:rsidR="001E0B84">
        <w:rPr>
          <w:rFonts w:ascii="Times New Roman" w:hAnsi="Times New Roman" w:eastAsiaTheme="minorHAnsi"/>
          <w:sz w:val="26"/>
        </w:rPr>
        <w:t xml:space="preserve"> </w:t>
      </w:r>
      <w:r w:rsidR="00777AE3">
        <w:rPr>
          <w:rFonts w:ascii="Times New Roman" w:hAnsi="Times New Roman" w:eastAsiaTheme="minorHAnsi"/>
          <w:sz w:val="26"/>
        </w:rPr>
        <w:t>The form supplements the annual information reported in FERC Form No. 6 by providing more timely data on a company’s financial condition and operations</w:t>
      </w:r>
      <w:r>
        <w:rPr>
          <w:rFonts w:ascii="Times New Roman" w:hAnsi="Times New Roman" w:eastAsiaTheme="minorHAnsi"/>
          <w:sz w:val="26"/>
        </w:rPr>
        <w:t xml:space="preserve"> between annual filings</w:t>
      </w:r>
      <w:r w:rsidR="00777AE3">
        <w:rPr>
          <w:rFonts w:ascii="Times New Roman" w:hAnsi="Times New Roman" w:eastAsiaTheme="minorHAnsi"/>
          <w:sz w:val="26"/>
        </w:rPr>
        <w:t>.</w:t>
      </w:r>
      <w:r w:rsidR="00AB0AA0">
        <w:rPr>
          <w:rFonts w:ascii="Times New Roman" w:hAnsi="Times New Roman" w:eastAsiaTheme="minorHAnsi"/>
          <w:sz w:val="26"/>
        </w:rPr>
        <w:t xml:space="preserve">  </w:t>
      </w:r>
      <w:r w:rsidRPr="00EA62F9" w:rsidR="00AB0AA0">
        <w:rPr>
          <w:rFonts w:ascii="Times New Roman" w:hAnsi="Times New Roman"/>
          <w:sz w:val="26"/>
          <w:szCs w:val="26"/>
        </w:rPr>
        <w:t xml:space="preserve">The information filed in </w:t>
      </w:r>
      <w:r w:rsidR="00AB0AA0">
        <w:rPr>
          <w:rFonts w:ascii="Times New Roman" w:hAnsi="Times New Roman"/>
          <w:sz w:val="26"/>
          <w:szCs w:val="26"/>
        </w:rPr>
        <w:t>FERC Form Nos. 6 and 6-Q</w:t>
      </w:r>
      <w:r w:rsidRPr="00EA62F9" w:rsidR="00AB0AA0">
        <w:rPr>
          <w:rFonts w:ascii="Times New Roman" w:hAnsi="Times New Roman"/>
          <w:sz w:val="26"/>
          <w:szCs w:val="26"/>
        </w:rPr>
        <w:t xml:space="preserve"> represents, in most cases, the only source of financial data presented in a format and detail suitable for the Commission to exercise its duties and responsibilities under the ICA.</w:t>
      </w:r>
      <w:r>
        <w:rPr>
          <w:rFonts w:ascii="Times New Roman" w:hAnsi="Times New Roman"/>
          <w:b/>
          <w:bCs/>
          <w:sz w:val="26"/>
          <w:szCs w:val="26"/>
          <w:vertAlign w:val="superscript"/>
        </w:rPr>
        <w:footnoteReference w:id="5"/>
      </w:r>
    </w:p>
    <w:p w:rsidR="00164517" w:rsidP="00BD0F89" w14:paraId="20299422" w14:textId="77777777">
      <w:pPr>
        <w:spacing w:after="0" w:line="240" w:lineRule="auto"/>
        <w:rPr>
          <w:rFonts w:ascii="Times New Roman" w:hAnsi="Times New Roman"/>
          <w:sz w:val="26"/>
          <w:szCs w:val="26"/>
        </w:rPr>
      </w:pPr>
    </w:p>
    <w:p w:rsidR="007445A8" w:rsidP="00BD0F89" w14:paraId="4C545E0D" w14:textId="302F3520">
      <w:pPr>
        <w:spacing w:after="0" w:line="240" w:lineRule="auto"/>
        <w:rPr>
          <w:rFonts w:ascii="Times New Roman" w:hAnsi="Times New Roman"/>
          <w:sz w:val="26"/>
          <w:szCs w:val="26"/>
        </w:rPr>
      </w:pPr>
      <w:r w:rsidRPr="00EA62F9">
        <w:rPr>
          <w:rFonts w:ascii="Times New Roman" w:hAnsi="Times New Roman"/>
          <w:sz w:val="26"/>
          <w:szCs w:val="26"/>
        </w:rPr>
        <w:t xml:space="preserve">The </w:t>
      </w:r>
      <w:r w:rsidR="008A4FA3">
        <w:rPr>
          <w:rFonts w:ascii="Times New Roman" w:hAnsi="Times New Roman"/>
          <w:sz w:val="26"/>
          <w:szCs w:val="26"/>
        </w:rPr>
        <w:t>Commission uses th</w:t>
      </w:r>
      <w:r w:rsidR="00C11584">
        <w:rPr>
          <w:rFonts w:ascii="Times New Roman" w:hAnsi="Times New Roman"/>
          <w:sz w:val="26"/>
          <w:szCs w:val="26"/>
        </w:rPr>
        <w:t>e</w:t>
      </w:r>
      <w:r w:rsidR="008A4FA3">
        <w:rPr>
          <w:rFonts w:ascii="Times New Roman" w:hAnsi="Times New Roman"/>
          <w:sz w:val="26"/>
          <w:szCs w:val="26"/>
        </w:rPr>
        <w:t xml:space="preserve"> </w:t>
      </w:r>
      <w:r w:rsidRPr="00EA62F9">
        <w:rPr>
          <w:rFonts w:ascii="Times New Roman" w:hAnsi="Times New Roman"/>
          <w:sz w:val="26"/>
          <w:szCs w:val="26"/>
        </w:rPr>
        <w:t xml:space="preserve">information </w:t>
      </w:r>
      <w:r w:rsidR="00C11584">
        <w:rPr>
          <w:rFonts w:ascii="Times New Roman" w:hAnsi="Times New Roman"/>
          <w:sz w:val="26"/>
          <w:szCs w:val="26"/>
        </w:rPr>
        <w:t>reported in the FERC Form No</w:t>
      </w:r>
      <w:r w:rsidR="00C37A74">
        <w:rPr>
          <w:rFonts w:ascii="Times New Roman" w:hAnsi="Times New Roman"/>
          <w:sz w:val="26"/>
          <w:szCs w:val="26"/>
        </w:rPr>
        <w:t>s</w:t>
      </w:r>
      <w:r w:rsidR="00C11584">
        <w:rPr>
          <w:rFonts w:ascii="Times New Roman" w:hAnsi="Times New Roman"/>
          <w:sz w:val="26"/>
          <w:szCs w:val="26"/>
        </w:rPr>
        <w:t xml:space="preserve">. </w:t>
      </w:r>
      <w:r w:rsidR="00C37A74">
        <w:rPr>
          <w:rFonts w:ascii="Times New Roman" w:hAnsi="Times New Roman"/>
          <w:sz w:val="26"/>
          <w:szCs w:val="26"/>
        </w:rPr>
        <w:t xml:space="preserve">6 and </w:t>
      </w:r>
      <w:r w:rsidR="00C11584">
        <w:rPr>
          <w:rFonts w:ascii="Times New Roman" w:hAnsi="Times New Roman"/>
          <w:sz w:val="26"/>
          <w:szCs w:val="26"/>
        </w:rPr>
        <w:t>6-Q</w:t>
      </w:r>
      <w:r w:rsidRPr="00EA62F9">
        <w:rPr>
          <w:rFonts w:ascii="Times New Roman" w:hAnsi="Times New Roman"/>
          <w:sz w:val="26"/>
          <w:szCs w:val="26"/>
        </w:rPr>
        <w:t xml:space="preserve"> in the administration of its jurisdictional responsibilities and is used by Commission staff, state regulatory agencies, customers, investors, financial analysts, and others in the review of the financial condition of regulated companies.  </w:t>
      </w:r>
      <w:r w:rsidRPr="007868F0" w:rsidR="004B4D20">
        <w:rPr>
          <w:rFonts w:ascii="Times New Roman" w:hAnsi="Times New Roman"/>
          <w:sz w:val="26"/>
          <w:szCs w:val="26"/>
        </w:rPr>
        <w:t>The information is also used in various rate proceedings, industry analyses</w:t>
      </w:r>
      <w:r w:rsidR="00CB60FC">
        <w:rPr>
          <w:rFonts w:ascii="Times New Roman" w:hAnsi="Times New Roman"/>
          <w:sz w:val="26"/>
          <w:szCs w:val="26"/>
        </w:rPr>
        <w:t>,</w:t>
      </w:r>
      <w:r w:rsidRPr="007868F0" w:rsidR="004B4D20">
        <w:rPr>
          <w:rFonts w:ascii="Times New Roman" w:hAnsi="Times New Roman"/>
          <w:sz w:val="26"/>
          <w:szCs w:val="26"/>
        </w:rPr>
        <w:t xml:space="preserve"> and in the Commission’s audit program</w:t>
      </w:r>
      <w:r w:rsidR="00934BD1">
        <w:rPr>
          <w:rFonts w:ascii="Times New Roman" w:hAnsi="Times New Roman"/>
          <w:sz w:val="26"/>
          <w:szCs w:val="26"/>
        </w:rPr>
        <w:t>.</w:t>
      </w:r>
      <w:r w:rsidRPr="007868F0" w:rsidR="004B4D20">
        <w:rPr>
          <w:rFonts w:ascii="Times New Roman" w:hAnsi="Times New Roman"/>
          <w:sz w:val="26"/>
          <w:szCs w:val="26"/>
        </w:rPr>
        <w:t xml:space="preserve">  </w:t>
      </w:r>
    </w:p>
    <w:p w:rsidR="00EE0185" w:rsidRPr="0073506C" w:rsidP="00BD0F89" w14:paraId="4783A78F" w14:textId="77777777">
      <w:pPr>
        <w:spacing w:after="0" w:line="240" w:lineRule="auto"/>
        <w:rPr>
          <w:rFonts w:ascii="Times New Roman" w:hAnsi="Times New Roman"/>
          <w:sz w:val="26"/>
          <w:szCs w:val="26"/>
        </w:rPr>
      </w:pPr>
    </w:p>
    <w:p w:rsidR="006E27DB" w14:paraId="217191E3" w14:textId="0FA71B6D">
      <w:pPr>
        <w:spacing w:after="0" w:line="240" w:lineRule="auto"/>
        <w:rPr>
          <w:rFonts w:ascii="Times New Roman" w:hAnsi="Times New Roman"/>
          <w:sz w:val="26"/>
          <w:szCs w:val="26"/>
        </w:rPr>
      </w:pPr>
      <w:r w:rsidRPr="0073506C">
        <w:rPr>
          <w:rFonts w:ascii="Times New Roman" w:hAnsi="Times New Roman"/>
          <w:sz w:val="26"/>
          <w:szCs w:val="26"/>
        </w:rPr>
        <w:t>These forms provide information concerning a company’s current performance, compiled using the Commission’s USofA.</w:t>
      </w:r>
      <w:r>
        <w:rPr>
          <w:rFonts w:ascii="Times New Roman" w:hAnsi="Times New Roman"/>
          <w:b/>
          <w:sz w:val="26"/>
          <w:szCs w:val="26"/>
          <w:vertAlign w:val="superscript"/>
        </w:rPr>
        <w:footnoteReference w:id="6"/>
      </w:r>
      <w:r w:rsidRPr="0073506C">
        <w:rPr>
          <w:rFonts w:ascii="Times New Roman" w:hAnsi="Times New Roman"/>
          <w:sz w:val="26"/>
          <w:szCs w:val="26"/>
        </w:rPr>
        <w:t xml:space="preserve">  The forms include a basic set of financial statements: </w:t>
      </w:r>
      <w:r w:rsidR="004D25D2">
        <w:rPr>
          <w:rFonts w:ascii="Times New Roman" w:hAnsi="Times New Roman"/>
          <w:sz w:val="26"/>
          <w:szCs w:val="26"/>
        </w:rPr>
        <w:t xml:space="preserve"> </w:t>
      </w:r>
      <w:r w:rsidRPr="0073506C">
        <w:rPr>
          <w:rFonts w:ascii="Times New Roman" w:hAnsi="Times New Roman"/>
          <w:sz w:val="26"/>
          <w:szCs w:val="26"/>
        </w:rPr>
        <w:t>Comparative Balance Sheet, Income</w:t>
      </w:r>
      <w:r w:rsidR="00A5755F">
        <w:rPr>
          <w:rFonts w:ascii="Times New Roman" w:hAnsi="Times New Roman"/>
          <w:sz w:val="26"/>
          <w:szCs w:val="26"/>
        </w:rPr>
        <w:t xml:space="preserve"> Statement</w:t>
      </w:r>
      <w:r w:rsidR="001A7950">
        <w:rPr>
          <w:rFonts w:ascii="Times New Roman" w:hAnsi="Times New Roman"/>
          <w:sz w:val="26"/>
          <w:szCs w:val="26"/>
        </w:rPr>
        <w:t>,</w:t>
      </w:r>
      <w:r w:rsidRPr="0073506C">
        <w:rPr>
          <w:rFonts w:ascii="Times New Roman" w:hAnsi="Times New Roman"/>
          <w:sz w:val="26"/>
          <w:szCs w:val="26"/>
        </w:rPr>
        <w:t xml:space="preserve"> </w:t>
      </w:r>
      <w:r w:rsidR="00074584">
        <w:rPr>
          <w:rFonts w:ascii="Times New Roman" w:hAnsi="Times New Roman"/>
          <w:sz w:val="26"/>
          <w:szCs w:val="26"/>
        </w:rPr>
        <w:t>Appropriated</w:t>
      </w:r>
      <w:r w:rsidRPr="0073506C">
        <w:rPr>
          <w:rFonts w:ascii="Times New Roman" w:hAnsi="Times New Roman"/>
          <w:sz w:val="26"/>
          <w:szCs w:val="26"/>
        </w:rPr>
        <w:t xml:space="preserve"> Retained </w:t>
      </w:r>
      <w:r w:rsidR="00CC0A1C">
        <w:rPr>
          <w:rFonts w:ascii="Times New Roman" w:hAnsi="Times New Roman"/>
          <w:sz w:val="26"/>
          <w:szCs w:val="26"/>
        </w:rPr>
        <w:t>Income, Unappropriated Retained Income Statement</w:t>
      </w:r>
      <w:r w:rsidRPr="0073506C">
        <w:rPr>
          <w:rFonts w:ascii="Times New Roman" w:hAnsi="Times New Roman"/>
          <w:sz w:val="26"/>
          <w:szCs w:val="26"/>
        </w:rPr>
        <w:t xml:space="preserve">, Statement of Cash Flows, and the Statement of </w:t>
      </w:r>
      <w:r w:rsidR="002A4DC2">
        <w:rPr>
          <w:rFonts w:ascii="Times New Roman" w:hAnsi="Times New Roman"/>
          <w:sz w:val="26"/>
          <w:szCs w:val="26"/>
        </w:rPr>
        <w:t xml:space="preserve">Accumulated Other </w:t>
      </w:r>
      <w:r w:rsidRPr="0073506C">
        <w:rPr>
          <w:rFonts w:ascii="Times New Roman" w:hAnsi="Times New Roman"/>
          <w:sz w:val="26"/>
          <w:szCs w:val="26"/>
        </w:rPr>
        <w:t>Comprehensive Income and Hedging Activities</w:t>
      </w:r>
      <w:r w:rsidR="00FC401C">
        <w:rPr>
          <w:rFonts w:ascii="Times New Roman" w:hAnsi="Times New Roman"/>
          <w:sz w:val="26"/>
          <w:szCs w:val="26"/>
        </w:rPr>
        <w:t>;</w:t>
      </w:r>
      <w:r w:rsidRPr="0073506C">
        <w:rPr>
          <w:rFonts w:ascii="Times New Roman" w:hAnsi="Times New Roman"/>
          <w:sz w:val="26"/>
          <w:szCs w:val="26"/>
        </w:rPr>
        <w:t xml:space="preserve"> and supporting schedules containing supplementary information.  </w:t>
      </w:r>
      <w:r w:rsidRPr="00542F3A" w:rsidR="00451236">
        <w:rPr>
          <w:rFonts w:ascii="Times New Roman" w:hAnsi="Times New Roman"/>
          <w:sz w:val="26"/>
          <w:szCs w:val="26"/>
        </w:rPr>
        <w:t xml:space="preserve">The </w:t>
      </w:r>
      <w:r w:rsidR="00451236">
        <w:rPr>
          <w:rFonts w:ascii="Times New Roman" w:hAnsi="Times New Roman"/>
          <w:sz w:val="26"/>
          <w:szCs w:val="26"/>
        </w:rPr>
        <w:t>USofA</w:t>
      </w:r>
      <w:r w:rsidRPr="00542F3A" w:rsidR="00451236">
        <w:rPr>
          <w:rFonts w:ascii="Times New Roman" w:hAnsi="Times New Roman"/>
          <w:sz w:val="26"/>
          <w:szCs w:val="26"/>
        </w:rPr>
        <w:t xml:space="preserve"> permits companies to account for similar transactions and events in a consistent manner </w:t>
      </w:r>
      <w:r w:rsidR="00451236">
        <w:rPr>
          <w:rFonts w:ascii="Times New Roman" w:hAnsi="Times New Roman"/>
          <w:sz w:val="26"/>
          <w:szCs w:val="26"/>
        </w:rPr>
        <w:t>across the</w:t>
      </w:r>
      <w:r w:rsidRPr="00542F3A" w:rsidR="00451236">
        <w:rPr>
          <w:rFonts w:ascii="Times New Roman" w:hAnsi="Times New Roman"/>
          <w:sz w:val="26"/>
          <w:szCs w:val="26"/>
        </w:rPr>
        <w:t xml:space="preserve"> </w:t>
      </w:r>
      <w:r w:rsidRPr="00542F3A" w:rsidR="005E4E3C">
        <w:rPr>
          <w:rFonts w:ascii="Times New Roman" w:hAnsi="Times New Roman"/>
          <w:sz w:val="26"/>
          <w:szCs w:val="26"/>
        </w:rPr>
        <w:t>industry and</w:t>
      </w:r>
      <w:r w:rsidRPr="00542F3A" w:rsidR="00451236">
        <w:rPr>
          <w:rFonts w:ascii="Times New Roman" w:hAnsi="Times New Roman"/>
          <w:sz w:val="26"/>
          <w:szCs w:val="26"/>
        </w:rPr>
        <w:t xml:space="preserve"> communicate those results to the Commission on a periodic basis.  </w:t>
      </w:r>
      <w:r w:rsidRPr="0073506C" w:rsidR="00451236">
        <w:rPr>
          <w:rFonts w:ascii="Times New Roman" w:hAnsi="Times New Roman"/>
          <w:sz w:val="26"/>
          <w:szCs w:val="26"/>
        </w:rPr>
        <w:t>The information is also used in market oversight</w:t>
      </w:r>
      <w:r w:rsidR="00451236">
        <w:rPr>
          <w:rFonts w:ascii="Times New Roman" w:hAnsi="Times New Roman"/>
          <w:sz w:val="26"/>
          <w:szCs w:val="26"/>
        </w:rPr>
        <w:t xml:space="preserve"> and</w:t>
      </w:r>
      <w:r w:rsidRPr="0073506C" w:rsidR="00451236">
        <w:rPr>
          <w:rFonts w:ascii="Times New Roman" w:hAnsi="Times New Roman"/>
          <w:sz w:val="26"/>
          <w:szCs w:val="26"/>
        </w:rPr>
        <w:t xml:space="preserve"> the Commission’s audit program based on certain schedules contained </w:t>
      </w:r>
      <w:r w:rsidR="00451236">
        <w:rPr>
          <w:rFonts w:ascii="Times New Roman" w:hAnsi="Times New Roman"/>
          <w:sz w:val="26"/>
          <w:szCs w:val="26"/>
        </w:rPr>
        <w:t>i</w:t>
      </w:r>
      <w:r w:rsidRPr="0073506C" w:rsidR="00451236">
        <w:rPr>
          <w:rFonts w:ascii="Times New Roman" w:hAnsi="Times New Roman"/>
          <w:sz w:val="26"/>
          <w:szCs w:val="26"/>
        </w:rPr>
        <w:t xml:space="preserve">n the forms. </w:t>
      </w:r>
      <w:r w:rsidR="00451236">
        <w:rPr>
          <w:rFonts w:ascii="Times New Roman" w:hAnsi="Times New Roman"/>
          <w:sz w:val="26"/>
          <w:szCs w:val="26"/>
        </w:rPr>
        <w:tab/>
      </w:r>
    </w:p>
    <w:p w:rsidR="000E5055" w14:paraId="0A9E2596" w14:textId="77777777">
      <w:pPr>
        <w:spacing w:after="0" w:line="240" w:lineRule="auto"/>
        <w:rPr>
          <w:rFonts w:ascii="Times New Roman" w:hAnsi="Times New Roman"/>
          <w:sz w:val="26"/>
          <w:szCs w:val="26"/>
        </w:rPr>
      </w:pPr>
    </w:p>
    <w:p w:rsidR="00CC72A5" w14:paraId="62912085" w14:textId="4F71D1C4">
      <w:pPr>
        <w:spacing w:after="0" w:line="240" w:lineRule="auto"/>
        <w:rPr>
          <w:rFonts w:ascii="Times New Roman" w:hAnsi="Times New Roman"/>
          <w:sz w:val="26"/>
          <w:szCs w:val="26"/>
        </w:rPr>
      </w:pPr>
      <w:r w:rsidRPr="00542F3A">
        <w:rPr>
          <w:rFonts w:ascii="Times New Roman" w:hAnsi="Times New Roman"/>
          <w:sz w:val="26"/>
          <w:szCs w:val="26"/>
        </w:rPr>
        <w:t>Additionally, the uniformity helps accurately present the entity's financial condition and produces comprehensive data related to the entity's financial history</w:t>
      </w:r>
      <w:r>
        <w:rPr>
          <w:rFonts w:ascii="Times New Roman" w:hAnsi="Times New Roman"/>
          <w:sz w:val="26"/>
          <w:szCs w:val="26"/>
        </w:rPr>
        <w:t>,</w:t>
      </w:r>
      <w:r w:rsidRPr="00542F3A">
        <w:rPr>
          <w:rFonts w:ascii="Times New Roman" w:hAnsi="Times New Roman"/>
          <w:sz w:val="26"/>
          <w:szCs w:val="26"/>
        </w:rPr>
        <w:t xml:space="preserve"> which guide</w:t>
      </w:r>
      <w:r>
        <w:rPr>
          <w:rFonts w:ascii="Times New Roman" w:hAnsi="Times New Roman"/>
          <w:sz w:val="26"/>
          <w:szCs w:val="26"/>
        </w:rPr>
        <w:t>s</w:t>
      </w:r>
      <w:r w:rsidRPr="00542F3A">
        <w:rPr>
          <w:rFonts w:ascii="Times New Roman" w:hAnsi="Times New Roman"/>
          <w:sz w:val="26"/>
          <w:szCs w:val="26"/>
        </w:rPr>
        <w:t xml:space="preserve"> future </w:t>
      </w:r>
      <w:r w:rsidRPr="00542F3A">
        <w:rPr>
          <w:rFonts w:ascii="Times New Roman" w:hAnsi="Times New Roman"/>
          <w:sz w:val="26"/>
          <w:szCs w:val="26"/>
        </w:rPr>
        <w:t xml:space="preserve">action.  </w:t>
      </w:r>
      <w:r>
        <w:rPr>
          <w:rFonts w:ascii="Times New Roman" w:hAnsi="Times New Roman"/>
          <w:sz w:val="26"/>
          <w:szCs w:val="26"/>
        </w:rPr>
        <w:t>Absent the uniformity provided by the USofA, it would be difficult to c</w:t>
      </w:r>
      <w:r w:rsidRPr="00542F3A">
        <w:rPr>
          <w:rFonts w:ascii="Times New Roman" w:hAnsi="Times New Roman"/>
          <w:sz w:val="26"/>
          <w:szCs w:val="26"/>
        </w:rPr>
        <w:t>ompar</w:t>
      </w:r>
      <w:r>
        <w:rPr>
          <w:rFonts w:ascii="Times New Roman" w:hAnsi="Times New Roman"/>
          <w:sz w:val="26"/>
          <w:szCs w:val="26"/>
        </w:rPr>
        <w:t>e</w:t>
      </w:r>
      <w:r w:rsidRPr="00542F3A">
        <w:rPr>
          <w:rFonts w:ascii="Times New Roman" w:hAnsi="Times New Roman"/>
          <w:sz w:val="26"/>
          <w:szCs w:val="26"/>
        </w:rPr>
        <w:t xml:space="preserve"> data and</w:t>
      </w:r>
      <w:r>
        <w:rPr>
          <w:rFonts w:ascii="Times New Roman" w:hAnsi="Times New Roman"/>
          <w:sz w:val="26"/>
          <w:szCs w:val="26"/>
        </w:rPr>
        <w:t xml:space="preserve"> analyze</w:t>
      </w:r>
      <w:r w:rsidRPr="00542F3A">
        <w:rPr>
          <w:rFonts w:ascii="Times New Roman" w:hAnsi="Times New Roman"/>
          <w:sz w:val="26"/>
          <w:szCs w:val="26"/>
        </w:rPr>
        <w:t xml:space="preserve"> financial statement</w:t>
      </w:r>
      <w:r>
        <w:rPr>
          <w:rFonts w:ascii="Times New Roman" w:hAnsi="Times New Roman"/>
          <w:sz w:val="26"/>
          <w:szCs w:val="26"/>
        </w:rPr>
        <w:t>s</w:t>
      </w:r>
      <w:r w:rsidRPr="00542F3A">
        <w:rPr>
          <w:rFonts w:ascii="Times New Roman" w:hAnsi="Times New Roman"/>
          <w:sz w:val="26"/>
          <w:szCs w:val="26"/>
        </w:rPr>
        <w:t xml:space="preserve"> for a particular entity from one period to the next, or between entities within the same industry.</w:t>
      </w:r>
    </w:p>
    <w:p w:rsidR="00E04EAA" w14:paraId="3A11E5B0" w14:textId="77777777">
      <w:pPr>
        <w:spacing w:after="0" w:line="240" w:lineRule="auto"/>
        <w:rPr>
          <w:rFonts w:ascii="Times New Roman" w:hAnsi="Times New Roman"/>
          <w:sz w:val="26"/>
          <w:szCs w:val="26"/>
        </w:rPr>
      </w:pPr>
    </w:p>
    <w:p w:rsidR="00E04EAA" w:rsidRPr="0073506C" w14:paraId="546ACCBB" w14:textId="4D5CA37E">
      <w:pPr>
        <w:spacing w:after="0" w:line="240" w:lineRule="auto"/>
        <w:rPr>
          <w:rFonts w:ascii="Times New Roman" w:hAnsi="Times New Roman"/>
          <w:sz w:val="26"/>
          <w:szCs w:val="26"/>
        </w:rPr>
      </w:pPr>
      <w:r w:rsidRPr="00C10438">
        <w:rPr>
          <w:rFonts w:ascii="Times New Roman" w:hAnsi="Times New Roman"/>
          <w:sz w:val="26"/>
          <w:szCs w:val="26"/>
        </w:rPr>
        <w:t xml:space="preserve">Furthermore, </w:t>
      </w:r>
      <w:r w:rsidR="00935814">
        <w:rPr>
          <w:rFonts w:ascii="Times New Roman" w:hAnsi="Times New Roman"/>
          <w:sz w:val="26"/>
          <w:szCs w:val="26"/>
        </w:rPr>
        <w:t xml:space="preserve">some </w:t>
      </w:r>
      <w:r w:rsidRPr="00C10438">
        <w:rPr>
          <w:rFonts w:ascii="Times New Roman" w:hAnsi="Times New Roman"/>
          <w:sz w:val="26"/>
          <w:szCs w:val="26"/>
        </w:rPr>
        <w:t xml:space="preserve">state regulatory commissions use </w:t>
      </w:r>
      <w:r w:rsidR="00CD5C3D">
        <w:rPr>
          <w:rFonts w:ascii="Times New Roman" w:hAnsi="Times New Roman"/>
          <w:sz w:val="26"/>
          <w:szCs w:val="26"/>
        </w:rPr>
        <w:t xml:space="preserve">this data </w:t>
      </w:r>
      <w:r w:rsidRPr="00C10438">
        <w:rPr>
          <w:rFonts w:ascii="Times New Roman" w:hAnsi="Times New Roman"/>
          <w:sz w:val="26"/>
          <w:szCs w:val="26"/>
        </w:rPr>
        <w:t>and the Commission’s USofA to satisfy their reporting requirements for those companies under their jurisdiction.</w:t>
      </w:r>
      <w:r w:rsidR="00A239F4">
        <w:rPr>
          <w:rFonts w:ascii="Times New Roman" w:hAnsi="Times New Roman"/>
          <w:sz w:val="26"/>
          <w:szCs w:val="26"/>
        </w:rPr>
        <w:t xml:space="preserve"> </w:t>
      </w:r>
      <w:r w:rsidRPr="00C10438">
        <w:rPr>
          <w:rFonts w:ascii="Times New Roman" w:hAnsi="Times New Roman"/>
          <w:sz w:val="26"/>
          <w:szCs w:val="26"/>
        </w:rPr>
        <w:t xml:space="preserve"> In addition, the public uses the data to assist in monitoring rates, the financial condition of the oil pipeline industry, and in assessing energy markets.</w:t>
      </w:r>
    </w:p>
    <w:p w:rsidR="006202AD" w:rsidRPr="0073506C" w:rsidP="00542F3A" w14:paraId="5E972517" w14:textId="77777777">
      <w:pPr>
        <w:spacing w:after="0" w:line="240" w:lineRule="auto"/>
        <w:rPr>
          <w:rFonts w:ascii="Times New Roman" w:hAnsi="Times New Roman"/>
          <w:sz w:val="26"/>
          <w:szCs w:val="26"/>
        </w:rPr>
      </w:pPr>
    </w:p>
    <w:p w:rsidR="00B21F74" w:rsidRPr="00C10438" w:rsidP="00900248" w14:paraId="2AA02E6D" w14:textId="376D1ED8">
      <w:pPr>
        <w:spacing w:after="0" w:line="240" w:lineRule="auto"/>
        <w:rPr>
          <w:rFonts w:ascii="Times New Roman" w:hAnsi="Times New Roman"/>
          <w:sz w:val="26"/>
          <w:szCs w:val="26"/>
        </w:rPr>
      </w:pPr>
      <w:r w:rsidRPr="00C10438">
        <w:rPr>
          <w:rFonts w:ascii="Times New Roman" w:hAnsi="Times New Roman"/>
          <w:sz w:val="26"/>
          <w:szCs w:val="26"/>
        </w:rPr>
        <w:t>Quarterly financial reporting</w:t>
      </w:r>
      <w:r w:rsidR="00277FE1">
        <w:rPr>
          <w:rFonts w:ascii="Times New Roman" w:hAnsi="Times New Roman"/>
          <w:sz w:val="26"/>
          <w:szCs w:val="26"/>
        </w:rPr>
        <w:t xml:space="preserve"> from FERC </w:t>
      </w:r>
      <w:r w:rsidR="0078561C">
        <w:rPr>
          <w:rFonts w:ascii="Times New Roman" w:hAnsi="Times New Roman"/>
          <w:sz w:val="26"/>
          <w:szCs w:val="26"/>
        </w:rPr>
        <w:t xml:space="preserve">Form No. </w:t>
      </w:r>
      <w:r w:rsidR="00277FE1">
        <w:rPr>
          <w:rFonts w:ascii="Times New Roman" w:hAnsi="Times New Roman"/>
          <w:sz w:val="26"/>
          <w:szCs w:val="26"/>
        </w:rPr>
        <w:t>6-Q</w:t>
      </w:r>
      <w:r w:rsidRPr="00C10438">
        <w:rPr>
          <w:rFonts w:ascii="Times New Roman" w:hAnsi="Times New Roman"/>
          <w:sz w:val="26"/>
          <w:szCs w:val="26"/>
        </w:rPr>
        <w:t xml:space="preserve"> provide</w:t>
      </w:r>
      <w:r w:rsidR="00275769">
        <w:rPr>
          <w:rFonts w:ascii="Times New Roman" w:hAnsi="Times New Roman"/>
          <w:sz w:val="26"/>
          <w:szCs w:val="26"/>
        </w:rPr>
        <w:t>s the</w:t>
      </w:r>
      <w:r w:rsidRPr="00C10438">
        <w:rPr>
          <w:rFonts w:ascii="Times New Roman" w:hAnsi="Times New Roman"/>
          <w:sz w:val="26"/>
          <w:szCs w:val="26"/>
        </w:rPr>
        <w:t xml:space="preserve"> Commission, as well as customers, investors, and others, an important tool to help identify emerging trends and issues affecting jurisdictional entities within the energy industry. </w:t>
      </w:r>
      <w:r w:rsidR="00AB26A9">
        <w:rPr>
          <w:rFonts w:ascii="Times New Roman" w:hAnsi="Times New Roman"/>
          <w:sz w:val="26"/>
          <w:szCs w:val="26"/>
        </w:rPr>
        <w:t xml:space="preserve"> </w:t>
      </w:r>
      <w:r w:rsidRPr="00C10438">
        <w:rPr>
          <w:rFonts w:ascii="Times New Roman" w:hAnsi="Times New Roman"/>
          <w:sz w:val="26"/>
          <w:szCs w:val="26"/>
        </w:rPr>
        <w:t xml:space="preserve">It also provides timely disclosures of the impact that new accounting standards, or changes in existing standards, have on jurisdictional entities, as well as the economic effects of significant transactions, events, and circumstances. </w:t>
      </w:r>
      <w:r w:rsidR="00AA3EA7">
        <w:rPr>
          <w:rFonts w:ascii="Times New Roman" w:hAnsi="Times New Roman"/>
          <w:sz w:val="26"/>
          <w:szCs w:val="26"/>
        </w:rPr>
        <w:t xml:space="preserve"> </w:t>
      </w:r>
      <w:r w:rsidRPr="00C10438">
        <w:rPr>
          <w:rFonts w:ascii="Times New Roman" w:hAnsi="Times New Roman"/>
          <w:sz w:val="26"/>
          <w:szCs w:val="26"/>
        </w:rPr>
        <w:t>The reporting of this information by jurisdictional entities assists the Commission in its analysis of profitability, efficiency, risk, and in its overall monitoring.</w:t>
      </w:r>
    </w:p>
    <w:p w:rsidR="007723BD" w:rsidP="00C10438" w14:paraId="30C3831C" w14:textId="77777777">
      <w:pPr>
        <w:spacing w:after="0" w:line="240" w:lineRule="auto"/>
        <w:rPr>
          <w:rFonts w:ascii="Times New Roman" w:hAnsi="Times New Roman"/>
          <w:sz w:val="26"/>
          <w:szCs w:val="26"/>
        </w:rPr>
      </w:pPr>
    </w:p>
    <w:p w:rsidR="00C10438" w:rsidRPr="00C10438" w:rsidP="00C10438" w14:paraId="63A5557A" w14:textId="704527E5">
      <w:pPr>
        <w:spacing w:after="0" w:line="240" w:lineRule="auto"/>
        <w:rPr>
          <w:rFonts w:ascii="Times New Roman" w:hAnsi="Times New Roman"/>
          <w:sz w:val="26"/>
          <w:szCs w:val="26"/>
        </w:rPr>
      </w:pPr>
      <w:r>
        <w:rPr>
          <w:rFonts w:ascii="Times New Roman" w:hAnsi="Times New Roman"/>
          <w:sz w:val="26"/>
          <w:szCs w:val="26"/>
        </w:rPr>
        <w:t>Under current regulations, t</w:t>
      </w:r>
      <w:r w:rsidRPr="00C10438">
        <w:rPr>
          <w:rFonts w:ascii="Times New Roman" w:hAnsi="Times New Roman"/>
          <w:sz w:val="26"/>
          <w:szCs w:val="26"/>
        </w:rPr>
        <w:t xml:space="preserve">he Commission attempts to reduce the burden on industry while obtaining the data the Commission needs by using three different tiers </w:t>
      </w:r>
      <w:r w:rsidR="00C94668">
        <w:rPr>
          <w:rFonts w:ascii="Times New Roman" w:hAnsi="Times New Roman"/>
          <w:sz w:val="26"/>
          <w:szCs w:val="26"/>
        </w:rPr>
        <w:t>of filing requirements</w:t>
      </w:r>
      <w:r w:rsidRPr="00C10438">
        <w:rPr>
          <w:rFonts w:ascii="Times New Roman" w:hAnsi="Times New Roman"/>
          <w:sz w:val="26"/>
          <w:szCs w:val="26"/>
        </w:rPr>
        <w:t>.</w:t>
      </w:r>
    </w:p>
    <w:p w:rsidR="00C10438" w:rsidRPr="00C10438" w:rsidP="00C10438" w14:paraId="58CD1B6F" w14:textId="77777777">
      <w:pPr>
        <w:spacing w:after="0" w:line="240" w:lineRule="auto"/>
        <w:rPr>
          <w:rFonts w:ascii="Times New Roman" w:hAnsi="Times New Roman"/>
          <w:sz w:val="26"/>
          <w:szCs w:val="26"/>
        </w:rPr>
      </w:pPr>
    </w:p>
    <w:p w:rsidR="00C10438" w:rsidRPr="00C10438" w:rsidP="00C10438" w14:paraId="23D651A4" w14:textId="0CC8C8EE">
      <w:pPr>
        <w:numPr>
          <w:ilvl w:val="0"/>
          <w:numId w:val="34"/>
        </w:numPr>
        <w:spacing w:after="0" w:line="240" w:lineRule="auto"/>
        <w:rPr>
          <w:rFonts w:ascii="Times New Roman" w:hAnsi="Times New Roman"/>
          <w:sz w:val="26"/>
          <w:szCs w:val="26"/>
        </w:rPr>
      </w:pPr>
      <w:r w:rsidRPr="00C10438">
        <w:rPr>
          <w:rFonts w:ascii="Times New Roman" w:hAnsi="Times New Roman"/>
          <w:sz w:val="26"/>
          <w:szCs w:val="26"/>
        </w:rPr>
        <w:t xml:space="preserve">Each oil pipeline carrier whose annual jurisdictional operating revenues </w:t>
      </w:r>
      <w:r w:rsidRPr="00C10438">
        <w:rPr>
          <w:rFonts w:ascii="Times New Roman" w:hAnsi="Times New Roman"/>
          <w:sz w:val="26"/>
          <w:szCs w:val="26"/>
        </w:rPr>
        <w:t>has</w:t>
      </w:r>
      <w:r w:rsidRPr="00C10438">
        <w:rPr>
          <w:rFonts w:ascii="Times New Roman" w:hAnsi="Times New Roman"/>
          <w:sz w:val="26"/>
          <w:szCs w:val="26"/>
        </w:rPr>
        <w:t xml:space="preserve"> been $500,000 or more for each of the three previous calendar years must file FERC Form No. 6 (18 C.F.R. § 357.2 (a)). </w:t>
      </w:r>
      <w:r w:rsidR="00D66A0C">
        <w:rPr>
          <w:rFonts w:ascii="Times New Roman" w:hAnsi="Times New Roman"/>
          <w:sz w:val="26"/>
          <w:szCs w:val="26"/>
        </w:rPr>
        <w:t xml:space="preserve"> </w:t>
      </w:r>
      <w:r w:rsidRPr="00C10438" w:rsidR="00856139">
        <w:rPr>
          <w:rFonts w:ascii="Times New Roman" w:hAnsi="Times New Roman"/>
          <w:sz w:val="26"/>
          <w:szCs w:val="26"/>
        </w:rPr>
        <w:t xml:space="preserve">Newly established entities must use projected data to determine whether FERC Form No. 6 must be filed. </w:t>
      </w:r>
    </w:p>
    <w:p w:rsidR="00C10438" w:rsidRPr="00C10438" w:rsidP="00C10438" w14:paraId="7006D518" w14:textId="77777777">
      <w:pPr>
        <w:spacing w:after="0" w:line="240" w:lineRule="auto"/>
        <w:rPr>
          <w:rFonts w:ascii="Times New Roman" w:hAnsi="Times New Roman"/>
          <w:sz w:val="26"/>
          <w:szCs w:val="26"/>
        </w:rPr>
      </w:pPr>
    </w:p>
    <w:p w:rsidR="00C10438" w:rsidRPr="00C10438" w:rsidP="00C10438" w14:paraId="5129F5B9" w14:textId="0642EC77">
      <w:pPr>
        <w:numPr>
          <w:ilvl w:val="0"/>
          <w:numId w:val="34"/>
        </w:numPr>
        <w:spacing w:after="0" w:line="240" w:lineRule="auto"/>
        <w:rPr>
          <w:rFonts w:ascii="Times New Roman" w:hAnsi="Times New Roman"/>
          <w:sz w:val="26"/>
          <w:szCs w:val="26"/>
        </w:rPr>
      </w:pPr>
      <w:r w:rsidRPr="00C10438">
        <w:rPr>
          <w:rFonts w:ascii="Times New Roman" w:hAnsi="Times New Roman"/>
          <w:sz w:val="26"/>
          <w:szCs w:val="26"/>
        </w:rPr>
        <w:t xml:space="preserve">Oil pipeline carriers exempt from filing FERC Form No. 6 whose annual jurisdictional operating revenues have been more than $350,000 but less than $500,000 for each of the three previous calendar years must prepare and file page 301, “Operating Revenue Accounts (Account 600),” and page 700, “Annual Cost of Service Based Analysis Schedule,” of FERC Form No. 6. </w:t>
      </w:r>
      <w:r w:rsidR="0076444A">
        <w:rPr>
          <w:rFonts w:ascii="Times New Roman" w:hAnsi="Times New Roman"/>
          <w:sz w:val="26"/>
          <w:szCs w:val="26"/>
        </w:rPr>
        <w:t xml:space="preserve"> </w:t>
      </w:r>
      <w:r w:rsidRPr="00C10438">
        <w:rPr>
          <w:rFonts w:ascii="Times New Roman" w:hAnsi="Times New Roman"/>
          <w:sz w:val="26"/>
          <w:szCs w:val="26"/>
        </w:rPr>
        <w:t>When submitting pages 301 and 700, each exempt oil pipeline carrier must include page 1 of FERC Form No. 6, the Identification and Attestation schedules (18 C.F.R. § 357.2 (a)(2)).</w:t>
      </w:r>
    </w:p>
    <w:p w:rsidR="00C10438" w:rsidRPr="00C10438" w:rsidP="00C10438" w14:paraId="51C4ABB9" w14:textId="77777777">
      <w:pPr>
        <w:spacing w:after="0" w:line="240" w:lineRule="auto"/>
        <w:rPr>
          <w:rFonts w:ascii="Times New Roman" w:hAnsi="Times New Roman"/>
          <w:sz w:val="26"/>
          <w:szCs w:val="26"/>
        </w:rPr>
      </w:pPr>
    </w:p>
    <w:p w:rsidR="00C10438" w:rsidRPr="001560BF" w:rsidP="00C10438" w14:paraId="7A585BBE" w14:textId="3AE0BF5E">
      <w:pPr>
        <w:numPr>
          <w:ilvl w:val="0"/>
          <w:numId w:val="34"/>
        </w:numPr>
        <w:spacing w:after="0" w:line="240" w:lineRule="auto"/>
        <w:rPr>
          <w:rFonts w:ascii="Times New Roman" w:hAnsi="Times New Roman"/>
          <w:sz w:val="26"/>
          <w:szCs w:val="26"/>
        </w:rPr>
      </w:pPr>
      <w:r w:rsidRPr="00C10438">
        <w:rPr>
          <w:rFonts w:ascii="Times New Roman" w:hAnsi="Times New Roman"/>
          <w:sz w:val="26"/>
          <w:szCs w:val="26"/>
        </w:rPr>
        <w:t xml:space="preserve">Oil pipeline carriers exempt from filing FERC Form No. 6 and page 301 and whose annual jurisdictional operating revenues were $350,000 or less for each of the three previous calendar years must prepare and file page 700, “Annual Cost of Service Based Analysis Schedule,” of FERC Form No. 6. </w:t>
      </w:r>
      <w:r w:rsidR="00AC106E">
        <w:rPr>
          <w:rFonts w:ascii="Times New Roman" w:hAnsi="Times New Roman"/>
          <w:sz w:val="26"/>
          <w:szCs w:val="26"/>
        </w:rPr>
        <w:t xml:space="preserve"> </w:t>
      </w:r>
      <w:r w:rsidRPr="00C10438">
        <w:rPr>
          <w:rFonts w:ascii="Times New Roman" w:hAnsi="Times New Roman"/>
          <w:sz w:val="26"/>
          <w:szCs w:val="26"/>
        </w:rPr>
        <w:t xml:space="preserve">When submitting page </w:t>
      </w:r>
      <w:r w:rsidRPr="00C10438">
        <w:rPr>
          <w:rFonts w:ascii="Times New Roman" w:hAnsi="Times New Roman"/>
          <w:sz w:val="26"/>
          <w:szCs w:val="26"/>
        </w:rPr>
        <w:t xml:space="preserve">700, each exempt oil pipeline carrier must include page 1 of FERC Form No. 6, the Identification and Attestation schedules (18 C.F.R. § 357.2 (a)(3)). </w:t>
      </w:r>
    </w:p>
    <w:p w:rsidR="00C10438" w:rsidP="00C10438" w14:paraId="1E842164" w14:textId="77777777">
      <w:pPr>
        <w:spacing w:after="0" w:line="240" w:lineRule="auto"/>
        <w:rPr>
          <w:rFonts w:ascii="Times New Roman" w:hAnsi="Times New Roman"/>
          <w:sz w:val="26"/>
          <w:szCs w:val="26"/>
        </w:rPr>
      </w:pPr>
    </w:p>
    <w:p w:rsidR="00BC657D" w:rsidP="00C10438" w14:paraId="461A06D8" w14:textId="39F8C32D">
      <w:pPr>
        <w:spacing w:after="0" w:line="240" w:lineRule="auto"/>
        <w:rPr>
          <w:rFonts w:ascii="Times New Roman" w:hAnsi="Times New Roman"/>
          <w:sz w:val="26"/>
          <w:szCs w:val="26"/>
        </w:rPr>
      </w:pPr>
      <w:r>
        <w:rPr>
          <w:rFonts w:ascii="Times New Roman" w:hAnsi="Times New Roman"/>
          <w:sz w:val="26"/>
          <w:szCs w:val="26"/>
        </w:rPr>
        <w:t>Under current regulations</w:t>
      </w:r>
      <w:r w:rsidR="00647A85">
        <w:rPr>
          <w:rFonts w:ascii="Times New Roman" w:hAnsi="Times New Roman"/>
          <w:sz w:val="26"/>
          <w:szCs w:val="26"/>
        </w:rPr>
        <w:t xml:space="preserve">, </w:t>
      </w:r>
      <w:r w:rsidR="00DF3118">
        <w:rPr>
          <w:rFonts w:ascii="Times New Roman" w:hAnsi="Times New Roman"/>
          <w:sz w:val="26"/>
          <w:szCs w:val="26"/>
        </w:rPr>
        <w:t>e</w:t>
      </w:r>
      <w:r w:rsidRPr="00DF3118" w:rsidR="00DF3118">
        <w:rPr>
          <w:rFonts w:ascii="Times New Roman" w:hAnsi="Times New Roman"/>
          <w:sz w:val="26"/>
          <w:szCs w:val="26"/>
        </w:rPr>
        <w:t>ach oil pipeline company, subject to the provisions of section 20 of the Interstate Commerce Act, must prepare and file with the Commission FERC Form No. 6-Q</w:t>
      </w:r>
      <w:r w:rsidRPr="00C10438">
        <w:rPr>
          <w:rFonts w:ascii="Times New Roman" w:hAnsi="Times New Roman"/>
          <w:sz w:val="26"/>
          <w:szCs w:val="26"/>
        </w:rPr>
        <w:t>.</w:t>
      </w:r>
      <w:r>
        <w:rPr>
          <w:rStyle w:val="FootnoteReference"/>
          <w:rFonts w:ascii="Times New Roman" w:hAnsi="Times New Roman"/>
          <w:sz w:val="26"/>
          <w:szCs w:val="26"/>
        </w:rPr>
        <w:footnoteReference w:id="7"/>
      </w:r>
      <w:r w:rsidRPr="00C10438">
        <w:rPr>
          <w:rFonts w:ascii="Times New Roman" w:hAnsi="Times New Roman"/>
          <w:sz w:val="26"/>
          <w:szCs w:val="26"/>
        </w:rPr>
        <w:t xml:space="preserve"> </w:t>
      </w:r>
    </w:p>
    <w:p w:rsidR="00BC657D" w:rsidP="00C10438" w14:paraId="017FC6F2" w14:textId="77777777">
      <w:pPr>
        <w:spacing w:after="0" w:line="240" w:lineRule="auto"/>
        <w:rPr>
          <w:rFonts w:ascii="Times New Roman" w:hAnsi="Times New Roman"/>
          <w:sz w:val="26"/>
          <w:szCs w:val="26"/>
        </w:rPr>
      </w:pPr>
    </w:p>
    <w:p w:rsidR="002434F3" w:rsidP="00E02D0F" w14:paraId="7B1CDB3B" w14:textId="176462FA">
      <w:pPr>
        <w:spacing w:after="0" w:line="240" w:lineRule="auto"/>
        <w:ind w:left="90"/>
        <w:rPr>
          <w:rFonts w:ascii="Times New Roman" w:hAnsi="Times New Roman"/>
          <w:b/>
          <w:bCs/>
          <w:sz w:val="26"/>
          <w:szCs w:val="26"/>
        </w:rPr>
      </w:pPr>
      <w:r>
        <w:rPr>
          <w:rFonts w:ascii="Times New Roman" w:hAnsi="Times New Roman"/>
          <w:b/>
          <w:bCs/>
          <w:sz w:val="26"/>
          <w:szCs w:val="26"/>
        </w:rPr>
        <w:t xml:space="preserve">Proposed changes </w:t>
      </w:r>
      <w:r w:rsidR="0078523D">
        <w:rPr>
          <w:rFonts w:ascii="Times New Roman" w:hAnsi="Times New Roman"/>
          <w:b/>
          <w:bCs/>
          <w:sz w:val="26"/>
          <w:szCs w:val="26"/>
        </w:rPr>
        <w:t xml:space="preserve">to FERC Form No. 6-Q </w:t>
      </w:r>
      <w:r>
        <w:rPr>
          <w:rFonts w:ascii="Times New Roman" w:hAnsi="Times New Roman"/>
          <w:b/>
          <w:bCs/>
          <w:sz w:val="26"/>
          <w:szCs w:val="26"/>
        </w:rPr>
        <w:t>in</w:t>
      </w:r>
      <w:r w:rsidRPr="00232129">
        <w:rPr>
          <w:rFonts w:ascii="Times New Roman" w:hAnsi="Times New Roman"/>
          <w:b/>
          <w:bCs/>
          <w:sz w:val="26"/>
          <w:szCs w:val="26"/>
        </w:rPr>
        <w:t xml:space="preserve"> </w:t>
      </w:r>
      <w:r w:rsidRPr="00E02D0F">
        <w:rPr>
          <w:rFonts w:ascii="Times New Roman" w:hAnsi="Times New Roman"/>
          <w:b/>
          <w:bCs/>
          <w:sz w:val="26"/>
          <w:szCs w:val="26"/>
        </w:rPr>
        <w:t>RM26-</w:t>
      </w:r>
      <w:r w:rsidRPr="00E02D0F" w:rsidR="00D65733">
        <w:rPr>
          <w:rFonts w:ascii="Times New Roman" w:hAnsi="Times New Roman"/>
          <w:b/>
          <w:bCs/>
          <w:sz w:val="26"/>
          <w:szCs w:val="26"/>
        </w:rPr>
        <w:t>12</w:t>
      </w:r>
      <w:r w:rsidRPr="00E02D0F">
        <w:rPr>
          <w:rFonts w:ascii="Times New Roman" w:hAnsi="Times New Roman"/>
          <w:b/>
          <w:bCs/>
          <w:sz w:val="26"/>
          <w:szCs w:val="26"/>
        </w:rPr>
        <w:t>-000</w:t>
      </w:r>
    </w:p>
    <w:p w:rsidR="00483332" w:rsidRPr="00232129" w:rsidP="00512E5D" w14:paraId="4E0BDC62" w14:textId="77777777">
      <w:pPr>
        <w:spacing w:after="0" w:line="240" w:lineRule="auto"/>
        <w:ind w:left="360"/>
        <w:rPr>
          <w:rFonts w:ascii="Times New Roman" w:hAnsi="Times New Roman"/>
          <w:b/>
          <w:bCs/>
          <w:sz w:val="26"/>
          <w:szCs w:val="26"/>
        </w:rPr>
      </w:pPr>
    </w:p>
    <w:p w:rsidR="00EE76AB" w:rsidRPr="00BE2657" w:rsidP="00E02D0F" w14:paraId="7C983D6D" w14:textId="4F801944">
      <w:pPr>
        <w:tabs>
          <w:tab w:val="num" w:pos="1080"/>
        </w:tabs>
        <w:spacing w:after="0" w:line="240" w:lineRule="auto"/>
        <w:ind w:left="90"/>
        <w:rPr>
          <w:rFonts w:ascii="Times New Roman" w:hAnsi="Times New Roman"/>
          <w:sz w:val="26"/>
          <w:szCs w:val="26"/>
        </w:rPr>
      </w:pPr>
      <w:r>
        <w:rPr>
          <w:rFonts w:ascii="Times New Roman" w:hAnsi="Times New Roman"/>
          <w:sz w:val="26"/>
          <w:szCs w:val="26"/>
        </w:rPr>
        <w:t>The Commission</w:t>
      </w:r>
      <w:r w:rsidR="000C3902">
        <w:rPr>
          <w:rFonts w:ascii="Times New Roman" w:hAnsi="Times New Roman"/>
          <w:sz w:val="26"/>
          <w:szCs w:val="26"/>
        </w:rPr>
        <w:t xml:space="preserve"> proposes </w:t>
      </w:r>
      <w:r w:rsidR="000C3902">
        <w:rPr>
          <w:rFonts w:ascii="Times New Roman" w:hAnsi="Times New Roman"/>
          <w:sz w:val="26"/>
          <w:szCs w:val="26"/>
        </w:rPr>
        <w:t xml:space="preserve">to </w:t>
      </w:r>
      <w:r w:rsidR="00C570A7">
        <w:rPr>
          <w:rFonts w:ascii="Times New Roman" w:hAnsi="Times New Roman"/>
          <w:sz w:val="26"/>
          <w:szCs w:val="26"/>
        </w:rPr>
        <w:t>clarify</w:t>
      </w:r>
      <w:r w:rsidR="00C570A7">
        <w:rPr>
          <w:rFonts w:ascii="Times New Roman" w:hAnsi="Times New Roman"/>
          <w:sz w:val="26"/>
          <w:szCs w:val="26"/>
        </w:rPr>
        <w:t xml:space="preserve"> that </w:t>
      </w:r>
      <w:r w:rsidR="005C4228">
        <w:rPr>
          <w:rFonts w:ascii="Times New Roman" w:hAnsi="Times New Roman"/>
          <w:sz w:val="26"/>
          <w:szCs w:val="26"/>
        </w:rPr>
        <w:t xml:space="preserve">small </w:t>
      </w:r>
      <w:r w:rsidR="000C3902">
        <w:rPr>
          <w:rFonts w:ascii="Times New Roman" w:hAnsi="Times New Roman"/>
          <w:sz w:val="26"/>
          <w:szCs w:val="26"/>
        </w:rPr>
        <w:t xml:space="preserve">oil pipeline </w:t>
      </w:r>
      <w:r w:rsidR="005C4228">
        <w:rPr>
          <w:rFonts w:ascii="Times New Roman" w:hAnsi="Times New Roman"/>
          <w:sz w:val="26"/>
          <w:szCs w:val="26"/>
        </w:rPr>
        <w:t>companies</w:t>
      </w:r>
      <w:r w:rsidR="000C3902">
        <w:rPr>
          <w:rFonts w:ascii="Times New Roman" w:hAnsi="Times New Roman"/>
          <w:sz w:val="26"/>
          <w:szCs w:val="26"/>
        </w:rPr>
        <w:t xml:space="preserve"> with </w:t>
      </w:r>
      <w:r w:rsidRPr="00496AA9" w:rsidR="00496AA9">
        <w:rPr>
          <w:rFonts w:ascii="Times New Roman" w:hAnsi="Times New Roman"/>
          <w:sz w:val="26"/>
          <w:szCs w:val="26"/>
        </w:rPr>
        <w:t xml:space="preserve">annual jurisdictional operating revenues </w:t>
      </w:r>
      <w:r w:rsidR="00496AA9">
        <w:rPr>
          <w:rFonts w:ascii="Times New Roman" w:hAnsi="Times New Roman"/>
          <w:sz w:val="26"/>
          <w:szCs w:val="26"/>
        </w:rPr>
        <w:t xml:space="preserve">of </w:t>
      </w:r>
      <w:r w:rsidR="000C3902">
        <w:rPr>
          <w:rFonts w:ascii="Times New Roman" w:hAnsi="Times New Roman"/>
          <w:sz w:val="26"/>
          <w:szCs w:val="26"/>
        </w:rPr>
        <w:t xml:space="preserve">less than $500,000 </w:t>
      </w:r>
      <w:r w:rsidR="00932823">
        <w:rPr>
          <w:rFonts w:ascii="Times New Roman" w:hAnsi="Times New Roman"/>
          <w:sz w:val="26"/>
          <w:szCs w:val="26"/>
        </w:rPr>
        <w:t>and that do not file</w:t>
      </w:r>
      <w:r w:rsidR="00900FC4">
        <w:rPr>
          <w:rFonts w:ascii="Times New Roman" w:hAnsi="Times New Roman"/>
          <w:sz w:val="26"/>
          <w:szCs w:val="26"/>
        </w:rPr>
        <w:t xml:space="preserve"> an annual FERC Form No. 6</w:t>
      </w:r>
      <w:r w:rsidR="004E0B44">
        <w:rPr>
          <w:rFonts w:ascii="Times New Roman" w:hAnsi="Times New Roman"/>
          <w:sz w:val="26"/>
          <w:szCs w:val="26"/>
        </w:rPr>
        <w:t xml:space="preserve"> </w:t>
      </w:r>
      <w:r w:rsidR="00324B55">
        <w:rPr>
          <w:rFonts w:ascii="Times New Roman" w:hAnsi="Times New Roman"/>
          <w:sz w:val="26"/>
          <w:szCs w:val="26"/>
        </w:rPr>
        <w:t xml:space="preserve">are exempt </w:t>
      </w:r>
      <w:r w:rsidR="000C3902">
        <w:rPr>
          <w:rFonts w:ascii="Times New Roman" w:hAnsi="Times New Roman"/>
          <w:sz w:val="26"/>
          <w:szCs w:val="26"/>
        </w:rPr>
        <w:t xml:space="preserve">from reporting </w:t>
      </w:r>
      <w:r w:rsidR="00FD41E0">
        <w:rPr>
          <w:rFonts w:ascii="Times New Roman" w:hAnsi="Times New Roman"/>
          <w:sz w:val="26"/>
          <w:szCs w:val="26"/>
        </w:rPr>
        <w:t xml:space="preserve">FERC </w:t>
      </w:r>
      <w:r w:rsidR="008118C8">
        <w:rPr>
          <w:rFonts w:ascii="Times New Roman" w:hAnsi="Times New Roman"/>
          <w:sz w:val="26"/>
          <w:szCs w:val="26"/>
        </w:rPr>
        <w:t xml:space="preserve">Form </w:t>
      </w:r>
      <w:r w:rsidR="00FD41E0">
        <w:rPr>
          <w:rFonts w:ascii="Times New Roman" w:hAnsi="Times New Roman"/>
          <w:sz w:val="26"/>
          <w:szCs w:val="26"/>
        </w:rPr>
        <w:t xml:space="preserve">No. </w:t>
      </w:r>
      <w:r w:rsidR="008118C8">
        <w:rPr>
          <w:rFonts w:ascii="Times New Roman" w:hAnsi="Times New Roman"/>
          <w:sz w:val="26"/>
          <w:szCs w:val="26"/>
        </w:rPr>
        <w:t xml:space="preserve">6-Q. </w:t>
      </w:r>
      <w:r w:rsidR="00301418">
        <w:rPr>
          <w:rFonts w:ascii="Times New Roman" w:hAnsi="Times New Roman"/>
          <w:sz w:val="26"/>
          <w:szCs w:val="26"/>
        </w:rPr>
        <w:t xml:space="preserve"> </w:t>
      </w:r>
      <w:r w:rsidR="008118C8">
        <w:rPr>
          <w:rFonts w:ascii="Times New Roman" w:hAnsi="Times New Roman"/>
          <w:sz w:val="26"/>
          <w:szCs w:val="26"/>
        </w:rPr>
        <w:t xml:space="preserve">This </w:t>
      </w:r>
      <w:r w:rsidR="00F60A6D">
        <w:rPr>
          <w:rFonts w:ascii="Times New Roman" w:hAnsi="Times New Roman"/>
          <w:sz w:val="26"/>
          <w:szCs w:val="26"/>
        </w:rPr>
        <w:t xml:space="preserve">proposed </w:t>
      </w:r>
      <w:r w:rsidR="00095D19">
        <w:rPr>
          <w:rFonts w:ascii="Times New Roman" w:hAnsi="Times New Roman"/>
          <w:sz w:val="26"/>
          <w:szCs w:val="26"/>
        </w:rPr>
        <w:t>clarif</w:t>
      </w:r>
      <w:r w:rsidR="00F60A6D">
        <w:rPr>
          <w:rFonts w:ascii="Times New Roman" w:hAnsi="Times New Roman"/>
          <w:sz w:val="26"/>
          <w:szCs w:val="26"/>
        </w:rPr>
        <w:t xml:space="preserve">ication </w:t>
      </w:r>
      <w:r w:rsidR="008118C8">
        <w:rPr>
          <w:rFonts w:ascii="Times New Roman" w:hAnsi="Times New Roman"/>
          <w:sz w:val="26"/>
          <w:szCs w:val="26"/>
        </w:rPr>
        <w:t xml:space="preserve">would </w:t>
      </w:r>
      <w:r w:rsidR="00F60A6D">
        <w:rPr>
          <w:rFonts w:ascii="Times New Roman" w:hAnsi="Times New Roman"/>
          <w:sz w:val="26"/>
          <w:szCs w:val="26"/>
        </w:rPr>
        <w:t xml:space="preserve">confirm that </w:t>
      </w:r>
      <w:r w:rsidR="00622EDB">
        <w:rPr>
          <w:rFonts w:ascii="Times New Roman" w:hAnsi="Times New Roman"/>
          <w:sz w:val="26"/>
          <w:szCs w:val="26"/>
        </w:rPr>
        <w:t xml:space="preserve">the second </w:t>
      </w:r>
      <w:r w:rsidR="00F37FDE">
        <w:rPr>
          <w:rFonts w:ascii="Times New Roman" w:hAnsi="Times New Roman"/>
          <w:sz w:val="26"/>
          <w:szCs w:val="26"/>
        </w:rPr>
        <w:t>and third reporting tiers</w:t>
      </w:r>
      <w:r w:rsidR="00341926">
        <w:rPr>
          <w:rFonts w:ascii="Times New Roman" w:hAnsi="Times New Roman"/>
          <w:sz w:val="26"/>
          <w:szCs w:val="26"/>
        </w:rPr>
        <w:t xml:space="preserve"> do not file FERC Form No. 6-Q</w:t>
      </w:r>
      <w:r w:rsidR="00F37FDE">
        <w:rPr>
          <w:rFonts w:ascii="Times New Roman" w:hAnsi="Times New Roman"/>
          <w:sz w:val="26"/>
          <w:szCs w:val="26"/>
        </w:rPr>
        <w:t>.</w:t>
      </w:r>
      <w:r w:rsidR="00771780">
        <w:rPr>
          <w:rFonts w:ascii="Times New Roman" w:hAnsi="Times New Roman"/>
          <w:sz w:val="26"/>
          <w:szCs w:val="26"/>
        </w:rPr>
        <w:t xml:space="preserve"> </w:t>
      </w:r>
      <w:r w:rsidR="00F37FDE">
        <w:rPr>
          <w:rFonts w:ascii="Times New Roman" w:hAnsi="Times New Roman"/>
          <w:sz w:val="26"/>
          <w:szCs w:val="26"/>
        </w:rPr>
        <w:t xml:space="preserve"> </w:t>
      </w:r>
      <w:r>
        <w:rPr>
          <w:rFonts w:ascii="Times New Roman" w:hAnsi="Times New Roman"/>
          <w:sz w:val="26"/>
          <w:szCs w:val="26"/>
        </w:rPr>
        <w:t xml:space="preserve">In addition, </w:t>
      </w:r>
      <w:r w:rsidR="00512E5D">
        <w:rPr>
          <w:rFonts w:ascii="Times New Roman" w:hAnsi="Times New Roman"/>
          <w:iCs/>
          <w:sz w:val="26"/>
          <w:szCs w:val="26"/>
        </w:rPr>
        <w:t>t</w:t>
      </w:r>
      <w:r w:rsidRPr="0096003F">
        <w:rPr>
          <w:rFonts w:ascii="Times New Roman" w:hAnsi="Times New Roman"/>
          <w:iCs/>
          <w:sz w:val="26"/>
          <w:szCs w:val="26"/>
        </w:rPr>
        <w:t xml:space="preserve">he Commission conducted a comprehensive review of the information collected in </w:t>
      </w:r>
      <w:r w:rsidR="00086334">
        <w:rPr>
          <w:rFonts w:ascii="Times New Roman" w:hAnsi="Times New Roman"/>
          <w:iCs/>
          <w:sz w:val="26"/>
          <w:szCs w:val="26"/>
        </w:rPr>
        <w:t xml:space="preserve">FERC Form No. 6-Q </w:t>
      </w:r>
      <w:r w:rsidRPr="0096003F">
        <w:rPr>
          <w:rFonts w:ascii="Times New Roman" w:hAnsi="Times New Roman"/>
          <w:iCs/>
          <w:sz w:val="26"/>
          <w:szCs w:val="26"/>
        </w:rPr>
        <w:t>and proposes to delete</w:t>
      </w:r>
      <w:r>
        <w:rPr>
          <w:rFonts w:ascii="Times New Roman" w:hAnsi="Times New Roman"/>
          <w:iCs/>
          <w:sz w:val="26"/>
          <w:szCs w:val="26"/>
        </w:rPr>
        <w:t xml:space="preserve"> </w:t>
      </w:r>
      <w:r w:rsidR="00F033E3">
        <w:rPr>
          <w:rFonts w:ascii="Times New Roman" w:hAnsi="Times New Roman"/>
          <w:iCs/>
          <w:sz w:val="26"/>
          <w:szCs w:val="26"/>
        </w:rPr>
        <w:t>three</w:t>
      </w:r>
      <w:r w:rsidRPr="0096003F">
        <w:rPr>
          <w:rFonts w:ascii="Times New Roman" w:hAnsi="Times New Roman"/>
          <w:iCs/>
          <w:sz w:val="26"/>
          <w:szCs w:val="26"/>
        </w:rPr>
        <w:t xml:space="preserve"> schedules </w:t>
      </w:r>
      <w:r>
        <w:rPr>
          <w:rFonts w:ascii="Times New Roman" w:hAnsi="Times New Roman"/>
          <w:iCs/>
          <w:sz w:val="26"/>
          <w:szCs w:val="26"/>
        </w:rPr>
        <w:t xml:space="preserve">from </w:t>
      </w:r>
      <w:r w:rsidR="00086334">
        <w:rPr>
          <w:rFonts w:ascii="Times New Roman" w:hAnsi="Times New Roman"/>
          <w:iCs/>
          <w:sz w:val="26"/>
          <w:szCs w:val="26"/>
        </w:rPr>
        <w:t>that f</w:t>
      </w:r>
      <w:r w:rsidRPr="00C8211B">
        <w:rPr>
          <w:rFonts w:ascii="Times New Roman" w:hAnsi="Times New Roman"/>
          <w:iCs/>
          <w:sz w:val="26"/>
          <w:szCs w:val="26"/>
        </w:rPr>
        <w:t>orm</w:t>
      </w:r>
      <w:r>
        <w:rPr>
          <w:rFonts w:ascii="Times New Roman" w:hAnsi="Times New Roman"/>
          <w:iCs/>
          <w:sz w:val="26"/>
          <w:szCs w:val="26"/>
        </w:rPr>
        <w:t xml:space="preserve">. </w:t>
      </w:r>
      <w:r w:rsidR="00301418">
        <w:rPr>
          <w:rFonts w:ascii="Times New Roman" w:hAnsi="Times New Roman"/>
          <w:iCs/>
          <w:sz w:val="26"/>
          <w:szCs w:val="26"/>
        </w:rPr>
        <w:t xml:space="preserve"> </w:t>
      </w:r>
      <w:r>
        <w:rPr>
          <w:rFonts w:ascii="Times New Roman" w:hAnsi="Times New Roman"/>
          <w:iCs/>
          <w:sz w:val="26"/>
          <w:szCs w:val="26"/>
        </w:rPr>
        <w:t>In this NOPR, t</w:t>
      </w:r>
      <w:r w:rsidRPr="0096003F">
        <w:rPr>
          <w:rFonts w:ascii="Times New Roman" w:hAnsi="Times New Roman"/>
          <w:iCs/>
          <w:sz w:val="26"/>
          <w:szCs w:val="26"/>
        </w:rPr>
        <w:t xml:space="preserve">he Commission seeks </w:t>
      </w:r>
      <w:r w:rsidRPr="0096003F">
        <w:rPr>
          <w:rFonts w:ascii="Times New Roman" w:hAnsi="Times New Roman"/>
          <w:iCs/>
          <w:sz w:val="26"/>
          <w:szCs w:val="26"/>
        </w:rPr>
        <w:t>comment</w:t>
      </w:r>
      <w:r w:rsidRPr="0096003F">
        <w:rPr>
          <w:rFonts w:ascii="Times New Roman" w:hAnsi="Times New Roman"/>
          <w:iCs/>
          <w:sz w:val="26"/>
          <w:szCs w:val="26"/>
        </w:rPr>
        <w:t xml:space="preserve"> on whether the data reported on the indicated schedules is helpful to the public and, if so, how this data is used.  The Commission also seeks </w:t>
      </w:r>
      <w:r w:rsidRPr="0096003F">
        <w:rPr>
          <w:rFonts w:ascii="Times New Roman" w:hAnsi="Times New Roman"/>
          <w:iCs/>
          <w:sz w:val="26"/>
          <w:szCs w:val="26"/>
        </w:rPr>
        <w:t>comment</w:t>
      </w:r>
      <w:r w:rsidRPr="0096003F">
        <w:rPr>
          <w:rFonts w:ascii="Times New Roman" w:hAnsi="Times New Roman"/>
          <w:iCs/>
          <w:sz w:val="26"/>
          <w:szCs w:val="26"/>
        </w:rPr>
        <w:t xml:space="preserve"> on whether there may be a better way for the public to access the data rather than through </w:t>
      </w:r>
      <w:r w:rsidRPr="0096003F">
        <w:rPr>
          <w:rFonts w:ascii="Times New Roman" w:hAnsi="Times New Roman"/>
          <w:iCs/>
          <w:sz w:val="26"/>
          <w:szCs w:val="26"/>
        </w:rPr>
        <w:t xml:space="preserve">the </w:t>
      </w:r>
      <w:r w:rsidR="00CB2BB5">
        <w:rPr>
          <w:rFonts w:ascii="Times New Roman" w:hAnsi="Times New Roman"/>
          <w:iCs/>
          <w:sz w:val="26"/>
          <w:szCs w:val="26"/>
        </w:rPr>
        <w:t>q</w:t>
      </w:r>
      <w:r w:rsidRPr="0096003F">
        <w:rPr>
          <w:rFonts w:ascii="Times New Roman" w:hAnsi="Times New Roman"/>
          <w:iCs/>
          <w:sz w:val="26"/>
          <w:szCs w:val="26"/>
        </w:rPr>
        <w:t>uarterly</w:t>
      </w:r>
      <w:r w:rsidRPr="0096003F">
        <w:rPr>
          <w:rFonts w:ascii="Times New Roman" w:hAnsi="Times New Roman"/>
          <w:iCs/>
          <w:sz w:val="26"/>
          <w:szCs w:val="26"/>
        </w:rPr>
        <w:t xml:space="preserve"> </w:t>
      </w:r>
      <w:r w:rsidR="00CB2BB5">
        <w:rPr>
          <w:rFonts w:ascii="Times New Roman" w:hAnsi="Times New Roman"/>
          <w:iCs/>
          <w:sz w:val="26"/>
          <w:szCs w:val="26"/>
        </w:rPr>
        <w:t>f</w:t>
      </w:r>
      <w:r w:rsidRPr="0096003F">
        <w:rPr>
          <w:rFonts w:ascii="Times New Roman" w:hAnsi="Times New Roman"/>
          <w:iCs/>
          <w:sz w:val="26"/>
          <w:szCs w:val="26"/>
        </w:rPr>
        <w:t xml:space="preserve">inancial </w:t>
      </w:r>
      <w:r w:rsidR="00CB2BB5">
        <w:rPr>
          <w:rFonts w:ascii="Times New Roman" w:hAnsi="Times New Roman"/>
          <w:iCs/>
          <w:sz w:val="26"/>
          <w:szCs w:val="26"/>
        </w:rPr>
        <w:t>f</w:t>
      </w:r>
      <w:r w:rsidRPr="0096003F">
        <w:rPr>
          <w:rFonts w:ascii="Times New Roman" w:hAnsi="Times New Roman"/>
          <w:iCs/>
          <w:sz w:val="26"/>
          <w:szCs w:val="26"/>
        </w:rPr>
        <w:t>orms.</w:t>
      </w:r>
      <w:r w:rsidR="00111C1D">
        <w:rPr>
          <w:rFonts w:ascii="Times New Roman" w:hAnsi="Times New Roman"/>
          <w:iCs/>
          <w:sz w:val="26"/>
          <w:szCs w:val="26"/>
        </w:rPr>
        <w:t xml:space="preserve"> </w:t>
      </w:r>
      <w:r w:rsidR="00C30DE8">
        <w:rPr>
          <w:rFonts w:ascii="Times New Roman" w:hAnsi="Times New Roman"/>
          <w:iCs/>
          <w:sz w:val="26"/>
          <w:szCs w:val="26"/>
        </w:rPr>
        <w:t xml:space="preserve"> </w:t>
      </w:r>
      <w:r w:rsidR="00111C1D">
        <w:rPr>
          <w:rFonts w:ascii="Times New Roman" w:hAnsi="Times New Roman"/>
          <w:sz w:val="26"/>
          <w:szCs w:val="26"/>
        </w:rPr>
        <w:t>The Commission also proposes to u</w:t>
      </w:r>
      <w:r w:rsidRPr="00DC7D56" w:rsidR="00111C1D">
        <w:rPr>
          <w:rFonts w:ascii="Times New Roman" w:hAnsi="Times New Roman"/>
          <w:sz w:val="26"/>
          <w:szCs w:val="26"/>
        </w:rPr>
        <w:t>pdate the general filing instructions and certain schedule instructions to reflect current reporting requirements and correct discrepancies</w:t>
      </w:r>
      <w:r w:rsidR="00111C1D">
        <w:rPr>
          <w:rFonts w:ascii="Times New Roman" w:hAnsi="Times New Roman"/>
          <w:sz w:val="26"/>
          <w:szCs w:val="26"/>
        </w:rPr>
        <w:t xml:space="preserve">. </w:t>
      </w:r>
    </w:p>
    <w:p w:rsidR="00232129" w:rsidRPr="0073506C" w:rsidP="00BD0F89" w14:paraId="0BDD7156" w14:textId="77777777">
      <w:pPr>
        <w:spacing w:after="0" w:line="240" w:lineRule="auto"/>
        <w:rPr>
          <w:rFonts w:ascii="Times New Roman" w:hAnsi="Times New Roman"/>
          <w:sz w:val="26"/>
          <w:szCs w:val="26"/>
        </w:rPr>
      </w:pPr>
    </w:p>
    <w:p w:rsidR="00471F97" w:rsidRPr="0073506C" w:rsidP="00BD0F89" w14:paraId="5FCC3BB8"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CONSIDERATION OF THE USE OF IMPROVED INFORMATION TECHNOLOGY TO REDUCE THE BURDEN AND TECHNICAL OR LEGAL OBSTACLES TO REDUCING BURDEN</w:t>
      </w:r>
    </w:p>
    <w:p w:rsidR="00471F97" w:rsidRPr="0073506C" w:rsidP="00BD0F89" w14:paraId="391BE832" w14:textId="77777777">
      <w:pPr>
        <w:spacing w:after="0" w:line="240" w:lineRule="auto"/>
        <w:ind w:left="360" w:hanging="360"/>
        <w:rPr>
          <w:rFonts w:ascii="Times New Roman" w:hAnsi="Times New Roman"/>
          <w:sz w:val="26"/>
          <w:szCs w:val="26"/>
        </w:rPr>
      </w:pPr>
    </w:p>
    <w:p w:rsidR="00271EF4" w14:paraId="5047DE1A" w14:textId="037AC3DF">
      <w:pPr>
        <w:spacing w:after="0" w:line="240" w:lineRule="auto"/>
        <w:rPr>
          <w:rFonts w:ascii="Times New Roman" w:hAnsi="Times New Roman"/>
          <w:sz w:val="26"/>
          <w:szCs w:val="26"/>
        </w:rPr>
      </w:pPr>
      <w:r w:rsidRPr="0073506C">
        <w:rPr>
          <w:rFonts w:ascii="Times New Roman" w:hAnsi="Times New Roman"/>
          <w:sz w:val="26"/>
          <w:szCs w:val="26"/>
        </w:rPr>
        <w:t>The forms are filed electronically</w:t>
      </w:r>
      <w:r w:rsidR="00FB7C8B">
        <w:rPr>
          <w:rFonts w:ascii="Times New Roman" w:hAnsi="Times New Roman"/>
          <w:sz w:val="26"/>
          <w:szCs w:val="26"/>
        </w:rPr>
        <w:t xml:space="preserve"> </w:t>
      </w:r>
      <w:r w:rsidR="00A41E23">
        <w:rPr>
          <w:rFonts w:ascii="Times New Roman" w:hAnsi="Times New Roman"/>
          <w:sz w:val="26"/>
          <w:szCs w:val="26"/>
        </w:rPr>
        <w:t xml:space="preserve">in XBRL </w:t>
      </w:r>
      <w:r w:rsidR="00FB7C8B">
        <w:rPr>
          <w:rFonts w:ascii="Times New Roman" w:hAnsi="Times New Roman"/>
          <w:sz w:val="26"/>
          <w:szCs w:val="26"/>
        </w:rPr>
        <w:t xml:space="preserve">through FERC’s </w:t>
      </w:r>
      <w:r w:rsidR="00FB7C8B">
        <w:rPr>
          <w:rFonts w:ascii="Times New Roman" w:hAnsi="Times New Roman"/>
          <w:sz w:val="26"/>
          <w:szCs w:val="26"/>
        </w:rPr>
        <w:t>e</w:t>
      </w:r>
      <w:r w:rsidR="00174867">
        <w:rPr>
          <w:rFonts w:ascii="Times New Roman" w:hAnsi="Times New Roman"/>
          <w:sz w:val="26"/>
          <w:szCs w:val="26"/>
        </w:rPr>
        <w:t>Forms</w:t>
      </w:r>
      <w:r w:rsidR="00174867">
        <w:rPr>
          <w:rFonts w:ascii="Times New Roman" w:hAnsi="Times New Roman"/>
          <w:sz w:val="26"/>
          <w:szCs w:val="26"/>
        </w:rPr>
        <w:t xml:space="preserve"> </w:t>
      </w:r>
      <w:r w:rsidR="00FB7C8B">
        <w:rPr>
          <w:rFonts w:ascii="Times New Roman" w:hAnsi="Times New Roman"/>
          <w:sz w:val="26"/>
          <w:szCs w:val="26"/>
        </w:rPr>
        <w:t>system</w:t>
      </w:r>
      <w:r w:rsidR="00C514A7">
        <w:rPr>
          <w:rFonts w:ascii="Times New Roman" w:hAnsi="Times New Roman"/>
          <w:sz w:val="26"/>
          <w:szCs w:val="26"/>
        </w:rPr>
        <w:t>.</w:t>
      </w:r>
    </w:p>
    <w:p w:rsidR="00B65D79" w:rsidRPr="0073506C" w:rsidP="00B65D79" w14:paraId="6100A309" w14:textId="77777777">
      <w:pPr>
        <w:spacing w:after="0" w:line="240" w:lineRule="auto"/>
        <w:rPr>
          <w:rFonts w:ascii="Times New Roman" w:hAnsi="Times New Roman"/>
          <w:sz w:val="26"/>
          <w:szCs w:val="26"/>
        </w:rPr>
      </w:pPr>
    </w:p>
    <w:p w:rsidR="00F0627E" w:rsidRPr="0073506C" w:rsidP="00BD0F89" w14:paraId="235E8FE2"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00F0627E" w:rsidRPr="0073506C" w:rsidP="00BD0F89" w14:paraId="7DC29030" w14:textId="77777777">
      <w:pPr>
        <w:spacing w:after="0" w:line="240" w:lineRule="auto"/>
        <w:ind w:left="360" w:hanging="360"/>
        <w:rPr>
          <w:rFonts w:ascii="Times New Roman" w:hAnsi="Times New Roman"/>
          <w:sz w:val="26"/>
          <w:szCs w:val="26"/>
        </w:rPr>
      </w:pPr>
    </w:p>
    <w:p w:rsidR="00A06549" w:rsidRPr="00A06549" w:rsidP="00A06549" w14:paraId="0E464D86" w14:textId="77777777">
      <w:pPr>
        <w:spacing w:after="0" w:line="240" w:lineRule="auto"/>
        <w:rPr>
          <w:rFonts w:ascii="Times New Roman" w:eastAsia="Times New Roman" w:hAnsi="Times New Roman"/>
          <w:sz w:val="26"/>
          <w:szCs w:val="26"/>
        </w:rPr>
      </w:pPr>
      <w:r w:rsidRPr="00A06549">
        <w:rPr>
          <w:rFonts w:ascii="Times New Roman" w:eastAsia="Times New Roman" w:hAnsi="Times New Roman"/>
          <w:sz w:val="26"/>
          <w:szCs w:val="26"/>
        </w:rPr>
        <w:t>The Commission's filings and data requirements are periodically reviewed in conjunction with OMB clearance expiration dates.</w:t>
      </w:r>
    </w:p>
    <w:p w:rsidR="00A06549" w:rsidRPr="00A06549" w:rsidP="00A06549" w14:paraId="3A18C653" w14:textId="77777777">
      <w:pPr>
        <w:spacing w:after="0" w:line="240" w:lineRule="auto"/>
        <w:rPr>
          <w:rFonts w:ascii="Times New Roman" w:eastAsia="Times New Roman" w:hAnsi="Times New Roman"/>
          <w:sz w:val="26"/>
          <w:szCs w:val="26"/>
        </w:rPr>
      </w:pPr>
    </w:p>
    <w:p w:rsidR="00A06549" w:rsidRPr="00A06549" w:rsidP="00452B40" w14:paraId="637D4447" w14:textId="321793A8">
      <w:pPr>
        <w:spacing w:after="0" w:line="240" w:lineRule="auto"/>
        <w:rPr>
          <w:rFonts w:ascii="Times New Roman" w:eastAsia="Times New Roman" w:hAnsi="Times New Roman"/>
          <w:sz w:val="26"/>
          <w:szCs w:val="26"/>
        </w:rPr>
      </w:pPr>
      <w:r w:rsidRPr="00A06549">
        <w:rPr>
          <w:rFonts w:ascii="Times New Roman" w:eastAsia="Times New Roman" w:hAnsi="Times New Roman"/>
          <w:sz w:val="26"/>
          <w:szCs w:val="26"/>
        </w:rPr>
        <w:t xml:space="preserve">While some jurisdictional entities may file similar financial information with the Securities and Exchange Commission (SEC), the level of detail concerning assets, liabilities, stockholders' equity, along with the revenues, expenses, gains, and losses </w:t>
      </w:r>
      <w:r w:rsidRPr="00A06549">
        <w:rPr>
          <w:rFonts w:ascii="Times New Roman" w:eastAsia="Times New Roman" w:hAnsi="Times New Roman"/>
          <w:sz w:val="26"/>
          <w:szCs w:val="26"/>
        </w:rPr>
        <w:t xml:space="preserve">differs between the Commission and the SEC.  </w:t>
      </w:r>
      <w:r w:rsidR="00DD3AB1">
        <w:rPr>
          <w:rFonts w:ascii="Times New Roman" w:eastAsia="Times New Roman" w:hAnsi="Times New Roman"/>
          <w:sz w:val="26"/>
          <w:szCs w:val="26"/>
        </w:rPr>
        <w:t>A majority</w:t>
      </w:r>
      <w:r w:rsidRPr="00A06549">
        <w:rPr>
          <w:rFonts w:ascii="Times New Roman" w:eastAsia="Times New Roman" w:hAnsi="Times New Roman"/>
          <w:sz w:val="26"/>
          <w:szCs w:val="26"/>
        </w:rPr>
        <w:t xml:space="preserve"> of</w:t>
      </w:r>
      <w:r w:rsidRPr="00A06549">
        <w:rPr>
          <w:rFonts w:ascii="Times New Roman" w:eastAsia="Times New Roman" w:hAnsi="Times New Roman"/>
          <w:sz w:val="26"/>
          <w:szCs w:val="26"/>
        </w:rPr>
        <w:t xml:space="preserve"> the jurisdictional entities that </w:t>
      </w:r>
      <w:r w:rsidR="00F266FB">
        <w:rPr>
          <w:rFonts w:ascii="Times New Roman" w:eastAsia="Times New Roman" w:hAnsi="Times New Roman"/>
          <w:sz w:val="26"/>
          <w:szCs w:val="26"/>
        </w:rPr>
        <w:t>FERC</w:t>
      </w:r>
      <w:r w:rsidRPr="00A06549">
        <w:rPr>
          <w:rFonts w:ascii="Times New Roman" w:eastAsia="Times New Roman" w:hAnsi="Times New Roman"/>
          <w:sz w:val="26"/>
          <w:szCs w:val="26"/>
        </w:rPr>
        <w:t xml:space="preserve"> </w:t>
      </w:r>
      <w:r w:rsidRPr="00A06549">
        <w:rPr>
          <w:rFonts w:ascii="Times New Roman" w:eastAsia="Times New Roman" w:hAnsi="Times New Roman"/>
          <w:sz w:val="26"/>
          <w:szCs w:val="26"/>
        </w:rPr>
        <w:t>regulates</w:t>
      </w:r>
      <w:r w:rsidRPr="00A06549">
        <w:rPr>
          <w:rFonts w:ascii="Times New Roman" w:eastAsia="Times New Roman" w:hAnsi="Times New Roman"/>
          <w:sz w:val="26"/>
          <w:szCs w:val="26"/>
        </w:rPr>
        <w:t xml:space="preserve"> consolidate their assets, liabilities, and profits with their parent company or combine regulated and unregulated operations in financial reports to the SEC.  While consolidation is appropriate for SEC reporting, the Commission requires more detailed information concerning the results of operations and the financial position of each jurisdictional entity to meet its statutory duties.  Pursuant to the </w:t>
      </w:r>
      <w:r w:rsidR="007E05E4">
        <w:rPr>
          <w:rFonts w:ascii="Times New Roman" w:eastAsia="Times New Roman" w:hAnsi="Times New Roman"/>
          <w:sz w:val="26"/>
          <w:szCs w:val="26"/>
        </w:rPr>
        <w:t>ICA</w:t>
      </w:r>
      <w:r w:rsidRPr="00A06549">
        <w:rPr>
          <w:rFonts w:ascii="Times New Roman" w:eastAsia="Times New Roman" w:hAnsi="Times New Roman"/>
          <w:sz w:val="26"/>
          <w:szCs w:val="26"/>
        </w:rPr>
        <w:t>, the Commission regulates the rates, terms, and conditions of each jurisdictional entity.  Accordingly, entity-specific financial and operational information is needed to provide detailed components of an entity’s approved rate on file with the Commission.  For this reason, the Commission requires jurisdictional entities to file financial information on a jurisdictional entity level basis using a</w:t>
      </w:r>
      <w:r w:rsidR="00A22049">
        <w:rPr>
          <w:rFonts w:ascii="Times New Roman" w:eastAsia="Times New Roman" w:hAnsi="Times New Roman"/>
          <w:sz w:val="26"/>
          <w:szCs w:val="26"/>
        </w:rPr>
        <w:t xml:space="preserve"> </w:t>
      </w:r>
      <w:r w:rsidR="00164909">
        <w:rPr>
          <w:rFonts w:ascii="Times New Roman" w:eastAsia="Times New Roman" w:hAnsi="Times New Roman"/>
          <w:sz w:val="26"/>
          <w:szCs w:val="26"/>
        </w:rPr>
        <w:t>uniform system of accounts</w:t>
      </w:r>
      <w:r w:rsidRPr="00A06549">
        <w:rPr>
          <w:rFonts w:ascii="Times New Roman" w:eastAsia="Times New Roman" w:hAnsi="Times New Roman"/>
          <w:sz w:val="26"/>
          <w:szCs w:val="26"/>
        </w:rPr>
        <w:t>. Additionally, the Commission regulates several private companies, cooperatives, and governmental entities at various levels that are not required to file financial statements with the SEC.</w:t>
      </w:r>
    </w:p>
    <w:p w:rsidR="00494814" w:rsidRPr="0073506C" w:rsidP="00BD0F89" w14:paraId="2C904CCD" w14:textId="17255E53">
      <w:pPr>
        <w:spacing w:after="0" w:line="240" w:lineRule="auto"/>
        <w:rPr>
          <w:rFonts w:ascii="Times New Roman" w:hAnsi="Times New Roman"/>
          <w:sz w:val="26"/>
          <w:szCs w:val="26"/>
        </w:rPr>
      </w:pPr>
    </w:p>
    <w:p w:rsidR="00F0627E" w:rsidRPr="0073506C" w:rsidP="00BD0F89" w14:paraId="1043320F"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METHODS USED TO MINIMIZE THE BURDEN IN COLLECTION OF INFORMATION INVOLVING SMALL ENTITIES</w:t>
      </w:r>
    </w:p>
    <w:p w:rsidR="00F0627E" w:rsidRPr="0073506C" w:rsidP="00BD0F89" w14:paraId="7CE41F3F" w14:textId="77777777">
      <w:pPr>
        <w:spacing w:after="0" w:line="240" w:lineRule="auto"/>
        <w:rPr>
          <w:rFonts w:ascii="Times New Roman" w:hAnsi="Times New Roman"/>
          <w:sz w:val="26"/>
          <w:szCs w:val="26"/>
        </w:rPr>
      </w:pPr>
    </w:p>
    <w:p w:rsidR="00D036A4" w:rsidP="00BD0F89" w14:paraId="3B3AAD04" w14:textId="7AC35491">
      <w:pPr>
        <w:spacing w:after="0" w:line="240" w:lineRule="auto"/>
        <w:rPr>
          <w:rFonts w:ascii="Times New Roman" w:hAnsi="Times New Roman"/>
          <w:sz w:val="26"/>
          <w:szCs w:val="26"/>
        </w:rPr>
      </w:pPr>
      <w:r>
        <w:rPr>
          <w:rFonts w:ascii="Times New Roman" w:hAnsi="Times New Roman"/>
          <w:sz w:val="26"/>
          <w:szCs w:val="26"/>
        </w:rPr>
        <w:t>Under current regulations, t</w:t>
      </w:r>
      <w:r w:rsidRPr="00C10438">
        <w:rPr>
          <w:rFonts w:ascii="Times New Roman" w:hAnsi="Times New Roman"/>
          <w:sz w:val="26"/>
          <w:szCs w:val="26"/>
        </w:rPr>
        <w:t>he Commission attempts to reduce the burden on industry while obtaining the data the Commission needs by using three different tiers that relate to the material respondents must file.</w:t>
      </w:r>
      <w:r>
        <w:rPr>
          <w:rFonts w:ascii="Times New Roman" w:hAnsi="Times New Roman"/>
          <w:sz w:val="26"/>
          <w:szCs w:val="26"/>
        </w:rPr>
        <w:t xml:space="preserve"> </w:t>
      </w:r>
      <w:r w:rsidR="00EB7590">
        <w:rPr>
          <w:rFonts w:ascii="Times New Roman" w:hAnsi="Times New Roman"/>
          <w:sz w:val="26"/>
          <w:szCs w:val="26"/>
        </w:rPr>
        <w:t xml:space="preserve"> </w:t>
      </w:r>
      <w:r>
        <w:rPr>
          <w:rFonts w:ascii="Times New Roman" w:hAnsi="Times New Roman"/>
          <w:sz w:val="26"/>
          <w:szCs w:val="26"/>
        </w:rPr>
        <w:t xml:space="preserve">FERC proposes to </w:t>
      </w:r>
      <w:r w:rsidR="003B6A80">
        <w:rPr>
          <w:rFonts w:ascii="Times New Roman" w:hAnsi="Times New Roman"/>
          <w:sz w:val="26"/>
          <w:szCs w:val="26"/>
        </w:rPr>
        <w:t xml:space="preserve">clarify that </w:t>
      </w:r>
      <w:r>
        <w:rPr>
          <w:rFonts w:ascii="Times New Roman" w:hAnsi="Times New Roman"/>
          <w:sz w:val="26"/>
          <w:szCs w:val="26"/>
        </w:rPr>
        <w:t>oil pipeline carriers with</w:t>
      </w:r>
      <w:r w:rsidR="00496AA9">
        <w:rPr>
          <w:rFonts w:ascii="Times New Roman" w:hAnsi="Times New Roman"/>
          <w:sz w:val="26"/>
          <w:szCs w:val="26"/>
        </w:rPr>
        <w:t xml:space="preserve"> </w:t>
      </w:r>
      <w:r w:rsidRPr="00496AA9" w:rsidR="00496AA9">
        <w:rPr>
          <w:rFonts w:ascii="Times New Roman" w:hAnsi="Times New Roman"/>
          <w:sz w:val="26"/>
          <w:szCs w:val="26"/>
        </w:rPr>
        <w:t>annual jurisdictional operating revenues</w:t>
      </w:r>
      <w:r w:rsidR="00D76990">
        <w:rPr>
          <w:rFonts w:ascii="Times New Roman" w:hAnsi="Times New Roman"/>
          <w:sz w:val="26"/>
          <w:szCs w:val="26"/>
        </w:rPr>
        <w:t xml:space="preserve"> of</w:t>
      </w:r>
      <w:r>
        <w:rPr>
          <w:rFonts w:ascii="Times New Roman" w:hAnsi="Times New Roman"/>
          <w:sz w:val="26"/>
          <w:szCs w:val="26"/>
        </w:rPr>
        <w:t xml:space="preserve"> less than $500,000</w:t>
      </w:r>
      <w:r w:rsidR="003B6A80">
        <w:rPr>
          <w:rFonts w:ascii="Times New Roman" w:hAnsi="Times New Roman"/>
          <w:sz w:val="26"/>
          <w:szCs w:val="26"/>
        </w:rPr>
        <w:t xml:space="preserve"> are exempt</w:t>
      </w:r>
      <w:r>
        <w:rPr>
          <w:rFonts w:ascii="Times New Roman" w:hAnsi="Times New Roman"/>
          <w:sz w:val="26"/>
          <w:szCs w:val="26"/>
        </w:rPr>
        <w:t xml:space="preserve"> from reporting </w:t>
      </w:r>
      <w:r w:rsidR="0082276C">
        <w:rPr>
          <w:rFonts w:ascii="Times New Roman" w:hAnsi="Times New Roman"/>
          <w:sz w:val="26"/>
          <w:szCs w:val="26"/>
        </w:rPr>
        <w:t xml:space="preserve">FERC </w:t>
      </w:r>
      <w:r>
        <w:rPr>
          <w:rFonts w:ascii="Times New Roman" w:hAnsi="Times New Roman"/>
          <w:sz w:val="26"/>
          <w:szCs w:val="26"/>
        </w:rPr>
        <w:t xml:space="preserve">Form </w:t>
      </w:r>
      <w:r w:rsidR="0082276C">
        <w:rPr>
          <w:rFonts w:ascii="Times New Roman" w:hAnsi="Times New Roman"/>
          <w:sz w:val="26"/>
          <w:szCs w:val="26"/>
        </w:rPr>
        <w:t xml:space="preserve">No. </w:t>
      </w:r>
      <w:r>
        <w:rPr>
          <w:rFonts w:ascii="Times New Roman" w:hAnsi="Times New Roman"/>
          <w:sz w:val="26"/>
          <w:szCs w:val="26"/>
        </w:rPr>
        <w:t xml:space="preserve">6-Q. </w:t>
      </w:r>
      <w:r w:rsidR="0082276C">
        <w:rPr>
          <w:rFonts w:ascii="Times New Roman" w:hAnsi="Times New Roman"/>
          <w:sz w:val="26"/>
          <w:szCs w:val="26"/>
        </w:rPr>
        <w:t xml:space="preserve"> </w:t>
      </w:r>
      <w:r>
        <w:rPr>
          <w:rFonts w:ascii="Times New Roman" w:hAnsi="Times New Roman"/>
          <w:sz w:val="26"/>
          <w:szCs w:val="26"/>
        </w:rPr>
        <w:t xml:space="preserve">This </w:t>
      </w:r>
      <w:r w:rsidR="003B6A80">
        <w:rPr>
          <w:rFonts w:ascii="Times New Roman" w:hAnsi="Times New Roman"/>
          <w:sz w:val="26"/>
          <w:szCs w:val="26"/>
        </w:rPr>
        <w:t>propos</w:t>
      </w:r>
      <w:r w:rsidR="005E0188">
        <w:rPr>
          <w:rFonts w:ascii="Times New Roman" w:hAnsi="Times New Roman"/>
          <w:sz w:val="26"/>
          <w:szCs w:val="26"/>
        </w:rPr>
        <w:t xml:space="preserve">ed clarification </w:t>
      </w:r>
      <w:r>
        <w:rPr>
          <w:rFonts w:ascii="Times New Roman" w:hAnsi="Times New Roman"/>
          <w:sz w:val="26"/>
          <w:szCs w:val="26"/>
        </w:rPr>
        <w:t xml:space="preserve">would </w:t>
      </w:r>
      <w:r w:rsidR="005E0188">
        <w:rPr>
          <w:rFonts w:ascii="Times New Roman" w:hAnsi="Times New Roman"/>
          <w:sz w:val="26"/>
          <w:szCs w:val="26"/>
        </w:rPr>
        <w:t xml:space="preserve">confirm </w:t>
      </w:r>
      <w:r w:rsidR="009139E7">
        <w:rPr>
          <w:rFonts w:ascii="Times New Roman" w:hAnsi="Times New Roman"/>
          <w:sz w:val="26"/>
          <w:szCs w:val="26"/>
        </w:rPr>
        <w:t xml:space="preserve">that the </w:t>
      </w:r>
      <w:r>
        <w:rPr>
          <w:rFonts w:ascii="Times New Roman" w:hAnsi="Times New Roman"/>
          <w:sz w:val="26"/>
          <w:szCs w:val="26"/>
        </w:rPr>
        <w:t>second and third reporting tiers</w:t>
      </w:r>
      <w:r w:rsidR="009139E7">
        <w:rPr>
          <w:rFonts w:ascii="Times New Roman" w:hAnsi="Times New Roman"/>
          <w:sz w:val="26"/>
          <w:szCs w:val="26"/>
        </w:rPr>
        <w:t xml:space="preserve"> do not file FERC Form No. 6-Q</w:t>
      </w:r>
      <w:r>
        <w:rPr>
          <w:rFonts w:ascii="Times New Roman" w:hAnsi="Times New Roman"/>
          <w:sz w:val="26"/>
          <w:szCs w:val="26"/>
        </w:rPr>
        <w:t>.</w:t>
      </w:r>
    </w:p>
    <w:p w:rsidR="006C4DD3" w:rsidP="00BD0F89" w14:paraId="14D74033" w14:textId="77777777">
      <w:pPr>
        <w:spacing w:after="0" w:line="240" w:lineRule="auto"/>
        <w:rPr>
          <w:rFonts w:ascii="Times New Roman" w:hAnsi="Times New Roman"/>
          <w:sz w:val="26"/>
          <w:szCs w:val="26"/>
        </w:rPr>
      </w:pPr>
    </w:p>
    <w:p w:rsidR="006C4DD3" w:rsidP="00BD0F89" w14:paraId="4E7E8277" w14:textId="4647934B">
      <w:pPr>
        <w:spacing w:after="0" w:line="240" w:lineRule="auto"/>
        <w:rPr>
          <w:rFonts w:ascii="Times New Roman" w:eastAsia="Times New Roman" w:hAnsi="Times New Roman"/>
          <w:sz w:val="26"/>
          <w:szCs w:val="26"/>
        </w:rPr>
      </w:pPr>
      <w:r w:rsidRPr="00460AEA">
        <w:rPr>
          <w:rFonts w:ascii="Times New Roman" w:eastAsia="Times New Roman" w:hAnsi="Times New Roman"/>
          <w:sz w:val="26"/>
          <w:szCs w:val="26"/>
        </w:rPr>
        <w:t xml:space="preserve">If the reporting requirements represent an undue burden on small entities, those </w:t>
      </w:r>
      <w:r w:rsidRPr="00460AEA" w:rsidR="0087027C">
        <w:rPr>
          <w:rFonts w:ascii="Times New Roman" w:eastAsia="Times New Roman" w:hAnsi="Times New Roman"/>
          <w:sz w:val="26"/>
          <w:szCs w:val="26"/>
        </w:rPr>
        <w:t>entities may</w:t>
      </w:r>
      <w:r w:rsidRPr="00460AEA">
        <w:rPr>
          <w:rFonts w:ascii="Times New Roman" w:eastAsia="Times New Roman" w:hAnsi="Times New Roman"/>
          <w:sz w:val="26"/>
          <w:szCs w:val="26"/>
        </w:rPr>
        <w:t xml:space="preserve"> seek a waiver of the filing requirements from the Commission.  However, the Commission believes the information collected through these forms represents the minimum necessary to conduct meaningful oversight of jurisdictional entities while imposing the least possible burden on respondents.  </w:t>
      </w:r>
    </w:p>
    <w:p w:rsidR="00460AEA" w:rsidRPr="0073506C" w:rsidP="00BD0F89" w14:paraId="5DBAA19C" w14:textId="77777777">
      <w:pPr>
        <w:spacing w:after="0" w:line="240" w:lineRule="auto"/>
        <w:rPr>
          <w:rFonts w:ascii="Times New Roman" w:eastAsia="Times New Roman" w:hAnsi="Times New Roman"/>
          <w:sz w:val="26"/>
          <w:szCs w:val="26"/>
        </w:rPr>
      </w:pPr>
    </w:p>
    <w:p w:rsidR="00F0627E" w:rsidRPr="0073506C" w:rsidP="00BD0F89" w14:paraId="26442DFE"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CONSEQUENCE TO FEDERAL PROGRAM IF COLLECTION WERE CONDUCTED LESS FREQUENTLY</w:t>
      </w:r>
    </w:p>
    <w:p w:rsidR="00F0627E" w:rsidRPr="0073506C" w:rsidP="00BD0F89" w14:paraId="20A53002" w14:textId="77777777">
      <w:pPr>
        <w:spacing w:after="0" w:line="240" w:lineRule="auto"/>
        <w:rPr>
          <w:rFonts w:ascii="Times New Roman" w:hAnsi="Times New Roman"/>
          <w:sz w:val="26"/>
          <w:szCs w:val="26"/>
        </w:rPr>
      </w:pPr>
    </w:p>
    <w:p w:rsidR="0047619A" w:rsidRPr="0047619A" w:rsidP="0047619A" w14:paraId="2425DAD5" w14:textId="3290354A">
      <w:pPr>
        <w:spacing w:after="0" w:line="240" w:lineRule="auto"/>
        <w:rPr>
          <w:rFonts w:ascii="Times New Roman" w:hAnsi="Times New Roman"/>
          <w:bCs/>
          <w:sz w:val="26"/>
          <w:szCs w:val="26"/>
        </w:rPr>
      </w:pPr>
      <w:r w:rsidRPr="0047619A">
        <w:rPr>
          <w:rFonts w:ascii="Times New Roman" w:hAnsi="Times New Roman"/>
          <w:bCs/>
          <w:sz w:val="26"/>
          <w:szCs w:val="26"/>
        </w:rPr>
        <w:t xml:space="preserve">The existing FERC Form </w:t>
      </w:r>
      <w:r w:rsidR="00A65545">
        <w:rPr>
          <w:rFonts w:ascii="Times New Roman" w:hAnsi="Times New Roman"/>
          <w:bCs/>
          <w:sz w:val="26"/>
          <w:szCs w:val="26"/>
        </w:rPr>
        <w:t xml:space="preserve">No. </w:t>
      </w:r>
      <w:r w:rsidR="00563835">
        <w:rPr>
          <w:rFonts w:ascii="Times New Roman" w:hAnsi="Times New Roman"/>
          <w:bCs/>
          <w:sz w:val="26"/>
          <w:szCs w:val="26"/>
        </w:rPr>
        <w:t>6</w:t>
      </w:r>
      <w:r w:rsidRPr="0047619A">
        <w:rPr>
          <w:rFonts w:ascii="Times New Roman" w:hAnsi="Times New Roman"/>
          <w:bCs/>
          <w:sz w:val="26"/>
          <w:szCs w:val="26"/>
        </w:rPr>
        <w:t xml:space="preserve"> </w:t>
      </w:r>
      <w:r w:rsidR="00563835">
        <w:rPr>
          <w:rFonts w:ascii="Times New Roman" w:hAnsi="Times New Roman"/>
          <w:bCs/>
          <w:sz w:val="26"/>
          <w:szCs w:val="26"/>
        </w:rPr>
        <w:t>is</w:t>
      </w:r>
      <w:r w:rsidRPr="0047619A">
        <w:rPr>
          <w:rFonts w:ascii="Times New Roman" w:hAnsi="Times New Roman"/>
          <w:bCs/>
          <w:sz w:val="26"/>
          <w:szCs w:val="26"/>
        </w:rPr>
        <w:t xml:space="preserve"> required by the Commission to be submitted annually.  Annual reporting is consistent with reporting to the companies' own management, the Internal Revenue Service, and state and other Federal agencies' requirements.  FERC Form No. </w:t>
      </w:r>
      <w:r w:rsidR="00563835">
        <w:rPr>
          <w:rFonts w:ascii="Times New Roman" w:hAnsi="Times New Roman"/>
          <w:bCs/>
          <w:sz w:val="26"/>
          <w:szCs w:val="26"/>
        </w:rPr>
        <w:t>6</w:t>
      </w:r>
      <w:r w:rsidRPr="0047619A">
        <w:rPr>
          <w:rFonts w:ascii="Times New Roman" w:hAnsi="Times New Roman"/>
          <w:bCs/>
          <w:sz w:val="26"/>
          <w:szCs w:val="26"/>
        </w:rPr>
        <w:t xml:space="preserve">-Q filings provide quarterly updates to supplement FERC Form </w:t>
      </w:r>
      <w:r w:rsidR="00A65545">
        <w:rPr>
          <w:rFonts w:ascii="Times New Roman" w:hAnsi="Times New Roman"/>
          <w:bCs/>
          <w:sz w:val="26"/>
          <w:szCs w:val="26"/>
        </w:rPr>
        <w:t xml:space="preserve">No. </w:t>
      </w:r>
      <w:r w:rsidR="00F00BEC">
        <w:rPr>
          <w:rFonts w:ascii="Times New Roman" w:hAnsi="Times New Roman"/>
          <w:bCs/>
          <w:sz w:val="26"/>
          <w:szCs w:val="26"/>
        </w:rPr>
        <w:t>6.</w:t>
      </w:r>
      <w:r w:rsidRPr="0047619A">
        <w:rPr>
          <w:rFonts w:ascii="Times New Roman" w:hAnsi="Times New Roman"/>
          <w:bCs/>
          <w:sz w:val="26"/>
          <w:szCs w:val="26"/>
        </w:rPr>
        <w:t xml:space="preserve">  This quarterly information provides the Commission and the public with updated and timely information regarding a company’s financial and operational status.  </w:t>
      </w:r>
    </w:p>
    <w:p w:rsidR="0047619A" w:rsidRPr="0047619A" w:rsidP="0047619A" w14:paraId="5B48EB9A" w14:textId="77777777">
      <w:pPr>
        <w:spacing w:after="0" w:line="240" w:lineRule="auto"/>
        <w:rPr>
          <w:rFonts w:ascii="Times New Roman" w:hAnsi="Times New Roman"/>
          <w:bCs/>
          <w:sz w:val="26"/>
          <w:szCs w:val="26"/>
        </w:rPr>
      </w:pPr>
    </w:p>
    <w:p w:rsidR="0047619A" w:rsidRPr="0047619A" w:rsidP="0047619A" w14:paraId="17836510" w14:textId="227F39C9">
      <w:pPr>
        <w:spacing w:after="0" w:line="240" w:lineRule="auto"/>
        <w:rPr>
          <w:rFonts w:ascii="Times New Roman" w:hAnsi="Times New Roman"/>
          <w:bCs/>
          <w:sz w:val="26"/>
          <w:szCs w:val="26"/>
        </w:rPr>
      </w:pPr>
      <w:r w:rsidRPr="0047619A">
        <w:rPr>
          <w:rFonts w:ascii="Times New Roman" w:hAnsi="Times New Roman"/>
          <w:bCs/>
          <w:sz w:val="26"/>
          <w:szCs w:val="26"/>
        </w:rPr>
        <w:t>Some of the information in particular filings may change markedly from one year to the next.  Less frequent information collection would impede the Commission’s timely and accurate performance of mandated review and oversight responsibilities</w:t>
      </w:r>
      <w:r w:rsidR="006C75D6">
        <w:rPr>
          <w:rFonts w:ascii="Times New Roman" w:hAnsi="Times New Roman"/>
          <w:bCs/>
          <w:sz w:val="26"/>
          <w:szCs w:val="26"/>
        </w:rPr>
        <w:t xml:space="preserve">, as </w:t>
      </w:r>
      <w:r w:rsidR="001160D1">
        <w:rPr>
          <w:rFonts w:ascii="Times New Roman" w:hAnsi="Times New Roman"/>
          <w:bCs/>
          <w:sz w:val="26"/>
          <w:szCs w:val="26"/>
        </w:rPr>
        <w:t>described</w:t>
      </w:r>
      <w:r w:rsidR="006C75D6">
        <w:rPr>
          <w:rFonts w:ascii="Times New Roman" w:hAnsi="Times New Roman"/>
          <w:bCs/>
          <w:sz w:val="26"/>
          <w:szCs w:val="26"/>
        </w:rPr>
        <w:t xml:space="preserve"> above</w:t>
      </w:r>
      <w:r w:rsidRPr="0047619A">
        <w:rPr>
          <w:rFonts w:ascii="Times New Roman" w:hAnsi="Times New Roman"/>
          <w:bCs/>
          <w:sz w:val="26"/>
          <w:szCs w:val="26"/>
        </w:rPr>
        <w:t xml:space="preserve">.  </w:t>
      </w:r>
    </w:p>
    <w:p w:rsidR="00F0627E" w:rsidRPr="0073506C" w:rsidP="00BD0F89" w14:paraId="3319550E" w14:textId="77777777">
      <w:pPr>
        <w:spacing w:after="0" w:line="240" w:lineRule="auto"/>
        <w:rPr>
          <w:rFonts w:ascii="Times New Roman" w:hAnsi="Times New Roman"/>
          <w:sz w:val="26"/>
          <w:szCs w:val="26"/>
        </w:rPr>
      </w:pPr>
    </w:p>
    <w:p w:rsidR="00F0627E" w:rsidRPr="0073506C" w:rsidP="00BD0F89" w14:paraId="6DE0BCE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SPECIAL CIRCUMSTANCES RELATING TO THE INFORMATION COLLECTION</w:t>
      </w:r>
    </w:p>
    <w:p w:rsidR="00F0627E" w:rsidRPr="00FB4D45" w:rsidP="00BD0F89" w14:paraId="61BC8479" w14:textId="77777777">
      <w:pPr>
        <w:spacing w:after="0" w:line="240" w:lineRule="auto"/>
        <w:rPr>
          <w:rFonts w:ascii="Times New Roman" w:hAnsi="Times New Roman"/>
          <w:b/>
          <w:bCs/>
          <w:sz w:val="26"/>
          <w:szCs w:val="26"/>
        </w:rPr>
      </w:pPr>
    </w:p>
    <w:p w:rsidR="00F0627E" w:rsidRPr="0073506C" w14:paraId="1832EE9A" w14:textId="36FC2C34">
      <w:pPr>
        <w:spacing w:after="0" w:line="240" w:lineRule="auto"/>
        <w:rPr>
          <w:rFonts w:ascii="Times New Roman" w:hAnsi="Times New Roman"/>
          <w:sz w:val="26"/>
          <w:szCs w:val="26"/>
        </w:rPr>
      </w:pPr>
      <w:r w:rsidRPr="0073506C">
        <w:rPr>
          <w:rFonts w:ascii="Times New Roman" w:hAnsi="Times New Roman"/>
          <w:sz w:val="26"/>
          <w:szCs w:val="26"/>
        </w:rPr>
        <w:t>There are no special circumstances related to th</w:t>
      </w:r>
      <w:r w:rsidRPr="0073506C" w:rsidR="00EC66AC">
        <w:rPr>
          <w:rFonts w:ascii="Times New Roman" w:hAnsi="Times New Roman"/>
          <w:sz w:val="26"/>
          <w:szCs w:val="26"/>
        </w:rPr>
        <w:t>ese</w:t>
      </w:r>
      <w:r w:rsidRPr="0073506C">
        <w:rPr>
          <w:rFonts w:ascii="Times New Roman" w:hAnsi="Times New Roman"/>
          <w:sz w:val="26"/>
          <w:szCs w:val="26"/>
        </w:rPr>
        <w:t xml:space="preserve"> information collection</w:t>
      </w:r>
      <w:r w:rsidRPr="0073506C" w:rsidR="00EC66AC">
        <w:rPr>
          <w:rFonts w:ascii="Times New Roman" w:hAnsi="Times New Roman"/>
          <w:sz w:val="26"/>
          <w:szCs w:val="26"/>
        </w:rPr>
        <w:t>s</w:t>
      </w:r>
      <w:r w:rsidRPr="0073506C">
        <w:rPr>
          <w:rFonts w:ascii="Times New Roman" w:hAnsi="Times New Roman"/>
          <w:sz w:val="26"/>
          <w:szCs w:val="26"/>
        </w:rPr>
        <w:t>.</w:t>
      </w:r>
    </w:p>
    <w:p w:rsidR="00517EC0" w:rsidRPr="0073506C" w:rsidP="00BD0F89" w14:paraId="74F838D9" w14:textId="77777777">
      <w:pPr>
        <w:spacing w:after="0" w:line="240" w:lineRule="auto"/>
        <w:ind w:left="360" w:hanging="360"/>
        <w:rPr>
          <w:rFonts w:ascii="Times New Roman" w:hAnsi="Times New Roman"/>
          <w:sz w:val="26"/>
          <w:szCs w:val="26"/>
        </w:rPr>
      </w:pPr>
    </w:p>
    <w:p w:rsidR="00F0627E" w:rsidRPr="0073506C" w:rsidP="00BD0F89" w14:paraId="75DA9249"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CONSULT OUTSIDE THE AGENCY: SUMMARIZE PUBLIC COMMENTS AND THE AGENCY’S RESPONSE</w:t>
      </w:r>
    </w:p>
    <w:p w:rsidR="00F0627E" w:rsidRPr="0073506C" w:rsidP="00BD0F89" w14:paraId="5D2AE01F" w14:textId="77777777">
      <w:pPr>
        <w:spacing w:after="0" w:line="240" w:lineRule="auto"/>
        <w:rPr>
          <w:rFonts w:ascii="Times New Roman" w:hAnsi="Times New Roman"/>
          <w:sz w:val="26"/>
          <w:szCs w:val="26"/>
        </w:rPr>
      </w:pPr>
    </w:p>
    <w:p w:rsidR="001E611C" w:rsidP="00BD0F89" w14:paraId="7F671141" w14:textId="61592009">
      <w:pPr>
        <w:pStyle w:val="ListParagraph"/>
        <w:spacing w:after="0" w:line="240" w:lineRule="auto"/>
        <w:ind w:left="0"/>
        <w:rPr>
          <w:rFonts w:ascii="Times New Roman" w:hAnsi="Times New Roman"/>
          <w:sz w:val="26"/>
          <w:szCs w:val="26"/>
        </w:rPr>
      </w:pPr>
      <w:r w:rsidRPr="001E611C">
        <w:rPr>
          <w:rFonts w:ascii="Times New Roman" w:hAnsi="Times New Roman"/>
          <w:sz w:val="26"/>
          <w:szCs w:val="26"/>
        </w:rPr>
        <w:t xml:space="preserve">The </w:t>
      </w:r>
      <w:r w:rsidR="00373F0D">
        <w:rPr>
          <w:rFonts w:ascii="Times New Roman" w:hAnsi="Times New Roman"/>
          <w:sz w:val="26"/>
          <w:szCs w:val="26"/>
        </w:rPr>
        <w:t>C</w:t>
      </w:r>
      <w:r w:rsidRPr="001E611C">
        <w:rPr>
          <w:rFonts w:ascii="Times New Roman" w:hAnsi="Times New Roman"/>
          <w:sz w:val="26"/>
          <w:szCs w:val="26"/>
        </w:rPr>
        <w:t>ommission published a Notice of Proposed Rulemaking in the Federal Register to solicit comments on these proposed changes.</w:t>
      </w:r>
      <w:r>
        <w:rPr>
          <w:rFonts w:ascii="Times New Roman" w:hAnsi="Times New Roman"/>
          <w:sz w:val="26"/>
          <w:szCs w:val="26"/>
          <w:vertAlign w:val="superscript"/>
        </w:rPr>
        <w:footnoteReference w:id="8"/>
      </w:r>
    </w:p>
    <w:p w:rsidR="009C451A" w:rsidRPr="0073506C" w:rsidP="00BD0F89" w14:paraId="1F5BA73E" w14:textId="3320764C">
      <w:pPr>
        <w:pStyle w:val="ListParagraph"/>
        <w:spacing w:after="0" w:line="240" w:lineRule="auto"/>
        <w:ind w:left="0"/>
        <w:rPr>
          <w:rFonts w:ascii="Times New Roman" w:hAnsi="Times New Roman"/>
          <w:b/>
          <w:sz w:val="26"/>
          <w:szCs w:val="26"/>
        </w:rPr>
      </w:pPr>
      <w:r>
        <w:rPr>
          <w:rFonts w:ascii="Times New Roman" w:hAnsi="Times New Roman"/>
          <w:sz w:val="26"/>
          <w:szCs w:val="26"/>
        </w:rPr>
        <w:tab/>
      </w:r>
    </w:p>
    <w:p w:rsidR="00F0627E" w:rsidRPr="0073506C" w:rsidP="00BD0F89" w14:paraId="1A2BC3F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PAYMENT OR GIFTS TO RESPONDENTS</w:t>
      </w:r>
    </w:p>
    <w:p w:rsidR="00F0627E" w:rsidRPr="0073506C" w:rsidP="00BD0F89" w14:paraId="1C0A081E" w14:textId="77777777">
      <w:pPr>
        <w:spacing w:after="0" w:line="240" w:lineRule="auto"/>
        <w:rPr>
          <w:rFonts w:ascii="Times New Roman" w:hAnsi="Times New Roman"/>
          <w:sz w:val="26"/>
          <w:szCs w:val="26"/>
        </w:rPr>
      </w:pPr>
    </w:p>
    <w:p w:rsidR="00F0627E" w:rsidRPr="0073506C" w14:paraId="47E62683" w14:textId="1B78BE97">
      <w:pPr>
        <w:spacing w:after="0" w:line="240" w:lineRule="auto"/>
        <w:rPr>
          <w:rFonts w:ascii="Times New Roman" w:hAnsi="Times New Roman"/>
          <w:sz w:val="26"/>
          <w:szCs w:val="26"/>
        </w:rPr>
      </w:pPr>
      <w:r w:rsidRPr="00872C51">
        <w:rPr>
          <w:rFonts w:ascii="Times New Roman" w:hAnsi="Times New Roman"/>
          <w:sz w:val="26"/>
          <w:szCs w:val="26"/>
        </w:rPr>
        <w:t>The Commission does not mak</w:t>
      </w:r>
      <w:r>
        <w:rPr>
          <w:rFonts w:ascii="Times New Roman" w:hAnsi="Times New Roman"/>
          <w:sz w:val="26"/>
          <w:szCs w:val="26"/>
        </w:rPr>
        <w:t>e</w:t>
      </w:r>
      <w:r w:rsidR="008E3C4F">
        <w:rPr>
          <w:rFonts w:ascii="Times New Roman" w:hAnsi="Times New Roman"/>
          <w:sz w:val="26"/>
          <w:szCs w:val="26"/>
        </w:rPr>
        <w:t xml:space="preserve"> </w:t>
      </w:r>
      <w:r w:rsidRPr="0073506C">
        <w:rPr>
          <w:rFonts w:ascii="Times New Roman" w:hAnsi="Times New Roman"/>
          <w:sz w:val="26"/>
          <w:szCs w:val="26"/>
        </w:rPr>
        <w:t>payments or gifts to respondents</w:t>
      </w:r>
      <w:r>
        <w:rPr>
          <w:rFonts w:ascii="Times New Roman" w:hAnsi="Times New Roman"/>
          <w:sz w:val="26"/>
          <w:szCs w:val="26"/>
        </w:rPr>
        <w:t xml:space="preserve"> </w:t>
      </w:r>
      <w:r w:rsidRPr="00872C51">
        <w:rPr>
          <w:rFonts w:ascii="Times New Roman" w:hAnsi="Times New Roman"/>
          <w:sz w:val="26"/>
          <w:szCs w:val="26"/>
        </w:rPr>
        <w:t>related to these collections</w:t>
      </w:r>
      <w:r w:rsidRPr="0073506C">
        <w:rPr>
          <w:rFonts w:ascii="Times New Roman" w:hAnsi="Times New Roman"/>
          <w:sz w:val="26"/>
          <w:szCs w:val="26"/>
        </w:rPr>
        <w:t>.</w:t>
      </w:r>
    </w:p>
    <w:p w:rsidR="00F0627E" w:rsidRPr="0073506C" w:rsidP="00BD0F89" w14:paraId="63605198" w14:textId="77777777">
      <w:pPr>
        <w:spacing w:after="0" w:line="240" w:lineRule="auto"/>
        <w:rPr>
          <w:rFonts w:ascii="Times New Roman" w:hAnsi="Times New Roman"/>
          <w:sz w:val="26"/>
          <w:szCs w:val="26"/>
        </w:rPr>
      </w:pPr>
    </w:p>
    <w:p w:rsidR="00F0627E" w:rsidRPr="0073506C" w:rsidP="00BD0F89" w14:paraId="0127248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ASSURANCE OF CONFIDENTIALITY PROVIDED TO RESPONDENTS</w:t>
      </w:r>
    </w:p>
    <w:p w:rsidR="00F0627E" w:rsidRPr="0073506C" w:rsidP="00BD0F89" w14:paraId="55B18053" w14:textId="77777777">
      <w:pPr>
        <w:spacing w:after="0" w:line="240" w:lineRule="auto"/>
        <w:rPr>
          <w:rFonts w:ascii="Times New Roman" w:hAnsi="Times New Roman"/>
          <w:sz w:val="26"/>
          <w:szCs w:val="26"/>
        </w:rPr>
      </w:pPr>
    </w:p>
    <w:p w:rsidR="00F0627E" w:rsidRPr="0073506C" w14:paraId="1594C0DB" w14:textId="332EF667">
      <w:pPr>
        <w:spacing w:after="0" w:line="240" w:lineRule="auto"/>
        <w:rPr>
          <w:rFonts w:ascii="Times New Roman" w:hAnsi="Times New Roman"/>
          <w:sz w:val="26"/>
          <w:szCs w:val="26"/>
        </w:rPr>
      </w:pPr>
      <w:r w:rsidRPr="0073506C">
        <w:rPr>
          <w:rFonts w:ascii="Times New Roman" w:hAnsi="Times New Roman"/>
          <w:sz w:val="26"/>
          <w:szCs w:val="26"/>
        </w:rPr>
        <w:t xml:space="preserve">The information collected in </w:t>
      </w:r>
      <w:r w:rsidR="003633BE">
        <w:rPr>
          <w:rFonts w:ascii="Times New Roman" w:hAnsi="Times New Roman"/>
          <w:sz w:val="26"/>
          <w:szCs w:val="26"/>
        </w:rPr>
        <w:t xml:space="preserve">FERC Form </w:t>
      </w:r>
      <w:r w:rsidR="00CE172D">
        <w:rPr>
          <w:rFonts w:ascii="Times New Roman" w:hAnsi="Times New Roman"/>
          <w:sz w:val="26"/>
          <w:szCs w:val="26"/>
        </w:rPr>
        <w:t xml:space="preserve">No. </w:t>
      </w:r>
      <w:r w:rsidR="00FC196C">
        <w:rPr>
          <w:rFonts w:ascii="Times New Roman" w:hAnsi="Times New Roman"/>
          <w:sz w:val="26"/>
          <w:szCs w:val="26"/>
        </w:rPr>
        <w:t>6</w:t>
      </w:r>
      <w:r w:rsidR="003633BE">
        <w:rPr>
          <w:rFonts w:ascii="Times New Roman" w:hAnsi="Times New Roman"/>
          <w:sz w:val="26"/>
          <w:szCs w:val="26"/>
        </w:rPr>
        <w:t>-Q is publicly available</w:t>
      </w:r>
      <w:r w:rsidR="00D7226B">
        <w:rPr>
          <w:rFonts w:ascii="Times New Roman" w:hAnsi="Times New Roman"/>
          <w:sz w:val="26"/>
          <w:szCs w:val="26"/>
        </w:rPr>
        <w:t xml:space="preserve"> at </w:t>
      </w:r>
      <w:r w:rsidRPr="0008748E" w:rsidR="0008748E">
        <w:rPr>
          <w:rFonts w:ascii="Times New Roman" w:hAnsi="Times New Roman"/>
          <w:sz w:val="26"/>
          <w:szCs w:val="26"/>
        </w:rPr>
        <w:t>https://ecollection.ferc.gov/</w:t>
      </w:r>
      <w:r w:rsidRPr="0073506C">
        <w:rPr>
          <w:rFonts w:ascii="Times New Roman" w:hAnsi="Times New Roman"/>
          <w:sz w:val="26"/>
          <w:szCs w:val="26"/>
        </w:rPr>
        <w:t>.  However, the Commission will consider specific requests for confidential treatment (e.g.</w:t>
      </w:r>
      <w:r w:rsidR="00FA7EDE">
        <w:rPr>
          <w:rFonts w:ascii="Times New Roman" w:hAnsi="Times New Roman"/>
          <w:sz w:val="26"/>
          <w:szCs w:val="26"/>
        </w:rPr>
        <w:t>,</w:t>
      </w:r>
      <w:r w:rsidRPr="0073506C">
        <w:rPr>
          <w:rFonts w:ascii="Times New Roman" w:hAnsi="Times New Roman"/>
          <w:sz w:val="26"/>
          <w:szCs w:val="26"/>
        </w:rPr>
        <w:t xml:space="preserve"> Critical </w:t>
      </w:r>
      <w:r w:rsidRPr="0073506C" w:rsidR="00084A7F">
        <w:rPr>
          <w:rFonts w:ascii="Times New Roman" w:hAnsi="Times New Roman"/>
          <w:sz w:val="26"/>
          <w:szCs w:val="26"/>
        </w:rPr>
        <w:t>Energy/Electric</w:t>
      </w:r>
      <w:r w:rsidRPr="0073506C">
        <w:rPr>
          <w:rFonts w:ascii="Times New Roman" w:hAnsi="Times New Roman"/>
          <w:sz w:val="26"/>
          <w:szCs w:val="26"/>
        </w:rPr>
        <w:t xml:space="preserve"> Infrastructure Information [CEII] or non-public) to the extent permitted by law.</w:t>
      </w:r>
      <w:r>
        <w:rPr>
          <w:rFonts w:ascii="Times New Roman" w:hAnsi="Times New Roman"/>
          <w:b/>
          <w:sz w:val="26"/>
          <w:szCs w:val="26"/>
          <w:vertAlign w:val="superscript"/>
        </w:rPr>
        <w:footnoteReference w:id="9"/>
      </w:r>
      <w:r w:rsidRPr="0073506C">
        <w:rPr>
          <w:rFonts w:ascii="Times New Roman" w:hAnsi="Times New Roman"/>
          <w:sz w:val="26"/>
          <w:szCs w:val="26"/>
        </w:rPr>
        <w:t xml:space="preserve">  The Commission will review each request for confidential treatment on a case-by-case basis.</w:t>
      </w:r>
      <w:r w:rsidRPr="0073506C" w:rsidR="00084A7F">
        <w:rPr>
          <w:rFonts w:ascii="Times New Roman" w:hAnsi="Times New Roman"/>
          <w:sz w:val="26"/>
          <w:szCs w:val="26"/>
        </w:rPr>
        <w:t xml:space="preserve"> </w:t>
      </w:r>
    </w:p>
    <w:p w:rsidR="00F0627E" w:rsidRPr="0073506C" w:rsidP="00BD0F89" w14:paraId="06B74231" w14:textId="77777777">
      <w:pPr>
        <w:spacing w:after="0" w:line="240" w:lineRule="auto"/>
        <w:rPr>
          <w:rFonts w:ascii="Times New Roman" w:hAnsi="Times New Roman"/>
          <w:sz w:val="26"/>
          <w:szCs w:val="26"/>
        </w:rPr>
      </w:pPr>
    </w:p>
    <w:p w:rsidR="00F0627E" w:rsidRPr="0073506C" w:rsidP="00BD0F89" w14:paraId="3F7300D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rsidR="00F0627E" w:rsidRPr="0073506C" w:rsidP="00BD0F89" w14:paraId="39F4AE19" w14:textId="77777777">
      <w:pPr>
        <w:spacing w:after="0" w:line="240" w:lineRule="auto"/>
        <w:rPr>
          <w:rFonts w:ascii="Times New Roman" w:hAnsi="Times New Roman"/>
          <w:sz w:val="26"/>
          <w:szCs w:val="26"/>
        </w:rPr>
      </w:pPr>
    </w:p>
    <w:p w:rsidR="009E73C6" w:rsidRPr="009E73C6" w:rsidP="009E73C6" w14:paraId="0EA84BAB" w14:textId="77777777">
      <w:pPr>
        <w:spacing w:after="0" w:line="240" w:lineRule="auto"/>
        <w:rPr>
          <w:rFonts w:ascii="Times New Roman" w:hAnsi="Times New Roman"/>
          <w:sz w:val="26"/>
          <w:szCs w:val="26"/>
        </w:rPr>
      </w:pPr>
      <w:r w:rsidRPr="009E73C6">
        <w:rPr>
          <w:rFonts w:ascii="Times New Roman" w:hAnsi="Times New Roman"/>
          <w:sz w:val="26"/>
          <w:szCs w:val="26"/>
        </w:rPr>
        <w:t xml:space="preserve">The </w:t>
      </w:r>
      <w:r w:rsidRPr="009E73C6" w:rsidR="00FE35A9">
        <w:rPr>
          <w:rFonts w:ascii="Times New Roman" w:hAnsi="Times New Roman"/>
          <w:sz w:val="26"/>
          <w:szCs w:val="26"/>
        </w:rPr>
        <w:t>forms do not contain</w:t>
      </w:r>
      <w:r w:rsidRPr="009E73C6">
        <w:rPr>
          <w:rFonts w:ascii="Times New Roman" w:hAnsi="Times New Roman"/>
          <w:sz w:val="26"/>
          <w:szCs w:val="26"/>
        </w:rPr>
        <w:t xml:space="preserve"> questions of a sensitive nature.</w:t>
      </w:r>
    </w:p>
    <w:p w:rsidR="009E73C6" w:rsidRPr="009E73C6" w:rsidP="009E73C6" w14:paraId="696B8EC6" w14:textId="77777777">
      <w:pPr>
        <w:pStyle w:val="ListParagraph"/>
        <w:rPr>
          <w:rFonts w:ascii="Times New Roman" w:hAnsi="Times New Roman"/>
          <w:sz w:val="26"/>
          <w:szCs w:val="26"/>
        </w:rPr>
      </w:pPr>
    </w:p>
    <w:p w:rsidR="00F0627E" w:rsidRPr="0073506C" w:rsidP="00BD0F89" w14:paraId="21A98BF8" w14:textId="3FFAAC14">
      <w:pPr>
        <w:pStyle w:val="ListParagraph"/>
        <w:numPr>
          <w:ilvl w:val="0"/>
          <w:numId w:val="14"/>
        </w:numPr>
        <w:spacing w:after="0" w:line="240" w:lineRule="auto"/>
        <w:rPr>
          <w:rFonts w:ascii="Times New Roman" w:hAnsi="Times New Roman"/>
          <w:sz w:val="26"/>
          <w:szCs w:val="26"/>
        </w:rPr>
      </w:pPr>
      <w:r w:rsidRPr="0073506C">
        <w:rPr>
          <w:rFonts w:ascii="Times New Roman" w:hAnsi="Times New Roman"/>
          <w:sz w:val="26"/>
          <w:szCs w:val="26"/>
        </w:rPr>
        <w:t xml:space="preserve"> </w:t>
      </w:r>
      <w:r w:rsidRPr="0073506C">
        <w:rPr>
          <w:rFonts w:ascii="Times New Roman" w:hAnsi="Times New Roman"/>
          <w:b/>
          <w:sz w:val="26"/>
          <w:szCs w:val="26"/>
        </w:rPr>
        <w:t>ESTIMATED BURDEN OF COLLECTION OF INFORMATION</w:t>
      </w:r>
    </w:p>
    <w:p w:rsidR="00AD2C01" w:rsidRPr="0073506C" w:rsidP="00BD0F89" w14:paraId="006B7021" w14:textId="77777777">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00AB5F37" w14:paraId="4C962CF6" w14:textId="2BAF8DEF">
      <w:pPr>
        <w:spacing w:after="0" w:line="240" w:lineRule="auto"/>
        <w:rPr>
          <w:rFonts w:ascii="Times New Roman" w:hAnsi="Times New Roman"/>
          <w:sz w:val="26"/>
          <w:szCs w:val="26"/>
        </w:rPr>
      </w:pPr>
      <w:r w:rsidRPr="004E18AF">
        <w:rPr>
          <w:rFonts w:ascii="Times New Roman" w:hAnsi="Times New Roman"/>
          <w:sz w:val="26"/>
          <w:szCs w:val="26"/>
        </w:rPr>
        <w:t>This proposed rule would reduce the number of required schedules that need to be completed by oil pipeline companies by removing 3 of 11</w:t>
      </w:r>
      <w:r w:rsidR="00BA7D85">
        <w:rPr>
          <w:rFonts w:ascii="Times New Roman" w:hAnsi="Times New Roman"/>
          <w:sz w:val="26"/>
          <w:szCs w:val="26"/>
        </w:rPr>
        <w:t xml:space="preserve"> </w:t>
      </w:r>
      <w:r w:rsidRPr="004E18AF">
        <w:rPr>
          <w:rFonts w:ascii="Times New Roman" w:hAnsi="Times New Roman"/>
          <w:sz w:val="26"/>
          <w:szCs w:val="26"/>
        </w:rPr>
        <w:t xml:space="preserve">schedules with an estimated 27% reduction in burden per respondent.  It would also </w:t>
      </w:r>
      <w:r w:rsidR="00BF4DF6">
        <w:rPr>
          <w:rFonts w:ascii="Times New Roman" w:hAnsi="Times New Roman"/>
          <w:sz w:val="26"/>
          <w:szCs w:val="26"/>
        </w:rPr>
        <w:t xml:space="preserve">clarify that </w:t>
      </w:r>
      <w:r w:rsidRPr="004E18AF">
        <w:rPr>
          <w:rFonts w:ascii="Times New Roman" w:hAnsi="Times New Roman"/>
          <w:sz w:val="26"/>
          <w:szCs w:val="26"/>
        </w:rPr>
        <w:t xml:space="preserve">oil pipelines with annual jurisdictional operating revenues below $500,000 </w:t>
      </w:r>
      <w:r w:rsidR="00BF4DF6">
        <w:rPr>
          <w:rFonts w:ascii="Times New Roman" w:hAnsi="Times New Roman"/>
          <w:sz w:val="26"/>
          <w:szCs w:val="26"/>
        </w:rPr>
        <w:t xml:space="preserve">are exempt </w:t>
      </w:r>
      <w:r w:rsidRPr="004E18AF">
        <w:rPr>
          <w:rFonts w:ascii="Times New Roman" w:hAnsi="Times New Roman"/>
          <w:sz w:val="26"/>
          <w:szCs w:val="26"/>
        </w:rPr>
        <w:t>from filing the quarterly form, which the Commission estimates would decrease the number of respondents by 7.</w:t>
      </w:r>
    </w:p>
    <w:p w:rsidR="00CC626C" w14:paraId="4FEC489F" w14:textId="77777777">
      <w:pPr>
        <w:spacing w:after="0" w:line="240" w:lineRule="auto"/>
        <w:rPr>
          <w:rFonts w:ascii="Times New Roman" w:hAnsi="Times New Roman"/>
          <w:sz w:val="26"/>
          <w:szCs w:val="26"/>
        </w:rPr>
      </w:pPr>
    </w:p>
    <w:tbl>
      <w:tblPr>
        <w:tblW w:w="93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342"/>
        <w:gridCol w:w="1530"/>
        <w:gridCol w:w="1440"/>
        <w:gridCol w:w="1170"/>
        <w:gridCol w:w="1170"/>
        <w:gridCol w:w="1665"/>
        <w:gridCol w:w="1067"/>
      </w:tblGrid>
      <w:tr w14:paraId="2B34F0AD" w14:textId="77777777" w:rsidTr="008778BF">
        <w:tblPrEx>
          <w:tblW w:w="93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342" w:type="dxa"/>
            <w:tcBorders>
              <w:top w:val="single" w:sz="6" w:space="0" w:color="auto"/>
              <w:left w:val="single" w:sz="6" w:space="0" w:color="auto"/>
              <w:bottom w:val="nil"/>
              <w:right w:val="single" w:sz="6" w:space="0" w:color="auto"/>
            </w:tcBorders>
            <w:shd w:val="clear" w:color="auto" w:fill="D9D9D9"/>
            <w:hideMark/>
          </w:tcPr>
          <w:p w:rsidR="008778BF" w:rsidRPr="008778BF" w:rsidP="008778BF" w14:paraId="2671EE30" w14:textId="77777777">
            <w:pPr>
              <w:spacing w:after="0" w:line="240" w:lineRule="auto"/>
              <w:rPr>
                <w:rFonts w:ascii="Times New Roman" w:hAnsi="Times New Roman"/>
                <w:sz w:val="26"/>
                <w:szCs w:val="26"/>
              </w:rPr>
            </w:pPr>
            <w:r w:rsidRPr="008778BF">
              <w:rPr>
                <w:rFonts w:ascii="Times New Roman" w:hAnsi="Times New Roman"/>
                <w:sz w:val="26"/>
                <w:szCs w:val="26"/>
              </w:rPr>
              <w:t> </w:t>
            </w:r>
          </w:p>
        </w:tc>
        <w:tc>
          <w:tcPr>
            <w:tcW w:w="1530" w:type="dxa"/>
            <w:tcBorders>
              <w:top w:val="single" w:sz="6" w:space="0" w:color="auto"/>
              <w:left w:val="single" w:sz="6" w:space="0" w:color="auto"/>
              <w:bottom w:val="nil"/>
              <w:right w:val="single" w:sz="6" w:space="0" w:color="auto"/>
            </w:tcBorders>
            <w:shd w:val="clear" w:color="auto" w:fill="D9D9D9"/>
            <w:hideMark/>
          </w:tcPr>
          <w:p w:rsidR="008778BF" w:rsidRPr="008778BF" w:rsidP="008778BF" w14:paraId="7BCB767C" w14:textId="77777777">
            <w:pPr>
              <w:spacing w:after="0" w:line="240" w:lineRule="auto"/>
              <w:rPr>
                <w:rFonts w:ascii="Times New Roman" w:hAnsi="Times New Roman"/>
                <w:sz w:val="26"/>
                <w:szCs w:val="26"/>
              </w:rPr>
            </w:pPr>
            <w:r w:rsidRPr="008778BF">
              <w:rPr>
                <w:rFonts w:ascii="Times New Roman" w:hAnsi="Times New Roman"/>
                <w:b/>
                <w:bCs/>
                <w:sz w:val="26"/>
                <w:szCs w:val="26"/>
              </w:rPr>
              <w:t>Number of respondents</w:t>
            </w:r>
            <w:r w:rsidRPr="008778BF">
              <w:rPr>
                <w:rFonts w:ascii="Times New Roman" w:hAnsi="Times New Roman"/>
                <w:sz w:val="26"/>
                <w:szCs w:val="26"/>
              </w:rPr>
              <w:t> </w:t>
            </w:r>
          </w:p>
        </w:tc>
        <w:tc>
          <w:tcPr>
            <w:tcW w:w="1440" w:type="dxa"/>
            <w:tcBorders>
              <w:top w:val="single" w:sz="6" w:space="0" w:color="auto"/>
              <w:left w:val="single" w:sz="6" w:space="0" w:color="auto"/>
              <w:bottom w:val="nil"/>
              <w:right w:val="single" w:sz="6" w:space="0" w:color="auto"/>
            </w:tcBorders>
            <w:shd w:val="clear" w:color="auto" w:fill="D9D9D9"/>
            <w:hideMark/>
          </w:tcPr>
          <w:p w:rsidR="008778BF" w:rsidRPr="008778BF" w:rsidP="008778BF" w14:paraId="478D6516" w14:textId="77777777">
            <w:pPr>
              <w:spacing w:after="0" w:line="240" w:lineRule="auto"/>
              <w:rPr>
                <w:rFonts w:ascii="Times New Roman" w:hAnsi="Times New Roman"/>
                <w:sz w:val="26"/>
                <w:szCs w:val="26"/>
              </w:rPr>
            </w:pPr>
            <w:r w:rsidRPr="008778BF">
              <w:rPr>
                <w:rFonts w:ascii="Times New Roman" w:hAnsi="Times New Roman"/>
                <w:b/>
                <w:bCs/>
                <w:sz w:val="26"/>
                <w:szCs w:val="26"/>
              </w:rPr>
              <w:t>Annual number of responses per respondent</w:t>
            </w:r>
            <w:r w:rsidRPr="008778BF">
              <w:rPr>
                <w:rFonts w:ascii="Times New Roman" w:hAnsi="Times New Roman"/>
                <w:sz w:val="26"/>
                <w:szCs w:val="26"/>
              </w:rPr>
              <w:t> </w:t>
            </w:r>
          </w:p>
        </w:tc>
        <w:tc>
          <w:tcPr>
            <w:tcW w:w="1170" w:type="dxa"/>
            <w:tcBorders>
              <w:top w:val="single" w:sz="6" w:space="0" w:color="auto"/>
              <w:left w:val="single" w:sz="6" w:space="0" w:color="auto"/>
              <w:bottom w:val="nil"/>
              <w:right w:val="single" w:sz="6" w:space="0" w:color="auto"/>
            </w:tcBorders>
            <w:shd w:val="clear" w:color="auto" w:fill="D9D9D9"/>
            <w:hideMark/>
          </w:tcPr>
          <w:p w:rsidR="008778BF" w:rsidRPr="008778BF" w:rsidP="008778BF" w14:paraId="166BE884" w14:textId="77777777">
            <w:pPr>
              <w:spacing w:after="0" w:line="240" w:lineRule="auto"/>
              <w:rPr>
                <w:rFonts w:ascii="Times New Roman" w:hAnsi="Times New Roman"/>
                <w:sz w:val="26"/>
                <w:szCs w:val="26"/>
              </w:rPr>
            </w:pPr>
            <w:r w:rsidRPr="008778BF">
              <w:rPr>
                <w:rFonts w:ascii="Times New Roman" w:hAnsi="Times New Roman"/>
                <w:b/>
                <w:bCs/>
                <w:sz w:val="26"/>
                <w:szCs w:val="26"/>
              </w:rPr>
              <w:t>Total number of responses</w:t>
            </w:r>
            <w:r w:rsidRPr="008778BF">
              <w:rPr>
                <w:rFonts w:ascii="Times New Roman" w:hAnsi="Times New Roman"/>
                <w:sz w:val="26"/>
                <w:szCs w:val="26"/>
              </w:rPr>
              <w:t> </w:t>
            </w:r>
          </w:p>
        </w:tc>
        <w:tc>
          <w:tcPr>
            <w:tcW w:w="1170" w:type="dxa"/>
            <w:tcBorders>
              <w:top w:val="single" w:sz="6" w:space="0" w:color="auto"/>
              <w:left w:val="single" w:sz="6" w:space="0" w:color="auto"/>
              <w:bottom w:val="nil"/>
              <w:right w:val="single" w:sz="6" w:space="0" w:color="auto"/>
            </w:tcBorders>
            <w:shd w:val="clear" w:color="auto" w:fill="D9D9D9"/>
            <w:hideMark/>
          </w:tcPr>
          <w:p w:rsidR="008778BF" w:rsidRPr="008778BF" w:rsidP="008778BF" w14:paraId="44C3DC88" w14:textId="77777777">
            <w:pPr>
              <w:spacing w:after="0" w:line="240" w:lineRule="auto"/>
              <w:rPr>
                <w:rFonts w:ascii="Times New Roman" w:hAnsi="Times New Roman"/>
                <w:sz w:val="26"/>
                <w:szCs w:val="26"/>
              </w:rPr>
            </w:pPr>
            <w:r w:rsidRPr="008778BF">
              <w:rPr>
                <w:rFonts w:ascii="Times New Roman" w:hAnsi="Times New Roman"/>
                <w:b/>
                <w:bCs/>
                <w:sz w:val="26"/>
                <w:szCs w:val="26"/>
              </w:rPr>
              <w:t>Average </w:t>
            </w:r>
            <w:r w:rsidRPr="008778BF">
              <w:rPr>
                <w:rFonts w:ascii="Times New Roman" w:hAnsi="Times New Roman"/>
                <w:b/>
                <w:bCs/>
                <w:sz w:val="26"/>
                <w:szCs w:val="26"/>
              </w:rPr>
              <w:t>burden</w:t>
            </w:r>
            <w:r w:rsidRPr="008778BF">
              <w:rPr>
                <w:rFonts w:ascii="Times New Roman" w:hAnsi="Times New Roman"/>
                <w:b/>
                <w:bCs/>
                <w:sz w:val="26"/>
                <w:szCs w:val="26"/>
              </w:rPr>
              <w:t> hr. per response</w:t>
            </w:r>
            <w:r w:rsidRPr="008778BF">
              <w:rPr>
                <w:rFonts w:ascii="Times New Roman" w:hAnsi="Times New Roman"/>
                <w:sz w:val="26"/>
                <w:szCs w:val="26"/>
              </w:rPr>
              <w:t> </w:t>
            </w:r>
          </w:p>
        </w:tc>
        <w:tc>
          <w:tcPr>
            <w:tcW w:w="1665" w:type="dxa"/>
            <w:tcBorders>
              <w:top w:val="single" w:sz="6" w:space="0" w:color="auto"/>
              <w:left w:val="single" w:sz="6" w:space="0" w:color="auto"/>
              <w:bottom w:val="nil"/>
              <w:right w:val="single" w:sz="6" w:space="0" w:color="auto"/>
            </w:tcBorders>
            <w:shd w:val="clear" w:color="auto" w:fill="D9D9D9"/>
            <w:hideMark/>
          </w:tcPr>
          <w:p w:rsidR="008778BF" w:rsidRPr="008778BF" w:rsidP="008778BF" w14:paraId="28F0194F" w14:textId="77777777">
            <w:pPr>
              <w:spacing w:after="0" w:line="240" w:lineRule="auto"/>
              <w:rPr>
                <w:rFonts w:ascii="Times New Roman" w:hAnsi="Times New Roman"/>
                <w:sz w:val="26"/>
                <w:szCs w:val="26"/>
              </w:rPr>
            </w:pPr>
            <w:r w:rsidRPr="008778BF">
              <w:rPr>
                <w:rFonts w:ascii="Times New Roman" w:hAnsi="Times New Roman"/>
                <w:b/>
                <w:bCs/>
                <w:sz w:val="26"/>
                <w:szCs w:val="26"/>
              </w:rPr>
              <w:t>Total annual burden hours &amp; total annual cost</w:t>
            </w:r>
            <w:r w:rsidRPr="008778BF">
              <w:rPr>
                <w:rFonts w:ascii="Times New Roman" w:hAnsi="Times New Roman"/>
                <w:sz w:val="26"/>
                <w:szCs w:val="26"/>
              </w:rPr>
              <w:t> </w:t>
            </w:r>
          </w:p>
        </w:tc>
        <w:tc>
          <w:tcPr>
            <w:tcW w:w="1067" w:type="dxa"/>
            <w:tcBorders>
              <w:top w:val="single" w:sz="6" w:space="0" w:color="auto"/>
              <w:left w:val="single" w:sz="6" w:space="0" w:color="auto"/>
              <w:bottom w:val="nil"/>
              <w:right w:val="single" w:sz="6" w:space="0" w:color="auto"/>
            </w:tcBorders>
            <w:shd w:val="clear" w:color="auto" w:fill="D9D9D9"/>
            <w:hideMark/>
          </w:tcPr>
          <w:p w:rsidR="008778BF" w:rsidRPr="008778BF" w:rsidP="008778BF" w14:paraId="1E07C59E" w14:textId="77777777">
            <w:pPr>
              <w:spacing w:after="0" w:line="240" w:lineRule="auto"/>
              <w:rPr>
                <w:rFonts w:ascii="Times New Roman" w:hAnsi="Times New Roman"/>
                <w:sz w:val="26"/>
                <w:szCs w:val="26"/>
              </w:rPr>
            </w:pPr>
            <w:r w:rsidRPr="008778BF">
              <w:rPr>
                <w:rFonts w:ascii="Times New Roman" w:hAnsi="Times New Roman"/>
                <w:b/>
                <w:bCs/>
                <w:sz w:val="26"/>
                <w:szCs w:val="26"/>
              </w:rPr>
              <w:t>Annual costs per respondent ($)</w:t>
            </w:r>
            <w:r w:rsidRPr="008778BF">
              <w:rPr>
                <w:rFonts w:ascii="Times New Roman" w:hAnsi="Times New Roman"/>
                <w:sz w:val="26"/>
                <w:szCs w:val="26"/>
              </w:rPr>
              <w:t> </w:t>
            </w:r>
          </w:p>
        </w:tc>
      </w:tr>
      <w:tr w14:paraId="540D392F" w14:textId="77777777" w:rsidTr="008778BF">
        <w:tblPrEx>
          <w:tblW w:w="9384" w:type="dxa"/>
          <w:tblLayout w:type="fixed"/>
          <w:tblCellMar>
            <w:left w:w="0" w:type="dxa"/>
            <w:right w:w="0" w:type="dxa"/>
          </w:tblCellMar>
          <w:tblLook w:val="04A0"/>
        </w:tblPrEx>
        <w:trPr>
          <w:trHeight w:val="300"/>
        </w:trPr>
        <w:tc>
          <w:tcPr>
            <w:tcW w:w="1342" w:type="dxa"/>
            <w:tcBorders>
              <w:top w:val="nil"/>
              <w:left w:val="single" w:sz="6" w:space="0" w:color="auto"/>
              <w:bottom w:val="single" w:sz="6" w:space="0" w:color="auto"/>
              <w:right w:val="single" w:sz="6" w:space="0" w:color="auto"/>
            </w:tcBorders>
            <w:shd w:val="clear" w:color="auto" w:fill="D9D9D9"/>
            <w:hideMark/>
          </w:tcPr>
          <w:p w:rsidR="008778BF" w:rsidRPr="008778BF" w:rsidP="008778BF" w14:paraId="2901F21E" w14:textId="77777777">
            <w:pPr>
              <w:spacing w:after="0" w:line="240" w:lineRule="auto"/>
              <w:rPr>
                <w:rFonts w:ascii="Times New Roman" w:hAnsi="Times New Roman"/>
                <w:sz w:val="26"/>
                <w:szCs w:val="26"/>
              </w:rPr>
            </w:pPr>
            <w:r w:rsidRPr="008778BF">
              <w:rPr>
                <w:rFonts w:ascii="Times New Roman" w:hAnsi="Times New Roman"/>
                <w:sz w:val="26"/>
                <w:szCs w:val="26"/>
              </w:rPr>
              <w:t> </w:t>
            </w:r>
          </w:p>
        </w:tc>
        <w:tc>
          <w:tcPr>
            <w:tcW w:w="1530" w:type="dxa"/>
            <w:tcBorders>
              <w:top w:val="nil"/>
              <w:left w:val="single" w:sz="6" w:space="0" w:color="auto"/>
              <w:bottom w:val="single" w:sz="6" w:space="0" w:color="auto"/>
              <w:right w:val="single" w:sz="6" w:space="0" w:color="auto"/>
            </w:tcBorders>
            <w:shd w:val="clear" w:color="auto" w:fill="D9D9D9"/>
            <w:hideMark/>
          </w:tcPr>
          <w:p w:rsidR="008778BF" w:rsidRPr="008778BF" w:rsidP="008778BF" w14:paraId="4AB2377F" w14:textId="77777777">
            <w:pPr>
              <w:spacing w:after="0" w:line="240" w:lineRule="auto"/>
              <w:rPr>
                <w:rFonts w:ascii="Times New Roman" w:hAnsi="Times New Roman"/>
                <w:sz w:val="26"/>
                <w:szCs w:val="26"/>
              </w:rPr>
            </w:pPr>
            <w:r w:rsidRPr="008778BF">
              <w:rPr>
                <w:rFonts w:ascii="Times New Roman" w:hAnsi="Times New Roman"/>
                <w:b/>
                <w:bCs/>
                <w:sz w:val="26"/>
                <w:szCs w:val="26"/>
              </w:rPr>
              <w:t>(1)</w:t>
            </w:r>
            <w:r w:rsidRPr="008778BF">
              <w:rPr>
                <w:rFonts w:ascii="Times New Roman" w:hAnsi="Times New Roman"/>
                <w:sz w:val="26"/>
                <w:szCs w:val="26"/>
              </w:rPr>
              <w:t> </w:t>
            </w:r>
          </w:p>
        </w:tc>
        <w:tc>
          <w:tcPr>
            <w:tcW w:w="1440" w:type="dxa"/>
            <w:tcBorders>
              <w:top w:val="nil"/>
              <w:left w:val="single" w:sz="6" w:space="0" w:color="auto"/>
              <w:bottom w:val="single" w:sz="6" w:space="0" w:color="auto"/>
              <w:right w:val="single" w:sz="6" w:space="0" w:color="auto"/>
            </w:tcBorders>
            <w:shd w:val="clear" w:color="auto" w:fill="D9D9D9"/>
            <w:hideMark/>
          </w:tcPr>
          <w:p w:rsidR="008778BF" w:rsidRPr="008778BF" w:rsidP="008778BF" w14:paraId="3207F1BB" w14:textId="77777777">
            <w:pPr>
              <w:spacing w:after="0" w:line="240" w:lineRule="auto"/>
              <w:rPr>
                <w:rFonts w:ascii="Times New Roman" w:hAnsi="Times New Roman"/>
                <w:sz w:val="26"/>
                <w:szCs w:val="26"/>
              </w:rPr>
            </w:pPr>
            <w:r w:rsidRPr="008778BF">
              <w:rPr>
                <w:rFonts w:ascii="Times New Roman" w:hAnsi="Times New Roman"/>
                <w:b/>
                <w:bCs/>
                <w:sz w:val="26"/>
                <w:szCs w:val="26"/>
              </w:rPr>
              <w:t>(2)</w:t>
            </w:r>
            <w:r w:rsidRPr="008778BF">
              <w:rPr>
                <w:rFonts w:ascii="Times New Roman" w:hAnsi="Times New Roman"/>
                <w:sz w:val="26"/>
                <w:szCs w:val="26"/>
              </w:rPr>
              <w:t> </w:t>
            </w:r>
          </w:p>
        </w:tc>
        <w:tc>
          <w:tcPr>
            <w:tcW w:w="1170" w:type="dxa"/>
            <w:tcBorders>
              <w:top w:val="nil"/>
              <w:left w:val="single" w:sz="6" w:space="0" w:color="auto"/>
              <w:bottom w:val="single" w:sz="6" w:space="0" w:color="auto"/>
              <w:right w:val="single" w:sz="6" w:space="0" w:color="auto"/>
            </w:tcBorders>
            <w:shd w:val="clear" w:color="auto" w:fill="D9D9D9"/>
            <w:hideMark/>
          </w:tcPr>
          <w:p w:rsidR="008778BF" w:rsidRPr="008778BF" w:rsidP="008778BF" w14:paraId="75D170AA" w14:textId="77777777">
            <w:pPr>
              <w:spacing w:after="0" w:line="240" w:lineRule="auto"/>
              <w:rPr>
                <w:rFonts w:ascii="Times New Roman" w:hAnsi="Times New Roman"/>
                <w:sz w:val="26"/>
                <w:szCs w:val="26"/>
              </w:rPr>
            </w:pPr>
            <w:r w:rsidRPr="008778BF">
              <w:rPr>
                <w:rFonts w:ascii="Times New Roman" w:hAnsi="Times New Roman"/>
                <w:b/>
                <w:bCs/>
                <w:sz w:val="26"/>
                <w:szCs w:val="26"/>
              </w:rPr>
              <w:t>(1) * (2) = (3)</w:t>
            </w:r>
            <w:r w:rsidRPr="008778BF">
              <w:rPr>
                <w:rFonts w:ascii="Times New Roman" w:hAnsi="Times New Roman"/>
                <w:sz w:val="26"/>
                <w:szCs w:val="26"/>
              </w:rPr>
              <w:t> </w:t>
            </w:r>
          </w:p>
        </w:tc>
        <w:tc>
          <w:tcPr>
            <w:tcW w:w="1170" w:type="dxa"/>
            <w:tcBorders>
              <w:top w:val="nil"/>
              <w:left w:val="single" w:sz="6" w:space="0" w:color="auto"/>
              <w:bottom w:val="single" w:sz="6" w:space="0" w:color="auto"/>
              <w:right w:val="single" w:sz="6" w:space="0" w:color="auto"/>
            </w:tcBorders>
            <w:shd w:val="clear" w:color="auto" w:fill="D9D9D9"/>
            <w:hideMark/>
          </w:tcPr>
          <w:p w:rsidR="008778BF" w:rsidRPr="008778BF" w:rsidP="008778BF" w14:paraId="7EDC32E0" w14:textId="77777777">
            <w:pPr>
              <w:spacing w:after="0" w:line="240" w:lineRule="auto"/>
              <w:rPr>
                <w:rFonts w:ascii="Times New Roman" w:hAnsi="Times New Roman"/>
                <w:sz w:val="26"/>
                <w:szCs w:val="26"/>
              </w:rPr>
            </w:pPr>
            <w:r w:rsidRPr="008778BF">
              <w:rPr>
                <w:rFonts w:ascii="Times New Roman" w:hAnsi="Times New Roman"/>
                <w:b/>
                <w:bCs/>
                <w:sz w:val="26"/>
                <w:szCs w:val="26"/>
              </w:rPr>
              <w:t>(4)</w:t>
            </w:r>
            <w:r w:rsidRPr="008778BF">
              <w:rPr>
                <w:rFonts w:ascii="Times New Roman" w:hAnsi="Times New Roman"/>
                <w:sz w:val="26"/>
                <w:szCs w:val="26"/>
              </w:rPr>
              <w:t> </w:t>
            </w:r>
          </w:p>
        </w:tc>
        <w:tc>
          <w:tcPr>
            <w:tcW w:w="1665" w:type="dxa"/>
            <w:tcBorders>
              <w:top w:val="nil"/>
              <w:left w:val="single" w:sz="6" w:space="0" w:color="auto"/>
              <w:bottom w:val="single" w:sz="6" w:space="0" w:color="auto"/>
              <w:right w:val="single" w:sz="6" w:space="0" w:color="auto"/>
            </w:tcBorders>
            <w:shd w:val="clear" w:color="auto" w:fill="D9D9D9"/>
            <w:hideMark/>
          </w:tcPr>
          <w:p w:rsidR="008778BF" w:rsidRPr="008778BF" w:rsidP="008778BF" w14:paraId="6098A4CC" w14:textId="77777777">
            <w:pPr>
              <w:spacing w:after="0" w:line="240" w:lineRule="auto"/>
              <w:rPr>
                <w:rFonts w:ascii="Times New Roman" w:hAnsi="Times New Roman"/>
                <w:sz w:val="26"/>
                <w:szCs w:val="26"/>
              </w:rPr>
            </w:pPr>
            <w:r w:rsidRPr="008778BF">
              <w:rPr>
                <w:rFonts w:ascii="Times New Roman" w:hAnsi="Times New Roman"/>
                <w:b/>
                <w:bCs/>
                <w:sz w:val="26"/>
                <w:szCs w:val="26"/>
              </w:rPr>
              <w:t>(3) * (4) = (5)</w:t>
            </w:r>
            <w:r w:rsidRPr="008778BF">
              <w:rPr>
                <w:rFonts w:ascii="Times New Roman" w:hAnsi="Times New Roman"/>
                <w:sz w:val="26"/>
                <w:szCs w:val="26"/>
              </w:rPr>
              <w:t> </w:t>
            </w:r>
          </w:p>
        </w:tc>
        <w:tc>
          <w:tcPr>
            <w:tcW w:w="1067" w:type="dxa"/>
            <w:tcBorders>
              <w:top w:val="nil"/>
              <w:left w:val="single" w:sz="6" w:space="0" w:color="auto"/>
              <w:bottom w:val="single" w:sz="6" w:space="0" w:color="auto"/>
              <w:right w:val="single" w:sz="6" w:space="0" w:color="auto"/>
            </w:tcBorders>
            <w:shd w:val="clear" w:color="auto" w:fill="D9D9D9"/>
            <w:hideMark/>
          </w:tcPr>
          <w:p w:rsidR="008778BF" w:rsidRPr="008778BF" w:rsidP="008778BF" w14:paraId="5AF715D3" w14:textId="77777777">
            <w:pPr>
              <w:spacing w:after="0" w:line="240" w:lineRule="auto"/>
              <w:rPr>
                <w:rFonts w:ascii="Times New Roman" w:hAnsi="Times New Roman"/>
                <w:sz w:val="26"/>
                <w:szCs w:val="26"/>
              </w:rPr>
            </w:pPr>
            <w:r w:rsidRPr="008778BF">
              <w:rPr>
                <w:rFonts w:ascii="Times New Roman" w:hAnsi="Times New Roman"/>
                <w:b/>
                <w:bCs/>
                <w:sz w:val="26"/>
                <w:szCs w:val="26"/>
              </w:rPr>
              <w:t>(5)</w:t>
            </w:r>
            <w:r w:rsidRPr="008778BF">
              <w:rPr>
                <w:rFonts w:ascii="Times New Roman" w:hAnsi="Times New Roman"/>
                <w:b/>
                <w:bCs/>
                <w:sz w:val="26"/>
                <w:szCs w:val="26"/>
              </w:rPr>
              <w:t>/(</w:t>
            </w:r>
            <w:r w:rsidRPr="008778BF">
              <w:rPr>
                <w:rFonts w:ascii="Times New Roman" w:hAnsi="Times New Roman"/>
                <w:b/>
                <w:bCs/>
                <w:sz w:val="26"/>
                <w:szCs w:val="26"/>
              </w:rPr>
              <w:t>1) = (6)</w:t>
            </w:r>
            <w:r w:rsidRPr="008778BF">
              <w:rPr>
                <w:rFonts w:ascii="Times New Roman" w:hAnsi="Times New Roman"/>
                <w:sz w:val="26"/>
                <w:szCs w:val="26"/>
              </w:rPr>
              <w:t> </w:t>
            </w:r>
          </w:p>
        </w:tc>
      </w:tr>
      <w:tr w14:paraId="3FDD6B1D" w14:textId="77777777" w:rsidTr="008778BF">
        <w:tblPrEx>
          <w:tblW w:w="9384" w:type="dxa"/>
          <w:tblLayout w:type="fixed"/>
          <w:tblCellMar>
            <w:left w:w="0" w:type="dxa"/>
            <w:right w:w="0" w:type="dxa"/>
          </w:tblCellMar>
          <w:tblLook w:val="04A0"/>
        </w:tblPrEx>
        <w:trPr>
          <w:trHeight w:val="300"/>
        </w:trPr>
        <w:tc>
          <w:tcPr>
            <w:tcW w:w="1342" w:type="dxa"/>
            <w:tcBorders>
              <w:top w:val="single" w:sz="6" w:space="0" w:color="auto"/>
              <w:left w:val="single" w:sz="6" w:space="0" w:color="auto"/>
              <w:bottom w:val="single" w:sz="6" w:space="0" w:color="auto"/>
              <w:right w:val="single" w:sz="6" w:space="0" w:color="auto"/>
            </w:tcBorders>
            <w:vAlign w:val="center"/>
            <w:hideMark/>
          </w:tcPr>
          <w:p w:rsidR="008778BF" w:rsidRPr="008778BF" w:rsidP="008778BF" w14:paraId="1A57B1BE" w14:textId="77777777">
            <w:pPr>
              <w:spacing w:after="0" w:line="240" w:lineRule="auto"/>
              <w:rPr>
                <w:rFonts w:ascii="Times New Roman" w:hAnsi="Times New Roman"/>
                <w:sz w:val="26"/>
                <w:szCs w:val="26"/>
              </w:rPr>
            </w:pPr>
            <w:r w:rsidRPr="008778BF">
              <w:rPr>
                <w:rFonts w:ascii="Times New Roman" w:hAnsi="Times New Roman"/>
                <w:sz w:val="26"/>
                <w:szCs w:val="26"/>
              </w:rPr>
              <w:t>Form</w:t>
            </w:r>
            <w:r w:rsidRPr="008778BF">
              <w:rPr>
                <w:rFonts w:ascii="Times New Roman" w:hAnsi="Times New Roman"/>
                <w:sz w:val="26"/>
                <w:szCs w:val="26"/>
              </w:rPr>
              <w:t xml:space="preserve"> 6-Q </w:t>
            </w:r>
          </w:p>
        </w:tc>
        <w:tc>
          <w:tcPr>
            <w:tcW w:w="1530" w:type="dxa"/>
            <w:tcBorders>
              <w:top w:val="single" w:sz="6" w:space="0" w:color="auto"/>
              <w:left w:val="single" w:sz="6" w:space="0" w:color="auto"/>
              <w:bottom w:val="single" w:sz="6" w:space="0" w:color="auto"/>
              <w:right w:val="single" w:sz="6" w:space="0" w:color="auto"/>
            </w:tcBorders>
            <w:vAlign w:val="bottom"/>
            <w:hideMark/>
          </w:tcPr>
          <w:p w:rsidR="008778BF" w:rsidRPr="008778BF" w:rsidP="008778BF" w14:paraId="314A8E8E" w14:textId="77777777">
            <w:pPr>
              <w:spacing w:after="0" w:line="240" w:lineRule="auto"/>
              <w:rPr>
                <w:rFonts w:ascii="Times New Roman" w:hAnsi="Times New Roman"/>
                <w:sz w:val="26"/>
                <w:szCs w:val="26"/>
              </w:rPr>
            </w:pPr>
            <w:r w:rsidRPr="008778BF">
              <w:rPr>
                <w:rFonts w:ascii="Times New Roman" w:hAnsi="Times New Roman"/>
                <w:sz w:val="26"/>
                <w:szCs w:val="26"/>
              </w:rPr>
              <w:t>240 </w:t>
            </w:r>
          </w:p>
        </w:tc>
        <w:tc>
          <w:tcPr>
            <w:tcW w:w="1440" w:type="dxa"/>
            <w:tcBorders>
              <w:top w:val="single" w:sz="6" w:space="0" w:color="auto"/>
              <w:left w:val="single" w:sz="6" w:space="0" w:color="auto"/>
              <w:bottom w:val="single" w:sz="6" w:space="0" w:color="auto"/>
              <w:right w:val="single" w:sz="6" w:space="0" w:color="auto"/>
            </w:tcBorders>
            <w:vAlign w:val="bottom"/>
            <w:hideMark/>
          </w:tcPr>
          <w:p w:rsidR="008778BF" w:rsidRPr="008778BF" w:rsidP="008778BF" w14:paraId="144BB0D6" w14:textId="77777777">
            <w:pPr>
              <w:spacing w:after="0" w:line="240" w:lineRule="auto"/>
              <w:rPr>
                <w:rFonts w:ascii="Times New Roman" w:hAnsi="Times New Roman"/>
                <w:sz w:val="26"/>
                <w:szCs w:val="26"/>
              </w:rPr>
            </w:pPr>
            <w:r w:rsidRPr="008778BF">
              <w:rPr>
                <w:rFonts w:ascii="Times New Roman" w:hAnsi="Times New Roman"/>
                <w:sz w:val="26"/>
                <w:szCs w:val="26"/>
              </w:rPr>
              <w:t>3 </w:t>
            </w:r>
          </w:p>
        </w:tc>
        <w:tc>
          <w:tcPr>
            <w:tcW w:w="1170" w:type="dxa"/>
            <w:tcBorders>
              <w:top w:val="single" w:sz="6" w:space="0" w:color="auto"/>
              <w:left w:val="single" w:sz="6" w:space="0" w:color="auto"/>
              <w:bottom w:val="single" w:sz="6" w:space="0" w:color="auto"/>
              <w:right w:val="single" w:sz="6" w:space="0" w:color="auto"/>
            </w:tcBorders>
            <w:vAlign w:val="bottom"/>
            <w:hideMark/>
          </w:tcPr>
          <w:p w:rsidR="008778BF" w:rsidRPr="008778BF" w:rsidP="008778BF" w14:paraId="36CBADA7" w14:textId="77777777">
            <w:pPr>
              <w:spacing w:after="0" w:line="240" w:lineRule="auto"/>
              <w:rPr>
                <w:rFonts w:ascii="Times New Roman" w:hAnsi="Times New Roman"/>
                <w:sz w:val="26"/>
                <w:szCs w:val="26"/>
              </w:rPr>
            </w:pPr>
            <w:r w:rsidRPr="008778BF">
              <w:rPr>
                <w:rFonts w:ascii="Times New Roman" w:hAnsi="Times New Roman"/>
                <w:sz w:val="26"/>
                <w:szCs w:val="26"/>
              </w:rPr>
              <w:t>720 </w:t>
            </w:r>
          </w:p>
        </w:tc>
        <w:tc>
          <w:tcPr>
            <w:tcW w:w="1170" w:type="dxa"/>
            <w:tcBorders>
              <w:top w:val="single" w:sz="6" w:space="0" w:color="auto"/>
              <w:left w:val="single" w:sz="6" w:space="0" w:color="auto"/>
              <w:bottom w:val="single" w:sz="6" w:space="0" w:color="auto"/>
              <w:right w:val="single" w:sz="6" w:space="0" w:color="auto"/>
            </w:tcBorders>
            <w:vAlign w:val="bottom"/>
            <w:hideMark/>
          </w:tcPr>
          <w:p w:rsidR="008778BF" w:rsidRPr="008778BF" w:rsidP="008778BF" w14:paraId="3ED1A414" w14:textId="77777777">
            <w:pPr>
              <w:spacing w:after="0" w:line="240" w:lineRule="auto"/>
              <w:rPr>
                <w:rFonts w:ascii="Times New Roman" w:hAnsi="Times New Roman"/>
                <w:sz w:val="26"/>
                <w:szCs w:val="26"/>
              </w:rPr>
            </w:pPr>
            <w:r w:rsidRPr="008778BF">
              <w:rPr>
                <w:rFonts w:ascii="Times New Roman" w:hAnsi="Times New Roman"/>
                <w:sz w:val="26"/>
                <w:szCs w:val="26"/>
              </w:rPr>
              <w:t>109 hrs.  </w:t>
            </w:r>
          </w:p>
          <w:p w:rsidR="008778BF" w:rsidRPr="008778BF" w:rsidP="008778BF" w14:paraId="0B9066E4" w14:textId="77777777">
            <w:pPr>
              <w:spacing w:after="0" w:line="240" w:lineRule="auto"/>
              <w:rPr>
                <w:rFonts w:ascii="Times New Roman" w:hAnsi="Times New Roman"/>
                <w:sz w:val="26"/>
                <w:szCs w:val="26"/>
              </w:rPr>
            </w:pPr>
            <w:r w:rsidRPr="008778BF">
              <w:rPr>
                <w:rFonts w:ascii="Times New Roman" w:hAnsi="Times New Roman"/>
                <w:sz w:val="26"/>
                <w:szCs w:val="26"/>
              </w:rPr>
              <w:t>$11,118 </w:t>
            </w:r>
          </w:p>
        </w:tc>
        <w:tc>
          <w:tcPr>
            <w:tcW w:w="1665" w:type="dxa"/>
            <w:tcBorders>
              <w:top w:val="single" w:sz="6" w:space="0" w:color="auto"/>
              <w:left w:val="single" w:sz="6" w:space="0" w:color="auto"/>
              <w:bottom w:val="single" w:sz="6" w:space="0" w:color="auto"/>
              <w:right w:val="single" w:sz="6" w:space="0" w:color="auto"/>
            </w:tcBorders>
            <w:vAlign w:val="bottom"/>
            <w:hideMark/>
          </w:tcPr>
          <w:p w:rsidR="008778BF" w:rsidRPr="008778BF" w:rsidP="008778BF" w14:paraId="3DC7E137" w14:textId="77777777">
            <w:pPr>
              <w:spacing w:after="0" w:line="240" w:lineRule="auto"/>
              <w:rPr>
                <w:rFonts w:ascii="Times New Roman" w:hAnsi="Times New Roman"/>
                <w:sz w:val="26"/>
                <w:szCs w:val="26"/>
              </w:rPr>
            </w:pPr>
            <w:r w:rsidRPr="008778BF">
              <w:rPr>
                <w:rFonts w:ascii="Times New Roman" w:hAnsi="Times New Roman"/>
                <w:sz w:val="26"/>
                <w:szCs w:val="26"/>
              </w:rPr>
              <w:t>78,480 hrs.  </w:t>
            </w:r>
          </w:p>
          <w:p w:rsidR="008778BF" w:rsidRPr="008778BF" w:rsidP="008778BF" w14:paraId="3817D126" w14:textId="77777777">
            <w:pPr>
              <w:spacing w:after="0" w:line="240" w:lineRule="auto"/>
              <w:rPr>
                <w:rFonts w:ascii="Times New Roman" w:hAnsi="Times New Roman"/>
                <w:sz w:val="26"/>
                <w:szCs w:val="26"/>
              </w:rPr>
            </w:pPr>
            <w:r w:rsidRPr="008778BF">
              <w:rPr>
                <w:rFonts w:ascii="Times New Roman" w:hAnsi="Times New Roman"/>
                <w:sz w:val="26"/>
                <w:szCs w:val="26"/>
              </w:rPr>
              <w:t>$8,004,960 </w:t>
            </w:r>
          </w:p>
        </w:tc>
        <w:tc>
          <w:tcPr>
            <w:tcW w:w="1067" w:type="dxa"/>
            <w:tcBorders>
              <w:top w:val="single" w:sz="6" w:space="0" w:color="auto"/>
              <w:left w:val="single" w:sz="6" w:space="0" w:color="auto"/>
              <w:bottom w:val="single" w:sz="6" w:space="0" w:color="auto"/>
              <w:right w:val="single" w:sz="6" w:space="0" w:color="auto"/>
            </w:tcBorders>
            <w:vAlign w:val="bottom"/>
            <w:hideMark/>
          </w:tcPr>
          <w:p w:rsidR="008778BF" w:rsidRPr="008778BF" w:rsidP="008778BF" w14:paraId="04BF744D" w14:textId="77777777">
            <w:pPr>
              <w:spacing w:after="0" w:line="240" w:lineRule="auto"/>
              <w:rPr>
                <w:rFonts w:ascii="Times New Roman" w:hAnsi="Times New Roman"/>
                <w:sz w:val="26"/>
                <w:szCs w:val="26"/>
              </w:rPr>
            </w:pPr>
            <w:r w:rsidRPr="008778BF">
              <w:rPr>
                <w:rFonts w:ascii="Times New Roman" w:hAnsi="Times New Roman"/>
                <w:sz w:val="26"/>
                <w:szCs w:val="26"/>
              </w:rPr>
              <w:t>$33,354 </w:t>
            </w:r>
          </w:p>
        </w:tc>
      </w:tr>
      <w:tr w14:paraId="78B2F596" w14:textId="77777777" w:rsidTr="008778BF">
        <w:tblPrEx>
          <w:tblW w:w="9384" w:type="dxa"/>
          <w:tblLayout w:type="fixed"/>
          <w:tblCellMar>
            <w:left w:w="0" w:type="dxa"/>
            <w:right w:w="0" w:type="dxa"/>
          </w:tblCellMar>
          <w:tblLook w:val="04A0"/>
        </w:tblPrEx>
        <w:trPr>
          <w:trHeight w:val="300"/>
        </w:trPr>
        <w:tc>
          <w:tcPr>
            <w:tcW w:w="1342" w:type="dxa"/>
            <w:tcBorders>
              <w:top w:val="single" w:sz="6" w:space="0" w:color="auto"/>
              <w:left w:val="single" w:sz="6" w:space="0" w:color="auto"/>
              <w:bottom w:val="single" w:sz="6" w:space="0" w:color="auto"/>
              <w:right w:val="single" w:sz="6" w:space="0" w:color="auto"/>
            </w:tcBorders>
            <w:vAlign w:val="center"/>
            <w:hideMark/>
          </w:tcPr>
          <w:p w:rsidR="008778BF" w:rsidRPr="008778BF" w:rsidP="008778BF" w14:paraId="2C6319C5" w14:textId="77777777">
            <w:pPr>
              <w:spacing w:after="0" w:line="240" w:lineRule="auto"/>
              <w:rPr>
                <w:rFonts w:ascii="Times New Roman" w:hAnsi="Times New Roman"/>
                <w:sz w:val="26"/>
                <w:szCs w:val="26"/>
              </w:rPr>
            </w:pPr>
            <w:r w:rsidRPr="008778BF">
              <w:rPr>
                <w:rFonts w:ascii="Times New Roman" w:hAnsi="Times New Roman"/>
                <w:sz w:val="26"/>
                <w:szCs w:val="26"/>
              </w:rPr>
              <w:t>Total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8778BF" w:rsidRPr="008778BF" w:rsidP="008778BF" w14:paraId="70E0530F" w14:textId="77777777">
            <w:pPr>
              <w:spacing w:after="0" w:line="240" w:lineRule="auto"/>
              <w:rPr>
                <w:rFonts w:ascii="Times New Roman" w:hAnsi="Times New Roman"/>
                <w:sz w:val="26"/>
                <w:szCs w:val="26"/>
              </w:rPr>
            </w:pPr>
          </w:p>
        </w:tc>
        <w:tc>
          <w:tcPr>
            <w:tcW w:w="1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8778BF" w:rsidRPr="008778BF" w:rsidP="008778BF" w14:paraId="68DF6500" w14:textId="77777777">
            <w:pPr>
              <w:spacing w:after="0" w:line="240" w:lineRule="auto"/>
              <w:rPr>
                <w:rFonts w:ascii="Times New Roman" w:hAnsi="Times New Roman"/>
                <w:sz w:val="26"/>
                <w:szCs w:val="26"/>
              </w:rPr>
            </w:pPr>
          </w:p>
        </w:tc>
        <w:tc>
          <w:tcPr>
            <w:tcW w:w="1170" w:type="dxa"/>
            <w:tcBorders>
              <w:top w:val="single" w:sz="6" w:space="0" w:color="auto"/>
              <w:left w:val="single" w:sz="6" w:space="0" w:color="auto"/>
              <w:bottom w:val="single" w:sz="6" w:space="0" w:color="auto"/>
              <w:right w:val="single" w:sz="6" w:space="0" w:color="auto"/>
            </w:tcBorders>
            <w:vAlign w:val="center"/>
            <w:hideMark/>
          </w:tcPr>
          <w:p w:rsidR="008778BF" w:rsidRPr="008778BF" w:rsidP="008778BF" w14:paraId="5D32A942" w14:textId="77777777">
            <w:pPr>
              <w:spacing w:after="0" w:line="240" w:lineRule="auto"/>
              <w:rPr>
                <w:rFonts w:ascii="Times New Roman" w:hAnsi="Times New Roman"/>
                <w:sz w:val="26"/>
                <w:szCs w:val="26"/>
              </w:rPr>
            </w:pPr>
            <w:r w:rsidRPr="008778BF">
              <w:rPr>
                <w:rFonts w:ascii="Times New Roman" w:hAnsi="Times New Roman"/>
                <w:sz w:val="26"/>
                <w:szCs w:val="26"/>
              </w:rPr>
              <w:t>720</w:t>
            </w:r>
          </w:p>
        </w:tc>
        <w:tc>
          <w:tcPr>
            <w:tcW w:w="117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8778BF" w:rsidRPr="008778BF" w:rsidP="008778BF" w14:paraId="7B943745" w14:textId="77777777">
            <w:pPr>
              <w:spacing w:after="0" w:line="240" w:lineRule="auto"/>
              <w:rPr>
                <w:rFonts w:ascii="Times New Roman" w:hAnsi="Times New Roman"/>
                <w:sz w:val="26"/>
                <w:szCs w:val="26"/>
              </w:rPr>
            </w:pPr>
          </w:p>
        </w:tc>
        <w:tc>
          <w:tcPr>
            <w:tcW w:w="1665" w:type="dxa"/>
            <w:tcBorders>
              <w:top w:val="single" w:sz="6" w:space="0" w:color="auto"/>
              <w:left w:val="single" w:sz="6" w:space="0" w:color="auto"/>
              <w:bottom w:val="single" w:sz="6" w:space="0" w:color="auto"/>
              <w:right w:val="single" w:sz="6" w:space="0" w:color="auto"/>
            </w:tcBorders>
            <w:vAlign w:val="center"/>
            <w:hideMark/>
          </w:tcPr>
          <w:p w:rsidR="008778BF" w:rsidRPr="008778BF" w:rsidP="008778BF" w14:paraId="00193A4C" w14:textId="77777777">
            <w:pPr>
              <w:spacing w:after="0" w:line="240" w:lineRule="auto"/>
              <w:rPr>
                <w:rFonts w:ascii="Times New Roman" w:hAnsi="Times New Roman"/>
                <w:sz w:val="26"/>
                <w:szCs w:val="26"/>
              </w:rPr>
            </w:pPr>
            <w:r w:rsidRPr="008778BF">
              <w:rPr>
                <w:rFonts w:ascii="Times New Roman" w:hAnsi="Times New Roman"/>
                <w:sz w:val="26"/>
                <w:szCs w:val="26"/>
              </w:rPr>
              <w:t>78,480 hrs.  </w:t>
            </w:r>
          </w:p>
          <w:p w:rsidR="008778BF" w:rsidRPr="008778BF" w:rsidP="008778BF" w14:paraId="62DE1C32" w14:textId="77777777">
            <w:pPr>
              <w:spacing w:after="0" w:line="240" w:lineRule="auto"/>
              <w:rPr>
                <w:rFonts w:ascii="Times New Roman" w:hAnsi="Times New Roman"/>
                <w:sz w:val="26"/>
                <w:szCs w:val="26"/>
              </w:rPr>
            </w:pPr>
            <w:r w:rsidRPr="008778BF">
              <w:rPr>
                <w:rFonts w:ascii="Times New Roman" w:hAnsi="Times New Roman"/>
                <w:sz w:val="26"/>
                <w:szCs w:val="26"/>
              </w:rPr>
              <w:t>$8,004,960</w:t>
            </w:r>
          </w:p>
        </w:tc>
        <w:tc>
          <w:tcPr>
            <w:tcW w:w="1067"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8778BF" w:rsidRPr="008778BF" w:rsidP="008778BF" w14:paraId="7DEC98E8" w14:textId="77777777">
            <w:pPr>
              <w:spacing w:after="0" w:line="240" w:lineRule="auto"/>
              <w:rPr>
                <w:rFonts w:ascii="Times New Roman" w:hAnsi="Times New Roman"/>
                <w:sz w:val="26"/>
                <w:szCs w:val="26"/>
              </w:rPr>
            </w:pPr>
          </w:p>
        </w:tc>
      </w:tr>
    </w:tbl>
    <w:p w:rsidR="002E44FB" w:rsidRPr="0073506C" w:rsidP="00BD0F89" w14:paraId="138B7815" w14:textId="77777777">
      <w:pPr>
        <w:spacing w:after="0" w:line="240" w:lineRule="auto"/>
        <w:rPr>
          <w:rFonts w:ascii="Times New Roman" w:hAnsi="Times New Roman"/>
          <w:sz w:val="26"/>
          <w:szCs w:val="26"/>
        </w:rPr>
      </w:pPr>
    </w:p>
    <w:p w:rsidR="00974AFC" w:rsidRPr="0073506C" w:rsidP="00BD0F89" w14:paraId="09148C17" w14:textId="08E4CC5D">
      <w:pPr>
        <w:spacing w:after="0" w:line="240" w:lineRule="auto"/>
        <w:rPr>
          <w:rFonts w:ascii="Times New Roman" w:hAnsi="Times New Roman"/>
          <w:b/>
          <w:sz w:val="26"/>
          <w:szCs w:val="26"/>
        </w:rPr>
      </w:pPr>
      <w:r w:rsidRPr="0073506C">
        <w:rPr>
          <w:rFonts w:ascii="Times New Roman" w:hAnsi="Times New Roman"/>
          <w:b/>
          <w:sz w:val="26"/>
          <w:szCs w:val="26"/>
        </w:rPr>
        <w:t>13.</w:t>
      </w:r>
      <w:r w:rsidRPr="0073506C" w:rsidR="00BF3095">
        <w:rPr>
          <w:rFonts w:ascii="Times New Roman" w:hAnsi="Times New Roman"/>
          <w:b/>
          <w:sz w:val="26"/>
          <w:szCs w:val="26"/>
        </w:rPr>
        <w:t xml:space="preserve"> ESTIMATE OF THE TOTAL ANNUAL COST BURDEN TO </w:t>
      </w:r>
      <w:r w:rsidRPr="0073506C" w:rsidR="00F1537F">
        <w:rPr>
          <w:rFonts w:ascii="Times New Roman" w:hAnsi="Times New Roman"/>
          <w:b/>
          <w:sz w:val="26"/>
          <w:szCs w:val="26"/>
        </w:rPr>
        <w:t>RESPONDENTS</w:t>
      </w:r>
      <w:r w:rsidRPr="0073506C" w:rsidR="00BF3095">
        <w:rPr>
          <w:rFonts w:ascii="Times New Roman" w:hAnsi="Times New Roman"/>
          <w:b/>
          <w:sz w:val="26"/>
          <w:szCs w:val="26"/>
        </w:rPr>
        <w:t xml:space="preserve"> </w:t>
      </w:r>
    </w:p>
    <w:p w:rsidR="00974AFC" w:rsidRPr="0073506C" w:rsidP="00BD0F89" w14:paraId="744F03A0" w14:textId="77777777">
      <w:pPr>
        <w:spacing w:after="0" w:line="240" w:lineRule="auto"/>
        <w:rPr>
          <w:rFonts w:ascii="Times New Roman" w:hAnsi="Times New Roman"/>
          <w:sz w:val="26"/>
          <w:szCs w:val="26"/>
        </w:rPr>
      </w:pPr>
    </w:p>
    <w:p w:rsidR="00F0627E" w:rsidRPr="0073506C" w14:paraId="691BA5A9" w14:textId="0EF35816">
      <w:pPr>
        <w:spacing w:after="0" w:line="240" w:lineRule="auto"/>
        <w:rPr>
          <w:rFonts w:ascii="Times New Roman" w:hAnsi="Times New Roman"/>
          <w:sz w:val="26"/>
          <w:szCs w:val="26"/>
        </w:rPr>
      </w:pPr>
      <w:r w:rsidRPr="0073506C">
        <w:rPr>
          <w:rFonts w:ascii="Times New Roman" w:hAnsi="Times New Roman"/>
          <w:sz w:val="26"/>
          <w:szCs w:val="26"/>
        </w:rPr>
        <w:t xml:space="preserve">All costs are related to burden hours and are discussed in Questions 12 and 15. </w:t>
      </w:r>
      <w:r w:rsidR="00D04549">
        <w:rPr>
          <w:rFonts w:ascii="Times New Roman" w:hAnsi="Times New Roman"/>
          <w:sz w:val="26"/>
          <w:szCs w:val="26"/>
        </w:rPr>
        <w:t xml:space="preserve"> </w:t>
      </w:r>
      <w:r w:rsidRPr="0073506C">
        <w:rPr>
          <w:rFonts w:ascii="Times New Roman" w:hAnsi="Times New Roman"/>
          <w:sz w:val="26"/>
          <w:szCs w:val="26"/>
        </w:rPr>
        <w:t>There are no capital costs.</w:t>
      </w:r>
    </w:p>
    <w:p w:rsidR="005B4F28" w:rsidRPr="0073506C" w:rsidP="00BD0F89" w14:paraId="4A8C8E33" w14:textId="77777777">
      <w:pPr>
        <w:spacing w:after="0" w:line="240" w:lineRule="auto"/>
        <w:rPr>
          <w:rFonts w:ascii="Times New Roman" w:hAnsi="Times New Roman"/>
          <w:sz w:val="26"/>
          <w:szCs w:val="26"/>
        </w:rPr>
      </w:pPr>
    </w:p>
    <w:p w:rsidR="00F0627E" w:rsidRPr="0073506C" w:rsidP="00BD0F89" w14:paraId="64AF384F" w14:textId="4C80CAA6">
      <w:pPr>
        <w:pStyle w:val="ListParagraph"/>
        <w:spacing w:after="0" w:line="240" w:lineRule="auto"/>
        <w:ind w:left="0"/>
        <w:rPr>
          <w:rFonts w:ascii="Times New Roman" w:hAnsi="Times New Roman"/>
          <w:sz w:val="26"/>
          <w:szCs w:val="26"/>
        </w:rPr>
      </w:pPr>
      <w:r w:rsidRPr="0073506C">
        <w:rPr>
          <w:rFonts w:ascii="Times New Roman" w:hAnsi="Times New Roman"/>
          <w:b/>
          <w:sz w:val="26"/>
          <w:szCs w:val="26"/>
        </w:rPr>
        <w:t xml:space="preserve">14. </w:t>
      </w:r>
      <w:r w:rsidRPr="0073506C" w:rsidR="00BF3095">
        <w:rPr>
          <w:rFonts w:ascii="Times New Roman" w:hAnsi="Times New Roman"/>
          <w:b/>
          <w:sz w:val="26"/>
          <w:szCs w:val="26"/>
        </w:rPr>
        <w:t>ESTIMATED ANNUALIZED COST TO FEDERAL GOVERNMENT</w:t>
      </w:r>
    </w:p>
    <w:p w:rsidR="00BF3095" w:rsidRPr="0073506C" w:rsidP="00BD0F89" w14:paraId="31100877" w14:textId="77777777">
      <w:pPr>
        <w:pStyle w:val="ListParagraph"/>
        <w:spacing w:after="0" w:line="240" w:lineRule="auto"/>
        <w:ind w:left="0"/>
        <w:rPr>
          <w:rFonts w:ascii="Times New Roman" w:hAnsi="Times New Roman"/>
          <w:sz w:val="26"/>
          <w:szCs w:val="26"/>
        </w:rPr>
      </w:pPr>
    </w:p>
    <w:p w:rsidR="00F600BB" w:rsidRPr="00F600BB" w:rsidP="00F600BB" w14:paraId="2D932503" w14:textId="45769223">
      <w:pPr>
        <w:spacing w:after="0" w:line="240" w:lineRule="auto"/>
        <w:rPr>
          <w:rFonts w:ascii="Times New Roman" w:hAnsi="Times New Roman"/>
          <w:sz w:val="26"/>
          <w:szCs w:val="26"/>
        </w:rPr>
      </w:pPr>
      <w:r w:rsidRPr="00F600BB">
        <w:rPr>
          <w:rFonts w:ascii="Times New Roman" w:hAnsi="Times New Roman"/>
          <w:sz w:val="26"/>
          <w:szCs w:val="26"/>
        </w:rPr>
        <w:t>The estimate of the cost for “analysis and processing of filings”</w:t>
      </w:r>
      <w:r w:rsidRPr="00F600BB">
        <w:rPr>
          <w:rFonts w:ascii="Times New Roman" w:hAnsi="Times New Roman"/>
          <w:sz w:val="26"/>
          <w:szCs w:val="26"/>
          <w:vertAlign w:val="superscript"/>
        </w:rPr>
        <w:t xml:space="preserve"> </w:t>
      </w:r>
      <w:r w:rsidRPr="00F600BB">
        <w:rPr>
          <w:rFonts w:ascii="Times New Roman" w:hAnsi="Times New Roman"/>
          <w:sz w:val="26"/>
          <w:szCs w:val="26"/>
        </w:rPr>
        <w:t xml:space="preserve">is based on salaries and benefits for professional and clerical support. </w:t>
      </w:r>
      <w:r w:rsidR="001137FE">
        <w:rPr>
          <w:rFonts w:ascii="Times New Roman" w:hAnsi="Times New Roman"/>
          <w:sz w:val="26"/>
          <w:szCs w:val="26"/>
        </w:rPr>
        <w:t xml:space="preserve"> </w:t>
      </w:r>
      <w:r w:rsidRPr="00F600BB">
        <w:rPr>
          <w:rFonts w:ascii="Times New Roman" w:hAnsi="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58372E" w:rsidRPr="0073506C" w:rsidP="00BD0F89" w14:paraId="5D81E42B" w14:textId="4BE18DD1">
      <w:pPr>
        <w:spacing w:after="0" w:line="240" w:lineRule="auto"/>
        <w:rPr>
          <w:rFonts w:ascii="Times New Roman" w:hAnsi="Times New Roman"/>
          <w:sz w:val="26"/>
          <w:szCs w:val="26"/>
        </w:rPr>
      </w:pPr>
      <w:r>
        <w:rPr>
          <w:rFonts w:ascii="Times New Roman" w:hAnsi="Times New Roman"/>
          <w:sz w:val="26"/>
          <w:szCs w:val="26"/>
        </w:rPr>
        <w:tab/>
      </w:r>
    </w:p>
    <w:p w:rsidR="00F0627E" w:rsidP="00BD0F89" w14:paraId="1EDEF1DC" w14:textId="45432E78">
      <w:pPr>
        <w:spacing w:after="0" w:line="240" w:lineRule="auto"/>
        <w:rPr>
          <w:rFonts w:ascii="Times New Roman" w:hAnsi="Times New Roman"/>
          <w:sz w:val="26"/>
          <w:szCs w:val="26"/>
        </w:rPr>
      </w:pPr>
      <w:r w:rsidRPr="0073506C">
        <w:rPr>
          <w:rFonts w:ascii="Times New Roman" w:hAnsi="Times New Roman"/>
          <w:sz w:val="26"/>
          <w:szCs w:val="26"/>
        </w:rPr>
        <w:t xml:space="preserve">The estimated </w:t>
      </w:r>
      <w:r w:rsidRPr="0073506C" w:rsidR="00F20B97">
        <w:rPr>
          <w:rFonts w:ascii="Times New Roman" w:hAnsi="Times New Roman"/>
          <w:sz w:val="26"/>
          <w:szCs w:val="26"/>
        </w:rPr>
        <w:t xml:space="preserve">annualized </w:t>
      </w:r>
      <w:r w:rsidRPr="0073506C">
        <w:rPr>
          <w:rFonts w:ascii="Times New Roman" w:hAnsi="Times New Roman"/>
          <w:sz w:val="26"/>
          <w:szCs w:val="26"/>
        </w:rPr>
        <w:t>cost</w:t>
      </w:r>
      <w:r w:rsidRPr="0073506C" w:rsidR="00F20B97">
        <w:rPr>
          <w:rFonts w:ascii="Times New Roman" w:hAnsi="Times New Roman"/>
          <w:sz w:val="26"/>
          <w:szCs w:val="26"/>
        </w:rPr>
        <w:t xml:space="preserve"> to the Federal Government</w:t>
      </w:r>
      <w:r w:rsidRPr="0073506C" w:rsidR="00247EBC">
        <w:rPr>
          <w:rFonts w:ascii="Times New Roman" w:hAnsi="Times New Roman"/>
          <w:sz w:val="26"/>
          <w:szCs w:val="26"/>
        </w:rPr>
        <w:t xml:space="preserve"> </w:t>
      </w:r>
      <w:r w:rsidRPr="0073506C" w:rsidR="00E20CEF">
        <w:rPr>
          <w:rFonts w:ascii="Times New Roman" w:hAnsi="Times New Roman"/>
          <w:sz w:val="26"/>
          <w:szCs w:val="26"/>
        </w:rPr>
        <w:t>follows.</w:t>
      </w:r>
      <w:r w:rsidRPr="0073506C" w:rsidR="00247EBC">
        <w:rPr>
          <w:rFonts w:ascii="Times New Roman" w:hAnsi="Times New Roman"/>
          <w:sz w:val="26"/>
          <w:szCs w:val="26"/>
        </w:rPr>
        <w:t xml:space="preserve"> </w:t>
      </w:r>
    </w:p>
    <w:p w:rsidR="004D44C9" w:rsidP="00BD0F89" w14:paraId="18653806" w14:textId="77777777">
      <w:pPr>
        <w:spacing w:after="0" w:line="240" w:lineRule="auto"/>
        <w:rPr>
          <w:rFonts w:ascii="Times New Roman" w:hAnsi="Times New Roman"/>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0"/>
        <w:gridCol w:w="3030"/>
        <w:gridCol w:w="3015"/>
      </w:tblGrid>
      <w:tr w14:paraId="315144AC" w14:textId="77777777" w:rsidTr="00F5124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27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D44C9" w:rsidRPr="00467B09" w:rsidP="00F5124C" w14:paraId="2EF99D1A" w14:textId="77777777">
            <w:pPr>
              <w:spacing w:after="0" w:line="240" w:lineRule="auto"/>
              <w:rPr>
                <w:rFonts w:ascii="Times New Roman" w:hAnsi="Times New Roman"/>
                <w:sz w:val="26"/>
                <w:szCs w:val="26"/>
              </w:rPr>
            </w:pPr>
            <w:r w:rsidRPr="00467B09">
              <w:rPr>
                <w:rFonts w:ascii="Times New Roman" w:hAnsi="Times New Roman"/>
                <w:sz w:val="26"/>
                <w:szCs w:val="26"/>
              </w:rPr>
              <w:t> </w:t>
            </w:r>
          </w:p>
        </w:tc>
        <w:tc>
          <w:tcPr>
            <w:tcW w:w="30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D44C9" w:rsidRPr="00467B09" w:rsidP="00F5124C" w14:paraId="390CC06B" w14:textId="77777777">
            <w:pPr>
              <w:spacing w:after="0" w:line="240" w:lineRule="auto"/>
              <w:rPr>
                <w:rFonts w:ascii="Times New Roman" w:hAnsi="Times New Roman"/>
                <w:sz w:val="26"/>
                <w:szCs w:val="26"/>
              </w:rPr>
            </w:pPr>
            <w:r w:rsidRPr="00467B09">
              <w:rPr>
                <w:rFonts w:ascii="Times New Roman" w:hAnsi="Times New Roman"/>
                <w:b/>
                <w:bCs/>
                <w:sz w:val="26"/>
                <w:szCs w:val="26"/>
              </w:rPr>
              <w:t>Number of Employees (FTE)</w:t>
            </w:r>
            <w:r w:rsidRPr="00467B09">
              <w:rPr>
                <w:rFonts w:ascii="Times New Roman" w:hAnsi="Times New Roman"/>
                <w:sz w:val="26"/>
                <w:szCs w:val="26"/>
              </w:rPr>
              <w:t> </w:t>
            </w:r>
          </w:p>
        </w:tc>
        <w:tc>
          <w:tcPr>
            <w:tcW w:w="301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D44C9" w:rsidRPr="00467B09" w:rsidP="00F5124C" w14:paraId="393E97C5" w14:textId="77777777">
            <w:pPr>
              <w:spacing w:after="0" w:line="240" w:lineRule="auto"/>
              <w:rPr>
                <w:rFonts w:ascii="Times New Roman" w:hAnsi="Times New Roman"/>
                <w:sz w:val="26"/>
                <w:szCs w:val="26"/>
              </w:rPr>
            </w:pPr>
            <w:r w:rsidRPr="00467B09">
              <w:rPr>
                <w:rFonts w:ascii="Times New Roman" w:hAnsi="Times New Roman"/>
                <w:b/>
                <w:bCs/>
                <w:sz w:val="26"/>
                <w:szCs w:val="26"/>
              </w:rPr>
              <w:t>Estimated Annual Federal Cost</w:t>
            </w:r>
            <w:r w:rsidRPr="00467B09">
              <w:rPr>
                <w:rFonts w:ascii="Times New Roman" w:hAnsi="Times New Roman"/>
                <w:sz w:val="26"/>
                <w:szCs w:val="26"/>
              </w:rPr>
              <w:t> </w:t>
            </w:r>
          </w:p>
        </w:tc>
      </w:tr>
      <w:tr w14:paraId="5F381728" w14:textId="77777777" w:rsidTr="00F5124C">
        <w:tblPrEx>
          <w:tblW w:w="0" w:type="dxa"/>
          <w:tblCellMar>
            <w:left w:w="0" w:type="dxa"/>
            <w:right w:w="0" w:type="dxa"/>
          </w:tblCellMar>
          <w:tblLook w:val="04A0"/>
        </w:tblPrEx>
        <w:trPr>
          <w:trHeight w:val="300"/>
        </w:trPr>
        <w:tc>
          <w:tcPr>
            <w:tcW w:w="3270" w:type="dxa"/>
            <w:tcBorders>
              <w:top w:val="single" w:sz="6" w:space="0" w:color="auto"/>
              <w:left w:val="single" w:sz="6" w:space="0" w:color="auto"/>
              <w:bottom w:val="single" w:sz="6" w:space="0" w:color="auto"/>
              <w:right w:val="single" w:sz="6" w:space="0" w:color="auto"/>
            </w:tcBorders>
            <w:vAlign w:val="center"/>
            <w:hideMark/>
          </w:tcPr>
          <w:p w:rsidR="004D44C9" w:rsidRPr="00467B09" w:rsidP="00F5124C" w14:paraId="15C447BD" w14:textId="40EBDDD3">
            <w:pPr>
              <w:spacing w:after="0" w:line="240" w:lineRule="auto"/>
              <w:rPr>
                <w:rFonts w:ascii="Times New Roman" w:hAnsi="Times New Roman"/>
                <w:sz w:val="26"/>
                <w:szCs w:val="26"/>
              </w:rPr>
            </w:pPr>
            <w:r w:rsidRPr="00467B09">
              <w:rPr>
                <w:rFonts w:ascii="Times New Roman" w:hAnsi="Times New Roman"/>
                <w:sz w:val="26"/>
                <w:szCs w:val="26"/>
              </w:rPr>
              <w:t>Analysis and Processing of Filings</w:t>
            </w:r>
            <w:r>
              <w:rPr>
                <w:rStyle w:val="FootnoteReference"/>
                <w:rFonts w:ascii="Times New Roman" w:hAnsi="Times New Roman"/>
                <w:sz w:val="26"/>
                <w:szCs w:val="26"/>
              </w:rPr>
              <w:footnoteReference w:id="10"/>
            </w:r>
            <w:r w:rsidRPr="00467B09">
              <w:rPr>
                <w:rFonts w:ascii="Times New Roman" w:hAnsi="Times New Roman"/>
                <w:sz w:val="26"/>
                <w:szCs w:val="26"/>
              </w:rPr>
              <w:t> </w:t>
            </w:r>
          </w:p>
        </w:tc>
        <w:tc>
          <w:tcPr>
            <w:tcW w:w="3030" w:type="dxa"/>
            <w:tcBorders>
              <w:top w:val="single" w:sz="6" w:space="0" w:color="auto"/>
              <w:left w:val="single" w:sz="6" w:space="0" w:color="auto"/>
              <w:bottom w:val="single" w:sz="6" w:space="0" w:color="auto"/>
              <w:right w:val="single" w:sz="6" w:space="0" w:color="auto"/>
            </w:tcBorders>
            <w:vAlign w:val="center"/>
            <w:hideMark/>
          </w:tcPr>
          <w:p w:rsidR="004D44C9" w:rsidRPr="00467B09" w:rsidP="0018305F" w14:paraId="2600DB8E" w14:textId="1CB985B1">
            <w:pPr>
              <w:spacing w:after="0" w:line="240" w:lineRule="auto"/>
              <w:jc w:val="right"/>
              <w:rPr>
                <w:rFonts w:ascii="Times New Roman" w:hAnsi="Times New Roman"/>
                <w:sz w:val="26"/>
                <w:szCs w:val="26"/>
              </w:rPr>
            </w:pPr>
            <w:r>
              <w:rPr>
                <w:rFonts w:ascii="Times New Roman" w:hAnsi="Times New Roman"/>
                <w:sz w:val="26"/>
                <w:szCs w:val="26"/>
              </w:rPr>
              <w:t>0.5</w:t>
            </w:r>
            <w:r w:rsidRPr="00467B09">
              <w:rPr>
                <w:rFonts w:ascii="Times New Roman" w:hAnsi="Times New Roman"/>
                <w:sz w:val="26"/>
                <w:szCs w:val="26"/>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rsidR="004D44C9" w:rsidRPr="00467B09" w:rsidP="00236480" w14:paraId="09F38B6A" w14:textId="531ECCDD">
            <w:pPr>
              <w:spacing w:after="0" w:line="240" w:lineRule="auto"/>
              <w:jc w:val="right"/>
              <w:rPr>
                <w:rFonts w:ascii="Times New Roman" w:hAnsi="Times New Roman"/>
                <w:sz w:val="26"/>
                <w:szCs w:val="26"/>
              </w:rPr>
            </w:pPr>
            <w:r w:rsidRPr="00467B09">
              <w:rPr>
                <w:rFonts w:ascii="Times New Roman" w:hAnsi="Times New Roman"/>
                <w:sz w:val="26"/>
                <w:szCs w:val="26"/>
              </w:rPr>
              <w:t>$</w:t>
            </w:r>
            <w:r w:rsidR="00236480">
              <w:rPr>
                <w:rFonts w:ascii="Times New Roman" w:hAnsi="Times New Roman"/>
                <w:sz w:val="26"/>
                <w:szCs w:val="26"/>
              </w:rPr>
              <w:t>107,047</w:t>
            </w:r>
            <w:r w:rsidRPr="00467B09">
              <w:rPr>
                <w:rFonts w:ascii="Times New Roman" w:hAnsi="Times New Roman"/>
                <w:sz w:val="26"/>
                <w:szCs w:val="26"/>
              </w:rPr>
              <w:t> </w:t>
            </w:r>
          </w:p>
        </w:tc>
      </w:tr>
      <w:tr w14:paraId="6B473A21" w14:textId="77777777" w:rsidTr="00F5124C">
        <w:tblPrEx>
          <w:tblW w:w="0" w:type="dxa"/>
          <w:tblCellMar>
            <w:left w:w="0" w:type="dxa"/>
            <w:right w:w="0" w:type="dxa"/>
          </w:tblCellMar>
          <w:tblLook w:val="04A0"/>
        </w:tblPrEx>
        <w:trPr>
          <w:trHeight w:val="300"/>
        </w:trPr>
        <w:tc>
          <w:tcPr>
            <w:tcW w:w="3270" w:type="dxa"/>
            <w:tcBorders>
              <w:top w:val="single" w:sz="6" w:space="0" w:color="auto"/>
              <w:left w:val="single" w:sz="6" w:space="0" w:color="auto"/>
              <w:bottom w:val="single" w:sz="6" w:space="0" w:color="auto"/>
              <w:right w:val="single" w:sz="6" w:space="0" w:color="auto"/>
            </w:tcBorders>
            <w:vAlign w:val="center"/>
            <w:hideMark/>
          </w:tcPr>
          <w:p w:rsidR="004D44C9" w:rsidRPr="00467B09" w:rsidP="00F5124C" w14:paraId="05DD3579" w14:textId="1B3381D3">
            <w:pPr>
              <w:spacing w:after="0" w:line="240" w:lineRule="auto"/>
              <w:rPr>
                <w:rFonts w:ascii="Times New Roman" w:hAnsi="Times New Roman"/>
                <w:sz w:val="26"/>
                <w:szCs w:val="26"/>
              </w:rPr>
            </w:pPr>
            <w:r w:rsidRPr="00467B09">
              <w:rPr>
                <w:rFonts w:ascii="Times New Roman" w:hAnsi="Times New Roman"/>
                <w:sz w:val="26"/>
                <w:szCs w:val="26"/>
              </w:rPr>
              <w:t>PR</w:t>
            </w:r>
            <w:r w:rsidR="00B92143">
              <w:rPr>
                <w:rFonts w:ascii="Times New Roman" w:hAnsi="Times New Roman"/>
                <w:sz w:val="26"/>
                <w:szCs w:val="26"/>
              </w:rPr>
              <w:t>A</w:t>
            </w:r>
            <w:r w:rsidRPr="00467B09">
              <w:rPr>
                <w:rFonts w:ascii="Times New Roman" w:hAnsi="Times New Roman"/>
                <w:sz w:val="26"/>
                <w:szCs w:val="26"/>
              </w:rPr>
              <w:t> Administrative Cost </w:t>
            </w:r>
          </w:p>
        </w:tc>
        <w:tc>
          <w:tcPr>
            <w:tcW w:w="30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D44C9" w:rsidRPr="00467B09" w:rsidP="00F5124C" w14:paraId="12591191" w14:textId="77777777">
            <w:pPr>
              <w:spacing w:after="0" w:line="240" w:lineRule="auto"/>
              <w:rPr>
                <w:rFonts w:ascii="Times New Roman" w:hAnsi="Times New Roman"/>
                <w:sz w:val="26"/>
                <w:szCs w:val="26"/>
              </w:rPr>
            </w:pPr>
            <w:r w:rsidRPr="00467B09">
              <w:rPr>
                <w:rFonts w:ascii="Times New Roman" w:hAnsi="Times New Roman"/>
                <w:sz w:val="26"/>
                <w:szCs w:val="26"/>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rsidR="004D44C9" w:rsidRPr="00467B09" w:rsidP="00236480" w14:paraId="7E039A66" w14:textId="50BBAF07">
            <w:pPr>
              <w:spacing w:after="0" w:line="240" w:lineRule="auto"/>
              <w:jc w:val="right"/>
              <w:rPr>
                <w:rFonts w:ascii="Times New Roman" w:hAnsi="Times New Roman"/>
                <w:sz w:val="26"/>
                <w:szCs w:val="26"/>
              </w:rPr>
            </w:pPr>
            <w:r w:rsidRPr="00467B09">
              <w:rPr>
                <w:rFonts w:ascii="Times New Roman" w:hAnsi="Times New Roman"/>
                <w:sz w:val="26"/>
                <w:szCs w:val="26"/>
              </w:rPr>
              <w:t>$</w:t>
            </w:r>
            <w:r w:rsidR="00D41231">
              <w:rPr>
                <w:rFonts w:ascii="Times New Roman" w:hAnsi="Times New Roman"/>
                <w:sz w:val="26"/>
                <w:szCs w:val="26"/>
              </w:rPr>
              <w:t>8,404</w:t>
            </w:r>
            <w:r w:rsidRPr="00467B09">
              <w:rPr>
                <w:rFonts w:ascii="Times New Roman" w:hAnsi="Times New Roman"/>
                <w:sz w:val="26"/>
                <w:szCs w:val="26"/>
              </w:rPr>
              <w:t> </w:t>
            </w:r>
          </w:p>
        </w:tc>
      </w:tr>
      <w:tr w14:paraId="226D08F0" w14:textId="77777777" w:rsidTr="00F5124C">
        <w:tblPrEx>
          <w:tblW w:w="0" w:type="dxa"/>
          <w:tblCellMar>
            <w:left w:w="0" w:type="dxa"/>
            <w:right w:w="0" w:type="dxa"/>
          </w:tblCellMar>
          <w:tblLook w:val="04A0"/>
        </w:tblPrEx>
        <w:trPr>
          <w:trHeight w:val="300"/>
        </w:trPr>
        <w:tc>
          <w:tcPr>
            <w:tcW w:w="3270" w:type="dxa"/>
            <w:tcBorders>
              <w:top w:val="single" w:sz="6" w:space="0" w:color="auto"/>
              <w:left w:val="single" w:sz="6" w:space="0" w:color="auto"/>
              <w:bottom w:val="single" w:sz="6" w:space="0" w:color="auto"/>
              <w:right w:val="single" w:sz="6" w:space="0" w:color="auto"/>
            </w:tcBorders>
            <w:vAlign w:val="center"/>
            <w:hideMark/>
          </w:tcPr>
          <w:p w:rsidR="004D44C9" w:rsidRPr="00467B09" w:rsidP="00F5124C" w14:paraId="268E0697" w14:textId="77777777">
            <w:pPr>
              <w:spacing w:after="0" w:line="240" w:lineRule="auto"/>
              <w:rPr>
                <w:rFonts w:ascii="Times New Roman" w:hAnsi="Times New Roman"/>
                <w:sz w:val="26"/>
                <w:szCs w:val="26"/>
              </w:rPr>
            </w:pPr>
            <w:r w:rsidRPr="00467B09">
              <w:rPr>
                <w:rFonts w:ascii="Times New Roman" w:hAnsi="Times New Roman"/>
                <w:sz w:val="26"/>
                <w:szCs w:val="26"/>
              </w:rPr>
              <w:t>FERC Total </w:t>
            </w:r>
          </w:p>
        </w:tc>
        <w:tc>
          <w:tcPr>
            <w:tcW w:w="303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D44C9" w:rsidRPr="00467B09" w:rsidP="00F5124C" w14:paraId="319F9969" w14:textId="77777777">
            <w:pPr>
              <w:spacing w:after="0" w:line="240" w:lineRule="auto"/>
              <w:rPr>
                <w:rFonts w:ascii="Times New Roman" w:hAnsi="Times New Roman"/>
                <w:sz w:val="26"/>
                <w:szCs w:val="26"/>
              </w:rPr>
            </w:pPr>
            <w:r w:rsidRPr="00467B09">
              <w:rPr>
                <w:rFonts w:ascii="Times New Roman" w:hAnsi="Times New Roman"/>
                <w:sz w:val="26"/>
                <w:szCs w:val="26"/>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rsidR="004D44C9" w:rsidRPr="00467B09" w:rsidP="00236480" w14:paraId="52CD20B8" w14:textId="548E6956">
            <w:pPr>
              <w:spacing w:after="0" w:line="240" w:lineRule="auto"/>
              <w:jc w:val="right"/>
              <w:rPr>
                <w:rFonts w:ascii="Times New Roman" w:hAnsi="Times New Roman"/>
                <w:sz w:val="26"/>
                <w:szCs w:val="26"/>
              </w:rPr>
            </w:pPr>
            <w:r w:rsidRPr="00467B09">
              <w:rPr>
                <w:rFonts w:ascii="Times New Roman" w:hAnsi="Times New Roman"/>
                <w:sz w:val="26"/>
                <w:szCs w:val="26"/>
              </w:rPr>
              <w:t>$</w:t>
            </w:r>
            <w:r w:rsidR="00DF632F">
              <w:rPr>
                <w:rFonts w:ascii="Times New Roman" w:hAnsi="Times New Roman"/>
                <w:sz w:val="26"/>
                <w:szCs w:val="26"/>
              </w:rPr>
              <w:t>115,451</w:t>
            </w:r>
            <w:r w:rsidRPr="00467B09">
              <w:rPr>
                <w:rFonts w:ascii="Times New Roman" w:hAnsi="Times New Roman"/>
                <w:sz w:val="26"/>
                <w:szCs w:val="26"/>
              </w:rPr>
              <w:t> </w:t>
            </w:r>
          </w:p>
        </w:tc>
      </w:tr>
    </w:tbl>
    <w:p w:rsidR="004D44C9" w:rsidRPr="004D44C9" w:rsidP="00BD0F89" w14:paraId="5E828373" w14:textId="77777777">
      <w:pPr>
        <w:spacing w:after="0" w:line="240" w:lineRule="auto"/>
        <w:rPr>
          <w:rFonts w:ascii="Times New Roman" w:hAnsi="Times New Roman"/>
          <w:sz w:val="26"/>
          <w:szCs w:val="26"/>
          <w:vertAlign w:val="superscript"/>
        </w:rPr>
      </w:pPr>
    </w:p>
    <w:p w:rsidR="003F4A59" w:rsidRPr="0073506C" w:rsidP="00BD0F89" w14:paraId="55FC1BFA" w14:textId="77777777">
      <w:pPr>
        <w:spacing w:after="0" w:line="240" w:lineRule="auto"/>
        <w:rPr>
          <w:rFonts w:ascii="Times New Roman" w:hAnsi="Times New Roman"/>
          <w:sz w:val="26"/>
          <w:szCs w:val="26"/>
        </w:rPr>
      </w:pPr>
    </w:p>
    <w:p w:rsidR="00F20B97" w:rsidRPr="0073506C" w:rsidP="00BD0F89" w14:paraId="43CA34DD" w14:textId="77777777">
      <w:pPr>
        <w:spacing w:after="0" w:line="240" w:lineRule="auto"/>
        <w:rPr>
          <w:rFonts w:ascii="Times New Roman" w:hAnsi="Times New Roman"/>
          <w:b/>
          <w:sz w:val="26"/>
          <w:szCs w:val="26"/>
        </w:rPr>
      </w:pPr>
      <w:r w:rsidRPr="0073506C">
        <w:rPr>
          <w:rFonts w:ascii="Times New Roman" w:hAnsi="Times New Roman"/>
          <w:b/>
          <w:sz w:val="26"/>
          <w:szCs w:val="26"/>
        </w:rPr>
        <w:t>15. REASONS FOR CHANGES IN BURDEN INCLUDING THE NEED FOR ANY INCREASE</w:t>
      </w:r>
    </w:p>
    <w:p w:rsidR="00E31823" w:rsidRPr="0073506C" w:rsidP="00BD0F89" w14:paraId="3B838B49" w14:textId="77777777">
      <w:pPr>
        <w:spacing w:after="0" w:line="240" w:lineRule="auto"/>
        <w:rPr>
          <w:rFonts w:ascii="Times New Roman" w:hAnsi="Times New Roman"/>
          <w:b/>
          <w:bCs/>
          <w:sz w:val="26"/>
          <w:szCs w:val="26"/>
          <w:u w:val="single"/>
        </w:rPr>
      </w:pPr>
      <w:bookmarkStart w:id="0" w:name="_bmk1"/>
    </w:p>
    <w:p w:rsidR="00611331" w:rsidRPr="00611331" w:rsidP="00611331" w14:paraId="68FFF29B" w14:textId="444E413A">
      <w:pPr>
        <w:spacing w:after="0" w:line="240" w:lineRule="auto"/>
        <w:rPr>
          <w:rFonts w:ascii="Times New Roman" w:hAnsi="Times New Roman"/>
          <w:bCs/>
          <w:sz w:val="26"/>
          <w:szCs w:val="26"/>
        </w:rPr>
      </w:pPr>
      <w:r w:rsidRPr="00611331">
        <w:rPr>
          <w:rFonts w:ascii="Times New Roman" w:hAnsi="Times New Roman"/>
          <w:bCs/>
          <w:sz w:val="26"/>
          <w:szCs w:val="26"/>
        </w:rPr>
        <w:t>This proposed rule would reduce the number of required schedules that need to be completed by oil pipeline companies by removing 3 of 11</w:t>
      </w:r>
      <w:r w:rsidR="00F30929">
        <w:rPr>
          <w:rFonts w:ascii="Times New Roman" w:hAnsi="Times New Roman"/>
          <w:bCs/>
          <w:sz w:val="26"/>
          <w:szCs w:val="26"/>
        </w:rPr>
        <w:t xml:space="preserve"> </w:t>
      </w:r>
      <w:r w:rsidRPr="00611331">
        <w:rPr>
          <w:rFonts w:ascii="Times New Roman" w:hAnsi="Times New Roman"/>
          <w:bCs/>
          <w:sz w:val="26"/>
          <w:szCs w:val="26"/>
        </w:rPr>
        <w:t>schedules with an estimated 27% reduction in burden per respondent.  It would also exempt oil pipelines with annual jurisdictional operating revenues below $500,000 from filing the quarterly form, which the Commission estimates would decrease the number of respondents by 7</w:t>
      </w:r>
      <w:r w:rsidR="00B301FC">
        <w:rPr>
          <w:rFonts w:ascii="Times New Roman" w:hAnsi="Times New Roman"/>
          <w:bCs/>
          <w:sz w:val="26"/>
          <w:szCs w:val="26"/>
        </w:rPr>
        <w:t>,</w:t>
      </w:r>
      <w:r w:rsidR="00622983">
        <w:rPr>
          <w:rFonts w:ascii="Times New Roman" w:hAnsi="Times New Roman"/>
          <w:bCs/>
          <w:sz w:val="26"/>
          <w:szCs w:val="26"/>
        </w:rPr>
        <w:t xml:space="preserve"> which results in a decrease of 21 responses</w:t>
      </w:r>
      <w:r w:rsidRPr="00611331">
        <w:rPr>
          <w:rFonts w:ascii="Times New Roman" w:hAnsi="Times New Roman"/>
          <w:bCs/>
          <w:sz w:val="26"/>
          <w:szCs w:val="26"/>
        </w:rPr>
        <w:t>.</w:t>
      </w:r>
    </w:p>
    <w:p w:rsidR="00241CFA" w:rsidP="00BD0F89" w14:paraId="40833C19" w14:textId="20FDE5E9">
      <w:pPr>
        <w:spacing w:after="0" w:line="240" w:lineRule="auto"/>
        <w:rPr>
          <w:rFonts w:ascii="Times New Roman" w:hAnsi="Times New Roman"/>
          <w:bCs/>
          <w:sz w:val="26"/>
          <w:szCs w:val="26"/>
        </w:rPr>
      </w:pPr>
    </w:p>
    <w:tbl>
      <w:tblPr>
        <w:tblW w:w="9530" w:type="dxa"/>
        <w:tblInd w:w="10" w:type="dxa"/>
        <w:tblLayout w:type="fixed"/>
        <w:tblLook w:val="04A0"/>
      </w:tblPr>
      <w:tblGrid>
        <w:gridCol w:w="2250"/>
        <w:gridCol w:w="1520"/>
        <w:gridCol w:w="1530"/>
        <w:gridCol w:w="1975"/>
        <w:gridCol w:w="2255"/>
      </w:tblGrid>
      <w:tr w14:paraId="2B3D8792" w14:textId="77777777" w:rsidTr="00F5124C">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97940" w:rsidRPr="00397940" w:rsidP="00397940" w14:paraId="79C79868" w14:textId="77777777">
            <w:pPr>
              <w:spacing w:after="0" w:line="240" w:lineRule="auto"/>
              <w:rPr>
                <w:rFonts w:ascii="Times New Roman" w:hAnsi="Times New Roman"/>
                <w:b/>
                <w:bCs/>
                <w:sz w:val="26"/>
                <w:szCs w:val="26"/>
              </w:rPr>
            </w:pPr>
            <w:r w:rsidRPr="00397940">
              <w:rPr>
                <w:rFonts w:ascii="Times New Roman" w:hAnsi="Times New Roman"/>
                <w:b/>
                <w:bCs/>
                <w:sz w:val="26"/>
                <w:szCs w:val="26"/>
              </w:rPr>
              <w:t> </w:t>
            </w:r>
          </w:p>
        </w:tc>
        <w:tc>
          <w:tcPr>
            <w:tcW w:w="1520" w:type="dxa"/>
            <w:tcBorders>
              <w:top w:val="single" w:sz="4" w:space="0" w:color="auto"/>
              <w:left w:val="nil"/>
              <w:bottom w:val="single" w:sz="4" w:space="0" w:color="auto"/>
              <w:right w:val="single" w:sz="4" w:space="0" w:color="auto"/>
            </w:tcBorders>
            <w:shd w:val="clear" w:color="000000" w:fill="D9D9D9"/>
            <w:hideMark/>
          </w:tcPr>
          <w:p w:rsidR="00397940" w:rsidRPr="00397940" w:rsidP="00397940" w14:paraId="792ED3AD" w14:textId="77777777">
            <w:pPr>
              <w:spacing w:after="0" w:line="240" w:lineRule="auto"/>
              <w:rPr>
                <w:rFonts w:ascii="Times New Roman" w:hAnsi="Times New Roman"/>
                <w:b/>
                <w:bCs/>
                <w:sz w:val="26"/>
                <w:szCs w:val="26"/>
              </w:rPr>
            </w:pPr>
            <w:r w:rsidRPr="00397940">
              <w:rPr>
                <w:rFonts w:ascii="Times New Roman" w:hAnsi="Times New Roman"/>
                <w:b/>
                <w:bCs/>
                <w:sz w:val="26"/>
                <w:szCs w:val="26"/>
              </w:rPr>
              <w:t>Total Request</w:t>
            </w:r>
          </w:p>
        </w:tc>
        <w:tc>
          <w:tcPr>
            <w:tcW w:w="1530" w:type="dxa"/>
            <w:tcBorders>
              <w:top w:val="single" w:sz="4" w:space="0" w:color="auto"/>
              <w:left w:val="nil"/>
              <w:bottom w:val="single" w:sz="4" w:space="0" w:color="auto"/>
              <w:right w:val="single" w:sz="4" w:space="0" w:color="auto"/>
            </w:tcBorders>
            <w:shd w:val="clear" w:color="000000" w:fill="D9D9D9"/>
            <w:hideMark/>
          </w:tcPr>
          <w:p w:rsidR="00397940" w:rsidRPr="00397940" w:rsidP="00397940" w14:paraId="147B8478" w14:textId="77777777">
            <w:pPr>
              <w:spacing w:after="0" w:line="240" w:lineRule="auto"/>
              <w:rPr>
                <w:rFonts w:ascii="Times New Roman" w:hAnsi="Times New Roman"/>
                <w:b/>
                <w:bCs/>
                <w:sz w:val="26"/>
                <w:szCs w:val="26"/>
              </w:rPr>
            </w:pPr>
            <w:r w:rsidRPr="00397940">
              <w:rPr>
                <w:rFonts w:ascii="Times New Roman" w:hAnsi="Times New Roman"/>
                <w:b/>
                <w:bCs/>
                <w:sz w:val="26"/>
                <w:szCs w:val="26"/>
              </w:rPr>
              <w:t>Previously Approved</w:t>
            </w:r>
          </w:p>
        </w:tc>
        <w:tc>
          <w:tcPr>
            <w:tcW w:w="1975" w:type="dxa"/>
            <w:tcBorders>
              <w:top w:val="single" w:sz="4" w:space="0" w:color="auto"/>
              <w:left w:val="nil"/>
              <w:bottom w:val="single" w:sz="4" w:space="0" w:color="auto"/>
              <w:right w:val="single" w:sz="4" w:space="0" w:color="auto"/>
            </w:tcBorders>
            <w:shd w:val="clear" w:color="000000" w:fill="D9D9D9"/>
            <w:hideMark/>
          </w:tcPr>
          <w:p w:rsidR="00397940" w:rsidRPr="00397940" w:rsidP="00397940" w14:paraId="6195A35E" w14:textId="77777777">
            <w:pPr>
              <w:spacing w:after="0" w:line="240" w:lineRule="auto"/>
              <w:rPr>
                <w:rFonts w:ascii="Times New Roman" w:hAnsi="Times New Roman"/>
                <w:b/>
                <w:bCs/>
                <w:sz w:val="26"/>
                <w:szCs w:val="26"/>
              </w:rPr>
            </w:pPr>
            <w:r w:rsidRPr="00397940">
              <w:rPr>
                <w:rFonts w:ascii="Times New Roman" w:hAnsi="Times New Roman"/>
                <w:b/>
                <w:bCs/>
                <w:sz w:val="26"/>
                <w:szCs w:val="26"/>
              </w:rPr>
              <w:t>Change due to Adjustment in Estimate</w:t>
            </w:r>
          </w:p>
        </w:tc>
        <w:tc>
          <w:tcPr>
            <w:tcW w:w="2255" w:type="dxa"/>
            <w:tcBorders>
              <w:top w:val="single" w:sz="4" w:space="0" w:color="auto"/>
              <w:left w:val="nil"/>
              <w:bottom w:val="single" w:sz="4" w:space="0" w:color="auto"/>
              <w:right w:val="single" w:sz="4" w:space="0" w:color="auto"/>
            </w:tcBorders>
            <w:shd w:val="clear" w:color="000000" w:fill="D9D9D9"/>
            <w:hideMark/>
          </w:tcPr>
          <w:p w:rsidR="00397940" w:rsidRPr="00397940" w:rsidP="00397940" w14:paraId="44A93AB2" w14:textId="77777777">
            <w:pPr>
              <w:spacing w:after="0" w:line="240" w:lineRule="auto"/>
              <w:rPr>
                <w:rFonts w:ascii="Times New Roman" w:hAnsi="Times New Roman"/>
                <w:b/>
                <w:bCs/>
                <w:sz w:val="26"/>
                <w:szCs w:val="26"/>
              </w:rPr>
            </w:pPr>
            <w:r w:rsidRPr="00397940">
              <w:rPr>
                <w:rFonts w:ascii="Times New Roman" w:hAnsi="Times New Roman"/>
                <w:b/>
                <w:bCs/>
                <w:sz w:val="26"/>
                <w:szCs w:val="26"/>
              </w:rPr>
              <w:t>Change Due to Agency Discretion</w:t>
            </w:r>
          </w:p>
        </w:tc>
      </w:tr>
      <w:tr w14:paraId="52BF6A23" w14:textId="77777777" w:rsidTr="00F5124C">
        <w:tblPrEx>
          <w:tblW w:w="9530" w:type="dxa"/>
          <w:tblInd w:w="10" w:type="dxa"/>
          <w:tblLayout w:type="fixed"/>
          <w:tblLook w:val="04A0"/>
        </w:tblPrEx>
        <w:trPr>
          <w:trHeight w:val="288"/>
        </w:trPr>
        <w:tc>
          <w:tcPr>
            <w:tcW w:w="2250" w:type="dxa"/>
            <w:tcBorders>
              <w:top w:val="nil"/>
              <w:left w:val="single" w:sz="4" w:space="0" w:color="auto"/>
              <w:bottom w:val="single" w:sz="4" w:space="0" w:color="auto"/>
              <w:right w:val="single" w:sz="4" w:space="0" w:color="auto"/>
            </w:tcBorders>
            <w:vAlign w:val="center"/>
            <w:hideMark/>
          </w:tcPr>
          <w:p w:rsidR="00397940" w:rsidRPr="00397940" w:rsidP="00397940" w14:paraId="7286BBC3" w14:textId="77777777">
            <w:pPr>
              <w:spacing w:after="0" w:line="240" w:lineRule="auto"/>
              <w:rPr>
                <w:rFonts w:ascii="Times New Roman" w:hAnsi="Times New Roman"/>
                <w:bCs/>
                <w:sz w:val="26"/>
                <w:szCs w:val="26"/>
              </w:rPr>
            </w:pPr>
            <w:r w:rsidRPr="00397940">
              <w:rPr>
                <w:rFonts w:ascii="Times New Roman" w:hAnsi="Times New Roman"/>
                <w:bCs/>
                <w:sz w:val="26"/>
                <w:szCs w:val="26"/>
              </w:rPr>
              <w:t>Annual Number of Responses</w:t>
            </w:r>
          </w:p>
        </w:tc>
        <w:tc>
          <w:tcPr>
            <w:tcW w:w="1520" w:type="dxa"/>
            <w:tcBorders>
              <w:top w:val="nil"/>
              <w:left w:val="nil"/>
              <w:bottom w:val="single" w:sz="4" w:space="0" w:color="auto"/>
              <w:right w:val="single" w:sz="4" w:space="0" w:color="auto"/>
            </w:tcBorders>
            <w:vAlign w:val="bottom"/>
          </w:tcPr>
          <w:p w:rsidR="00397940" w:rsidRPr="00397940" w:rsidP="00397940" w14:paraId="35DE0BDF" w14:textId="2F2BF378">
            <w:pPr>
              <w:spacing w:after="0" w:line="240" w:lineRule="auto"/>
              <w:jc w:val="right"/>
              <w:rPr>
                <w:rFonts w:ascii="Times New Roman" w:hAnsi="Times New Roman"/>
                <w:bCs/>
                <w:sz w:val="26"/>
                <w:szCs w:val="26"/>
              </w:rPr>
            </w:pPr>
            <w:r>
              <w:rPr>
                <w:rFonts w:ascii="Times New Roman" w:hAnsi="Times New Roman"/>
                <w:bCs/>
                <w:sz w:val="26"/>
                <w:szCs w:val="26"/>
              </w:rPr>
              <w:t>720</w:t>
            </w:r>
          </w:p>
        </w:tc>
        <w:tc>
          <w:tcPr>
            <w:tcW w:w="1530" w:type="dxa"/>
            <w:tcBorders>
              <w:top w:val="nil"/>
              <w:left w:val="nil"/>
              <w:bottom w:val="single" w:sz="4" w:space="0" w:color="auto"/>
              <w:right w:val="single" w:sz="4" w:space="0" w:color="auto"/>
            </w:tcBorders>
            <w:vAlign w:val="bottom"/>
            <w:hideMark/>
          </w:tcPr>
          <w:p w:rsidR="00397940" w:rsidRPr="00397940" w:rsidP="00397940" w14:paraId="227A305F" w14:textId="2EBBC00E">
            <w:pPr>
              <w:spacing w:after="0" w:line="240" w:lineRule="auto"/>
              <w:jc w:val="right"/>
              <w:rPr>
                <w:rFonts w:ascii="Times New Roman" w:hAnsi="Times New Roman"/>
                <w:bCs/>
                <w:sz w:val="26"/>
                <w:szCs w:val="26"/>
              </w:rPr>
            </w:pPr>
            <w:r>
              <w:rPr>
                <w:rFonts w:ascii="Times New Roman" w:hAnsi="Times New Roman"/>
                <w:bCs/>
                <w:sz w:val="26"/>
                <w:szCs w:val="26"/>
              </w:rPr>
              <w:t>741</w:t>
            </w:r>
          </w:p>
        </w:tc>
        <w:tc>
          <w:tcPr>
            <w:tcW w:w="1975" w:type="dxa"/>
            <w:tcBorders>
              <w:top w:val="nil"/>
              <w:left w:val="nil"/>
              <w:bottom w:val="single" w:sz="4" w:space="0" w:color="auto"/>
              <w:right w:val="single" w:sz="4" w:space="0" w:color="auto"/>
            </w:tcBorders>
            <w:vAlign w:val="bottom"/>
          </w:tcPr>
          <w:p w:rsidR="00397940" w:rsidRPr="00397940" w:rsidP="00397940" w14:paraId="449E757E" w14:textId="25A721D4">
            <w:pPr>
              <w:spacing w:after="0" w:line="240" w:lineRule="auto"/>
              <w:jc w:val="right"/>
              <w:rPr>
                <w:rFonts w:ascii="Times New Roman" w:hAnsi="Times New Roman"/>
                <w:bCs/>
                <w:sz w:val="26"/>
                <w:szCs w:val="26"/>
              </w:rPr>
            </w:pPr>
            <w:r w:rsidRPr="00397940">
              <w:rPr>
                <w:rFonts w:ascii="Times New Roman" w:hAnsi="Times New Roman"/>
                <w:bCs/>
                <w:sz w:val="26"/>
                <w:szCs w:val="26"/>
              </w:rPr>
              <w:t>0</w:t>
            </w:r>
          </w:p>
        </w:tc>
        <w:tc>
          <w:tcPr>
            <w:tcW w:w="2255" w:type="dxa"/>
            <w:tcBorders>
              <w:top w:val="nil"/>
              <w:left w:val="nil"/>
              <w:bottom w:val="single" w:sz="4" w:space="0" w:color="auto"/>
              <w:right w:val="single" w:sz="4" w:space="0" w:color="auto"/>
            </w:tcBorders>
            <w:vAlign w:val="bottom"/>
            <w:hideMark/>
          </w:tcPr>
          <w:p w:rsidR="00397940" w:rsidRPr="00397940" w:rsidP="00397940" w14:paraId="0E0E3978" w14:textId="6F493C2F">
            <w:pPr>
              <w:spacing w:after="0" w:line="240" w:lineRule="auto"/>
              <w:jc w:val="right"/>
              <w:rPr>
                <w:rFonts w:ascii="Times New Roman" w:hAnsi="Times New Roman"/>
                <w:bCs/>
                <w:sz w:val="26"/>
                <w:szCs w:val="26"/>
              </w:rPr>
            </w:pPr>
            <w:r>
              <w:rPr>
                <w:rFonts w:ascii="Times New Roman" w:hAnsi="Times New Roman"/>
                <w:bCs/>
                <w:sz w:val="26"/>
                <w:szCs w:val="26"/>
              </w:rPr>
              <w:t>-21</w:t>
            </w:r>
          </w:p>
        </w:tc>
      </w:tr>
      <w:tr w14:paraId="0C2FB2D1" w14:textId="77777777" w:rsidTr="00F5124C">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vAlign w:val="center"/>
            <w:hideMark/>
          </w:tcPr>
          <w:p w:rsidR="00397940" w:rsidRPr="00397940" w:rsidP="00397940" w14:paraId="1457ADBD" w14:textId="77777777">
            <w:pPr>
              <w:spacing w:after="0" w:line="240" w:lineRule="auto"/>
              <w:rPr>
                <w:rFonts w:ascii="Times New Roman" w:hAnsi="Times New Roman"/>
                <w:bCs/>
                <w:sz w:val="26"/>
                <w:szCs w:val="26"/>
              </w:rPr>
            </w:pPr>
            <w:r w:rsidRPr="00397940">
              <w:rPr>
                <w:rFonts w:ascii="Times New Roman" w:hAnsi="Times New Roman"/>
                <w:bCs/>
                <w:sz w:val="26"/>
                <w:szCs w:val="26"/>
              </w:rPr>
              <w:t>Annual Time Burden (Hr.)</w:t>
            </w:r>
          </w:p>
        </w:tc>
        <w:tc>
          <w:tcPr>
            <w:tcW w:w="1520" w:type="dxa"/>
            <w:tcBorders>
              <w:top w:val="single" w:sz="4" w:space="0" w:color="auto"/>
              <w:left w:val="nil"/>
              <w:bottom w:val="single" w:sz="4" w:space="0" w:color="auto"/>
              <w:right w:val="single" w:sz="4" w:space="0" w:color="auto"/>
            </w:tcBorders>
            <w:vAlign w:val="bottom"/>
          </w:tcPr>
          <w:p w:rsidR="00397940" w:rsidRPr="00397940" w:rsidP="00397940" w14:paraId="02B0EA28" w14:textId="528C43F1">
            <w:pPr>
              <w:spacing w:after="0" w:line="240" w:lineRule="auto"/>
              <w:jc w:val="right"/>
              <w:rPr>
                <w:rFonts w:ascii="Times New Roman" w:hAnsi="Times New Roman"/>
                <w:bCs/>
                <w:sz w:val="26"/>
                <w:szCs w:val="26"/>
              </w:rPr>
            </w:pPr>
            <w:r w:rsidRPr="008778BF">
              <w:rPr>
                <w:rFonts w:ascii="Times New Roman" w:hAnsi="Times New Roman"/>
                <w:sz w:val="26"/>
                <w:szCs w:val="26"/>
              </w:rPr>
              <w:t>78,480</w:t>
            </w:r>
          </w:p>
        </w:tc>
        <w:tc>
          <w:tcPr>
            <w:tcW w:w="1530" w:type="dxa"/>
            <w:tcBorders>
              <w:top w:val="single" w:sz="4" w:space="0" w:color="auto"/>
              <w:left w:val="nil"/>
              <w:bottom w:val="single" w:sz="4" w:space="0" w:color="auto"/>
              <w:right w:val="single" w:sz="4" w:space="0" w:color="auto"/>
            </w:tcBorders>
            <w:vAlign w:val="bottom"/>
            <w:hideMark/>
          </w:tcPr>
          <w:p w:rsidR="00397940" w:rsidRPr="00397940" w:rsidP="00397940" w14:paraId="5813A060" w14:textId="23EADB9A">
            <w:pPr>
              <w:spacing w:after="0" w:line="240" w:lineRule="auto"/>
              <w:jc w:val="right"/>
              <w:rPr>
                <w:rFonts w:ascii="Times New Roman" w:hAnsi="Times New Roman"/>
                <w:bCs/>
                <w:sz w:val="26"/>
                <w:szCs w:val="26"/>
              </w:rPr>
            </w:pPr>
            <w:r>
              <w:rPr>
                <w:rFonts w:ascii="Times New Roman" w:hAnsi="Times New Roman"/>
                <w:bCs/>
                <w:sz w:val="26"/>
                <w:szCs w:val="26"/>
              </w:rPr>
              <w:t>111,150</w:t>
            </w:r>
          </w:p>
        </w:tc>
        <w:tc>
          <w:tcPr>
            <w:tcW w:w="1975" w:type="dxa"/>
            <w:tcBorders>
              <w:top w:val="single" w:sz="4" w:space="0" w:color="auto"/>
              <w:left w:val="nil"/>
              <w:bottom w:val="single" w:sz="4" w:space="0" w:color="auto"/>
              <w:right w:val="single" w:sz="4" w:space="0" w:color="auto"/>
            </w:tcBorders>
            <w:vAlign w:val="bottom"/>
          </w:tcPr>
          <w:p w:rsidR="00397940" w:rsidRPr="00397940" w:rsidP="00397940" w14:paraId="03FC644A" w14:textId="0ED9FD98">
            <w:pPr>
              <w:spacing w:after="0" w:line="240" w:lineRule="auto"/>
              <w:jc w:val="right"/>
              <w:rPr>
                <w:rFonts w:ascii="Times New Roman" w:hAnsi="Times New Roman"/>
                <w:bCs/>
                <w:sz w:val="26"/>
                <w:szCs w:val="26"/>
              </w:rPr>
            </w:pPr>
            <w:r w:rsidRPr="00397940">
              <w:rPr>
                <w:rFonts w:ascii="Times New Roman" w:hAnsi="Times New Roman"/>
                <w:bCs/>
                <w:sz w:val="26"/>
                <w:szCs w:val="26"/>
              </w:rPr>
              <w:t>0</w:t>
            </w:r>
          </w:p>
        </w:tc>
        <w:tc>
          <w:tcPr>
            <w:tcW w:w="2255" w:type="dxa"/>
            <w:tcBorders>
              <w:top w:val="single" w:sz="4" w:space="0" w:color="auto"/>
              <w:left w:val="nil"/>
              <w:bottom w:val="single" w:sz="4" w:space="0" w:color="auto"/>
              <w:right w:val="single" w:sz="4" w:space="0" w:color="auto"/>
            </w:tcBorders>
            <w:vAlign w:val="bottom"/>
            <w:hideMark/>
          </w:tcPr>
          <w:p w:rsidR="00397940" w:rsidRPr="00397940" w:rsidP="00397940" w14:paraId="04A01419" w14:textId="539868F3">
            <w:pPr>
              <w:spacing w:after="0" w:line="240" w:lineRule="auto"/>
              <w:jc w:val="right"/>
              <w:rPr>
                <w:rFonts w:ascii="Times New Roman" w:hAnsi="Times New Roman"/>
                <w:bCs/>
                <w:sz w:val="26"/>
                <w:szCs w:val="26"/>
              </w:rPr>
            </w:pPr>
            <w:r w:rsidRPr="00397940">
              <w:rPr>
                <w:rFonts w:ascii="Times New Roman" w:hAnsi="Times New Roman"/>
                <w:bCs/>
                <w:sz w:val="26"/>
                <w:szCs w:val="26"/>
              </w:rPr>
              <w:t>-</w:t>
            </w:r>
            <w:r w:rsidR="00235B17">
              <w:rPr>
                <w:rFonts w:ascii="Times New Roman" w:hAnsi="Times New Roman"/>
                <w:bCs/>
                <w:sz w:val="26"/>
                <w:szCs w:val="26"/>
              </w:rPr>
              <w:t>32,670</w:t>
            </w:r>
          </w:p>
        </w:tc>
      </w:tr>
      <w:tr w14:paraId="630D847C" w14:textId="77777777" w:rsidTr="00F5124C">
        <w:tblPrEx>
          <w:tblW w:w="9530" w:type="dxa"/>
          <w:tblInd w:w="10" w:type="dxa"/>
          <w:tblLayout w:type="fixed"/>
          <w:tblLook w:val="04A0"/>
        </w:tblPrEx>
        <w:trPr>
          <w:trHeight w:val="288"/>
        </w:trPr>
        <w:tc>
          <w:tcPr>
            <w:tcW w:w="2250" w:type="dxa"/>
            <w:tcBorders>
              <w:top w:val="single" w:sz="4" w:space="0" w:color="auto"/>
              <w:left w:val="single" w:sz="4" w:space="0" w:color="auto"/>
              <w:bottom w:val="single" w:sz="4" w:space="0" w:color="auto"/>
              <w:right w:val="single" w:sz="4" w:space="0" w:color="auto"/>
            </w:tcBorders>
            <w:vAlign w:val="center"/>
            <w:hideMark/>
          </w:tcPr>
          <w:p w:rsidR="00397940" w:rsidRPr="00397940" w:rsidP="00397940" w14:paraId="1CEBA417" w14:textId="77777777">
            <w:pPr>
              <w:spacing w:after="0" w:line="240" w:lineRule="auto"/>
              <w:rPr>
                <w:rFonts w:ascii="Times New Roman" w:hAnsi="Times New Roman"/>
                <w:bCs/>
                <w:sz w:val="26"/>
                <w:szCs w:val="26"/>
              </w:rPr>
            </w:pPr>
            <w:r w:rsidRPr="00397940">
              <w:rPr>
                <w:rFonts w:ascii="Times New Roman" w:hAnsi="Times New Roman"/>
                <w:bCs/>
                <w:sz w:val="26"/>
                <w:szCs w:val="26"/>
              </w:rPr>
              <w:t>Annual Cost Burden ($)</w:t>
            </w:r>
          </w:p>
        </w:tc>
        <w:tc>
          <w:tcPr>
            <w:tcW w:w="1520" w:type="dxa"/>
            <w:tcBorders>
              <w:top w:val="single" w:sz="4" w:space="0" w:color="auto"/>
              <w:left w:val="nil"/>
              <w:bottom w:val="single" w:sz="4" w:space="0" w:color="auto"/>
              <w:right w:val="single" w:sz="4" w:space="0" w:color="auto"/>
            </w:tcBorders>
            <w:vAlign w:val="bottom"/>
          </w:tcPr>
          <w:p w:rsidR="00397940" w:rsidRPr="00397940" w:rsidP="00397940" w14:paraId="1702C79F" w14:textId="77777777">
            <w:pPr>
              <w:spacing w:after="0" w:line="240" w:lineRule="auto"/>
              <w:jc w:val="right"/>
              <w:rPr>
                <w:rFonts w:ascii="Times New Roman" w:hAnsi="Times New Roman"/>
                <w:bCs/>
                <w:sz w:val="26"/>
                <w:szCs w:val="26"/>
                <w:vertAlign w:val="superscript"/>
              </w:rPr>
            </w:pPr>
            <w:r w:rsidRPr="00397940">
              <w:rPr>
                <w:rFonts w:ascii="Times New Roman" w:hAnsi="Times New Roman"/>
                <w:bCs/>
                <w:sz w:val="26"/>
                <w:szCs w:val="26"/>
              </w:rPr>
              <w:t>$0</w:t>
            </w:r>
          </w:p>
        </w:tc>
        <w:tc>
          <w:tcPr>
            <w:tcW w:w="1530" w:type="dxa"/>
            <w:tcBorders>
              <w:top w:val="single" w:sz="4" w:space="0" w:color="auto"/>
              <w:left w:val="nil"/>
              <w:bottom w:val="single" w:sz="4" w:space="0" w:color="auto"/>
              <w:right w:val="single" w:sz="4" w:space="0" w:color="auto"/>
            </w:tcBorders>
            <w:vAlign w:val="bottom"/>
          </w:tcPr>
          <w:p w:rsidR="00397940" w:rsidRPr="00397940" w:rsidP="00397940" w14:paraId="60B0DA41" w14:textId="77777777">
            <w:pPr>
              <w:spacing w:after="0" w:line="240" w:lineRule="auto"/>
              <w:jc w:val="right"/>
              <w:rPr>
                <w:rFonts w:ascii="Times New Roman" w:hAnsi="Times New Roman"/>
                <w:bCs/>
                <w:sz w:val="26"/>
                <w:szCs w:val="26"/>
              </w:rPr>
            </w:pPr>
            <w:r w:rsidRPr="00397940">
              <w:rPr>
                <w:rFonts w:ascii="Times New Roman" w:hAnsi="Times New Roman"/>
                <w:bCs/>
                <w:sz w:val="26"/>
                <w:szCs w:val="26"/>
              </w:rPr>
              <w:t>$0</w:t>
            </w:r>
          </w:p>
        </w:tc>
        <w:tc>
          <w:tcPr>
            <w:tcW w:w="1975" w:type="dxa"/>
            <w:tcBorders>
              <w:top w:val="single" w:sz="4" w:space="0" w:color="auto"/>
              <w:left w:val="nil"/>
              <w:bottom w:val="single" w:sz="4" w:space="0" w:color="auto"/>
              <w:right w:val="single" w:sz="4" w:space="0" w:color="auto"/>
            </w:tcBorders>
            <w:vAlign w:val="bottom"/>
          </w:tcPr>
          <w:p w:rsidR="00397940" w:rsidRPr="00397940" w:rsidP="00397940" w14:paraId="7BB1D1FE" w14:textId="77777777">
            <w:pPr>
              <w:spacing w:after="0" w:line="240" w:lineRule="auto"/>
              <w:jc w:val="right"/>
              <w:rPr>
                <w:rFonts w:ascii="Times New Roman" w:hAnsi="Times New Roman"/>
                <w:bCs/>
                <w:sz w:val="26"/>
                <w:szCs w:val="26"/>
              </w:rPr>
            </w:pPr>
            <w:r w:rsidRPr="00397940">
              <w:rPr>
                <w:rFonts w:ascii="Times New Roman" w:hAnsi="Times New Roman"/>
                <w:bCs/>
                <w:sz w:val="26"/>
                <w:szCs w:val="26"/>
              </w:rPr>
              <w:t>$0</w:t>
            </w:r>
          </w:p>
        </w:tc>
        <w:tc>
          <w:tcPr>
            <w:tcW w:w="2255" w:type="dxa"/>
            <w:tcBorders>
              <w:top w:val="single" w:sz="4" w:space="0" w:color="auto"/>
              <w:left w:val="nil"/>
              <w:bottom w:val="single" w:sz="4" w:space="0" w:color="auto"/>
              <w:right w:val="single" w:sz="4" w:space="0" w:color="auto"/>
            </w:tcBorders>
            <w:vAlign w:val="bottom"/>
            <w:hideMark/>
          </w:tcPr>
          <w:p w:rsidR="00397940" w:rsidRPr="00397940" w:rsidP="00397940" w14:paraId="6FD1EA11" w14:textId="77777777">
            <w:pPr>
              <w:spacing w:after="0" w:line="240" w:lineRule="auto"/>
              <w:jc w:val="right"/>
              <w:rPr>
                <w:rFonts w:ascii="Times New Roman" w:hAnsi="Times New Roman"/>
                <w:bCs/>
                <w:sz w:val="26"/>
                <w:szCs w:val="26"/>
              </w:rPr>
            </w:pPr>
            <w:r w:rsidRPr="00397940">
              <w:rPr>
                <w:rFonts w:ascii="Times New Roman" w:hAnsi="Times New Roman"/>
                <w:bCs/>
                <w:sz w:val="26"/>
                <w:szCs w:val="26"/>
              </w:rPr>
              <w:t>$0</w:t>
            </w:r>
          </w:p>
        </w:tc>
      </w:tr>
    </w:tbl>
    <w:p w:rsidR="005C65C3" w:rsidRPr="0073506C" w:rsidP="003A3343" w14:paraId="7B4EABF9" w14:textId="77777777">
      <w:pPr>
        <w:spacing w:after="0" w:line="259" w:lineRule="auto"/>
        <w:rPr>
          <w:rFonts w:ascii="Times New Roman" w:hAnsi="Times New Roman"/>
          <w:bCs/>
          <w:sz w:val="26"/>
          <w:szCs w:val="26"/>
        </w:rPr>
      </w:pPr>
    </w:p>
    <w:bookmarkEnd w:id="0"/>
    <w:p w:rsidR="00F0627E" w:rsidRPr="0073506C" w:rsidP="00BD0F89" w14:paraId="115E3405" w14:textId="77777777">
      <w:pPr>
        <w:spacing w:after="0" w:line="240" w:lineRule="auto"/>
        <w:rPr>
          <w:rFonts w:ascii="Times New Roman" w:hAnsi="Times New Roman"/>
          <w:b/>
          <w:sz w:val="26"/>
          <w:szCs w:val="26"/>
        </w:rPr>
      </w:pPr>
      <w:r w:rsidRPr="0073506C">
        <w:rPr>
          <w:rFonts w:ascii="Times New Roman" w:hAnsi="Times New Roman"/>
          <w:b/>
          <w:sz w:val="26"/>
          <w:szCs w:val="26"/>
        </w:rPr>
        <w:t>16. TIME SCHEDULE FOR PUBLICATION OF DATA</w:t>
      </w:r>
    </w:p>
    <w:p w:rsidR="00F0627E" w:rsidRPr="0073506C" w:rsidP="00BD0F89" w14:paraId="65FE4B4D" w14:textId="77777777">
      <w:pPr>
        <w:spacing w:after="0" w:line="240" w:lineRule="auto"/>
        <w:rPr>
          <w:rFonts w:ascii="Times New Roman" w:hAnsi="Times New Roman"/>
          <w:sz w:val="26"/>
          <w:szCs w:val="26"/>
        </w:rPr>
      </w:pPr>
    </w:p>
    <w:p w:rsidR="00105D44" w:rsidRPr="00105D44" w:rsidP="00DA7BE8" w14:paraId="0DC28BE9" w14:textId="03EB2B5C">
      <w:pPr>
        <w:spacing w:after="0"/>
        <w:rPr>
          <w:rFonts w:ascii="Times New Roman" w:eastAsia="Times New Roman" w:hAnsi="Times New Roman"/>
          <w:sz w:val="26"/>
          <w:szCs w:val="26"/>
        </w:rPr>
      </w:pPr>
      <w:r w:rsidRPr="0073506C">
        <w:rPr>
          <w:rFonts w:ascii="Times New Roman" w:hAnsi="Times New Roman"/>
          <w:sz w:val="26"/>
          <w:szCs w:val="26"/>
        </w:rPr>
        <w:t xml:space="preserve">The information collected in </w:t>
      </w:r>
      <w:r>
        <w:rPr>
          <w:rFonts w:ascii="Times New Roman" w:hAnsi="Times New Roman"/>
          <w:sz w:val="26"/>
          <w:szCs w:val="26"/>
        </w:rPr>
        <w:t xml:space="preserve">FERC Form </w:t>
      </w:r>
      <w:r w:rsidR="005311E3">
        <w:rPr>
          <w:rFonts w:ascii="Times New Roman" w:hAnsi="Times New Roman"/>
          <w:sz w:val="26"/>
          <w:szCs w:val="26"/>
        </w:rPr>
        <w:t xml:space="preserve">No. </w:t>
      </w:r>
      <w:r>
        <w:rPr>
          <w:rFonts w:ascii="Times New Roman" w:hAnsi="Times New Roman"/>
          <w:sz w:val="26"/>
          <w:szCs w:val="26"/>
        </w:rPr>
        <w:t xml:space="preserve">6-Q is publicly available at </w:t>
      </w:r>
      <w:r w:rsidRPr="00011C25" w:rsidR="00011C25">
        <w:rPr>
          <w:rFonts w:ascii="Times New Roman" w:hAnsi="Times New Roman"/>
          <w:sz w:val="26"/>
          <w:szCs w:val="26"/>
        </w:rPr>
        <w:t xml:space="preserve">https://www.ferc.gov/general-information-1/oil-industry-forms </w:t>
      </w:r>
      <w:r w:rsidRPr="00ED3702" w:rsidR="00ED3702">
        <w:rPr>
          <w:rFonts w:ascii="Times New Roman" w:hAnsi="Times New Roman"/>
          <w:sz w:val="26"/>
          <w:szCs w:val="26"/>
        </w:rPr>
        <w:t>gov/</w:t>
      </w:r>
      <w:r w:rsidRPr="0073506C">
        <w:rPr>
          <w:rFonts w:ascii="Times New Roman" w:hAnsi="Times New Roman"/>
          <w:sz w:val="26"/>
          <w:szCs w:val="26"/>
        </w:rPr>
        <w:t xml:space="preserve">.  </w:t>
      </w:r>
      <w:r w:rsidRPr="00105D44" w:rsidR="006D7D01">
        <w:rPr>
          <w:rFonts w:ascii="Times New Roman" w:eastAsia="Times New Roman" w:hAnsi="Times New Roman"/>
          <w:sz w:val="26"/>
          <w:szCs w:val="26"/>
        </w:rPr>
        <w:t xml:space="preserve">The data </w:t>
      </w:r>
      <w:r w:rsidR="006D7D01">
        <w:rPr>
          <w:rFonts w:ascii="Times New Roman" w:eastAsia="Times New Roman" w:hAnsi="Times New Roman"/>
          <w:sz w:val="26"/>
          <w:szCs w:val="26"/>
        </w:rPr>
        <w:t>is</w:t>
      </w:r>
      <w:r w:rsidRPr="00105D44" w:rsidR="006D7D01">
        <w:rPr>
          <w:rFonts w:ascii="Times New Roman" w:eastAsia="Times New Roman" w:hAnsi="Times New Roman"/>
          <w:sz w:val="26"/>
          <w:szCs w:val="26"/>
        </w:rPr>
        <w:t xml:space="preserve"> collected for regulatory purposes and not for the purposes of</w:t>
      </w:r>
      <w:r w:rsidR="00260105">
        <w:rPr>
          <w:rFonts w:ascii="Times New Roman" w:eastAsia="Times New Roman" w:hAnsi="Times New Roman"/>
          <w:sz w:val="26"/>
          <w:szCs w:val="26"/>
        </w:rPr>
        <w:t xml:space="preserve"> preparing a </w:t>
      </w:r>
      <w:r w:rsidRPr="00105D44" w:rsidR="006D7D01">
        <w:rPr>
          <w:rFonts w:ascii="Times New Roman" w:eastAsia="Times New Roman" w:hAnsi="Times New Roman"/>
          <w:sz w:val="26"/>
          <w:szCs w:val="26"/>
        </w:rPr>
        <w:t>publication.</w:t>
      </w:r>
    </w:p>
    <w:p w:rsidR="00F20B97" w:rsidRPr="0073506C" w:rsidP="00BD0F89" w14:paraId="5CEC4741" w14:textId="5A426C3C">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00F0627E" w:rsidRPr="0073506C" w:rsidP="00BD0F89" w14:paraId="6F76679F" w14:textId="77777777">
      <w:pPr>
        <w:spacing w:after="0" w:line="240" w:lineRule="auto"/>
        <w:rPr>
          <w:rFonts w:ascii="Times New Roman" w:hAnsi="Times New Roman"/>
          <w:b/>
          <w:sz w:val="26"/>
          <w:szCs w:val="26"/>
        </w:rPr>
      </w:pPr>
      <w:r w:rsidRPr="0073506C">
        <w:rPr>
          <w:rFonts w:ascii="Times New Roman" w:hAnsi="Times New Roman"/>
          <w:b/>
          <w:sz w:val="26"/>
          <w:szCs w:val="26"/>
        </w:rPr>
        <w:t>17. DISPLAY OF EXPIRATION DATE</w:t>
      </w:r>
    </w:p>
    <w:p w:rsidR="00F0627E" w:rsidRPr="0073506C" w:rsidP="00BD0F89" w14:paraId="2C7224E4" w14:textId="77777777">
      <w:pPr>
        <w:spacing w:after="0" w:line="240" w:lineRule="auto"/>
        <w:rPr>
          <w:rFonts w:ascii="Times New Roman" w:hAnsi="Times New Roman"/>
          <w:sz w:val="26"/>
          <w:szCs w:val="26"/>
        </w:rPr>
      </w:pPr>
    </w:p>
    <w:p w:rsidR="009B7AF8" w:rsidRPr="009B7AF8" w:rsidP="009B7AF8" w14:paraId="77D72B17" w14:textId="33E973EB">
      <w:pPr>
        <w:spacing w:after="0" w:line="240" w:lineRule="auto"/>
        <w:rPr>
          <w:rFonts w:ascii="Times New Roman" w:hAnsi="Times New Roman"/>
          <w:sz w:val="26"/>
          <w:szCs w:val="26"/>
        </w:rPr>
      </w:pPr>
      <w:r w:rsidRPr="009B7AF8">
        <w:rPr>
          <w:rFonts w:ascii="Times New Roman" w:hAnsi="Times New Roman"/>
          <w:sz w:val="26"/>
          <w:szCs w:val="26"/>
        </w:rPr>
        <w:t>FERC Form No. 6-Q display</w:t>
      </w:r>
      <w:r w:rsidR="005311E3">
        <w:rPr>
          <w:rFonts w:ascii="Times New Roman" w:hAnsi="Times New Roman"/>
          <w:sz w:val="26"/>
          <w:szCs w:val="26"/>
        </w:rPr>
        <w:t>s</w:t>
      </w:r>
      <w:r w:rsidRPr="009B7AF8">
        <w:rPr>
          <w:rFonts w:ascii="Times New Roman" w:hAnsi="Times New Roman"/>
          <w:sz w:val="26"/>
          <w:szCs w:val="26"/>
        </w:rPr>
        <w:t xml:space="preserve"> the OMB control numbers and the expiration dates. </w:t>
      </w:r>
      <w:r w:rsidR="005311E3">
        <w:rPr>
          <w:rFonts w:ascii="Times New Roman" w:hAnsi="Times New Roman"/>
          <w:sz w:val="26"/>
          <w:szCs w:val="26"/>
        </w:rPr>
        <w:t xml:space="preserve"> </w:t>
      </w:r>
      <w:r w:rsidRPr="009B7AF8">
        <w:rPr>
          <w:rFonts w:ascii="Times New Roman" w:hAnsi="Times New Roman"/>
          <w:sz w:val="26"/>
          <w:szCs w:val="26"/>
        </w:rPr>
        <w:t xml:space="preserve">FERC provides the OMB control numbers of the information collections along with their expiration dates at </w:t>
      </w:r>
      <w:hyperlink r:id="rId9" w:history="1">
        <w:r w:rsidRPr="009B7AF8">
          <w:rPr>
            <w:rStyle w:val="Hyperlink"/>
            <w:rFonts w:ascii="Times New Roman" w:hAnsi="Times New Roman"/>
            <w:sz w:val="26"/>
            <w:szCs w:val="26"/>
          </w:rPr>
          <w:t>https://www.ferc.gov/information-collections</w:t>
        </w:r>
      </w:hyperlink>
      <w:r w:rsidRPr="009B7AF8">
        <w:rPr>
          <w:rFonts w:ascii="Times New Roman" w:hAnsi="Times New Roman"/>
          <w:sz w:val="26"/>
          <w:szCs w:val="26"/>
        </w:rPr>
        <w:t xml:space="preserve">. </w:t>
      </w:r>
    </w:p>
    <w:p w:rsidR="00027DC9" w:rsidRPr="0073506C" w:rsidP="00BD0F89" w14:paraId="799845B9" w14:textId="77777777">
      <w:pPr>
        <w:spacing w:after="0" w:line="240" w:lineRule="auto"/>
        <w:rPr>
          <w:rFonts w:ascii="Times New Roman" w:hAnsi="Times New Roman"/>
          <w:sz w:val="26"/>
          <w:szCs w:val="26"/>
        </w:rPr>
      </w:pPr>
    </w:p>
    <w:p w:rsidR="00F0627E" w:rsidRPr="0073506C" w:rsidP="00BD0F89" w14:paraId="61B7D1C0" w14:textId="6FEB0EDC">
      <w:pPr>
        <w:spacing w:after="0" w:line="240" w:lineRule="auto"/>
        <w:rPr>
          <w:rFonts w:ascii="Times New Roman" w:hAnsi="Times New Roman"/>
          <w:b/>
          <w:sz w:val="26"/>
          <w:szCs w:val="26"/>
        </w:rPr>
      </w:pPr>
      <w:r w:rsidRPr="0073506C">
        <w:rPr>
          <w:rFonts w:ascii="Times New Roman" w:hAnsi="Times New Roman"/>
          <w:b/>
          <w:sz w:val="26"/>
          <w:szCs w:val="26"/>
        </w:rPr>
        <w:t>18. EXCEPTIONS TO THE CERTIFICATION STATEMENT</w:t>
      </w:r>
    </w:p>
    <w:p w:rsidR="001D289D" w:rsidRPr="0073506C" w:rsidP="00BD0F89" w14:paraId="63F6A337" w14:textId="77777777">
      <w:pPr>
        <w:spacing w:after="0" w:line="240" w:lineRule="auto"/>
        <w:rPr>
          <w:rFonts w:ascii="Times New Roman" w:hAnsi="Times New Roman"/>
          <w:b/>
          <w:sz w:val="26"/>
          <w:szCs w:val="26"/>
        </w:rPr>
      </w:pPr>
    </w:p>
    <w:p w:rsidR="00F0627E" w:rsidRPr="0073506C" w14:paraId="07E0677A" w14:textId="77777777">
      <w:pPr>
        <w:spacing w:after="160" w:line="240" w:lineRule="auto"/>
        <w:rPr>
          <w:rFonts w:ascii="Times New Roman" w:hAnsi="Times New Roman"/>
          <w:sz w:val="26"/>
          <w:szCs w:val="26"/>
        </w:rPr>
      </w:pPr>
      <w:r w:rsidRPr="0073506C">
        <w:rPr>
          <w:rFonts w:ascii="Times New Roman" w:hAnsi="Times New Roman"/>
          <w:sz w:val="26"/>
          <w:szCs w:val="26"/>
        </w:rPr>
        <w:t>There are no exception</w:t>
      </w:r>
      <w:r w:rsidRPr="0073506C" w:rsidR="000836EF">
        <w:rPr>
          <w:rFonts w:ascii="Times New Roman" w:hAnsi="Times New Roman"/>
          <w:sz w:val="26"/>
          <w:szCs w:val="26"/>
        </w:rPr>
        <w:t>s</w:t>
      </w:r>
      <w:r w:rsidRPr="0073506C">
        <w:rPr>
          <w:rFonts w:ascii="Times New Roman" w:hAnsi="Times New Roman"/>
          <w:sz w:val="26"/>
          <w:szCs w:val="26"/>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7812702"/>
      <w:docPartObj>
        <w:docPartGallery w:val="Page Numbers (Bottom of Page)"/>
        <w:docPartUnique/>
      </w:docPartObj>
    </w:sdtPr>
    <w:sdtEndPr>
      <w:rPr>
        <w:noProof/>
      </w:rPr>
    </w:sdtEndPr>
    <w:sdtContent>
      <w:p w:rsidR="008E3C4F" w14:paraId="694AABE9" w14:textId="2125798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sdtContent>
  </w:sdt>
  <w:p w:rsidR="008E3C4F" w14:paraId="70B209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4407" w:rsidP="009C7F55" w14:paraId="79B3C319" w14:textId="77777777">
      <w:pPr>
        <w:spacing w:after="0" w:line="240" w:lineRule="auto"/>
      </w:pPr>
      <w:r>
        <w:separator/>
      </w:r>
    </w:p>
  </w:footnote>
  <w:footnote w:type="continuationSeparator" w:id="1">
    <w:p w:rsidR="00704407" w:rsidP="009C7F55" w14:paraId="2D466FFE" w14:textId="77777777">
      <w:pPr>
        <w:spacing w:after="0" w:line="240" w:lineRule="auto"/>
      </w:pPr>
      <w:r>
        <w:continuationSeparator/>
      </w:r>
    </w:p>
  </w:footnote>
  <w:footnote w:type="continuationNotice" w:id="2">
    <w:p w:rsidR="00704407" w14:paraId="64CF2CA8" w14:textId="77777777">
      <w:pPr>
        <w:spacing w:after="0" w:line="240" w:lineRule="auto"/>
      </w:pPr>
    </w:p>
  </w:footnote>
  <w:footnote w:id="3">
    <w:p w:rsidR="00A33862" w:rsidP="00E02D0F" w14:paraId="5D81F39F" w14:textId="49CE9027">
      <w:pPr>
        <w:pStyle w:val="FootnoteText"/>
        <w:ind w:firstLine="720"/>
        <w:rPr>
          <w:sz w:val="26"/>
          <w:szCs w:val="26"/>
        </w:rPr>
      </w:pPr>
      <w:r w:rsidRPr="00E02D0F">
        <w:rPr>
          <w:rStyle w:val="FootnoteReference"/>
          <w:sz w:val="26"/>
          <w:szCs w:val="26"/>
        </w:rPr>
        <w:footnoteRef/>
      </w:r>
      <w:r w:rsidRPr="00E02D0F">
        <w:rPr>
          <w:sz w:val="26"/>
          <w:szCs w:val="26"/>
        </w:rPr>
        <w:t xml:space="preserve"> RM26-</w:t>
      </w:r>
      <w:r w:rsidRPr="00E02D0F" w:rsidR="00D65733">
        <w:rPr>
          <w:sz w:val="26"/>
          <w:szCs w:val="26"/>
        </w:rPr>
        <w:t>12</w:t>
      </w:r>
      <w:r w:rsidRPr="00E02D0F">
        <w:rPr>
          <w:sz w:val="26"/>
          <w:szCs w:val="26"/>
        </w:rPr>
        <w:t xml:space="preserve">-000 also includes </w:t>
      </w:r>
      <w:r w:rsidRPr="00E02D0F" w:rsidR="00624521">
        <w:rPr>
          <w:sz w:val="26"/>
          <w:szCs w:val="26"/>
        </w:rPr>
        <w:t xml:space="preserve">proposed changes and substantive updates to FERC Form No. 3-Q, as well as proposed </w:t>
      </w:r>
      <w:r w:rsidRPr="00E02D0F">
        <w:rPr>
          <w:sz w:val="26"/>
          <w:szCs w:val="26"/>
        </w:rPr>
        <w:t>non-substantive updates to FERC Form Nos. 1, 1-F, 2, 2-A, 6, and 60.</w:t>
      </w:r>
      <w:r w:rsidRPr="00E02D0F" w:rsidR="00A635BC">
        <w:rPr>
          <w:sz w:val="26"/>
          <w:szCs w:val="26"/>
        </w:rPr>
        <w:t xml:space="preserve">  Proposed updates to</w:t>
      </w:r>
      <w:r w:rsidRPr="00E02D0F" w:rsidR="00B66F06">
        <w:rPr>
          <w:sz w:val="26"/>
          <w:szCs w:val="26"/>
        </w:rPr>
        <w:t xml:space="preserve"> FERC Form No. 3-Q are reflected in a Separate Supporting Statement issued </w:t>
      </w:r>
      <w:r w:rsidRPr="00E02D0F" w:rsidR="00215C51">
        <w:rPr>
          <w:sz w:val="26"/>
          <w:szCs w:val="26"/>
        </w:rPr>
        <w:t>under</w:t>
      </w:r>
      <w:r w:rsidRPr="00E02D0F" w:rsidR="00B66F06">
        <w:rPr>
          <w:sz w:val="26"/>
          <w:szCs w:val="26"/>
        </w:rPr>
        <w:t xml:space="preserve"> OMB Control No. 1902-0205.</w:t>
      </w:r>
      <w:r w:rsidRPr="00E02D0F">
        <w:rPr>
          <w:sz w:val="26"/>
          <w:szCs w:val="26"/>
        </w:rPr>
        <w:t xml:space="preserve"> </w:t>
      </w:r>
    </w:p>
    <w:p w:rsidR="00A33862" w:rsidRPr="004472BF" w:rsidP="00A33862" w14:paraId="708C31C9" w14:textId="77777777">
      <w:pPr>
        <w:pStyle w:val="FootnoteText"/>
        <w:rPr>
          <w:sz w:val="26"/>
          <w:szCs w:val="26"/>
        </w:rPr>
      </w:pPr>
    </w:p>
  </w:footnote>
  <w:footnote w:id="4">
    <w:p w:rsidR="00585221" w:rsidRPr="002B1DC1" w:rsidP="00B47DBD" w14:paraId="5FD59573" w14:textId="77777777">
      <w:pPr>
        <w:pStyle w:val="FootnoteText"/>
        <w:ind w:firstLine="720"/>
        <w:rPr>
          <w:sz w:val="26"/>
          <w:szCs w:val="26"/>
        </w:rPr>
      </w:pPr>
      <w:r w:rsidRPr="00E02D0F">
        <w:rPr>
          <w:rStyle w:val="FootnoteReference"/>
          <w:sz w:val="26"/>
          <w:szCs w:val="26"/>
        </w:rPr>
        <w:footnoteRef/>
      </w:r>
      <w:r w:rsidRPr="002B1DC1">
        <w:rPr>
          <w:sz w:val="26"/>
          <w:szCs w:val="26"/>
        </w:rPr>
        <w:t xml:space="preserve"> 49 USC Part 1, Section 20, 54 Stat. 916.</w:t>
      </w:r>
    </w:p>
    <w:p w:rsidR="00585221" w:rsidRPr="00DB6A48" w:rsidP="00585221" w14:paraId="1FD3460E" w14:textId="77777777">
      <w:pPr>
        <w:pStyle w:val="FootnoteText"/>
        <w:ind w:firstLine="720"/>
        <w:rPr>
          <w:sz w:val="26"/>
          <w:szCs w:val="26"/>
        </w:rPr>
      </w:pPr>
    </w:p>
  </w:footnote>
  <w:footnote w:id="5">
    <w:p w:rsidR="00AB0AA0" w:rsidP="00AB0AA0" w14:paraId="477D2323" w14:textId="77777777">
      <w:pPr>
        <w:pStyle w:val="FootnoteText"/>
        <w:ind w:firstLine="720"/>
        <w:rPr>
          <w:i/>
          <w:iCs/>
          <w:sz w:val="26"/>
          <w:szCs w:val="26"/>
        </w:rPr>
      </w:pPr>
      <w:r w:rsidRPr="00431E3B">
        <w:rPr>
          <w:rStyle w:val="FootnoteReference"/>
          <w:sz w:val="26"/>
          <w:szCs w:val="26"/>
        </w:rPr>
        <w:footnoteRef/>
      </w:r>
      <w:r w:rsidRPr="00431E3B">
        <w:rPr>
          <w:sz w:val="26"/>
          <w:szCs w:val="26"/>
        </w:rPr>
        <w:t xml:space="preserve"> </w:t>
      </w:r>
      <w:r w:rsidRPr="00431E3B">
        <w:rPr>
          <w:i/>
          <w:iCs/>
          <w:sz w:val="26"/>
          <w:szCs w:val="26"/>
        </w:rPr>
        <w:t>Q. Fin. Reporting &amp; Revisions to the Ann. Reps.</w:t>
      </w:r>
      <w:r w:rsidRPr="00431E3B">
        <w:rPr>
          <w:sz w:val="26"/>
          <w:szCs w:val="26"/>
        </w:rPr>
        <w:t>, Order No. 646, 106 FERC ¶ 61,113, at P 16 (2004).</w:t>
      </w:r>
      <w:r w:rsidRPr="00431E3B">
        <w:rPr>
          <w:i/>
          <w:iCs/>
          <w:sz w:val="26"/>
          <w:szCs w:val="26"/>
        </w:rPr>
        <w:t xml:space="preserve"> </w:t>
      </w:r>
    </w:p>
    <w:p w:rsidR="00AB0AA0" w:rsidRPr="00431E3B" w:rsidP="00AB0AA0" w14:paraId="26B9D480" w14:textId="77777777">
      <w:pPr>
        <w:pStyle w:val="FootnoteText"/>
        <w:rPr>
          <w:sz w:val="26"/>
          <w:szCs w:val="26"/>
        </w:rPr>
      </w:pPr>
    </w:p>
  </w:footnote>
  <w:footnote w:id="6">
    <w:p w:rsidR="008E3C4F" w:rsidRPr="00E02D0F" w:rsidP="00E02D0F" w14:paraId="484AE026" w14:textId="143093D8">
      <w:pPr>
        <w:pStyle w:val="FootnoteText"/>
        <w:ind w:firstLine="720"/>
        <w:rPr>
          <w:sz w:val="26"/>
          <w:szCs w:val="26"/>
        </w:rPr>
      </w:pPr>
      <w:r w:rsidRPr="0073506C">
        <w:rPr>
          <w:rStyle w:val="FootnoteReference"/>
          <w:rFonts w:eastAsia="Calibri"/>
          <w:sz w:val="26"/>
          <w:szCs w:val="26"/>
        </w:rPr>
        <w:footnoteRef/>
      </w:r>
      <w:r w:rsidRPr="00E02D0F">
        <w:rPr>
          <w:sz w:val="26"/>
          <w:szCs w:val="26"/>
        </w:rPr>
        <w:t xml:space="preserve"> </w:t>
      </w:r>
      <w:r w:rsidRPr="00E02D0F">
        <w:rPr>
          <w:i/>
          <w:sz w:val="26"/>
          <w:szCs w:val="26"/>
        </w:rPr>
        <w:t>See</w:t>
      </w:r>
      <w:r w:rsidRPr="00E02D0F">
        <w:rPr>
          <w:sz w:val="26"/>
          <w:szCs w:val="26"/>
        </w:rPr>
        <w:t xml:space="preserve"> 18 C.F.R. Part </w:t>
      </w:r>
      <w:r w:rsidRPr="00E02D0F" w:rsidR="00024CDD">
        <w:rPr>
          <w:sz w:val="26"/>
          <w:szCs w:val="26"/>
        </w:rPr>
        <w:t>352</w:t>
      </w:r>
      <w:r w:rsidRPr="00E02D0F">
        <w:rPr>
          <w:sz w:val="26"/>
          <w:szCs w:val="26"/>
        </w:rPr>
        <w:t xml:space="preserve"> (Uniform System of Accounts Prescribed </w:t>
      </w:r>
      <w:r w:rsidRPr="0086034E" w:rsidR="0086034E">
        <w:rPr>
          <w:sz w:val="26"/>
          <w:szCs w:val="26"/>
        </w:rPr>
        <w:t>for</w:t>
      </w:r>
      <w:r w:rsidRPr="00E02D0F">
        <w:rPr>
          <w:sz w:val="26"/>
          <w:szCs w:val="26"/>
        </w:rPr>
        <w:t xml:space="preserve"> </w:t>
      </w:r>
      <w:r w:rsidRPr="00E02D0F" w:rsidR="00E87E96">
        <w:rPr>
          <w:sz w:val="26"/>
          <w:szCs w:val="26"/>
        </w:rPr>
        <w:t>Oil Pip</w:t>
      </w:r>
      <w:r w:rsidRPr="00E02D0F" w:rsidR="004B3785">
        <w:rPr>
          <w:sz w:val="26"/>
          <w:szCs w:val="26"/>
        </w:rPr>
        <w:t>eline Companies</w:t>
      </w:r>
      <w:r w:rsidRPr="00E02D0F">
        <w:rPr>
          <w:sz w:val="26"/>
          <w:szCs w:val="26"/>
        </w:rPr>
        <w:t xml:space="preserve"> Subject </w:t>
      </w:r>
      <w:r w:rsidR="00C356CB">
        <w:rPr>
          <w:sz w:val="26"/>
          <w:szCs w:val="26"/>
        </w:rPr>
        <w:t>t</w:t>
      </w:r>
      <w:r w:rsidRPr="00E02D0F">
        <w:rPr>
          <w:sz w:val="26"/>
          <w:szCs w:val="26"/>
        </w:rPr>
        <w:t xml:space="preserve">o </w:t>
      </w:r>
      <w:r w:rsidR="00C356CB">
        <w:rPr>
          <w:sz w:val="26"/>
          <w:szCs w:val="26"/>
        </w:rPr>
        <w:t>t</w:t>
      </w:r>
      <w:r w:rsidRPr="00E02D0F">
        <w:rPr>
          <w:sz w:val="26"/>
          <w:szCs w:val="26"/>
        </w:rPr>
        <w:t xml:space="preserve">he </w:t>
      </w:r>
      <w:r w:rsidR="00353702">
        <w:rPr>
          <w:sz w:val="26"/>
          <w:szCs w:val="26"/>
        </w:rPr>
        <w:t xml:space="preserve">Provisions of the </w:t>
      </w:r>
      <w:r w:rsidRPr="00E02D0F" w:rsidR="004B3785">
        <w:rPr>
          <w:sz w:val="26"/>
          <w:szCs w:val="26"/>
        </w:rPr>
        <w:t>Interstate Commerce</w:t>
      </w:r>
      <w:r w:rsidRPr="00E02D0F">
        <w:rPr>
          <w:sz w:val="26"/>
          <w:szCs w:val="26"/>
        </w:rPr>
        <w:t xml:space="preserve"> Act).</w:t>
      </w:r>
    </w:p>
  </w:footnote>
  <w:footnote w:id="7">
    <w:p w:rsidR="004052ED" w:rsidRPr="00E02D0F" w:rsidP="00E02D0F" w14:paraId="578BD2FE" w14:textId="539D63E6">
      <w:pPr>
        <w:pStyle w:val="FootnoteText"/>
        <w:ind w:firstLine="720"/>
        <w:rPr>
          <w:sz w:val="26"/>
          <w:szCs w:val="26"/>
        </w:rPr>
      </w:pPr>
      <w:r w:rsidRPr="00E02D0F">
        <w:rPr>
          <w:rStyle w:val="FootnoteReference"/>
          <w:sz w:val="26"/>
          <w:szCs w:val="26"/>
        </w:rPr>
        <w:footnoteRef/>
      </w:r>
      <w:r w:rsidRPr="00E02D0F">
        <w:rPr>
          <w:sz w:val="26"/>
          <w:szCs w:val="26"/>
        </w:rPr>
        <w:t xml:space="preserve"> 18 C.F.R. § 357.4(b)</w:t>
      </w:r>
    </w:p>
  </w:footnote>
  <w:footnote w:id="8">
    <w:p w:rsidR="001E611C" w:rsidP="00E02D0F" w14:paraId="3B2F3E10" w14:textId="2BD99A55">
      <w:pPr>
        <w:pStyle w:val="FootnoteText"/>
        <w:ind w:firstLine="720"/>
        <w:rPr>
          <w:sz w:val="26"/>
          <w:szCs w:val="26"/>
        </w:rPr>
      </w:pPr>
      <w:r w:rsidRPr="00E02D0F">
        <w:rPr>
          <w:rStyle w:val="FootnoteReference"/>
          <w:sz w:val="26"/>
          <w:szCs w:val="26"/>
        </w:rPr>
        <w:footnoteRef/>
      </w:r>
      <w:r w:rsidRPr="00E02D0F">
        <w:rPr>
          <w:sz w:val="26"/>
          <w:szCs w:val="26"/>
        </w:rPr>
        <w:t xml:space="preserve"> </w:t>
      </w:r>
      <w:r w:rsidRPr="00621B9E" w:rsidR="00CE4CD7">
        <w:rPr>
          <w:sz w:val="26"/>
          <w:szCs w:val="26"/>
        </w:rPr>
        <w:t>June 24, 2026 (91 FR 37881)</w:t>
      </w:r>
    </w:p>
    <w:p w:rsidR="001E611C" w:rsidRPr="004472BF" w:rsidP="001E611C" w14:paraId="7B780F9D" w14:textId="77777777">
      <w:pPr>
        <w:pStyle w:val="FootnoteText"/>
        <w:rPr>
          <w:sz w:val="26"/>
          <w:szCs w:val="26"/>
        </w:rPr>
      </w:pPr>
    </w:p>
  </w:footnote>
  <w:footnote w:id="9">
    <w:p w:rsidR="008E3C4F" w:rsidRPr="00E02D0F" w:rsidP="00E02D0F" w14:paraId="2236E29A" w14:textId="2D25A697">
      <w:pPr>
        <w:pStyle w:val="FootnoteText"/>
        <w:ind w:firstLine="720"/>
        <w:rPr>
          <w:sz w:val="26"/>
          <w:szCs w:val="26"/>
        </w:rPr>
      </w:pPr>
      <w:r w:rsidRPr="0073506C">
        <w:rPr>
          <w:rStyle w:val="FootnoteReference"/>
          <w:sz w:val="26"/>
          <w:szCs w:val="26"/>
        </w:rPr>
        <w:footnoteRef/>
      </w:r>
      <w:r w:rsidRPr="00E02D0F">
        <w:rPr>
          <w:sz w:val="26"/>
          <w:szCs w:val="26"/>
        </w:rPr>
        <w:t xml:space="preserve"> 18 C.F.R. §§ 388.112 and 388.113.  More information on the CEII definition, program and requirements is posted at </w:t>
      </w:r>
      <w:hyperlink r:id="rId1" w:history="1">
        <w:r w:rsidRPr="00E02D0F">
          <w:rPr>
            <w:rStyle w:val="Hyperlink"/>
            <w:color w:val="auto"/>
            <w:sz w:val="26"/>
            <w:szCs w:val="26"/>
          </w:rPr>
          <w:t>http://www.ferc.gov/legal/ceii-foia/ceii.asp</w:t>
        </w:r>
      </w:hyperlink>
      <w:r w:rsidRPr="00E02D0F">
        <w:rPr>
          <w:sz w:val="26"/>
          <w:szCs w:val="26"/>
        </w:rPr>
        <w:t xml:space="preserve">. </w:t>
      </w:r>
    </w:p>
    <w:p w:rsidR="00281BA3" w:rsidRPr="00E02D0F" w:rsidP="00D025E5" w14:paraId="1874BDE8" w14:textId="77777777">
      <w:pPr>
        <w:pStyle w:val="FootnoteText"/>
        <w:rPr>
          <w:sz w:val="26"/>
          <w:szCs w:val="26"/>
        </w:rPr>
      </w:pPr>
    </w:p>
  </w:footnote>
  <w:footnote w:id="10">
    <w:p w:rsidR="00E07C10" w:rsidRPr="00E02D0F" w:rsidP="00E02D0F" w14:paraId="33A9C10B" w14:textId="0548E124">
      <w:pPr>
        <w:pStyle w:val="FootnoteText"/>
        <w:ind w:firstLine="720"/>
        <w:rPr>
          <w:sz w:val="26"/>
          <w:szCs w:val="26"/>
        </w:rPr>
      </w:pPr>
      <w:r w:rsidRPr="00E02D0F">
        <w:rPr>
          <w:rStyle w:val="FootnoteReference"/>
          <w:sz w:val="26"/>
          <w:szCs w:val="26"/>
        </w:rPr>
        <w:footnoteRef/>
      </w:r>
      <w:r w:rsidRPr="00E02D0F">
        <w:rPr>
          <w:sz w:val="26"/>
          <w:szCs w:val="26"/>
        </w:rPr>
        <w:t xml:space="preserve"> The cost is based on FERC’s 2026 Commission-wide average salary cost (salary plus benefits) of </w:t>
      </w:r>
      <w:r w:rsidRPr="00E02D0F" w:rsidR="004B6D6B">
        <w:rPr>
          <w:sz w:val="26"/>
          <w:szCs w:val="26"/>
        </w:rPr>
        <w:t xml:space="preserve">$213,003 or </w:t>
      </w:r>
      <w:r w:rsidRPr="00E02D0F">
        <w:rPr>
          <w:sz w:val="26"/>
          <w:szCs w:val="26"/>
        </w:rPr>
        <w:t>$10</w:t>
      </w:r>
      <w:r w:rsidRPr="00E02D0F" w:rsidR="004B6D6B">
        <w:rPr>
          <w:sz w:val="26"/>
          <w:szCs w:val="26"/>
        </w:rPr>
        <w:t>2</w:t>
      </w:r>
      <w:r w:rsidRPr="00E02D0F">
        <w:rPr>
          <w:sz w:val="26"/>
          <w:szCs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17A" w14:paraId="1FCC2538" w14:textId="33F33006">
    <w:pPr>
      <w:pStyle w:val="Header"/>
      <w:rPr>
        <w:rFonts w:ascii="Times New Roman" w:hAnsi="Times New Roman"/>
        <w:sz w:val="24"/>
        <w:szCs w:val="24"/>
      </w:rPr>
    </w:pPr>
    <w:r>
      <w:rPr>
        <w:rFonts w:ascii="Times New Roman" w:hAnsi="Times New Roman"/>
        <w:sz w:val="24"/>
        <w:szCs w:val="24"/>
      </w:rPr>
      <w:t xml:space="preserve">FERC Form No. </w:t>
    </w:r>
    <w:r w:rsidR="00CF49CA">
      <w:rPr>
        <w:rFonts w:ascii="Times New Roman" w:hAnsi="Times New Roman"/>
        <w:sz w:val="24"/>
        <w:szCs w:val="24"/>
      </w:rPr>
      <w:t>6</w:t>
    </w:r>
    <w:r>
      <w:rPr>
        <w:rFonts w:ascii="Times New Roman" w:hAnsi="Times New Roman"/>
        <w:sz w:val="24"/>
        <w:szCs w:val="24"/>
      </w:rPr>
      <w:t>-Q</w:t>
    </w:r>
    <w:r w:rsidR="00654EFF">
      <w:rPr>
        <w:rFonts w:ascii="Times New Roman" w:hAnsi="Times New Roman"/>
        <w:sz w:val="24"/>
        <w:szCs w:val="24"/>
      </w:rPr>
      <w:t xml:space="preserve">, </w:t>
    </w:r>
    <w:r w:rsidR="002C31E8">
      <w:rPr>
        <w:rFonts w:ascii="Times New Roman" w:hAnsi="Times New Roman"/>
        <w:sz w:val="24"/>
        <w:szCs w:val="24"/>
      </w:rPr>
      <w:t xml:space="preserve">Notice of Proposed </w:t>
    </w:r>
    <w:r>
      <w:rPr>
        <w:rFonts w:ascii="Times New Roman" w:hAnsi="Times New Roman"/>
        <w:sz w:val="24"/>
        <w:szCs w:val="24"/>
      </w:rPr>
      <w:t>Rulemakin</w:t>
    </w:r>
    <w:r w:rsidR="00444460">
      <w:rPr>
        <w:rFonts w:ascii="Times New Roman" w:hAnsi="Times New Roman"/>
        <w:sz w:val="24"/>
        <w:szCs w:val="24"/>
      </w:rPr>
      <w:t>g</w:t>
    </w:r>
    <w:r w:rsidR="00F501DF">
      <w:rPr>
        <w:rFonts w:ascii="Times New Roman" w:hAnsi="Times New Roman"/>
        <w:sz w:val="24"/>
        <w:szCs w:val="24"/>
      </w:rPr>
      <w:t xml:space="preserve"> (NOPR),</w:t>
    </w:r>
    <w:r w:rsidRPr="00F501DF" w:rsidR="00F501DF">
      <w:rPr>
        <w:rFonts w:ascii="Times New Roman" w:hAnsi="Times New Roman"/>
        <w:i/>
        <w:iCs/>
        <w:sz w:val="26"/>
        <w:szCs w:val="26"/>
      </w:rPr>
      <w:t xml:space="preserve"> </w:t>
    </w:r>
    <w:r w:rsidRPr="00E02D0F" w:rsidR="00F501DF">
      <w:rPr>
        <w:rFonts w:ascii="Times New Roman" w:hAnsi="Times New Roman"/>
        <w:i/>
        <w:iCs/>
        <w:sz w:val="26"/>
        <w:szCs w:val="26"/>
      </w:rPr>
      <w:t>Revisions to Financial Forms Reporting and Filing Requirements</w:t>
    </w:r>
    <w:r w:rsidR="00F501DF">
      <w:rPr>
        <w:rFonts w:ascii="Times New Roman" w:hAnsi="Times New Roman"/>
        <w:i/>
        <w:iCs/>
        <w:sz w:val="26"/>
        <w:szCs w:val="26"/>
      </w:rPr>
      <w:t>,</w:t>
    </w:r>
    <w:r w:rsidR="009D4944">
      <w:rPr>
        <w:rFonts w:ascii="Times New Roman" w:hAnsi="Times New Roman"/>
        <w:sz w:val="24"/>
        <w:szCs w:val="24"/>
      </w:rPr>
      <w:t xml:space="preserve"> Docket No.</w:t>
    </w:r>
    <w:r>
      <w:rPr>
        <w:rFonts w:ascii="Times New Roman" w:hAnsi="Times New Roman"/>
        <w:sz w:val="24"/>
        <w:szCs w:val="24"/>
      </w:rPr>
      <w:t xml:space="preserve"> RM2</w:t>
    </w:r>
    <w:r w:rsidR="002C31E8">
      <w:rPr>
        <w:rFonts w:ascii="Times New Roman" w:hAnsi="Times New Roman"/>
        <w:sz w:val="24"/>
        <w:szCs w:val="24"/>
      </w:rPr>
      <w:t>6</w:t>
    </w:r>
    <w:r>
      <w:rPr>
        <w:rFonts w:ascii="Times New Roman" w:hAnsi="Times New Roman"/>
        <w:sz w:val="24"/>
        <w:szCs w:val="24"/>
      </w:rPr>
      <w:t>-1</w:t>
    </w:r>
    <w:r w:rsidR="002C31E8">
      <w:rPr>
        <w:rFonts w:ascii="Times New Roman" w:hAnsi="Times New Roman"/>
        <w:sz w:val="24"/>
        <w:szCs w:val="24"/>
      </w:rPr>
      <w:t>2</w:t>
    </w:r>
    <w:r>
      <w:rPr>
        <w:rFonts w:ascii="Times New Roman" w:hAnsi="Times New Roman"/>
        <w:sz w:val="24"/>
        <w:szCs w:val="24"/>
      </w:rPr>
      <w:t>-000.</w:t>
    </w:r>
  </w:p>
  <w:p w:rsidR="008E3C4F" w14:paraId="6A3A0E61" w14:textId="065796C5">
    <w:pPr>
      <w:pStyle w:val="Header"/>
      <w:rPr>
        <w:rFonts w:ascii="Times New Roman" w:hAnsi="Times New Roman"/>
        <w:sz w:val="24"/>
        <w:szCs w:val="24"/>
      </w:rPr>
    </w:pPr>
    <w:r>
      <w:rPr>
        <w:rFonts w:ascii="Times New Roman" w:hAnsi="Times New Roman"/>
        <w:sz w:val="24"/>
        <w:szCs w:val="24"/>
      </w:rPr>
      <w:t xml:space="preserve">OMB Control No. </w:t>
    </w:r>
    <w:r w:rsidRPr="00C632FE">
      <w:rPr>
        <w:rFonts w:ascii="Times New Roman" w:hAnsi="Times New Roman"/>
        <w:sz w:val="24"/>
        <w:szCs w:val="24"/>
      </w:rPr>
      <w:t>1902-0</w:t>
    </w:r>
    <w:r w:rsidR="00E0062D">
      <w:rPr>
        <w:rFonts w:ascii="Times New Roman" w:hAnsi="Times New Roman"/>
        <w:sz w:val="24"/>
        <w:szCs w:val="24"/>
      </w:rPr>
      <w:t>2</w:t>
    </w:r>
    <w:r w:rsidRPr="00C632FE">
      <w:rPr>
        <w:rFonts w:ascii="Times New Roman" w:hAnsi="Times New Roman"/>
        <w:sz w:val="24"/>
        <w:szCs w:val="24"/>
      </w:rPr>
      <w:t>0</w:t>
    </w:r>
    <w:r w:rsidR="00E0062D">
      <w:rPr>
        <w:rFonts w:ascii="Times New Roman" w:hAnsi="Times New Roman"/>
        <w:sz w:val="24"/>
        <w:szCs w:val="24"/>
      </w:rPr>
      <w:t>6</w:t>
    </w:r>
    <w:r>
      <w:rPr>
        <w:rFonts w:ascii="Times New Roman" w:hAnsi="Times New Roman"/>
        <w:sz w:val="24"/>
        <w:szCs w:val="24"/>
      </w:rPr>
      <w:t xml:space="preserve"> </w:t>
    </w:r>
  </w:p>
  <w:p w:rsidR="000C393C" w:rsidRPr="00274467" w14:paraId="0AE0083C" w14:textId="693FA5F5">
    <w:pPr>
      <w:pStyle w:val="Header"/>
      <w:rPr>
        <w:rFonts w:ascii="Times New Roman" w:hAnsi="Times New Roman"/>
        <w:sz w:val="24"/>
        <w:szCs w:val="24"/>
      </w:rPr>
    </w:pPr>
    <w:r w:rsidRPr="006500C9">
      <w:rPr>
        <w:rFonts w:ascii="Times New Roman" w:hAnsi="Times New Roman"/>
        <w:sz w:val="24"/>
        <w:szCs w:val="24"/>
      </w:rPr>
      <w:t>RIN</w:t>
    </w:r>
    <w:r w:rsidRPr="007458AA" w:rsidR="007458AA">
      <w:rPr>
        <w:rFonts w:ascii="Times New Roman" w:hAnsi="Times New Roman"/>
        <w:sz w:val="24"/>
        <w:szCs w:val="24"/>
      </w:rPr>
      <w:t>: 1902-A</w:t>
    </w:r>
    <w:r w:rsidR="00B10DFB">
      <w:rPr>
        <w:rFonts w:ascii="Times New Roman" w:hAnsi="Times New Roman"/>
        <w:sz w:val="24"/>
        <w:szCs w:val="24"/>
      </w:rPr>
      <w:t>G49</w:t>
    </w:r>
  </w:p>
  <w:p w:rsidR="008E3C4F" w:rsidRPr="002953E1" w:rsidP="00C632FE" w14:paraId="48BC8A50" w14:textId="588CFCAB">
    <w:pPr>
      <w:pStyle w:val="Header"/>
      <w:rPr>
        <w:rFonts w:ascii="Times New Roman" w:hAnsi="Times New Roman"/>
        <w:sz w:val="20"/>
        <w:szCs w:val="20"/>
      </w:rPr>
    </w:pPr>
    <w:r>
      <w:rPr>
        <w:rFonts w:ascii="Times New Roman" w:hAnsi="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4066"/>
    <w:multiLevelType w:val="hybridMultilevel"/>
    <w:tmpl w:val="AA68E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50755"/>
    <w:multiLevelType w:val="hybridMultilevel"/>
    <w:tmpl w:val="EAB0F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17ACB"/>
    <w:multiLevelType w:val="hybridMultilevel"/>
    <w:tmpl w:val="FC34F5D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3">
    <w:nsid w:val="0F4A3048"/>
    <w:multiLevelType w:val="hybridMultilevel"/>
    <w:tmpl w:val="005E7582"/>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
    <w:nsid w:val="0F502655"/>
    <w:multiLevelType w:val="hybridMultilevel"/>
    <w:tmpl w:val="A182A7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C2963"/>
    <w:multiLevelType w:val="hybridMultilevel"/>
    <w:tmpl w:val="CE1A70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4113FB"/>
    <w:multiLevelType w:val="hybridMultilevel"/>
    <w:tmpl w:val="93E06B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B6162D"/>
    <w:multiLevelType w:val="hybridMultilevel"/>
    <w:tmpl w:val="D9DA2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4208A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EF3953"/>
    <w:multiLevelType w:val="hybridMultilevel"/>
    <w:tmpl w:val="CFE88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51A2B"/>
    <w:multiLevelType w:val="hybridMultilevel"/>
    <w:tmpl w:val="403A86E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nsid w:val="376A0BBF"/>
    <w:multiLevelType w:val="hybridMultilevel"/>
    <w:tmpl w:val="BC00F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6A02FA"/>
    <w:multiLevelType w:val="hybridMultilevel"/>
    <w:tmpl w:val="E0CCA850"/>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614ABA"/>
    <w:multiLevelType w:val="hybridMultilevel"/>
    <w:tmpl w:val="E314F6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77D38C3"/>
    <w:multiLevelType w:val="hybridMultilevel"/>
    <w:tmpl w:val="B6823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D40E9F"/>
    <w:multiLevelType w:val="hybridMultilevel"/>
    <w:tmpl w:val="4DF8B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17785A"/>
    <w:multiLevelType w:val="hybridMultilevel"/>
    <w:tmpl w:val="BD227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460FD9"/>
    <w:multiLevelType w:val="hybridMultilevel"/>
    <w:tmpl w:val="371A511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nsid w:val="5BA62A20"/>
    <w:multiLevelType w:val="hybridMultilevel"/>
    <w:tmpl w:val="3A36B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6437021"/>
    <w:multiLevelType w:val="hybridMultilevel"/>
    <w:tmpl w:val="A2BEE8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0">
    <w:nsid w:val="6A505C28"/>
    <w:multiLevelType w:val="hybridMultilevel"/>
    <w:tmpl w:val="9808048E"/>
    <w:lvl w:ilvl="0">
      <w:start w:val="1"/>
      <w:numFmt w:val="bullet"/>
      <w:lvlText w:val=""/>
      <w:lvlJc w:val="left"/>
      <w:pPr>
        <w:ind w:left="1080" w:hanging="360"/>
      </w:pPr>
      <w:rPr>
        <w:rFonts w:ascii="Symbol" w:eastAsia="Calibri"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D843B68"/>
    <w:multiLevelType w:val="hybridMultilevel"/>
    <w:tmpl w:val="6F9C4B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9AF0F0F"/>
    <w:multiLevelType w:val="hybridMultilevel"/>
    <w:tmpl w:val="04BC19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3C7DBB"/>
    <w:multiLevelType w:val="hybridMultilevel"/>
    <w:tmpl w:val="35648F04"/>
    <w:lvl w:ilvl="0">
      <w:start w:val="1"/>
      <w:numFmt w:val="decimal"/>
      <w:lvlText w:val="%1."/>
      <w:lvlJc w:val="left"/>
      <w:pPr>
        <w:ind w:left="45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50755630">
    <w:abstractNumId w:val="22"/>
  </w:num>
  <w:num w:numId="2" w16cid:durableId="2009476938">
    <w:abstractNumId w:val="29"/>
  </w:num>
  <w:num w:numId="3" w16cid:durableId="2031106488">
    <w:abstractNumId w:val="20"/>
  </w:num>
  <w:num w:numId="4" w16cid:durableId="583801337">
    <w:abstractNumId w:val="31"/>
  </w:num>
  <w:num w:numId="5" w16cid:durableId="1137063950">
    <w:abstractNumId w:val="6"/>
  </w:num>
  <w:num w:numId="6" w16cid:durableId="1104301281">
    <w:abstractNumId w:val="32"/>
  </w:num>
  <w:num w:numId="7" w16cid:durableId="1481266597">
    <w:abstractNumId w:val="7"/>
  </w:num>
  <w:num w:numId="8" w16cid:durableId="1329946152">
    <w:abstractNumId w:val="4"/>
  </w:num>
  <w:num w:numId="9" w16cid:durableId="1622684606">
    <w:abstractNumId w:val="18"/>
  </w:num>
  <w:num w:numId="10" w16cid:durableId="1219629684">
    <w:abstractNumId w:val="10"/>
  </w:num>
  <w:num w:numId="11" w16cid:durableId="410280613">
    <w:abstractNumId w:val="23"/>
  </w:num>
  <w:num w:numId="12" w16cid:durableId="1856726513">
    <w:abstractNumId w:val="17"/>
  </w:num>
  <w:num w:numId="13" w16cid:durableId="1554653809">
    <w:abstractNumId w:val="5"/>
  </w:num>
  <w:num w:numId="14" w16cid:durableId="1540164525">
    <w:abstractNumId w:val="33"/>
  </w:num>
  <w:num w:numId="15" w16cid:durableId="2049446521">
    <w:abstractNumId w:val="12"/>
  </w:num>
  <w:num w:numId="16" w16cid:durableId="877087313">
    <w:abstractNumId w:val="26"/>
  </w:num>
  <w:num w:numId="17" w16cid:durableId="154151277">
    <w:abstractNumId w:val="9"/>
  </w:num>
  <w:num w:numId="18" w16cid:durableId="693533955">
    <w:abstractNumId w:val="16"/>
  </w:num>
  <w:num w:numId="19" w16cid:durableId="1261648387">
    <w:abstractNumId w:val="21"/>
  </w:num>
  <w:num w:numId="20" w16cid:durableId="1062632958">
    <w:abstractNumId w:val="19"/>
  </w:num>
  <w:num w:numId="21" w16cid:durableId="293411349">
    <w:abstractNumId w:val="28"/>
  </w:num>
  <w:num w:numId="22" w16cid:durableId="1213811510">
    <w:abstractNumId w:val="15"/>
  </w:num>
  <w:num w:numId="23" w16cid:durableId="1497378438">
    <w:abstractNumId w:val="11"/>
  </w:num>
  <w:num w:numId="24" w16cid:durableId="17124213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927545">
    <w:abstractNumId w:val="3"/>
    <w:lvlOverride w:ilvl="0"/>
    <w:lvlOverride w:ilvl="1">
      <w:startOverride w:val="1"/>
    </w:lvlOverride>
    <w:lvlOverride w:ilvl="2"/>
    <w:lvlOverride w:ilvl="3"/>
    <w:lvlOverride w:ilvl="4"/>
    <w:lvlOverride w:ilvl="5"/>
    <w:lvlOverride w:ilvl="6"/>
    <w:lvlOverride w:ilvl="7"/>
    <w:lvlOverride w:ilvl="8"/>
  </w:num>
  <w:num w:numId="26" w16cid:durableId="1691056734">
    <w:abstractNumId w:val="2"/>
    <w:lvlOverride w:ilvl="0"/>
    <w:lvlOverride w:ilvl="1">
      <w:startOverride w:val="1"/>
    </w:lvlOverride>
    <w:lvlOverride w:ilvl="2"/>
    <w:lvlOverride w:ilvl="3"/>
    <w:lvlOverride w:ilvl="4"/>
    <w:lvlOverride w:ilvl="5"/>
    <w:lvlOverride w:ilvl="6"/>
    <w:lvlOverride w:ilvl="7"/>
    <w:lvlOverride w:ilvl="8"/>
  </w:num>
  <w:num w:numId="27" w16cid:durableId="507256837">
    <w:abstractNumId w:val="25"/>
  </w:num>
  <w:num w:numId="28" w16cid:durableId="967128291">
    <w:abstractNumId w:val="14"/>
  </w:num>
  <w:num w:numId="29" w16cid:durableId="1723212624">
    <w:abstractNumId w:val="27"/>
  </w:num>
  <w:num w:numId="30" w16cid:durableId="1156384990">
    <w:abstractNumId w:val="2"/>
  </w:num>
  <w:num w:numId="31" w16cid:durableId="1115638972">
    <w:abstractNumId w:val="1"/>
  </w:num>
  <w:num w:numId="32" w16cid:durableId="179200410">
    <w:abstractNumId w:val="13"/>
  </w:num>
  <w:num w:numId="33" w16cid:durableId="1410269602">
    <w:abstractNumId w:val="0"/>
  </w:num>
  <w:num w:numId="34" w16cid:durableId="308560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893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0F93"/>
    <w:rsid w:val="00003D06"/>
    <w:rsid w:val="00003D0E"/>
    <w:rsid w:val="0000579D"/>
    <w:rsid w:val="000063C9"/>
    <w:rsid w:val="000076FA"/>
    <w:rsid w:val="00011788"/>
    <w:rsid w:val="00011C25"/>
    <w:rsid w:val="00012539"/>
    <w:rsid w:val="00015810"/>
    <w:rsid w:val="00015A95"/>
    <w:rsid w:val="000201FB"/>
    <w:rsid w:val="00020470"/>
    <w:rsid w:val="00022310"/>
    <w:rsid w:val="0002290F"/>
    <w:rsid w:val="00023353"/>
    <w:rsid w:val="000235CB"/>
    <w:rsid w:val="00024CDD"/>
    <w:rsid w:val="00025A95"/>
    <w:rsid w:val="000277B4"/>
    <w:rsid w:val="00027DC9"/>
    <w:rsid w:val="00030D70"/>
    <w:rsid w:val="0003147A"/>
    <w:rsid w:val="00031C79"/>
    <w:rsid w:val="000326F2"/>
    <w:rsid w:val="00034421"/>
    <w:rsid w:val="0003545C"/>
    <w:rsid w:val="00036D30"/>
    <w:rsid w:val="00037F63"/>
    <w:rsid w:val="00040F9F"/>
    <w:rsid w:val="0004170D"/>
    <w:rsid w:val="00041803"/>
    <w:rsid w:val="00041ECE"/>
    <w:rsid w:val="000422EA"/>
    <w:rsid w:val="00042C21"/>
    <w:rsid w:val="00042FA5"/>
    <w:rsid w:val="00043480"/>
    <w:rsid w:val="00044A19"/>
    <w:rsid w:val="00045518"/>
    <w:rsid w:val="000457E0"/>
    <w:rsid w:val="00045EFB"/>
    <w:rsid w:val="00047E5D"/>
    <w:rsid w:val="000515AD"/>
    <w:rsid w:val="00052172"/>
    <w:rsid w:val="000537E0"/>
    <w:rsid w:val="0005439F"/>
    <w:rsid w:val="000559A5"/>
    <w:rsid w:val="00057701"/>
    <w:rsid w:val="00062C64"/>
    <w:rsid w:val="00062D93"/>
    <w:rsid w:val="000650FC"/>
    <w:rsid w:val="00065533"/>
    <w:rsid w:val="00066375"/>
    <w:rsid w:val="000677D6"/>
    <w:rsid w:val="0007060F"/>
    <w:rsid w:val="000718A2"/>
    <w:rsid w:val="00072071"/>
    <w:rsid w:val="00074584"/>
    <w:rsid w:val="0007469F"/>
    <w:rsid w:val="00074E1A"/>
    <w:rsid w:val="00075D7D"/>
    <w:rsid w:val="000762E1"/>
    <w:rsid w:val="00077B16"/>
    <w:rsid w:val="000807DC"/>
    <w:rsid w:val="000808E7"/>
    <w:rsid w:val="0008302B"/>
    <w:rsid w:val="0008322C"/>
    <w:rsid w:val="000836EF"/>
    <w:rsid w:val="00083A04"/>
    <w:rsid w:val="00084A7F"/>
    <w:rsid w:val="00085070"/>
    <w:rsid w:val="000855DE"/>
    <w:rsid w:val="000856A0"/>
    <w:rsid w:val="0008628B"/>
    <w:rsid w:val="00086334"/>
    <w:rsid w:val="00086B3E"/>
    <w:rsid w:val="0008748E"/>
    <w:rsid w:val="000904E1"/>
    <w:rsid w:val="0009171A"/>
    <w:rsid w:val="000919B8"/>
    <w:rsid w:val="00092424"/>
    <w:rsid w:val="000924F2"/>
    <w:rsid w:val="000930CB"/>
    <w:rsid w:val="000951BE"/>
    <w:rsid w:val="0009541F"/>
    <w:rsid w:val="00095D19"/>
    <w:rsid w:val="0009656C"/>
    <w:rsid w:val="000A018B"/>
    <w:rsid w:val="000A2D9A"/>
    <w:rsid w:val="000A40AD"/>
    <w:rsid w:val="000A4B85"/>
    <w:rsid w:val="000A4E4C"/>
    <w:rsid w:val="000A58EA"/>
    <w:rsid w:val="000A6077"/>
    <w:rsid w:val="000A6C43"/>
    <w:rsid w:val="000A706F"/>
    <w:rsid w:val="000B0965"/>
    <w:rsid w:val="000B40D1"/>
    <w:rsid w:val="000B463E"/>
    <w:rsid w:val="000B51EA"/>
    <w:rsid w:val="000B5BC8"/>
    <w:rsid w:val="000B5CD2"/>
    <w:rsid w:val="000B72B1"/>
    <w:rsid w:val="000B7D81"/>
    <w:rsid w:val="000C0209"/>
    <w:rsid w:val="000C05E9"/>
    <w:rsid w:val="000C1E88"/>
    <w:rsid w:val="000C3902"/>
    <w:rsid w:val="000C393C"/>
    <w:rsid w:val="000C7147"/>
    <w:rsid w:val="000D05E9"/>
    <w:rsid w:val="000D0959"/>
    <w:rsid w:val="000D1765"/>
    <w:rsid w:val="000D1A99"/>
    <w:rsid w:val="000D1D54"/>
    <w:rsid w:val="000D3F25"/>
    <w:rsid w:val="000D72FE"/>
    <w:rsid w:val="000E2CA4"/>
    <w:rsid w:val="000E2E26"/>
    <w:rsid w:val="000E2F0F"/>
    <w:rsid w:val="000E332B"/>
    <w:rsid w:val="000E4567"/>
    <w:rsid w:val="000E47FC"/>
    <w:rsid w:val="000E4925"/>
    <w:rsid w:val="000E4E87"/>
    <w:rsid w:val="000E5055"/>
    <w:rsid w:val="000E76BD"/>
    <w:rsid w:val="000F07BD"/>
    <w:rsid w:val="000F1339"/>
    <w:rsid w:val="000F1377"/>
    <w:rsid w:val="000F3B15"/>
    <w:rsid w:val="000F42C3"/>
    <w:rsid w:val="000F4303"/>
    <w:rsid w:val="000F448F"/>
    <w:rsid w:val="000F49DF"/>
    <w:rsid w:val="000F619B"/>
    <w:rsid w:val="000F660E"/>
    <w:rsid w:val="000F6ABA"/>
    <w:rsid w:val="00100E2F"/>
    <w:rsid w:val="00101A11"/>
    <w:rsid w:val="00101E03"/>
    <w:rsid w:val="001021F0"/>
    <w:rsid w:val="00102397"/>
    <w:rsid w:val="001029BE"/>
    <w:rsid w:val="00102BD6"/>
    <w:rsid w:val="00102DD9"/>
    <w:rsid w:val="0010332E"/>
    <w:rsid w:val="00104ACF"/>
    <w:rsid w:val="00104CF7"/>
    <w:rsid w:val="00105451"/>
    <w:rsid w:val="00105D44"/>
    <w:rsid w:val="00105D96"/>
    <w:rsid w:val="00106E0B"/>
    <w:rsid w:val="00107085"/>
    <w:rsid w:val="001072E3"/>
    <w:rsid w:val="00107DA8"/>
    <w:rsid w:val="001104BC"/>
    <w:rsid w:val="001114E4"/>
    <w:rsid w:val="00111642"/>
    <w:rsid w:val="00111C1D"/>
    <w:rsid w:val="00111E0C"/>
    <w:rsid w:val="001121AE"/>
    <w:rsid w:val="00112D70"/>
    <w:rsid w:val="001137FE"/>
    <w:rsid w:val="00114734"/>
    <w:rsid w:val="001160D1"/>
    <w:rsid w:val="00116509"/>
    <w:rsid w:val="00116766"/>
    <w:rsid w:val="00116CF2"/>
    <w:rsid w:val="00117A7F"/>
    <w:rsid w:val="0012028E"/>
    <w:rsid w:val="001231BF"/>
    <w:rsid w:val="0012367B"/>
    <w:rsid w:val="001236C8"/>
    <w:rsid w:val="001263E8"/>
    <w:rsid w:val="001265D4"/>
    <w:rsid w:val="00126A14"/>
    <w:rsid w:val="00127386"/>
    <w:rsid w:val="00127815"/>
    <w:rsid w:val="00127831"/>
    <w:rsid w:val="00130FC3"/>
    <w:rsid w:val="0013277D"/>
    <w:rsid w:val="00132BDA"/>
    <w:rsid w:val="00132EEB"/>
    <w:rsid w:val="00133311"/>
    <w:rsid w:val="00133C20"/>
    <w:rsid w:val="00133C4C"/>
    <w:rsid w:val="001360DE"/>
    <w:rsid w:val="00136DE8"/>
    <w:rsid w:val="0013718A"/>
    <w:rsid w:val="00137958"/>
    <w:rsid w:val="00141ED0"/>
    <w:rsid w:val="00141EF9"/>
    <w:rsid w:val="001420BD"/>
    <w:rsid w:val="001432A0"/>
    <w:rsid w:val="00145B05"/>
    <w:rsid w:val="00147C65"/>
    <w:rsid w:val="00147FB6"/>
    <w:rsid w:val="00151068"/>
    <w:rsid w:val="00151780"/>
    <w:rsid w:val="00151D8D"/>
    <w:rsid w:val="00151E08"/>
    <w:rsid w:val="00152087"/>
    <w:rsid w:val="00152282"/>
    <w:rsid w:val="001560BF"/>
    <w:rsid w:val="00156589"/>
    <w:rsid w:val="00157463"/>
    <w:rsid w:val="001636C5"/>
    <w:rsid w:val="00163942"/>
    <w:rsid w:val="00164517"/>
    <w:rsid w:val="00164909"/>
    <w:rsid w:val="001668D3"/>
    <w:rsid w:val="00167AE2"/>
    <w:rsid w:val="00172F51"/>
    <w:rsid w:val="00173D17"/>
    <w:rsid w:val="00174734"/>
    <w:rsid w:val="00174867"/>
    <w:rsid w:val="00174C48"/>
    <w:rsid w:val="00175DD8"/>
    <w:rsid w:val="00176EFF"/>
    <w:rsid w:val="00177716"/>
    <w:rsid w:val="0018087D"/>
    <w:rsid w:val="0018305F"/>
    <w:rsid w:val="00183A75"/>
    <w:rsid w:val="00183B18"/>
    <w:rsid w:val="00183C47"/>
    <w:rsid w:val="00183CBA"/>
    <w:rsid w:val="001843EA"/>
    <w:rsid w:val="00186976"/>
    <w:rsid w:val="00186C42"/>
    <w:rsid w:val="00187445"/>
    <w:rsid w:val="00187B3E"/>
    <w:rsid w:val="00187F2E"/>
    <w:rsid w:val="001902A4"/>
    <w:rsid w:val="00191688"/>
    <w:rsid w:val="001936D1"/>
    <w:rsid w:val="00195952"/>
    <w:rsid w:val="001968EA"/>
    <w:rsid w:val="0019752D"/>
    <w:rsid w:val="00197ECC"/>
    <w:rsid w:val="001A006C"/>
    <w:rsid w:val="001A0DAB"/>
    <w:rsid w:val="001A153B"/>
    <w:rsid w:val="001A450A"/>
    <w:rsid w:val="001A52B0"/>
    <w:rsid w:val="001A5362"/>
    <w:rsid w:val="001A62D9"/>
    <w:rsid w:val="001A6609"/>
    <w:rsid w:val="001A6AE8"/>
    <w:rsid w:val="001A7950"/>
    <w:rsid w:val="001B0A54"/>
    <w:rsid w:val="001B2309"/>
    <w:rsid w:val="001B3255"/>
    <w:rsid w:val="001B430C"/>
    <w:rsid w:val="001B4F3E"/>
    <w:rsid w:val="001B5056"/>
    <w:rsid w:val="001C2900"/>
    <w:rsid w:val="001C2A53"/>
    <w:rsid w:val="001C34B8"/>
    <w:rsid w:val="001C453F"/>
    <w:rsid w:val="001C4846"/>
    <w:rsid w:val="001C74AB"/>
    <w:rsid w:val="001C77FB"/>
    <w:rsid w:val="001C7BE9"/>
    <w:rsid w:val="001D0B5C"/>
    <w:rsid w:val="001D10C4"/>
    <w:rsid w:val="001D1B4E"/>
    <w:rsid w:val="001D289D"/>
    <w:rsid w:val="001D3353"/>
    <w:rsid w:val="001D4C72"/>
    <w:rsid w:val="001D550F"/>
    <w:rsid w:val="001D5571"/>
    <w:rsid w:val="001D5674"/>
    <w:rsid w:val="001D5ED9"/>
    <w:rsid w:val="001D67DD"/>
    <w:rsid w:val="001D67EE"/>
    <w:rsid w:val="001D7B2E"/>
    <w:rsid w:val="001E0B84"/>
    <w:rsid w:val="001E139D"/>
    <w:rsid w:val="001E1528"/>
    <w:rsid w:val="001E1BBC"/>
    <w:rsid w:val="001E33A6"/>
    <w:rsid w:val="001E3E6B"/>
    <w:rsid w:val="001E42AD"/>
    <w:rsid w:val="001E47A0"/>
    <w:rsid w:val="001E49D4"/>
    <w:rsid w:val="001E55A1"/>
    <w:rsid w:val="001E5934"/>
    <w:rsid w:val="001E5D9D"/>
    <w:rsid w:val="001E611C"/>
    <w:rsid w:val="001E70C6"/>
    <w:rsid w:val="001F096A"/>
    <w:rsid w:val="001F0A0B"/>
    <w:rsid w:val="001F0B90"/>
    <w:rsid w:val="001F170D"/>
    <w:rsid w:val="001F17CD"/>
    <w:rsid w:val="001F18B7"/>
    <w:rsid w:val="001F2364"/>
    <w:rsid w:val="001F28A5"/>
    <w:rsid w:val="001F56F4"/>
    <w:rsid w:val="001F7477"/>
    <w:rsid w:val="00200CB5"/>
    <w:rsid w:val="00201715"/>
    <w:rsid w:val="00201EDE"/>
    <w:rsid w:val="0020207C"/>
    <w:rsid w:val="00203031"/>
    <w:rsid w:val="002123B8"/>
    <w:rsid w:val="00214C0F"/>
    <w:rsid w:val="00215406"/>
    <w:rsid w:val="00215C51"/>
    <w:rsid w:val="00215C59"/>
    <w:rsid w:val="00215D6E"/>
    <w:rsid w:val="002166E8"/>
    <w:rsid w:val="002200D8"/>
    <w:rsid w:val="002213AA"/>
    <w:rsid w:val="00221430"/>
    <w:rsid w:val="0022155D"/>
    <w:rsid w:val="00221EB9"/>
    <w:rsid w:val="00222295"/>
    <w:rsid w:val="00222BC5"/>
    <w:rsid w:val="00222DAD"/>
    <w:rsid w:val="0022499C"/>
    <w:rsid w:val="00227E8A"/>
    <w:rsid w:val="00227F0E"/>
    <w:rsid w:val="0023006B"/>
    <w:rsid w:val="00230706"/>
    <w:rsid w:val="00230765"/>
    <w:rsid w:val="00230A77"/>
    <w:rsid w:val="00231C3E"/>
    <w:rsid w:val="00232129"/>
    <w:rsid w:val="00232B1B"/>
    <w:rsid w:val="00232DF7"/>
    <w:rsid w:val="00233478"/>
    <w:rsid w:val="00233709"/>
    <w:rsid w:val="00234AC3"/>
    <w:rsid w:val="002356D9"/>
    <w:rsid w:val="00235B17"/>
    <w:rsid w:val="00236480"/>
    <w:rsid w:val="002369B0"/>
    <w:rsid w:val="00236DFB"/>
    <w:rsid w:val="002373C6"/>
    <w:rsid w:val="00241AFC"/>
    <w:rsid w:val="00241CFA"/>
    <w:rsid w:val="002430EB"/>
    <w:rsid w:val="002434F3"/>
    <w:rsid w:val="00244BC9"/>
    <w:rsid w:val="002460B9"/>
    <w:rsid w:val="0024618D"/>
    <w:rsid w:val="002476F2"/>
    <w:rsid w:val="00247EBC"/>
    <w:rsid w:val="00252395"/>
    <w:rsid w:val="0025279F"/>
    <w:rsid w:val="00253F79"/>
    <w:rsid w:val="002545FF"/>
    <w:rsid w:val="002570FB"/>
    <w:rsid w:val="00260105"/>
    <w:rsid w:val="00260AA6"/>
    <w:rsid w:val="0026269A"/>
    <w:rsid w:val="00263A46"/>
    <w:rsid w:val="00264FED"/>
    <w:rsid w:val="002657E6"/>
    <w:rsid w:val="00265C80"/>
    <w:rsid w:val="002665D6"/>
    <w:rsid w:val="00266990"/>
    <w:rsid w:val="00266DA7"/>
    <w:rsid w:val="0026713B"/>
    <w:rsid w:val="00271EF4"/>
    <w:rsid w:val="002726D8"/>
    <w:rsid w:val="00272E94"/>
    <w:rsid w:val="00273661"/>
    <w:rsid w:val="002743E7"/>
    <w:rsid w:val="00274467"/>
    <w:rsid w:val="00275769"/>
    <w:rsid w:val="00276398"/>
    <w:rsid w:val="0027683E"/>
    <w:rsid w:val="00276FC0"/>
    <w:rsid w:val="0027754C"/>
    <w:rsid w:val="00277FE1"/>
    <w:rsid w:val="002801E0"/>
    <w:rsid w:val="00280258"/>
    <w:rsid w:val="002815D3"/>
    <w:rsid w:val="00281BA3"/>
    <w:rsid w:val="00281E62"/>
    <w:rsid w:val="00283BFF"/>
    <w:rsid w:val="00284E19"/>
    <w:rsid w:val="00284FE8"/>
    <w:rsid w:val="00286A0D"/>
    <w:rsid w:val="002878BF"/>
    <w:rsid w:val="00287E66"/>
    <w:rsid w:val="002907E3"/>
    <w:rsid w:val="00290D63"/>
    <w:rsid w:val="002913ED"/>
    <w:rsid w:val="00291611"/>
    <w:rsid w:val="002920C7"/>
    <w:rsid w:val="002928D2"/>
    <w:rsid w:val="00293111"/>
    <w:rsid w:val="00293F34"/>
    <w:rsid w:val="002948FB"/>
    <w:rsid w:val="00295050"/>
    <w:rsid w:val="002953E1"/>
    <w:rsid w:val="002959EB"/>
    <w:rsid w:val="00295EB7"/>
    <w:rsid w:val="0029781A"/>
    <w:rsid w:val="002A352B"/>
    <w:rsid w:val="002A37EE"/>
    <w:rsid w:val="002A4869"/>
    <w:rsid w:val="002A4B16"/>
    <w:rsid w:val="002A4DC2"/>
    <w:rsid w:val="002A56EC"/>
    <w:rsid w:val="002A6B8E"/>
    <w:rsid w:val="002A725B"/>
    <w:rsid w:val="002B093B"/>
    <w:rsid w:val="002B14D0"/>
    <w:rsid w:val="002B1DC1"/>
    <w:rsid w:val="002B419F"/>
    <w:rsid w:val="002B4655"/>
    <w:rsid w:val="002B4D57"/>
    <w:rsid w:val="002B54FA"/>
    <w:rsid w:val="002B60DD"/>
    <w:rsid w:val="002B65B9"/>
    <w:rsid w:val="002B692F"/>
    <w:rsid w:val="002B6A22"/>
    <w:rsid w:val="002C04ED"/>
    <w:rsid w:val="002C0782"/>
    <w:rsid w:val="002C0DA6"/>
    <w:rsid w:val="002C147F"/>
    <w:rsid w:val="002C248B"/>
    <w:rsid w:val="002C2F20"/>
    <w:rsid w:val="002C31E8"/>
    <w:rsid w:val="002C3322"/>
    <w:rsid w:val="002C38E8"/>
    <w:rsid w:val="002C3D5D"/>
    <w:rsid w:val="002C40F2"/>
    <w:rsid w:val="002C526F"/>
    <w:rsid w:val="002C5E41"/>
    <w:rsid w:val="002C6711"/>
    <w:rsid w:val="002D0023"/>
    <w:rsid w:val="002D2A01"/>
    <w:rsid w:val="002D33C0"/>
    <w:rsid w:val="002D5CAD"/>
    <w:rsid w:val="002D7472"/>
    <w:rsid w:val="002E034F"/>
    <w:rsid w:val="002E1D89"/>
    <w:rsid w:val="002E36BA"/>
    <w:rsid w:val="002E3C82"/>
    <w:rsid w:val="002E4216"/>
    <w:rsid w:val="002E44FB"/>
    <w:rsid w:val="002E7379"/>
    <w:rsid w:val="002F0CAD"/>
    <w:rsid w:val="002F30F7"/>
    <w:rsid w:val="002F349A"/>
    <w:rsid w:val="002F3E65"/>
    <w:rsid w:val="002F405E"/>
    <w:rsid w:val="002F471F"/>
    <w:rsid w:val="002F4935"/>
    <w:rsid w:val="002F5C7C"/>
    <w:rsid w:val="002F641C"/>
    <w:rsid w:val="00300112"/>
    <w:rsid w:val="003003CD"/>
    <w:rsid w:val="00300BB6"/>
    <w:rsid w:val="00301418"/>
    <w:rsid w:val="003023A0"/>
    <w:rsid w:val="003023A8"/>
    <w:rsid w:val="003031CD"/>
    <w:rsid w:val="00303D12"/>
    <w:rsid w:val="00304F42"/>
    <w:rsid w:val="003056DE"/>
    <w:rsid w:val="00305824"/>
    <w:rsid w:val="00306736"/>
    <w:rsid w:val="003072DA"/>
    <w:rsid w:val="0030738E"/>
    <w:rsid w:val="003076AC"/>
    <w:rsid w:val="003113A3"/>
    <w:rsid w:val="003136A8"/>
    <w:rsid w:val="003147E3"/>
    <w:rsid w:val="00315528"/>
    <w:rsid w:val="00315663"/>
    <w:rsid w:val="003159A7"/>
    <w:rsid w:val="0031780A"/>
    <w:rsid w:val="00320FF6"/>
    <w:rsid w:val="00321BC8"/>
    <w:rsid w:val="00322F2C"/>
    <w:rsid w:val="00323736"/>
    <w:rsid w:val="00324B55"/>
    <w:rsid w:val="00325916"/>
    <w:rsid w:val="0032632B"/>
    <w:rsid w:val="003310A7"/>
    <w:rsid w:val="00331936"/>
    <w:rsid w:val="00331FD7"/>
    <w:rsid w:val="0033202E"/>
    <w:rsid w:val="0033348C"/>
    <w:rsid w:val="003334C6"/>
    <w:rsid w:val="00333789"/>
    <w:rsid w:val="00334574"/>
    <w:rsid w:val="00334904"/>
    <w:rsid w:val="00335D5D"/>
    <w:rsid w:val="00337481"/>
    <w:rsid w:val="00337563"/>
    <w:rsid w:val="003376ED"/>
    <w:rsid w:val="00337956"/>
    <w:rsid w:val="00340184"/>
    <w:rsid w:val="0034121C"/>
    <w:rsid w:val="00341926"/>
    <w:rsid w:val="00343643"/>
    <w:rsid w:val="00344A9A"/>
    <w:rsid w:val="00344C60"/>
    <w:rsid w:val="0034745F"/>
    <w:rsid w:val="00350764"/>
    <w:rsid w:val="003507C9"/>
    <w:rsid w:val="00350B71"/>
    <w:rsid w:val="00351B05"/>
    <w:rsid w:val="0035304B"/>
    <w:rsid w:val="00353702"/>
    <w:rsid w:val="00353A92"/>
    <w:rsid w:val="00353E6D"/>
    <w:rsid w:val="00353FF7"/>
    <w:rsid w:val="003566C5"/>
    <w:rsid w:val="003566C8"/>
    <w:rsid w:val="003568D6"/>
    <w:rsid w:val="0035702D"/>
    <w:rsid w:val="00357252"/>
    <w:rsid w:val="00360789"/>
    <w:rsid w:val="00360969"/>
    <w:rsid w:val="00360DDD"/>
    <w:rsid w:val="00361948"/>
    <w:rsid w:val="00361A96"/>
    <w:rsid w:val="003625D4"/>
    <w:rsid w:val="003633BE"/>
    <w:rsid w:val="00363EE5"/>
    <w:rsid w:val="00364AC2"/>
    <w:rsid w:val="00364E7B"/>
    <w:rsid w:val="003665B8"/>
    <w:rsid w:val="00366CFE"/>
    <w:rsid w:val="0037124F"/>
    <w:rsid w:val="00372157"/>
    <w:rsid w:val="003725EE"/>
    <w:rsid w:val="00373F0D"/>
    <w:rsid w:val="00375A86"/>
    <w:rsid w:val="00375F0B"/>
    <w:rsid w:val="00376D8D"/>
    <w:rsid w:val="003802A0"/>
    <w:rsid w:val="00380BA3"/>
    <w:rsid w:val="00380F3F"/>
    <w:rsid w:val="0038193A"/>
    <w:rsid w:val="003821F1"/>
    <w:rsid w:val="003837C1"/>
    <w:rsid w:val="00383CE1"/>
    <w:rsid w:val="00384ABC"/>
    <w:rsid w:val="003856AE"/>
    <w:rsid w:val="00385D50"/>
    <w:rsid w:val="00386869"/>
    <w:rsid w:val="00387245"/>
    <w:rsid w:val="0039091C"/>
    <w:rsid w:val="003909B8"/>
    <w:rsid w:val="00390C6F"/>
    <w:rsid w:val="003911CF"/>
    <w:rsid w:val="00391707"/>
    <w:rsid w:val="00391797"/>
    <w:rsid w:val="00392333"/>
    <w:rsid w:val="003929C6"/>
    <w:rsid w:val="00393917"/>
    <w:rsid w:val="00395C37"/>
    <w:rsid w:val="00395E45"/>
    <w:rsid w:val="00397094"/>
    <w:rsid w:val="00397505"/>
    <w:rsid w:val="00397940"/>
    <w:rsid w:val="003A1809"/>
    <w:rsid w:val="003A23FA"/>
    <w:rsid w:val="003A3343"/>
    <w:rsid w:val="003A3DE2"/>
    <w:rsid w:val="003A4717"/>
    <w:rsid w:val="003A4EF3"/>
    <w:rsid w:val="003B102E"/>
    <w:rsid w:val="003B3352"/>
    <w:rsid w:val="003B380B"/>
    <w:rsid w:val="003B43FE"/>
    <w:rsid w:val="003B49ED"/>
    <w:rsid w:val="003B5869"/>
    <w:rsid w:val="003B6A80"/>
    <w:rsid w:val="003B6AAE"/>
    <w:rsid w:val="003B6C3A"/>
    <w:rsid w:val="003B6C91"/>
    <w:rsid w:val="003B7326"/>
    <w:rsid w:val="003C070E"/>
    <w:rsid w:val="003C0E57"/>
    <w:rsid w:val="003C1A04"/>
    <w:rsid w:val="003C205C"/>
    <w:rsid w:val="003C261F"/>
    <w:rsid w:val="003C3D8F"/>
    <w:rsid w:val="003C41CE"/>
    <w:rsid w:val="003C44ED"/>
    <w:rsid w:val="003C62D2"/>
    <w:rsid w:val="003C729F"/>
    <w:rsid w:val="003D07C5"/>
    <w:rsid w:val="003D08BB"/>
    <w:rsid w:val="003D205A"/>
    <w:rsid w:val="003D2490"/>
    <w:rsid w:val="003D33BB"/>
    <w:rsid w:val="003D430E"/>
    <w:rsid w:val="003D4AE3"/>
    <w:rsid w:val="003D52B9"/>
    <w:rsid w:val="003D668E"/>
    <w:rsid w:val="003D67FF"/>
    <w:rsid w:val="003D6E41"/>
    <w:rsid w:val="003D79BB"/>
    <w:rsid w:val="003E2650"/>
    <w:rsid w:val="003E3380"/>
    <w:rsid w:val="003E4AD1"/>
    <w:rsid w:val="003E4D39"/>
    <w:rsid w:val="003E5CC1"/>
    <w:rsid w:val="003E6721"/>
    <w:rsid w:val="003E6B4D"/>
    <w:rsid w:val="003E6C05"/>
    <w:rsid w:val="003E74C9"/>
    <w:rsid w:val="003F200D"/>
    <w:rsid w:val="003F25BB"/>
    <w:rsid w:val="003F4A59"/>
    <w:rsid w:val="003F6F9B"/>
    <w:rsid w:val="003F749E"/>
    <w:rsid w:val="003F7BF5"/>
    <w:rsid w:val="0040101D"/>
    <w:rsid w:val="0040160D"/>
    <w:rsid w:val="00401A54"/>
    <w:rsid w:val="00403FA6"/>
    <w:rsid w:val="004052ED"/>
    <w:rsid w:val="0040685D"/>
    <w:rsid w:val="004068E0"/>
    <w:rsid w:val="004101B0"/>
    <w:rsid w:val="004102E6"/>
    <w:rsid w:val="00411202"/>
    <w:rsid w:val="004124EF"/>
    <w:rsid w:val="00413357"/>
    <w:rsid w:val="00413BEE"/>
    <w:rsid w:val="00413C13"/>
    <w:rsid w:val="00414464"/>
    <w:rsid w:val="00414BC7"/>
    <w:rsid w:val="00415251"/>
    <w:rsid w:val="0041565D"/>
    <w:rsid w:val="00415856"/>
    <w:rsid w:val="0041775C"/>
    <w:rsid w:val="0042019B"/>
    <w:rsid w:val="00421ABB"/>
    <w:rsid w:val="004242EF"/>
    <w:rsid w:val="00425155"/>
    <w:rsid w:val="004259BE"/>
    <w:rsid w:val="00427324"/>
    <w:rsid w:val="00427C6E"/>
    <w:rsid w:val="0043005D"/>
    <w:rsid w:val="0043122A"/>
    <w:rsid w:val="00431E3B"/>
    <w:rsid w:val="004320CB"/>
    <w:rsid w:val="00432C38"/>
    <w:rsid w:val="004345EE"/>
    <w:rsid w:val="00434D25"/>
    <w:rsid w:val="00434D67"/>
    <w:rsid w:val="004355FC"/>
    <w:rsid w:val="00436544"/>
    <w:rsid w:val="00436BC1"/>
    <w:rsid w:val="0043753C"/>
    <w:rsid w:val="00437645"/>
    <w:rsid w:val="004400CA"/>
    <w:rsid w:val="004412C2"/>
    <w:rsid w:val="004432C4"/>
    <w:rsid w:val="004434BF"/>
    <w:rsid w:val="0044394A"/>
    <w:rsid w:val="00443E34"/>
    <w:rsid w:val="0044420D"/>
    <w:rsid w:val="00444280"/>
    <w:rsid w:val="00444460"/>
    <w:rsid w:val="00444888"/>
    <w:rsid w:val="0044598A"/>
    <w:rsid w:val="00445DAD"/>
    <w:rsid w:val="00446E92"/>
    <w:rsid w:val="004470B4"/>
    <w:rsid w:val="004472BF"/>
    <w:rsid w:val="0044734D"/>
    <w:rsid w:val="004501B3"/>
    <w:rsid w:val="00450550"/>
    <w:rsid w:val="00450F57"/>
    <w:rsid w:val="00451236"/>
    <w:rsid w:val="004514BF"/>
    <w:rsid w:val="00452B40"/>
    <w:rsid w:val="00453885"/>
    <w:rsid w:val="004547FE"/>
    <w:rsid w:val="0045485B"/>
    <w:rsid w:val="00456A2B"/>
    <w:rsid w:val="00457562"/>
    <w:rsid w:val="00457793"/>
    <w:rsid w:val="004604BA"/>
    <w:rsid w:val="00460AEA"/>
    <w:rsid w:val="00460D05"/>
    <w:rsid w:val="00461D4A"/>
    <w:rsid w:val="00462C28"/>
    <w:rsid w:val="00464AB5"/>
    <w:rsid w:val="004665B0"/>
    <w:rsid w:val="00466FB2"/>
    <w:rsid w:val="0046796F"/>
    <w:rsid w:val="00467B09"/>
    <w:rsid w:val="0047089C"/>
    <w:rsid w:val="0047172F"/>
    <w:rsid w:val="00471F97"/>
    <w:rsid w:val="004729E7"/>
    <w:rsid w:val="00472DC6"/>
    <w:rsid w:val="00473137"/>
    <w:rsid w:val="004733B2"/>
    <w:rsid w:val="00475233"/>
    <w:rsid w:val="0047619A"/>
    <w:rsid w:val="0047741E"/>
    <w:rsid w:val="00480993"/>
    <w:rsid w:val="00480D2F"/>
    <w:rsid w:val="004813B2"/>
    <w:rsid w:val="004819BD"/>
    <w:rsid w:val="004830DC"/>
    <w:rsid w:val="00483332"/>
    <w:rsid w:val="004859D0"/>
    <w:rsid w:val="0048721A"/>
    <w:rsid w:val="00487B87"/>
    <w:rsid w:val="00487C6B"/>
    <w:rsid w:val="00490D11"/>
    <w:rsid w:val="00491568"/>
    <w:rsid w:val="00491CB3"/>
    <w:rsid w:val="00491D03"/>
    <w:rsid w:val="00492362"/>
    <w:rsid w:val="00492E54"/>
    <w:rsid w:val="00493DD9"/>
    <w:rsid w:val="00493E38"/>
    <w:rsid w:val="00494814"/>
    <w:rsid w:val="0049575F"/>
    <w:rsid w:val="0049604D"/>
    <w:rsid w:val="004960EB"/>
    <w:rsid w:val="00496AA9"/>
    <w:rsid w:val="004977E2"/>
    <w:rsid w:val="00497F41"/>
    <w:rsid w:val="004A03CA"/>
    <w:rsid w:val="004A1AEC"/>
    <w:rsid w:val="004A2047"/>
    <w:rsid w:val="004A25C1"/>
    <w:rsid w:val="004A36E5"/>
    <w:rsid w:val="004A3B7F"/>
    <w:rsid w:val="004A524D"/>
    <w:rsid w:val="004B26EF"/>
    <w:rsid w:val="004B2E4A"/>
    <w:rsid w:val="004B30DA"/>
    <w:rsid w:val="004B31EF"/>
    <w:rsid w:val="004B3785"/>
    <w:rsid w:val="004B3E1C"/>
    <w:rsid w:val="004B4D20"/>
    <w:rsid w:val="004B5296"/>
    <w:rsid w:val="004B544C"/>
    <w:rsid w:val="004B6339"/>
    <w:rsid w:val="004B6860"/>
    <w:rsid w:val="004B6D6B"/>
    <w:rsid w:val="004B7E8E"/>
    <w:rsid w:val="004C3208"/>
    <w:rsid w:val="004C3AA4"/>
    <w:rsid w:val="004C3C5F"/>
    <w:rsid w:val="004C52AF"/>
    <w:rsid w:val="004C5451"/>
    <w:rsid w:val="004C5C74"/>
    <w:rsid w:val="004C6108"/>
    <w:rsid w:val="004C6D47"/>
    <w:rsid w:val="004C7038"/>
    <w:rsid w:val="004C77D5"/>
    <w:rsid w:val="004C7946"/>
    <w:rsid w:val="004D0087"/>
    <w:rsid w:val="004D0568"/>
    <w:rsid w:val="004D07A4"/>
    <w:rsid w:val="004D22D0"/>
    <w:rsid w:val="004D25D2"/>
    <w:rsid w:val="004D27A4"/>
    <w:rsid w:val="004D44C9"/>
    <w:rsid w:val="004D5AAD"/>
    <w:rsid w:val="004D6416"/>
    <w:rsid w:val="004D6D5A"/>
    <w:rsid w:val="004E0B44"/>
    <w:rsid w:val="004E0BBC"/>
    <w:rsid w:val="004E18AF"/>
    <w:rsid w:val="004E2915"/>
    <w:rsid w:val="004E2A6E"/>
    <w:rsid w:val="004E3D3C"/>
    <w:rsid w:val="004E527D"/>
    <w:rsid w:val="004E614A"/>
    <w:rsid w:val="004F0530"/>
    <w:rsid w:val="004F08F7"/>
    <w:rsid w:val="004F0B4D"/>
    <w:rsid w:val="004F4BCE"/>
    <w:rsid w:val="004F507B"/>
    <w:rsid w:val="004F5376"/>
    <w:rsid w:val="004F67F6"/>
    <w:rsid w:val="0050069B"/>
    <w:rsid w:val="00500D5E"/>
    <w:rsid w:val="005012ED"/>
    <w:rsid w:val="005016E6"/>
    <w:rsid w:val="0050228B"/>
    <w:rsid w:val="005025E2"/>
    <w:rsid w:val="005027CA"/>
    <w:rsid w:val="00503C59"/>
    <w:rsid w:val="005052A7"/>
    <w:rsid w:val="0050565E"/>
    <w:rsid w:val="00505D03"/>
    <w:rsid w:val="00506D60"/>
    <w:rsid w:val="005103FF"/>
    <w:rsid w:val="00510E25"/>
    <w:rsid w:val="00510E74"/>
    <w:rsid w:val="00511173"/>
    <w:rsid w:val="00512214"/>
    <w:rsid w:val="00512E5D"/>
    <w:rsid w:val="00513CC8"/>
    <w:rsid w:val="0051491B"/>
    <w:rsid w:val="00515869"/>
    <w:rsid w:val="00515E10"/>
    <w:rsid w:val="00515F5E"/>
    <w:rsid w:val="005162D1"/>
    <w:rsid w:val="00516A16"/>
    <w:rsid w:val="00517EC0"/>
    <w:rsid w:val="00520F41"/>
    <w:rsid w:val="005216E5"/>
    <w:rsid w:val="00522B84"/>
    <w:rsid w:val="00523EBC"/>
    <w:rsid w:val="00524C2C"/>
    <w:rsid w:val="00524F63"/>
    <w:rsid w:val="005250E1"/>
    <w:rsid w:val="0052605E"/>
    <w:rsid w:val="00530163"/>
    <w:rsid w:val="005311E3"/>
    <w:rsid w:val="00531594"/>
    <w:rsid w:val="005317DF"/>
    <w:rsid w:val="00532A90"/>
    <w:rsid w:val="00532CEA"/>
    <w:rsid w:val="00532D5E"/>
    <w:rsid w:val="00533D70"/>
    <w:rsid w:val="00534DFB"/>
    <w:rsid w:val="00536175"/>
    <w:rsid w:val="005365A6"/>
    <w:rsid w:val="005373CC"/>
    <w:rsid w:val="0054216B"/>
    <w:rsid w:val="00542725"/>
    <w:rsid w:val="00542F3A"/>
    <w:rsid w:val="00544CF5"/>
    <w:rsid w:val="00550F03"/>
    <w:rsid w:val="005513D0"/>
    <w:rsid w:val="00551756"/>
    <w:rsid w:val="0055244E"/>
    <w:rsid w:val="005532A7"/>
    <w:rsid w:val="00554E46"/>
    <w:rsid w:val="00554E82"/>
    <w:rsid w:val="00555470"/>
    <w:rsid w:val="0055555E"/>
    <w:rsid w:val="00560B00"/>
    <w:rsid w:val="00563359"/>
    <w:rsid w:val="00563541"/>
    <w:rsid w:val="00563835"/>
    <w:rsid w:val="00563FE6"/>
    <w:rsid w:val="00565432"/>
    <w:rsid w:val="00566FD5"/>
    <w:rsid w:val="005676E5"/>
    <w:rsid w:val="00570BB8"/>
    <w:rsid w:val="00570BC1"/>
    <w:rsid w:val="00571969"/>
    <w:rsid w:val="00573B45"/>
    <w:rsid w:val="005748BB"/>
    <w:rsid w:val="00575F90"/>
    <w:rsid w:val="00576235"/>
    <w:rsid w:val="00576739"/>
    <w:rsid w:val="00577119"/>
    <w:rsid w:val="00577B00"/>
    <w:rsid w:val="0058372E"/>
    <w:rsid w:val="00583991"/>
    <w:rsid w:val="00583C4B"/>
    <w:rsid w:val="00584669"/>
    <w:rsid w:val="00585221"/>
    <w:rsid w:val="0058588E"/>
    <w:rsid w:val="00586881"/>
    <w:rsid w:val="00587081"/>
    <w:rsid w:val="00587AD0"/>
    <w:rsid w:val="005900E2"/>
    <w:rsid w:val="00590632"/>
    <w:rsid w:val="0059069E"/>
    <w:rsid w:val="0059106E"/>
    <w:rsid w:val="005929C3"/>
    <w:rsid w:val="005932F8"/>
    <w:rsid w:val="00594854"/>
    <w:rsid w:val="00594B8B"/>
    <w:rsid w:val="00594E71"/>
    <w:rsid w:val="0059567B"/>
    <w:rsid w:val="00595902"/>
    <w:rsid w:val="00595F2B"/>
    <w:rsid w:val="00597EE4"/>
    <w:rsid w:val="005A007F"/>
    <w:rsid w:val="005A076F"/>
    <w:rsid w:val="005A0F1F"/>
    <w:rsid w:val="005A33F0"/>
    <w:rsid w:val="005A3D1C"/>
    <w:rsid w:val="005A5400"/>
    <w:rsid w:val="005A6433"/>
    <w:rsid w:val="005A687C"/>
    <w:rsid w:val="005A7AF4"/>
    <w:rsid w:val="005B0185"/>
    <w:rsid w:val="005B04A8"/>
    <w:rsid w:val="005B04C3"/>
    <w:rsid w:val="005B07E5"/>
    <w:rsid w:val="005B187B"/>
    <w:rsid w:val="005B2FD6"/>
    <w:rsid w:val="005B41CA"/>
    <w:rsid w:val="005B4F28"/>
    <w:rsid w:val="005B7BC6"/>
    <w:rsid w:val="005C2270"/>
    <w:rsid w:val="005C2389"/>
    <w:rsid w:val="005C24AF"/>
    <w:rsid w:val="005C2614"/>
    <w:rsid w:val="005C2AD0"/>
    <w:rsid w:val="005C4228"/>
    <w:rsid w:val="005C48B9"/>
    <w:rsid w:val="005C55C8"/>
    <w:rsid w:val="005C5D9F"/>
    <w:rsid w:val="005C5DAB"/>
    <w:rsid w:val="005C5FA3"/>
    <w:rsid w:val="005C65C3"/>
    <w:rsid w:val="005D037B"/>
    <w:rsid w:val="005D08A7"/>
    <w:rsid w:val="005D1C9E"/>
    <w:rsid w:val="005D21B5"/>
    <w:rsid w:val="005D2688"/>
    <w:rsid w:val="005D2775"/>
    <w:rsid w:val="005D2ED1"/>
    <w:rsid w:val="005D3BC2"/>
    <w:rsid w:val="005D4632"/>
    <w:rsid w:val="005D4F8B"/>
    <w:rsid w:val="005D5C0A"/>
    <w:rsid w:val="005D6962"/>
    <w:rsid w:val="005E0188"/>
    <w:rsid w:val="005E05F6"/>
    <w:rsid w:val="005E0B91"/>
    <w:rsid w:val="005E1ECA"/>
    <w:rsid w:val="005E1FE3"/>
    <w:rsid w:val="005E43CD"/>
    <w:rsid w:val="005E4E3C"/>
    <w:rsid w:val="005E4F96"/>
    <w:rsid w:val="005E52B7"/>
    <w:rsid w:val="005E6661"/>
    <w:rsid w:val="005E72E2"/>
    <w:rsid w:val="005E77C1"/>
    <w:rsid w:val="005F0217"/>
    <w:rsid w:val="005F041A"/>
    <w:rsid w:val="005F1420"/>
    <w:rsid w:val="005F14E4"/>
    <w:rsid w:val="005F1EFB"/>
    <w:rsid w:val="005F2783"/>
    <w:rsid w:val="005F2FBA"/>
    <w:rsid w:val="005F650A"/>
    <w:rsid w:val="005F6706"/>
    <w:rsid w:val="005F6F5D"/>
    <w:rsid w:val="005F6F6E"/>
    <w:rsid w:val="00600383"/>
    <w:rsid w:val="00600A02"/>
    <w:rsid w:val="00600BD2"/>
    <w:rsid w:val="00601689"/>
    <w:rsid w:val="0060379C"/>
    <w:rsid w:val="0060591D"/>
    <w:rsid w:val="00610587"/>
    <w:rsid w:val="006111C4"/>
    <w:rsid w:val="00611331"/>
    <w:rsid w:val="006115F3"/>
    <w:rsid w:val="006128B2"/>
    <w:rsid w:val="00612ACE"/>
    <w:rsid w:val="0061329E"/>
    <w:rsid w:val="006137F1"/>
    <w:rsid w:val="00613ECA"/>
    <w:rsid w:val="00617818"/>
    <w:rsid w:val="006202AD"/>
    <w:rsid w:val="00621B9E"/>
    <w:rsid w:val="00622983"/>
    <w:rsid w:val="00622EDB"/>
    <w:rsid w:val="00623FDF"/>
    <w:rsid w:val="0062408D"/>
    <w:rsid w:val="006241F8"/>
    <w:rsid w:val="00624521"/>
    <w:rsid w:val="00624CBB"/>
    <w:rsid w:val="0062523A"/>
    <w:rsid w:val="00630B8E"/>
    <w:rsid w:val="00631DA8"/>
    <w:rsid w:val="00631DA9"/>
    <w:rsid w:val="00631FA2"/>
    <w:rsid w:val="006320F6"/>
    <w:rsid w:val="00632EA1"/>
    <w:rsid w:val="00633864"/>
    <w:rsid w:val="00633FEB"/>
    <w:rsid w:val="00634E99"/>
    <w:rsid w:val="00635DBE"/>
    <w:rsid w:val="00635ED2"/>
    <w:rsid w:val="00636764"/>
    <w:rsid w:val="006377D8"/>
    <w:rsid w:val="006404D7"/>
    <w:rsid w:val="00641282"/>
    <w:rsid w:val="006415A9"/>
    <w:rsid w:val="00641955"/>
    <w:rsid w:val="0064499E"/>
    <w:rsid w:val="00647180"/>
    <w:rsid w:val="00647A85"/>
    <w:rsid w:val="006500C9"/>
    <w:rsid w:val="00652AD4"/>
    <w:rsid w:val="006540D2"/>
    <w:rsid w:val="00654909"/>
    <w:rsid w:val="00654CFD"/>
    <w:rsid w:val="00654EFF"/>
    <w:rsid w:val="006552D9"/>
    <w:rsid w:val="00656146"/>
    <w:rsid w:val="00656733"/>
    <w:rsid w:val="006605AD"/>
    <w:rsid w:val="00662A33"/>
    <w:rsid w:val="0066379F"/>
    <w:rsid w:val="0066414E"/>
    <w:rsid w:val="00666B75"/>
    <w:rsid w:val="00666CEE"/>
    <w:rsid w:val="00670142"/>
    <w:rsid w:val="0067145A"/>
    <w:rsid w:val="00672874"/>
    <w:rsid w:val="00673209"/>
    <w:rsid w:val="00673508"/>
    <w:rsid w:val="006752DC"/>
    <w:rsid w:val="00676409"/>
    <w:rsid w:val="006768A7"/>
    <w:rsid w:val="00676D8D"/>
    <w:rsid w:val="00677D55"/>
    <w:rsid w:val="006802EC"/>
    <w:rsid w:val="006809CC"/>
    <w:rsid w:val="00680C13"/>
    <w:rsid w:val="00682662"/>
    <w:rsid w:val="00682842"/>
    <w:rsid w:val="00683482"/>
    <w:rsid w:val="00686B53"/>
    <w:rsid w:val="00686F4C"/>
    <w:rsid w:val="00690C5B"/>
    <w:rsid w:val="0069191C"/>
    <w:rsid w:val="00691E04"/>
    <w:rsid w:val="00691E66"/>
    <w:rsid w:val="00692311"/>
    <w:rsid w:val="00693A9F"/>
    <w:rsid w:val="00694C84"/>
    <w:rsid w:val="006955A3"/>
    <w:rsid w:val="006A02DF"/>
    <w:rsid w:val="006A1D54"/>
    <w:rsid w:val="006A52D6"/>
    <w:rsid w:val="006A6B45"/>
    <w:rsid w:val="006A7602"/>
    <w:rsid w:val="006B04B4"/>
    <w:rsid w:val="006B083F"/>
    <w:rsid w:val="006B137D"/>
    <w:rsid w:val="006B1512"/>
    <w:rsid w:val="006B2D5B"/>
    <w:rsid w:val="006B2FA2"/>
    <w:rsid w:val="006B3264"/>
    <w:rsid w:val="006B48FF"/>
    <w:rsid w:val="006B4E5C"/>
    <w:rsid w:val="006C0896"/>
    <w:rsid w:val="006C0AA8"/>
    <w:rsid w:val="006C0E0F"/>
    <w:rsid w:val="006C2A8D"/>
    <w:rsid w:val="006C2B07"/>
    <w:rsid w:val="006C4D26"/>
    <w:rsid w:val="006C4DD3"/>
    <w:rsid w:val="006C66E8"/>
    <w:rsid w:val="006C6A37"/>
    <w:rsid w:val="006C75D6"/>
    <w:rsid w:val="006C7A51"/>
    <w:rsid w:val="006C7AB8"/>
    <w:rsid w:val="006C7CEC"/>
    <w:rsid w:val="006D079D"/>
    <w:rsid w:val="006D08C3"/>
    <w:rsid w:val="006D09AF"/>
    <w:rsid w:val="006D22CF"/>
    <w:rsid w:val="006D41EE"/>
    <w:rsid w:val="006D522A"/>
    <w:rsid w:val="006D6EBD"/>
    <w:rsid w:val="006D7D01"/>
    <w:rsid w:val="006E159B"/>
    <w:rsid w:val="006E18B4"/>
    <w:rsid w:val="006E1DFD"/>
    <w:rsid w:val="006E27DB"/>
    <w:rsid w:val="006E4613"/>
    <w:rsid w:val="006E4F89"/>
    <w:rsid w:val="006E5A2D"/>
    <w:rsid w:val="006E5C21"/>
    <w:rsid w:val="006E5D79"/>
    <w:rsid w:val="006E650E"/>
    <w:rsid w:val="006E65D6"/>
    <w:rsid w:val="006E6C88"/>
    <w:rsid w:val="006E72E7"/>
    <w:rsid w:val="006F14BF"/>
    <w:rsid w:val="006F1A5B"/>
    <w:rsid w:val="006F26C7"/>
    <w:rsid w:val="006F29D9"/>
    <w:rsid w:val="006F33DA"/>
    <w:rsid w:val="006F39F1"/>
    <w:rsid w:val="006F5CD1"/>
    <w:rsid w:val="006F7CA2"/>
    <w:rsid w:val="00700D7D"/>
    <w:rsid w:val="00701724"/>
    <w:rsid w:val="00701816"/>
    <w:rsid w:val="007020C0"/>
    <w:rsid w:val="007038AF"/>
    <w:rsid w:val="007038B0"/>
    <w:rsid w:val="00704407"/>
    <w:rsid w:val="00705579"/>
    <w:rsid w:val="007060B2"/>
    <w:rsid w:val="0070630C"/>
    <w:rsid w:val="00706A0B"/>
    <w:rsid w:val="00706A5E"/>
    <w:rsid w:val="00706F45"/>
    <w:rsid w:val="007100F4"/>
    <w:rsid w:val="00713F6B"/>
    <w:rsid w:val="007163E6"/>
    <w:rsid w:val="00717126"/>
    <w:rsid w:val="00717CF4"/>
    <w:rsid w:val="00722F21"/>
    <w:rsid w:val="0072429F"/>
    <w:rsid w:val="00725203"/>
    <w:rsid w:val="0072587D"/>
    <w:rsid w:val="00725B4C"/>
    <w:rsid w:val="00725E44"/>
    <w:rsid w:val="00726AC9"/>
    <w:rsid w:val="007272D1"/>
    <w:rsid w:val="0072794B"/>
    <w:rsid w:val="0072797A"/>
    <w:rsid w:val="007300B3"/>
    <w:rsid w:val="00731F63"/>
    <w:rsid w:val="00733415"/>
    <w:rsid w:val="00733713"/>
    <w:rsid w:val="007347F9"/>
    <w:rsid w:val="0073506C"/>
    <w:rsid w:val="00736B1B"/>
    <w:rsid w:val="00736C27"/>
    <w:rsid w:val="007421B8"/>
    <w:rsid w:val="00742B28"/>
    <w:rsid w:val="007435DD"/>
    <w:rsid w:val="007445A8"/>
    <w:rsid w:val="00744B1C"/>
    <w:rsid w:val="007453F5"/>
    <w:rsid w:val="007458AA"/>
    <w:rsid w:val="007469CF"/>
    <w:rsid w:val="00746F5A"/>
    <w:rsid w:val="00747D6E"/>
    <w:rsid w:val="00750374"/>
    <w:rsid w:val="0075103B"/>
    <w:rsid w:val="00753BB7"/>
    <w:rsid w:val="00754795"/>
    <w:rsid w:val="007554CF"/>
    <w:rsid w:val="00756517"/>
    <w:rsid w:val="00756BE0"/>
    <w:rsid w:val="00757C36"/>
    <w:rsid w:val="007603ED"/>
    <w:rsid w:val="007608C7"/>
    <w:rsid w:val="00760C32"/>
    <w:rsid w:val="00763492"/>
    <w:rsid w:val="0076444A"/>
    <w:rsid w:val="00764D7B"/>
    <w:rsid w:val="0076535E"/>
    <w:rsid w:val="00771626"/>
    <w:rsid w:val="00771780"/>
    <w:rsid w:val="007721E5"/>
    <w:rsid w:val="007723BD"/>
    <w:rsid w:val="007747BE"/>
    <w:rsid w:val="007767B9"/>
    <w:rsid w:val="00776D99"/>
    <w:rsid w:val="00777AE3"/>
    <w:rsid w:val="00780149"/>
    <w:rsid w:val="00780A75"/>
    <w:rsid w:val="00781D3B"/>
    <w:rsid w:val="007827A8"/>
    <w:rsid w:val="00782DCD"/>
    <w:rsid w:val="0078523D"/>
    <w:rsid w:val="0078561C"/>
    <w:rsid w:val="007868F0"/>
    <w:rsid w:val="0078772D"/>
    <w:rsid w:val="00791073"/>
    <w:rsid w:val="00791799"/>
    <w:rsid w:val="00792087"/>
    <w:rsid w:val="00792141"/>
    <w:rsid w:val="00792878"/>
    <w:rsid w:val="007938DF"/>
    <w:rsid w:val="00795C5E"/>
    <w:rsid w:val="00795F18"/>
    <w:rsid w:val="00797209"/>
    <w:rsid w:val="00797E71"/>
    <w:rsid w:val="007A0ECA"/>
    <w:rsid w:val="007A1199"/>
    <w:rsid w:val="007A1572"/>
    <w:rsid w:val="007A2F81"/>
    <w:rsid w:val="007A5629"/>
    <w:rsid w:val="007A5AF7"/>
    <w:rsid w:val="007A5D72"/>
    <w:rsid w:val="007A6113"/>
    <w:rsid w:val="007A612F"/>
    <w:rsid w:val="007A6E93"/>
    <w:rsid w:val="007B29FB"/>
    <w:rsid w:val="007B3043"/>
    <w:rsid w:val="007B529B"/>
    <w:rsid w:val="007B5C13"/>
    <w:rsid w:val="007B6F7D"/>
    <w:rsid w:val="007B7747"/>
    <w:rsid w:val="007B7820"/>
    <w:rsid w:val="007B7AC3"/>
    <w:rsid w:val="007C19E9"/>
    <w:rsid w:val="007C27C5"/>
    <w:rsid w:val="007C32BF"/>
    <w:rsid w:val="007C47B1"/>
    <w:rsid w:val="007C526F"/>
    <w:rsid w:val="007C5E46"/>
    <w:rsid w:val="007C66F3"/>
    <w:rsid w:val="007C7A8E"/>
    <w:rsid w:val="007D00E6"/>
    <w:rsid w:val="007D04AB"/>
    <w:rsid w:val="007D0A0E"/>
    <w:rsid w:val="007D0A32"/>
    <w:rsid w:val="007D1B2F"/>
    <w:rsid w:val="007D26C3"/>
    <w:rsid w:val="007D2B88"/>
    <w:rsid w:val="007D2EF7"/>
    <w:rsid w:val="007D30AA"/>
    <w:rsid w:val="007D33E5"/>
    <w:rsid w:val="007D35DE"/>
    <w:rsid w:val="007D3700"/>
    <w:rsid w:val="007D436E"/>
    <w:rsid w:val="007D5622"/>
    <w:rsid w:val="007D583E"/>
    <w:rsid w:val="007D5E05"/>
    <w:rsid w:val="007D5E97"/>
    <w:rsid w:val="007E05E4"/>
    <w:rsid w:val="007E0D8A"/>
    <w:rsid w:val="007E1F76"/>
    <w:rsid w:val="007E3A01"/>
    <w:rsid w:val="007E3D91"/>
    <w:rsid w:val="007E5394"/>
    <w:rsid w:val="007E55D0"/>
    <w:rsid w:val="007E640A"/>
    <w:rsid w:val="007E6A42"/>
    <w:rsid w:val="007E7453"/>
    <w:rsid w:val="007F0BAA"/>
    <w:rsid w:val="007F1D30"/>
    <w:rsid w:val="007F298D"/>
    <w:rsid w:val="007F41F8"/>
    <w:rsid w:val="007F6335"/>
    <w:rsid w:val="007F65B4"/>
    <w:rsid w:val="007F773F"/>
    <w:rsid w:val="007F7B05"/>
    <w:rsid w:val="008014AE"/>
    <w:rsid w:val="0080189E"/>
    <w:rsid w:val="00802160"/>
    <w:rsid w:val="00803BFB"/>
    <w:rsid w:val="00804BA7"/>
    <w:rsid w:val="00804EA4"/>
    <w:rsid w:val="00805FE8"/>
    <w:rsid w:val="00806836"/>
    <w:rsid w:val="00807476"/>
    <w:rsid w:val="00810394"/>
    <w:rsid w:val="00810A96"/>
    <w:rsid w:val="008118C8"/>
    <w:rsid w:val="00811E58"/>
    <w:rsid w:val="00812301"/>
    <w:rsid w:val="00812729"/>
    <w:rsid w:val="008143EC"/>
    <w:rsid w:val="0081579B"/>
    <w:rsid w:val="008168B2"/>
    <w:rsid w:val="00816A32"/>
    <w:rsid w:val="00816F96"/>
    <w:rsid w:val="00817365"/>
    <w:rsid w:val="00820173"/>
    <w:rsid w:val="00820237"/>
    <w:rsid w:val="008210BA"/>
    <w:rsid w:val="0082124B"/>
    <w:rsid w:val="00821743"/>
    <w:rsid w:val="0082276C"/>
    <w:rsid w:val="00823CD7"/>
    <w:rsid w:val="00824ED3"/>
    <w:rsid w:val="008250BA"/>
    <w:rsid w:val="00825922"/>
    <w:rsid w:val="00831088"/>
    <w:rsid w:val="0083140A"/>
    <w:rsid w:val="00831518"/>
    <w:rsid w:val="0083154E"/>
    <w:rsid w:val="008318BC"/>
    <w:rsid w:val="008323D2"/>
    <w:rsid w:val="00832BBC"/>
    <w:rsid w:val="00833EF9"/>
    <w:rsid w:val="00833FDA"/>
    <w:rsid w:val="0083614A"/>
    <w:rsid w:val="00841F27"/>
    <w:rsid w:val="00842D7E"/>
    <w:rsid w:val="0084303A"/>
    <w:rsid w:val="00843B10"/>
    <w:rsid w:val="00844783"/>
    <w:rsid w:val="0084652F"/>
    <w:rsid w:val="0084720B"/>
    <w:rsid w:val="00847289"/>
    <w:rsid w:val="00847546"/>
    <w:rsid w:val="00850FDE"/>
    <w:rsid w:val="008514FE"/>
    <w:rsid w:val="008530FC"/>
    <w:rsid w:val="008558A9"/>
    <w:rsid w:val="00855994"/>
    <w:rsid w:val="00856139"/>
    <w:rsid w:val="00856605"/>
    <w:rsid w:val="00856707"/>
    <w:rsid w:val="00857AFD"/>
    <w:rsid w:val="0086034E"/>
    <w:rsid w:val="0086248B"/>
    <w:rsid w:val="008634BD"/>
    <w:rsid w:val="00866941"/>
    <w:rsid w:val="00867915"/>
    <w:rsid w:val="0087027C"/>
    <w:rsid w:val="00870D54"/>
    <w:rsid w:val="00872BCC"/>
    <w:rsid w:val="00872C51"/>
    <w:rsid w:val="00874118"/>
    <w:rsid w:val="008758C1"/>
    <w:rsid w:val="00876084"/>
    <w:rsid w:val="00876A9C"/>
    <w:rsid w:val="008778BF"/>
    <w:rsid w:val="00877952"/>
    <w:rsid w:val="00877E6E"/>
    <w:rsid w:val="008800DD"/>
    <w:rsid w:val="0088085A"/>
    <w:rsid w:val="00881CBE"/>
    <w:rsid w:val="00883041"/>
    <w:rsid w:val="008830E8"/>
    <w:rsid w:val="008833AD"/>
    <w:rsid w:val="0088425D"/>
    <w:rsid w:val="00884948"/>
    <w:rsid w:val="00884E6B"/>
    <w:rsid w:val="0089022F"/>
    <w:rsid w:val="008903CA"/>
    <w:rsid w:val="008912F6"/>
    <w:rsid w:val="00891F8C"/>
    <w:rsid w:val="00893BC7"/>
    <w:rsid w:val="00893F1D"/>
    <w:rsid w:val="00895940"/>
    <w:rsid w:val="008A2523"/>
    <w:rsid w:val="008A4913"/>
    <w:rsid w:val="008A4FA3"/>
    <w:rsid w:val="008B0A71"/>
    <w:rsid w:val="008B0CCF"/>
    <w:rsid w:val="008B1169"/>
    <w:rsid w:val="008B14CD"/>
    <w:rsid w:val="008B2A91"/>
    <w:rsid w:val="008B2D14"/>
    <w:rsid w:val="008B2EF9"/>
    <w:rsid w:val="008B36B9"/>
    <w:rsid w:val="008B4440"/>
    <w:rsid w:val="008B4AC8"/>
    <w:rsid w:val="008B6230"/>
    <w:rsid w:val="008B75C2"/>
    <w:rsid w:val="008B7DCF"/>
    <w:rsid w:val="008B7F3A"/>
    <w:rsid w:val="008C00AE"/>
    <w:rsid w:val="008C01DA"/>
    <w:rsid w:val="008C032F"/>
    <w:rsid w:val="008C1CB2"/>
    <w:rsid w:val="008C3F09"/>
    <w:rsid w:val="008C4024"/>
    <w:rsid w:val="008C6BC7"/>
    <w:rsid w:val="008C7009"/>
    <w:rsid w:val="008D00B6"/>
    <w:rsid w:val="008D4B3A"/>
    <w:rsid w:val="008D52BD"/>
    <w:rsid w:val="008D5589"/>
    <w:rsid w:val="008E03CE"/>
    <w:rsid w:val="008E05A7"/>
    <w:rsid w:val="008E0C76"/>
    <w:rsid w:val="008E1B9B"/>
    <w:rsid w:val="008E34DB"/>
    <w:rsid w:val="008E3C4F"/>
    <w:rsid w:val="008E3CB7"/>
    <w:rsid w:val="008E5731"/>
    <w:rsid w:val="008E6E94"/>
    <w:rsid w:val="008E7655"/>
    <w:rsid w:val="008E7FE4"/>
    <w:rsid w:val="008F002E"/>
    <w:rsid w:val="008F0446"/>
    <w:rsid w:val="008F1E9F"/>
    <w:rsid w:val="008F283D"/>
    <w:rsid w:val="008F28F7"/>
    <w:rsid w:val="008F5A2A"/>
    <w:rsid w:val="008F6143"/>
    <w:rsid w:val="008F6C5B"/>
    <w:rsid w:val="008F6DF1"/>
    <w:rsid w:val="008F6EF7"/>
    <w:rsid w:val="008F711B"/>
    <w:rsid w:val="008F7F17"/>
    <w:rsid w:val="00900163"/>
    <w:rsid w:val="00900248"/>
    <w:rsid w:val="00900535"/>
    <w:rsid w:val="00900FC4"/>
    <w:rsid w:val="00901A60"/>
    <w:rsid w:val="009028ED"/>
    <w:rsid w:val="00902C25"/>
    <w:rsid w:val="00903773"/>
    <w:rsid w:val="00906819"/>
    <w:rsid w:val="00911F7E"/>
    <w:rsid w:val="0091222D"/>
    <w:rsid w:val="00913164"/>
    <w:rsid w:val="009139E7"/>
    <w:rsid w:val="00917462"/>
    <w:rsid w:val="00920AA4"/>
    <w:rsid w:val="0092238A"/>
    <w:rsid w:val="00922491"/>
    <w:rsid w:val="00923E07"/>
    <w:rsid w:val="00924DFC"/>
    <w:rsid w:val="00925F99"/>
    <w:rsid w:val="0092686E"/>
    <w:rsid w:val="009312F1"/>
    <w:rsid w:val="0093161B"/>
    <w:rsid w:val="00932823"/>
    <w:rsid w:val="00932D78"/>
    <w:rsid w:val="0093419B"/>
    <w:rsid w:val="00934BD1"/>
    <w:rsid w:val="00935814"/>
    <w:rsid w:val="0093594D"/>
    <w:rsid w:val="00935BB5"/>
    <w:rsid w:val="00941811"/>
    <w:rsid w:val="009429E2"/>
    <w:rsid w:val="00943315"/>
    <w:rsid w:val="0094390D"/>
    <w:rsid w:val="009441C7"/>
    <w:rsid w:val="00944F95"/>
    <w:rsid w:val="0094509B"/>
    <w:rsid w:val="0094517B"/>
    <w:rsid w:val="00945788"/>
    <w:rsid w:val="009457B9"/>
    <w:rsid w:val="00946E0D"/>
    <w:rsid w:val="00947F4C"/>
    <w:rsid w:val="00951D5A"/>
    <w:rsid w:val="00953EDD"/>
    <w:rsid w:val="00954D76"/>
    <w:rsid w:val="00955BC2"/>
    <w:rsid w:val="00956AF4"/>
    <w:rsid w:val="00957B46"/>
    <w:rsid w:val="0096003F"/>
    <w:rsid w:val="00960A67"/>
    <w:rsid w:val="00963986"/>
    <w:rsid w:val="00963B50"/>
    <w:rsid w:val="009647BE"/>
    <w:rsid w:val="00965306"/>
    <w:rsid w:val="009658D5"/>
    <w:rsid w:val="00965DC3"/>
    <w:rsid w:val="0096608E"/>
    <w:rsid w:val="0096666B"/>
    <w:rsid w:val="00967F31"/>
    <w:rsid w:val="00971016"/>
    <w:rsid w:val="009738AE"/>
    <w:rsid w:val="00973B10"/>
    <w:rsid w:val="00973DE4"/>
    <w:rsid w:val="00973E82"/>
    <w:rsid w:val="00974AFC"/>
    <w:rsid w:val="0097627A"/>
    <w:rsid w:val="009770BB"/>
    <w:rsid w:val="00977DAE"/>
    <w:rsid w:val="00982FE4"/>
    <w:rsid w:val="009840B3"/>
    <w:rsid w:val="00984420"/>
    <w:rsid w:val="009844B9"/>
    <w:rsid w:val="009848AA"/>
    <w:rsid w:val="00984BAE"/>
    <w:rsid w:val="009852B7"/>
    <w:rsid w:val="00985EF5"/>
    <w:rsid w:val="00987DD2"/>
    <w:rsid w:val="0099099D"/>
    <w:rsid w:val="009924A7"/>
    <w:rsid w:val="00993D5C"/>
    <w:rsid w:val="00994878"/>
    <w:rsid w:val="00995470"/>
    <w:rsid w:val="009974DA"/>
    <w:rsid w:val="00997868"/>
    <w:rsid w:val="009A1489"/>
    <w:rsid w:val="009A1E1A"/>
    <w:rsid w:val="009A27AC"/>
    <w:rsid w:val="009A428C"/>
    <w:rsid w:val="009A55CC"/>
    <w:rsid w:val="009A596C"/>
    <w:rsid w:val="009B0417"/>
    <w:rsid w:val="009B0764"/>
    <w:rsid w:val="009B0BA6"/>
    <w:rsid w:val="009B11E7"/>
    <w:rsid w:val="009B15CB"/>
    <w:rsid w:val="009B3BC7"/>
    <w:rsid w:val="009B41DB"/>
    <w:rsid w:val="009B513C"/>
    <w:rsid w:val="009B5630"/>
    <w:rsid w:val="009B56B9"/>
    <w:rsid w:val="009B6F37"/>
    <w:rsid w:val="009B7AF8"/>
    <w:rsid w:val="009C017A"/>
    <w:rsid w:val="009C0C80"/>
    <w:rsid w:val="009C3462"/>
    <w:rsid w:val="009C352F"/>
    <w:rsid w:val="009C3FC3"/>
    <w:rsid w:val="009C451A"/>
    <w:rsid w:val="009C7060"/>
    <w:rsid w:val="009C7517"/>
    <w:rsid w:val="009C7F55"/>
    <w:rsid w:val="009D0849"/>
    <w:rsid w:val="009D260D"/>
    <w:rsid w:val="009D3202"/>
    <w:rsid w:val="009D3942"/>
    <w:rsid w:val="009D3BC7"/>
    <w:rsid w:val="009D4944"/>
    <w:rsid w:val="009D5AC4"/>
    <w:rsid w:val="009D5ACC"/>
    <w:rsid w:val="009D619C"/>
    <w:rsid w:val="009E0C70"/>
    <w:rsid w:val="009E0D1D"/>
    <w:rsid w:val="009E14B3"/>
    <w:rsid w:val="009E1920"/>
    <w:rsid w:val="009E3BA7"/>
    <w:rsid w:val="009E53EE"/>
    <w:rsid w:val="009E73C6"/>
    <w:rsid w:val="009F0745"/>
    <w:rsid w:val="009F11E5"/>
    <w:rsid w:val="009F136F"/>
    <w:rsid w:val="009F1CCD"/>
    <w:rsid w:val="009F2120"/>
    <w:rsid w:val="009F308B"/>
    <w:rsid w:val="009F4E2C"/>
    <w:rsid w:val="009F5466"/>
    <w:rsid w:val="009F5AD3"/>
    <w:rsid w:val="009F616E"/>
    <w:rsid w:val="009F6869"/>
    <w:rsid w:val="009F6CFB"/>
    <w:rsid w:val="009F6D6D"/>
    <w:rsid w:val="009F721D"/>
    <w:rsid w:val="00A007B2"/>
    <w:rsid w:val="00A008B4"/>
    <w:rsid w:val="00A021BC"/>
    <w:rsid w:val="00A02532"/>
    <w:rsid w:val="00A03054"/>
    <w:rsid w:val="00A045E1"/>
    <w:rsid w:val="00A04665"/>
    <w:rsid w:val="00A04B1E"/>
    <w:rsid w:val="00A06351"/>
    <w:rsid w:val="00A06549"/>
    <w:rsid w:val="00A067FA"/>
    <w:rsid w:val="00A06841"/>
    <w:rsid w:val="00A1024B"/>
    <w:rsid w:val="00A10FBC"/>
    <w:rsid w:val="00A116AE"/>
    <w:rsid w:val="00A12093"/>
    <w:rsid w:val="00A136AD"/>
    <w:rsid w:val="00A13F41"/>
    <w:rsid w:val="00A14857"/>
    <w:rsid w:val="00A14BA2"/>
    <w:rsid w:val="00A15363"/>
    <w:rsid w:val="00A15AF9"/>
    <w:rsid w:val="00A16AC8"/>
    <w:rsid w:val="00A175D6"/>
    <w:rsid w:val="00A210C0"/>
    <w:rsid w:val="00A21DB0"/>
    <w:rsid w:val="00A22049"/>
    <w:rsid w:val="00A239F4"/>
    <w:rsid w:val="00A23DF1"/>
    <w:rsid w:val="00A23F07"/>
    <w:rsid w:val="00A24B3E"/>
    <w:rsid w:val="00A25FB5"/>
    <w:rsid w:val="00A27235"/>
    <w:rsid w:val="00A27827"/>
    <w:rsid w:val="00A278D6"/>
    <w:rsid w:val="00A27B71"/>
    <w:rsid w:val="00A301F9"/>
    <w:rsid w:val="00A31CD3"/>
    <w:rsid w:val="00A326E2"/>
    <w:rsid w:val="00A32CC6"/>
    <w:rsid w:val="00A33862"/>
    <w:rsid w:val="00A33CDF"/>
    <w:rsid w:val="00A3739B"/>
    <w:rsid w:val="00A37EC4"/>
    <w:rsid w:val="00A418CB"/>
    <w:rsid w:val="00A41B14"/>
    <w:rsid w:val="00A41E23"/>
    <w:rsid w:val="00A42BBD"/>
    <w:rsid w:val="00A4362B"/>
    <w:rsid w:val="00A44A71"/>
    <w:rsid w:val="00A46875"/>
    <w:rsid w:val="00A51BC6"/>
    <w:rsid w:val="00A52612"/>
    <w:rsid w:val="00A528FF"/>
    <w:rsid w:val="00A541FD"/>
    <w:rsid w:val="00A55378"/>
    <w:rsid w:val="00A57435"/>
    <w:rsid w:val="00A5755F"/>
    <w:rsid w:val="00A60DFC"/>
    <w:rsid w:val="00A6299B"/>
    <w:rsid w:val="00A6307A"/>
    <w:rsid w:val="00A635BC"/>
    <w:rsid w:val="00A65545"/>
    <w:rsid w:val="00A659BA"/>
    <w:rsid w:val="00A6647B"/>
    <w:rsid w:val="00A670AC"/>
    <w:rsid w:val="00A6761F"/>
    <w:rsid w:val="00A67A23"/>
    <w:rsid w:val="00A67E5E"/>
    <w:rsid w:val="00A67EF4"/>
    <w:rsid w:val="00A67F56"/>
    <w:rsid w:val="00A71CBD"/>
    <w:rsid w:val="00A72F2A"/>
    <w:rsid w:val="00A7338F"/>
    <w:rsid w:val="00A739E2"/>
    <w:rsid w:val="00A77D09"/>
    <w:rsid w:val="00A8054E"/>
    <w:rsid w:val="00A83026"/>
    <w:rsid w:val="00A8311F"/>
    <w:rsid w:val="00A83CFF"/>
    <w:rsid w:val="00A841A1"/>
    <w:rsid w:val="00A843A4"/>
    <w:rsid w:val="00A84F60"/>
    <w:rsid w:val="00A85C2D"/>
    <w:rsid w:val="00A87286"/>
    <w:rsid w:val="00A90EA3"/>
    <w:rsid w:val="00A9143D"/>
    <w:rsid w:val="00A91605"/>
    <w:rsid w:val="00A92AC7"/>
    <w:rsid w:val="00A93D39"/>
    <w:rsid w:val="00A93FF1"/>
    <w:rsid w:val="00A948E3"/>
    <w:rsid w:val="00A94966"/>
    <w:rsid w:val="00A962BC"/>
    <w:rsid w:val="00A96327"/>
    <w:rsid w:val="00A9668A"/>
    <w:rsid w:val="00A97D0A"/>
    <w:rsid w:val="00AA05FF"/>
    <w:rsid w:val="00AA0765"/>
    <w:rsid w:val="00AA1D24"/>
    <w:rsid w:val="00AA2BD5"/>
    <w:rsid w:val="00AA324C"/>
    <w:rsid w:val="00AA3268"/>
    <w:rsid w:val="00AA3EA7"/>
    <w:rsid w:val="00AA55B8"/>
    <w:rsid w:val="00AA58D3"/>
    <w:rsid w:val="00AA5A41"/>
    <w:rsid w:val="00AA5D9F"/>
    <w:rsid w:val="00AA6B6F"/>
    <w:rsid w:val="00AB0AA0"/>
    <w:rsid w:val="00AB125E"/>
    <w:rsid w:val="00AB26A9"/>
    <w:rsid w:val="00AB3680"/>
    <w:rsid w:val="00AB3926"/>
    <w:rsid w:val="00AB42C6"/>
    <w:rsid w:val="00AB5F37"/>
    <w:rsid w:val="00AB6AC1"/>
    <w:rsid w:val="00AB7A63"/>
    <w:rsid w:val="00AB7D6C"/>
    <w:rsid w:val="00AB7F2C"/>
    <w:rsid w:val="00AC106E"/>
    <w:rsid w:val="00AC19A4"/>
    <w:rsid w:val="00AC293F"/>
    <w:rsid w:val="00AC2B90"/>
    <w:rsid w:val="00AC485F"/>
    <w:rsid w:val="00AC5A6D"/>
    <w:rsid w:val="00AC5D8A"/>
    <w:rsid w:val="00AC6026"/>
    <w:rsid w:val="00AC60DF"/>
    <w:rsid w:val="00AC66B6"/>
    <w:rsid w:val="00AD01B0"/>
    <w:rsid w:val="00AD0895"/>
    <w:rsid w:val="00AD0962"/>
    <w:rsid w:val="00AD115A"/>
    <w:rsid w:val="00AD180E"/>
    <w:rsid w:val="00AD1D4C"/>
    <w:rsid w:val="00AD29A7"/>
    <w:rsid w:val="00AD2C01"/>
    <w:rsid w:val="00AD57C3"/>
    <w:rsid w:val="00AD67B6"/>
    <w:rsid w:val="00AD7202"/>
    <w:rsid w:val="00AE0160"/>
    <w:rsid w:val="00AE1501"/>
    <w:rsid w:val="00AE1B35"/>
    <w:rsid w:val="00AE214B"/>
    <w:rsid w:val="00AE4AE7"/>
    <w:rsid w:val="00AE6820"/>
    <w:rsid w:val="00AE7BA5"/>
    <w:rsid w:val="00AF2AA1"/>
    <w:rsid w:val="00AF2BF2"/>
    <w:rsid w:val="00AF300B"/>
    <w:rsid w:val="00AF34FC"/>
    <w:rsid w:val="00AF3755"/>
    <w:rsid w:val="00AF4CFE"/>
    <w:rsid w:val="00AF4F3C"/>
    <w:rsid w:val="00AF51A4"/>
    <w:rsid w:val="00AF5436"/>
    <w:rsid w:val="00AF7046"/>
    <w:rsid w:val="00AF7EC7"/>
    <w:rsid w:val="00B02EDB"/>
    <w:rsid w:val="00B03A3A"/>
    <w:rsid w:val="00B04E52"/>
    <w:rsid w:val="00B05624"/>
    <w:rsid w:val="00B05CEF"/>
    <w:rsid w:val="00B0670B"/>
    <w:rsid w:val="00B06D93"/>
    <w:rsid w:val="00B105C7"/>
    <w:rsid w:val="00B10717"/>
    <w:rsid w:val="00B10DFB"/>
    <w:rsid w:val="00B1154D"/>
    <w:rsid w:val="00B13517"/>
    <w:rsid w:val="00B13AE6"/>
    <w:rsid w:val="00B13D59"/>
    <w:rsid w:val="00B14E3F"/>
    <w:rsid w:val="00B20F6A"/>
    <w:rsid w:val="00B21F74"/>
    <w:rsid w:val="00B25483"/>
    <w:rsid w:val="00B27030"/>
    <w:rsid w:val="00B270B9"/>
    <w:rsid w:val="00B301FC"/>
    <w:rsid w:val="00B303A5"/>
    <w:rsid w:val="00B31EEB"/>
    <w:rsid w:val="00B320CB"/>
    <w:rsid w:val="00B332B6"/>
    <w:rsid w:val="00B33512"/>
    <w:rsid w:val="00B3439D"/>
    <w:rsid w:val="00B353F6"/>
    <w:rsid w:val="00B3567C"/>
    <w:rsid w:val="00B36055"/>
    <w:rsid w:val="00B37C22"/>
    <w:rsid w:val="00B406E6"/>
    <w:rsid w:val="00B4291E"/>
    <w:rsid w:val="00B42F06"/>
    <w:rsid w:val="00B432A6"/>
    <w:rsid w:val="00B4373C"/>
    <w:rsid w:val="00B46486"/>
    <w:rsid w:val="00B4668C"/>
    <w:rsid w:val="00B46FEF"/>
    <w:rsid w:val="00B47DBD"/>
    <w:rsid w:val="00B50D77"/>
    <w:rsid w:val="00B5132F"/>
    <w:rsid w:val="00B53833"/>
    <w:rsid w:val="00B55936"/>
    <w:rsid w:val="00B559FF"/>
    <w:rsid w:val="00B56079"/>
    <w:rsid w:val="00B5758E"/>
    <w:rsid w:val="00B578B0"/>
    <w:rsid w:val="00B601F9"/>
    <w:rsid w:val="00B603B6"/>
    <w:rsid w:val="00B6311A"/>
    <w:rsid w:val="00B6477D"/>
    <w:rsid w:val="00B64FC3"/>
    <w:rsid w:val="00B6586C"/>
    <w:rsid w:val="00B65D79"/>
    <w:rsid w:val="00B66C65"/>
    <w:rsid w:val="00B66F06"/>
    <w:rsid w:val="00B705E5"/>
    <w:rsid w:val="00B70A14"/>
    <w:rsid w:val="00B70E08"/>
    <w:rsid w:val="00B71238"/>
    <w:rsid w:val="00B71CE9"/>
    <w:rsid w:val="00B72FC9"/>
    <w:rsid w:val="00B740A7"/>
    <w:rsid w:val="00B74152"/>
    <w:rsid w:val="00B74E8B"/>
    <w:rsid w:val="00B75C18"/>
    <w:rsid w:val="00B75FEE"/>
    <w:rsid w:val="00B770B2"/>
    <w:rsid w:val="00B77D36"/>
    <w:rsid w:val="00B81214"/>
    <w:rsid w:val="00B81796"/>
    <w:rsid w:val="00B81935"/>
    <w:rsid w:val="00B8344C"/>
    <w:rsid w:val="00B83F18"/>
    <w:rsid w:val="00B868DB"/>
    <w:rsid w:val="00B90410"/>
    <w:rsid w:val="00B91067"/>
    <w:rsid w:val="00B914A6"/>
    <w:rsid w:val="00B92143"/>
    <w:rsid w:val="00B930D3"/>
    <w:rsid w:val="00B967AD"/>
    <w:rsid w:val="00B97A98"/>
    <w:rsid w:val="00BA0479"/>
    <w:rsid w:val="00BA1C67"/>
    <w:rsid w:val="00BA3BB7"/>
    <w:rsid w:val="00BA3D88"/>
    <w:rsid w:val="00BA412D"/>
    <w:rsid w:val="00BA47E0"/>
    <w:rsid w:val="00BA7446"/>
    <w:rsid w:val="00BA7959"/>
    <w:rsid w:val="00BA79C7"/>
    <w:rsid w:val="00BA7D85"/>
    <w:rsid w:val="00BB12DC"/>
    <w:rsid w:val="00BB3984"/>
    <w:rsid w:val="00BB405A"/>
    <w:rsid w:val="00BB4271"/>
    <w:rsid w:val="00BB4ED6"/>
    <w:rsid w:val="00BB5037"/>
    <w:rsid w:val="00BB5ADD"/>
    <w:rsid w:val="00BB7F15"/>
    <w:rsid w:val="00BC0277"/>
    <w:rsid w:val="00BC1CD0"/>
    <w:rsid w:val="00BC21C6"/>
    <w:rsid w:val="00BC4342"/>
    <w:rsid w:val="00BC4F0C"/>
    <w:rsid w:val="00BC5CED"/>
    <w:rsid w:val="00BC605B"/>
    <w:rsid w:val="00BC657D"/>
    <w:rsid w:val="00BC67F3"/>
    <w:rsid w:val="00BC6875"/>
    <w:rsid w:val="00BC73A4"/>
    <w:rsid w:val="00BC7678"/>
    <w:rsid w:val="00BD0368"/>
    <w:rsid w:val="00BD0F89"/>
    <w:rsid w:val="00BD1797"/>
    <w:rsid w:val="00BD1E81"/>
    <w:rsid w:val="00BD35F4"/>
    <w:rsid w:val="00BD39C2"/>
    <w:rsid w:val="00BD3AAA"/>
    <w:rsid w:val="00BD5166"/>
    <w:rsid w:val="00BD5335"/>
    <w:rsid w:val="00BD7398"/>
    <w:rsid w:val="00BD7641"/>
    <w:rsid w:val="00BD77BE"/>
    <w:rsid w:val="00BD7A22"/>
    <w:rsid w:val="00BE00F1"/>
    <w:rsid w:val="00BE04D4"/>
    <w:rsid w:val="00BE264B"/>
    <w:rsid w:val="00BE2657"/>
    <w:rsid w:val="00BE3C78"/>
    <w:rsid w:val="00BE401D"/>
    <w:rsid w:val="00BE6430"/>
    <w:rsid w:val="00BE7305"/>
    <w:rsid w:val="00BE75DC"/>
    <w:rsid w:val="00BF034A"/>
    <w:rsid w:val="00BF0E0C"/>
    <w:rsid w:val="00BF189C"/>
    <w:rsid w:val="00BF3095"/>
    <w:rsid w:val="00BF3CA0"/>
    <w:rsid w:val="00BF4790"/>
    <w:rsid w:val="00BF4DF6"/>
    <w:rsid w:val="00BF618E"/>
    <w:rsid w:val="00BF6341"/>
    <w:rsid w:val="00BF7D41"/>
    <w:rsid w:val="00C00872"/>
    <w:rsid w:val="00C0089F"/>
    <w:rsid w:val="00C01C81"/>
    <w:rsid w:val="00C030D2"/>
    <w:rsid w:val="00C040B5"/>
    <w:rsid w:val="00C048D8"/>
    <w:rsid w:val="00C0510A"/>
    <w:rsid w:val="00C057DF"/>
    <w:rsid w:val="00C05A8A"/>
    <w:rsid w:val="00C05F1D"/>
    <w:rsid w:val="00C060D2"/>
    <w:rsid w:val="00C06AF6"/>
    <w:rsid w:val="00C0721E"/>
    <w:rsid w:val="00C10438"/>
    <w:rsid w:val="00C1079E"/>
    <w:rsid w:val="00C10D6A"/>
    <w:rsid w:val="00C110FB"/>
    <w:rsid w:val="00C11584"/>
    <w:rsid w:val="00C117C3"/>
    <w:rsid w:val="00C128FF"/>
    <w:rsid w:val="00C12EF0"/>
    <w:rsid w:val="00C139CA"/>
    <w:rsid w:val="00C13DC0"/>
    <w:rsid w:val="00C1678D"/>
    <w:rsid w:val="00C168C8"/>
    <w:rsid w:val="00C1745B"/>
    <w:rsid w:val="00C20CB9"/>
    <w:rsid w:val="00C216E4"/>
    <w:rsid w:val="00C21B51"/>
    <w:rsid w:val="00C25649"/>
    <w:rsid w:val="00C25DF2"/>
    <w:rsid w:val="00C27D83"/>
    <w:rsid w:val="00C30DE8"/>
    <w:rsid w:val="00C32B7D"/>
    <w:rsid w:val="00C356CB"/>
    <w:rsid w:val="00C370D8"/>
    <w:rsid w:val="00C37A74"/>
    <w:rsid w:val="00C4079D"/>
    <w:rsid w:val="00C420CA"/>
    <w:rsid w:val="00C424A9"/>
    <w:rsid w:val="00C4276B"/>
    <w:rsid w:val="00C42E58"/>
    <w:rsid w:val="00C43344"/>
    <w:rsid w:val="00C43698"/>
    <w:rsid w:val="00C443EF"/>
    <w:rsid w:val="00C45355"/>
    <w:rsid w:val="00C4624A"/>
    <w:rsid w:val="00C468D3"/>
    <w:rsid w:val="00C47938"/>
    <w:rsid w:val="00C5088F"/>
    <w:rsid w:val="00C514A7"/>
    <w:rsid w:val="00C51648"/>
    <w:rsid w:val="00C517A1"/>
    <w:rsid w:val="00C522E7"/>
    <w:rsid w:val="00C52E5B"/>
    <w:rsid w:val="00C532EB"/>
    <w:rsid w:val="00C54986"/>
    <w:rsid w:val="00C54BAE"/>
    <w:rsid w:val="00C557D6"/>
    <w:rsid w:val="00C561C1"/>
    <w:rsid w:val="00C567DD"/>
    <w:rsid w:val="00C56D52"/>
    <w:rsid w:val="00C570A7"/>
    <w:rsid w:val="00C571B0"/>
    <w:rsid w:val="00C57F88"/>
    <w:rsid w:val="00C62D8F"/>
    <w:rsid w:val="00C632FE"/>
    <w:rsid w:val="00C6347A"/>
    <w:rsid w:val="00C63E0F"/>
    <w:rsid w:val="00C64970"/>
    <w:rsid w:val="00C6696E"/>
    <w:rsid w:val="00C70452"/>
    <w:rsid w:val="00C70CF3"/>
    <w:rsid w:val="00C71B1F"/>
    <w:rsid w:val="00C72F19"/>
    <w:rsid w:val="00C731FD"/>
    <w:rsid w:val="00C73832"/>
    <w:rsid w:val="00C740BC"/>
    <w:rsid w:val="00C74349"/>
    <w:rsid w:val="00C748C1"/>
    <w:rsid w:val="00C75FFF"/>
    <w:rsid w:val="00C767C3"/>
    <w:rsid w:val="00C7689A"/>
    <w:rsid w:val="00C77C2C"/>
    <w:rsid w:val="00C80888"/>
    <w:rsid w:val="00C8103C"/>
    <w:rsid w:val="00C8155F"/>
    <w:rsid w:val="00C8211B"/>
    <w:rsid w:val="00C82822"/>
    <w:rsid w:val="00C838AB"/>
    <w:rsid w:val="00C8405D"/>
    <w:rsid w:val="00C8596E"/>
    <w:rsid w:val="00C85F8B"/>
    <w:rsid w:val="00C87990"/>
    <w:rsid w:val="00C90390"/>
    <w:rsid w:val="00C94668"/>
    <w:rsid w:val="00C952C0"/>
    <w:rsid w:val="00C957CD"/>
    <w:rsid w:val="00C96383"/>
    <w:rsid w:val="00CA157A"/>
    <w:rsid w:val="00CA16B4"/>
    <w:rsid w:val="00CA1FED"/>
    <w:rsid w:val="00CA2AF6"/>
    <w:rsid w:val="00CA3C19"/>
    <w:rsid w:val="00CA4364"/>
    <w:rsid w:val="00CA5934"/>
    <w:rsid w:val="00CA6D90"/>
    <w:rsid w:val="00CA7B4A"/>
    <w:rsid w:val="00CB06E1"/>
    <w:rsid w:val="00CB0AFA"/>
    <w:rsid w:val="00CB0D43"/>
    <w:rsid w:val="00CB0F5E"/>
    <w:rsid w:val="00CB1E7C"/>
    <w:rsid w:val="00CB2BB5"/>
    <w:rsid w:val="00CB2F25"/>
    <w:rsid w:val="00CB60FC"/>
    <w:rsid w:val="00CB67E2"/>
    <w:rsid w:val="00CB6FE4"/>
    <w:rsid w:val="00CB7B5D"/>
    <w:rsid w:val="00CC0A1C"/>
    <w:rsid w:val="00CC16D9"/>
    <w:rsid w:val="00CC2E37"/>
    <w:rsid w:val="00CC3F8D"/>
    <w:rsid w:val="00CC52A8"/>
    <w:rsid w:val="00CC5935"/>
    <w:rsid w:val="00CC626C"/>
    <w:rsid w:val="00CC6A15"/>
    <w:rsid w:val="00CC72A5"/>
    <w:rsid w:val="00CD00E4"/>
    <w:rsid w:val="00CD113F"/>
    <w:rsid w:val="00CD146E"/>
    <w:rsid w:val="00CD1913"/>
    <w:rsid w:val="00CD2ED1"/>
    <w:rsid w:val="00CD3238"/>
    <w:rsid w:val="00CD3908"/>
    <w:rsid w:val="00CD4025"/>
    <w:rsid w:val="00CD4031"/>
    <w:rsid w:val="00CD43FF"/>
    <w:rsid w:val="00CD4F70"/>
    <w:rsid w:val="00CD4F8E"/>
    <w:rsid w:val="00CD5A46"/>
    <w:rsid w:val="00CD5C3D"/>
    <w:rsid w:val="00CD5F6C"/>
    <w:rsid w:val="00CD70DD"/>
    <w:rsid w:val="00CD7236"/>
    <w:rsid w:val="00CE172D"/>
    <w:rsid w:val="00CE193E"/>
    <w:rsid w:val="00CE2887"/>
    <w:rsid w:val="00CE3060"/>
    <w:rsid w:val="00CE3CE1"/>
    <w:rsid w:val="00CE448F"/>
    <w:rsid w:val="00CE493C"/>
    <w:rsid w:val="00CE4CD1"/>
    <w:rsid w:val="00CE4CD7"/>
    <w:rsid w:val="00CE6587"/>
    <w:rsid w:val="00CE7A34"/>
    <w:rsid w:val="00CE7B52"/>
    <w:rsid w:val="00CE7DA4"/>
    <w:rsid w:val="00CF1276"/>
    <w:rsid w:val="00CF2498"/>
    <w:rsid w:val="00CF25C3"/>
    <w:rsid w:val="00CF49CA"/>
    <w:rsid w:val="00CF5D69"/>
    <w:rsid w:val="00D00D93"/>
    <w:rsid w:val="00D025E5"/>
    <w:rsid w:val="00D0276D"/>
    <w:rsid w:val="00D02B44"/>
    <w:rsid w:val="00D036A4"/>
    <w:rsid w:val="00D03BDB"/>
    <w:rsid w:val="00D042E5"/>
    <w:rsid w:val="00D04549"/>
    <w:rsid w:val="00D0497D"/>
    <w:rsid w:val="00D04D1B"/>
    <w:rsid w:val="00D066D0"/>
    <w:rsid w:val="00D068F0"/>
    <w:rsid w:val="00D07CA0"/>
    <w:rsid w:val="00D11211"/>
    <w:rsid w:val="00D12651"/>
    <w:rsid w:val="00D12C80"/>
    <w:rsid w:val="00D13613"/>
    <w:rsid w:val="00D14DF0"/>
    <w:rsid w:val="00D157FC"/>
    <w:rsid w:val="00D16328"/>
    <w:rsid w:val="00D17AA9"/>
    <w:rsid w:val="00D17B10"/>
    <w:rsid w:val="00D17E68"/>
    <w:rsid w:val="00D21E6B"/>
    <w:rsid w:val="00D2293D"/>
    <w:rsid w:val="00D237F9"/>
    <w:rsid w:val="00D2462F"/>
    <w:rsid w:val="00D24757"/>
    <w:rsid w:val="00D26A54"/>
    <w:rsid w:val="00D2750E"/>
    <w:rsid w:val="00D27B50"/>
    <w:rsid w:val="00D30CDC"/>
    <w:rsid w:val="00D32FE7"/>
    <w:rsid w:val="00D354B7"/>
    <w:rsid w:val="00D35BD6"/>
    <w:rsid w:val="00D3656D"/>
    <w:rsid w:val="00D36922"/>
    <w:rsid w:val="00D373A3"/>
    <w:rsid w:val="00D379B3"/>
    <w:rsid w:val="00D37FC5"/>
    <w:rsid w:val="00D40471"/>
    <w:rsid w:val="00D41231"/>
    <w:rsid w:val="00D414C1"/>
    <w:rsid w:val="00D4211B"/>
    <w:rsid w:val="00D4442C"/>
    <w:rsid w:val="00D44FCA"/>
    <w:rsid w:val="00D452FF"/>
    <w:rsid w:val="00D45551"/>
    <w:rsid w:val="00D46743"/>
    <w:rsid w:val="00D50329"/>
    <w:rsid w:val="00D51592"/>
    <w:rsid w:val="00D522C0"/>
    <w:rsid w:val="00D5298D"/>
    <w:rsid w:val="00D52A96"/>
    <w:rsid w:val="00D52E91"/>
    <w:rsid w:val="00D5330C"/>
    <w:rsid w:val="00D53FDE"/>
    <w:rsid w:val="00D54AEE"/>
    <w:rsid w:val="00D55089"/>
    <w:rsid w:val="00D55715"/>
    <w:rsid w:val="00D55CFD"/>
    <w:rsid w:val="00D5609A"/>
    <w:rsid w:val="00D56933"/>
    <w:rsid w:val="00D56C74"/>
    <w:rsid w:val="00D56F17"/>
    <w:rsid w:val="00D57062"/>
    <w:rsid w:val="00D6259D"/>
    <w:rsid w:val="00D62D87"/>
    <w:rsid w:val="00D631E3"/>
    <w:rsid w:val="00D64113"/>
    <w:rsid w:val="00D648B1"/>
    <w:rsid w:val="00D65146"/>
    <w:rsid w:val="00D65269"/>
    <w:rsid w:val="00D65733"/>
    <w:rsid w:val="00D66646"/>
    <w:rsid w:val="00D66A0C"/>
    <w:rsid w:val="00D66E59"/>
    <w:rsid w:val="00D66E7C"/>
    <w:rsid w:val="00D70BE5"/>
    <w:rsid w:val="00D71F7E"/>
    <w:rsid w:val="00D7226B"/>
    <w:rsid w:val="00D7558D"/>
    <w:rsid w:val="00D75D8A"/>
    <w:rsid w:val="00D76990"/>
    <w:rsid w:val="00D8026F"/>
    <w:rsid w:val="00D82A64"/>
    <w:rsid w:val="00D82E3C"/>
    <w:rsid w:val="00D82E93"/>
    <w:rsid w:val="00D86BF6"/>
    <w:rsid w:val="00D878FD"/>
    <w:rsid w:val="00D8798B"/>
    <w:rsid w:val="00D87ADE"/>
    <w:rsid w:val="00D90627"/>
    <w:rsid w:val="00D913EA"/>
    <w:rsid w:val="00D9245D"/>
    <w:rsid w:val="00D946D9"/>
    <w:rsid w:val="00D94A79"/>
    <w:rsid w:val="00D9619A"/>
    <w:rsid w:val="00D966A1"/>
    <w:rsid w:val="00D966B5"/>
    <w:rsid w:val="00D96B48"/>
    <w:rsid w:val="00DA1081"/>
    <w:rsid w:val="00DA303E"/>
    <w:rsid w:val="00DA4675"/>
    <w:rsid w:val="00DA4FB1"/>
    <w:rsid w:val="00DA5459"/>
    <w:rsid w:val="00DA5A5F"/>
    <w:rsid w:val="00DA5E1B"/>
    <w:rsid w:val="00DA67C7"/>
    <w:rsid w:val="00DA6D2D"/>
    <w:rsid w:val="00DA6E10"/>
    <w:rsid w:val="00DA7BE8"/>
    <w:rsid w:val="00DA7F49"/>
    <w:rsid w:val="00DB039F"/>
    <w:rsid w:val="00DB0BB8"/>
    <w:rsid w:val="00DB191F"/>
    <w:rsid w:val="00DB20D0"/>
    <w:rsid w:val="00DB2732"/>
    <w:rsid w:val="00DB2809"/>
    <w:rsid w:val="00DB4D60"/>
    <w:rsid w:val="00DB531F"/>
    <w:rsid w:val="00DB54FA"/>
    <w:rsid w:val="00DB63AB"/>
    <w:rsid w:val="00DB684E"/>
    <w:rsid w:val="00DB6A48"/>
    <w:rsid w:val="00DB7C79"/>
    <w:rsid w:val="00DB7E51"/>
    <w:rsid w:val="00DC09C7"/>
    <w:rsid w:val="00DC1BBA"/>
    <w:rsid w:val="00DC1E66"/>
    <w:rsid w:val="00DC2DF2"/>
    <w:rsid w:val="00DC34DB"/>
    <w:rsid w:val="00DC355B"/>
    <w:rsid w:val="00DC36C0"/>
    <w:rsid w:val="00DC50A0"/>
    <w:rsid w:val="00DC516E"/>
    <w:rsid w:val="00DC65B5"/>
    <w:rsid w:val="00DC690F"/>
    <w:rsid w:val="00DC7B71"/>
    <w:rsid w:val="00DC7D56"/>
    <w:rsid w:val="00DD05E2"/>
    <w:rsid w:val="00DD2CBC"/>
    <w:rsid w:val="00DD342A"/>
    <w:rsid w:val="00DD3AB1"/>
    <w:rsid w:val="00DD64B9"/>
    <w:rsid w:val="00DE1E4C"/>
    <w:rsid w:val="00DE1ED3"/>
    <w:rsid w:val="00DE2213"/>
    <w:rsid w:val="00DE22FE"/>
    <w:rsid w:val="00DE45F5"/>
    <w:rsid w:val="00DE4E57"/>
    <w:rsid w:val="00DE55CB"/>
    <w:rsid w:val="00DE5B4A"/>
    <w:rsid w:val="00DE61D4"/>
    <w:rsid w:val="00DE63D7"/>
    <w:rsid w:val="00DE6BAA"/>
    <w:rsid w:val="00DE6BF7"/>
    <w:rsid w:val="00DE6E29"/>
    <w:rsid w:val="00DF00CC"/>
    <w:rsid w:val="00DF015E"/>
    <w:rsid w:val="00DF0A73"/>
    <w:rsid w:val="00DF0BBE"/>
    <w:rsid w:val="00DF297E"/>
    <w:rsid w:val="00DF3118"/>
    <w:rsid w:val="00DF4233"/>
    <w:rsid w:val="00DF4375"/>
    <w:rsid w:val="00DF494F"/>
    <w:rsid w:val="00DF4996"/>
    <w:rsid w:val="00DF632F"/>
    <w:rsid w:val="00DF703E"/>
    <w:rsid w:val="00E0062D"/>
    <w:rsid w:val="00E0190B"/>
    <w:rsid w:val="00E02B8A"/>
    <w:rsid w:val="00E02D0F"/>
    <w:rsid w:val="00E03EEC"/>
    <w:rsid w:val="00E04EAA"/>
    <w:rsid w:val="00E05251"/>
    <w:rsid w:val="00E07461"/>
    <w:rsid w:val="00E07C10"/>
    <w:rsid w:val="00E12C2E"/>
    <w:rsid w:val="00E141B8"/>
    <w:rsid w:val="00E1426D"/>
    <w:rsid w:val="00E147E8"/>
    <w:rsid w:val="00E14A9B"/>
    <w:rsid w:val="00E17A65"/>
    <w:rsid w:val="00E202AA"/>
    <w:rsid w:val="00E20CEF"/>
    <w:rsid w:val="00E2191E"/>
    <w:rsid w:val="00E220E3"/>
    <w:rsid w:val="00E22761"/>
    <w:rsid w:val="00E229C1"/>
    <w:rsid w:val="00E248AE"/>
    <w:rsid w:val="00E25E23"/>
    <w:rsid w:val="00E26776"/>
    <w:rsid w:val="00E31823"/>
    <w:rsid w:val="00E3186C"/>
    <w:rsid w:val="00E33205"/>
    <w:rsid w:val="00E33694"/>
    <w:rsid w:val="00E33D03"/>
    <w:rsid w:val="00E405F3"/>
    <w:rsid w:val="00E414C6"/>
    <w:rsid w:val="00E41507"/>
    <w:rsid w:val="00E44F78"/>
    <w:rsid w:val="00E45220"/>
    <w:rsid w:val="00E45830"/>
    <w:rsid w:val="00E45D83"/>
    <w:rsid w:val="00E46711"/>
    <w:rsid w:val="00E470DB"/>
    <w:rsid w:val="00E47DBC"/>
    <w:rsid w:val="00E47DF9"/>
    <w:rsid w:val="00E47F59"/>
    <w:rsid w:val="00E504DE"/>
    <w:rsid w:val="00E53F53"/>
    <w:rsid w:val="00E54185"/>
    <w:rsid w:val="00E549AA"/>
    <w:rsid w:val="00E55236"/>
    <w:rsid w:val="00E5589D"/>
    <w:rsid w:val="00E55E4E"/>
    <w:rsid w:val="00E55FFB"/>
    <w:rsid w:val="00E57257"/>
    <w:rsid w:val="00E60377"/>
    <w:rsid w:val="00E603B8"/>
    <w:rsid w:val="00E60ABC"/>
    <w:rsid w:val="00E60FB0"/>
    <w:rsid w:val="00E61314"/>
    <w:rsid w:val="00E62B7D"/>
    <w:rsid w:val="00E62D54"/>
    <w:rsid w:val="00E62EE3"/>
    <w:rsid w:val="00E63466"/>
    <w:rsid w:val="00E63F4C"/>
    <w:rsid w:val="00E646F3"/>
    <w:rsid w:val="00E64B16"/>
    <w:rsid w:val="00E64CA6"/>
    <w:rsid w:val="00E6507C"/>
    <w:rsid w:val="00E6521C"/>
    <w:rsid w:val="00E65D6F"/>
    <w:rsid w:val="00E66A2C"/>
    <w:rsid w:val="00E70089"/>
    <w:rsid w:val="00E71334"/>
    <w:rsid w:val="00E71432"/>
    <w:rsid w:val="00E71CF9"/>
    <w:rsid w:val="00E72D10"/>
    <w:rsid w:val="00E72FAA"/>
    <w:rsid w:val="00E73C2D"/>
    <w:rsid w:val="00E742EF"/>
    <w:rsid w:val="00E74CBC"/>
    <w:rsid w:val="00E75FDA"/>
    <w:rsid w:val="00E7664F"/>
    <w:rsid w:val="00E80FDC"/>
    <w:rsid w:val="00E8125F"/>
    <w:rsid w:val="00E83743"/>
    <w:rsid w:val="00E837F5"/>
    <w:rsid w:val="00E84F0A"/>
    <w:rsid w:val="00E85160"/>
    <w:rsid w:val="00E856E8"/>
    <w:rsid w:val="00E87E96"/>
    <w:rsid w:val="00E90F63"/>
    <w:rsid w:val="00E91098"/>
    <w:rsid w:val="00E91742"/>
    <w:rsid w:val="00E917CA"/>
    <w:rsid w:val="00E91CB1"/>
    <w:rsid w:val="00E91CC4"/>
    <w:rsid w:val="00E92BAE"/>
    <w:rsid w:val="00E93202"/>
    <w:rsid w:val="00E9381D"/>
    <w:rsid w:val="00E946A4"/>
    <w:rsid w:val="00E94890"/>
    <w:rsid w:val="00E952BF"/>
    <w:rsid w:val="00E96DA4"/>
    <w:rsid w:val="00E96FA8"/>
    <w:rsid w:val="00E97DC4"/>
    <w:rsid w:val="00EA0F6E"/>
    <w:rsid w:val="00EA13DC"/>
    <w:rsid w:val="00EA431C"/>
    <w:rsid w:val="00EA483D"/>
    <w:rsid w:val="00EA5213"/>
    <w:rsid w:val="00EA62F9"/>
    <w:rsid w:val="00EB1602"/>
    <w:rsid w:val="00EB1871"/>
    <w:rsid w:val="00EB1F54"/>
    <w:rsid w:val="00EB31AF"/>
    <w:rsid w:val="00EB39C4"/>
    <w:rsid w:val="00EB4AFD"/>
    <w:rsid w:val="00EB5542"/>
    <w:rsid w:val="00EB55B2"/>
    <w:rsid w:val="00EB59AF"/>
    <w:rsid w:val="00EB5EEB"/>
    <w:rsid w:val="00EB628C"/>
    <w:rsid w:val="00EB7590"/>
    <w:rsid w:val="00EB790F"/>
    <w:rsid w:val="00EC03CA"/>
    <w:rsid w:val="00EC14F8"/>
    <w:rsid w:val="00EC2F1A"/>
    <w:rsid w:val="00EC316C"/>
    <w:rsid w:val="00EC3D52"/>
    <w:rsid w:val="00EC6412"/>
    <w:rsid w:val="00EC66AC"/>
    <w:rsid w:val="00ED0095"/>
    <w:rsid w:val="00ED0585"/>
    <w:rsid w:val="00ED2293"/>
    <w:rsid w:val="00ED24E5"/>
    <w:rsid w:val="00ED3702"/>
    <w:rsid w:val="00ED4466"/>
    <w:rsid w:val="00ED4806"/>
    <w:rsid w:val="00ED58F0"/>
    <w:rsid w:val="00ED6497"/>
    <w:rsid w:val="00ED6AC5"/>
    <w:rsid w:val="00ED6DD4"/>
    <w:rsid w:val="00EE0185"/>
    <w:rsid w:val="00EE1809"/>
    <w:rsid w:val="00EE24A8"/>
    <w:rsid w:val="00EE2A51"/>
    <w:rsid w:val="00EE3F5A"/>
    <w:rsid w:val="00EE3F87"/>
    <w:rsid w:val="00EE6EDD"/>
    <w:rsid w:val="00EE76AB"/>
    <w:rsid w:val="00EE7D2B"/>
    <w:rsid w:val="00EF280E"/>
    <w:rsid w:val="00EF3C51"/>
    <w:rsid w:val="00EF4FC9"/>
    <w:rsid w:val="00EF6BC3"/>
    <w:rsid w:val="00EF7914"/>
    <w:rsid w:val="00F003F8"/>
    <w:rsid w:val="00F00BB4"/>
    <w:rsid w:val="00F00BEC"/>
    <w:rsid w:val="00F022CD"/>
    <w:rsid w:val="00F033E3"/>
    <w:rsid w:val="00F03B07"/>
    <w:rsid w:val="00F04C98"/>
    <w:rsid w:val="00F05D2B"/>
    <w:rsid w:val="00F0627E"/>
    <w:rsid w:val="00F06512"/>
    <w:rsid w:val="00F0786E"/>
    <w:rsid w:val="00F11F46"/>
    <w:rsid w:val="00F12E6E"/>
    <w:rsid w:val="00F138B6"/>
    <w:rsid w:val="00F13AC2"/>
    <w:rsid w:val="00F13B6E"/>
    <w:rsid w:val="00F14E3D"/>
    <w:rsid w:val="00F1537F"/>
    <w:rsid w:val="00F1585D"/>
    <w:rsid w:val="00F15D27"/>
    <w:rsid w:val="00F16E26"/>
    <w:rsid w:val="00F176BF"/>
    <w:rsid w:val="00F20B97"/>
    <w:rsid w:val="00F21FFE"/>
    <w:rsid w:val="00F22B61"/>
    <w:rsid w:val="00F22C78"/>
    <w:rsid w:val="00F24648"/>
    <w:rsid w:val="00F24965"/>
    <w:rsid w:val="00F24D43"/>
    <w:rsid w:val="00F2523E"/>
    <w:rsid w:val="00F25DC6"/>
    <w:rsid w:val="00F266FB"/>
    <w:rsid w:val="00F27141"/>
    <w:rsid w:val="00F271DD"/>
    <w:rsid w:val="00F30929"/>
    <w:rsid w:val="00F3112D"/>
    <w:rsid w:val="00F31E27"/>
    <w:rsid w:val="00F33D5A"/>
    <w:rsid w:val="00F34348"/>
    <w:rsid w:val="00F356E8"/>
    <w:rsid w:val="00F35B01"/>
    <w:rsid w:val="00F36AA7"/>
    <w:rsid w:val="00F37FDE"/>
    <w:rsid w:val="00F40071"/>
    <w:rsid w:val="00F4048B"/>
    <w:rsid w:val="00F4274D"/>
    <w:rsid w:val="00F42B4E"/>
    <w:rsid w:val="00F42BCC"/>
    <w:rsid w:val="00F43C6B"/>
    <w:rsid w:val="00F43D61"/>
    <w:rsid w:val="00F44E01"/>
    <w:rsid w:val="00F45526"/>
    <w:rsid w:val="00F45685"/>
    <w:rsid w:val="00F46ABF"/>
    <w:rsid w:val="00F47362"/>
    <w:rsid w:val="00F4797B"/>
    <w:rsid w:val="00F501DF"/>
    <w:rsid w:val="00F502B1"/>
    <w:rsid w:val="00F509D1"/>
    <w:rsid w:val="00F50DEC"/>
    <w:rsid w:val="00F5124C"/>
    <w:rsid w:val="00F539A5"/>
    <w:rsid w:val="00F55070"/>
    <w:rsid w:val="00F552DF"/>
    <w:rsid w:val="00F56268"/>
    <w:rsid w:val="00F56391"/>
    <w:rsid w:val="00F600BB"/>
    <w:rsid w:val="00F60A6D"/>
    <w:rsid w:val="00F60F4E"/>
    <w:rsid w:val="00F63B33"/>
    <w:rsid w:val="00F648F6"/>
    <w:rsid w:val="00F656F6"/>
    <w:rsid w:val="00F65721"/>
    <w:rsid w:val="00F6739F"/>
    <w:rsid w:val="00F67878"/>
    <w:rsid w:val="00F703E7"/>
    <w:rsid w:val="00F7114F"/>
    <w:rsid w:val="00F7235D"/>
    <w:rsid w:val="00F739FA"/>
    <w:rsid w:val="00F74D83"/>
    <w:rsid w:val="00F75CD2"/>
    <w:rsid w:val="00F774D1"/>
    <w:rsid w:val="00F8004A"/>
    <w:rsid w:val="00F81094"/>
    <w:rsid w:val="00F8110F"/>
    <w:rsid w:val="00F830D4"/>
    <w:rsid w:val="00F83E09"/>
    <w:rsid w:val="00F84151"/>
    <w:rsid w:val="00F86665"/>
    <w:rsid w:val="00F907BC"/>
    <w:rsid w:val="00F90E4B"/>
    <w:rsid w:val="00F91316"/>
    <w:rsid w:val="00F91B63"/>
    <w:rsid w:val="00F91C76"/>
    <w:rsid w:val="00F92CE0"/>
    <w:rsid w:val="00F9337A"/>
    <w:rsid w:val="00F94B68"/>
    <w:rsid w:val="00F94C8A"/>
    <w:rsid w:val="00F958BA"/>
    <w:rsid w:val="00F960E5"/>
    <w:rsid w:val="00F962F0"/>
    <w:rsid w:val="00F965EE"/>
    <w:rsid w:val="00F97AD7"/>
    <w:rsid w:val="00F97BD8"/>
    <w:rsid w:val="00FA2D8C"/>
    <w:rsid w:val="00FA3529"/>
    <w:rsid w:val="00FA4070"/>
    <w:rsid w:val="00FA5A1A"/>
    <w:rsid w:val="00FA72AA"/>
    <w:rsid w:val="00FA7EDE"/>
    <w:rsid w:val="00FB02BB"/>
    <w:rsid w:val="00FB3DBC"/>
    <w:rsid w:val="00FB4D45"/>
    <w:rsid w:val="00FB5639"/>
    <w:rsid w:val="00FB699F"/>
    <w:rsid w:val="00FB6E0C"/>
    <w:rsid w:val="00FB6F1D"/>
    <w:rsid w:val="00FB7C8B"/>
    <w:rsid w:val="00FC0054"/>
    <w:rsid w:val="00FC0233"/>
    <w:rsid w:val="00FC196C"/>
    <w:rsid w:val="00FC2A7C"/>
    <w:rsid w:val="00FC3AB3"/>
    <w:rsid w:val="00FC3CA9"/>
    <w:rsid w:val="00FC401C"/>
    <w:rsid w:val="00FC4BAA"/>
    <w:rsid w:val="00FC61F2"/>
    <w:rsid w:val="00FC69E8"/>
    <w:rsid w:val="00FC6FFA"/>
    <w:rsid w:val="00FD12D2"/>
    <w:rsid w:val="00FD1DA6"/>
    <w:rsid w:val="00FD1F27"/>
    <w:rsid w:val="00FD222D"/>
    <w:rsid w:val="00FD25F7"/>
    <w:rsid w:val="00FD2A2C"/>
    <w:rsid w:val="00FD2D5E"/>
    <w:rsid w:val="00FD3894"/>
    <w:rsid w:val="00FD3D66"/>
    <w:rsid w:val="00FD41E0"/>
    <w:rsid w:val="00FD484D"/>
    <w:rsid w:val="00FD48C8"/>
    <w:rsid w:val="00FD504F"/>
    <w:rsid w:val="00FD5260"/>
    <w:rsid w:val="00FD5D32"/>
    <w:rsid w:val="00FE150E"/>
    <w:rsid w:val="00FE1780"/>
    <w:rsid w:val="00FE19F4"/>
    <w:rsid w:val="00FE1C27"/>
    <w:rsid w:val="00FE2B2D"/>
    <w:rsid w:val="00FE3265"/>
    <w:rsid w:val="00FE335A"/>
    <w:rsid w:val="00FE35A9"/>
    <w:rsid w:val="00FE39EF"/>
    <w:rsid w:val="00FE4084"/>
    <w:rsid w:val="00FE4B4B"/>
    <w:rsid w:val="00FE5398"/>
    <w:rsid w:val="00FE5E3A"/>
    <w:rsid w:val="00FE6D7F"/>
    <w:rsid w:val="00FE78A0"/>
    <w:rsid w:val="00FF11CD"/>
    <w:rsid w:val="00FF1ABE"/>
    <w:rsid w:val="00FF30A3"/>
    <w:rsid w:val="00FF3881"/>
    <w:rsid w:val="00FF4A1B"/>
    <w:rsid w:val="00FF510F"/>
    <w:rsid w:val="00FF53AC"/>
    <w:rsid w:val="00FF5B01"/>
    <w:rsid w:val="00FF71B5"/>
    <w:rsid w:val="026CFAF0"/>
    <w:rsid w:val="0BE4177B"/>
    <w:rsid w:val="0D55F241"/>
    <w:rsid w:val="0D8DFB85"/>
    <w:rsid w:val="12BA4CA2"/>
    <w:rsid w:val="1316CCC4"/>
    <w:rsid w:val="15A4CC25"/>
    <w:rsid w:val="1B7CD5CC"/>
    <w:rsid w:val="1B8AE975"/>
    <w:rsid w:val="1B91D9E1"/>
    <w:rsid w:val="22C0BD99"/>
    <w:rsid w:val="24820398"/>
    <w:rsid w:val="24EDFB69"/>
    <w:rsid w:val="279A6072"/>
    <w:rsid w:val="2940CCFA"/>
    <w:rsid w:val="307379F0"/>
    <w:rsid w:val="37C7DB99"/>
    <w:rsid w:val="43D86DA0"/>
    <w:rsid w:val="45743E01"/>
    <w:rsid w:val="46E0623F"/>
    <w:rsid w:val="480B1EAD"/>
    <w:rsid w:val="4860888C"/>
    <w:rsid w:val="4F311887"/>
    <w:rsid w:val="50577988"/>
    <w:rsid w:val="559ED7B6"/>
    <w:rsid w:val="569586B3"/>
    <w:rsid w:val="576F9DB7"/>
    <w:rsid w:val="5C0190D5"/>
    <w:rsid w:val="5CC46D22"/>
    <w:rsid w:val="5FDF4515"/>
    <w:rsid w:val="5FE1F400"/>
    <w:rsid w:val="60BBD99B"/>
    <w:rsid w:val="61330BF6"/>
    <w:rsid w:val="613C792D"/>
    <w:rsid w:val="63944007"/>
    <w:rsid w:val="6406EADB"/>
    <w:rsid w:val="689F2150"/>
    <w:rsid w:val="6D698190"/>
    <w:rsid w:val="71859010"/>
    <w:rsid w:val="7564D84F"/>
    <w:rsid w:val="7A943DAF"/>
    <w:rsid w:val="7DFE7954"/>
    <w:rsid w:val="7FE09C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2D17AA"/>
  <w15:docId w15:val="{5C2B5881-7CD2-4529-9C2E-8B1F6332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C1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4501B3"/>
    <w:rPr>
      <w:vertAlign w:val="superscript"/>
    </w:rPr>
  </w:style>
  <w:style w:type="paragraph" w:styleId="FootnoteText">
    <w:name w:val="footnote text"/>
    <w:aliases w:val="Char,Footnote Text Char Char Char Char Char,Footnote Text Char Char1 Char,Footnote Text Char1 Char Char Char,Footnote Text Char1 Char Char Char Char Char Char Char,Footnote Text Char1 Char1 Char,Footnote Text Char2 Char,f,fn,ft,ft Char Ch"/>
    <w:basedOn w:val="Normal"/>
    <w:link w:val="FootnoteTextChar1"/>
    <w:uiPriority w:val="99"/>
    <w:qFormat/>
    <w:rsid w:val="00D025E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rsid w:val="009C7F55"/>
    <w:rPr>
      <w:rFonts w:ascii="Calibri" w:eastAsia="Calibri" w:hAnsi="Calibri" w:cs="Times New Roman"/>
      <w:sz w:val="20"/>
      <w:szCs w:val="20"/>
    </w:rPr>
  </w:style>
  <w:style w:type="character" w:customStyle="1" w:styleId="FootnoteTextChar1">
    <w:name w:val="Footnote Text Char1"/>
    <w:aliases w:val="Char Char,Footnote Text Char Char Char Char Char Char,Footnote Text Char Char1 Char Char,Footnote Text Char1 Char Char Char Char,Footnote Text Char1 Char Char Char Char Char Char Char Char,Footnote Text Char1 Char1 Char Char,f Char"/>
    <w:link w:val="FootnoteText"/>
    <w:uiPriority w:val="99"/>
    <w:rsid w:val="00D025E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qFormat/>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56C"/>
    <w:rPr>
      <w:color w:val="605E5C"/>
      <w:shd w:val="clear" w:color="auto" w:fill="E1DFDD"/>
    </w:rPr>
  </w:style>
  <w:style w:type="paragraph" w:styleId="NoSpacing">
    <w:name w:val="No Spacing"/>
    <w:uiPriority w:val="1"/>
    <w:qFormat/>
    <w:rsid w:val="008F283D"/>
    <w:pPr>
      <w:spacing w:after="0" w:line="240" w:lineRule="auto"/>
    </w:pPr>
  </w:style>
  <w:style w:type="table" w:customStyle="1" w:styleId="TableGrid1">
    <w:name w:val="Table Grid1"/>
    <w:basedOn w:val="TableNormal"/>
    <w:next w:val="TableGrid"/>
    <w:rsid w:val="00DB63A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9156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920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ferc.gov/legal/ceii-foia/ceii.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31604-29cd-4315-8796-3e5c08451dcf" xsi:nil="true"/>
    <lcf76f155ced4ddcb4097134ff3c332f xmlns="36d16fec-2881-4e42-8e3e-82d2ddd01c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CE9DBF6E931146816AB24CE04876B2" ma:contentTypeVersion="6" ma:contentTypeDescription="Create a new document." ma:contentTypeScope="" ma:versionID="bca20141d25f829ed05f7161852586a6">
  <xsd:schema xmlns:xsd="http://www.w3.org/2001/XMLSchema" xmlns:xs="http://www.w3.org/2001/XMLSchema" xmlns:p="http://schemas.microsoft.com/office/2006/metadata/properties" xmlns:ns2="36d16fec-2881-4e42-8e3e-82d2ddd01ccf" xmlns:ns3="8e431604-29cd-4315-8796-3e5c08451dcf" targetNamespace="http://schemas.microsoft.com/office/2006/metadata/properties" ma:root="true" ma:fieldsID="8e2b739283d6716ab9dc17dc8402665c" ns2:_="" ns3:_="">
    <xsd:import namespace="36d16fec-2881-4e42-8e3e-82d2ddd01ccf"/>
    <xsd:import namespace="8e431604-29cd-4315-8796-3e5c08451dcf"/>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6fec-2881-4e42-8e3e-82d2ddd01ccf"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31604-29cd-4315-8796-3e5c08451dc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cb36dc6-8347-480a-85d7-39ff36616223}" ma:internalName="TaxCatchAll" ma:showField="CatchAllData" ma:web="8e431604-29cd-4315-8796-3e5c08451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 ds:uri="8e431604-29cd-4315-8796-3e5c08451dcf"/>
    <ds:schemaRef ds:uri="36d16fec-2881-4e42-8e3e-82d2ddd01ccf"/>
  </ds:schemaRefs>
</ds:datastoreItem>
</file>

<file path=customXml/itemProps2.xml><?xml version="1.0" encoding="utf-8"?>
<ds:datastoreItem xmlns:ds="http://schemas.openxmlformats.org/officeDocument/2006/customXml" ds:itemID="{16EDD09F-A839-49FF-BA07-68D5F830D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16fec-2881-4e42-8e3e-82d2ddd01ccf"/>
    <ds:schemaRef ds:uri="8e431604-29cd-4315-8796-3e5c08451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2D0448F9-BBE8-47D6-ACCE-55399A47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2442</Words>
  <Characters>13900</Characters>
  <Application>Microsoft Office Word</Application>
  <DocSecurity>0</DocSecurity>
  <Lines>386</Lines>
  <Paragraphs>131</Paragraphs>
  <ScaleCrop>false</ScaleCrop>
  <Company>FERC</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Ken Ambrose</cp:lastModifiedBy>
  <cp:revision>2</cp:revision>
  <cp:lastPrinted>2026-06-02T20:26:00Z</cp:lastPrinted>
  <dcterms:created xsi:type="dcterms:W3CDTF">2026-07-06T16:44:00Z</dcterms:created>
  <dcterms:modified xsi:type="dcterms:W3CDTF">2026-07-06T16:44:00Z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0x01010032CE9DBF6E931146816AB24CE04876B2</vt:lpwstr>
  </property>
  <property fmtid="{D5CDD505-2E9C-101B-9397-08002B2CF9AE}" pid="3" name="MediaServiceImageTags">
    <vt:lpwstr/>
  </property>
  <property fmtid="{D5CDD505-2E9C-101B-9397-08002B2CF9AE}" pid="4" name="MSIP_Label_bd24d06a-0e85-4d57-b1e0-ba34b1abc708_ActionId">
    <vt:lpwstr>6298d01a-4c93-4353-92ed-b12f6d4142ed</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2026-05-01T13:14:00Z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y fmtid="{D5CDD505-2E9C-101B-9397-08002B2CF9AE}" pid="12" name="Order">
    <vt:r8>1163400</vt:r8>
  </property>
</Properties>
</file>