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8A72DE" w:rsidRPr="00E06998" w:rsidP="008A72DE" w14:paraId="4339D31D" w14:textId="77777777">
      <w:pPr>
        <w:jc w:val="center"/>
        <w:rPr>
          <w:szCs w:val="26"/>
        </w:rPr>
      </w:pPr>
      <w:r w:rsidRPr="00E06998">
        <w:rPr>
          <w:szCs w:val="26"/>
        </w:rPr>
        <w:t>UNITED STATES OF AMERICA</w:t>
      </w:r>
    </w:p>
    <w:p w:rsidR="008A72DE" w:rsidRPr="00E06998" w:rsidP="008A72DE" w14:paraId="1C64DC4D" w14:textId="77777777">
      <w:pPr>
        <w:jc w:val="center"/>
        <w:rPr>
          <w:szCs w:val="26"/>
        </w:rPr>
      </w:pPr>
      <w:r w:rsidRPr="00E06998">
        <w:rPr>
          <w:szCs w:val="26"/>
        </w:rPr>
        <w:t>FEDERAL ENERGY REGULATORY COMMISSION</w:t>
      </w:r>
    </w:p>
    <w:p w:rsidR="008A72DE" w:rsidRPr="00E06998" w:rsidP="008A72DE" w14:paraId="64642480" w14:textId="77777777">
      <w:pPr>
        <w:rPr>
          <w:szCs w:val="26"/>
        </w:rPr>
      </w:pPr>
    </w:p>
    <w:p w:rsidR="008A72DE" w:rsidRPr="00E06998" w:rsidP="11CE0D57" w14:paraId="70D93AFB" w14:textId="77025C2D">
      <w:pPr>
        <w:jc w:val="center"/>
        <w:rPr>
          <w:szCs w:val="26"/>
        </w:rPr>
      </w:pPr>
      <w:r w:rsidRPr="00E06998">
        <w:rPr>
          <w:szCs w:val="26"/>
        </w:rPr>
        <w:t xml:space="preserve">[Docket No. </w:t>
      </w:r>
      <w:r w:rsidRPr="00E06998" w:rsidR="51E80EDC">
        <w:rPr>
          <w:color w:val="000000" w:themeColor="text1"/>
          <w:szCs w:val="26"/>
        </w:rPr>
        <w:t>IC26-36-000</w:t>
      </w:r>
      <w:r w:rsidRPr="00E06998">
        <w:rPr>
          <w:szCs w:val="26"/>
        </w:rPr>
        <w:t>]</w:t>
      </w:r>
    </w:p>
    <w:p w:rsidR="008A72DE" w:rsidRPr="00E06998" w:rsidP="008A72DE" w14:paraId="58B8B262" w14:textId="77777777">
      <w:pPr>
        <w:rPr>
          <w:szCs w:val="26"/>
        </w:rPr>
      </w:pPr>
    </w:p>
    <w:p w:rsidR="008A72DE" w:rsidRPr="00E06998" w:rsidP="008A72DE" w14:paraId="40A0358A" w14:textId="77777777">
      <w:pPr>
        <w:jc w:val="center"/>
        <w:rPr>
          <w:szCs w:val="26"/>
        </w:rPr>
      </w:pPr>
      <w:r w:rsidRPr="00E06998">
        <w:rPr>
          <w:szCs w:val="26"/>
        </w:rPr>
        <w:t>COMMISSION INFORMATION COLLECTION ACTIVITIES (FERC-521);</w:t>
      </w:r>
    </w:p>
    <w:p w:rsidR="008A72DE" w:rsidRPr="00E06998" w:rsidP="008A72DE" w14:paraId="5D32C41A" w14:textId="77777777">
      <w:pPr>
        <w:jc w:val="center"/>
        <w:rPr>
          <w:szCs w:val="26"/>
        </w:rPr>
      </w:pPr>
      <w:r w:rsidRPr="00E06998">
        <w:rPr>
          <w:szCs w:val="26"/>
        </w:rPr>
        <w:t>COMMENT REQUEST; EXTENSION</w:t>
      </w:r>
    </w:p>
    <w:p w:rsidR="008A72DE" w:rsidRPr="00E06998" w:rsidP="008A72DE" w14:paraId="7F99F288" w14:textId="77777777">
      <w:pPr>
        <w:rPr>
          <w:szCs w:val="26"/>
        </w:rPr>
      </w:pPr>
    </w:p>
    <w:p w:rsidR="00D13314" w:rsidRPr="00E06998" w:rsidP="00672C5D" w14:paraId="499B4715" w14:textId="2E953BD0">
      <w:pPr>
        <w:jc w:val="center"/>
        <w:rPr>
          <w:szCs w:val="26"/>
        </w:rPr>
      </w:pPr>
      <w:r w:rsidRPr="00E06998">
        <w:rPr>
          <w:szCs w:val="26"/>
        </w:rPr>
        <w:t>(September 15, 2026)</w:t>
      </w:r>
    </w:p>
    <w:p w:rsidR="00672C5D" w:rsidRPr="00E06998" w:rsidP="00672C5D" w14:paraId="000549D2" w14:textId="77777777">
      <w:pPr>
        <w:rPr>
          <w:szCs w:val="26"/>
        </w:rPr>
      </w:pPr>
    </w:p>
    <w:p w:rsidR="008A72DE" w:rsidRPr="00E06998" w:rsidP="008A72DE" w14:paraId="6A6FE1FF" w14:textId="291F5ACB">
      <w:pPr>
        <w:rPr>
          <w:szCs w:val="26"/>
        </w:rPr>
      </w:pPr>
      <w:r w:rsidRPr="00E06998">
        <w:rPr>
          <w:b/>
          <w:szCs w:val="26"/>
        </w:rPr>
        <w:t>AGENCY:</w:t>
      </w:r>
      <w:r w:rsidRPr="00E06998" w:rsidR="008D0F96">
        <w:rPr>
          <w:szCs w:val="26"/>
        </w:rPr>
        <w:t xml:space="preserve"> </w:t>
      </w:r>
      <w:r w:rsidRPr="00E06998">
        <w:rPr>
          <w:szCs w:val="26"/>
        </w:rPr>
        <w:t>Federal Energy Regulatory Commission.</w:t>
      </w:r>
    </w:p>
    <w:p w:rsidR="008A72DE" w:rsidRPr="00E06998" w:rsidP="008A72DE" w14:paraId="613DE29B" w14:textId="77777777">
      <w:pPr>
        <w:rPr>
          <w:szCs w:val="26"/>
        </w:rPr>
      </w:pPr>
    </w:p>
    <w:p w:rsidR="008A72DE" w:rsidRPr="00E06998" w:rsidP="008A72DE" w14:paraId="1E2B2E86" w14:textId="76DC18B1">
      <w:pPr>
        <w:spacing w:line="480" w:lineRule="auto"/>
        <w:rPr>
          <w:szCs w:val="26"/>
        </w:rPr>
      </w:pPr>
      <w:r w:rsidRPr="00E06998">
        <w:rPr>
          <w:b/>
          <w:szCs w:val="26"/>
        </w:rPr>
        <w:t>ACTION:</w:t>
      </w:r>
      <w:r w:rsidRPr="00E06998" w:rsidR="008D0F96">
        <w:rPr>
          <w:szCs w:val="26"/>
        </w:rPr>
        <w:t xml:space="preserve"> </w:t>
      </w:r>
      <w:r w:rsidRPr="00E06998">
        <w:rPr>
          <w:szCs w:val="26"/>
        </w:rPr>
        <w:t>Notice of information collection and request for comments.</w:t>
      </w:r>
    </w:p>
    <w:p w:rsidR="008A72DE" w:rsidRPr="00E06998" w:rsidP="11CE0D57" w14:paraId="79A498D4" w14:textId="783AED5B">
      <w:pPr>
        <w:spacing w:line="480" w:lineRule="auto"/>
        <w:rPr>
          <w:szCs w:val="26"/>
        </w:rPr>
      </w:pPr>
      <w:r w:rsidRPr="00E06998">
        <w:rPr>
          <w:b/>
          <w:bCs/>
          <w:szCs w:val="26"/>
        </w:rPr>
        <w:t>SUMMARY:</w:t>
      </w:r>
      <w:r w:rsidRPr="00E06998">
        <w:rPr>
          <w:szCs w:val="26"/>
        </w:rPr>
        <w:t xml:space="preserve"> In compliance with the requirements of the Paperwork Reduction Act of 1995</w:t>
      </w:r>
      <w:r w:rsidRPr="00E06998" w:rsidR="0047667D">
        <w:rPr>
          <w:szCs w:val="26"/>
        </w:rPr>
        <w:t xml:space="preserve"> (PRA)</w:t>
      </w:r>
      <w:r w:rsidRPr="00E06998">
        <w:rPr>
          <w:szCs w:val="26"/>
        </w:rPr>
        <w:t xml:space="preserve">, the Federal Energy Regulatory Commission (Commission or FERC) is soliciting public comment on FERC-521: Payments for Benefits from Headwater Improvements </w:t>
      </w:r>
      <w:r w:rsidRPr="00E06998">
        <w:rPr>
          <w:color w:val="000000" w:themeColor="text1"/>
          <w:szCs w:val="26"/>
        </w:rPr>
        <w:t>(OMB Control No 1902-0087)</w:t>
      </w:r>
      <w:r w:rsidRPr="00E06998" w:rsidR="00FD669A">
        <w:rPr>
          <w:color w:val="000000" w:themeColor="text1"/>
          <w:szCs w:val="26"/>
        </w:rPr>
        <w:t xml:space="preserve"> which will be submitted to the Office of Management and Budget (OMB) for a review of the information collection requirements</w:t>
      </w:r>
      <w:r w:rsidRPr="00E06998">
        <w:rPr>
          <w:color w:val="000000" w:themeColor="text1"/>
          <w:szCs w:val="26"/>
        </w:rPr>
        <w:t>. There are no proposed changes to the reporting requirements.</w:t>
      </w:r>
      <w:r w:rsidRPr="00E06998" w:rsidR="008D0F96">
        <w:rPr>
          <w:color w:val="000000" w:themeColor="text1"/>
          <w:szCs w:val="26"/>
        </w:rPr>
        <w:t xml:space="preserve"> </w:t>
      </w:r>
      <w:r w:rsidRPr="00E06998" w:rsidR="6474733A">
        <w:rPr>
          <w:szCs w:val="26"/>
        </w:rPr>
        <w:t>No comments were received in the 60-day comment period.</w:t>
      </w:r>
      <w:r w:rsidRPr="00E06998" w:rsidR="008D0F96">
        <w:rPr>
          <w:szCs w:val="26"/>
        </w:rPr>
        <w:t xml:space="preserve"> </w:t>
      </w:r>
      <w:r w:rsidRPr="00E06998">
        <w:rPr>
          <w:szCs w:val="26"/>
        </w:rPr>
        <w:t xml:space="preserve"> </w:t>
      </w:r>
    </w:p>
    <w:p w:rsidR="00E53F60" w:rsidRPr="00E06998" w:rsidP="00E53F60" w14:paraId="5C0368D7" w14:textId="1EB8102E">
      <w:pPr>
        <w:spacing w:line="480" w:lineRule="auto"/>
        <w:rPr>
          <w:szCs w:val="26"/>
        </w:rPr>
      </w:pPr>
      <w:r w:rsidRPr="00E06998">
        <w:rPr>
          <w:b/>
          <w:bCs/>
          <w:szCs w:val="26"/>
        </w:rPr>
        <w:t>DATES:</w:t>
      </w:r>
      <w:r w:rsidRPr="00E06998">
        <w:rPr>
          <w:szCs w:val="26"/>
        </w:rPr>
        <w:t xml:space="preserve"> Comments on the collection of information are due </w:t>
      </w:r>
      <w:r w:rsidRPr="00E06998">
        <w:rPr>
          <w:b/>
          <w:bCs/>
          <w:szCs w:val="26"/>
        </w:rPr>
        <w:t>[Insert Date 30 days after date of publication in the Federal Register].</w:t>
      </w:r>
      <w:r w:rsidRPr="00E06998" w:rsidR="008D0F96">
        <w:rPr>
          <w:szCs w:val="26"/>
        </w:rPr>
        <w:t xml:space="preserve"> </w:t>
      </w:r>
    </w:p>
    <w:p w:rsidR="583CA2BE" w:rsidRPr="00E06998" w:rsidP="11CE0D57" w14:paraId="43538EAE" w14:textId="38D02CEE">
      <w:pPr>
        <w:spacing w:line="480" w:lineRule="auto"/>
        <w:rPr>
          <w:szCs w:val="26"/>
        </w:rPr>
      </w:pPr>
      <w:r w:rsidRPr="00E06998">
        <w:rPr>
          <w:b/>
          <w:bCs/>
          <w:color w:val="000000" w:themeColor="text1"/>
          <w:szCs w:val="26"/>
        </w:rPr>
        <w:t>ADDRESSES:</w:t>
      </w:r>
      <w:r w:rsidRPr="00E06998">
        <w:rPr>
          <w:color w:val="000000" w:themeColor="text1"/>
          <w:szCs w:val="26"/>
        </w:rPr>
        <w:t xml:space="preserve"> Send written comments on FERC-521 to OMB through </w:t>
      </w:r>
      <w:hyperlink r:id="rId10">
        <w:r w:rsidRPr="00E06998">
          <w:rPr>
            <w:rStyle w:val="Hyperlink"/>
            <w:szCs w:val="26"/>
          </w:rPr>
          <w:t>https://www.reginfo.gov/public/do/PRA/icrPublicCommentRequest?ref_nbr=</w:t>
        </w:r>
        <w:r w:rsidRPr="00E06998" w:rsidR="26BB83E5">
          <w:rPr>
            <w:rStyle w:val="Hyperlink"/>
            <w:szCs w:val="26"/>
          </w:rPr>
          <w:t>202607-1902-007</w:t>
        </w:r>
      </w:hyperlink>
      <w:r w:rsidRPr="00E06998" w:rsidR="00D9115C">
        <w:rPr>
          <w:szCs w:val="26"/>
        </w:rPr>
        <w:t>.</w:t>
      </w:r>
      <w:r w:rsidRPr="00E06998" w:rsidR="008D0F96">
        <w:rPr>
          <w:color w:val="000000" w:themeColor="text1"/>
          <w:szCs w:val="26"/>
        </w:rPr>
        <w:t xml:space="preserve"> </w:t>
      </w:r>
      <w:r w:rsidRPr="00E06998">
        <w:rPr>
          <w:color w:val="000000" w:themeColor="text1"/>
          <w:szCs w:val="26"/>
        </w:rPr>
        <w:t xml:space="preserve">You can also visit </w:t>
      </w:r>
      <w:hyperlink r:id="rId11">
        <w:r w:rsidRPr="00E06998">
          <w:rPr>
            <w:rStyle w:val="Hyperlink"/>
            <w:szCs w:val="26"/>
          </w:rPr>
          <w:t>https://www.reginfo.gov/public/do/PRAMain</w:t>
        </w:r>
      </w:hyperlink>
      <w:r w:rsidRPr="00E06998">
        <w:rPr>
          <w:color w:val="000000" w:themeColor="text1"/>
          <w:szCs w:val="26"/>
        </w:rPr>
        <w:t xml:space="preserve"> and use the drop-down under “Currently under Review” to select the “Federal Energy Regulatory Commission” where you can see the open opportunities to provide comments. Comments should be sent within 30 days of publication of this notice.</w:t>
      </w:r>
    </w:p>
    <w:p w:rsidR="583CA2BE" w:rsidRPr="00E06998" w:rsidP="11CE0D57" w14:paraId="4C8F452E" w14:textId="19914568">
      <w:pPr>
        <w:spacing w:line="480" w:lineRule="auto"/>
        <w:rPr>
          <w:szCs w:val="26"/>
        </w:rPr>
      </w:pPr>
      <w:r w:rsidRPr="00E06998">
        <w:rPr>
          <w:color w:val="000000" w:themeColor="text1"/>
          <w:szCs w:val="26"/>
        </w:rPr>
        <w:t xml:space="preserve">Please submit a copy of your comments to the Commission via email to </w:t>
      </w:r>
      <w:hyperlink r:id="rId12">
        <w:r w:rsidRPr="00E06998">
          <w:rPr>
            <w:rStyle w:val="Hyperlink"/>
            <w:szCs w:val="26"/>
          </w:rPr>
          <w:t>DataClearance@FERC.gov</w:t>
        </w:r>
      </w:hyperlink>
      <w:r w:rsidRPr="00E06998">
        <w:rPr>
          <w:color w:val="000000" w:themeColor="text1"/>
          <w:szCs w:val="26"/>
        </w:rPr>
        <w:t xml:space="preserve">. You must specify the </w:t>
      </w:r>
      <w:r w:rsidRPr="00E06998" w:rsidR="00BD5C7B">
        <w:rPr>
          <w:color w:val="000000" w:themeColor="text1"/>
          <w:szCs w:val="26"/>
        </w:rPr>
        <w:t>d</w:t>
      </w:r>
      <w:r w:rsidRPr="00E06998">
        <w:rPr>
          <w:color w:val="000000" w:themeColor="text1"/>
          <w:szCs w:val="26"/>
        </w:rPr>
        <w:t>ocket No. (</w:t>
      </w:r>
      <w:r w:rsidRPr="00E06998" w:rsidR="636F8379">
        <w:rPr>
          <w:color w:val="000000" w:themeColor="text1"/>
          <w:szCs w:val="26"/>
        </w:rPr>
        <w:t>IC26-36-000</w:t>
      </w:r>
      <w:r w:rsidRPr="00E06998">
        <w:rPr>
          <w:color w:val="000000" w:themeColor="text1"/>
          <w:szCs w:val="26"/>
        </w:rPr>
        <w:t>) and the FERC Information Collection number (FERC-</w:t>
      </w:r>
      <w:r w:rsidRPr="00E06998" w:rsidR="2BA8FC1F">
        <w:rPr>
          <w:color w:val="000000" w:themeColor="text1"/>
          <w:szCs w:val="26"/>
        </w:rPr>
        <w:t>521</w:t>
      </w:r>
      <w:r w:rsidRPr="00E06998">
        <w:rPr>
          <w:color w:val="000000" w:themeColor="text1"/>
          <w:szCs w:val="26"/>
        </w:rPr>
        <w:t>) in your email.</w:t>
      </w:r>
      <w:r w:rsidRPr="00E06998" w:rsidR="008D0F96">
        <w:rPr>
          <w:color w:val="000000" w:themeColor="text1"/>
          <w:szCs w:val="26"/>
        </w:rPr>
        <w:t xml:space="preserve"> </w:t>
      </w:r>
      <w:r w:rsidRPr="00E06998">
        <w:rPr>
          <w:color w:val="000000" w:themeColor="text1"/>
          <w:szCs w:val="26"/>
        </w:rPr>
        <w:t>If you are unable to file electronically, comments may be filed by USPS mail or by hand (including courier) delivery:</w:t>
      </w:r>
    </w:p>
    <w:p w:rsidR="583CA2BE" w:rsidRPr="00E06998" w:rsidP="11CE0D57" w14:paraId="7FE4478C" w14:textId="48100D4C">
      <w:pPr>
        <w:pStyle w:val="ListParagraph"/>
        <w:numPr>
          <w:ilvl w:val="0"/>
          <w:numId w:val="1"/>
        </w:numPr>
        <w:spacing w:line="480" w:lineRule="auto"/>
        <w:rPr>
          <w:color w:val="000000" w:themeColor="text1"/>
          <w:szCs w:val="26"/>
        </w:rPr>
      </w:pPr>
      <w:r w:rsidRPr="00E06998">
        <w:rPr>
          <w:color w:val="000000" w:themeColor="text1"/>
          <w:szCs w:val="26"/>
        </w:rPr>
        <w:t>Mail via U.S. Postal Service Only: Federal Energy Regulatory Commission, Secretary of the Commission, 888 First Street, N.E., Washington, DC 20426.</w:t>
      </w:r>
    </w:p>
    <w:p w:rsidR="583CA2BE" w:rsidRPr="00E06998" w:rsidP="11CE0D57" w14:paraId="5113B24C" w14:textId="0454C7DB">
      <w:pPr>
        <w:pStyle w:val="ListParagraph"/>
        <w:numPr>
          <w:ilvl w:val="0"/>
          <w:numId w:val="1"/>
        </w:numPr>
        <w:spacing w:line="480" w:lineRule="auto"/>
        <w:rPr>
          <w:color w:val="000000" w:themeColor="text1"/>
          <w:szCs w:val="26"/>
        </w:rPr>
      </w:pPr>
      <w:r w:rsidRPr="00E06998">
        <w:rPr>
          <w:color w:val="000000" w:themeColor="text1"/>
          <w:szCs w:val="26"/>
        </w:rPr>
        <w:t>All other delivery methods: Federal Energy Regulatory Commission, Secretary of the Commission, 12225 Wilkins Avenue, Rockville, MD 20852.</w:t>
      </w:r>
    </w:p>
    <w:p w:rsidR="583CA2BE" w:rsidRPr="00E06998" w:rsidP="11CE0D57" w14:paraId="56D4B038" w14:textId="782485C3">
      <w:pPr>
        <w:spacing w:line="480" w:lineRule="auto"/>
        <w:rPr>
          <w:szCs w:val="26"/>
        </w:rPr>
      </w:pPr>
      <w:r w:rsidRPr="00E06998">
        <w:rPr>
          <w:i/>
          <w:iCs/>
          <w:color w:val="000000" w:themeColor="text1"/>
          <w:szCs w:val="26"/>
        </w:rPr>
        <w:t>Docket</w:t>
      </w:r>
      <w:r w:rsidRPr="00E06998">
        <w:rPr>
          <w:color w:val="000000" w:themeColor="text1"/>
          <w:szCs w:val="26"/>
        </w:rPr>
        <w:t>:</w:t>
      </w:r>
      <w:r w:rsidRPr="00E06998" w:rsidR="008D0F96">
        <w:rPr>
          <w:color w:val="000000" w:themeColor="text1"/>
          <w:szCs w:val="26"/>
        </w:rPr>
        <w:t xml:space="preserve"> </w:t>
      </w:r>
      <w:r w:rsidRPr="00E06998">
        <w:rPr>
          <w:color w:val="000000" w:themeColor="text1"/>
          <w:szCs w:val="26"/>
        </w:rPr>
        <w:t xml:space="preserve">To view comments and issuances in this docket, please visit </w:t>
      </w:r>
      <w:hyperlink r:id="rId13">
        <w:r w:rsidRPr="00E06998">
          <w:rPr>
            <w:rStyle w:val="Hyperlink"/>
            <w:szCs w:val="26"/>
          </w:rPr>
          <w:t>https://elibrary.ferc.gov/eLibrary/search</w:t>
        </w:r>
      </w:hyperlink>
      <w:r w:rsidRPr="00E06998">
        <w:rPr>
          <w:color w:val="000000" w:themeColor="text1"/>
          <w:szCs w:val="26"/>
        </w:rPr>
        <w:t xml:space="preserve">. </w:t>
      </w:r>
    </w:p>
    <w:p w:rsidR="583CA2BE" w:rsidRPr="00E06998" w:rsidP="11CE0D57" w14:paraId="1982F75D" w14:textId="42D2A417">
      <w:pPr>
        <w:spacing w:line="480" w:lineRule="auto"/>
        <w:rPr>
          <w:szCs w:val="26"/>
        </w:rPr>
      </w:pPr>
      <w:r w:rsidRPr="00E06998">
        <w:rPr>
          <w:b/>
          <w:bCs/>
          <w:color w:val="000000" w:themeColor="text1"/>
          <w:szCs w:val="26"/>
        </w:rPr>
        <w:t>FOR FURTHER INFORMATION CONTACT:</w:t>
      </w:r>
      <w:r w:rsidRPr="00E06998" w:rsidR="008D0F96">
        <w:rPr>
          <w:color w:val="000000" w:themeColor="text1"/>
          <w:szCs w:val="26"/>
        </w:rPr>
        <w:t xml:space="preserve"> </w:t>
      </w:r>
      <w:r w:rsidRPr="00E06998">
        <w:rPr>
          <w:color w:val="000000" w:themeColor="text1"/>
          <w:szCs w:val="26"/>
        </w:rPr>
        <w:t xml:space="preserve">Kayla Williams, (202) 502-6468. </w:t>
      </w:r>
      <w:hyperlink r:id="rId12">
        <w:r w:rsidRPr="00E06998">
          <w:rPr>
            <w:rStyle w:val="Hyperlink"/>
            <w:szCs w:val="26"/>
          </w:rPr>
          <w:t>DataClearance@FERC.gov</w:t>
        </w:r>
      </w:hyperlink>
    </w:p>
    <w:p w:rsidR="008A72DE" w:rsidRPr="00E06998" w:rsidP="00E53F60" w14:paraId="4430EBEB" w14:textId="3062DF7C">
      <w:pPr>
        <w:spacing w:line="480" w:lineRule="auto"/>
        <w:rPr>
          <w:szCs w:val="26"/>
        </w:rPr>
      </w:pPr>
      <w:r w:rsidRPr="00E06998">
        <w:rPr>
          <w:b/>
          <w:szCs w:val="26"/>
        </w:rPr>
        <w:t>SUPPLEMENTARY INFORMATION:</w:t>
      </w:r>
      <w:r w:rsidRPr="00E06998" w:rsidR="008D0F96">
        <w:rPr>
          <w:szCs w:val="26"/>
        </w:rPr>
        <w:t xml:space="preserve"> </w:t>
      </w:r>
    </w:p>
    <w:p w:rsidR="008A72DE" w:rsidRPr="00E06998" w:rsidP="008A72DE" w14:paraId="23D7614D" w14:textId="77777777">
      <w:pPr>
        <w:spacing w:line="480" w:lineRule="auto"/>
        <w:rPr>
          <w:i/>
          <w:szCs w:val="26"/>
        </w:rPr>
      </w:pPr>
      <w:r w:rsidRPr="00E06998">
        <w:rPr>
          <w:i/>
          <w:szCs w:val="26"/>
        </w:rPr>
        <w:t xml:space="preserve">Title: </w:t>
      </w:r>
      <w:r w:rsidRPr="00E06998">
        <w:rPr>
          <w:szCs w:val="26"/>
        </w:rPr>
        <w:t>FERC-521, Payments for Benefits from Headwater Improvements</w:t>
      </w:r>
    </w:p>
    <w:p w:rsidR="008A72DE" w:rsidRPr="00E06998" w:rsidP="008A72DE" w14:paraId="18BC9307" w14:textId="77777777">
      <w:pPr>
        <w:spacing w:line="480" w:lineRule="auto"/>
        <w:rPr>
          <w:szCs w:val="26"/>
        </w:rPr>
      </w:pPr>
      <w:r w:rsidRPr="00E06998">
        <w:rPr>
          <w:i/>
          <w:szCs w:val="26"/>
        </w:rPr>
        <w:t>OMB Control No.:</w:t>
      </w:r>
      <w:r w:rsidRPr="00E06998">
        <w:rPr>
          <w:szCs w:val="26"/>
        </w:rPr>
        <w:t xml:space="preserve"> 1902-0087</w:t>
      </w:r>
    </w:p>
    <w:p w:rsidR="008A72DE" w:rsidRPr="00E06998" w:rsidP="008A72DE" w14:paraId="15613509" w14:textId="77777777">
      <w:pPr>
        <w:spacing w:line="480" w:lineRule="auto"/>
        <w:rPr>
          <w:szCs w:val="26"/>
        </w:rPr>
      </w:pPr>
      <w:r w:rsidRPr="00E06998">
        <w:rPr>
          <w:i/>
          <w:iCs/>
          <w:szCs w:val="26"/>
        </w:rPr>
        <w:t>Type of Request:</w:t>
      </w:r>
      <w:r w:rsidRPr="00E06998">
        <w:rPr>
          <w:szCs w:val="26"/>
        </w:rPr>
        <w:t xml:space="preserve"> Three-year extension of the FERC-521 information collection requirements with no changes to the reporting requirements. </w:t>
      </w:r>
    </w:p>
    <w:p w:rsidR="008A72DE" w:rsidRPr="00E06998" w:rsidP="11CE0D57" w14:paraId="7563DD30" w14:textId="5AA40613">
      <w:pPr>
        <w:spacing w:line="480" w:lineRule="auto"/>
        <w:rPr>
          <w:color w:val="000000" w:themeColor="text1"/>
          <w:szCs w:val="26"/>
        </w:rPr>
      </w:pPr>
      <w:r w:rsidRPr="00E06998">
        <w:rPr>
          <w:i/>
          <w:iCs/>
          <w:color w:val="000000" w:themeColor="text1"/>
          <w:szCs w:val="26"/>
        </w:rPr>
        <w:t xml:space="preserve">Abstract: </w:t>
      </w:r>
      <w:r w:rsidRPr="00E06998">
        <w:rPr>
          <w:color w:val="000000" w:themeColor="text1"/>
          <w:szCs w:val="26"/>
        </w:rPr>
        <w:t xml:space="preserve">The purpose of FERC-521 is to implement information collections pursuant to Section 10(f) of the Federal Power Act (FPA). Section 10(f) of the FPA requires hydropower </w:t>
      </w:r>
      <w:r w:rsidRPr="00E06998">
        <w:rPr>
          <w:color w:val="000000" w:themeColor="text1"/>
          <w:szCs w:val="26"/>
        </w:rPr>
        <w:t>licensees</w:t>
      </w:r>
      <w:r w:rsidRPr="00E06998">
        <w:rPr>
          <w:color w:val="000000" w:themeColor="text1"/>
          <w:szCs w:val="26"/>
        </w:rPr>
        <w:t xml:space="preserve"> to reimburse upstream headwater project owners for an equitable portion of the benefits it receives </w:t>
      </w:r>
      <w:r w:rsidRPr="00E06998">
        <w:rPr>
          <w:color w:val="000000" w:themeColor="text1"/>
          <w:szCs w:val="26"/>
        </w:rPr>
        <w:t>as a result of</w:t>
      </w:r>
      <w:r w:rsidRPr="00E06998">
        <w:rPr>
          <w:color w:val="000000" w:themeColor="text1"/>
          <w:szCs w:val="26"/>
        </w:rPr>
        <w:t xml:space="preserve"> construction work related to headwater </w:t>
      </w:r>
      <w:r w:rsidRPr="00E06998">
        <w:rPr>
          <w:color w:val="000000" w:themeColor="text1"/>
          <w:szCs w:val="26"/>
        </w:rPr>
        <w:t>improvements.</w:t>
      </w:r>
      <w:r w:rsidRPr="00E06998" w:rsidR="008D0F96">
        <w:rPr>
          <w:color w:val="000000" w:themeColor="text1"/>
          <w:szCs w:val="26"/>
        </w:rPr>
        <w:t xml:space="preserve"> </w:t>
      </w:r>
      <w:r w:rsidRPr="00E06998">
        <w:rPr>
          <w:color w:val="000000" w:themeColor="text1"/>
          <w:szCs w:val="26"/>
        </w:rPr>
        <w:t>These benefits, referred to as headwater benefits, are the additional energy production possible at a downstream hydropower project resulting from the regulation of river flows by an upstream storage reservoir.</w:t>
      </w:r>
      <w:r w:rsidRPr="00E06998" w:rsidR="008D0F96">
        <w:rPr>
          <w:color w:val="000000" w:themeColor="text1"/>
          <w:szCs w:val="26"/>
        </w:rPr>
        <w:t xml:space="preserve"> </w:t>
      </w:r>
      <w:r w:rsidRPr="00E06998">
        <w:rPr>
          <w:color w:val="000000" w:themeColor="text1"/>
          <w:szCs w:val="26"/>
        </w:rPr>
        <w:t>The Commission requires federal agencies and owners of non-federal hydropower projects to file data for determining headwater benefits as outlined in 18 Code of Federal Regulations (CFR) Part 11.</w:t>
      </w:r>
      <w:r w:rsidRPr="00E06998" w:rsidR="008D0F96">
        <w:rPr>
          <w:color w:val="000000" w:themeColor="text1"/>
          <w:szCs w:val="26"/>
        </w:rPr>
        <w:t xml:space="preserve"> </w:t>
      </w:r>
    </w:p>
    <w:p w:rsidR="008A72DE" w:rsidRPr="00E06998" w:rsidP="11CE0D57" w14:paraId="756C7C9D" w14:textId="1427F8EF">
      <w:pPr>
        <w:spacing w:line="480" w:lineRule="auto"/>
        <w:rPr>
          <w:szCs w:val="26"/>
        </w:rPr>
      </w:pPr>
      <w:r w:rsidRPr="00E06998">
        <w:rPr>
          <w:i/>
          <w:iCs/>
          <w:color w:val="000000" w:themeColor="text1"/>
          <w:szCs w:val="26"/>
        </w:rPr>
        <w:t xml:space="preserve">Type of Respondents: </w:t>
      </w:r>
      <w:r w:rsidRPr="00E06998">
        <w:rPr>
          <w:color w:val="000000" w:themeColor="text1"/>
          <w:szCs w:val="26"/>
        </w:rPr>
        <w:t>There are two types of entities that respond, Federal and Non-Federal storage and hydropower project owners.</w:t>
      </w:r>
      <w:r w:rsidRPr="00E06998" w:rsidR="008D0F96">
        <w:rPr>
          <w:color w:val="000000" w:themeColor="text1"/>
          <w:szCs w:val="26"/>
        </w:rPr>
        <w:t xml:space="preserve"> </w:t>
      </w:r>
      <w:r w:rsidRPr="00E06998">
        <w:rPr>
          <w:color w:val="000000" w:themeColor="text1"/>
          <w:szCs w:val="26"/>
        </w:rPr>
        <w:t>The Federal entities that typically respond include the U.S. Army Corps of Engineers and the U.S. Department of Interior Bureau of Reclamation.</w:t>
      </w:r>
      <w:r w:rsidRPr="00E06998" w:rsidR="008D0F96">
        <w:rPr>
          <w:color w:val="000000" w:themeColor="text1"/>
          <w:szCs w:val="26"/>
        </w:rPr>
        <w:t xml:space="preserve"> </w:t>
      </w:r>
      <w:r w:rsidRPr="00E06998">
        <w:rPr>
          <w:color w:val="000000" w:themeColor="text1"/>
          <w:szCs w:val="26"/>
        </w:rPr>
        <w:t xml:space="preserve">The </w:t>
      </w:r>
      <w:r w:rsidRPr="00E06998">
        <w:rPr>
          <w:color w:val="000000" w:themeColor="text1"/>
          <w:szCs w:val="26"/>
        </w:rPr>
        <w:t>Non-Federal</w:t>
      </w:r>
      <w:r w:rsidRPr="00E06998">
        <w:rPr>
          <w:color w:val="000000" w:themeColor="text1"/>
          <w:szCs w:val="26"/>
        </w:rPr>
        <w:t xml:space="preserve"> entities may consist of any Municipal or Non-Municipal hydropower project owner.</w:t>
      </w:r>
      <w:r w:rsidRPr="00E06998" w:rsidR="11CE0D57">
        <w:rPr>
          <w:szCs w:val="26"/>
        </w:rPr>
        <w:t xml:space="preserve"> </w:t>
      </w:r>
    </w:p>
    <w:p w:rsidR="00876014" w:rsidRPr="00E06998" w:rsidP="008A72DE" w14:paraId="2172222B" w14:textId="5B2A6CBF">
      <w:pPr>
        <w:spacing w:line="480" w:lineRule="auto"/>
        <w:rPr>
          <w:szCs w:val="26"/>
        </w:rPr>
      </w:pPr>
      <w:r w:rsidRPr="00E06998">
        <w:rPr>
          <w:i/>
          <w:iCs/>
          <w:szCs w:val="26"/>
        </w:rPr>
        <w:t>Estimate of Annual Burde</w:t>
      </w:r>
      <w:r w:rsidRPr="00E06998" w:rsidR="0047667D">
        <w:rPr>
          <w:i/>
          <w:iCs/>
          <w:szCs w:val="26"/>
        </w:rPr>
        <w:t>n</w:t>
      </w:r>
      <w:r>
        <w:rPr>
          <w:rStyle w:val="FootnoteReference"/>
          <w:i/>
          <w:iCs/>
        </w:rPr>
        <w:footnoteReference w:id="2"/>
      </w:r>
      <w:r w:rsidRPr="00E06998" w:rsidR="361BA7AC">
        <w:rPr>
          <w:i/>
          <w:iCs/>
          <w:szCs w:val="26"/>
        </w:rPr>
        <w:t xml:space="preserve"> </w:t>
      </w:r>
      <w:r w:rsidRPr="00E06998" w:rsidR="0047667D">
        <w:rPr>
          <w:i/>
          <w:iCs/>
          <w:szCs w:val="26"/>
        </w:rPr>
        <w:t>and cost</w:t>
      </w:r>
      <w:r>
        <w:rPr>
          <w:rStyle w:val="FootnoteReference"/>
          <w:i/>
          <w:iCs/>
        </w:rPr>
        <w:footnoteReference w:id="3"/>
      </w:r>
      <w:r w:rsidRPr="00E06998" w:rsidR="00794194">
        <w:rPr>
          <w:i/>
          <w:iCs/>
          <w:szCs w:val="26"/>
        </w:rPr>
        <w:t>:</w:t>
      </w:r>
      <w:r w:rsidRPr="00E06998">
        <w:rPr>
          <w:i/>
          <w:iCs/>
          <w:szCs w:val="26"/>
        </w:rPr>
        <w:t xml:space="preserve"> </w:t>
      </w:r>
      <w:r w:rsidRPr="00E06998">
        <w:rPr>
          <w:szCs w:val="26"/>
        </w:rPr>
        <w:t>The Commission estimates the total Public Reporting Burden for this information collection as:</w:t>
      </w:r>
    </w:p>
    <w:tbl>
      <w:tblPr>
        <w:tblW w:w="5474"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692"/>
        <w:gridCol w:w="1169"/>
        <w:gridCol w:w="1263"/>
        <w:gridCol w:w="1349"/>
        <w:gridCol w:w="1621"/>
        <w:gridCol w:w="1709"/>
        <w:gridCol w:w="1433"/>
      </w:tblGrid>
      <w:tr w14:paraId="39D5989D" w14:textId="77777777" w:rsidTr="11CE0D57">
        <w:tblPrEx>
          <w:tblW w:w="5474"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cantSplit/>
        </w:trPr>
        <w:tc>
          <w:tcPr>
            <w:tcW w:w="826" w:type="pct"/>
            <w:shd w:val="clear" w:color="auto" w:fill="D9D9D9" w:themeFill="background1" w:themeFillShade="D9"/>
          </w:tcPr>
          <w:p w:rsidR="008A72DE" w:rsidRPr="00E06998" w:rsidP="00F22E78" w14:paraId="5742032B" w14:textId="77777777">
            <w:pPr>
              <w:jc w:val="center"/>
              <w:rPr>
                <w:rFonts w:eastAsia="Calibri"/>
                <w:b/>
                <w:szCs w:val="26"/>
              </w:rPr>
            </w:pPr>
          </w:p>
        </w:tc>
        <w:tc>
          <w:tcPr>
            <w:tcW w:w="571" w:type="pct"/>
            <w:shd w:val="clear" w:color="auto" w:fill="D9D9D9" w:themeFill="background1" w:themeFillShade="D9"/>
            <w:vAlign w:val="bottom"/>
          </w:tcPr>
          <w:p w:rsidR="008A72DE" w:rsidRPr="00E06998" w:rsidP="00F22E78" w14:paraId="1A8065C2" w14:textId="77777777">
            <w:pPr>
              <w:jc w:val="center"/>
              <w:rPr>
                <w:rFonts w:eastAsia="Calibri"/>
                <w:b/>
                <w:szCs w:val="26"/>
              </w:rPr>
            </w:pPr>
            <w:r w:rsidRPr="00E06998">
              <w:rPr>
                <w:rFonts w:eastAsia="Calibri"/>
                <w:b/>
                <w:szCs w:val="26"/>
              </w:rPr>
              <w:t>Number of Respondents</w:t>
            </w:r>
            <w:r w:rsidRPr="00E06998">
              <w:rPr>
                <w:rFonts w:eastAsia="Calibri"/>
                <w:b/>
                <w:szCs w:val="26"/>
              </w:rPr>
              <w:br/>
              <w:t>(1)</w:t>
            </w:r>
          </w:p>
        </w:tc>
        <w:tc>
          <w:tcPr>
            <w:tcW w:w="617" w:type="pct"/>
            <w:shd w:val="clear" w:color="auto" w:fill="D9D9D9" w:themeFill="background1" w:themeFillShade="D9"/>
            <w:vAlign w:val="bottom"/>
          </w:tcPr>
          <w:p w:rsidR="008A72DE" w:rsidRPr="00E06998" w:rsidP="00F22E78" w14:paraId="4ACC94D9" w14:textId="77777777">
            <w:pPr>
              <w:jc w:val="center"/>
              <w:rPr>
                <w:rFonts w:eastAsia="Calibri"/>
                <w:b/>
                <w:szCs w:val="26"/>
              </w:rPr>
            </w:pPr>
            <w:r w:rsidRPr="00E06998">
              <w:rPr>
                <w:rFonts w:eastAsia="Calibri"/>
                <w:b/>
                <w:szCs w:val="26"/>
              </w:rPr>
              <w:t>Annual Number of Responses per Respondent</w:t>
            </w:r>
          </w:p>
          <w:p w:rsidR="008A72DE" w:rsidRPr="00E06998" w:rsidP="00F22E78" w14:paraId="25772CB7" w14:textId="77777777">
            <w:pPr>
              <w:jc w:val="center"/>
              <w:rPr>
                <w:rFonts w:eastAsia="Calibri"/>
                <w:b/>
                <w:szCs w:val="26"/>
              </w:rPr>
            </w:pPr>
            <w:r w:rsidRPr="00E06998">
              <w:rPr>
                <w:rFonts w:eastAsia="Calibri"/>
                <w:b/>
                <w:szCs w:val="26"/>
              </w:rPr>
              <w:t>(2)</w:t>
            </w:r>
          </w:p>
        </w:tc>
        <w:tc>
          <w:tcPr>
            <w:tcW w:w="659" w:type="pct"/>
            <w:shd w:val="clear" w:color="auto" w:fill="D9D9D9" w:themeFill="background1" w:themeFillShade="D9"/>
            <w:vAlign w:val="bottom"/>
          </w:tcPr>
          <w:p w:rsidR="008A72DE" w:rsidRPr="00E06998" w:rsidP="00F22E78" w14:paraId="67FB20D3" w14:textId="77777777">
            <w:pPr>
              <w:jc w:val="center"/>
              <w:rPr>
                <w:rFonts w:eastAsia="Calibri"/>
                <w:b/>
                <w:szCs w:val="26"/>
              </w:rPr>
            </w:pPr>
            <w:r w:rsidRPr="00E06998">
              <w:rPr>
                <w:rFonts w:eastAsia="Calibri"/>
                <w:b/>
                <w:szCs w:val="26"/>
              </w:rPr>
              <w:t>Total Number of Responses (</w:t>
            </w:r>
            <w:r w:rsidRPr="00E06998">
              <w:rPr>
                <w:rFonts w:eastAsia="Calibri"/>
                <w:b/>
                <w:szCs w:val="26"/>
              </w:rPr>
              <w:t>1)*</w:t>
            </w:r>
            <w:r w:rsidRPr="00E06998">
              <w:rPr>
                <w:rFonts w:eastAsia="Calibri"/>
                <w:b/>
                <w:szCs w:val="26"/>
              </w:rPr>
              <w:t>(</w:t>
            </w:r>
            <w:r w:rsidRPr="00E06998">
              <w:rPr>
                <w:rFonts w:eastAsia="Calibri"/>
                <w:b/>
                <w:szCs w:val="26"/>
              </w:rPr>
              <w:t>2)=</w:t>
            </w:r>
            <w:r w:rsidRPr="00E06998">
              <w:rPr>
                <w:rFonts w:eastAsia="Calibri"/>
                <w:b/>
                <w:szCs w:val="26"/>
              </w:rPr>
              <w:t>(3)</w:t>
            </w:r>
          </w:p>
        </w:tc>
        <w:tc>
          <w:tcPr>
            <w:tcW w:w="792" w:type="pct"/>
            <w:shd w:val="clear" w:color="auto" w:fill="D9D9D9" w:themeFill="background1" w:themeFillShade="D9"/>
            <w:vAlign w:val="bottom"/>
          </w:tcPr>
          <w:p w:rsidR="008A72DE" w:rsidRPr="00E06998" w:rsidP="00F22E78" w14:paraId="28272F45" w14:textId="77777777">
            <w:pPr>
              <w:jc w:val="center"/>
              <w:rPr>
                <w:rFonts w:eastAsia="Calibri"/>
                <w:b/>
                <w:szCs w:val="26"/>
              </w:rPr>
            </w:pPr>
            <w:r w:rsidRPr="00E06998">
              <w:rPr>
                <w:rFonts w:eastAsia="Calibri"/>
                <w:b/>
                <w:szCs w:val="26"/>
              </w:rPr>
              <w:t>Average Burden &amp; Cost Per Response</w:t>
            </w:r>
          </w:p>
          <w:p w:rsidR="008A72DE" w:rsidRPr="00E06998" w:rsidP="00F22E78" w14:paraId="024D4422" w14:textId="77777777">
            <w:pPr>
              <w:jc w:val="center"/>
              <w:rPr>
                <w:rFonts w:eastAsia="Calibri"/>
                <w:b/>
                <w:szCs w:val="26"/>
              </w:rPr>
            </w:pPr>
            <w:r w:rsidRPr="00E06998">
              <w:rPr>
                <w:rFonts w:eastAsia="Calibri"/>
                <w:b/>
                <w:szCs w:val="26"/>
              </w:rPr>
              <w:t>(4)</w:t>
            </w:r>
          </w:p>
        </w:tc>
        <w:tc>
          <w:tcPr>
            <w:tcW w:w="835" w:type="pct"/>
            <w:shd w:val="clear" w:color="auto" w:fill="D9D9D9" w:themeFill="background1" w:themeFillShade="D9"/>
            <w:vAlign w:val="bottom"/>
          </w:tcPr>
          <w:p w:rsidR="008A72DE" w:rsidRPr="00E06998" w:rsidP="00F22E78" w14:paraId="693B8C90" w14:textId="77777777">
            <w:pPr>
              <w:jc w:val="center"/>
              <w:rPr>
                <w:rFonts w:eastAsia="Calibri"/>
                <w:b/>
                <w:szCs w:val="26"/>
              </w:rPr>
            </w:pPr>
            <w:r w:rsidRPr="00E06998">
              <w:rPr>
                <w:rFonts w:eastAsia="Calibri"/>
                <w:b/>
                <w:szCs w:val="26"/>
              </w:rPr>
              <w:t>Total Annual Burden Hours &amp; Total Annual Cost</w:t>
            </w:r>
          </w:p>
          <w:p w:rsidR="008A72DE" w:rsidRPr="00E06998" w:rsidP="00F22E78" w14:paraId="2C8C63B5" w14:textId="77777777">
            <w:pPr>
              <w:jc w:val="center"/>
              <w:rPr>
                <w:rFonts w:eastAsia="Calibri"/>
                <w:b/>
                <w:szCs w:val="26"/>
              </w:rPr>
            </w:pPr>
            <w:r w:rsidRPr="00E06998">
              <w:rPr>
                <w:rFonts w:eastAsia="Calibri"/>
                <w:b/>
                <w:szCs w:val="26"/>
              </w:rPr>
              <w:t>(</w:t>
            </w:r>
            <w:r w:rsidRPr="00E06998">
              <w:rPr>
                <w:rFonts w:eastAsia="Calibri"/>
                <w:b/>
                <w:szCs w:val="26"/>
              </w:rPr>
              <w:t>3)*</w:t>
            </w:r>
            <w:r w:rsidRPr="00E06998">
              <w:rPr>
                <w:rFonts w:eastAsia="Calibri"/>
                <w:b/>
                <w:szCs w:val="26"/>
              </w:rPr>
              <w:t>(</w:t>
            </w:r>
            <w:r w:rsidRPr="00E06998">
              <w:rPr>
                <w:rFonts w:eastAsia="Calibri"/>
                <w:b/>
                <w:szCs w:val="26"/>
              </w:rPr>
              <w:t>4)=</w:t>
            </w:r>
            <w:r w:rsidRPr="00E06998">
              <w:rPr>
                <w:rFonts w:eastAsia="Calibri"/>
                <w:b/>
                <w:szCs w:val="26"/>
              </w:rPr>
              <w:t>(5)</w:t>
            </w:r>
          </w:p>
        </w:tc>
        <w:tc>
          <w:tcPr>
            <w:tcW w:w="701" w:type="pct"/>
            <w:shd w:val="clear" w:color="auto" w:fill="D9D9D9" w:themeFill="background1" w:themeFillShade="D9"/>
            <w:vAlign w:val="bottom"/>
          </w:tcPr>
          <w:p w:rsidR="008A72DE" w:rsidRPr="00E06998" w:rsidP="00F22E78" w14:paraId="20D9D6BF" w14:textId="77777777">
            <w:pPr>
              <w:jc w:val="center"/>
              <w:rPr>
                <w:rFonts w:eastAsia="Calibri"/>
                <w:b/>
                <w:szCs w:val="26"/>
              </w:rPr>
            </w:pPr>
            <w:r w:rsidRPr="00E06998">
              <w:rPr>
                <w:rFonts w:eastAsia="Calibri"/>
                <w:b/>
                <w:szCs w:val="26"/>
              </w:rPr>
              <w:t>Cost per Respondent</w:t>
            </w:r>
          </w:p>
          <w:p w:rsidR="008A72DE" w:rsidRPr="00E06998" w:rsidP="00F22E78" w14:paraId="60101582" w14:textId="77777777">
            <w:pPr>
              <w:jc w:val="center"/>
              <w:rPr>
                <w:rFonts w:eastAsia="Calibri"/>
                <w:b/>
                <w:szCs w:val="26"/>
              </w:rPr>
            </w:pPr>
            <w:r w:rsidRPr="00E06998">
              <w:rPr>
                <w:rFonts w:eastAsia="Calibri"/>
                <w:b/>
                <w:szCs w:val="26"/>
              </w:rPr>
              <w:t xml:space="preserve"> ($)</w:t>
            </w:r>
          </w:p>
          <w:p w:rsidR="008A72DE" w:rsidRPr="00E06998" w:rsidP="00F22E78" w14:paraId="6415F7F0" w14:textId="77777777">
            <w:pPr>
              <w:jc w:val="center"/>
              <w:rPr>
                <w:rFonts w:eastAsia="Calibri"/>
                <w:b/>
                <w:szCs w:val="26"/>
              </w:rPr>
            </w:pPr>
            <w:r w:rsidRPr="00E06998">
              <w:rPr>
                <w:rFonts w:eastAsia="Calibri"/>
                <w:b/>
                <w:szCs w:val="26"/>
              </w:rPr>
              <w:t>(</w:t>
            </w:r>
            <w:r w:rsidRPr="00E06998">
              <w:rPr>
                <w:rFonts w:eastAsia="Calibri"/>
                <w:b/>
                <w:szCs w:val="26"/>
              </w:rPr>
              <w:t>5)÷</w:t>
            </w:r>
            <w:r w:rsidRPr="00E06998">
              <w:rPr>
                <w:rFonts w:eastAsia="Calibri"/>
                <w:b/>
                <w:szCs w:val="26"/>
              </w:rPr>
              <w:t>(1)</w:t>
            </w:r>
          </w:p>
        </w:tc>
      </w:tr>
      <w:tr w14:paraId="57530BF6" w14:textId="77777777" w:rsidTr="11CE0D57">
        <w:tblPrEx>
          <w:tblW w:w="5474" w:type="pct"/>
          <w:tblInd w:w="-72" w:type="dxa"/>
          <w:tblLayout w:type="fixed"/>
          <w:tblLook w:val="01E0"/>
        </w:tblPrEx>
        <w:trPr>
          <w:cantSplit/>
          <w:trHeight w:val="960"/>
        </w:trPr>
        <w:tc>
          <w:tcPr>
            <w:tcW w:w="826" w:type="pct"/>
          </w:tcPr>
          <w:p w:rsidR="008A72DE" w:rsidRPr="00E06998" w:rsidP="00F22E78" w14:paraId="524CA47D" w14:textId="006F06D7">
            <w:pPr>
              <w:jc w:val="right"/>
              <w:rPr>
                <w:rFonts w:eastAsia="Calibri"/>
                <w:szCs w:val="26"/>
              </w:rPr>
            </w:pPr>
            <w:r w:rsidRPr="00E06998">
              <w:rPr>
                <w:rFonts w:eastAsia="Calibri"/>
                <w:szCs w:val="26"/>
              </w:rPr>
              <w:t xml:space="preserve">Federal and </w:t>
            </w:r>
            <w:r w:rsidRPr="00E06998">
              <w:rPr>
                <w:rFonts w:eastAsia="Calibri"/>
                <w:szCs w:val="26"/>
              </w:rPr>
              <w:t>Non-Federal</w:t>
            </w:r>
            <w:r w:rsidRPr="00E06998">
              <w:rPr>
                <w:rFonts w:eastAsia="Calibri"/>
                <w:szCs w:val="26"/>
              </w:rPr>
              <w:t xml:space="preserve"> project owners</w:t>
            </w:r>
            <w:r w:rsidRPr="00E06998" w:rsidR="009A46C1">
              <w:rPr>
                <w:rFonts w:eastAsia="Calibri"/>
                <w:szCs w:val="26"/>
              </w:rPr>
              <w:t xml:space="preserve"> </w:t>
            </w:r>
          </w:p>
        </w:tc>
        <w:tc>
          <w:tcPr>
            <w:tcW w:w="571" w:type="pct"/>
            <w:tcBorders>
              <w:bottom w:val="single" w:sz="4" w:space="0" w:color="auto"/>
            </w:tcBorders>
            <w:vAlign w:val="bottom"/>
          </w:tcPr>
          <w:p w:rsidR="008A72DE" w:rsidRPr="00E06998" w:rsidP="00F22E78" w14:paraId="614F2700" w14:textId="6B7D96FE">
            <w:pPr>
              <w:jc w:val="right"/>
              <w:rPr>
                <w:rFonts w:eastAsia="Calibri"/>
                <w:szCs w:val="26"/>
              </w:rPr>
            </w:pPr>
            <w:r w:rsidRPr="00E06998">
              <w:rPr>
                <w:szCs w:val="26"/>
              </w:rPr>
              <w:t>3</w:t>
            </w:r>
          </w:p>
        </w:tc>
        <w:tc>
          <w:tcPr>
            <w:tcW w:w="617" w:type="pct"/>
            <w:tcBorders>
              <w:bottom w:val="single" w:sz="4" w:space="0" w:color="auto"/>
            </w:tcBorders>
            <w:vAlign w:val="bottom"/>
          </w:tcPr>
          <w:p w:rsidR="008A72DE" w:rsidRPr="00E06998" w:rsidP="00F22E78" w14:paraId="349811CD" w14:textId="77777777">
            <w:pPr>
              <w:jc w:val="right"/>
              <w:rPr>
                <w:rFonts w:eastAsia="Calibri"/>
                <w:szCs w:val="26"/>
              </w:rPr>
            </w:pPr>
            <w:r w:rsidRPr="00E06998">
              <w:rPr>
                <w:szCs w:val="26"/>
              </w:rPr>
              <w:t>1</w:t>
            </w:r>
          </w:p>
        </w:tc>
        <w:tc>
          <w:tcPr>
            <w:tcW w:w="659" w:type="pct"/>
            <w:tcBorders>
              <w:bottom w:val="single" w:sz="4" w:space="0" w:color="auto"/>
            </w:tcBorders>
            <w:vAlign w:val="bottom"/>
          </w:tcPr>
          <w:p w:rsidR="008A72DE" w:rsidRPr="00E06998" w:rsidP="00F22E78" w14:paraId="48EFC767" w14:textId="77777777">
            <w:pPr>
              <w:jc w:val="right"/>
              <w:rPr>
                <w:rFonts w:eastAsia="Calibri"/>
                <w:szCs w:val="26"/>
              </w:rPr>
            </w:pPr>
            <w:r w:rsidRPr="00E06998">
              <w:rPr>
                <w:szCs w:val="26"/>
              </w:rPr>
              <w:t>3</w:t>
            </w:r>
          </w:p>
        </w:tc>
        <w:tc>
          <w:tcPr>
            <w:tcW w:w="792" w:type="pct"/>
            <w:tcBorders>
              <w:bottom w:val="single" w:sz="4" w:space="0" w:color="auto"/>
            </w:tcBorders>
            <w:vAlign w:val="bottom"/>
          </w:tcPr>
          <w:p w:rsidR="008A72DE" w:rsidRPr="00E06998" w:rsidP="11CE0D57" w14:paraId="31C1A3C5" w14:textId="2D6312CE">
            <w:pPr>
              <w:jc w:val="right"/>
              <w:rPr>
                <w:szCs w:val="26"/>
              </w:rPr>
            </w:pPr>
            <w:r w:rsidRPr="00E06998">
              <w:rPr>
                <w:szCs w:val="26"/>
              </w:rPr>
              <w:t xml:space="preserve">40 hrs.; </w:t>
            </w:r>
            <w:r w:rsidRPr="00E06998" w:rsidR="18261666">
              <w:rPr>
                <w:color w:val="000000" w:themeColor="text1"/>
                <w:szCs w:val="26"/>
              </w:rPr>
              <w:t>$4,080</w:t>
            </w:r>
          </w:p>
        </w:tc>
        <w:tc>
          <w:tcPr>
            <w:tcW w:w="835" w:type="pct"/>
            <w:vAlign w:val="bottom"/>
          </w:tcPr>
          <w:p w:rsidR="008A72DE" w:rsidRPr="00E06998" w:rsidP="00F22E78" w14:paraId="6CB47EE0" w14:textId="37F1051F">
            <w:pPr>
              <w:jc w:val="right"/>
              <w:rPr>
                <w:strike/>
                <w:szCs w:val="26"/>
              </w:rPr>
            </w:pPr>
            <w:r w:rsidRPr="00E06998">
              <w:rPr>
                <w:szCs w:val="26"/>
              </w:rPr>
              <w:t>120 hrs.;</w:t>
            </w:r>
            <w:r w:rsidRPr="00E06998" w:rsidR="008D0F96">
              <w:rPr>
                <w:szCs w:val="26"/>
              </w:rPr>
              <w:t xml:space="preserve"> </w:t>
            </w:r>
          </w:p>
          <w:p w:rsidR="008A72DE" w:rsidRPr="00E06998" w:rsidP="11CE0D57" w14:paraId="63744E0F" w14:textId="2B2DB93E">
            <w:pPr>
              <w:jc w:val="right"/>
              <w:rPr>
                <w:rFonts w:eastAsia="Calibri"/>
                <w:szCs w:val="26"/>
              </w:rPr>
            </w:pPr>
            <w:r w:rsidRPr="00E06998">
              <w:rPr>
                <w:szCs w:val="26"/>
              </w:rPr>
              <w:t>$</w:t>
            </w:r>
            <w:r w:rsidRPr="00E06998" w:rsidR="18A1BD37">
              <w:rPr>
                <w:szCs w:val="26"/>
              </w:rPr>
              <w:t>1</w:t>
            </w:r>
            <w:r w:rsidRPr="00E06998" w:rsidR="640CAF32">
              <w:rPr>
                <w:szCs w:val="26"/>
              </w:rPr>
              <w:t>2,240</w:t>
            </w:r>
          </w:p>
        </w:tc>
        <w:tc>
          <w:tcPr>
            <w:tcW w:w="701" w:type="pct"/>
            <w:vAlign w:val="bottom"/>
          </w:tcPr>
          <w:p w:rsidR="008A72DE" w:rsidRPr="00E06998" w:rsidP="11CE0D57" w14:paraId="7FE38ADC" w14:textId="5F615BE1">
            <w:pPr>
              <w:jc w:val="right"/>
              <w:rPr>
                <w:szCs w:val="26"/>
              </w:rPr>
            </w:pPr>
            <w:r w:rsidRPr="00E06998">
              <w:rPr>
                <w:color w:val="000000" w:themeColor="text1"/>
                <w:szCs w:val="26"/>
              </w:rPr>
              <w:t>$4,080</w:t>
            </w:r>
          </w:p>
        </w:tc>
      </w:tr>
    </w:tbl>
    <w:p w:rsidR="008A72DE" w:rsidRPr="00E06998" w:rsidP="008A72DE" w14:paraId="0A4F204F" w14:textId="77777777">
      <w:pPr>
        <w:spacing w:line="480" w:lineRule="auto"/>
        <w:rPr>
          <w:szCs w:val="26"/>
        </w:rPr>
      </w:pPr>
    </w:p>
    <w:p w:rsidR="008A72DE" w:rsidRPr="00E06998" w:rsidP="008A72DE" w14:paraId="7A0BD416" w14:textId="78820A44">
      <w:pPr>
        <w:spacing w:line="480" w:lineRule="auto"/>
        <w:rPr>
          <w:szCs w:val="26"/>
        </w:rPr>
      </w:pPr>
      <w:r w:rsidRPr="00E06998">
        <w:rPr>
          <w:i/>
          <w:szCs w:val="26"/>
        </w:rPr>
        <w:t>Comments:</w:t>
      </w:r>
      <w:r w:rsidRPr="00E06998" w:rsidR="008D0F96">
        <w:rPr>
          <w:i/>
          <w:szCs w:val="26"/>
        </w:rPr>
        <w:t xml:space="preserve"> </w:t>
      </w:r>
      <w:r w:rsidRPr="00E06998">
        <w:rPr>
          <w:szCs w:val="26"/>
        </w:rPr>
        <w:t>Comments are invited on:</w:t>
      </w:r>
      <w:r w:rsidRPr="00E06998" w:rsidR="008D0F96">
        <w:rPr>
          <w:szCs w:val="26"/>
        </w:rPr>
        <w:t xml:space="preserve"> </w:t>
      </w:r>
      <w:r w:rsidRPr="00E06998">
        <w:rPr>
          <w:szCs w:val="26"/>
        </w:rPr>
        <w:t>(1) whether the collection of information is necessary for the proper performance of the functions of the Commission, including whether the information will have practical utility; (2) the accuracy of the agency's estimate of the burden and cost of the collection of information, including the validity of the methodology and assumptions used; (3) ways to enhance the quality, utility and clarity of the information collection; and (4) ways to minimize the burden of the collection of information on those who are to respond, including the use of automated collection techniques or other forms of information technology.</w:t>
      </w:r>
      <w:r w:rsidRPr="00E06998" w:rsidR="008D0F96">
        <w:rPr>
          <w:szCs w:val="26"/>
        </w:rPr>
        <w:t xml:space="preserve"> </w:t>
      </w:r>
    </w:p>
    <w:p w:rsidR="008A72DE" w:rsidRPr="00E06998" w:rsidP="008A72DE" w14:paraId="32D444F5" w14:textId="77777777">
      <w:pPr>
        <w:rPr>
          <w:szCs w:val="26"/>
        </w:rPr>
      </w:pPr>
    </w:p>
    <w:p w:rsidR="008A72DE" w:rsidRPr="00E06998" w:rsidP="008A72DE" w14:paraId="14663350" w14:textId="77777777">
      <w:pPr>
        <w:rPr>
          <w:szCs w:val="26"/>
        </w:rPr>
      </w:pPr>
    </w:p>
    <w:p w:rsidR="0E026E66" w:rsidRPr="00E06998" w:rsidP="11CE0D57" w14:paraId="12F2F3F0" w14:textId="7935003B">
      <w:pPr>
        <w:jc w:val="center"/>
        <w:rPr>
          <w:color w:val="000000" w:themeColor="text1"/>
          <w:szCs w:val="26"/>
        </w:rPr>
      </w:pPr>
      <w:r w:rsidRPr="00E06998">
        <w:rPr>
          <w:color w:val="000000" w:themeColor="text1"/>
          <w:szCs w:val="26"/>
        </w:rPr>
        <w:t>Debbie-Anne A. Reese,</w:t>
      </w:r>
      <w:r w:rsidRPr="00E06998" w:rsidR="008D0F96">
        <w:rPr>
          <w:color w:val="000000" w:themeColor="text1"/>
          <w:szCs w:val="26"/>
        </w:rPr>
        <w:t xml:space="preserve"> </w:t>
      </w:r>
    </w:p>
    <w:p w:rsidR="0E026E66" w:rsidRPr="00E06998" w:rsidP="11CE0D57" w14:paraId="166C53B7" w14:textId="2555E0D4">
      <w:pPr>
        <w:jc w:val="center"/>
        <w:rPr>
          <w:color w:val="000000" w:themeColor="text1"/>
          <w:szCs w:val="26"/>
        </w:rPr>
      </w:pPr>
      <w:r w:rsidRPr="00E06998">
        <w:rPr>
          <w:color w:val="000000" w:themeColor="text1"/>
          <w:szCs w:val="26"/>
        </w:rPr>
        <w:t>Secretary.</w:t>
      </w:r>
    </w:p>
    <w:p w:rsidR="11CE0D57" w:rsidRPr="00E06998" w:rsidP="11CE0D57" w14:paraId="46EEA5C0" w14:textId="2D7FBF02">
      <w:pPr>
        <w:ind w:firstLine="2174"/>
        <w:jc w:val="center"/>
        <w:rPr>
          <w:szCs w:val="26"/>
        </w:rPr>
      </w:pPr>
    </w:p>
    <w:p w:rsidR="00E704E3" w:rsidRPr="008A72DE" w:rsidP="008A72DE" w14:paraId="7C3C045E" w14:textId="77777777"/>
    <w:sectPr w:rsidSect="00037852">
      <w:headerReference w:type="even" r:id="rId14"/>
      <w:headerReference w:type="default" r:id="rId15"/>
      <w:footerReference w:type="default" r:id="rId16"/>
      <w:headerReference w:type="first" r:id="rId17"/>
      <w:footerReference w:type="first" r:id="rId18"/>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54879226"/>
      <w:docPartObj>
        <w:docPartGallery w:val="Page Numbers (Bottom of Page)"/>
        <w:docPartUnique/>
      </w:docPartObj>
    </w:sdtPr>
    <w:sdtEndPr>
      <w:rPr>
        <w:noProof/>
      </w:rPr>
    </w:sdtEndPr>
    <w:sdtContent>
      <w:p w:rsidR="00037852" w14:paraId="54D03ABB" w14:textId="2A8EF310">
        <w:pPr>
          <w:pStyle w:val="Footer"/>
          <w:jc w:val="center"/>
        </w:pPr>
      </w:p>
    </w:sdtContent>
  </w:sdt>
  <w:p w:rsidR="00037852" w14:paraId="5369F46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tblLook w:val="06A0"/>
    </w:tblPr>
    <w:tblGrid>
      <w:gridCol w:w="3120"/>
      <w:gridCol w:w="3120"/>
      <w:gridCol w:w="3120"/>
    </w:tblGrid>
    <w:tr w14:paraId="0EE81C93" w14:textId="77777777" w:rsidTr="11CE0D57">
      <w:tblPrEx>
        <w:tblW w:w="0" w:type="auto"/>
        <w:tblLook w:val="06A0"/>
      </w:tblPrEx>
      <w:trPr>
        <w:trHeight w:val="300"/>
      </w:trPr>
      <w:tc>
        <w:tcPr>
          <w:tcW w:w="3120" w:type="dxa"/>
        </w:tcPr>
        <w:p w:rsidR="11CE0D57" w:rsidP="11CE0D57" w14:paraId="78658E92" w14:textId="7355E597">
          <w:pPr>
            <w:pStyle w:val="Header"/>
            <w:ind w:left="-115"/>
          </w:pPr>
        </w:p>
      </w:tc>
      <w:tc>
        <w:tcPr>
          <w:tcW w:w="3120" w:type="dxa"/>
        </w:tcPr>
        <w:p w:rsidR="11CE0D57" w:rsidP="11CE0D57" w14:paraId="7BFF3164" w14:textId="7B090711">
          <w:pPr>
            <w:pStyle w:val="Header"/>
            <w:jc w:val="center"/>
          </w:pPr>
        </w:p>
      </w:tc>
      <w:tc>
        <w:tcPr>
          <w:tcW w:w="3120" w:type="dxa"/>
        </w:tcPr>
        <w:p w:rsidR="11CE0D57" w:rsidP="11CE0D57" w14:paraId="0B28366F" w14:textId="73EFA1B4">
          <w:pPr>
            <w:pStyle w:val="Header"/>
            <w:ind w:right="-115"/>
            <w:jc w:val="right"/>
          </w:pPr>
        </w:p>
      </w:tc>
    </w:tr>
  </w:tbl>
  <w:p w:rsidR="11CE0D57" w:rsidP="11CE0D57" w14:paraId="0F5DDC4D" w14:textId="702334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1739D6" w:rsidP="008A72DE" w14:paraId="0D137807" w14:textId="77777777">
      <w:r>
        <w:separator/>
      </w:r>
    </w:p>
  </w:footnote>
  <w:footnote w:type="continuationSeparator" w:id="1">
    <w:p w:rsidR="001739D6" w:rsidP="008A72DE" w14:paraId="279B3067" w14:textId="77777777">
      <w:r>
        <w:continuationSeparator/>
      </w:r>
    </w:p>
  </w:footnote>
  <w:footnote w:id="2">
    <w:p w:rsidR="009A46C1" w:rsidRPr="001F2C4B" w:rsidP="00D15A9C" w14:paraId="135FBCFF" w14:textId="7484420E">
      <w:pPr>
        <w:pStyle w:val="FootnoteText"/>
        <w:spacing w:after="260"/>
        <w:ind w:firstLine="720"/>
        <w:rPr>
          <w:sz w:val="26"/>
          <w:szCs w:val="26"/>
        </w:rPr>
      </w:pPr>
      <w:r w:rsidRPr="006A26AB">
        <w:rPr>
          <w:rStyle w:val="FootnoteReference"/>
        </w:rPr>
        <w:footnoteRef/>
      </w:r>
      <w:r w:rsidRPr="001F2C4B">
        <w:rPr>
          <w:sz w:val="26"/>
          <w:szCs w:val="26"/>
        </w:rPr>
        <w:t xml:space="preserve"> </w:t>
      </w:r>
      <w:r w:rsidRPr="001F2C4B">
        <w:rPr>
          <w:rFonts w:eastAsiaTheme="minorHAnsi"/>
          <w:sz w:val="26"/>
          <w:szCs w:val="26"/>
        </w:rPr>
        <w:t xml:space="preserve">Burden is defined as the total time, effort, or financial resources expended by </w:t>
      </w:r>
      <w:r w:rsidRPr="001F2C4B">
        <w:rPr>
          <w:rFonts w:eastAsiaTheme="minorHAnsi"/>
          <w:sz w:val="26"/>
          <w:szCs w:val="26"/>
        </w:rPr>
        <w:t>persons</w:t>
      </w:r>
      <w:r w:rsidRPr="001F2C4B">
        <w:rPr>
          <w:rFonts w:eastAsiaTheme="minorHAnsi"/>
          <w:sz w:val="26"/>
          <w:szCs w:val="26"/>
        </w:rPr>
        <w:t xml:space="preserve"> to generate, maintain, retain, or disclose or provide information to or for a </w:t>
      </w:r>
      <w:r w:rsidRPr="001F2C4B">
        <w:rPr>
          <w:rFonts w:eastAsiaTheme="minorHAnsi"/>
          <w:sz w:val="26"/>
          <w:szCs w:val="26"/>
        </w:rPr>
        <w:t>Federal</w:t>
      </w:r>
      <w:r w:rsidRPr="001F2C4B">
        <w:rPr>
          <w:rFonts w:eastAsiaTheme="minorHAnsi"/>
          <w:sz w:val="26"/>
          <w:szCs w:val="26"/>
        </w:rPr>
        <w:t xml:space="preserve"> agency. For further explanation of what is included in the information collection burden, refer to </w:t>
      </w:r>
      <w:r w:rsidRPr="001F2C4B">
        <w:rPr>
          <w:rFonts w:eastAsiaTheme="minorHAnsi"/>
          <w:sz w:val="26"/>
          <w:szCs w:val="26"/>
        </w:rPr>
        <w:t>5 Code</w:t>
      </w:r>
      <w:r w:rsidRPr="001F2C4B">
        <w:rPr>
          <w:rFonts w:eastAsiaTheme="minorHAnsi"/>
          <w:sz w:val="26"/>
          <w:szCs w:val="26"/>
        </w:rPr>
        <w:t xml:space="preserve"> of Federal Regulations 1320.3.</w:t>
      </w:r>
    </w:p>
  </w:footnote>
  <w:footnote w:id="3">
    <w:p w:rsidR="008A72DE" w:rsidRPr="00A3726A" w:rsidP="00D15A9C" w14:paraId="25027D12" w14:textId="392BD923">
      <w:pPr>
        <w:spacing w:after="260"/>
        <w:ind w:firstLine="720"/>
        <w:rPr>
          <w:szCs w:val="26"/>
        </w:rPr>
      </w:pPr>
      <w:r w:rsidRPr="11CE0D57">
        <w:rPr>
          <w:rFonts w:eastAsiaTheme="minorEastAsia"/>
          <w:b/>
          <w:bCs/>
          <w:vertAlign w:val="superscript"/>
        </w:rPr>
        <w:footnoteRef/>
      </w:r>
      <w:r w:rsidRPr="11CE0D57" w:rsidR="11CE0D57">
        <w:rPr>
          <w:rFonts w:eastAsiaTheme="minorEastAsia"/>
        </w:rPr>
        <w:t xml:space="preserve"> </w:t>
      </w:r>
      <w:r w:rsidRPr="11CE0D57" w:rsidR="11CE0D57">
        <w:rPr>
          <w:color w:val="000000" w:themeColor="text1"/>
          <w:sz w:val="25"/>
          <w:szCs w:val="25"/>
        </w:rPr>
        <w:t xml:space="preserve">FERC estimates that industry hourly costs are </w:t>
      </w:r>
      <w:r w:rsidRPr="11CE0D57" w:rsidR="11CE0D57">
        <w:rPr>
          <w:color w:val="000000" w:themeColor="text1"/>
          <w:sz w:val="25"/>
          <w:szCs w:val="25"/>
        </w:rPr>
        <w:t>similar to</w:t>
      </w:r>
      <w:r w:rsidRPr="11CE0D57" w:rsidR="11CE0D57">
        <w:rPr>
          <w:color w:val="000000" w:themeColor="text1"/>
          <w:sz w:val="25"/>
          <w:szCs w:val="25"/>
        </w:rPr>
        <w:t xml:space="preserve"> the Commission FY 2026 average salary plus benefits of $213,003 per year (or $102/hour).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71F9C" w14:paraId="149366B1" w14:textId="41AECF2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F2C4B" w:rsidP="00A709D1" w14:paraId="6CCF39D1" w14:textId="5B22B040">
    <w:pPr>
      <w:pStyle w:val="Header"/>
    </w:pPr>
    <w:sdt>
      <w:sdtPr>
        <w:id w:val="1081880174"/>
        <w:docPartObj>
          <w:docPartGallery w:val="Page Numbers (Top of Page)"/>
          <w:docPartUnique/>
        </w:docPartObj>
      </w:sdtPr>
      <w:sdtEndPr>
        <w:rPr>
          <w:noProof/>
        </w:rPr>
      </w:sdtEndPr>
      <w:sdtContent>
        <w:r w:rsidRPr="11CE0D57" w:rsidR="11CE0D57">
          <w:rPr>
            <w:noProof/>
          </w:rPr>
          <w:t xml:space="preserve">Docket No. </w:t>
        </w:r>
        <w:r w:rsidRPr="11CE0D57" w:rsidR="11CE0D57">
          <w:rPr>
            <w:noProof/>
            <w:color w:val="000000" w:themeColor="text1"/>
            <w:sz w:val="25"/>
            <w:szCs w:val="25"/>
          </w:rPr>
          <w:t>IC26-36-000</w:t>
        </w:r>
        <w:r w:rsidR="00571F9C">
          <w:tab/>
        </w:r>
        <w:r w:rsidR="00571F9C">
          <w:tab/>
        </w:r>
        <w:r w:rsidRPr="11CE0D57" w:rsidR="00571F9C">
          <w:rPr>
            <w:noProof/>
          </w:rPr>
          <w:fldChar w:fldCharType="begin"/>
        </w:r>
        <w:r w:rsidR="00571F9C">
          <w:instrText xml:space="preserve"> PAGE   \* MERGEFORMAT </w:instrText>
        </w:r>
        <w:r w:rsidRPr="11CE0D57" w:rsidR="00571F9C">
          <w:fldChar w:fldCharType="separate"/>
        </w:r>
        <w:r w:rsidRPr="11CE0D57" w:rsidR="11CE0D57">
          <w:rPr>
            <w:noProof/>
          </w:rPr>
          <w:t>2</w:t>
        </w:r>
        <w:r w:rsidRPr="11CE0D57" w:rsidR="00571F9C">
          <w:rPr>
            <w:noProof/>
          </w:rPr>
          <w:fldChar w:fldCharType="end"/>
        </w:r>
      </w:sdtContent>
    </w:sdt>
  </w:p>
  <w:p w:rsidR="00037852" w14:paraId="4BEE226B" w14:textId="37AC598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tblLook w:val="06A0"/>
    </w:tblPr>
    <w:tblGrid>
      <w:gridCol w:w="3120"/>
      <w:gridCol w:w="3120"/>
      <w:gridCol w:w="3120"/>
    </w:tblGrid>
    <w:tr w14:paraId="57909A13" w14:textId="77777777" w:rsidTr="11CE0D57">
      <w:tblPrEx>
        <w:tblW w:w="0" w:type="auto"/>
        <w:tblLook w:val="06A0"/>
      </w:tblPrEx>
      <w:trPr>
        <w:trHeight w:val="300"/>
      </w:trPr>
      <w:tc>
        <w:tcPr>
          <w:tcW w:w="3120" w:type="dxa"/>
        </w:tcPr>
        <w:p w:rsidR="11CE0D57" w:rsidP="11CE0D57" w14:paraId="0EF6D1FB" w14:textId="47712845">
          <w:pPr>
            <w:pStyle w:val="Header"/>
            <w:ind w:left="-115"/>
          </w:pPr>
          <w:r>
            <w:rPr>
              <w:noProof/>
            </w:rPr>
            <mc:AlternateContent>
              <mc:Choice Requires="wps">
                <w:drawing>
                  <wp:anchor distT="0" distB="0" distL="0" distR="0" simplePos="0" relativeHeight="251658240" behindDoc="0" locked="0" layoutInCell="1" allowOverlap="1">
                    <wp:simplePos x="0" y="0"/>
                    <wp:positionH relativeFrom="page">
                      <wp:align>center</wp:align>
                    </wp:positionH>
                    <wp:positionV relativeFrom="page">
                      <wp:align>top</wp:align>
                    </wp:positionV>
                    <wp:extent cx="284480" cy="380365"/>
                    <wp:effectExtent l="0" t="0" r="1270" b="635"/>
                    <wp:wrapNone/>
                    <wp:docPr id="368463214" name="Text Box 1" descr="CUI">
                      <a:extLst xmlns:a="http://schemas.openxmlformats.org/drawingml/2006/main">
                        <a:ext xmlns:a="http://schemas.openxmlformats.org/drawingml/2006/main"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xmlns:wps="http://schemas.microsoft.com/office/word/2010/wordprocessingShape">
                          <wps:cNvSpPr txBox="1"/>
                          <wps:spPr>
                            <a:xfrm>
                              <a:off x="0" y="0"/>
                              <a:ext cx="284480" cy="380365"/>
                            </a:xfrm>
                            <a:prstGeom prst="rect">
                              <a:avLst/>
                            </a:prstGeom>
                            <a:noFill/>
                            <a:ln>
                              <a:noFill/>
                            </a:ln>
                          </wps:spPr>
                          <wps:txbx>
                            <w:txbxContent>
                              <w:p w:rsidR="00571F9C" w:rsidRPr="00571F9C" w:rsidP="00571F9C" w14:textId="2DA27865">
                                <w:pPr>
                                  <w:rPr>
                                    <w:noProof/>
                                    <w:color w:val="FF0000"/>
                                    <w:szCs w:val="26"/>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1" o:spid="_x0000_s2049" type="#_x0000_t202" alt="CUI" style="width:22.4pt;height:29.95pt;margin-top:0;margin-left:0;mso-position-horizontal:center;mso-position-horizontal-relative:page;mso-position-vertical:top;mso-position-vertical-relative:page;mso-wrap-distance-bottom:0;mso-wrap-distance-left:0;mso-wrap-distance-right:0;mso-wrap-distance-top:0;mso-wrap-style:none;position:absolute;visibility:visible;v-text-anchor:top;z-index:251659264" filled="f" stroked="f">
                    <v:textbox style="mso-fit-shape-to-text:t" inset="0,15pt,0,0">
                      <w:txbxContent>
                        <w:p w:rsidR="00571F9C" w:rsidRPr="00571F9C" w:rsidP="00571F9C" w14:paraId="340AEC76" w14:textId="2DA27865">
                          <w:pPr>
                            <w:rPr>
                              <w:noProof/>
                              <w:color w:val="FF0000"/>
                              <w:szCs w:val="26"/>
                            </w:rPr>
                          </w:pPr>
                        </w:p>
                      </w:txbxContent>
                    </v:textbox>
                  </v:shape>
                </w:pict>
              </mc:Fallback>
            </mc:AlternateContent>
          </w:r>
        </w:p>
      </w:tc>
      <w:tc>
        <w:tcPr>
          <w:tcW w:w="3120" w:type="dxa"/>
        </w:tcPr>
        <w:p w:rsidR="11CE0D57" w:rsidP="11CE0D57" w14:paraId="4E45E07E" w14:textId="341B3CFA">
          <w:pPr>
            <w:pStyle w:val="Header"/>
            <w:jc w:val="center"/>
          </w:pPr>
        </w:p>
      </w:tc>
      <w:tc>
        <w:tcPr>
          <w:tcW w:w="3120" w:type="dxa"/>
        </w:tcPr>
        <w:p w:rsidR="11CE0D57" w:rsidP="11CE0D57" w14:paraId="6F463362" w14:textId="4213A222">
          <w:pPr>
            <w:pStyle w:val="Header"/>
            <w:ind w:right="-115"/>
            <w:jc w:val="right"/>
          </w:pPr>
        </w:p>
      </w:tc>
    </w:tr>
  </w:tbl>
  <w:p w:rsidR="11CE0D57" w:rsidP="11CE0D57" w14:paraId="4B1E6BD6" w14:textId="484922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1FB970F"/>
    <w:multiLevelType w:val="hybridMultilevel"/>
    <w:tmpl w:val="B956B42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
    <w:nsid w:val="066F0CC7"/>
    <w:multiLevelType w:val="hybridMultilevel"/>
    <w:tmpl w:val="0DF61C7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210F02A8"/>
    <w:multiLevelType w:val="hybridMultilevel"/>
    <w:tmpl w:val="85A80910"/>
    <w:lvl w:ilvl="0">
      <w:start w:val="1"/>
      <w:numFmt w:val="bullet"/>
      <w:lvlText w:val=""/>
      <w:lvlJc w:val="left"/>
      <w:pPr>
        <w:tabs>
          <w:tab w:val="num" w:pos="1500"/>
        </w:tabs>
        <w:ind w:left="1500" w:hanging="360"/>
      </w:pPr>
      <w:rPr>
        <w:rFonts w:ascii="Symbol" w:hAnsi="Symbol" w:hint="default"/>
        <w:color w:val="auto"/>
      </w:rPr>
    </w:lvl>
    <w:lvl w:ilvl="1">
      <w:start w:val="1"/>
      <w:numFmt w:val="bullet"/>
      <w:lvlText w:val="o"/>
      <w:lvlJc w:val="left"/>
      <w:pPr>
        <w:tabs>
          <w:tab w:val="num" w:pos="1500"/>
        </w:tabs>
        <w:ind w:left="1500" w:hanging="360"/>
      </w:pPr>
      <w:rPr>
        <w:rFonts w:ascii="Courier New" w:hAnsi="Courier New" w:cs="Courier New" w:hint="default"/>
      </w:rPr>
    </w:lvl>
    <w:lvl w:ilvl="2" w:tentative="1">
      <w:start w:val="1"/>
      <w:numFmt w:val="bullet"/>
      <w:lvlText w:val=""/>
      <w:lvlJc w:val="left"/>
      <w:pPr>
        <w:tabs>
          <w:tab w:val="num" w:pos="2220"/>
        </w:tabs>
        <w:ind w:left="2220" w:hanging="360"/>
      </w:pPr>
      <w:rPr>
        <w:rFonts w:ascii="Wingdings" w:hAnsi="Wingdings" w:hint="default"/>
      </w:rPr>
    </w:lvl>
    <w:lvl w:ilvl="3" w:tentative="1">
      <w:start w:val="1"/>
      <w:numFmt w:val="bullet"/>
      <w:lvlText w:val=""/>
      <w:lvlJc w:val="left"/>
      <w:pPr>
        <w:tabs>
          <w:tab w:val="num" w:pos="2940"/>
        </w:tabs>
        <w:ind w:left="2940" w:hanging="360"/>
      </w:pPr>
      <w:rPr>
        <w:rFonts w:ascii="Symbol" w:hAnsi="Symbol" w:hint="default"/>
      </w:rPr>
    </w:lvl>
    <w:lvl w:ilvl="4" w:tentative="1">
      <w:start w:val="1"/>
      <w:numFmt w:val="bullet"/>
      <w:lvlText w:val="o"/>
      <w:lvlJc w:val="left"/>
      <w:pPr>
        <w:tabs>
          <w:tab w:val="num" w:pos="3660"/>
        </w:tabs>
        <w:ind w:left="3660" w:hanging="360"/>
      </w:pPr>
      <w:rPr>
        <w:rFonts w:ascii="Courier New" w:hAnsi="Courier New" w:cs="Courier New" w:hint="default"/>
      </w:rPr>
    </w:lvl>
    <w:lvl w:ilvl="5" w:tentative="1">
      <w:start w:val="1"/>
      <w:numFmt w:val="bullet"/>
      <w:lvlText w:val=""/>
      <w:lvlJc w:val="left"/>
      <w:pPr>
        <w:tabs>
          <w:tab w:val="num" w:pos="4380"/>
        </w:tabs>
        <w:ind w:left="4380" w:hanging="360"/>
      </w:pPr>
      <w:rPr>
        <w:rFonts w:ascii="Wingdings" w:hAnsi="Wingdings" w:hint="default"/>
      </w:rPr>
    </w:lvl>
    <w:lvl w:ilvl="6" w:tentative="1">
      <w:start w:val="1"/>
      <w:numFmt w:val="bullet"/>
      <w:lvlText w:val=""/>
      <w:lvlJc w:val="left"/>
      <w:pPr>
        <w:tabs>
          <w:tab w:val="num" w:pos="5100"/>
        </w:tabs>
        <w:ind w:left="5100" w:hanging="360"/>
      </w:pPr>
      <w:rPr>
        <w:rFonts w:ascii="Symbol" w:hAnsi="Symbol" w:hint="default"/>
      </w:rPr>
    </w:lvl>
    <w:lvl w:ilvl="7" w:tentative="1">
      <w:start w:val="1"/>
      <w:numFmt w:val="bullet"/>
      <w:lvlText w:val="o"/>
      <w:lvlJc w:val="left"/>
      <w:pPr>
        <w:tabs>
          <w:tab w:val="num" w:pos="5820"/>
        </w:tabs>
        <w:ind w:left="5820" w:hanging="360"/>
      </w:pPr>
      <w:rPr>
        <w:rFonts w:ascii="Courier New" w:hAnsi="Courier New" w:cs="Courier New" w:hint="default"/>
      </w:rPr>
    </w:lvl>
    <w:lvl w:ilvl="8" w:tentative="1">
      <w:start w:val="1"/>
      <w:numFmt w:val="bullet"/>
      <w:lvlText w:val=""/>
      <w:lvlJc w:val="left"/>
      <w:pPr>
        <w:tabs>
          <w:tab w:val="num" w:pos="6540"/>
        </w:tabs>
        <w:ind w:left="6540" w:hanging="360"/>
      </w:pPr>
      <w:rPr>
        <w:rFonts w:ascii="Wingdings" w:hAnsi="Wingdings" w:hint="default"/>
      </w:rPr>
    </w:lvl>
  </w:abstractNum>
  <w:abstractNum w:abstractNumId="3">
    <w:nsid w:val="34D875D6"/>
    <w:multiLevelType w:val="hybridMultilevel"/>
    <w:tmpl w:val="DC6CBC40"/>
    <w:lvl w:ilvl="0">
      <w:start w:val="1"/>
      <w:numFmt w:val="bullet"/>
      <w:lvlText w:val=""/>
      <w:lvlJc w:val="left"/>
      <w:pPr>
        <w:ind w:left="1860" w:hanging="360"/>
      </w:pPr>
      <w:rPr>
        <w:rFonts w:ascii="Symbol" w:hAnsi="Symbol" w:hint="default"/>
      </w:rPr>
    </w:lvl>
    <w:lvl w:ilvl="1" w:tentative="1">
      <w:start w:val="1"/>
      <w:numFmt w:val="bullet"/>
      <w:lvlText w:val="o"/>
      <w:lvlJc w:val="left"/>
      <w:pPr>
        <w:ind w:left="2580" w:hanging="360"/>
      </w:pPr>
      <w:rPr>
        <w:rFonts w:ascii="Courier New" w:hAnsi="Courier New" w:cs="Courier New" w:hint="default"/>
      </w:rPr>
    </w:lvl>
    <w:lvl w:ilvl="2" w:tentative="1">
      <w:start w:val="1"/>
      <w:numFmt w:val="bullet"/>
      <w:lvlText w:val=""/>
      <w:lvlJc w:val="left"/>
      <w:pPr>
        <w:ind w:left="3300" w:hanging="360"/>
      </w:pPr>
      <w:rPr>
        <w:rFonts w:ascii="Wingdings" w:hAnsi="Wingdings" w:hint="default"/>
      </w:rPr>
    </w:lvl>
    <w:lvl w:ilvl="3" w:tentative="1">
      <w:start w:val="1"/>
      <w:numFmt w:val="bullet"/>
      <w:lvlText w:val=""/>
      <w:lvlJc w:val="left"/>
      <w:pPr>
        <w:ind w:left="4020" w:hanging="360"/>
      </w:pPr>
      <w:rPr>
        <w:rFonts w:ascii="Symbol" w:hAnsi="Symbol" w:hint="default"/>
      </w:rPr>
    </w:lvl>
    <w:lvl w:ilvl="4" w:tentative="1">
      <w:start w:val="1"/>
      <w:numFmt w:val="bullet"/>
      <w:lvlText w:val="o"/>
      <w:lvlJc w:val="left"/>
      <w:pPr>
        <w:ind w:left="4740" w:hanging="360"/>
      </w:pPr>
      <w:rPr>
        <w:rFonts w:ascii="Courier New" w:hAnsi="Courier New" w:cs="Courier New" w:hint="default"/>
      </w:rPr>
    </w:lvl>
    <w:lvl w:ilvl="5" w:tentative="1">
      <w:start w:val="1"/>
      <w:numFmt w:val="bullet"/>
      <w:lvlText w:val=""/>
      <w:lvlJc w:val="left"/>
      <w:pPr>
        <w:ind w:left="5460" w:hanging="360"/>
      </w:pPr>
      <w:rPr>
        <w:rFonts w:ascii="Wingdings" w:hAnsi="Wingdings" w:hint="default"/>
      </w:rPr>
    </w:lvl>
    <w:lvl w:ilvl="6" w:tentative="1">
      <w:start w:val="1"/>
      <w:numFmt w:val="bullet"/>
      <w:lvlText w:val=""/>
      <w:lvlJc w:val="left"/>
      <w:pPr>
        <w:ind w:left="6180" w:hanging="360"/>
      </w:pPr>
      <w:rPr>
        <w:rFonts w:ascii="Symbol" w:hAnsi="Symbol" w:hint="default"/>
      </w:rPr>
    </w:lvl>
    <w:lvl w:ilvl="7" w:tentative="1">
      <w:start w:val="1"/>
      <w:numFmt w:val="bullet"/>
      <w:lvlText w:val="o"/>
      <w:lvlJc w:val="left"/>
      <w:pPr>
        <w:ind w:left="6900" w:hanging="360"/>
      </w:pPr>
      <w:rPr>
        <w:rFonts w:ascii="Courier New" w:hAnsi="Courier New" w:cs="Courier New" w:hint="default"/>
      </w:rPr>
    </w:lvl>
    <w:lvl w:ilvl="8" w:tentative="1">
      <w:start w:val="1"/>
      <w:numFmt w:val="bullet"/>
      <w:lvlText w:val=""/>
      <w:lvlJc w:val="left"/>
      <w:pPr>
        <w:ind w:left="7620" w:hanging="360"/>
      </w:pPr>
      <w:rPr>
        <w:rFonts w:ascii="Wingdings" w:hAnsi="Wingdings" w:hint="default"/>
      </w:rPr>
    </w:lvl>
  </w:abstractNum>
  <w:num w:numId="1" w16cid:durableId="933241949">
    <w:abstractNumId w:val="0"/>
  </w:num>
  <w:num w:numId="2" w16cid:durableId="1289361589">
    <w:abstractNumId w:val="2"/>
  </w:num>
  <w:num w:numId="3" w16cid:durableId="1319572542">
    <w:abstractNumId w:val="3"/>
  </w:num>
  <w:num w:numId="4" w16cid:durableId="19605991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72DE"/>
    <w:rsid w:val="00005818"/>
    <w:rsid w:val="00037852"/>
    <w:rsid w:val="00056032"/>
    <w:rsid w:val="00060026"/>
    <w:rsid w:val="00083683"/>
    <w:rsid w:val="00090517"/>
    <w:rsid w:val="000A5902"/>
    <w:rsid w:val="000C4554"/>
    <w:rsid w:val="000E44E6"/>
    <w:rsid w:val="000E7C98"/>
    <w:rsid w:val="00100B62"/>
    <w:rsid w:val="00100CAC"/>
    <w:rsid w:val="00111D43"/>
    <w:rsid w:val="00122254"/>
    <w:rsid w:val="001227EA"/>
    <w:rsid w:val="00171C12"/>
    <w:rsid w:val="001739D6"/>
    <w:rsid w:val="00184858"/>
    <w:rsid w:val="001901BF"/>
    <w:rsid w:val="00191726"/>
    <w:rsid w:val="001B7426"/>
    <w:rsid w:val="001C0A59"/>
    <w:rsid w:val="001C3703"/>
    <w:rsid w:val="001E0427"/>
    <w:rsid w:val="001E3CC9"/>
    <w:rsid w:val="001E5EAD"/>
    <w:rsid w:val="001F2C4B"/>
    <w:rsid w:val="001F322E"/>
    <w:rsid w:val="00201D91"/>
    <w:rsid w:val="00205737"/>
    <w:rsid w:val="00205E26"/>
    <w:rsid w:val="00214313"/>
    <w:rsid w:val="00251561"/>
    <w:rsid w:val="00265098"/>
    <w:rsid w:val="00281637"/>
    <w:rsid w:val="00295DFE"/>
    <w:rsid w:val="002A3126"/>
    <w:rsid w:val="002C6254"/>
    <w:rsid w:val="002E13F9"/>
    <w:rsid w:val="00302595"/>
    <w:rsid w:val="00323FEF"/>
    <w:rsid w:val="00325A69"/>
    <w:rsid w:val="0033322B"/>
    <w:rsid w:val="00335E17"/>
    <w:rsid w:val="003444FA"/>
    <w:rsid w:val="00346BB1"/>
    <w:rsid w:val="00353485"/>
    <w:rsid w:val="003619A5"/>
    <w:rsid w:val="00383A37"/>
    <w:rsid w:val="0039478A"/>
    <w:rsid w:val="00411AAB"/>
    <w:rsid w:val="004144D7"/>
    <w:rsid w:val="00416C1C"/>
    <w:rsid w:val="004179C5"/>
    <w:rsid w:val="00464691"/>
    <w:rsid w:val="0047667D"/>
    <w:rsid w:val="004804BA"/>
    <w:rsid w:val="004973F6"/>
    <w:rsid w:val="004A6D2C"/>
    <w:rsid w:val="004C0A11"/>
    <w:rsid w:val="004C16E5"/>
    <w:rsid w:val="004D18BF"/>
    <w:rsid w:val="004D2F1C"/>
    <w:rsid w:val="004D5A57"/>
    <w:rsid w:val="004D5C1D"/>
    <w:rsid w:val="004E52C1"/>
    <w:rsid w:val="004F76C4"/>
    <w:rsid w:val="005101E8"/>
    <w:rsid w:val="00542F72"/>
    <w:rsid w:val="005567F7"/>
    <w:rsid w:val="00557CF8"/>
    <w:rsid w:val="0056419C"/>
    <w:rsid w:val="00571F9C"/>
    <w:rsid w:val="0059645A"/>
    <w:rsid w:val="005A1DF9"/>
    <w:rsid w:val="005A7BF0"/>
    <w:rsid w:val="005C5507"/>
    <w:rsid w:val="005D25F9"/>
    <w:rsid w:val="005D403D"/>
    <w:rsid w:val="00603FE4"/>
    <w:rsid w:val="00606EA6"/>
    <w:rsid w:val="0061698C"/>
    <w:rsid w:val="006230F6"/>
    <w:rsid w:val="0064487E"/>
    <w:rsid w:val="0064790A"/>
    <w:rsid w:val="00661023"/>
    <w:rsid w:val="00672C5D"/>
    <w:rsid w:val="006877B5"/>
    <w:rsid w:val="006A26AB"/>
    <w:rsid w:val="006B78FE"/>
    <w:rsid w:val="006D6014"/>
    <w:rsid w:val="006E7FAB"/>
    <w:rsid w:val="006F1768"/>
    <w:rsid w:val="006F225B"/>
    <w:rsid w:val="006F771B"/>
    <w:rsid w:val="00764246"/>
    <w:rsid w:val="007763A3"/>
    <w:rsid w:val="00780660"/>
    <w:rsid w:val="00794194"/>
    <w:rsid w:val="007A2A31"/>
    <w:rsid w:val="007B3AEF"/>
    <w:rsid w:val="007C6224"/>
    <w:rsid w:val="007D6EE5"/>
    <w:rsid w:val="007E0E40"/>
    <w:rsid w:val="007F105F"/>
    <w:rsid w:val="00815AB2"/>
    <w:rsid w:val="00860A15"/>
    <w:rsid w:val="008633B8"/>
    <w:rsid w:val="00866372"/>
    <w:rsid w:val="00876014"/>
    <w:rsid w:val="00892D02"/>
    <w:rsid w:val="008A72DE"/>
    <w:rsid w:val="008B5E42"/>
    <w:rsid w:val="008D0F96"/>
    <w:rsid w:val="0090041B"/>
    <w:rsid w:val="00914C3F"/>
    <w:rsid w:val="009163EF"/>
    <w:rsid w:val="009438CE"/>
    <w:rsid w:val="00964781"/>
    <w:rsid w:val="009679E3"/>
    <w:rsid w:val="009777D7"/>
    <w:rsid w:val="009A46C1"/>
    <w:rsid w:val="009B515F"/>
    <w:rsid w:val="009B7F9A"/>
    <w:rsid w:val="009E4E17"/>
    <w:rsid w:val="00A06B8B"/>
    <w:rsid w:val="00A27353"/>
    <w:rsid w:val="00A3726A"/>
    <w:rsid w:val="00A63218"/>
    <w:rsid w:val="00A64240"/>
    <w:rsid w:val="00A709D1"/>
    <w:rsid w:val="00AC220E"/>
    <w:rsid w:val="00AC4258"/>
    <w:rsid w:val="00AE11F7"/>
    <w:rsid w:val="00B04692"/>
    <w:rsid w:val="00B10C5F"/>
    <w:rsid w:val="00B12516"/>
    <w:rsid w:val="00B264AD"/>
    <w:rsid w:val="00B45A7B"/>
    <w:rsid w:val="00B51EE3"/>
    <w:rsid w:val="00B6316C"/>
    <w:rsid w:val="00B66905"/>
    <w:rsid w:val="00B91731"/>
    <w:rsid w:val="00B924D8"/>
    <w:rsid w:val="00BC59E5"/>
    <w:rsid w:val="00BD5C7B"/>
    <w:rsid w:val="00BE72EC"/>
    <w:rsid w:val="00C01DB7"/>
    <w:rsid w:val="00C03214"/>
    <w:rsid w:val="00C12B0C"/>
    <w:rsid w:val="00C25BA3"/>
    <w:rsid w:val="00C61EBE"/>
    <w:rsid w:val="00C63527"/>
    <w:rsid w:val="00C70098"/>
    <w:rsid w:val="00C7344E"/>
    <w:rsid w:val="00CD7523"/>
    <w:rsid w:val="00CE61D6"/>
    <w:rsid w:val="00CE64F2"/>
    <w:rsid w:val="00D0047C"/>
    <w:rsid w:val="00D019D4"/>
    <w:rsid w:val="00D03FDC"/>
    <w:rsid w:val="00D13314"/>
    <w:rsid w:val="00D15A9C"/>
    <w:rsid w:val="00D221B4"/>
    <w:rsid w:val="00D4061C"/>
    <w:rsid w:val="00D45DFC"/>
    <w:rsid w:val="00D62233"/>
    <w:rsid w:val="00D75682"/>
    <w:rsid w:val="00D7686E"/>
    <w:rsid w:val="00D80D42"/>
    <w:rsid w:val="00D9115C"/>
    <w:rsid w:val="00D93B8B"/>
    <w:rsid w:val="00DA05C8"/>
    <w:rsid w:val="00DB5ABA"/>
    <w:rsid w:val="00DF3B26"/>
    <w:rsid w:val="00E06097"/>
    <w:rsid w:val="00E06998"/>
    <w:rsid w:val="00E35054"/>
    <w:rsid w:val="00E4400C"/>
    <w:rsid w:val="00E53742"/>
    <w:rsid w:val="00E53F60"/>
    <w:rsid w:val="00E65FEE"/>
    <w:rsid w:val="00E704E3"/>
    <w:rsid w:val="00E75AEA"/>
    <w:rsid w:val="00E90FB6"/>
    <w:rsid w:val="00EB316D"/>
    <w:rsid w:val="00EB349B"/>
    <w:rsid w:val="00ED36E5"/>
    <w:rsid w:val="00EE2AAD"/>
    <w:rsid w:val="00EE348C"/>
    <w:rsid w:val="00EF4A9A"/>
    <w:rsid w:val="00EF7616"/>
    <w:rsid w:val="00F025C9"/>
    <w:rsid w:val="00F105ED"/>
    <w:rsid w:val="00F22E78"/>
    <w:rsid w:val="00F25984"/>
    <w:rsid w:val="00F25C0A"/>
    <w:rsid w:val="00F26E45"/>
    <w:rsid w:val="00F321EF"/>
    <w:rsid w:val="00F612FD"/>
    <w:rsid w:val="00F96A00"/>
    <w:rsid w:val="00FB2DBD"/>
    <w:rsid w:val="00FC4B39"/>
    <w:rsid w:val="00FC761B"/>
    <w:rsid w:val="00FD669A"/>
    <w:rsid w:val="00FE3F4E"/>
    <w:rsid w:val="0111AB50"/>
    <w:rsid w:val="03DC6AC4"/>
    <w:rsid w:val="0971284A"/>
    <w:rsid w:val="0E026E66"/>
    <w:rsid w:val="0F107E95"/>
    <w:rsid w:val="0FC208A7"/>
    <w:rsid w:val="11CE0D57"/>
    <w:rsid w:val="17B73B00"/>
    <w:rsid w:val="18261666"/>
    <w:rsid w:val="185E74DB"/>
    <w:rsid w:val="18A1BD37"/>
    <w:rsid w:val="1FB60E46"/>
    <w:rsid w:val="22BB5DF8"/>
    <w:rsid w:val="2334CFD3"/>
    <w:rsid w:val="26BB83E5"/>
    <w:rsid w:val="278BC67D"/>
    <w:rsid w:val="2BA8FC1F"/>
    <w:rsid w:val="2C1CF7D1"/>
    <w:rsid w:val="2EC2B102"/>
    <w:rsid w:val="306A3A8C"/>
    <w:rsid w:val="361BA7AC"/>
    <w:rsid w:val="3B117DFC"/>
    <w:rsid w:val="4B0BB336"/>
    <w:rsid w:val="50AB59A4"/>
    <w:rsid w:val="51E80EDC"/>
    <w:rsid w:val="583CA2BE"/>
    <w:rsid w:val="60CA054E"/>
    <w:rsid w:val="622E9578"/>
    <w:rsid w:val="636F8379"/>
    <w:rsid w:val="63705E68"/>
    <w:rsid w:val="640CAF32"/>
    <w:rsid w:val="6474733A"/>
    <w:rsid w:val="6611172D"/>
    <w:rsid w:val="711431DA"/>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16382EB6"/>
  <w15:chartTrackingRefBased/>
  <w15:docId w15:val="{1386C94B-14B7-4EDC-878F-B0B4531F74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A72DE"/>
    <w:pPr>
      <w:spacing w:after="0" w:line="240" w:lineRule="auto"/>
    </w:pPr>
    <w:rPr>
      <w:rFonts w:ascii="Times New Roman" w:eastAsia="Times New Roman" w:hAnsi="Times New Roman" w:cs="Times New Roman"/>
      <w:sz w:val="26"/>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NECG) Footnote Reference,Styl,Style 11,Style 12,Style 13,Style 15,Style 16,Style 17,Style 18,Style 19,Style 20,Style 28,Style 7,Style 8,Style 9,fr,fr1,fr2,fr3,o,o1,o2,o3"/>
    <w:rsid w:val="008A72DE"/>
    <w:rPr>
      <w:rFonts w:ascii="Times New Roman" w:hAnsi="Times New Roman"/>
      <w:b/>
      <w:sz w:val="26"/>
      <w:szCs w:val="26"/>
      <w:vertAlign w:val="superscript"/>
    </w:rPr>
  </w:style>
  <w:style w:type="paragraph" w:styleId="FootnoteText">
    <w:name w:val="footnote text"/>
    <w:aliases w:val=" Char,Char,Footnote Text Char Char,Footnote Text Char Char Char,Footnote Text Char Char Char Char Char1,Footnote Text Char Char1,Footnote Text Char1,Footnote Text Char1 Char,Footnote Text Char1 Char Char Char1,fn"/>
    <w:basedOn w:val="Normal"/>
    <w:link w:val="FootnoteTextChar2"/>
    <w:rsid w:val="008A72DE"/>
    <w:rPr>
      <w:sz w:val="22"/>
      <w:szCs w:val="20"/>
    </w:rPr>
  </w:style>
  <w:style w:type="character" w:customStyle="1" w:styleId="FootnoteTextChar">
    <w:name w:val="Footnote Text Char"/>
    <w:basedOn w:val="DefaultParagraphFont"/>
    <w:uiPriority w:val="99"/>
    <w:semiHidden/>
    <w:rsid w:val="008A72DE"/>
    <w:rPr>
      <w:rFonts w:ascii="Times New Roman" w:eastAsia="Times New Roman" w:hAnsi="Times New Roman" w:cs="Times New Roman"/>
      <w:sz w:val="20"/>
      <w:szCs w:val="20"/>
    </w:rPr>
  </w:style>
  <w:style w:type="character" w:styleId="Hyperlink">
    <w:name w:val="Hyperlink"/>
    <w:rsid w:val="008A72DE"/>
    <w:rPr>
      <w:color w:val="0000FF"/>
      <w:u w:val="single"/>
    </w:rPr>
  </w:style>
  <w:style w:type="character" w:customStyle="1" w:styleId="FootnoteTextChar2">
    <w:name w:val="Footnote Text Char2"/>
    <w:aliases w:val=" Char Char,Char Char,Footnote Text Char Char Char Char,Footnote Text Char Char Char Char Char1 Char,Footnote Text Char Char Char1,Footnote Text Char Char1 Char,Footnote Text Char1 Char Char,Footnote Text Char1 Char1,fn Char"/>
    <w:link w:val="FootnoteText"/>
    <w:rsid w:val="008A72DE"/>
    <w:rPr>
      <w:rFonts w:ascii="Times New Roman" w:eastAsia="Times New Roman" w:hAnsi="Times New Roman" w:cs="Times New Roman"/>
      <w:szCs w:val="20"/>
    </w:rPr>
  </w:style>
  <w:style w:type="paragraph" w:styleId="Header">
    <w:name w:val="header"/>
    <w:basedOn w:val="Normal"/>
    <w:link w:val="HeaderChar"/>
    <w:uiPriority w:val="99"/>
    <w:unhideWhenUsed/>
    <w:rsid w:val="00037852"/>
    <w:pPr>
      <w:tabs>
        <w:tab w:val="center" w:pos="4680"/>
        <w:tab w:val="right" w:pos="9360"/>
      </w:tabs>
    </w:pPr>
  </w:style>
  <w:style w:type="character" w:customStyle="1" w:styleId="HeaderChar">
    <w:name w:val="Header Char"/>
    <w:basedOn w:val="DefaultParagraphFont"/>
    <w:link w:val="Header"/>
    <w:uiPriority w:val="99"/>
    <w:rsid w:val="00037852"/>
    <w:rPr>
      <w:rFonts w:ascii="Times New Roman" w:eastAsia="Times New Roman" w:hAnsi="Times New Roman" w:cs="Times New Roman"/>
      <w:sz w:val="26"/>
      <w:szCs w:val="24"/>
    </w:rPr>
  </w:style>
  <w:style w:type="paragraph" w:styleId="Footer">
    <w:name w:val="footer"/>
    <w:basedOn w:val="Normal"/>
    <w:link w:val="FooterChar"/>
    <w:uiPriority w:val="99"/>
    <w:unhideWhenUsed/>
    <w:rsid w:val="00037852"/>
    <w:pPr>
      <w:tabs>
        <w:tab w:val="center" w:pos="4680"/>
        <w:tab w:val="right" w:pos="9360"/>
      </w:tabs>
    </w:pPr>
  </w:style>
  <w:style w:type="character" w:customStyle="1" w:styleId="FooterChar">
    <w:name w:val="Footer Char"/>
    <w:basedOn w:val="DefaultParagraphFont"/>
    <w:link w:val="Footer"/>
    <w:uiPriority w:val="99"/>
    <w:rsid w:val="00037852"/>
    <w:rPr>
      <w:rFonts w:ascii="Times New Roman" w:eastAsia="Times New Roman" w:hAnsi="Times New Roman" w:cs="Times New Roman"/>
      <w:sz w:val="26"/>
      <w:szCs w:val="24"/>
    </w:rPr>
  </w:style>
  <w:style w:type="paragraph" w:styleId="BalloonText">
    <w:name w:val="Balloon Text"/>
    <w:basedOn w:val="Normal"/>
    <w:link w:val="BalloonTextChar"/>
    <w:uiPriority w:val="99"/>
    <w:semiHidden/>
    <w:unhideWhenUsed/>
    <w:rsid w:val="004D5A5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D5A57"/>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4D5A57"/>
    <w:rPr>
      <w:sz w:val="16"/>
      <w:szCs w:val="16"/>
    </w:rPr>
  </w:style>
  <w:style w:type="paragraph" w:styleId="CommentText">
    <w:name w:val="annotation text"/>
    <w:basedOn w:val="Normal"/>
    <w:link w:val="CommentTextChar"/>
    <w:uiPriority w:val="99"/>
    <w:unhideWhenUsed/>
    <w:rsid w:val="004D5A57"/>
    <w:rPr>
      <w:sz w:val="20"/>
      <w:szCs w:val="20"/>
    </w:rPr>
  </w:style>
  <w:style w:type="character" w:customStyle="1" w:styleId="CommentTextChar">
    <w:name w:val="Comment Text Char"/>
    <w:basedOn w:val="DefaultParagraphFont"/>
    <w:link w:val="CommentText"/>
    <w:uiPriority w:val="99"/>
    <w:rsid w:val="004D5A57"/>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D5A57"/>
    <w:rPr>
      <w:b/>
      <w:bCs/>
    </w:rPr>
  </w:style>
  <w:style w:type="character" w:customStyle="1" w:styleId="CommentSubjectChar">
    <w:name w:val="Comment Subject Char"/>
    <w:basedOn w:val="CommentTextChar"/>
    <w:link w:val="CommentSubject"/>
    <w:uiPriority w:val="99"/>
    <w:semiHidden/>
    <w:rsid w:val="004D5A57"/>
    <w:rPr>
      <w:rFonts w:ascii="Times New Roman" w:eastAsia="Times New Roman" w:hAnsi="Times New Roman" w:cs="Times New Roman"/>
      <w:b/>
      <w:bCs/>
      <w:sz w:val="20"/>
      <w:szCs w:val="20"/>
    </w:rPr>
  </w:style>
  <w:style w:type="paragraph" w:styleId="ListParagraph">
    <w:name w:val="List Paragraph"/>
    <w:basedOn w:val="Normal"/>
    <w:uiPriority w:val="34"/>
    <w:qFormat/>
    <w:rsid w:val="00CE61D6"/>
    <w:pPr>
      <w:ind w:left="720"/>
      <w:contextualSpacing/>
    </w:pPr>
  </w:style>
  <w:style w:type="character" w:styleId="UnresolvedMention">
    <w:name w:val="Unresolved Mention"/>
    <w:basedOn w:val="DefaultParagraphFont"/>
    <w:uiPriority w:val="99"/>
    <w:semiHidden/>
    <w:unhideWhenUsed/>
    <w:rsid w:val="006F225B"/>
    <w:rPr>
      <w:color w:val="605E5C"/>
      <w:shd w:val="clear" w:color="auto" w:fill="E1DFDD"/>
    </w:rPr>
  </w:style>
  <w:style w:type="paragraph" w:styleId="Revision">
    <w:name w:val="Revision"/>
    <w:hidden/>
    <w:uiPriority w:val="99"/>
    <w:semiHidden/>
    <w:rsid w:val="00876014"/>
    <w:pPr>
      <w:spacing w:after="0" w:line="240" w:lineRule="auto"/>
    </w:pPr>
    <w:rPr>
      <w:rFonts w:ascii="Times New Roman" w:eastAsia="Times New Roman" w:hAnsi="Times New Roman" w:cs="Times New Roman"/>
      <w:sz w:val="26"/>
      <w:szCs w:val="24"/>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FollowedHyperlink">
    <w:name w:val="FollowedHyperlink"/>
    <w:basedOn w:val="DefaultParagraphFont"/>
    <w:uiPriority w:val="99"/>
    <w:semiHidden/>
    <w:unhideWhenUsed/>
    <w:rsid w:val="00606EA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reginfo.gov/public/do/PRA/icrPublicCommentRequest?ref_nbr=202607-1902-007" TargetMode="External" /><Relationship Id="rId11" Type="http://schemas.openxmlformats.org/officeDocument/2006/relationships/hyperlink" Target="https://www.reginfo.gov/public/do/PRAMain" TargetMode="External" /><Relationship Id="rId12" Type="http://schemas.openxmlformats.org/officeDocument/2006/relationships/hyperlink" Target="mailto:DataClearance@FERC.gov" TargetMode="External" /><Relationship Id="rId13" Type="http://schemas.openxmlformats.org/officeDocument/2006/relationships/hyperlink" Target="https://elibrary.ferc.gov/eLibrary/search" TargetMode="External" /><Relationship Id="rId14" Type="http://schemas.openxmlformats.org/officeDocument/2006/relationships/header" Target="header1.xml" /><Relationship Id="rId15" Type="http://schemas.openxmlformats.org/officeDocument/2006/relationships/header" Target="header2.xml" /><Relationship Id="rId16" Type="http://schemas.openxmlformats.org/officeDocument/2006/relationships/footer" Target="footer1.xml" /><Relationship Id="rId17" Type="http://schemas.openxmlformats.org/officeDocument/2006/relationships/header" Target="header3.xml" /><Relationship Id="rId18" Type="http://schemas.openxmlformats.org/officeDocument/2006/relationships/footer" Target="footer2.xml" /><Relationship Id="rId19" Type="http://schemas.openxmlformats.org/officeDocument/2006/relationships/theme" Target="theme/theme1.xml" /><Relationship Id="rId2" Type="http://schemas.openxmlformats.org/officeDocument/2006/relationships/settings" Target="settings.xml" /><Relationship Id="rId20" Type="http://schemas.openxmlformats.org/officeDocument/2006/relationships/numbering" Target="numbering.xml" /><Relationship Id="rId21"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haredContentType xmlns="Microsoft.SharePoint.Taxonomy.ContentTypeSync" SourceId="74a4cd09-5f17-433b-814a-38e7e9115d16" ContentTypeId="0x0101" PreviousValue="false"/>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40BBA46C296F7C4CB651D6F7E4CC084A" ma:contentTypeVersion="6" ma:contentTypeDescription="Create a new document." ma:contentTypeScope="" ma:versionID="0f70db97750ef986ae0341d7ca06254e">
  <xsd:schema xmlns:xsd="http://www.w3.org/2001/XMLSchema" xmlns:xs="http://www.w3.org/2001/XMLSchema" xmlns:p="http://schemas.microsoft.com/office/2006/metadata/properties" xmlns:ns2="5e8733a2-e908-454b-85cf-c9d17e1d0943" targetNamespace="http://schemas.microsoft.com/office/2006/metadata/properties" ma:root="true" ma:fieldsID="de1f8b43b19bdf3d1502717f535efbd3" ns2:_="">
    <xsd:import namespace="5e8733a2-e908-454b-85cf-c9d17e1d0943"/>
    <xsd:element name="properties">
      <xsd:complexType>
        <xsd:sequence>
          <xsd:element name="documentManagement">
            <xsd:complexType>
              <xsd:all>
                <xsd:element ref="ns2:Security_x0020_Level" minOccurs="0"/>
                <xsd:element ref="ns2:Number_x0020_Of_x0020_Pages" minOccurs="0"/>
                <xsd:element ref="ns2:Doc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8733a2-e908-454b-85cf-c9d17e1d0943" elementFormDefault="qualified">
    <xsd:import namespace="http://schemas.microsoft.com/office/2006/documentManagement/types"/>
    <xsd:import namespace="http://schemas.microsoft.com/office/infopath/2007/PartnerControls"/>
    <xsd:element name="Security_x0020_Level" ma:index="8" nillable="true" ma:displayName="Security Level" ma:internalName="Security_x0020_Level">
      <xsd:simpleType>
        <xsd:restriction base="dms:Text">
          <xsd:maxLength value="255"/>
        </xsd:restriction>
      </xsd:simpleType>
    </xsd:element>
    <xsd:element name="Number_x0020_Of_x0020_Pages" ma:index="9" nillable="true" ma:displayName="Number Of Pages" ma:internalName="Number_x0020_Of_x0020_Pages">
      <xsd:simpleType>
        <xsd:restriction base="dms:Number"/>
      </xsd:simpleType>
    </xsd:element>
    <xsd:element name="DocType" ma:index="10" nillable="true" ma:displayName="DocType" ma:internalName="DocTyp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DocType xmlns="5e8733a2-e908-454b-85cf-c9d17e1d0943">Issuance</DocType>
    <Security_x0020_Level xmlns="5e8733a2-e908-454b-85cf-c9d17e1d0943">Public</Security_x0020_Level>
    <Number_x0020_Of_x0020_Pages xmlns="5e8733a2-e908-454b-85cf-c9d17e1d0943" xsi:nil="true"/>
  </documentManagement>
</p:properties>
</file>

<file path=customXml/itemProps1.xml><?xml version="1.0" encoding="utf-8"?>
<ds:datastoreItem xmlns:ds="http://schemas.openxmlformats.org/officeDocument/2006/customXml" ds:itemID="{C9A3BE84-75DD-4E9A-B5BF-8D7C841B1AE8}">
  <ds:schemaRefs>
    <ds:schemaRef ds:uri="http://schemas.microsoft.com/sharepoint/v3/contenttype/forms"/>
  </ds:schemaRefs>
</ds:datastoreItem>
</file>

<file path=customXml/itemProps2.xml><?xml version="1.0" encoding="utf-8"?>
<ds:datastoreItem xmlns:ds="http://schemas.openxmlformats.org/officeDocument/2006/customXml" ds:itemID="{7BD36986-3B88-456E-9511-4B2252115358}">
  <ds:schemaRefs>
    <ds:schemaRef ds:uri="Microsoft.SharePoint.Taxonomy.ContentTypeSync"/>
  </ds:schemaRefs>
</ds:datastoreItem>
</file>

<file path=customXml/itemProps3.xml><?xml version="1.0" encoding="utf-8"?>
<ds:datastoreItem xmlns:ds="http://schemas.openxmlformats.org/officeDocument/2006/customXml" ds:itemID="{07728286-4661-453B-9955-13285D57AB3C}">
  <ds:schemaRefs>
    <ds:schemaRef ds:uri="http://schemas.openxmlformats.org/officeDocument/2006/bibliography"/>
  </ds:schemaRefs>
</ds:datastoreItem>
</file>

<file path=customXml/itemProps4.xml><?xml version="1.0" encoding="utf-8"?>
<ds:datastoreItem xmlns:ds="http://schemas.openxmlformats.org/officeDocument/2006/customXml" ds:itemID="{404F076F-52EF-4EB1-BBA9-28BB693E8A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8733a2-e908-454b-85cf-c9d17e1d09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67F183C-9271-406D-BA3C-6F0ECC13D86A}">
  <ds:schemaRefs>
    <ds:schemaRef ds:uri="http://schemas.microsoft.com/office/2006/metadata/properties"/>
    <ds:schemaRef ds:uri="http://schemas.microsoft.com/office/infopath/2007/PartnerControls"/>
    <ds:schemaRef ds:uri="5e8733a2-e908-454b-85cf-c9d17e1d0943"/>
  </ds:schemaRefs>
</ds:datastoreItem>
</file>

<file path=docProps/app.xml><?xml version="1.0" encoding="utf-8"?>
<Properties xmlns="http://schemas.openxmlformats.org/officeDocument/2006/extended-properties" xmlns:vt="http://schemas.openxmlformats.org/officeDocument/2006/docPropsVTypes">
  <TotalTime>13</TotalTime>
  <Pages>4</Pages>
  <Words>722</Words>
  <Characters>4369</Characters>
  <Application>Microsoft Office Word</Application>
  <DocSecurity>0</DocSecurity>
  <Lines>128</Lines>
  <Paragraphs>55</Paragraphs>
  <ScaleCrop>false</ScaleCrop>
  <Company/>
  <LinksUpToDate>false</LinksUpToDate>
  <CharactersWithSpaces>5036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2026-09-14T11:40:00Z</dcterms:created>
  <dcterms:modified xsi:type="dcterms:W3CDTF">2026-09-15T16:47:00Z</dcterms:modified>
</cp:coreProperties>
</file>