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2604E" w:rsidP="00A2604E" w14:paraId="39F14EF8" w14:textId="157B5BD0">
      <w:pPr>
        <w:jc w:val="center"/>
      </w:pPr>
      <w:r>
        <w:t>UNITED STATES OF AMERICA</w:t>
      </w:r>
    </w:p>
    <w:p w:rsidR="00A2604E" w:rsidP="00A2604E" w14:paraId="796F63BF" w14:textId="77777777">
      <w:pPr>
        <w:jc w:val="center"/>
      </w:pPr>
      <w:r>
        <w:t>FEDERAL ENERGY REGULATORY COMMISSION</w:t>
      </w:r>
    </w:p>
    <w:p w:rsidR="00A2604E" w:rsidP="00A2604E" w14:paraId="4152868E" w14:textId="77777777"/>
    <w:p w:rsidR="00A2604E" w:rsidP="00A2604E" w14:paraId="1600CC48" w14:textId="37760BD0">
      <w:pPr>
        <w:jc w:val="center"/>
      </w:pPr>
      <w:r w:rsidRPr="00AC750B">
        <w:t>[</w:t>
      </w:r>
      <w:r w:rsidR="004E4EAD">
        <w:t xml:space="preserve">Docket No. </w:t>
      </w:r>
      <w:r w:rsidRPr="007F0E3E" w:rsidR="007F0E3E">
        <w:t>IC26-32-000</w:t>
      </w:r>
      <w:r w:rsidRPr="00AC750B">
        <w:t>]</w:t>
      </w:r>
    </w:p>
    <w:p w:rsidR="00A2604E" w:rsidP="00A2604E" w14:paraId="37A99FB4" w14:textId="77777777"/>
    <w:p w:rsidR="005A7903" w:rsidRPr="00466D3F" w:rsidP="005A7903" w14:paraId="465B32C7" w14:textId="7692420B">
      <w:pPr>
        <w:jc w:val="center"/>
      </w:pPr>
      <w:r w:rsidRPr="00466D3F">
        <w:t>COMMISSION INFORMATION COLLECTION ACTIVITIES (FERC-</w:t>
      </w:r>
      <w:r w:rsidR="00B257E5">
        <w:t>555</w:t>
      </w:r>
      <w:r w:rsidRPr="00466D3F">
        <w:t>);</w:t>
      </w:r>
      <w:r>
        <w:t xml:space="preserve"> </w:t>
      </w:r>
      <w:r w:rsidRPr="00466D3F">
        <w:t>COMMENT REQUEST; EXTENSION</w:t>
      </w:r>
    </w:p>
    <w:p w:rsidR="00810D18" w:rsidP="00810D18" w14:paraId="6FC67CE5" w14:textId="1157AFF8"/>
    <w:p w:rsidR="009D331A" w:rsidP="007569A6" w14:paraId="56253CE9" w14:textId="199173DF">
      <w:pPr>
        <w:jc w:val="center"/>
      </w:pPr>
      <w:r w:rsidRPr="007569A6">
        <w:t>(September 1</w:t>
      </w:r>
      <w:r>
        <w:t>1</w:t>
      </w:r>
      <w:r w:rsidRPr="007569A6">
        <w:t>, 2026)</w:t>
      </w:r>
    </w:p>
    <w:p w:rsidR="007569A6" w:rsidRPr="007569A6" w:rsidP="007569A6" w14:paraId="63148103" w14:textId="77777777"/>
    <w:p w:rsidR="00A2604E" w:rsidP="00A2604E" w14:paraId="2B06BEDA" w14:textId="77777777">
      <w:r w:rsidRPr="00AB4DBF">
        <w:rPr>
          <w:b/>
        </w:rPr>
        <w:t>AGENCY:</w:t>
      </w:r>
      <w:r w:rsidRPr="00AB4DBF">
        <w:t xml:space="preserve">  Federal Energy Regulatory Commission.</w:t>
      </w:r>
    </w:p>
    <w:p w:rsidR="00A2604E" w:rsidRPr="00AB4DBF" w:rsidP="00A2604E" w14:paraId="3CD46B7D" w14:textId="77777777"/>
    <w:p w:rsidR="00A2604E" w:rsidP="00A2604E" w14:paraId="3C2C8063" w14:textId="77777777">
      <w:pPr>
        <w:spacing w:line="480" w:lineRule="auto"/>
      </w:pPr>
      <w:r w:rsidRPr="00CE64F2">
        <w:rPr>
          <w:b/>
        </w:rPr>
        <w:t>ACTION:</w:t>
      </w:r>
      <w:r>
        <w:t xml:space="preserve">  Notice of information collection and request for comments.</w:t>
      </w:r>
    </w:p>
    <w:p w:rsidR="00A2604E" w:rsidP="00F8646E" w14:paraId="124637F9" w14:textId="024F826F">
      <w:pPr>
        <w:spacing w:line="480" w:lineRule="auto"/>
      </w:pPr>
      <w:r w:rsidRPr="00CE64F2">
        <w:rPr>
          <w:b/>
        </w:rPr>
        <w:t>SUMMARY:</w:t>
      </w:r>
      <w:r>
        <w:t xml:space="preserve">  </w:t>
      </w:r>
      <w:r w:rsidRPr="005A7903" w:rsidR="005A7903">
        <w:t>In compliance with the requirements of the Paperwork Reduction Act of 1995, the Federal Energy Regulatory Commission (Commission or FERC) is soliciting public comment on the currently approved information collection, FERC-</w:t>
      </w:r>
      <w:r w:rsidR="005001BF">
        <w:t>555</w:t>
      </w:r>
      <w:r w:rsidR="002B1F84">
        <w:t xml:space="preserve">: </w:t>
      </w:r>
      <w:r w:rsidRPr="00812DF3" w:rsidR="00812DF3">
        <w:t>Preservation of Records for Public Utilities and Licensees, Natural Gas and Oil Pipeline Companies</w:t>
      </w:r>
      <w:r w:rsidR="002B1F84">
        <w:t xml:space="preserve"> (OMB Control No</w:t>
      </w:r>
      <w:r w:rsidR="0013654A">
        <w:t>.</w:t>
      </w:r>
      <w:r w:rsidR="009D73C4">
        <w:t xml:space="preserve"> 1902-0098</w:t>
      </w:r>
      <w:r w:rsidRPr="005A7903" w:rsidR="005A7903">
        <w:t>) which will be submitted to the Office of Management and Budget (OMB) for a review of the information collection requirements.</w:t>
      </w:r>
      <w:r w:rsidR="007C6866">
        <w:t xml:space="preserve"> </w:t>
      </w:r>
      <w:r w:rsidRPr="007C6866" w:rsidR="007C6866">
        <w:t xml:space="preserve">There are no proposed changes to the </w:t>
      </w:r>
      <w:r w:rsidR="007C6866">
        <w:t>record</w:t>
      </w:r>
      <w:r w:rsidR="009576B6">
        <w:t xml:space="preserve"> keeping</w:t>
      </w:r>
      <w:r w:rsidRPr="007C6866" w:rsidR="007C6866">
        <w:t xml:space="preserve"> requirements. The 60-day notice period ended on September 8, 2026, with no comments received.</w:t>
      </w:r>
    </w:p>
    <w:p w:rsidR="007C1916" w:rsidRPr="007C1916" w:rsidP="007C1916" w14:paraId="442CCE36" w14:textId="4EBC3054">
      <w:pPr>
        <w:spacing w:line="480" w:lineRule="auto"/>
      </w:pPr>
      <w:r w:rsidRPr="00CE64F2">
        <w:rPr>
          <w:b/>
        </w:rPr>
        <w:t>DATES:</w:t>
      </w:r>
      <w:r>
        <w:t xml:space="preserve">  Comments on the collection of information are due </w:t>
      </w:r>
      <w:bookmarkStart w:id="0" w:name="OLE_LINK1"/>
      <w:r w:rsidRPr="007C1916">
        <w:rPr>
          <w:b/>
        </w:rPr>
        <w:t>[</w:t>
      </w:r>
      <w:r w:rsidRPr="00F11631">
        <w:rPr>
          <w:b/>
          <w:caps/>
        </w:rPr>
        <w:t xml:space="preserve">Insert Date 30 days after </w:t>
      </w:r>
      <w:r w:rsidR="00B65A09">
        <w:rPr>
          <w:b/>
          <w:caps/>
        </w:rPr>
        <w:t xml:space="preserve">date of </w:t>
      </w:r>
      <w:r w:rsidRPr="00F11631">
        <w:rPr>
          <w:b/>
          <w:caps/>
        </w:rPr>
        <w:t>publication in the Federal Register]</w:t>
      </w:r>
      <w:r w:rsidRPr="00F11631" w:rsidR="00B65A09">
        <w:rPr>
          <w:b/>
          <w:caps/>
        </w:rPr>
        <w:t>.</w:t>
      </w:r>
      <w:r w:rsidRPr="00F11631" w:rsidR="00B65A09">
        <w:rPr>
          <w:caps/>
        </w:rPr>
        <w:t xml:space="preserve">  </w:t>
      </w:r>
    </w:p>
    <w:bookmarkEnd w:id="0"/>
    <w:p w:rsidR="00DD735D" w:rsidRPr="00DD735D" w:rsidP="00DD735D" w14:paraId="6F65114C" w14:textId="053BB4D2">
      <w:pPr>
        <w:spacing w:line="480" w:lineRule="auto"/>
        <w:rPr>
          <w:bCs/>
        </w:rPr>
      </w:pPr>
      <w:r w:rsidRPr="00DD735D">
        <w:rPr>
          <w:b/>
          <w:bCs/>
        </w:rPr>
        <w:t>ADDRESSES:</w:t>
      </w:r>
      <w:r w:rsidRPr="00DD735D">
        <w:rPr>
          <w:b/>
        </w:rPr>
        <w:t> </w:t>
      </w:r>
      <w:r w:rsidRPr="00DD735D">
        <w:rPr>
          <w:bCs/>
        </w:rPr>
        <w:t>Send written comments on FERC-5</w:t>
      </w:r>
      <w:r>
        <w:rPr>
          <w:bCs/>
        </w:rPr>
        <w:t>5</w:t>
      </w:r>
      <w:r w:rsidR="00051A08">
        <w:rPr>
          <w:bCs/>
        </w:rPr>
        <w:t>5</w:t>
      </w:r>
      <w:r w:rsidRPr="00DD735D">
        <w:rPr>
          <w:bCs/>
        </w:rPr>
        <w:t> to OMB through </w:t>
      </w:r>
      <w:r>
        <w:fldChar w:fldCharType="begin"/>
      </w:r>
      <w:r w:rsidR="006F220E">
        <w:rPr>
          <w:rStyle w:val="Hyperlink"/>
          <w:bCs/>
        </w:rPr>
        <w:instrText xml:space="preserve"> HYPERLINK "https://www.reginfo.gov/public/do/PRA/icrPublicCommentRequest?ref_nbr=202607-1902-008" \t "_blank" </w:instrText>
      </w:r>
      <w:r>
        <w:fldChar w:fldCharType="separate"/>
      </w:r>
      <w:r w:rsidR="006F220E">
        <w:rPr>
          <w:rStyle w:val="Hyperlink"/>
          <w:bCs/>
        </w:rPr>
        <w:t>https://www.reginfo.gov/public/do/PRA/icrPublicCommentRequest?ref_nbr=202607-1902-008.</w:t>
      </w:r>
      <w:r>
        <w:fldChar w:fldCharType="end"/>
      </w:r>
      <w:r w:rsidRPr="00DD735D">
        <w:rPr>
          <w:bCs/>
        </w:rPr>
        <w:t>  You can also visit </w:t>
      </w:r>
      <w:r>
        <w:fldChar w:fldCharType="begin"/>
      </w:r>
      <w:r w:rsidRPr="00DD735D">
        <w:rPr>
          <w:rStyle w:val="Hyperlink"/>
          <w:bCs/>
        </w:rPr>
        <w:instrText xml:space="preserve"> HYPERLINK "https://www.reginfo.gov/public/do/PRAMain" \t "_blank" </w:instrText>
      </w:r>
      <w:r>
        <w:fldChar w:fldCharType="separate"/>
      </w:r>
      <w:r w:rsidRPr="00DD735D">
        <w:rPr>
          <w:rStyle w:val="Hyperlink"/>
          <w:bCs/>
        </w:rPr>
        <w:t>https://www.reginfo.gov/public/do/PRAMain</w:t>
      </w:r>
      <w:r>
        <w:fldChar w:fldCharType="end"/>
      </w:r>
      <w:r w:rsidRPr="00DD735D">
        <w:rPr>
          <w:bCs/>
        </w:rPr>
        <w:t xml:space="preserve"> and use the drop-down under “Currently under Review” to select the “Federal Energy Regulatory </w:t>
      </w:r>
      <w:r w:rsidRPr="00DD735D">
        <w:rPr>
          <w:bCs/>
        </w:rPr>
        <w:t>Commission” where you can see the open opportunities to provide comments. Comments should be sent within 30 days of publication of this notice. </w:t>
      </w:r>
    </w:p>
    <w:p w:rsidR="00DD735D" w:rsidRPr="00DD735D" w:rsidP="00DD735D" w14:paraId="13558F3E" w14:textId="4E03D077">
      <w:pPr>
        <w:spacing w:line="480" w:lineRule="auto"/>
        <w:rPr>
          <w:bCs/>
        </w:rPr>
      </w:pPr>
      <w:r w:rsidRPr="00DD735D">
        <w:rPr>
          <w:bCs/>
        </w:rPr>
        <w:t>Please submit a copy of your comments to the Commission via email to </w:t>
      </w:r>
      <w:hyperlink r:id="rId9" w:tgtFrame="_blank" w:history="1">
        <w:r w:rsidRPr="00DD735D">
          <w:rPr>
            <w:rStyle w:val="Hyperlink"/>
            <w:bCs/>
          </w:rPr>
          <w:t>DataClearance@FERC.gov</w:t>
        </w:r>
      </w:hyperlink>
      <w:r w:rsidRPr="00DD735D">
        <w:rPr>
          <w:bCs/>
        </w:rPr>
        <w:t>. You must specify the Docket No. (</w:t>
      </w:r>
      <w:r w:rsidRPr="00A40EEA" w:rsidR="00A40EEA">
        <w:rPr>
          <w:bCs/>
        </w:rPr>
        <w:t>IC26-32-000</w:t>
      </w:r>
      <w:r w:rsidRPr="00DD735D">
        <w:rPr>
          <w:bCs/>
        </w:rPr>
        <w:t>) and the FERC Information Collection number (FERC-</w:t>
      </w:r>
      <w:r>
        <w:rPr>
          <w:bCs/>
        </w:rPr>
        <w:t>55</w:t>
      </w:r>
      <w:r w:rsidR="006E6B3D">
        <w:rPr>
          <w:bCs/>
        </w:rPr>
        <w:t>5</w:t>
      </w:r>
      <w:r w:rsidRPr="00DD735D">
        <w:rPr>
          <w:bCs/>
        </w:rPr>
        <w:t>) in your email. If you are unable to file electronically, comments may be filed by USPS mail or by hand (including courier) delivery: </w:t>
      </w:r>
    </w:p>
    <w:p w:rsidR="00DD735D" w:rsidRPr="00DD735D" w:rsidP="00DD735D" w14:paraId="5464F019" w14:textId="77777777">
      <w:pPr>
        <w:numPr>
          <w:ilvl w:val="0"/>
          <w:numId w:val="9"/>
        </w:numPr>
        <w:spacing w:line="480" w:lineRule="auto"/>
        <w:rPr>
          <w:bCs/>
        </w:rPr>
      </w:pPr>
      <w:r w:rsidRPr="00DD735D">
        <w:rPr>
          <w:bCs/>
        </w:rPr>
        <w:t>Mail via U.S. Postal Service Only: Federal Energy Regulatory Commission, Secretary of the Commission, 888 First Street, N.E., Washington, DC 20426. </w:t>
      </w:r>
    </w:p>
    <w:p w:rsidR="00DD735D" w:rsidRPr="00DD735D" w:rsidP="00DD735D" w14:paraId="3F5BE039" w14:textId="77777777">
      <w:pPr>
        <w:numPr>
          <w:ilvl w:val="0"/>
          <w:numId w:val="10"/>
        </w:numPr>
        <w:spacing w:line="480" w:lineRule="auto"/>
        <w:rPr>
          <w:bCs/>
        </w:rPr>
      </w:pPr>
      <w:r w:rsidRPr="00DD735D">
        <w:rPr>
          <w:bCs/>
        </w:rPr>
        <w:t>All other delivery methods: Federal Energy Regulatory Commission, Secretary of the Commission, 12225 Wilkins Avenue, Rockville, MD 20852. </w:t>
      </w:r>
    </w:p>
    <w:p w:rsidR="00DD735D" w:rsidRPr="00DD735D" w:rsidP="00DD735D" w14:paraId="42B5CF30" w14:textId="77777777">
      <w:pPr>
        <w:spacing w:line="480" w:lineRule="auto"/>
        <w:rPr>
          <w:bCs/>
        </w:rPr>
      </w:pPr>
      <w:r w:rsidRPr="00DD735D">
        <w:rPr>
          <w:bCs/>
          <w:i/>
          <w:iCs/>
        </w:rPr>
        <w:t>Docket</w:t>
      </w:r>
      <w:r w:rsidRPr="00DD735D">
        <w:rPr>
          <w:bCs/>
        </w:rPr>
        <w:t>:  To view comments and issuances in this docket, please visit </w:t>
      </w:r>
      <w:hyperlink r:id="rId10" w:tgtFrame="_blank" w:history="1">
        <w:r w:rsidRPr="00DD735D">
          <w:rPr>
            <w:rStyle w:val="Hyperlink"/>
            <w:bCs/>
          </w:rPr>
          <w:t>https://elibrary.ferc.gov/eLibrary/search</w:t>
        </w:r>
      </w:hyperlink>
      <w:r w:rsidRPr="00DD735D">
        <w:rPr>
          <w:bCs/>
        </w:rPr>
        <w:t>.  </w:t>
      </w:r>
    </w:p>
    <w:p w:rsidR="00DD735D" w:rsidRPr="00DD735D" w:rsidP="00DD735D" w14:paraId="53DA2E2B" w14:textId="77777777">
      <w:pPr>
        <w:spacing w:line="480" w:lineRule="auto"/>
        <w:rPr>
          <w:b/>
        </w:rPr>
      </w:pPr>
      <w:r w:rsidRPr="00DD735D">
        <w:rPr>
          <w:b/>
          <w:bCs/>
        </w:rPr>
        <w:t>FOR FURTHER INFORMATION CONTACT:</w:t>
      </w:r>
      <w:r w:rsidRPr="00DD735D">
        <w:rPr>
          <w:b/>
        </w:rPr>
        <w:t xml:space="preserve">  </w:t>
      </w:r>
      <w:r w:rsidRPr="00A43B81">
        <w:rPr>
          <w:bCs/>
        </w:rPr>
        <w:t>Kayl</w:t>
      </w:r>
      <w:r w:rsidRPr="00DD735D">
        <w:rPr>
          <w:bCs/>
        </w:rPr>
        <w:t>a Williams, (202) 502-6468. </w:t>
      </w:r>
      <w:hyperlink r:id="rId9" w:tgtFrame="_blank" w:history="1">
        <w:r w:rsidRPr="00DD735D">
          <w:rPr>
            <w:rStyle w:val="Hyperlink"/>
            <w:bCs/>
          </w:rPr>
          <w:t>DataClearance@FERC.gov</w:t>
        </w:r>
      </w:hyperlink>
      <w:r w:rsidRPr="00DD735D">
        <w:rPr>
          <w:bCs/>
        </w:rPr>
        <w:t> </w:t>
      </w:r>
    </w:p>
    <w:p w:rsidR="00DF3EE4" w:rsidRPr="00DF3EE4" w:rsidP="00DF3EE4" w14:paraId="68D3265F" w14:textId="77777777">
      <w:pPr>
        <w:spacing w:line="480" w:lineRule="auto"/>
        <w:rPr>
          <w:b/>
        </w:rPr>
      </w:pPr>
      <w:r w:rsidRPr="00DF3EE4">
        <w:rPr>
          <w:b/>
        </w:rPr>
        <w:t xml:space="preserve">SUPPLEMENTARY INFORMATION:  </w:t>
      </w:r>
    </w:p>
    <w:p w:rsidR="00DF3EE4" w:rsidRPr="00DF3EE4" w:rsidP="00DF3EE4" w14:paraId="0773EF25" w14:textId="3D974929">
      <w:pPr>
        <w:spacing w:line="480" w:lineRule="auto"/>
        <w:rPr>
          <w:b/>
        </w:rPr>
      </w:pPr>
      <w:r w:rsidRPr="00DF3EE4">
        <w:rPr>
          <w:b/>
          <w:bCs/>
          <w:i/>
          <w:iCs/>
        </w:rPr>
        <w:t>Type of Request</w:t>
      </w:r>
      <w:r w:rsidRPr="00DF3EE4">
        <w:t>:</w:t>
      </w:r>
      <w:r w:rsidRPr="00DF3EE4">
        <w:rPr>
          <w:i/>
          <w:iCs/>
        </w:rPr>
        <w:t xml:space="preserve"> </w:t>
      </w:r>
      <w:r w:rsidRPr="00DF3EE4">
        <w:t xml:space="preserve">Three-year extension of the </w:t>
      </w:r>
      <w:r w:rsidR="00D40C9D">
        <w:t xml:space="preserve">FERC-555 </w:t>
      </w:r>
      <w:r w:rsidRPr="00DF3EE4">
        <w:t xml:space="preserve">information collection requirements with no changes to the </w:t>
      </w:r>
      <w:r w:rsidR="00D40C9D">
        <w:t>record keeping</w:t>
      </w:r>
      <w:r w:rsidRPr="00DF3EE4">
        <w:t xml:space="preserve"> requirements</w:t>
      </w:r>
      <w:r w:rsidR="00B97EBA">
        <w:t>.</w:t>
      </w:r>
    </w:p>
    <w:p w:rsidR="00DF3EE4" w:rsidRPr="00DF3EE4" w:rsidP="00DF3EE4" w14:paraId="05AA0FC0" w14:textId="75E5C11F">
      <w:pPr>
        <w:spacing w:line="480" w:lineRule="auto"/>
        <w:rPr>
          <w:b/>
          <w:i/>
          <w:iCs/>
        </w:rPr>
      </w:pPr>
      <w:r w:rsidRPr="00DF3EE4">
        <w:rPr>
          <w:b/>
          <w:i/>
          <w:iCs/>
        </w:rPr>
        <w:t>Title</w:t>
      </w:r>
      <w:r w:rsidRPr="00DF3EE4">
        <w:rPr>
          <w:bCs/>
        </w:rPr>
        <w:t xml:space="preserve">: Preservation of Records for Public Utilities and Licensees, Natural Gas </w:t>
      </w:r>
      <w:r w:rsidR="007916DB">
        <w:rPr>
          <w:bCs/>
        </w:rPr>
        <w:t xml:space="preserve">Companies, </w:t>
      </w:r>
      <w:r w:rsidRPr="00DF3EE4">
        <w:rPr>
          <w:bCs/>
        </w:rPr>
        <w:t>and Oil Pipeline Companies</w:t>
      </w:r>
      <w:r w:rsidR="00B97EBA">
        <w:rPr>
          <w:bCs/>
        </w:rPr>
        <w:t>.</w:t>
      </w:r>
    </w:p>
    <w:p w:rsidR="00DF3EE4" w:rsidRPr="00DF3EE4" w:rsidP="00DF3EE4" w14:paraId="682AD9CB" w14:textId="1728307D">
      <w:pPr>
        <w:spacing w:line="480" w:lineRule="auto"/>
        <w:rPr>
          <w:b/>
          <w:i/>
          <w:iCs/>
        </w:rPr>
      </w:pPr>
      <w:r w:rsidRPr="00DF3EE4">
        <w:rPr>
          <w:b/>
          <w:i/>
          <w:iCs/>
        </w:rPr>
        <w:t>OMB Control No</w:t>
      </w:r>
      <w:r w:rsidRPr="00DF3EE4">
        <w:rPr>
          <w:bCs/>
        </w:rPr>
        <w:t>.: 1902-0098</w:t>
      </w:r>
      <w:r w:rsidR="00B97EBA">
        <w:rPr>
          <w:bCs/>
        </w:rPr>
        <w:t>.</w:t>
      </w:r>
    </w:p>
    <w:p w:rsidR="005164A3" w:rsidRPr="005164A3" w:rsidP="005164A3" w14:paraId="60EB0864" w14:textId="77777777">
      <w:pPr>
        <w:spacing w:line="480" w:lineRule="auto"/>
        <w:rPr>
          <w:bCs/>
        </w:rPr>
      </w:pPr>
      <w:r w:rsidRPr="005164A3">
        <w:rPr>
          <w:b/>
          <w:i/>
          <w:iCs/>
        </w:rPr>
        <w:t xml:space="preserve">Abstract: </w:t>
      </w:r>
      <w:r w:rsidRPr="005164A3">
        <w:rPr>
          <w:bCs/>
        </w:rPr>
        <w:t>The Commission collects the information to carry out its responsibilities described in sections 301, 304, and 309 of the Federal Power Act (FPA),</w:t>
      </w:r>
      <w:r>
        <w:rPr>
          <w:b/>
          <w:vertAlign w:val="superscript"/>
        </w:rPr>
        <w:footnoteReference w:id="3"/>
      </w:r>
      <w:r w:rsidRPr="005164A3">
        <w:rPr>
          <w:bCs/>
        </w:rPr>
        <w:t xml:space="preserve"> sections 8, 10, and 16 of the Natural Gas Act (NGA),</w:t>
      </w:r>
      <w:r>
        <w:rPr>
          <w:b/>
          <w:vertAlign w:val="superscript"/>
        </w:rPr>
        <w:footnoteReference w:id="4"/>
      </w:r>
      <w:r w:rsidRPr="007569A6">
        <w:rPr>
          <w:b/>
        </w:rPr>
        <w:t xml:space="preserve"> </w:t>
      </w:r>
      <w:r w:rsidRPr="005164A3">
        <w:rPr>
          <w:bCs/>
        </w:rPr>
        <w:t>and in the Interstate Commerce Act (ICA).</w:t>
      </w:r>
      <w:r>
        <w:rPr>
          <w:b/>
          <w:vertAlign w:val="superscript"/>
        </w:rPr>
        <w:footnoteReference w:id="5"/>
      </w:r>
    </w:p>
    <w:p w:rsidR="005164A3" w:rsidRPr="005164A3" w:rsidP="005164A3" w14:paraId="33ADCB0E" w14:textId="77777777">
      <w:pPr>
        <w:spacing w:line="480" w:lineRule="auto"/>
        <w:rPr>
          <w:bCs/>
        </w:rPr>
      </w:pPr>
      <w:r w:rsidRPr="005164A3">
        <w:rPr>
          <w:bCs/>
        </w:rPr>
        <w:t>The regulations for preservation of records at 18 CFR Parts 125, 225, and 356 establish retention periods and other requirements for applicable records.  These requirements apply to the public utilities, licensees, natural gas companies, and oil pipeline companies that are subject to the Commission’s jurisdiction.  In general, FERC’s regulations require jurisdictional companies to maintain the following types of records: </w:t>
      </w:r>
    </w:p>
    <w:p w:rsidR="005164A3" w:rsidRPr="005164A3" w:rsidP="005164A3" w14:paraId="2D53B30D" w14:textId="77777777">
      <w:pPr>
        <w:numPr>
          <w:ilvl w:val="0"/>
          <w:numId w:val="11"/>
        </w:numPr>
        <w:spacing w:line="480" w:lineRule="auto"/>
        <w:rPr>
          <w:bCs/>
        </w:rPr>
      </w:pPr>
      <w:r w:rsidRPr="005164A3">
        <w:rPr>
          <w:bCs/>
        </w:rPr>
        <w:t>Corporate; </w:t>
      </w:r>
    </w:p>
    <w:p w:rsidR="005164A3" w:rsidRPr="005164A3" w:rsidP="005164A3" w14:paraId="7F08C0D3" w14:textId="77777777">
      <w:pPr>
        <w:numPr>
          <w:ilvl w:val="0"/>
          <w:numId w:val="11"/>
        </w:numPr>
        <w:spacing w:line="480" w:lineRule="auto"/>
        <w:rPr>
          <w:bCs/>
        </w:rPr>
      </w:pPr>
      <w:r w:rsidRPr="005164A3">
        <w:rPr>
          <w:bCs/>
        </w:rPr>
        <w:t>Information Technology Management; </w:t>
      </w:r>
    </w:p>
    <w:p w:rsidR="005164A3" w:rsidRPr="005164A3" w:rsidP="005164A3" w14:paraId="0DDA6D52" w14:textId="77777777">
      <w:pPr>
        <w:numPr>
          <w:ilvl w:val="0"/>
          <w:numId w:val="11"/>
        </w:numPr>
        <w:spacing w:line="480" w:lineRule="auto"/>
        <w:rPr>
          <w:bCs/>
        </w:rPr>
      </w:pPr>
      <w:r w:rsidRPr="005164A3">
        <w:rPr>
          <w:bCs/>
        </w:rPr>
        <w:t>General Accounting; </w:t>
      </w:r>
    </w:p>
    <w:p w:rsidR="005164A3" w:rsidRPr="005164A3" w:rsidP="005164A3" w14:paraId="0FA09046" w14:textId="77777777">
      <w:pPr>
        <w:numPr>
          <w:ilvl w:val="0"/>
          <w:numId w:val="11"/>
        </w:numPr>
        <w:spacing w:line="480" w:lineRule="auto"/>
        <w:rPr>
          <w:bCs/>
        </w:rPr>
      </w:pPr>
      <w:r w:rsidRPr="005164A3">
        <w:rPr>
          <w:bCs/>
        </w:rPr>
        <w:t>Personnel and Payroll; </w:t>
      </w:r>
    </w:p>
    <w:p w:rsidR="005164A3" w:rsidRPr="005164A3" w:rsidP="005164A3" w14:paraId="1DCB8AB9" w14:textId="77777777">
      <w:pPr>
        <w:numPr>
          <w:ilvl w:val="0"/>
          <w:numId w:val="11"/>
        </w:numPr>
        <w:spacing w:line="480" w:lineRule="auto"/>
        <w:rPr>
          <w:bCs/>
        </w:rPr>
      </w:pPr>
      <w:r w:rsidRPr="005164A3">
        <w:rPr>
          <w:bCs/>
        </w:rPr>
        <w:t>Transportation; </w:t>
      </w:r>
    </w:p>
    <w:p w:rsidR="005164A3" w:rsidRPr="005164A3" w:rsidP="005164A3" w14:paraId="2495A503" w14:textId="77777777">
      <w:pPr>
        <w:numPr>
          <w:ilvl w:val="0"/>
          <w:numId w:val="11"/>
        </w:numPr>
        <w:spacing w:line="480" w:lineRule="auto"/>
        <w:rPr>
          <w:bCs/>
        </w:rPr>
      </w:pPr>
      <w:r w:rsidRPr="005164A3">
        <w:rPr>
          <w:bCs/>
        </w:rPr>
        <w:t>Tariffs and Rates; </w:t>
      </w:r>
    </w:p>
    <w:p w:rsidR="005164A3" w:rsidRPr="005164A3" w:rsidP="005164A3" w14:paraId="1BE83AB6" w14:textId="77777777">
      <w:pPr>
        <w:numPr>
          <w:ilvl w:val="0"/>
          <w:numId w:val="11"/>
        </w:numPr>
        <w:spacing w:line="480" w:lineRule="auto"/>
        <w:rPr>
          <w:bCs/>
        </w:rPr>
      </w:pPr>
      <w:r w:rsidRPr="005164A3">
        <w:rPr>
          <w:bCs/>
        </w:rPr>
        <w:t>Insurance; </w:t>
      </w:r>
    </w:p>
    <w:p w:rsidR="005164A3" w:rsidRPr="005164A3" w:rsidP="005164A3" w14:paraId="37210AB2" w14:textId="77777777">
      <w:pPr>
        <w:numPr>
          <w:ilvl w:val="0"/>
          <w:numId w:val="11"/>
        </w:numPr>
        <w:spacing w:line="480" w:lineRule="auto"/>
        <w:rPr>
          <w:bCs/>
        </w:rPr>
      </w:pPr>
      <w:r w:rsidRPr="005164A3">
        <w:rPr>
          <w:bCs/>
        </w:rPr>
        <w:t>Operations and Maintenance; </w:t>
      </w:r>
    </w:p>
    <w:p w:rsidR="005164A3" w:rsidRPr="005164A3" w:rsidP="005164A3" w14:paraId="09A41972" w14:textId="77777777">
      <w:pPr>
        <w:numPr>
          <w:ilvl w:val="0"/>
          <w:numId w:val="11"/>
        </w:numPr>
        <w:spacing w:line="480" w:lineRule="auto"/>
        <w:rPr>
          <w:bCs/>
        </w:rPr>
      </w:pPr>
      <w:r w:rsidRPr="005164A3">
        <w:rPr>
          <w:bCs/>
        </w:rPr>
        <w:t>Plant and Depreciation; </w:t>
      </w:r>
    </w:p>
    <w:p w:rsidR="005164A3" w:rsidRPr="005164A3" w:rsidP="005164A3" w14:paraId="7770E887" w14:textId="77777777">
      <w:pPr>
        <w:numPr>
          <w:ilvl w:val="0"/>
          <w:numId w:val="11"/>
        </w:numPr>
        <w:spacing w:line="480" w:lineRule="auto"/>
        <w:rPr>
          <w:bCs/>
        </w:rPr>
      </w:pPr>
      <w:r w:rsidRPr="005164A3">
        <w:rPr>
          <w:bCs/>
        </w:rPr>
        <w:t>Purchase and Stores; </w:t>
      </w:r>
    </w:p>
    <w:p w:rsidR="005164A3" w:rsidRPr="005164A3" w:rsidP="005164A3" w14:paraId="41957323" w14:textId="77777777">
      <w:pPr>
        <w:numPr>
          <w:ilvl w:val="0"/>
          <w:numId w:val="11"/>
        </w:numPr>
        <w:spacing w:line="480" w:lineRule="auto"/>
        <w:rPr>
          <w:bCs/>
        </w:rPr>
      </w:pPr>
      <w:r w:rsidRPr="005164A3">
        <w:rPr>
          <w:bCs/>
        </w:rPr>
        <w:t>Revenue Accounting and Collection; </w:t>
      </w:r>
    </w:p>
    <w:p w:rsidR="005164A3" w:rsidRPr="005164A3" w:rsidP="005164A3" w14:paraId="1D6ED55E" w14:textId="77777777">
      <w:pPr>
        <w:numPr>
          <w:ilvl w:val="0"/>
          <w:numId w:val="11"/>
        </w:numPr>
        <w:spacing w:line="480" w:lineRule="auto"/>
        <w:rPr>
          <w:bCs/>
        </w:rPr>
      </w:pPr>
      <w:r w:rsidRPr="005164A3">
        <w:rPr>
          <w:bCs/>
        </w:rPr>
        <w:t>Tax; </w:t>
      </w:r>
    </w:p>
    <w:p w:rsidR="005164A3" w:rsidRPr="005164A3" w:rsidP="005164A3" w14:paraId="3FFC2DD9" w14:textId="77777777">
      <w:pPr>
        <w:numPr>
          <w:ilvl w:val="0"/>
          <w:numId w:val="11"/>
        </w:numPr>
        <w:spacing w:line="480" w:lineRule="auto"/>
        <w:rPr>
          <w:bCs/>
        </w:rPr>
      </w:pPr>
      <w:r w:rsidRPr="005164A3">
        <w:rPr>
          <w:bCs/>
        </w:rPr>
        <w:t>Treasury; and </w:t>
      </w:r>
    </w:p>
    <w:p w:rsidR="005164A3" w:rsidRPr="005164A3" w:rsidP="005164A3" w14:paraId="4877A83C" w14:textId="77777777">
      <w:pPr>
        <w:numPr>
          <w:ilvl w:val="0"/>
          <w:numId w:val="11"/>
        </w:numPr>
        <w:spacing w:line="480" w:lineRule="auto"/>
        <w:rPr>
          <w:bCs/>
        </w:rPr>
      </w:pPr>
      <w:r w:rsidRPr="005164A3">
        <w:rPr>
          <w:bCs/>
        </w:rPr>
        <w:t>Miscellaneous. </w:t>
      </w:r>
    </w:p>
    <w:p w:rsidR="005164A3" w:rsidRPr="005164A3" w:rsidP="005164A3" w14:paraId="47188972" w14:textId="77777777">
      <w:pPr>
        <w:spacing w:line="480" w:lineRule="auto"/>
        <w:rPr>
          <w:bCs/>
        </w:rPr>
      </w:pPr>
      <w:r w:rsidRPr="005164A3">
        <w:rPr>
          <w:bCs/>
        </w:rPr>
        <w:t>Regulated entities use these records as the basis for required rate filings and reports to the Commission.  The Commission’s audit staff may use the records during compliance reviews, and the Commission’s enforcement staff may use the information during investigations.  In addition, the Commission’s staff may use the records for special analyses on subjects such as jurisdictional entities’ responses to extreme weather events.</w:t>
      </w:r>
    </w:p>
    <w:p w:rsidR="005164A3" w:rsidRPr="005164A3" w:rsidP="005164A3" w14:paraId="135DA831" w14:textId="77777777">
      <w:pPr>
        <w:spacing w:line="480" w:lineRule="auto"/>
        <w:rPr>
          <w:b/>
          <w:i/>
          <w:iCs/>
        </w:rPr>
      </w:pPr>
      <w:r w:rsidRPr="005164A3">
        <w:rPr>
          <w:b/>
          <w:i/>
          <w:iCs/>
        </w:rPr>
        <w:t xml:space="preserve">Types of Respondents: </w:t>
      </w:r>
      <w:r w:rsidRPr="005164A3">
        <w:rPr>
          <w:bCs/>
        </w:rPr>
        <w:t>Electric utilities, licensees, natural gas companies, and oil pipeline companies.</w:t>
      </w:r>
    </w:p>
    <w:p w:rsidR="00DF3EE4" w:rsidRPr="00DF3EE4" w:rsidP="00DF3EE4" w14:paraId="09BAF3B8" w14:textId="0172140B">
      <w:pPr>
        <w:spacing w:line="480" w:lineRule="auto"/>
        <w:rPr>
          <w:b/>
          <w:i/>
          <w:iCs/>
        </w:rPr>
      </w:pPr>
      <w:r w:rsidRPr="00DF3EE4">
        <w:rPr>
          <w:b/>
          <w:i/>
          <w:iCs/>
        </w:rPr>
        <w:t>Estimate of Annual Burden</w:t>
      </w:r>
      <w:r>
        <w:rPr>
          <w:rStyle w:val="FootnoteReference"/>
          <w:b w:val="0"/>
          <w:i/>
          <w:iCs/>
        </w:rPr>
        <w:footnoteReference w:id="6"/>
      </w:r>
      <w:r w:rsidRPr="00DF3EE4">
        <w:rPr>
          <w:bCs/>
        </w:rPr>
        <w:t xml:space="preserve">: </w:t>
      </w:r>
      <w:r w:rsidRPr="005D3D6C" w:rsidR="005D3D6C">
        <w:rPr>
          <w:bCs/>
        </w:rPr>
        <w:t>The Commission estimates the annual burden and cost for the information collection as follows.</w:t>
      </w:r>
    </w:p>
    <w:tbl>
      <w:tblPr>
        <w:tblW w:w="951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0"/>
        <w:gridCol w:w="1176"/>
        <w:gridCol w:w="1644"/>
        <w:gridCol w:w="1242"/>
        <w:gridCol w:w="1400"/>
        <w:gridCol w:w="1320"/>
        <w:gridCol w:w="1324"/>
      </w:tblGrid>
      <w:tr w14:paraId="221F8FE2" w14:textId="1F70ACDA" w:rsidTr="2273CE96">
        <w:tblPrEx>
          <w:tblW w:w="951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cantSplit/>
          <w:trHeight w:val="300"/>
        </w:trPr>
        <w:tc>
          <w:tcPr>
            <w:tcW w:w="1410" w:type="dxa"/>
            <w:shd w:val="clear" w:color="auto" w:fill="D9D9D9" w:themeFill="background1" w:themeFillShade="D9"/>
          </w:tcPr>
          <w:p w:rsidR="42C12023" w:rsidP="42C12023" w14:paraId="7B560199" w14:textId="73A0DBE7">
            <w:pPr>
              <w:jc w:val="center"/>
              <w:rPr>
                <w:b/>
                <w:bCs/>
                <w:sz w:val="22"/>
                <w:szCs w:val="22"/>
              </w:rPr>
            </w:pPr>
          </w:p>
        </w:tc>
        <w:tc>
          <w:tcPr>
            <w:tcW w:w="1176" w:type="dxa"/>
            <w:shd w:val="clear" w:color="auto" w:fill="D9D9D9" w:themeFill="background1" w:themeFillShade="D9"/>
          </w:tcPr>
          <w:p w:rsidR="005C06C7" w:rsidRPr="005C06C7" w:rsidP="005C06C7" w14:paraId="653F72A2" w14:textId="77777777">
            <w:pPr>
              <w:jc w:val="center"/>
              <w:rPr>
                <w:b/>
                <w:sz w:val="22"/>
                <w:szCs w:val="22"/>
              </w:rPr>
            </w:pPr>
            <w:r w:rsidRPr="005C06C7">
              <w:rPr>
                <w:b/>
                <w:sz w:val="22"/>
                <w:szCs w:val="22"/>
              </w:rPr>
              <w:t>Number of Respondents</w:t>
            </w:r>
            <w:r w:rsidRPr="005C06C7">
              <w:rPr>
                <w:b/>
                <w:sz w:val="22"/>
                <w:szCs w:val="22"/>
              </w:rPr>
              <w:br/>
              <w:t>(1)</w:t>
            </w:r>
          </w:p>
        </w:tc>
        <w:tc>
          <w:tcPr>
            <w:tcW w:w="1644" w:type="dxa"/>
            <w:shd w:val="clear" w:color="auto" w:fill="D9D9D9" w:themeFill="background1" w:themeFillShade="D9"/>
          </w:tcPr>
          <w:p w:rsidR="005C06C7" w:rsidRPr="005C06C7" w:rsidP="005C06C7" w14:paraId="4E1DA00B" w14:textId="77777777">
            <w:pPr>
              <w:jc w:val="center"/>
              <w:rPr>
                <w:b/>
                <w:sz w:val="22"/>
                <w:szCs w:val="22"/>
              </w:rPr>
            </w:pPr>
            <w:r w:rsidRPr="005C06C7">
              <w:rPr>
                <w:b/>
                <w:sz w:val="22"/>
                <w:szCs w:val="22"/>
              </w:rPr>
              <w:t>Annual Number of Responses per Respondent</w:t>
            </w:r>
          </w:p>
          <w:p w:rsidR="005C06C7" w:rsidRPr="005C06C7" w:rsidP="005C06C7" w14:paraId="6191B51D" w14:textId="77777777">
            <w:pPr>
              <w:jc w:val="center"/>
              <w:rPr>
                <w:b/>
                <w:sz w:val="22"/>
                <w:szCs w:val="22"/>
              </w:rPr>
            </w:pPr>
            <w:r w:rsidRPr="005C06C7">
              <w:rPr>
                <w:b/>
                <w:sz w:val="22"/>
                <w:szCs w:val="22"/>
              </w:rPr>
              <w:t>(2)</w:t>
            </w:r>
          </w:p>
        </w:tc>
        <w:tc>
          <w:tcPr>
            <w:tcW w:w="1242" w:type="dxa"/>
            <w:shd w:val="clear" w:color="auto" w:fill="D9D9D9" w:themeFill="background1" w:themeFillShade="D9"/>
          </w:tcPr>
          <w:p w:rsidR="005C06C7" w:rsidRPr="005C06C7" w:rsidP="005C06C7" w14:paraId="2DDE01B0" w14:textId="77777777">
            <w:pPr>
              <w:jc w:val="center"/>
              <w:rPr>
                <w:b/>
                <w:sz w:val="22"/>
                <w:szCs w:val="22"/>
              </w:rPr>
            </w:pPr>
            <w:r w:rsidRPr="005C06C7">
              <w:rPr>
                <w:b/>
                <w:sz w:val="22"/>
                <w:szCs w:val="22"/>
              </w:rPr>
              <w:t>Total Number of Responses (1)*(2)=(3)</w:t>
            </w:r>
          </w:p>
        </w:tc>
        <w:tc>
          <w:tcPr>
            <w:tcW w:w="1400" w:type="dxa"/>
            <w:shd w:val="clear" w:color="auto" w:fill="D9D9D9" w:themeFill="background1" w:themeFillShade="D9"/>
          </w:tcPr>
          <w:p w:rsidR="005C06C7" w:rsidRPr="005C06C7" w:rsidP="005C06C7" w14:paraId="38F382D9" w14:textId="77777777">
            <w:pPr>
              <w:jc w:val="center"/>
              <w:rPr>
                <w:b/>
                <w:sz w:val="22"/>
                <w:szCs w:val="22"/>
              </w:rPr>
            </w:pPr>
            <w:r w:rsidRPr="005C06C7">
              <w:rPr>
                <w:b/>
                <w:sz w:val="22"/>
                <w:szCs w:val="22"/>
              </w:rPr>
              <w:t>Average Burden Hrs. &amp; Cost Per Response</w:t>
            </w:r>
            <w:r>
              <w:rPr>
                <w:bCs/>
                <w:sz w:val="22"/>
                <w:szCs w:val="22"/>
                <w:vertAlign w:val="superscript"/>
              </w:rPr>
              <w:footnoteReference w:id="7"/>
            </w:r>
          </w:p>
          <w:p w:rsidR="005C06C7" w:rsidRPr="005C06C7" w:rsidP="005C06C7" w14:paraId="70EF845D" w14:textId="77777777">
            <w:pPr>
              <w:jc w:val="center"/>
              <w:rPr>
                <w:b/>
                <w:sz w:val="22"/>
                <w:szCs w:val="22"/>
              </w:rPr>
            </w:pPr>
            <w:r w:rsidRPr="005C06C7">
              <w:rPr>
                <w:b/>
                <w:sz w:val="22"/>
                <w:szCs w:val="22"/>
              </w:rPr>
              <w:t>(4)</w:t>
            </w:r>
          </w:p>
        </w:tc>
        <w:tc>
          <w:tcPr>
            <w:tcW w:w="1320" w:type="dxa"/>
            <w:shd w:val="clear" w:color="auto" w:fill="D9D9D9" w:themeFill="background1" w:themeFillShade="D9"/>
          </w:tcPr>
          <w:p w:rsidR="005C06C7" w:rsidRPr="005C06C7" w:rsidP="005C06C7" w14:paraId="2FB5D334" w14:textId="77777777">
            <w:pPr>
              <w:jc w:val="center"/>
              <w:rPr>
                <w:b/>
                <w:sz w:val="22"/>
                <w:szCs w:val="22"/>
              </w:rPr>
            </w:pPr>
            <w:r w:rsidRPr="005C06C7">
              <w:rPr>
                <w:b/>
                <w:sz w:val="22"/>
                <w:szCs w:val="22"/>
              </w:rPr>
              <w:t>Total Annual Burden Hours &amp; Total Annual Cost</w:t>
            </w:r>
          </w:p>
          <w:p w:rsidR="005C06C7" w:rsidRPr="005C06C7" w:rsidP="005C06C7" w14:paraId="6D744FA0" w14:textId="77777777">
            <w:pPr>
              <w:jc w:val="center"/>
              <w:rPr>
                <w:b/>
                <w:sz w:val="22"/>
                <w:szCs w:val="22"/>
              </w:rPr>
            </w:pPr>
            <w:r w:rsidRPr="005C06C7">
              <w:rPr>
                <w:b/>
                <w:sz w:val="22"/>
                <w:szCs w:val="22"/>
              </w:rPr>
              <w:t>(3)*(4)=(5)</w:t>
            </w:r>
          </w:p>
        </w:tc>
        <w:tc>
          <w:tcPr>
            <w:tcW w:w="1324" w:type="dxa"/>
            <w:shd w:val="clear" w:color="auto" w:fill="D9D9D9" w:themeFill="background1" w:themeFillShade="D9"/>
          </w:tcPr>
          <w:p w:rsidR="005C06C7" w:rsidRPr="005C06C7" w:rsidP="005C06C7" w14:paraId="1620685F" w14:textId="77777777">
            <w:pPr>
              <w:jc w:val="center"/>
              <w:rPr>
                <w:b/>
                <w:sz w:val="22"/>
                <w:szCs w:val="22"/>
              </w:rPr>
            </w:pPr>
            <w:r w:rsidRPr="005C06C7">
              <w:rPr>
                <w:b/>
                <w:sz w:val="22"/>
                <w:szCs w:val="22"/>
              </w:rPr>
              <w:t>Cost per Respondent</w:t>
            </w:r>
          </w:p>
          <w:p w:rsidR="005C06C7" w:rsidRPr="005C06C7" w:rsidP="005C06C7" w14:paraId="7450D4E8" w14:textId="79C74085">
            <w:pPr>
              <w:jc w:val="center"/>
              <w:rPr>
                <w:b/>
                <w:sz w:val="22"/>
                <w:szCs w:val="22"/>
              </w:rPr>
            </w:pPr>
            <w:r w:rsidRPr="005C06C7">
              <w:rPr>
                <w:b/>
                <w:sz w:val="22"/>
                <w:szCs w:val="22"/>
              </w:rPr>
              <w:t>($)</w:t>
            </w:r>
          </w:p>
          <w:p w:rsidR="005C06C7" w:rsidRPr="005C06C7" w:rsidP="005C06C7" w14:paraId="40A3E071" w14:textId="5C04C4A9">
            <w:pPr>
              <w:jc w:val="center"/>
              <w:rPr>
                <w:b/>
                <w:sz w:val="22"/>
                <w:szCs w:val="22"/>
              </w:rPr>
            </w:pPr>
            <w:r w:rsidRPr="005C06C7">
              <w:rPr>
                <w:b/>
                <w:sz w:val="22"/>
                <w:szCs w:val="22"/>
              </w:rPr>
              <w:t>(5)÷(1)</w:t>
            </w:r>
          </w:p>
        </w:tc>
      </w:tr>
      <w:tr w14:paraId="3BEC398D" w14:textId="65EF0092" w:rsidTr="2273CE96">
        <w:tblPrEx>
          <w:tblW w:w="9516" w:type="dxa"/>
          <w:tblInd w:w="-72" w:type="dxa"/>
          <w:tblLayout w:type="fixed"/>
          <w:tblLook w:val="01E0"/>
        </w:tblPrEx>
        <w:trPr>
          <w:cantSplit/>
          <w:trHeight w:val="300"/>
        </w:trPr>
        <w:tc>
          <w:tcPr>
            <w:tcW w:w="1410" w:type="dxa"/>
          </w:tcPr>
          <w:p w:rsidR="42C12023" w:rsidP="42C12023" w14:paraId="64173C94" w14:textId="53DD67B5">
            <w:pPr>
              <w:jc w:val="right"/>
            </w:pPr>
            <w:r w:rsidRPr="23928855">
              <w:rPr>
                <w:sz w:val="22"/>
                <w:szCs w:val="22"/>
              </w:rPr>
              <w:t>Preservation of Records</w:t>
            </w:r>
            <w:r>
              <w:rPr>
                <w:rStyle w:val="FootnoteReference"/>
                <w:b w:val="0"/>
                <w:sz w:val="22"/>
                <w:szCs w:val="22"/>
              </w:rPr>
              <w:footnoteReference w:id="8"/>
            </w:r>
          </w:p>
        </w:tc>
        <w:tc>
          <w:tcPr>
            <w:tcW w:w="1176" w:type="dxa"/>
          </w:tcPr>
          <w:p w:rsidR="005C06C7" w:rsidRPr="005C06C7" w:rsidP="005C06C7" w14:paraId="2FDF942A" w14:textId="0867953C">
            <w:pPr>
              <w:jc w:val="right"/>
              <w:rPr>
                <w:bCs/>
                <w:sz w:val="22"/>
                <w:szCs w:val="22"/>
              </w:rPr>
            </w:pPr>
            <w:r w:rsidRPr="005C06C7">
              <w:rPr>
                <w:bCs/>
                <w:sz w:val="22"/>
                <w:szCs w:val="22"/>
              </w:rPr>
              <w:t>667</w:t>
            </w:r>
          </w:p>
        </w:tc>
        <w:tc>
          <w:tcPr>
            <w:tcW w:w="1644" w:type="dxa"/>
          </w:tcPr>
          <w:p w:rsidR="005C06C7" w:rsidRPr="005C06C7" w:rsidP="005C06C7" w14:paraId="2F43D88A" w14:textId="77777777">
            <w:pPr>
              <w:jc w:val="right"/>
              <w:rPr>
                <w:bCs/>
                <w:sz w:val="22"/>
                <w:szCs w:val="22"/>
              </w:rPr>
            </w:pPr>
            <w:r w:rsidRPr="005C06C7">
              <w:rPr>
                <w:bCs/>
                <w:sz w:val="22"/>
                <w:szCs w:val="22"/>
              </w:rPr>
              <w:t>1</w:t>
            </w:r>
          </w:p>
        </w:tc>
        <w:tc>
          <w:tcPr>
            <w:tcW w:w="1242" w:type="dxa"/>
          </w:tcPr>
          <w:p w:rsidR="005C06C7" w:rsidRPr="005C06C7" w:rsidP="005C06C7" w14:paraId="58D6F255" w14:textId="3E6FE52A">
            <w:pPr>
              <w:jc w:val="right"/>
              <w:rPr>
                <w:bCs/>
                <w:sz w:val="22"/>
                <w:szCs w:val="22"/>
              </w:rPr>
            </w:pPr>
            <w:r w:rsidRPr="005C06C7">
              <w:rPr>
                <w:bCs/>
                <w:sz w:val="22"/>
                <w:szCs w:val="22"/>
              </w:rPr>
              <w:t>667</w:t>
            </w:r>
          </w:p>
        </w:tc>
        <w:tc>
          <w:tcPr>
            <w:tcW w:w="1400" w:type="dxa"/>
          </w:tcPr>
          <w:p w:rsidR="005C06C7" w:rsidRPr="005C06C7" w:rsidP="2273CE96" w14:paraId="491B9CAA" w14:textId="2027197C">
            <w:pPr>
              <w:jc w:val="right"/>
              <w:rPr>
                <w:sz w:val="22"/>
                <w:szCs w:val="22"/>
              </w:rPr>
            </w:pPr>
            <w:r w:rsidRPr="2273CE96">
              <w:rPr>
                <w:sz w:val="22"/>
                <w:szCs w:val="22"/>
              </w:rPr>
              <w:t>5,218</w:t>
            </w:r>
            <w:r w:rsidRPr="2273CE96" w:rsidR="2C47BA9D">
              <w:rPr>
                <w:sz w:val="22"/>
                <w:szCs w:val="22"/>
              </w:rPr>
              <w:t>.5</w:t>
            </w:r>
            <w:r w:rsidRPr="2273CE96">
              <w:rPr>
                <w:sz w:val="22"/>
                <w:szCs w:val="22"/>
              </w:rPr>
              <w:t xml:space="preserve"> hrs.;</w:t>
            </w:r>
          </w:p>
          <w:p w:rsidR="005C06C7" w:rsidRPr="005C06C7" w:rsidP="005C06C7" w14:paraId="43561447" w14:textId="234FD6BD">
            <w:pPr>
              <w:jc w:val="right"/>
              <w:rPr>
                <w:bCs/>
                <w:sz w:val="22"/>
                <w:szCs w:val="22"/>
              </w:rPr>
            </w:pPr>
            <w:r w:rsidRPr="005C06C7">
              <w:rPr>
                <w:bCs/>
                <w:sz w:val="22"/>
                <w:szCs w:val="22"/>
              </w:rPr>
              <w:t>$532,</w:t>
            </w:r>
            <w:r w:rsidR="006D113C">
              <w:rPr>
                <w:bCs/>
                <w:sz w:val="22"/>
                <w:szCs w:val="22"/>
              </w:rPr>
              <w:t>287</w:t>
            </w:r>
          </w:p>
        </w:tc>
        <w:tc>
          <w:tcPr>
            <w:tcW w:w="1320" w:type="dxa"/>
          </w:tcPr>
          <w:p w:rsidR="006D6A0F" w:rsidRPr="006D6A0F" w:rsidP="006D6A0F" w14:paraId="61CE87C6" w14:textId="2901CE62">
            <w:pPr>
              <w:jc w:val="right"/>
              <w:rPr>
                <w:bCs/>
                <w:sz w:val="22"/>
                <w:szCs w:val="22"/>
              </w:rPr>
            </w:pPr>
            <w:r w:rsidRPr="006D6A0F">
              <w:rPr>
                <w:bCs/>
                <w:sz w:val="22"/>
                <w:szCs w:val="22"/>
              </w:rPr>
              <w:t>3,480,</w:t>
            </w:r>
            <w:r w:rsidR="006D113C">
              <w:rPr>
                <w:bCs/>
                <w:sz w:val="22"/>
                <w:szCs w:val="22"/>
              </w:rPr>
              <w:t>740</w:t>
            </w:r>
            <w:r w:rsidRPr="006D6A0F">
              <w:rPr>
                <w:bCs/>
                <w:sz w:val="22"/>
                <w:szCs w:val="22"/>
              </w:rPr>
              <w:t xml:space="preserve"> hrs.;</w:t>
            </w:r>
          </w:p>
          <w:p w:rsidR="005C06C7" w:rsidRPr="005C06C7" w:rsidP="006D6A0F" w14:paraId="461F5AD3" w14:textId="4E307BE8">
            <w:pPr>
              <w:jc w:val="right"/>
              <w:rPr>
                <w:bCs/>
                <w:sz w:val="22"/>
                <w:szCs w:val="22"/>
              </w:rPr>
            </w:pPr>
            <w:r w:rsidRPr="006D6A0F">
              <w:rPr>
                <w:bCs/>
                <w:sz w:val="22"/>
                <w:szCs w:val="22"/>
              </w:rPr>
              <w:t>$355,</w:t>
            </w:r>
            <w:r w:rsidR="001E7BA3">
              <w:rPr>
                <w:bCs/>
                <w:sz w:val="22"/>
                <w:szCs w:val="22"/>
              </w:rPr>
              <w:t>035,480</w:t>
            </w:r>
          </w:p>
        </w:tc>
        <w:tc>
          <w:tcPr>
            <w:tcW w:w="1324" w:type="dxa"/>
          </w:tcPr>
          <w:p w:rsidR="005C06C7" w:rsidRPr="005C06C7" w:rsidP="005C06C7" w14:paraId="1CF5D089" w14:textId="7DDA0ECF">
            <w:pPr>
              <w:jc w:val="right"/>
              <w:rPr>
                <w:bCs/>
                <w:sz w:val="22"/>
                <w:szCs w:val="22"/>
              </w:rPr>
            </w:pPr>
            <w:r w:rsidRPr="005C06C7">
              <w:rPr>
                <w:bCs/>
                <w:sz w:val="22"/>
                <w:szCs w:val="22"/>
              </w:rPr>
              <w:t>$532,</w:t>
            </w:r>
            <w:r w:rsidR="001E7BA3">
              <w:rPr>
                <w:bCs/>
                <w:sz w:val="22"/>
                <w:szCs w:val="22"/>
              </w:rPr>
              <w:t xml:space="preserve"> 287</w:t>
            </w:r>
          </w:p>
        </w:tc>
      </w:tr>
      <w:tr w14:paraId="34E6C951" w14:textId="77777777" w:rsidTr="2273CE96">
        <w:tblPrEx>
          <w:tblW w:w="9516" w:type="dxa"/>
          <w:tblInd w:w="-72" w:type="dxa"/>
          <w:tblLayout w:type="fixed"/>
          <w:tblLook w:val="01E0"/>
        </w:tblPrEx>
        <w:trPr>
          <w:cantSplit/>
          <w:trHeight w:val="300"/>
        </w:trPr>
        <w:tc>
          <w:tcPr>
            <w:tcW w:w="1410" w:type="dxa"/>
            <w:shd w:val="clear" w:color="auto" w:fill="D9D9D9" w:themeFill="background1" w:themeFillShade="D9"/>
          </w:tcPr>
          <w:p w:rsidR="00220844" w:rsidRPr="000A62CC" w:rsidP="00220844" w14:paraId="2DBFC105" w14:textId="3407791F">
            <w:pPr>
              <w:rPr>
                <w:b/>
                <w:bCs/>
                <w:sz w:val="22"/>
                <w:szCs w:val="22"/>
              </w:rPr>
            </w:pPr>
            <w:r w:rsidRPr="000A62CC">
              <w:rPr>
                <w:b/>
                <w:bCs/>
                <w:sz w:val="22"/>
                <w:szCs w:val="22"/>
              </w:rPr>
              <w:t>TOTAL</w:t>
            </w:r>
          </w:p>
        </w:tc>
        <w:tc>
          <w:tcPr>
            <w:tcW w:w="1176" w:type="dxa"/>
            <w:shd w:val="clear" w:color="auto" w:fill="D9D9D9" w:themeFill="background1" w:themeFillShade="D9"/>
          </w:tcPr>
          <w:p w:rsidR="00220844" w:rsidRPr="000A62CC" w:rsidP="00220844" w14:paraId="305C98AF" w14:textId="77777777">
            <w:pPr>
              <w:rPr>
                <w:b/>
                <w:bCs/>
                <w:sz w:val="22"/>
                <w:szCs w:val="22"/>
              </w:rPr>
            </w:pPr>
          </w:p>
        </w:tc>
        <w:tc>
          <w:tcPr>
            <w:tcW w:w="1644" w:type="dxa"/>
            <w:shd w:val="clear" w:color="auto" w:fill="D9D9D9" w:themeFill="background1" w:themeFillShade="D9"/>
          </w:tcPr>
          <w:p w:rsidR="00220844" w:rsidRPr="000A62CC" w:rsidP="00220844" w14:paraId="6B5A506E" w14:textId="77777777">
            <w:pPr>
              <w:rPr>
                <w:b/>
                <w:bCs/>
                <w:sz w:val="22"/>
                <w:szCs w:val="22"/>
              </w:rPr>
            </w:pPr>
          </w:p>
        </w:tc>
        <w:tc>
          <w:tcPr>
            <w:tcW w:w="1242" w:type="dxa"/>
          </w:tcPr>
          <w:p w:rsidR="00220844" w:rsidRPr="000A62CC" w:rsidP="007F3220" w14:paraId="02CC8A85" w14:textId="2AA74E8F">
            <w:pPr>
              <w:jc w:val="right"/>
              <w:rPr>
                <w:b/>
                <w:bCs/>
                <w:sz w:val="22"/>
                <w:szCs w:val="22"/>
              </w:rPr>
            </w:pPr>
            <w:r>
              <w:rPr>
                <w:b/>
                <w:bCs/>
                <w:sz w:val="22"/>
                <w:szCs w:val="22"/>
              </w:rPr>
              <w:t>667</w:t>
            </w:r>
          </w:p>
        </w:tc>
        <w:tc>
          <w:tcPr>
            <w:tcW w:w="1400" w:type="dxa"/>
            <w:shd w:val="clear" w:color="auto" w:fill="D9D9D9" w:themeFill="background1" w:themeFillShade="D9"/>
          </w:tcPr>
          <w:p w:rsidR="00220844" w:rsidRPr="000A62CC" w:rsidP="00220844" w14:paraId="7BEABBD9" w14:textId="77777777">
            <w:pPr>
              <w:rPr>
                <w:b/>
                <w:bCs/>
                <w:sz w:val="22"/>
                <w:szCs w:val="22"/>
              </w:rPr>
            </w:pPr>
          </w:p>
        </w:tc>
        <w:tc>
          <w:tcPr>
            <w:tcW w:w="1320" w:type="dxa"/>
          </w:tcPr>
          <w:p w:rsidR="00220844" w:rsidRPr="000A62CC" w:rsidP="003F2CE4" w14:paraId="77356220" w14:textId="0BB65965">
            <w:pPr>
              <w:jc w:val="right"/>
              <w:rPr>
                <w:b/>
                <w:bCs/>
                <w:sz w:val="22"/>
                <w:szCs w:val="22"/>
              </w:rPr>
            </w:pPr>
            <w:r>
              <w:rPr>
                <w:b/>
                <w:bCs/>
                <w:sz w:val="22"/>
                <w:szCs w:val="22"/>
              </w:rPr>
              <w:t>3,480,</w:t>
            </w:r>
            <w:r w:rsidR="006B7875">
              <w:rPr>
                <w:b/>
                <w:bCs/>
                <w:sz w:val="22"/>
                <w:szCs w:val="22"/>
              </w:rPr>
              <w:t>740</w:t>
            </w:r>
            <w:r w:rsidRPr="000A62CC">
              <w:rPr>
                <w:b/>
                <w:bCs/>
                <w:sz w:val="22"/>
                <w:szCs w:val="22"/>
              </w:rPr>
              <w:t xml:space="preserve"> hours; $</w:t>
            </w:r>
            <w:r w:rsidRPr="006B7875" w:rsidR="006B7875">
              <w:rPr>
                <w:b/>
                <w:bCs/>
                <w:sz w:val="22"/>
                <w:szCs w:val="22"/>
              </w:rPr>
              <w:t>355,035,480</w:t>
            </w:r>
          </w:p>
        </w:tc>
        <w:tc>
          <w:tcPr>
            <w:tcW w:w="1324" w:type="dxa"/>
            <w:shd w:val="clear" w:color="auto" w:fill="D9D9D9" w:themeFill="background1" w:themeFillShade="D9"/>
          </w:tcPr>
          <w:p w:rsidR="00220844" w:rsidRPr="00220844" w:rsidP="00220844" w14:paraId="560264ED" w14:textId="77777777">
            <w:pPr>
              <w:rPr>
                <w:sz w:val="22"/>
                <w:szCs w:val="22"/>
              </w:rPr>
            </w:pPr>
          </w:p>
        </w:tc>
      </w:tr>
    </w:tbl>
    <w:p w:rsidR="00DF3EE4" w:rsidRPr="003B0C81" w:rsidP="00DF3EE4" w14:paraId="7068BB73" w14:textId="77777777">
      <w:pPr>
        <w:spacing w:line="480" w:lineRule="auto"/>
        <w:rPr>
          <w:bCs/>
        </w:rPr>
      </w:pPr>
    </w:p>
    <w:p w:rsidR="0084158A" w:rsidP="0084158A" w14:paraId="5CD9EA89" w14:textId="6A8DF319">
      <w:pPr>
        <w:spacing w:line="480" w:lineRule="auto"/>
      </w:pPr>
      <w:r>
        <w:t>Comments are invited on: (1) whether the collection of information is necessary for the proper performance of the functions of the Commission, including whether the information will have practical utility; (2) the accuracy of the agency’s estimate of the burden and cost of the collection</w:t>
      </w:r>
      <w:r w:rsidR="006D552E">
        <w:t xml:space="preserve"> </w:t>
      </w:r>
      <w:r>
        <w:t xml:space="preserve">of information, including the validity of the methodology and assumptions used; (3) ways to enhance the quality, utility and clarity of the information collection; and (4) ways to minimize the burden of the </w:t>
      </w:r>
    </w:p>
    <w:p w:rsidR="0084158A" w:rsidP="0084158A" w14:paraId="2F0771FF" w14:textId="05EF2273">
      <w:pPr>
        <w:spacing w:line="480" w:lineRule="auto"/>
      </w:pPr>
      <w:r>
        <w:t>collection of information on those who are to respond, including the use of automated collection techniques or other forms of information technology.</w:t>
      </w:r>
    </w:p>
    <w:p w:rsidR="005A7903" w:rsidP="005A7903" w14:paraId="18C61432" w14:textId="6495370D">
      <w:pPr>
        <w:rPr>
          <w:sz w:val="24"/>
        </w:rPr>
      </w:pPr>
    </w:p>
    <w:p w:rsidR="009D331A" w:rsidP="005A7903" w14:paraId="4B6DE66F" w14:textId="1DBBB4F4"/>
    <w:p w:rsidR="009D331A" w:rsidP="005A7903" w14:paraId="4519C749" w14:textId="0FC1488A"/>
    <w:p w:rsidR="009D331A" w:rsidP="005A7903" w14:paraId="05089AB2" w14:textId="6A6D8118"/>
    <w:p w:rsidR="009D331A" w:rsidRPr="009D331A" w:rsidP="009D331A" w14:paraId="05FE5BB3" w14:textId="4B3CA58F">
      <w:pPr>
        <w:ind w:firstLine="2606"/>
        <w:jc w:val="center"/>
      </w:pPr>
      <w:r w:rsidRPr="009D331A">
        <w:t>Debbie-Anne A. Reese,</w:t>
      </w:r>
    </w:p>
    <w:p w:rsidR="009D331A" w:rsidRPr="009D331A" w:rsidP="009D331A" w14:paraId="0EBC761B" w14:textId="70A82FCB">
      <w:pPr>
        <w:ind w:firstLine="2606"/>
        <w:jc w:val="center"/>
      </w:pPr>
      <w:r w:rsidRPr="009D331A">
        <w:t>Deputy Secretary.</w:t>
      </w:r>
    </w:p>
    <w:p w:rsidR="009D331A" w:rsidRPr="00466D3F" w:rsidP="005A7903" w14:paraId="5B521EE8" w14:textId="77777777"/>
    <w:p w:rsidR="005A7903" w:rsidRPr="00466D3F" w:rsidP="005A7903" w14:paraId="02017126" w14:textId="77777777">
      <w:pPr>
        <w:rPr>
          <w:sz w:val="24"/>
        </w:rPr>
      </w:pPr>
    </w:p>
    <w:p w:rsidR="005A7903" w:rsidRPr="00853ABC" w:rsidP="00C1124F" w14:paraId="03E58B77" w14:textId="77777777">
      <w:pPr>
        <w:tabs>
          <w:tab w:val="left" w:pos="7880"/>
        </w:tabs>
        <w:spacing w:line="480" w:lineRule="auto"/>
      </w:pPr>
    </w:p>
    <w:sectPr w:rsidSect="00BF2D74">
      <w:headerReference w:type="default" r:id="rId11"/>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C4585" w:rsidP="00B01B16" w14:paraId="3FE4B037" w14:textId="77777777">
      <w:r>
        <w:separator/>
      </w:r>
    </w:p>
  </w:footnote>
  <w:footnote w:type="continuationSeparator" w:id="1">
    <w:p w:rsidR="00FC4585" w:rsidP="00B01B16" w14:paraId="6319FC55" w14:textId="77777777">
      <w:r>
        <w:continuationSeparator/>
      </w:r>
    </w:p>
  </w:footnote>
  <w:footnote w:type="continuationNotice" w:id="2">
    <w:p w:rsidR="00FC4585" w14:paraId="42CE9725" w14:textId="77777777"/>
  </w:footnote>
  <w:footnote w:id="3">
    <w:p w:rsidR="005164A3" w:rsidRPr="00B329F5" w:rsidP="00D675AA" w14:paraId="1FB17884" w14:textId="1614915E">
      <w:pPr>
        <w:pStyle w:val="FootnoteText"/>
        <w:ind w:firstLine="720"/>
        <w:rPr>
          <w:sz w:val="26"/>
        </w:rPr>
      </w:pPr>
      <w:r w:rsidRPr="007569A6">
        <w:rPr>
          <w:rStyle w:val="FootnoteReference"/>
        </w:rPr>
        <w:footnoteRef/>
      </w:r>
      <w:r w:rsidRPr="00B329F5">
        <w:rPr>
          <w:sz w:val="26"/>
        </w:rPr>
        <w:t xml:space="preserve"> 16 USC 825, 825c and 825h</w:t>
      </w:r>
    </w:p>
  </w:footnote>
  <w:footnote w:id="4">
    <w:p w:rsidR="005164A3" w:rsidRPr="00D675AA" w:rsidP="00D675AA" w14:paraId="38D32C5B" w14:textId="7D24268A">
      <w:pPr>
        <w:pStyle w:val="FootnoteText"/>
        <w:ind w:firstLine="720"/>
        <w:rPr>
          <w:i/>
          <w:iCs/>
          <w:sz w:val="26"/>
        </w:rPr>
      </w:pPr>
      <w:r w:rsidRPr="007569A6">
        <w:rPr>
          <w:rStyle w:val="FootnoteReference"/>
        </w:rPr>
        <w:footnoteRef/>
      </w:r>
      <w:r w:rsidRPr="007569A6">
        <w:rPr>
          <w:sz w:val="26"/>
        </w:rPr>
        <w:t xml:space="preserve"> </w:t>
      </w:r>
      <w:r w:rsidRPr="00B329F5">
        <w:rPr>
          <w:sz w:val="26"/>
        </w:rPr>
        <w:t>15 U</w:t>
      </w:r>
      <w:r>
        <w:rPr>
          <w:sz w:val="26"/>
        </w:rPr>
        <w:t>.S.C. 717g, 717i, and 717</w:t>
      </w:r>
      <w:r>
        <w:rPr>
          <w:i/>
          <w:iCs/>
          <w:sz w:val="26"/>
        </w:rPr>
        <w:t>o</w:t>
      </w:r>
    </w:p>
  </w:footnote>
  <w:footnote w:id="5">
    <w:p w:rsidR="005164A3" w:rsidRPr="00B329F5" w:rsidP="005164A3" w14:paraId="18597D65" w14:textId="77777777">
      <w:pPr>
        <w:pStyle w:val="FootnoteText"/>
        <w:ind w:firstLine="720"/>
        <w:rPr>
          <w:sz w:val="26"/>
        </w:rPr>
      </w:pPr>
      <w:r w:rsidRPr="007569A6">
        <w:rPr>
          <w:rStyle w:val="FootnoteReference"/>
        </w:rPr>
        <w:footnoteRef/>
      </w:r>
      <w:r w:rsidRPr="007569A6">
        <w:rPr>
          <w:sz w:val="26"/>
        </w:rPr>
        <w:t xml:space="preserve"> </w:t>
      </w:r>
      <w:r>
        <w:rPr>
          <w:sz w:val="26"/>
        </w:rPr>
        <w:t>49 U.S.C. 60502</w:t>
      </w:r>
    </w:p>
  </w:footnote>
  <w:footnote w:id="6">
    <w:p w:rsidR="00603064" w:rsidRPr="007569A6" w14:paraId="1077A0C6" w14:textId="1AC531D3">
      <w:pPr>
        <w:pStyle w:val="FootnoteText"/>
        <w:rPr>
          <w:sz w:val="26"/>
          <w:szCs w:val="26"/>
        </w:rPr>
      </w:pPr>
      <w:r w:rsidRPr="007569A6">
        <w:rPr>
          <w:sz w:val="26"/>
          <w:szCs w:val="26"/>
        </w:rPr>
        <w:t xml:space="preserve">       </w:t>
      </w:r>
      <w:r w:rsidRPr="007569A6">
        <w:rPr>
          <w:rStyle w:val="FootnoteReference"/>
        </w:rPr>
        <w:footnoteRef/>
      </w:r>
      <w:r w:rsidRPr="007569A6">
        <w:rPr>
          <w:sz w:val="26"/>
          <w:szCs w:val="26"/>
        </w:rPr>
        <w:t xml:space="preserve"> Burden is defined as the total time, effort, or financial resources expended by persons to generate, maintain, retain, or disclose or provide information to or for a federal agency.  See 5 CFR 1320 for additional information on the definition of information collection burden.</w:t>
      </w:r>
    </w:p>
  </w:footnote>
  <w:footnote w:id="7">
    <w:p w:rsidR="005C06C7" w:rsidRPr="007569A6" w:rsidP="00DF3EE4" w14:paraId="21979837" w14:textId="2DB2BBF5">
      <w:pPr>
        <w:pStyle w:val="FootnoteText"/>
        <w:rPr>
          <w:sz w:val="26"/>
          <w:szCs w:val="26"/>
        </w:rPr>
      </w:pPr>
      <w:r w:rsidRPr="007569A6">
        <w:rPr>
          <w:sz w:val="26"/>
          <w:szCs w:val="26"/>
        </w:rPr>
        <w:t xml:space="preserve">       </w:t>
      </w:r>
      <w:r w:rsidRPr="007569A6">
        <w:rPr>
          <w:rStyle w:val="FootnoteReference"/>
          <w:bCs/>
        </w:rPr>
        <w:footnoteRef/>
      </w:r>
      <w:r w:rsidRPr="007569A6">
        <w:rPr>
          <w:sz w:val="26"/>
          <w:szCs w:val="26"/>
        </w:rPr>
        <w:t>FERC estimates that industry hourly costs are similar to the Commission FY 2026 average salary plus benefits of $213,003 per year (or $102/hour).</w:t>
      </w:r>
    </w:p>
  </w:footnote>
  <w:footnote w:id="8">
    <w:p w:rsidR="001E7BA3" w:rsidRPr="007569A6" w14:paraId="6FE077B2" w14:textId="72CC1F52">
      <w:pPr>
        <w:pStyle w:val="FootnoteText"/>
        <w:rPr>
          <w:sz w:val="26"/>
          <w:szCs w:val="26"/>
        </w:rPr>
      </w:pPr>
      <w:r w:rsidRPr="007569A6">
        <w:rPr>
          <w:bCs/>
          <w:sz w:val="26"/>
          <w:szCs w:val="26"/>
        </w:rPr>
        <w:t xml:space="preserve">       </w:t>
      </w:r>
      <w:r w:rsidRPr="007569A6">
        <w:rPr>
          <w:rStyle w:val="FootnoteReference"/>
          <w:bCs/>
        </w:rPr>
        <w:footnoteRef/>
      </w:r>
      <w:r w:rsidRPr="007569A6" w:rsidR="2273CE96">
        <w:rPr>
          <w:bCs/>
          <w:sz w:val="26"/>
          <w:szCs w:val="26"/>
        </w:rPr>
        <w:t xml:space="preserve"> </w:t>
      </w:r>
      <w:r w:rsidRPr="007569A6" w:rsidR="0065569C">
        <w:rPr>
          <w:sz w:val="26"/>
          <w:szCs w:val="26"/>
        </w:rPr>
        <w:t xml:space="preserve">The estimate of annual burden incorporates an additional 0.5 </w:t>
      </w:r>
      <w:r w:rsidRPr="007569A6" w:rsidR="0065569C">
        <w:rPr>
          <w:sz w:val="26"/>
          <w:szCs w:val="26"/>
        </w:rPr>
        <w:t>hr</w:t>
      </w:r>
      <w:r w:rsidRPr="007569A6" w:rsidR="0065569C">
        <w:rPr>
          <w:sz w:val="26"/>
          <w:szCs w:val="26"/>
        </w:rPr>
        <w:t xml:space="preserve"> per respondent annual estimated burden approved by the Commission in </w:t>
      </w:r>
      <w:r w:rsidRPr="007569A6" w:rsidR="0065569C">
        <w:rPr>
          <w:i/>
          <w:iCs/>
          <w:sz w:val="26"/>
          <w:szCs w:val="26"/>
        </w:rPr>
        <w:t>Policy Statement on</w:t>
      </w:r>
      <w:r w:rsidRPr="007569A6" w:rsidR="0065569C">
        <w:rPr>
          <w:sz w:val="26"/>
          <w:szCs w:val="26"/>
        </w:rPr>
        <w:t xml:space="preserve"> </w:t>
      </w:r>
      <w:r w:rsidRPr="007569A6" w:rsidR="0065569C">
        <w:rPr>
          <w:i/>
          <w:iCs/>
          <w:sz w:val="26"/>
          <w:szCs w:val="26"/>
        </w:rPr>
        <w:t>Project-Area Wage Standards in the Labor Cost Component of Cost-of-Service Rates</w:t>
      </w:r>
      <w:r w:rsidRPr="007569A6" w:rsidR="0065569C">
        <w:rPr>
          <w:sz w:val="26"/>
          <w:szCs w:val="26"/>
        </w:rPr>
        <w:t>, 186 FERC ¶ 61,190 at P 20 (2024) (“… entities seeking to</w:t>
      </w:r>
      <w:r w:rsidRPr="0065569C" w:rsidR="0065569C">
        <w:t xml:space="preserve"> </w:t>
      </w:r>
      <w:r w:rsidRPr="007569A6" w:rsidR="0065569C">
        <w:rPr>
          <w:sz w:val="26"/>
          <w:szCs w:val="26"/>
        </w:rPr>
        <w:t xml:space="preserve">include project-area wage standards in cost-of-service rates should maintain and preserve records, including books of account or records for work performed by employees, contractors or subcontractors, sufficient to demonstrate that claimed project-area wages were actually paid.”).  The 60-day Federal Register Notice correctly stated that there are no proposed changes to the record keeping requirements.  However, the additional burden associated with the previously approved Project Area Wages Record Retention was inadvertently omitted from the 60-day Federal Register Notice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43B63" w:rsidP="00810D18" w14:paraId="1230597F" w14:textId="5E54C6D8">
    <w:pPr>
      <w:pStyle w:val="Header"/>
    </w:pPr>
    <w:r>
      <w:t xml:space="preserve">Docket No. </w:t>
    </w:r>
    <w:r w:rsidRPr="006E6B3D" w:rsidR="006E6B3D">
      <w:t>IC26-32-000</w:t>
    </w:r>
    <w:r>
      <w:tab/>
    </w:r>
    <w:sdt>
      <w:sdtPr>
        <w:id w:val="15158862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8</w:t>
        </w:r>
        <w:r>
          <w:rPr>
            <w:noProof/>
          </w:rPr>
          <w:fldChar w:fldCharType="end"/>
        </w:r>
      </w:sdtContent>
    </w:sdt>
  </w:p>
  <w:p w:rsidR="00D43B63" w14:paraId="10170C13" w14:textId="76D2DB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66F0CC7"/>
    <w:multiLevelType w:val="hybridMultilevel"/>
    <w:tmpl w:val="A6B62E0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AA87870"/>
    <w:multiLevelType w:val="hybridMultilevel"/>
    <w:tmpl w:val="4232D67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
    <w:nsid w:val="12D76AFC"/>
    <w:multiLevelType w:val="hybridMultilevel"/>
    <w:tmpl w:val="0B32E7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10F02A8"/>
    <w:multiLevelType w:val="hybridMultilevel"/>
    <w:tmpl w:val="1F3240CC"/>
    <w:lvl w:ilvl="0">
      <w:start w:val="1"/>
      <w:numFmt w:val="bullet"/>
      <w:lvlText w:val=""/>
      <w:lvlJc w:val="left"/>
      <w:pPr>
        <w:tabs>
          <w:tab w:val="num" w:pos="1500"/>
        </w:tabs>
        <w:ind w:left="1500" w:hanging="360"/>
      </w:pPr>
      <w:rPr>
        <w:rFonts w:ascii="Symbol" w:hAnsi="Symbol" w:hint="default"/>
        <w:color w:val="auto"/>
      </w:rPr>
    </w:lvl>
    <w:lvl w:ilvl="1">
      <w:start w:val="1"/>
      <w:numFmt w:val="bullet"/>
      <w:lvlText w:val="o"/>
      <w:lvlJc w:val="left"/>
      <w:pPr>
        <w:tabs>
          <w:tab w:val="num" w:pos="1500"/>
        </w:tabs>
        <w:ind w:left="1500" w:hanging="360"/>
      </w:pPr>
      <w:rPr>
        <w:rFonts w:ascii="Courier New" w:hAnsi="Courier New" w:cs="Courier New" w:hint="default"/>
      </w:rPr>
    </w:lvl>
    <w:lvl w:ilvl="2" w:tentative="1">
      <w:start w:val="1"/>
      <w:numFmt w:val="bullet"/>
      <w:lvlText w:val=""/>
      <w:lvlJc w:val="left"/>
      <w:pPr>
        <w:tabs>
          <w:tab w:val="num" w:pos="2220"/>
        </w:tabs>
        <w:ind w:left="2220" w:hanging="360"/>
      </w:pPr>
      <w:rPr>
        <w:rFonts w:ascii="Wingdings" w:hAnsi="Wingdings" w:hint="default"/>
      </w:rPr>
    </w:lvl>
    <w:lvl w:ilvl="3" w:tentative="1">
      <w:start w:val="1"/>
      <w:numFmt w:val="bullet"/>
      <w:lvlText w:val=""/>
      <w:lvlJc w:val="left"/>
      <w:pPr>
        <w:tabs>
          <w:tab w:val="num" w:pos="2940"/>
        </w:tabs>
        <w:ind w:left="2940" w:hanging="360"/>
      </w:pPr>
      <w:rPr>
        <w:rFonts w:ascii="Symbol" w:hAnsi="Symbol" w:hint="default"/>
      </w:rPr>
    </w:lvl>
    <w:lvl w:ilvl="4" w:tentative="1">
      <w:start w:val="1"/>
      <w:numFmt w:val="bullet"/>
      <w:lvlText w:val="o"/>
      <w:lvlJc w:val="left"/>
      <w:pPr>
        <w:tabs>
          <w:tab w:val="num" w:pos="3660"/>
        </w:tabs>
        <w:ind w:left="3660" w:hanging="360"/>
      </w:pPr>
      <w:rPr>
        <w:rFonts w:ascii="Courier New" w:hAnsi="Courier New" w:cs="Courier New" w:hint="default"/>
      </w:rPr>
    </w:lvl>
    <w:lvl w:ilvl="5" w:tentative="1">
      <w:start w:val="1"/>
      <w:numFmt w:val="bullet"/>
      <w:lvlText w:val=""/>
      <w:lvlJc w:val="left"/>
      <w:pPr>
        <w:tabs>
          <w:tab w:val="num" w:pos="4380"/>
        </w:tabs>
        <w:ind w:left="4380" w:hanging="360"/>
      </w:pPr>
      <w:rPr>
        <w:rFonts w:ascii="Wingdings" w:hAnsi="Wingdings" w:hint="default"/>
      </w:rPr>
    </w:lvl>
    <w:lvl w:ilvl="6" w:tentative="1">
      <w:start w:val="1"/>
      <w:numFmt w:val="bullet"/>
      <w:lvlText w:val=""/>
      <w:lvlJc w:val="left"/>
      <w:pPr>
        <w:tabs>
          <w:tab w:val="num" w:pos="5100"/>
        </w:tabs>
        <w:ind w:left="5100" w:hanging="360"/>
      </w:pPr>
      <w:rPr>
        <w:rFonts w:ascii="Symbol" w:hAnsi="Symbol" w:hint="default"/>
      </w:rPr>
    </w:lvl>
    <w:lvl w:ilvl="7" w:tentative="1">
      <w:start w:val="1"/>
      <w:numFmt w:val="bullet"/>
      <w:lvlText w:val="o"/>
      <w:lvlJc w:val="left"/>
      <w:pPr>
        <w:tabs>
          <w:tab w:val="num" w:pos="5820"/>
        </w:tabs>
        <w:ind w:left="5820" w:hanging="360"/>
      </w:pPr>
      <w:rPr>
        <w:rFonts w:ascii="Courier New" w:hAnsi="Courier New" w:cs="Courier New" w:hint="default"/>
      </w:rPr>
    </w:lvl>
    <w:lvl w:ilvl="8" w:tentative="1">
      <w:start w:val="1"/>
      <w:numFmt w:val="bullet"/>
      <w:lvlText w:val=""/>
      <w:lvlJc w:val="left"/>
      <w:pPr>
        <w:tabs>
          <w:tab w:val="num" w:pos="6540"/>
        </w:tabs>
        <w:ind w:left="6540" w:hanging="360"/>
      </w:pPr>
      <w:rPr>
        <w:rFonts w:ascii="Wingdings" w:hAnsi="Wingdings" w:hint="default"/>
      </w:rPr>
    </w:lvl>
  </w:abstractNum>
  <w:abstractNum w:abstractNumId="4">
    <w:nsid w:val="33156D43"/>
    <w:multiLevelType w:val="multilevel"/>
    <w:tmpl w:val="B140707E"/>
    <w:lvl w:ilvl="0">
      <w:start w:val="1"/>
      <w:numFmt w:val="decimal"/>
      <w:pStyle w:val="ListContinue"/>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5">
    <w:nsid w:val="339764E2"/>
    <w:multiLevelType w:val="hybridMultilevel"/>
    <w:tmpl w:val="DC56724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A7A27C9"/>
    <w:multiLevelType w:val="multilevel"/>
    <w:tmpl w:val="F0FEE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50546A19"/>
    <w:multiLevelType w:val="hybridMultilevel"/>
    <w:tmpl w:val="3088192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9B22133"/>
    <w:multiLevelType w:val="multilevel"/>
    <w:tmpl w:val="A7982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1A92585"/>
    <w:multiLevelType w:val="hybridMultilevel"/>
    <w:tmpl w:val="37181A6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3779730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57482997">
    <w:abstractNumId w:val="3"/>
  </w:num>
  <w:num w:numId="3" w16cid:durableId="135531876">
    <w:abstractNumId w:val="3"/>
  </w:num>
  <w:num w:numId="4" w16cid:durableId="1313364441">
    <w:abstractNumId w:val="2"/>
  </w:num>
  <w:num w:numId="5" w16cid:durableId="863447668">
    <w:abstractNumId w:val="9"/>
  </w:num>
  <w:num w:numId="6" w16cid:durableId="1806115115">
    <w:abstractNumId w:val="0"/>
  </w:num>
  <w:num w:numId="7" w16cid:durableId="1561406108">
    <w:abstractNumId w:val="7"/>
  </w:num>
  <w:num w:numId="8" w16cid:durableId="1017267836">
    <w:abstractNumId w:val="5"/>
  </w:num>
  <w:num w:numId="9" w16cid:durableId="296643655">
    <w:abstractNumId w:val="8"/>
  </w:num>
  <w:num w:numId="10" w16cid:durableId="1132404113">
    <w:abstractNumId w:val="6"/>
  </w:num>
  <w:num w:numId="11" w16cid:durableId="18471337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2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B16"/>
    <w:rsid w:val="00006D4B"/>
    <w:rsid w:val="000122E1"/>
    <w:rsid w:val="00012825"/>
    <w:rsid w:val="00016EDB"/>
    <w:rsid w:val="00023EA9"/>
    <w:rsid w:val="000241AE"/>
    <w:rsid w:val="0002526A"/>
    <w:rsid w:val="0003365C"/>
    <w:rsid w:val="00034C49"/>
    <w:rsid w:val="000459B6"/>
    <w:rsid w:val="00051A08"/>
    <w:rsid w:val="00053B4B"/>
    <w:rsid w:val="0005508B"/>
    <w:rsid w:val="00056C5D"/>
    <w:rsid w:val="00062427"/>
    <w:rsid w:val="00063201"/>
    <w:rsid w:val="000861D3"/>
    <w:rsid w:val="000963FD"/>
    <w:rsid w:val="00096CAD"/>
    <w:rsid w:val="000A0250"/>
    <w:rsid w:val="000A62CC"/>
    <w:rsid w:val="000A7E68"/>
    <w:rsid w:val="000C55F8"/>
    <w:rsid w:val="000D04A3"/>
    <w:rsid w:val="000E2568"/>
    <w:rsid w:val="000F0B0E"/>
    <w:rsid w:val="0010087B"/>
    <w:rsid w:val="0010677E"/>
    <w:rsid w:val="00112C9F"/>
    <w:rsid w:val="00122CFF"/>
    <w:rsid w:val="00123773"/>
    <w:rsid w:val="001240C7"/>
    <w:rsid w:val="0013654A"/>
    <w:rsid w:val="001479DF"/>
    <w:rsid w:val="0015578A"/>
    <w:rsid w:val="00155C71"/>
    <w:rsid w:val="00155DE9"/>
    <w:rsid w:val="00156BBB"/>
    <w:rsid w:val="001600DF"/>
    <w:rsid w:val="00171725"/>
    <w:rsid w:val="0018119B"/>
    <w:rsid w:val="00181BF7"/>
    <w:rsid w:val="00191376"/>
    <w:rsid w:val="00192CDE"/>
    <w:rsid w:val="00194F90"/>
    <w:rsid w:val="001A0B92"/>
    <w:rsid w:val="001A6AD6"/>
    <w:rsid w:val="001B78B8"/>
    <w:rsid w:val="001D367A"/>
    <w:rsid w:val="001D756E"/>
    <w:rsid w:val="001E6510"/>
    <w:rsid w:val="001E7BA3"/>
    <w:rsid w:val="001F47FC"/>
    <w:rsid w:val="001F4EA4"/>
    <w:rsid w:val="00200437"/>
    <w:rsid w:val="002023A4"/>
    <w:rsid w:val="00206713"/>
    <w:rsid w:val="002138E6"/>
    <w:rsid w:val="00216484"/>
    <w:rsid w:val="00220844"/>
    <w:rsid w:val="00224BF2"/>
    <w:rsid w:val="0023795C"/>
    <w:rsid w:val="00254C99"/>
    <w:rsid w:val="00266F83"/>
    <w:rsid w:val="0027045E"/>
    <w:rsid w:val="00271AC3"/>
    <w:rsid w:val="00272361"/>
    <w:rsid w:val="0027452E"/>
    <w:rsid w:val="00291796"/>
    <w:rsid w:val="00293D56"/>
    <w:rsid w:val="002B1F84"/>
    <w:rsid w:val="002B4E07"/>
    <w:rsid w:val="002B531B"/>
    <w:rsid w:val="002B7AA8"/>
    <w:rsid w:val="002C2BB8"/>
    <w:rsid w:val="002D5237"/>
    <w:rsid w:val="002E0351"/>
    <w:rsid w:val="002F24E8"/>
    <w:rsid w:val="002F3E94"/>
    <w:rsid w:val="002F697A"/>
    <w:rsid w:val="00302F75"/>
    <w:rsid w:val="00303717"/>
    <w:rsid w:val="003060F0"/>
    <w:rsid w:val="003062C2"/>
    <w:rsid w:val="00310EFC"/>
    <w:rsid w:val="00311D90"/>
    <w:rsid w:val="003149BC"/>
    <w:rsid w:val="00315A73"/>
    <w:rsid w:val="003321DB"/>
    <w:rsid w:val="00334F14"/>
    <w:rsid w:val="00337BA7"/>
    <w:rsid w:val="0034195C"/>
    <w:rsid w:val="00343A03"/>
    <w:rsid w:val="00344A6B"/>
    <w:rsid w:val="00347056"/>
    <w:rsid w:val="00351355"/>
    <w:rsid w:val="00361371"/>
    <w:rsid w:val="0036150C"/>
    <w:rsid w:val="00363638"/>
    <w:rsid w:val="00363F79"/>
    <w:rsid w:val="003673EC"/>
    <w:rsid w:val="00376525"/>
    <w:rsid w:val="0038431F"/>
    <w:rsid w:val="003960E0"/>
    <w:rsid w:val="003A1A72"/>
    <w:rsid w:val="003A3189"/>
    <w:rsid w:val="003B0C81"/>
    <w:rsid w:val="003B2B7A"/>
    <w:rsid w:val="003B3B06"/>
    <w:rsid w:val="003C3E7A"/>
    <w:rsid w:val="003C5CBE"/>
    <w:rsid w:val="003C63BD"/>
    <w:rsid w:val="003C7BC3"/>
    <w:rsid w:val="003E44AD"/>
    <w:rsid w:val="003F1DD2"/>
    <w:rsid w:val="003F2CE4"/>
    <w:rsid w:val="003F5968"/>
    <w:rsid w:val="004003B0"/>
    <w:rsid w:val="00406999"/>
    <w:rsid w:val="0040718A"/>
    <w:rsid w:val="00411E59"/>
    <w:rsid w:val="00425DA2"/>
    <w:rsid w:val="00426898"/>
    <w:rsid w:val="00431B43"/>
    <w:rsid w:val="00443282"/>
    <w:rsid w:val="0044338D"/>
    <w:rsid w:val="00454780"/>
    <w:rsid w:val="0045734B"/>
    <w:rsid w:val="004609EE"/>
    <w:rsid w:val="00466D3F"/>
    <w:rsid w:val="00470B7D"/>
    <w:rsid w:val="00474345"/>
    <w:rsid w:val="004759C4"/>
    <w:rsid w:val="00480F2A"/>
    <w:rsid w:val="00485A51"/>
    <w:rsid w:val="004879AA"/>
    <w:rsid w:val="0049480F"/>
    <w:rsid w:val="00496798"/>
    <w:rsid w:val="004A3802"/>
    <w:rsid w:val="004B7B57"/>
    <w:rsid w:val="004C07D5"/>
    <w:rsid w:val="004C70C8"/>
    <w:rsid w:val="004C77EF"/>
    <w:rsid w:val="004D27A2"/>
    <w:rsid w:val="004E4EAD"/>
    <w:rsid w:val="004F26DA"/>
    <w:rsid w:val="004F463A"/>
    <w:rsid w:val="004F5123"/>
    <w:rsid w:val="005001BF"/>
    <w:rsid w:val="00513DA8"/>
    <w:rsid w:val="00514B50"/>
    <w:rsid w:val="00516493"/>
    <w:rsid w:val="005164A3"/>
    <w:rsid w:val="0054073B"/>
    <w:rsid w:val="0054746C"/>
    <w:rsid w:val="00561E0C"/>
    <w:rsid w:val="005648E2"/>
    <w:rsid w:val="00566C57"/>
    <w:rsid w:val="0058081B"/>
    <w:rsid w:val="00585F73"/>
    <w:rsid w:val="005879EA"/>
    <w:rsid w:val="00593CAC"/>
    <w:rsid w:val="005A0148"/>
    <w:rsid w:val="005A2F24"/>
    <w:rsid w:val="005A3F56"/>
    <w:rsid w:val="005A7903"/>
    <w:rsid w:val="005A7C58"/>
    <w:rsid w:val="005B4DA4"/>
    <w:rsid w:val="005B5863"/>
    <w:rsid w:val="005C0683"/>
    <w:rsid w:val="005C06C7"/>
    <w:rsid w:val="005C4D29"/>
    <w:rsid w:val="005C6D4E"/>
    <w:rsid w:val="005D0966"/>
    <w:rsid w:val="005D16A1"/>
    <w:rsid w:val="005D3D6C"/>
    <w:rsid w:val="005E2B73"/>
    <w:rsid w:val="005E6D8A"/>
    <w:rsid w:val="005F3DAA"/>
    <w:rsid w:val="005F726F"/>
    <w:rsid w:val="005F729D"/>
    <w:rsid w:val="00603064"/>
    <w:rsid w:val="006128A5"/>
    <w:rsid w:val="006144F3"/>
    <w:rsid w:val="0062085E"/>
    <w:rsid w:val="006315A3"/>
    <w:rsid w:val="00634374"/>
    <w:rsid w:val="006350F8"/>
    <w:rsid w:val="0063716C"/>
    <w:rsid w:val="006374BA"/>
    <w:rsid w:val="00637F43"/>
    <w:rsid w:val="00642602"/>
    <w:rsid w:val="00644A1B"/>
    <w:rsid w:val="006507D8"/>
    <w:rsid w:val="00650FA1"/>
    <w:rsid w:val="00651A58"/>
    <w:rsid w:val="0065294D"/>
    <w:rsid w:val="006536D8"/>
    <w:rsid w:val="00654BA4"/>
    <w:rsid w:val="0065569C"/>
    <w:rsid w:val="00656DF0"/>
    <w:rsid w:val="0065702C"/>
    <w:rsid w:val="00665317"/>
    <w:rsid w:val="00666A01"/>
    <w:rsid w:val="00670D27"/>
    <w:rsid w:val="00680D78"/>
    <w:rsid w:val="00692352"/>
    <w:rsid w:val="00695E65"/>
    <w:rsid w:val="006963BC"/>
    <w:rsid w:val="006976EE"/>
    <w:rsid w:val="00697A82"/>
    <w:rsid w:val="006A34AE"/>
    <w:rsid w:val="006A423E"/>
    <w:rsid w:val="006A6633"/>
    <w:rsid w:val="006B7875"/>
    <w:rsid w:val="006C5A79"/>
    <w:rsid w:val="006C6B0C"/>
    <w:rsid w:val="006D113C"/>
    <w:rsid w:val="006D552E"/>
    <w:rsid w:val="006D6A0F"/>
    <w:rsid w:val="006E10F4"/>
    <w:rsid w:val="006E214B"/>
    <w:rsid w:val="006E31F8"/>
    <w:rsid w:val="006E4CA8"/>
    <w:rsid w:val="006E6B3D"/>
    <w:rsid w:val="006E75AA"/>
    <w:rsid w:val="006E7CBB"/>
    <w:rsid w:val="006F220E"/>
    <w:rsid w:val="006F3647"/>
    <w:rsid w:val="006F4188"/>
    <w:rsid w:val="007100AB"/>
    <w:rsid w:val="00714F57"/>
    <w:rsid w:val="00727594"/>
    <w:rsid w:val="00727C5E"/>
    <w:rsid w:val="007349A2"/>
    <w:rsid w:val="007356B8"/>
    <w:rsid w:val="00741C80"/>
    <w:rsid w:val="0074219E"/>
    <w:rsid w:val="0074465D"/>
    <w:rsid w:val="007446E7"/>
    <w:rsid w:val="00745F59"/>
    <w:rsid w:val="0075009F"/>
    <w:rsid w:val="00754526"/>
    <w:rsid w:val="007569A6"/>
    <w:rsid w:val="007731D6"/>
    <w:rsid w:val="00777183"/>
    <w:rsid w:val="00782ACA"/>
    <w:rsid w:val="007855A4"/>
    <w:rsid w:val="007900FF"/>
    <w:rsid w:val="007916DB"/>
    <w:rsid w:val="00795C21"/>
    <w:rsid w:val="007B588C"/>
    <w:rsid w:val="007C1916"/>
    <w:rsid w:val="007C6866"/>
    <w:rsid w:val="007C6AC2"/>
    <w:rsid w:val="007C729C"/>
    <w:rsid w:val="007D3D19"/>
    <w:rsid w:val="007E2F40"/>
    <w:rsid w:val="007F0E3E"/>
    <w:rsid w:val="007F3220"/>
    <w:rsid w:val="007F64F2"/>
    <w:rsid w:val="008018FF"/>
    <w:rsid w:val="00803CA2"/>
    <w:rsid w:val="00807CAC"/>
    <w:rsid w:val="00810D18"/>
    <w:rsid w:val="008115BF"/>
    <w:rsid w:val="00812B30"/>
    <w:rsid w:val="00812DF3"/>
    <w:rsid w:val="00821DAB"/>
    <w:rsid w:val="00822851"/>
    <w:rsid w:val="00824D81"/>
    <w:rsid w:val="0083107B"/>
    <w:rsid w:val="00836DF9"/>
    <w:rsid w:val="0084158A"/>
    <w:rsid w:val="00847229"/>
    <w:rsid w:val="00853ABC"/>
    <w:rsid w:val="0085755E"/>
    <w:rsid w:val="0087215C"/>
    <w:rsid w:val="00872AB9"/>
    <w:rsid w:val="00881405"/>
    <w:rsid w:val="0089069F"/>
    <w:rsid w:val="00895DA2"/>
    <w:rsid w:val="00897359"/>
    <w:rsid w:val="008A020E"/>
    <w:rsid w:val="008B6E06"/>
    <w:rsid w:val="008C572B"/>
    <w:rsid w:val="008D25B7"/>
    <w:rsid w:val="008D300A"/>
    <w:rsid w:val="008D5479"/>
    <w:rsid w:val="008D5932"/>
    <w:rsid w:val="008D6BCA"/>
    <w:rsid w:val="008D7D0A"/>
    <w:rsid w:val="008E0B8C"/>
    <w:rsid w:val="008E0DF5"/>
    <w:rsid w:val="008E3177"/>
    <w:rsid w:val="008E3273"/>
    <w:rsid w:val="008E5123"/>
    <w:rsid w:val="008E7400"/>
    <w:rsid w:val="00900A3E"/>
    <w:rsid w:val="00901C05"/>
    <w:rsid w:val="00913234"/>
    <w:rsid w:val="009179E9"/>
    <w:rsid w:val="00936AC7"/>
    <w:rsid w:val="00937284"/>
    <w:rsid w:val="00940C0F"/>
    <w:rsid w:val="00944E55"/>
    <w:rsid w:val="0095311D"/>
    <w:rsid w:val="00954CCB"/>
    <w:rsid w:val="009576B6"/>
    <w:rsid w:val="00957DCA"/>
    <w:rsid w:val="00970D57"/>
    <w:rsid w:val="009744C8"/>
    <w:rsid w:val="00975C8A"/>
    <w:rsid w:val="0097712A"/>
    <w:rsid w:val="00981886"/>
    <w:rsid w:val="00990FEC"/>
    <w:rsid w:val="0099616F"/>
    <w:rsid w:val="009A1B08"/>
    <w:rsid w:val="009A6E91"/>
    <w:rsid w:val="009A6EC3"/>
    <w:rsid w:val="009B372D"/>
    <w:rsid w:val="009B4450"/>
    <w:rsid w:val="009B747B"/>
    <w:rsid w:val="009C25C4"/>
    <w:rsid w:val="009C4A13"/>
    <w:rsid w:val="009D331A"/>
    <w:rsid w:val="009D73C4"/>
    <w:rsid w:val="009E0F58"/>
    <w:rsid w:val="009E5557"/>
    <w:rsid w:val="009E66F8"/>
    <w:rsid w:val="009F7401"/>
    <w:rsid w:val="009F7DE3"/>
    <w:rsid w:val="00A038F9"/>
    <w:rsid w:val="00A15605"/>
    <w:rsid w:val="00A1585A"/>
    <w:rsid w:val="00A209C2"/>
    <w:rsid w:val="00A2534D"/>
    <w:rsid w:val="00A2604E"/>
    <w:rsid w:val="00A40EEA"/>
    <w:rsid w:val="00A43A4A"/>
    <w:rsid w:val="00A43B81"/>
    <w:rsid w:val="00A45E48"/>
    <w:rsid w:val="00A507F0"/>
    <w:rsid w:val="00A56950"/>
    <w:rsid w:val="00A664DF"/>
    <w:rsid w:val="00A713D0"/>
    <w:rsid w:val="00A72814"/>
    <w:rsid w:val="00A759B3"/>
    <w:rsid w:val="00A8044F"/>
    <w:rsid w:val="00A82A29"/>
    <w:rsid w:val="00A8332B"/>
    <w:rsid w:val="00A8344E"/>
    <w:rsid w:val="00A84C0C"/>
    <w:rsid w:val="00A8690F"/>
    <w:rsid w:val="00A86D9E"/>
    <w:rsid w:val="00AA0D23"/>
    <w:rsid w:val="00AA4050"/>
    <w:rsid w:val="00AA516A"/>
    <w:rsid w:val="00AA5B0E"/>
    <w:rsid w:val="00AB4DBF"/>
    <w:rsid w:val="00AC41F5"/>
    <w:rsid w:val="00AC66FD"/>
    <w:rsid w:val="00AC750B"/>
    <w:rsid w:val="00AC77B8"/>
    <w:rsid w:val="00AD4128"/>
    <w:rsid w:val="00AE1F12"/>
    <w:rsid w:val="00AE3A78"/>
    <w:rsid w:val="00AE4155"/>
    <w:rsid w:val="00AE4B7C"/>
    <w:rsid w:val="00AF349B"/>
    <w:rsid w:val="00B01B16"/>
    <w:rsid w:val="00B13EE3"/>
    <w:rsid w:val="00B22DCB"/>
    <w:rsid w:val="00B2302C"/>
    <w:rsid w:val="00B2382E"/>
    <w:rsid w:val="00B257E5"/>
    <w:rsid w:val="00B318C9"/>
    <w:rsid w:val="00B329F5"/>
    <w:rsid w:val="00B34A0B"/>
    <w:rsid w:val="00B447D7"/>
    <w:rsid w:val="00B46E93"/>
    <w:rsid w:val="00B46F03"/>
    <w:rsid w:val="00B5066A"/>
    <w:rsid w:val="00B55B8C"/>
    <w:rsid w:val="00B56882"/>
    <w:rsid w:val="00B6394D"/>
    <w:rsid w:val="00B65A09"/>
    <w:rsid w:val="00B67EED"/>
    <w:rsid w:val="00B75AD7"/>
    <w:rsid w:val="00B75D41"/>
    <w:rsid w:val="00B76A1F"/>
    <w:rsid w:val="00B82F8C"/>
    <w:rsid w:val="00B95021"/>
    <w:rsid w:val="00B961C3"/>
    <w:rsid w:val="00B97EBA"/>
    <w:rsid w:val="00BA0FBC"/>
    <w:rsid w:val="00BA218C"/>
    <w:rsid w:val="00BA5479"/>
    <w:rsid w:val="00BB179A"/>
    <w:rsid w:val="00BB679A"/>
    <w:rsid w:val="00BB7D82"/>
    <w:rsid w:val="00BC200B"/>
    <w:rsid w:val="00BD45D3"/>
    <w:rsid w:val="00BD605B"/>
    <w:rsid w:val="00BD74AE"/>
    <w:rsid w:val="00BE31A8"/>
    <w:rsid w:val="00BE3392"/>
    <w:rsid w:val="00BE3FE7"/>
    <w:rsid w:val="00BF29D8"/>
    <w:rsid w:val="00BF2D74"/>
    <w:rsid w:val="00BF38BC"/>
    <w:rsid w:val="00BF4CC8"/>
    <w:rsid w:val="00BF7AC7"/>
    <w:rsid w:val="00C0570E"/>
    <w:rsid w:val="00C1124F"/>
    <w:rsid w:val="00C314B1"/>
    <w:rsid w:val="00C37BFF"/>
    <w:rsid w:val="00C43746"/>
    <w:rsid w:val="00C43FFB"/>
    <w:rsid w:val="00C44372"/>
    <w:rsid w:val="00C511F5"/>
    <w:rsid w:val="00C51458"/>
    <w:rsid w:val="00C53580"/>
    <w:rsid w:val="00C53600"/>
    <w:rsid w:val="00C55838"/>
    <w:rsid w:val="00C55F30"/>
    <w:rsid w:val="00C728C5"/>
    <w:rsid w:val="00C77EF7"/>
    <w:rsid w:val="00C81295"/>
    <w:rsid w:val="00C81A97"/>
    <w:rsid w:val="00C820F1"/>
    <w:rsid w:val="00C85222"/>
    <w:rsid w:val="00C91512"/>
    <w:rsid w:val="00CA6636"/>
    <w:rsid w:val="00CA6D76"/>
    <w:rsid w:val="00CB3A9B"/>
    <w:rsid w:val="00CB7447"/>
    <w:rsid w:val="00CB7448"/>
    <w:rsid w:val="00CB769C"/>
    <w:rsid w:val="00CC2E44"/>
    <w:rsid w:val="00CC431F"/>
    <w:rsid w:val="00CD37C7"/>
    <w:rsid w:val="00CD57EB"/>
    <w:rsid w:val="00CD5C97"/>
    <w:rsid w:val="00CD786C"/>
    <w:rsid w:val="00CD7F82"/>
    <w:rsid w:val="00CE1314"/>
    <w:rsid w:val="00CE3598"/>
    <w:rsid w:val="00CE64F2"/>
    <w:rsid w:val="00CF2BFC"/>
    <w:rsid w:val="00CF4753"/>
    <w:rsid w:val="00CF71E0"/>
    <w:rsid w:val="00D0083B"/>
    <w:rsid w:val="00D112B2"/>
    <w:rsid w:val="00D12811"/>
    <w:rsid w:val="00D27585"/>
    <w:rsid w:val="00D40C9D"/>
    <w:rsid w:val="00D42209"/>
    <w:rsid w:val="00D43B63"/>
    <w:rsid w:val="00D44183"/>
    <w:rsid w:val="00D50830"/>
    <w:rsid w:val="00D54A0A"/>
    <w:rsid w:val="00D607F7"/>
    <w:rsid w:val="00D65D56"/>
    <w:rsid w:val="00D675AA"/>
    <w:rsid w:val="00D9761F"/>
    <w:rsid w:val="00DA529F"/>
    <w:rsid w:val="00DB1DCB"/>
    <w:rsid w:val="00DB3A7E"/>
    <w:rsid w:val="00DC5017"/>
    <w:rsid w:val="00DD18FF"/>
    <w:rsid w:val="00DD2ED3"/>
    <w:rsid w:val="00DD3ADA"/>
    <w:rsid w:val="00DD3CB0"/>
    <w:rsid w:val="00DD6298"/>
    <w:rsid w:val="00DD6566"/>
    <w:rsid w:val="00DD735D"/>
    <w:rsid w:val="00DD7F1B"/>
    <w:rsid w:val="00DE09FF"/>
    <w:rsid w:val="00DE641E"/>
    <w:rsid w:val="00DF16DE"/>
    <w:rsid w:val="00DF37BE"/>
    <w:rsid w:val="00DF3EE4"/>
    <w:rsid w:val="00E024B6"/>
    <w:rsid w:val="00E13A02"/>
    <w:rsid w:val="00E31680"/>
    <w:rsid w:val="00E34382"/>
    <w:rsid w:val="00E3662E"/>
    <w:rsid w:val="00E41DB9"/>
    <w:rsid w:val="00E655BE"/>
    <w:rsid w:val="00E73DFD"/>
    <w:rsid w:val="00E75CE9"/>
    <w:rsid w:val="00E762BB"/>
    <w:rsid w:val="00E77B33"/>
    <w:rsid w:val="00E808B6"/>
    <w:rsid w:val="00E8661B"/>
    <w:rsid w:val="00E91FD5"/>
    <w:rsid w:val="00E92E09"/>
    <w:rsid w:val="00EA6337"/>
    <w:rsid w:val="00EA689F"/>
    <w:rsid w:val="00EB119D"/>
    <w:rsid w:val="00EB3F9D"/>
    <w:rsid w:val="00EB749E"/>
    <w:rsid w:val="00EE0A1B"/>
    <w:rsid w:val="00EF1D00"/>
    <w:rsid w:val="00EF2866"/>
    <w:rsid w:val="00EF33BE"/>
    <w:rsid w:val="00F03484"/>
    <w:rsid w:val="00F0383C"/>
    <w:rsid w:val="00F05E8E"/>
    <w:rsid w:val="00F0669A"/>
    <w:rsid w:val="00F11631"/>
    <w:rsid w:val="00F12A43"/>
    <w:rsid w:val="00F23CC7"/>
    <w:rsid w:val="00F23E53"/>
    <w:rsid w:val="00F24AB0"/>
    <w:rsid w:val="00F309CB"/>
    <w:rsid w:val="00F33E2E"/>
    <w:rsid w:val="00F33E6F"/>
    <w:rsid w:val="00F44A0E"/>
    <w:rsid w:val="00F60C79"/>
    <w:rsid w:val="00F62A51"/>
    <w:rsid w:val="00F8646E"/>
    <w:rsid w:val="00F9675E"/>
    <w:rsid w:val="00FC3F00"/>
    <w:rsid w:val="00FC4585"/>
    <w:rsid w:val="00FD0C82"/>
    <w:rsid w:val="00FE4B8E"/>
    <w:rsid w:val="00FF1D71"/>
    <w:rsid w:val="00FF3FE9"/>
    <w:rsid w:val="02763CC9"/>
    <w:rsid w:val="030A35E3"/>
    <w:rsid w:val="0797690A"/>
    <w:rsid w:val="0BB83B34"/>
    <w:rsid w:val="1BE81E38"/>
    <w:rsid w:val="1F15AFF6"/>
    <w:rsid w:val="2273CE96"/>
    <w:rsid w:val="23928855"/>
    <w:rsid w:val="282EF14B"/>
    <w:rsid w:val="2C47BA9D"/>
    <w:rsid w:val="2D8E851C"/>
    <w:rsid w:val="2DDE45D9"/>
    <w:rsid w:val="38447911"/>
    <w:rsid w:val="3C245203"/>
    <w:rsid w:val="406C8409"/>
    <w:rsid w:val="42C12023"/>
    <w:rsid w:val="46D6826C"/>
    <w:rsid w:val="481B2733"/>
    <w:rsid w:val="5392797D"/>
    <w:rsid w:val="561A4EFD"/>
    <w:rsid w:val="590394CD"/>
    <w:rsid w:val="594F45F3"/>
    <w:rsid w:val="611104BC"/>
    <w:rsid w:val="61B714E2"/>
    <w:rsid w:val="63FA40EA"/>
    <w:rsid w:val="65956697"/>
    <w:rsid w:val="71858249"/>
    <w:rsid w:val="73027EE5"/>
    <w:rsid w:val="7A3705E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7C239FB7"/>
  <w15:docId w15:val="{95C0570F-68E7-44FC-9AC7-9BF71D743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01B16"/>
    <w:pPr>
      <w:spacing w:after="0" w:line="240" w:lineRule="auto"/>
    </w:pPr>
    <w:rPr>
      <w:rFonts w:ascii="Times New Roman" w:eastAsia="Times New Roman" w:hAnsi="Times New Roman" w:cs="Times New Roman"/>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ECG) Footnote Reference,Footnote Reference (EIS),Footnote reference (EA),Styl,Style 11,Style 12,Style 13,Style 15,Style 16,Style 17,Style 18,Style 19,Style 20,Style 28,Style 30,Style 7,Style 8,Style 9,fnr,fr,fr1,fr2,fr3,o,o1,o2,o3"/>
    <w:rsid w:val="00B01B16"/>
    <w:rPr>
      <w:rFonts w:ascii="Times New Roman" w:hAnsi="Times New Roman"/>
      <w:b/>
      <w:sz w:val="26"/>
      <w:szCs w:val="26"/>
      <w:vertAlign w:val="superscript"/>
    </w:rPr>
  </w:style>
  <w:style w:type="paragraph" w:styleId="FootnoteText">
    <w:name w:val="footnote text"/>
    <w:aliases w:val="Footnote Text Char Char,Footnote Text Char Char Char,Footnote Text Char1,Footnote Text Char1 Char,Footnote Text Char1 Char Char,Footnote Text Char1 Char1,Footnote Text Char2 Char,Footnote Text Char3,Footnote Text MRP,fn,fn1,fn3,fn4,ft"/>
    <w:basedOn w:val="Normal"/>
    <w:link w:val="FootnoteTextChar"/>
    <w:uiPriority w:val="99"/>
    <w:rsid w:val="00B01B16"/>
    <w:rPr>
      <w:sz w:val="22"/>
      <w:szCs w:val="20"/>
    </w:rPr>
  </w:style>
  <w:style w:type="character" w:customStyle="1" w:styleId="FootnoteTextChar">
    <w:name w:val="Footnote Text Char"/>
    <w:aliases w:val="Footnote Text Char Char Char Char,Footnote Text Char Char Char1,Footnote Text Char1 Char Char Char,Footnote Text Char1 Char Char1,Footnote Text Char1 Char1 Char,Footnote Text Char1 Char2,Footnote Text Char2 Char Char,fn Char,fn1 Char"/>
    <w:basedOn w:val="DefaultParagraphFont"/>
    <w:link w:val="FootnoteText"/>
    <w:uiPriority w:val="99"/>
    <w:rsid w:val="00B01B16"/>
    <w:rPr>
      <w:rFonts w:ascii="Times New Roman" w:eastAsia="Times New Roman" w:hAnsi="Times New Roman" w:cs="Times New Roman"/>
      <w:szCs w:val="20"/>
    </w:rPr>
  </w:style>
  <w:style w:type="character" w:styleId="Hyperlink">
    <w:name w:val="Hyperlink"/>
    <w:rsid w:val="00B01B16"/>
    <w:rPr>
      <w:color w:val="0000FF"/>
      <w:u w:val="single"/>
    </w:rPr>
  </w:style>
  <w:style w:type="paragraph" w:styleId="ListContinue">
    <w:name w:val="List Continue"/>
    <w:basedOn w:val="Normal"/>
    <w:unhideWhenUsed/>
    <w:rsid w:val="00B01B16"/>
    <w:pPr>
      <w:numPr>
        <w:numId w:val="1"/>
      </w:numPr>
      <w:spacing w:after="120" w:line="480" w:lineRule="auto"/>
    </w:pPr>
  </w:style>
  <w:style w:type="paragraph" w:customStyle="1" w:styleId="LegalFormat">
    <w:name w:val="Legal Format"/>
    <w:basedOn w:val="ListContinue"/>
    <w:rsid w:val="00B01B16"/>
    <w:pPr>
      <w:spacing w:after="0"/>
      <w:ind w:left="0"/>
    </w:pPr>
    <w:rPr>
      <w:u w:val="single"/>
    </w:rPr>
  </w:style>
  <w:style w:type="character" w:styleId="CommentReference">
    <w:name w:val="annotation reference"/>
    <w:basedOn w:val="DefaultParagraphFont"/>
    <w:uiPriority w:val="99"/>
    <w:semiHidden/>
    <w:unhideWhenUsed/>
    <w:rsid w:val="00B01B16"/>
    <w:rPr>
      <w:sz w:val="16"/>
      <w:szCs w:val="16"/>
    </w:rPr>
  </w:style>
  <w:style w:type="paragraph" w:styleId="CommentText">
    <w:name w:val="annotation text"/>
    <w:basedOn w:val="Normal"/>
    <w:link w:val="CommentTextChar"/>
    <w:uiPriority w:val="99"/>
    <w:unhideWhenUsed/>
    <w:rsid w:val="00B01B16"/>
    <w:rPr>
      <w:sz w:val="20"/>
      <w:szCs w:val="20"/>
    </w:rPr>
  </w:style>
  <w:style w:type="character" w:customStyle="1" w:styleId="CommentTextChar">
    <w:name w:val="Comment Text Char"/>
    <w:basedOn w:val="DefaultParagraphFont"/>
    <w:link w:val="CommentText"/>
    <w:uiPriority w:val="99"/>
    <w:rsid w:val="00B01B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1B16"/>
    <w:rPr>
      <w:b/>
      <w:bCs/>
    </w:rPr>
  </w:style>
  <w:style w:type="character" w:customStyle="1" w:styleId="CommentSubjectChar">
    <w:name w:val="Comment Subject Char"/>
    <w:basedOn w:val="CommentTextChar"/>
    <w:link w:val="CommentSubject"/>
    <w:uiPriority w:val="99"/>
    <w:semiHidden/>
    <w:rsid w:val="00B01B16"/>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01B1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1B16"/>
    <w:rPr>
      <w:rFonts w:ascii="Segoe UI" w:eastAsia="Times New Roman" w:hAnsi="Segoe UI" w:cs="Segoe UI"/>
      <w:sz w:val="18"/>
      <w:szCs w:val="18"/>
    </w:rPr>
  </w:style>
  <w:style w:type="paragraph" w:styleId="Revision">
    <w:name w:val="Revision"/>
    <w:hidden/>
    <w:uiPriority w:val="99"/>
    <w:semiHidden/>
    <w:rsid w:val="0054746C"/>
    <w:pPr>
      <w:spacing w:after="0" w:line="240" w:lineRule="auto"/>
    </w:pPr>
    <w:rPr>
      <w:rFonts w:ascii="Times New Roman" w:eastAsia="Times New Roman" w:hAnsi="Times New Roman" w:cs="Times New Roman"/>
      <w:sz w:val="26"/>
      <w:szCs w:val="24"/>
    </w:rPr>
  </w:style>
  <w:style w:type="paragraph" w:styleId="Header">
    <w:name w:val="header"/>
    <w:basedOn w:val="Normal"/>
    <w:link w:val="HeaderChar"/>
    <w:uiPriority w:val="99"/>
    <w:unhideWhenUsed/>
    <w:rsid w:val="00BF2D74"/>
    <w:pPr>
      <w:tabs>
        <w:tab w:val="center" w:pos="4680"/>
        <w:tab w:val="right" w:pos="9360"/>
      </w:tabs>
    </w:pPr>
  </w:style>
  <w:style w:type="character" w:customStyle="1" w:styleId="HeaderChar">
    <w:name w:val="Header Char"/>
    <w:basedOn w:val="DefaultParagraphFont"/>
    <w:link w:val="Header"/>
    <w:uiPriority w:val="99"/>
    <w:rsid w:val="00BF2D74"/>
    <w:rPr>
      <w:rFonts w:ascii="Times New Roman" w:eastAsia="Times New Roman" w:hAnsi="Times New Roman" w:cs="Times New Roman"/>
      <w:sz w:val="26"/>
      <w:szCs w:val="24"/>
    </w:rPr>
  </w:style>
  <w:style w:type="paragraph" w:styleId="Footer">
    <w:name w:val="footer"/>
    <w:basedOn w:val="Normal"/>
    <w:link w:val="FooterChar"/>
    <w:uiPriority w:val="99"/>
    <w:unhideWhenUsed/>
    <w:rsid w:val="00BF2D74"/>
    <w:pPr>
      <w:tabs>
        <w:tab w:val="center" w:pos="4680"/>
        <w:tab w:val="right" w:pos="9360"/>
      </w:tabs>
    </w:pPr>
  </w:style>
  <w:style w:type="character" w:customStyle="1" w:styleId="FooterChar">
    <w:name w:val="Footer Char"/>
    <w:basedOn w:val="DefaultParagraphFont"/>
    <w:link w:val="Footer"/>
    <w:uiPriority w:val="99"/>
    <w:rsid w:val="00BF2D74"/>
    <w:rPr>
      <w:rFonts w:ascii="Times New Roman" w:eastAsia="Times New Roman" w:hAnsi="Times New Roman" w:cs="Times New Roman"/>
      <w:sz w:val="26"/>
      <w:szCs w:val="24"/>
    </w:rPr>
  </w:style>
  <w:style w:type="paragraph" w:styleId="NormalWeb">
    <w:name w:val="Normal (Web)"/>
    <w:basedOn w:val="Normal"/>
    <w:uiPriority w:val="99"/>
    <w:unhideWhenUsed/>
    <w:rsid w:val="00AE4155"/>
    <w:rPr>
      <w:rFonts w:eastAsiaTheme="minorHAnsi"/>
      <w:sz w:val="24"/>
    </w:rPr>
  </w:style>
  <w:style w:type="character" w:styleId="FollowedHyperlink">
    <w:name w:val="FollowedHyperlink"/>
    <w:basedOn w:val="DefaultParagraphFont"/>
    <w:uiPriority w:val="99"/>
    <w:semiHidden/>
    <w:unhideWhenUsed/>
    <w:rsid w:val="005D16A1"/>
    <w:rPr>
      <w:color w:val="954F72" w:themeColor="followedHyperlink"/>
      <w:u w:val="single"/>
    </w:rPr>
  </w:style>
  <w:style w:type="character" w:styleId="UnresolvedMention">
    <w:name w:val="Unresolved Mention"/>
    <w:basedOn w:val="DefaultParagraphFont"/>
    <w:uiPriority w:val="99"/>
    <w:semiHidden/>
    <w:unhideWhenUsed/>
    <w:rsid w:val="005F729D"/>
    <w:rPr>
      <w:color w:val="605E5C"/>
      <w:shd w:val="clear" w:color="auto" w:fill="E1DFDD"/>
    </w:rPr>
  </w:style>
  <w:style w:type="paragraph" w:styleId="ListParagraph">
    <w:name w:val="List Paragraph"/>
    <w:basedOn w:val="Normal"/>
    <w:uiPriority w:val="34"/>
    <w:qFormat/>
    <w:rsid w:val="00EB119D"/>
    <w:pPr>
      <w:ind w:left="720"/>
      <w:contextualSpacing/>
    </w:pPr>
  </w:style>
  <w:style w:type="table" w:customStyle="1" w:styleId="TableGrid1">
    <w:name w:val="Table Grid1"/>
    <w:basedOn w:val="TableNormal"/>
    <w:next w:val="TableGrid"/>
    <w:uiPriority w:val="39"/>
    <w:rsid w:val="00BE3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BE33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elibrary.ferc.gov/eLibrary/search" TargetMode="External" /><Relationship Id="rId11" Type="http://schemas.openxmlformats.org/officeDocument/2006/relationships/header" Target="header1.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DataClearance@FERC.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05CA68BB5AC6247A45EE955F178F9EF" ma:contentTypeVersion="19" ma:contentTypeDescription="Create a new document." ma:contentTypeScope="" ma:versionID="5b4b64bcc400577f81b48230bde635bb">
  <xsd:schema xmlns:xsd="http://www.w3.org/2001/XMLSchema" xmlns:xs="http://www.w3.org/2001/XMLSchema" xmlns:p="http://schemas.microsoft.com/office/2006/metadata/properties" xmlns:ns2="http://schemas.microsoft.com/sharepoint/v4" xmlns:ns3="5f24bd4a-f42d-4bec-9646-ecdce3ac1b21" xmlns:ns4="a84ccff1-3092-4592-b8be-3d6aaf6232cc" targetNamespace="http://schemas.microsoft.com/office/2006/metadata/properties" ma:root="true" ma:fieldsID="291e03a7cf34c1503e829288569c4b1f" ns2:_="" ns3:_="" ns4:_="">
    <xsd:import namespace="http://schemas.microsoft.com/sharepoint/v4"/>
    <xsd:import namespace="5f24bd4a-f42d-4bec-9646-ecdce3ac1b21"/>
    <xsd:import namespace="a84ccff1-3092-4592-b8be-3d6aaf6232cc"/>
    <xsd:element name="properties">
      <xsd:complexType>
        <xsd:sequence>
          <xsd:element name="documentManagement">
            <xsd:complexType>
              <xsd:all>
                <xsd:element ref="ns2:IconOverlay" minOccurs="0"/>
                <xsd:element ref="ns3:SharedWithUsers" minOccurs="0"/>
                <xsd:element ref="ns3:SharedWithDetails" minOccurs="0"/>
                <xsd:element ref="ns4:MediaServiceObjectDetectorVersions" minOccurs="0"/>
                <xsd:element ref="ns4:lcf76f155ced4ddcb4097134ff3c332f" minOccurs="0"/>
                <xsd:element ref="ns3:TaxCatchAll" minOccurs="0"/>
                <xsd:element ref="ns4:MediaServiceDateTaken" minOccurs="0"/>
                <xsd:element ref="ns4:MediaServiceGenerationTime" minOccurs="0"/>
                <xsd:element ref="ns4:MediaServiceEventHashCode" minOccurs="0"/>
                <xsd:element ref="ns4:MediaServiceOCR"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24bd4a-f42d-4bec-9646-ecdce3ac1b21"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a08f38ac-30a8-4070-8f3b-4392a04348cb}" ma:internalName="TaxCatchAll" ma:showField="CatchAllData" ma:web="5f24bd4a-f42d-4bec-9646-ecdce3ac1b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4ccff1-3092-4592-b8be-3d6aaf6232cc" elementFormDefault="qualified">
    <xsd:import namespace="http://schemas.microsoft.com/office/2006/documentManagement/types"/>
    <xsd:import namespace="http://schemas.microsoft.com/office/infopath/2007/PartnerControls"/>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9776dbc-9393-46bd-9fa9-87fe347ccf2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TaxCatchAll xmlns="5f24bd4a-f42d-4bec-9646-ecdce3ac1b21" xsi:nil="true"/>
    <lcf76f155ced4ddcb4097134ff3c332f xmlns="a84ccff1-3092-4592-b8be-3d6aaf6232cc">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4B2BA4-42E3-4037-8954-0F628E67BE67}">
  <ds:schemaRefs>
    <ds:schemaRef ds:uri="http://schemas.microsoft.com/sharepoint/v3/contenttype/forms"/>
  </ds:schemaRefs>
</ds:datastoreItem>
</file>

<file path=customXml/itemProps2.xml><?xml version="1.0" encoding="utf-8"?>
<ds:datastoreItem xmlns:ds="http://schemas.openxmlformats.org/officeDocument/2006/customXml" ds:itemID="{DA82DAFC-8D3D-4A6D-9ECA-910873844D54}">
  <ds:schemaRefs/>
</ds:datastoreItem>
</file>

<file path=customXml/itemProps3.xml><?xml version="1.0" encoding="utf-8"?>
<ds:datastoreItem xmlns:ds="http://schemas.openxmlformats.org/officeDocument/2006/customXml" ds:itemID="{5BBB1DD4-8130-4FE7-964C-24C804F058DC}">
  <ds:schemaRefs>
    <ds:schemaRef ds:uri="http://schemas.microsoft.com/office/2006/metadata/properties"/>
    <ds:schemaRef ds:uri="http://schemas.microsoft.com/office/infopath/2007/PartnerControls"/>
    <ds:schemaRef ds:uri="5e8733a2-e908-454b-85cf-c9d17e1d0943"/>
  </ds:schemaRefs>
</ds:datastoreItem>
</file>

<file path=customXml/itemProps4.xml><?xml version="1.0" encoding="utf-8"?>
<ds:datastoreItem xmlns:ds="http://schemas.openxmlformats.org/officeDocument/2006/customXml" ds:itemID="{D2AF1162-AD6A-4639-8A37-A26289CFA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798</Words>
  <Characters>4945</Characters>
  <Application>Microsoft Office Word</Application>
  <DocSecurity>0</DocSecurity>
  <Lines>164</Lines>
  <Paragraphs>80</Paragraphs>
  <ScaleCrop>false</ScaleCrop>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Ambrose</dc:creator>
  <cp:lastModifiedBy>Donna Burnette-Alexander</cp:lastModifiedBy>
  <cp:revision>2</cp:revision>
  <cp:lastPrinted>2016-12-20T19:40:00Z</cp:lastPrinted>
  <dcterms:created xsi:type="dcterms:W3CDTF">2026-09-14T15:02:00Z</dcterms:created>
  <dcterms:modified xsi:type="dcterms:W3CDTF">2026-09-14T15:02:00Z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0x010100C05CA68BB5AC6247A45EE955F178F9EF</vt:lpwstr>
  </property>
  <property fmtid="{D5CDD505-2E9C-101B-9397-08002B2CF9AE}" pid="3" name="MSIP_Label_bd24d06a-0e85-4d57-b1e0-ba34b1abc708_ActionId">
    <vt:lpwstr>92eb73f5-a6bd-49cb-9444-abf868f8cf2f</vt:lpwstr>
  </property>
  <property fmtid="{D5CDD505-2E9C-101B-9397-08002B2CF9AE}" pid="4" name="MSIP_Label_bd24d06a-0e85-4d57-b1e0-ba34b1abc708_ContentBits">
    <vt:lpwstr>0</vt:lpwstr>
  </property>
  <property fmtid="{D5CDD505-2E9C-101B-9397-08002B2CF9AE}" pid="5" name="MSIP_Label_bd24d06a-0e85-4d57-b1e0-ba34b1abc708_Enabled">
    <vt:lpwstr>true</vt:lpwstr>
  </property>
  <property fmtid="{D5CDD505-2E9C-101B-9397-08002B2CF9AE}" pid="6" name="MSIP_Label_bd24d06a-0e85-4d57-b1e0-ba34b1abc708_Method">
    <vt:lpwstr>Privileged</vt:lpwstr>
  </property>
  <property fmtid="{D5CDD505-2E9C-101B-9397-08002B2CF9AE}" pid="7" name="MSIP_Label_bd24d06a-0e85-4d57-b1e0-ba34b1abc708_Name">
    <vt:lpwstr>bd24d06a-0e85-4d57-b1e0-ba34b1abc708</vt:lpwstr>
  </property>
  <property fmtid="{D5CDD505-2E9C-101B-9397-08002B2CF9AE}" pid="8" name="MSIP_Label_bd24d06a-0e85-4d57-b1e0-ba34b1abc708_SetDate">
    <vt:lpwstr>2026-07-14T19:19:05Z</vt:lpwstr>
  </property>
  <property fmtid="{D5CDD505-2E9C-101B-9397-08002B2CF9AE}" pid="9" name="MSIP_Label_bd24d06a-0e85-4d57-b1e0-ba34b1abc708_SiteId">
    <vt:lpwstr>19caa9e9-04ff-43fa-885f-d77fac387903</vt:lpwstr>
  </property>
  <property fmtid="{D5CDD505-2E9C-101B-9397-08002B2CF9AE}" pid="10" name="MSIP_Label_bd24d06a-0e85-4d57-b1e0-ba34b1abc708_Tag">
    <vt:lpwstr>10, 0, 1, 1</vt:lpwstr>
  </property>
</Properties>
</file>