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A5446" w:rsidRPr="007A5446" w:rsidP="007A5446" w14:paraId="010E45AC" w14:textId="570BDDE1">
      <w:pPr>
        <w:jc w:val="center"/>
      </w:pPr>
      <w:r w:rsidRPr="007A5446">
        <w:t>Supporting Statement for</w:t>
      </w:r>
    </w:p>
    <w:p w:rsidR="007A5446" w:rsidRPr="007A5446" w:rsidP="007A5446" w14:paraId="1B9390F5" w14:textId="035A8514">
      <w:pPr>
        <w:jc w:val="center"/>
      </w:pPr>
      <w:r w:rsidRPr="007A5446">
        <w:rPr>
          <w:b/>
          <w:bCs/>
        </w:rPr>
        <w:t>FERC-555, Preservation of Records for Public Utilities and Licensees, Natural Gas</w:t>
      </w:r>
      <w:r w:rsidR="00960675">
        <w:rPr>
          <w:b/>
          <w:bCs/>
        </w:rPr>
        <w:t xml:space="preserve"> Companies,</w:t>
      </w:r>
      <w:r w:rsidRPr="007A5446">
        <w:rPr>
          <w:b/>
          <w:bCs/>
        </w:rPr>
        <w:t xml:space="preserve"> and Oil Pipeline Companies</w:t>
      </w:r>
    </w:p>
    <w:p w:rsidR="007A5446" w:rsidRPr="007A5446" w:rsidP="007A5446" w14:paraId="072CC6B3" w14:textId="77777777">
      <w:r w:rsidRPr="007A5446">
        <w:t> </w:t>
      </w:r>
    </w:p>
    <w:p w:rsidR="007A5446" w:rsidRPr="007A5446" w:rsidP="007A5446" w14:paraId="5BCF68C7" w14:textId="23CC8464">
      <w:r w:rsidRPr="007A5446">
        <w:t>The Federal Energy Regulatory Commission (FERC or Commission) requests that the Office of Management and Budget (OMB) review and approve the FERC-555 information collection (OMB Control Number 1902-0098) for a three-year period.</w:t>
      </w:r>
      <w:r w:rsidR="003516E6">
        <w:t xml:space="preserve"> </w:t>
      </w:r>
      <w:r w:rsidRPr="007A5446">
        <w:t>FERC-555 is a current collection and its record retention requirements are contained in Title 18 Code of Federal Regulations (CFR) Parts 125, 225, and 356.</w:t>
      </w:r>
    </w:p>
    <w:p w:rsidR="007A5446" w:rsidRPr="007A5446" w:rsidP="007A5446" w14:paraId="3EF36EC6" w14:textId="77777777">
      <w:r w:rsidRPr="007A5446">
        <w:t> </w:t>
      </w:r>
    </w:p>
    <w:p w:rsidR="007A5446" w:rsidP="007A5446" w14:paraId="1BED873C" w14:textId="617342A6">
      <w:pPr>
        <w:pStyle w:val="ListParagraph"/>
        <w:numPr>
          <w:ilvl w:val="0"/>
          <w:numId w:val="23"/>
        </w:numPr>
        <w:ind w:left="360"/>
        <w:rPr>
          <w:b/>
          <w:bCs/>
        </w:rPr>
      </w:pPr>
      <w:r w:rsidRPr="007A5446">
        <w:rPr>
          <w:b/>
          <w:bCs/>
        </w:rPr>
        <w:t>CIRCUMSTANCES THAT MAKE THE COLLECTION OF INFORMATION NECESSARY </w:t>
      </w:r>
    </w:p>
    <w:p w:rsidR="007A5446" w:rsidRPr="007A5446" w:rsidP="007A5446" w14:paraId="1DD0C5C1" w14:textId="77777777">
      <w:pPr>
        <w:rPr>
          <w:b/>
          <w:bCs/>
        </w:rPr>
      </w:pPr>
    </w:p>
    <w:p w:rsidR="007A5446" w:rsidRPr="007A5446" w:rsidP="007A5446" w14:paraId="0269D275" w14:textId="0F525CB1">
      <w:r>
        <w:t>Provisions of t</w:t>
      </w:r>
      <w:r w:rsidR="00351509">
        <w:t xml:space="preserve">he Federal Power Act, </w:t>
      </w:r>
      <w:r w:rsidR="00737948">
        <w:t>the Natural Gas Act, and the Interstate Commerce Act make this collection of information necessary.</w:t>
      </w:r>
      <w:r w:rsidR="003516E6">
        <w:t xml:space="preserve"> </w:t>
      </w:r>
      <w:r>
        <w:t xml:space="preserve">Section 301(a) of the </w:t>
      </w:r>
      <w:r w:rsidRPr="007A5446">
        <w:t>Federal Power Act</w:t>
      </w:r>
      <w:r>
        <w:t xml:space="preserve"> (</w:t>
      </w:r>
      <w:r w:rsidRPr="007A5446">
        <w:t>16 U.S.C. 825(a)</w:t>
      </w:r>
      <w:r>
        <w:t xml:space="preserve">) and </w:t>
      </w:r>
      <w:r w:rsidR="0001066F">
        <w:t>section 8(a) of the Natural Gas Act (</w:t>
      </w:r>
      <w:r w:rsidR="002907BE">
        <w:t>1</w:t>
      </w:r>
      <w:r w:rsidRPr="0001066F" w:rsidR="0001066F">
        <w:t>5 U.S.C. 717g(a)</w:t>
      </w:r>
      <w:r w:rsidR="0001066F">
        <w:t xml:space="preserve">) both </w:t>
      </w:r>
      <w:r w:rsidRPr="007A5446">
        <w:t xml:space="preserve">require companies </w:t>
      </w:r>
      <w:r w:rsidR="00923CC3">
        <w:t xml:space="preserve">that are subject to those statutes </w:t>
      </w:r>
      <w:r w:rsidRPr="007A5446">
        <w:t xml:space="preserve">to </w:t>
      </w:r>
      <w:r w:rsidR="0001066F">
        <w:t xml:space="preserve">maintain </w:t>
      </w:r>
      <w:r w:rsidRPr="007A5446">
        <w:t xml:space="preserve">records that the Commission may prescribe </w:t>
      </w:r>
      <w:r w:rsidR="00BD3603">
        <w:t xml:space="preserve">as </w:t>
      </w:r>
      <w:r w:rsidRPr="007A5446">
        <w:t>"necessary or appropriate for purposes of administration" of these acts.</w:t>
      </w:r>
      <w:r w:rsidR="003516E6">
        <w:t xml:space="preserve"> </w:t>
      </w:r>
      <w:r w:rsidR="00E01DEC">
        <w:t xml:space="preserve">Section 60502 of the Interstate Commerce Act </w:t>
      </w:r>
      <w:r w:rsidR="002E5DD9">
        <w:t>provides that the Commiss</w:t>
      </w:r>
      <w:r w:rsidR="00073D3E">
        <w:t>i</w:t>
      </w:r>
      <w:r w:rsidR="002E5DD9">
        <w:t xml:space="preserve">on has the duties and powers </w:t>
      </w:r>
      <w:r w:rsidR="00073D3E">
        <w:t xml:space="preserve">related </w:t>
      </w:r>
      <w:r w:rsidR="00AC53D9">
        <w:t xml:space="preserve">to </w:t>
      </w:r>
      <w:r w:rsidR="00795F1E">
        <w:t xml:space="preserve">such transportation </w:t>
      </w:r>
      <w:r w:rsidR="001351B7">
        <w:t xml:space="preserve">that were vested in the Interstate Commerce Commission </w:t>
      </w:r>
      <w:r w:rsidR="007D54AA">
        <w:t>on October 1</w:t>
      </w:r>
      <w:r w:rsidR="00BC7066">
        <w:t>,</w:t>
      </w:r>
      <w:r w:rsidR="007D54AA">
        <w:t xml:space="preserve"> 1977.</w:t>
      </w:r>
      <w:r w:rsidR="003516E6">
        <w:t xml:space="preserve"> </w:t>
      </w:r>
      <w:r w:rsidR="00AA487A">
        <w:t xml:space="preserve">The duties and powers that were transferred to </w:t>
      </w:r>
      <w:r w:rsidR="009F7A86">
        <w:t xml:space="preserve">FERC include </w:t>
      </w:r>
      <w:r w:rsidR="009572DC">
        <w:t xml:space="preserve">the authorization </w:t>
      </w:r>
      <w:r w:rsidR="00585B44">
        <w:t xml:space="preserve">in section 20 of the 1997 Interstate Commerce Act to require </w:t>
      </w:r>
      <w:r w:rsidR="00710A16">
        <w:t>“full, true, and correct answers to all questions</w:t>
      </w:r>
      <w:r w:rsidR="002A0332">
        <w:t>” the Commission may deem necessary.</w:t>
      </w:r>
      <w:r>
        <w:rPr>
          <w:rStyle w:val="FootnoteReference"/>
        </w:rPr>
        <w:footnoteReference w:id="3"/>
      </w:r>
    </w:p>
    <w:p w:rsidR="007A5446" w:rsidRPr="007A5446" w:rsidP="007A5446" w14:paraId="30BB74D3" w14:textId="77777777">
      <w:r w:rsidRPr="007A5446">
        <w:t> </w:t>
      </w:r>
    </w:p>
    <w:p w:rsidR="007A5446" w:rsidP="00724F84" w14:paraId="227D7D7A" w14:textId="7F05D154">
      <w:pPr>
        <w:pStyle w:val="ListParagraph"/>
        <w:numPr>
          <w:ilvl w:val="0"/>
          <w:numId w:val="23"/>
        </w:numPr>
        <w:ind w:left="360"/>
        <w:rPr>
          <w:b/>
          <w:bCs/>
        </w:rPr>
      </w:pPr>
      <w:r w:rsidRPr="00724F84">
        <w:rPr>
          <w:b/>
          <w:bCs/>
        </w:rPr>
        <w:t>HOW, BY WHOM, AND FOR WHAT PURPOSE THE INFORMATION IS TO BE USED AND THE CONSEQUENCES OF NOT COLLECTING THE INFORMATION</w:t>
      </w:r>
    </w:p>
    <w:p w:rsidR="00724F84" w:rsidRPr="00724F84" w:rsidP="00724F84" w14:paraId="1D3C7D0D" w14:textId="77777777">
      <w:pPr>
        <w:rPr>
          <w:b/>
          <w:bCs/>
        </w:rPr>
      </w:pPr>
    </w:p>
    <w:p w:rsidR="00F30B3A" w:rsidP="007A5446" w14:paraId="14A89407" w14:textId="3D96E3B4">
      <w:r>
        <w:t xml:space="preserve">The regulations at 18 CFR Part 125 govern </w:t>
      </w:r>
      <w:r w:rsidRPr="00A75790">
        <w:t xml:space="preserve">the preservation of records by public utilities </w:t>
      </w:r>
      <w:r w:rsidR="000168BE">
        <w:t xml:space="preserve">that are </w:t>
      </w:r>
      <w:r w:rsidRPr="00A75790">
        <w:t>subject to the jurisdiction of the Commission and by licensees holding licenses issued by the Commission</w:t>
      </w:r>
      <w:r w:rsidR="001631B4">
        <w:t>.</w:t>
      </w:r>
      <w:r w:rsidR="003516E6">
        <w:t xml:space="preserve"> </w:t>
      </w:r>
      <w:r w:rsidR="001631B4">
        <w:t xml:space="preserve">The regulations at 18 CFR Part 225 govern </w:t>
      </w:r>
      <w:r w:rsidR="00C92257">
        <w:t>t</w:t>
      </w:r>
      <w:r w:rsidRPr="00C92257" w:rsidR="00C92257">
        <w:t xml:space="preserve">he preservation of records by natural gas companies </w:t>
      </w:r>
      <w:r w:rsidR="00810144">
        <w:t xml:space="preserve">that are </w:t>
      </w:r>
      <w:r w:rsidRPr="00C92257" w:rsidR="00C92257">
        <w:t>subject to the jurisdiction of the Commission</w:t>
      </w:r>
      <w:r w:rsidR="00C92257">
        <w:t>.</w:t>
      </w:r>
      <w:r w:rsidR="003516E6">
        <w:t xml:space="preserve"> </w:t>
      </w:r>
      <w:r w:rsidR="00C92257">
        <w:t xml:space="preserve">The regulations at 18 CFR Part 356 govern </w:t>
      </w:r>
      <w:r>
        <w:t>t</w:t>
      </w:r>
      <w:r w:rsidRPr="00F30B3A">
        <w:t xml:space="preserve">he preservation of records by oil pipeline companies </w:t>
      </w:r>
      <w:r w:rsidR="000168BE">
        <w:t xml:space="preserve">that are </w:t>
      </w:r>
      <w:r w:rsidRPr="00F30B3A">
        <w:t>subject to the jurisdiction of the Commission</w:t>
      </w:r>
      <w:r>
        <w:t>.</w:t>
      </w:r>
    </w:p>
    <w:p w:rsidR="00F30B3A" w:rsidP="007A5446" w14:paraId="155FEC25" w14:textId="77777777"/>
    <w:p w:rsidR="007A5446" w:rsidRPr="007A5446" w:rsidP="007A5446" w14:paraId="43436BFD" w14:textId="65BABA88">
      <w:r>
        <w:t xml:space="preserve">Jurisdictional companies use the </w:t>
      </w:r>
      <w:r w:rsidR="006B407E">
        <w:t>records as the basis for rate fi</w:t>
      </w:r>
      <w:r w:rsidR="008D04EF">
        <w:t>l</w:t>
      </w:r>
      <w:r w:rsidR="006B407E">
        <w:t>ings and reports for the Commission.</w:t>
      </w:r>
      <w:r w:rsidR="003516E6">
        <w:t xml:space="preserve"> </w:t>
      </w:r>
      <w:r w:rsidR="00C21715">
        <w:t>T</w:t>
      </w:r>
      <w:r w:rsidRPr="007A5446">
        <w:t xml:space="preserve">he </w:t>
      </w:r>
      <w:r w:rsidR="008D04EF">
        <w:t xml:space="preserve">Commission uses the </w:t>
      </w:r>
      <w:r w:rsidR="00DC15DF">
        <w:t>records during periodic compliance reviews by audit and compliance staff</w:t>
      </w:r>
      <w:r w:rsidR="006B414D">
        <w:t>, during investigations by the enforcement staff</w:t>
      </w:r>
      <w:r w:rsidR="00F11B4C">
        <w:t xml:space="preserve">, and </w:t>
      </w:r>
      <w:r w:rsidR="00125590">
        <w:t xml:space="preserve">for special </w:t>
      </w:r>
      <w:r w:rsidR="00125590">
        <w:t>analyses as deemed necessary by the Commission.</w:t>
      </w:r>
    </w:p>
    <w:p w:rsidR="00773B0C" w:rsidP="007A5446" w14:paraId="6E64C350" w14:textId="77777777"/>
    <w:p w:rsidR="007A5446" w:rsidP="007A5446" w14:paraId="0C92AB5F" w14:textId="41CD8644">
      <w:r w:rsidRPr="007A5446">
        <w:t>In general, FERC's regulations require jurisdictional companies to maintain the following types of records:</w:t>
      </w:r>
    </w:p>
    <w:p w:rsidR="00D725A6" w:rsidRPr="007A5446" w:rsidP="007A5446" w14:paraId="7920578E" w14:textId="77777777"/>
    <w:p w:rsidR="007A5446" w:rsidRPr="007A5446" w:rsidP="007A5446" w14:paraId="71C5028C" w14:textId="285B255A">
      <w:pPr>
        <w:numPr>
          <w:ilvl w:val="0"/>
          <w:numId w:val="4"/>
        </w:numPr>
      </w:pPr>
      <w:r w:rsidRPr="007A5446">
        <w:t>Corporate</w:t>
      </w:r>
      <w:r w:rsidR="00845618">
        <w:t>;</w:t>
      </w:r>
    </w:p>
    <w:p w:rsidR="007A5446" w:rsidRPr="007A5446" w:rsidP="007A5446" w14:paraId="2DFFA70D" w14:textId="2A5C14F5">
      <w:pPr>
        <w:numPr>
          <w:ilvl w:val="0"/>
          <w:numId w:val="4"/>
        </w:numPr>
      </w:pPr>
      <w:r w:rsidRPr="007A5446">
        <w:t>Information Technology Management</w:t>
      </w:r>
      <w:r w:rsidR="00845618">
        <w:t>;</w:t>
      </w:r>
    </w:p>
    <w:p w:rsidR="007A5446" w:rsidRPr="007A5446" w:rsidP="007A5446" w14:paraId="43B870AB" w14:textId="02ABC4D6">
      <w:pPr>
        <w:numPr>
          <w:ilvl w:val="0"/>
          <w:numId w:val="4"/>
        </w:numPr>
      </w:pPr>
      <w:r w:rsidRPr="007A5446">
        <w:t>General Accounting</w:t>
      </w:r>
      <w:r w:rsidR="00845618">
        <w:t>;</w:t>
      </w:r>
    </w:p>
    <w:p w:rsidR="007A5446" w:rsidRPr="007A5446" w:rsidP="007A5446" w14:paraId="15C72CE3" w14:textId="620509E9">
      <w:pPr>
        <w:numPr>
          <w:ilvl w:val="0"/>
          <w:numId w:val="4"/>
        </w:numPr>
      </w:pPr>
      <w:r w:rsidRPr="007A5446">
        <w:t>Personnel and Payroll</w:t>
      </w:r>
      <w:r w:rsidR="00845618">
        <w:t>;</w:t>
      </w:r>
    </w:p>
    <w:p w:rsidR="007A5446" w:rsidRPr="007A5446" w:rsidP="007A5446" w14:paraId="1511AF00" w14:textId="709829D4">
      <w:pPr>
        <w:numPr>
          <w:ilvl w:val="0"/>
          <w:numId w:val="5"/>
        </w:numPr>
      </w:pPr>
      <w:r w:rsidRPr="007A5446">
        <w:t>Transportation</w:t>
      </w:r>
      <w:r w:rsidR="00845618">
        <w:t>;</w:t>
      </w:r>
    </w:p>
    <w:p w:rsidR="007A5446" w:rsidRPr="007A5446" w:rsidP="007A5446" w14:paraId="62733EC2" w14:textId="1D3D4195">
      <w:pPr>
        <w:numPr>
          <w:ilvl w:val="0"/>
          <w:numId w:val="5"/>
        </w:numPr>
      </w:pPr>
      <w:r w:rsidRPr="007A5446">
        <w:t>Tariffs and Rates</w:t>
      </w:r>
      <w:r w:rsidR="00845618">
        <w:t>;</w:t>
      </w:r>
    </w:p>
    <w:p w:rsidR="007A5446" w:rsidRPr="007A5446" w:rsidP="007A5446" w14:paraId="7A3B754F" w14:textId="08339CC9">
      <w:pPr>
        <w:numPr>
          <w:ilvl w:val="0"/>
          <w:numId w:val="5"/>
        </w:numPr>
      </w:pPr>
      <w:r w:rsidRPr="007A5446">
        <w:t>Insurance</w:t>
      </w:r>
      <w:r w:rsidR="00845618">
        <w:t>;</w:t>
      </w:r>
    </w:p>
    <w:p w:rsidR="007A5446" w:rsidRPr="007A5446" w:rsidP="007A5446" w14:paraId="561059EC" w14:textId="7E3AD617">
      <w:pPr>
        <w:numPr>
          <w:ilvl w:val="0"/>
          <w:numId w:val="5"/>
        </w:numPr>
      </w:pPr>
      <w:r w:rsidRPr="007A5446">
        <w:t>Operations and Maintenance</w:t>
      </w:r>
      <w:r w:rsidR="00845618">
        <w:t>;</w:t>
      </w:r>
    </w:p>
    <w:p w:rsidR="007A5446" w:rsidRPr="007A5446" w:rsidP="007A5446" w14:paraId="4C56A73F" w14:textId="29033974">
      <w:pPr>
        <w:numPr>
          <w:ilvl w:val="0"/>
          <w:numId w:val="5"/>
        </w:numPr>
      </w:pPr>
      <w:r w:rsidRPr="007A5446">
        <w:t>Plant and Depreciation</w:t>
      </w:r>
      <w:r w:rsidR="00845618">
        <w:t>;</w:t>
      </w:r>
    </w:p>
    <w:p w:rsidR="007A5446" w:rsidRPr="007A5446" w:rsidP="007A5446" w14:paraId="335B0709" w14:textId="00D6D22C">
      <w:pPr>
        <w:numPr>
          <w:ilvl w:val="0"/>
          <w:numId w:val="6"/>
        </w:numPr>
      </w:pPr>
      <w:r w:rsidRPr="007A5446">
        <w:t>Purchase and Stores</w:t>
      </w:r>
      <w:r w:rsidR="00845618">
        <w:t>;</w:t>
      </w:r>
    </w:p>
    <w:p w:rsidR="007A5446" w:rsidRPr="007A5446" w:rsidP="007A5446" w14:paraId="4629B45E" w14:textId="474F7C35">
      <w:pPr>
        <w:numPr>
          <w:ilvl w:val="0"/>
          <w:numId w:val="6"/>
        </w:numPr>
      </w:pPr>
      <w:r w:rsidRPr="007A5446">
        <w:t>Revenue Accounting and Collection</w:t>
      </w:r>
      <w:r w:rsidR="00845618">
        <w:t>;</w:t>
      </w:r>
    </w:p>
    <w:p w:rsidR="007A5446" w:rsidRPr="007A5446" w:rsidP="007A5446" w14:paraId="48F95AA8" w14:textId="7A2C2137">
      <w:pPr>
        <w:numPr>
          <w:ilvl w:val="0"/>
          <w:numId w:val="6"/>
        </w:numPr>
      </w:pPr>
      <w:r w:rsidRPr="007A5446">
        <w:t>Tax</w:t>
      </w:r>
      <w:r w:rsidR="00845618">
        <w:t>;</w:t>
      </w:r>
    </w:p>
    <w:p w:rsidR="007A5446" w:rsidRPr="007A5446" w:rsidP="007A5446" w14:paraId="2117B713" w14:textId="0A045B84">
      <w:pPr>
        <w:numPr>
          <w:ilvl w:val="0"/>
          <w:numId w:val="6"/>
        </w:numPr>
      </w:pPr>
      <w:r w:rsidRPr="007A5446">
        <w:t>Treasury</w:t>
      </w:r>
      <w:r w:rsidR="00845618">
        <w:t>; and</w:t>
      </w:r>
    </w:p>
    <w:p w:rsidR="007A5446" w:rsidRPr="007A5446" w:rsidP="007A5446" w14:paraId="25D717CA" w14:textId="1149E6F1">
      <w:pPr>
        <w:numPr>
          <w:ilvl w:val="0"/>
          <w:numId w:val="6"/>
        </w:numPr>
      </w:pPr>
      <w:r w:rsidRPr="007A5446">
        <w:t>Miscellaneous</w:t>
      </w:r>
      <w:r w:rsidR="00845618">
        <w:t>.</w:t>
      </w:r>
    </w:p>
    <w:p w:rsidR="007A5446" w:rsidRPr="007A5446" w:rsidP="007A5446" w14:paraId="47B86996" w14:textId="33AAA672"/>
    <w:p w:rsidR="007A5446" w:rsidRPr="007A5446" w:rsidP="007A5446" w14:paraId="045FC4E8" w14:textId="2B83B4E2">
      <w:r w:rsidRPr="007A5446">
        <w:t>Parts 125, 225, and 356 set the minimum length of time that jurisdictional companies must retain the relevant records.</w:t>
      </w:r>
      <w:r w:rsidR="003516E6">
        <w:t xml:space="preserve"> </w:t>
      </w:r>
      <w:r w:rsidRPr="007A5446">
        <w:t>If jurisdictional companies did not retain records as prescribed by FERC-555 there would be an inadequate basis of available information for proper rate filings and reports.</w:t>
      </w:r>
      <w:r w:rsidR="003516E6">
        <w:t xml:space="preserve"> </w:t>
      </w:r>
      <w:r w:rsidRPr="007A5446">
        <w:t>Further, without access to these records, jurisdictional companies may be unable to produce the necessary documentation during a Commission-led audit or investigation.</w:t>
      </w:r>
    </w:p>
    <w:p w:rsidR="007A5446" w:rsidRPr="007A5446" w:rsidP="007A5446" w14:paraId="691199B2" w14:textId="77777777">
      <w:r w:rsidRPr="007A5446">
        <w:t> </w:t>
      </w:r>
    </w:p>
    <w:p w:rsidR="007A5446" w:rsidRPr="007A5446" w:rsidP="00D21086" w14:paraId="63424250" w14:textId="0C928A96">
      <w:pPr>
        <w:numPr>
          <w:ilvl w:val="0"/>
          <w:numId w:val="7"/>
        </w:numPr>
        <w:ind w:left="360"/>
        <w:rPr>
          <w:b/>
          <w:bCs/>
        </w:rPr>
      </w:pPr>
      <w:r w:rsidRPr="007A5446">
        <w:rPr>
          <w:b/>
          <w:bCs/>
        </w:rPr>
        <w:t>DESCRIBE ANY CONSIDERATION OF THE USE OF IMPROVED INFORMATION TECHNOLOGY TO REDUCE THE BURDEN AND TECHNICAL OR LEGAL OBSTACLES TO REDUCING BURDEN</w:t>
      </w:r>
    </w:p>
    <w:p w:rsidR="00D21086" w:rsidP="007A5446" w14:paraId="0DA89CB4" w14:textId="77777777"/>
    <w:p w:rsidR="00BD3F57" w:rsidP="007A5446" w14:paraId="3E2CD7D2" w14:textId="398D5B61">
      <w:r w:rsidRPr="007A5446">
        <w:t>The Commission's regulations state that the storage media selected must have a life expectancy at least equal to the applicable record retention period unless there is a quality transfer of the data from one media to another with no loss of data.</w:t>
      </w:r>
      <w:r w:rsidR="003516E6">
        <w:t xml:space="preserve"> </w:t>
      </w:r>
      <w:r w:rsidRPr="007A5446">
        <w:t>The Commission purposefully does not mandate a specific media type to allow companies flexibility in the selection of media which would provide the ability to adapt quickly to changes in technology without the necessity of obtaining Commission approval of the use of media not provided for in the regulations.</w:t>
      </w:r>
      <w:r w:rsidR="003516E6">
        <w:t xml:space="preserve"> </w:t>
      </w:r>
      <w:r w:rsidRPr="007A5446">
        <w:t>The Commission believes that the current regulations provide for efficiencies and savings from reduced retention periods and unrestricted use of storage media.</w:t>
      </w:r>
    </w:p>
    <w:p w:rsidR="00BD3F57" w14:paraId="638699D0" w14:textId="77777777">
      <w:pPr>
        <w:widowControl/>
        <w:autoSpaceDE/>
        <w:autoSpaceDN/>
        <w:adjustRightInd/>
        <w:spacing w:after="160" w:line="259" w:lineRule="auto"/>
      </w:pPr>
      <w:r>
        <w:br w:type="page"/>
      </w:r>
    </w:p>
    <w:p w:rsidR="007A5446" w:rsidRPr="007A5446" w:rsidP="00623498" w14:paraId="4FB1D63A" w14:textId="766CDE56">
      <w:pPr>
        <w:numPr>
          <w:ilvl w:val="0"/>
          <w:numId w:val="8"/>
        </w:numPr>
        <w:ind w:left="360"/>
        <w:rPr>
          <w:b/>
          <w:bCs/>
        </w:rPr>
      </w:pPr>
      <w:r w:rsidRPr="007A5446">
        <w:rPr>
          <w:b/>
          <w:bCs/>
        </w:rPr>
        <w:t>DESCRIBE EFFORTS TO IDENTIFY DUPLICATION AND SHOW SPECIFICALLY WHY ANY SIMILAR INFORMATION ALREADY AVAILABLE CANNOT BE USED OR MODIFIED FOR USE FOR THE PURPOSE(S) DESCRIBED IN INSTRUCTION NO. 2</w:t>
      </w:r>
    </w:p>
    <w:p w:rsidR="00623498" w:rsidP="007A5446" w14:paraId="4959A474" w14:textId="77777777"/>
    <w:p w:rsidR="007A5446" w:rsidRPr="007A5446" w:rsidP="007A5446" w14:paraId="74745306" w14:textId="775BA9DD">
      <w:r w:rsidRPr="007A5446">
        <w:t>Filing requirements are periodically reviewed as OMB review dates arise, or as the Commission may deem necessary in carrying out its responsibilities, in order to eliminate duplication and ensure that filing burden is minimized.</w:t>
      </w:r>
      <w:r w:rsidR="003516E6">
        <w:t xml:space="preserve"> </w:t>
      </w:r>
      <w:r w:rsidRPr="007A5446">
        <w:t>The records retained under FERC-555 are singular in nature and the Commission contemplates no other means of obtaining the necessary information for rate filings, audits, and reports.</w:t>
      </w:r>
    </w:p>
    <w:p w:rsidR="007A5446" w:rsidRPr="007A5446" w:rsidP="007A5446" w14:paraId="2DA1F2DC" w14:textId="76000C95"/>
    <w:p w:rsidR="007A5446" w:rsidRPr="007A5446" w:rsidP="00623498" w14:paraId="38EEA821" w14:textId="77777777">
      <w:pPr>
        <w:numPr>
          <w:ilvl w:val="0"/>
          <w:numId w:val="9"/>
        </w:numPr>
        <w:ind w:left="360"/>
        <w:rPr>
          <w:b/>
          <w:bCs/>
        </w:rPr>
      </w:pPr>
      <w:r w:rsidRPr="007A5446">
        <w:rPr>
          <w:b/>
          <w:bCs/>
        </w:rPr>
        <w:t>METHODS USED TO MINIMIZE THE BURDEN IN COLLECTION OF INFORMATION INVOLVING SMALL ENTITIES </w:t>
      </w:r>
    </w:p>
    <w:p w:rsidR="00FF3914" w:rsidP="007A5446" w14:paraId="345CE95C" w14:textId="77777777"/>
    <w:p w:rsidR="007A5446" w:rsidRPr="007A5446" w:rsidP="007A5446" w14:paraId="36B4DB65" w14:textId="4BFD3092">
      <w:r w:rsidRPr="007A5446">
        <w:t>The FERC-555’s record retention requirements are applicable to some small entities and 18 CFR Parts 125, 225, and 356 do not provide any measures for exemptions or waivers for these companies.</w:t>
      </w:r>
      <w:r w:rsidR="003516E6">
        <w:t xml:space="preserve"> </w:t>
      </w:r>
      <w:r w:rsidRPr="007A5446">
        <w:t>However, the Commission believes that small entities make up an insignificant portion of the total number of respondents and, therefore, does not use any methods to minimize burden on these entities.</w:t>
      </w:r>
    </w:p>
    <w:p w:rsidR="007A5446" w:rsidRPr="007A5446" w:rsidP="007A5446" w14:paraId="535190A0" w14:textId="1B77344F"/>
    <w:p w:rsidR="007A5446" w:rsidRPr="007A5446" w:rsidP="00DA7CB8" w14:paraId="7B262948" w14:textId="6588142F">
      <w:pPr>
        <w:numPr>
          <w:ilvl w:val="0"/>
          <w:numId w:val="10"/>
        </w:numPr>
        <w:ind w:left="360"/>
        <w:rPr>
          <w:b/>
          <w:bCs/>
        </w:rPr>
      </w:pPr>
      <w:r w:rsidRPr="007A5446">
        <w:rPr>
          <w:b/>
          <w:bCs/>
        </w:rPr>
        <w:t>CONSEQUENCE TO FEDERAL PROGRAM IF COLLECTION WERE CONDUCTED LESS FREQUENTLY</w:t>
      </w:r>
    </w:p>
    <w:p w:rsidR="004C175E" w:rsidP="007A5446" w14:paraId="4A50D54B" w14:textId="77777777"/>
    <w:p w:rsidR="007A5446" w:rsidP="007A5446" w14:paraId="020AA339" w14:textId="0768CB78">
      <w:pPr>
        <w:rPr>
          <w:b/>
          <w:bCs/>
        </w:rPr>
      </w:pPr>
      <w:r w:rsidRPr="007A5446">
        <w:t xml:space="preserve">These records are retained by jurisdictional companies to be used </w:t>
      </w:r>
      <w:r w:rsidR="00817EE5">
        <w:t>by them</w:t>
      </w:r>
      <w:r w:rsidR="003516E6">
        <w:t>,</w:t>
      </w:r>
      <w:r w:rsidR="00817EE5">
        <w:t xml:space="preserve"> </w:t>
      </w:r>
      <w:r w:rsidRPr="007A5446">
        <w:t>as previously noted</w:t>
      </w:r>
      <w:r w:rsidR="00817EE5">
        <w:t>, and are not collected by the Commission except to the e</w:t>
      </w:r>
      <w:r w:rsidR="001063F6">
        <w:t xml:space="preserve">xtent they are relevant </w:t>
      </w:r>
      <w:r w:rsidR="0091328B">
        <w:t xml:space="preserve">to </w:t>
      </w:r>
      <w:r w:rsidR="0008586A">
        <w:t>periodic compliance reviews by audit and compliance staffs, during investigations by the enforcement staff, and for special analyses as deemed necessary by the Commission.</w:t>
      </w:r>
      <w:r w:rsidR="003516E6">
        <w:t xml:space="preserve"> </w:t>
      </w:r>
      <w:r w:rsidRPr="007A5446">
        <w:t xml:space="preserve">Absent the availability </w:t>
      </w:r>
      <w:r w:rsidR="00B10FA4">
        <w:t>of these records</w:t>
      </w:r>
      <w:r w:rsidR="00896AA4">
        <w:t xml:space="preserve">, </w:t>
      </w:r>
      <w:r w:rsidR="004C175E">
        <w:t>and ability to obtain</w:t>
      </w:r>
      <w:r w:rsidRPr="007A5446">
        <w:t xml:space="preserve"> the</w:t>
      </w:r>
      <w:r w:rsidR="00896AA4">
        <w:t>m</w:t>
      </w:r>
      <w:r w:rsidRPr="007A5446">
        <w:t>, the Commission would not be able to carry out its regulatory responsibilities as authorized by the Federal Power Act, the Natural Gas Act, and the Interstate Commerce Act.</w:t>
      </w:r>
    </w:p>
    <w:p w:rsidR="00DD0304" w:rsidRPr="007A5446" w:rsidP="007A5446" w14:paraId="2EF4EE16" w14:textId="77777777">
      <w:pPr>
        <w:rPr>
          <w:b/>
          <w:bCs/>
        </w:rPr>
      </w:pPr>
    </w:p>
    <w:p w:rsidR="007A5446" w:rsidRPr="007A5446" w:rsidP="00C07B50" w14:paraId="6D24831E" w14:textId="77777777">
      <w:pPr>
        <w:numPr>
          <w:ilvl w:val="0"/>
          <w:numId w:val="11"/>
        </w:numPr>
        <w:ind w:left="360"/>
        <w:rPr>
          <w:b/>
          <w:bCs/>
        </w:rPr>
      </w:pPr>
      <w:r w:rsidRPr="007A5446">
        <w:rPr>
          <w:b/>
          <w:bCs/>
        </w:rPr>
        <w:t>EXPLAIN ANY SPECIAL CIRCUMSTANCES RELATING TO THE INFORMATION COLLECTION </w:t>
      </w:r>
    </w:p>
    <w:p w:rsidR="00DD0304" w:rsidP="007A5446" w14:paraId="5E69E02E" w14:textId="77777777"/>
    <w:p w:rsidR="0087325F" w:rsidP="007A5446" w14:paraId="7AD4E1D4" w14:textId="11127133">
      <w:r w:rsidRPr="007A5446">
        <w:t xml:space="preserve">The Commission needs sufficient data available for scrutiny in order to carry out its </w:t>
      </w:r>
      <w:r w:rsidR="00DD0304">
        <w:t xml:space="preserve">statutory and </w:t>
      </w:r>
      <w:r w:rsidRPr="007A5446">
        <w:t>regulatory mandates.</w:t>
      </w:r>
      <w:r w:rsidR="003516E6">
        <w:t xml:space="preserve"> </w:t>
      </w:r>
      <w:r w:rsidRPr="007A5446">
        <w:t>For rate case filings, it is imperative that the Commission and its staff have access to supporting rate-case documentation, as well as documentation that might be pertinent to complaint proceedings.</w:t>
      </w:r>
      <w:r w:rsidR="003516E6">
        <w:t xml:space="preserve"> </w:t>
      </w:r>
      <w:r w:rsidRPr="007A5446">
        <w:t>For these reasons, many record schedules are set for longer than the three-year period generally applicable (5 CFR 1320.5(d)(2)(iv)).</w:t>
      </w:r>
    </w:p>
    <w:p w:rsidR="0087325F" w14:paraId="16773718" w14:textId="77777777">
      <w:pPr>
        <w:widowControl/>
        <w:autoSpaceDE/>
        <w:autoSpaceDN/>
        <w:adjustRightInd/>
        <w:spacing w:after="160" w:line="259" w:lineRule="auto"/>
      </w:pPr>
      <w:r>
        <w:br w:type="page"/>
      </w:r>
    </w:p>
    <w:p w:rsidR="007A5446" w:rsidRPr="007A5446" w:rsidP="00541954" w14:paraId="2614DB67" w14:textId="3A407426">
      <w:pPr>
        <w:numPr>
          <w:ilvl w:val="0"/>
          <w:numId w:val="12"/>
        </w:numPr>
        <w:ind w:left="360"/>
        <w:rPr>
          <w:b/>
          <w:bCs/>
        </w:rPr>
      </w:pPr>
      <w:r w:rsidRPr="007A5446">
        <w:rPr>
          <w:b/>
          <w:bCs/>
        </w:rPr>
        <w:t>DESCRIBE EFFORTS TO CONSULT OUTSIDE THE AGENCY: SUMMARIZE PUBLIC COMMENTS AND THE AGENCY’S RESPONSE</w:t>
      </w:r>
    </w:p>
    <w:p w:rsidR="00541954" w:rsidP="007A5446" w14:paraId="2E5897BC" w14:textId="77777777"/>
    <w:p w:rsidR="007A5446" w:rsidP="007A5446" w14:paraId="553A1091" w14:textId="723B762A">
      <w:r w:rsidRPr="007A5446">
        <w:t xml:space="preserve">In accordance with </w:t>
      </w:r>
      <w:r w:rsidRPr="003516E6">
        <w:t>OMB requirements, the Commission published a 60-day notice</w:t>
      </w:r>
      <w:r w:rsidRPr="003516E6" w:rsidR="00C53800">
        <w:t xml:space="preserve"> (</w:t>
      </w:r>
      <w:r w:rsidRPr="003516E6" w:rsidR="00E26522">
        <w:t>91 FR 42727</w:t>
      </w:r>
      <w:r w:rsidRPr="003516E6" w:rsidR="00C53800">
        <w:t xml:space="preserve">, </w:t>
      </w:r>
      <w:r w:rsidRPr="003516E6" w:rsidR="00E26522">
        <w:t>July 10, 2026</w:t>
      </w:r>
      <w:r w:rsidRPr="003516E6">
        <w:t>)</w:t>
      </w:r>
      <w:r w:rsidRPr="003516E6" w:rsidR="00A419BF">
        <w:t xml:space="preserve"> and a 30-day notice (</w:t>
      </w:r>
      <w:r w:rsidRPr="003516E6" w:rsidR="00E26522">
        <w:t>91 FR 58665</w:t>
      </w:r>
      <w:r w:rsidRPr="003516E6" w:rsidR="00A419BF">
        <w:t>,</w:t>
      </w:r>
      <w:r w:rsidRPr="00C60446" w:rsidR="003516E6">
        <w:t xml:space="preserve"> </w:t>
      </w:r>
      <w:r w:rsidRPr="003516E6" w:rsidR="003516E6">
        <w:t>September</w:t>
      </w:r>
      <w:r w:rsidR="003516E6">
        <w:t xml:space="preserve"> 16, 2026</w:t>
      </w:r>
      <w:r w:rsidRPr="007A5446" w:rsidR="00A419BF">
        <w:t>)</w:t>
      </w:r>
      <w:r w:rsidRPr="007A5446">
        <w:t>.</w:t>
      </w:r>
      <w:r w:rsidR="003516E6">
        <w:t xml:space="preserve"> </w:t>
      </w:r>
      <w:r w:rsidRPr="007A5446">
        <w:t>The Commission received no comments.</w:t>
      </w:r>
      <w:r w:rsidR="003516E6">
        <w:t xml:space="preserve"> </w:t>
      </w:r>
    </w:p>
    <w:p w:rsidR="00284F2B" w:rsidRPr="007A5446" w:rsidP="007A5446" w14:paraId="28A7C2EF" w14:textId="77777777"/>
    <w:p w:rsidR="007A5446" w:rsidRPr="007A5446" w:rsidP="00284F2B" w14:paraId="2F9A6437" w14:textId="292D9BCA">
      <w:pPr>
        <w:numPr>
          <w:ilvl w:val="0"/>
          <w:numId w:val="13"/>
        </w:numPr>
        <w:ind w:left="360"/>
        <w:rPr>
          <w:b/>
          <w:bCs/>
        </w:rPr>
      </w:pPr>
      <w:r w:rsidRPr="007A5446">
        <w:rPr>
          <w:b/>
          <w:bCs/>
        </w:rPr>
        <w:t>EXPLAIN ANY PAYMENT OR GIFTS TO RESPONDENTS</w:t>
      </w:r>
    </w:p>
    <w:p w:rsidR="00284F2B" w:rsidP="007A5446" w14:paraId="0AE2ACC5" w14:textId="77777777"/>
    <w:p w:rsidR="007A5446" w:rsidP="007A5446" w14:paraId="51036E24" w14:textId="5C7C9618">
      <w:r w:rsidRPr="007A5446">
        <w:t>The Commission does not make payments or provide gifts to respondents related to FERC-555.</w:t>
      </w:r>
    </w:p>
    <w:p w:rsidR="002D50AC" w:rsidRPr="007A5446" w:rsidP="007A5446" w14:paraId="32970EE8" w14:textId="77777777"/>
    <w:p w:rsidR="007A5446" w:rsidRPr="007A5446" w:rsidP="002D50AC" w14:paraId="0BA544F5" w14:textId="3F145671">
      <w:pPr>
        <w:numPr>
          <w:ilvl w:val="0"/>
          <w:numId w:val="14"/>
        </w:numPr>
        <w:ind w:left="360"/>
        <w:rPr>
          <w:b/>
          <w:bCs/>
        </w:rPr>
      </w:pPr>
      <w:r w:rsidRPr="007A5446">
        <w:rPr>
          <w:b/>
          <w:bCs/>
        </w:rPr>
        <w:t>DESCRIBE ANY ASSURANCE OF CONFIDENTIALITY PROVIDED TO RESPONDENTS</w:t>
      </w:r>
    </w:p>
    <w:p w:rsidR="002D50AC" w:rsidP="007A5446" w14:paraId="65BB867F" w14:textId="77777777"/>
    <w:p w:rsidR="007A5446" w:rsidRPr="007A5446" w:rsidP="007A5446" w14:paraId="5E53115E" w14:textId="7ECDCC0A">
      <w:r w:rsidRPr="007A5446">
        <w:t xml:space="preserve">None of the data associated with FERC-555 are filed at or </w:t>
      </w:r>
      <w:r w:rsidR="002D50AC">
        <w:t xml:space="preserve">with </w:t>
      </w:r>
      <w:r w:rsidRPr="007A5446">
        <w:t>the Commission</w:t>
      </w:r>
      <w:r w:rsidR="00D35F56">
        <w:t xml:space="preserve">, except to the extent </w:t>
      </w:r>
      <w:r w:rsidR="00026029">
        <w:t>they are used during periodic compliance reviews by audit and compliance staff, during investigations by the enforcement staff, and for special analyses as deemed necessary by the Commission.</w:t>
      </w:r>
      <w:r w:rsidR="003516E6">
        <w:t xml:space="preserve"> </w:t>
      </w:r>
      <w:r w:rsidRPr="007A5446">
        <w:t>These records are maintained by the jurisdictional companies in/on their own facilities.</w:t>
      </w:r>
      <w:r w:rsidR="003516E6">
        <w:t xml:space="preserve"> </w:t>
      </w:r>
      <w:r w:rsidRPr="007A5446">
        <w:t>As such, the Commission offers no assurance of confidentiality and leaves that responsibility to each jurisdictional company.</w:t>
      </w:r>
    </w:p>
    <w:p w:rsidR="007A5446" w:rsidRPr="007A5446" w:rsidP="007A5446" w14:paraId="33CE1CFD" w14:textId="714C410B"/>
    <w:p w:rsidR="007A5446" w:rsidRPr="007A5446" w:rsidP="00312A84" w14:paraId="053AE796" w14:textId="56899A5E">
      <w:pPr>
        <w:numPr>
          <w:ilvl w:val="0"/>
          <w:numId w:val="15"/>
        </w:numPr>
        <w:ind w:left="360"/>
        <w:rPr>
          <w:b/>
          <w:bCs/>
        </w:rPr>
      </w:pPr>
      <w:r w:rsidRPr="007A5446">
        <w:rPr>
          <w:b/>
          <w:bCs/>
        </w:rPr>
        <w:t>PROVIDE ADDITIONAL JUSTIFICATION FOR ANY QUESTIONS OF A SENSITIVE NATURE, SUCH AS SEXUAL BEHAVIOR AND ATTITUDES, RELIGIOUS BELIEFS, AND OTHER MATTERS THAT ARE COMMONLY CONSIDERED PRIVATE</w:t>
      </w:r>
    </w:p>
    <w:p w:rsidR="00F54237" w:rsidP="007A5446" w14:paraId="658FD1C8" w14:textId="77777777"/>
    <w:p w:rsidR="007A5446" w:rsidRPr="007A5446" w:rsidP="007A5446" w14:paraId="3FD31885" w14:textId="7D54F6E1">
      <w:r w:rsidRPr="007A5446">
        <w:t xml:space="preserve">There are no questions of a sensitive nature that are </w:t>
      </w:r>
      <w:r w:rsidRPr="007A5446" w:rsidR="00BD0E10">
        <w:t>considered</w:t>
      </w:r>
      <w:r w:rsidRPr="007A5446">
        <w:t xml:space="preserve"> private in FERC-555.</w:t>
      </w:r>
    </w:p>
    <w:p w:rsidR="001A5935" w:rsidP="007A5446" w14:paraId="2401D110" w14:textId="77777777"/>
    <w:p w:rsidR="007A5446" w:rsidP="00EC775E" w14:paraId="2F63C440" w14:textId="78CD04FA">
      <w:pPr>
        <w:numPr>
          <w:ilvl w:val="0"/>
          <w:numId w:val="16"/>
        </w:numPr>
        <w:ind w:left="360"/>
        <w:rPr>
          <w:b/>
          <w:bCs/>
        </w:rPr>
      </w:pPr>
      <w:r w:rsidRPr="007A5446">
        <w:rPr>
          <w:b/>
          <w:bCs/>
        </w:rPr>
        <w:t>ESTIMATED BURDEN OF COLLECTION OF INFORMATION</w:t>
      </w:r>
    </w:p>
    <w:p w:rsidR="00EC775E" w:rsidP="00EC775E" w14:paraId="6C44EE64" w14:textId="48C70646">
      <w:pPr>
        <w:rPr>
          <w:b/>
          <w:bCs/>
        </w:rPr>
      </w:pPr>
    </w:p>
    <w:p w:rsidR="007B1E6E" w:rsidP="002F6C30" w14:paraId="16487D67" w14:textId="4B8255B7">
      <w:r w:rsidRPr="00C408D5">
        <w:t xml:space="preserve">The Commission estimates </w:t>
      </w:r>
      <w:r w:rsidRPr="00C408D5">
        <w:t xml:space="preserve">the </w:t>
      </w:r>
      <w:r w:rsidR="00486F8F">
        <w:t xml:space="preserve">annual </w:t>
      </w:r>
      <w:r w:rsidRPr="00C408D5">
        <w:t>burden</w:t>
      </w:r>
      <w:r>
        <w:rPr>
          <w:vertAlign w:val="superscript"/>
        </w:rPr>
        <w:footnoteReference w:id="4"/>
      </w:r>
      <w:r w:rsidRPr="00C408D5">
        <w:t xml:space="preserve"> and cost </w:t>
      </w:r>
      <w:r w:rsidR="00003323">
        <w:t>for responde</w:t>
      </w:r>
      <w:r w:rsidR="00E444F3">
        <w:t>n</w:t>
      </w:r>
      <w:r w:rsidR="00003323">
        <w:t xml:space="preserve">ts </w:t>
      </w:r>
      <w:r w:rsidRPr="00C408D5">
        <w:t>as follows</w:t>
      </w:r>
      <w:r w:rsidR="0063091E">
        <w:t>.</w:t>
      </w:r>
    </w:p>
    <w:p w:rsidR="007B1E6E" w14:paraId="41C63524" w14:textId="77777777">
      <w:pPr>
        <w:widowControl/>
        <w:autoSpaceDE/>
        <w:autoSpaceDN/>
        <w:adjustRightInd/>
        <w:spacing w:after="160" w:line="259" w:lineRule="auto"/>
      </w:pPr>
      <w:r>
        <w:br w:type="page"/>
      </w:r>
    </w:p>
    <w:p w:rsidR="00003323" w:rsidRPr="00CE00F2" w:rsidP="002F6C30" w14:paraId="212C2EDE" w14:textId="4C7BEC08">
      <w:pPr>
        <w:jc w:val="center"/>
        <w:rPr>
          <w:b/>
          <w:bCs/>
        </w:rPr>
      </w:pPr>
      <w:r w:rsidRPr="00CE00F2">
        <w:rPr>
          <w:b/>
          <w:bCs/>
        </w:rPr>
        <w:t>Table 1</w:t>
      </w:r>
      <w:r>
        <w:rPr>
          <w:b/>
          <w:bCs/>
        </w:rPr>
        <w:t>2</w:t>
      </w:r>
    </w:p>
    <w:p w:rsidR="00003323" w:rsidRPr="00CE00F2" w:rsidP="00003323" w14:paraId="370ED05E" w14:textId="241B6AD1">
      <w:pPr>
        <w:jc w:val="center"/>
      </w:pPr>
      <w:r w:rsidRPr="00CE00F2">
        <w:rPr>
          <w:b/>
          <w:bCs/>
        </w:rPr>
        <w:t xml:space="preserve">Estimated Annual </w:t>
      </w:r>
      <w:r w:rsidR="00E444F3">
        <w:rPr>
          <w:b/>
          <w:bCs/>
        </w:rPr>
        <w:t>Respondents’</w:t>
      </w:r>
      <w:r w:rsidRPr="00CE00F2">
        <w:rPr>
          <w:b/>
          <w:bCs/>
        </w:rPr>
        <w:t xml:space="preserve"> </w:t>
      </w:r>
      <w:r w:rsidR="003C26B5">
        <w:rPr>
          <w:b/>
          <w:bCs/>
        </w:rPr>
        <w:t xml:space="preserve">Hour </w:t>
      </w:r>
      <w:r w:rsidR="00D86B5F">
        <w:rPr>
          <w:b/>
          <w:bCs/>
        </w:rPr>
        <w:t>Burdens</w:t>
      </w:r>
      <w:r w:rsidRPr="008445EB">
        <w:rPr>
          <w:b/>
          <w:bCs/>
        </w:rPr>
        <w:t xml:space="preserve"> for FERC-555</w:t>
      </w:r>
    </w:p>
    <w:p w:rsidR="00A3529C" w14:paraId="07B2CDED" w14:textId="2B082B93">
      <w:pPr>
        <w:widowControl/>
        <w:autoSpaceDE/>
        <w:autoSpaceDN/>
        <w:adjustRightInd/>
        <w:spacing w:after="160" w:line="259" w:lineRule="auto"/>
      </w:pPr>
    </w:p>
    <w:tbl>
      <w:tblPr>
        <w:tblW w:w="95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0"/>
        <w:gridCol w:w="1176"/>
        <w:gridCol w:w="1644"/>
        <w:gridCol w:w="1242"/>
        <w:gridCol w:w="1400"/>
        <w:gridCol w:w="1320"/>
        <w:gridCol w:w="1324"/>
      </w:tblGrid>
      <w:tr w14:paraId="09B2FEE0" w14:textId="77777777">
        <w:tblPrEx>
          <w:tblW w:w="95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300"/>
        </w:trPr>
        <w:tc>
          <w:tcPr>
            <w:tcW w:w="1410" w:type="dxa"/>
            <w:shd w:val="clear" w:color="auto" w:fill="D9D9D9" w:themeFill="background1" w:themeFillShade="D9"/>
          </w:tcPr>
          <w:p w:rsidR="0050313B" w:rsidRPr="00545998" w:rsidP="00545998" w14:paraId="75EBEFD1" w14:textId="77777777">
            <w:pPr>
              <w:widowControl/>
              <w:autoSpaceDE/>
              <w:autoSpaceDN/>
              <w:adjustRightInd/>
              <w:spacing w:after="160"/>
              <w:rPr>
                <w:b/>
                <w:bCs/>
                <w:sz w:val="22"/>
                <w:szCs w:val="22"/>
              </w:rPr>
            </w:pPr>
          </w:p>
        </w:tc>
        <w:tc>
          <w:tcPr>
            <w:tcW w:w="1176" w:type="dxa"/>
            <w:shd w:val="clear" w:color="auto" w:fill="D9D9D9" w:themeFill="background1" w:themeFillShade="D9"/>
          </w:tcPr>
          <w:p w:rsidR="0050313B" w:rsidRPr="00545998" w:rsidP="00545998" w14:paraId="775C256D" w14:textId="77777777">
            <w:pPr>
              <w:widowControl/>
              <w:autoSpaceDE/>
              <w:autoSpaceDN/>
              <w:adjustRightInd/>
              <w:spacing w:after="160"/>
              <w:rPr>
                <w:b/>
                <w:sz w:val="22"/>
                <w:szCs w:val="22"/>
              </w:rPr>
            </w:pPr>
            <w:r w:rsidRPr="00545998">
              <w:rPr>
                <w:b/>
                <w:sz w:val="22"/>
                <w:szCs w:val="22"/>
              </w:rPr>
              <w:t>Number of Respondents</w:t>
            </w:r>
            <w:r w:rsidRPr="00545998">
              <w:rPr>
                <w:b/>
                <w:sz w:val="22"/>
                <w:szCs w:val="22"/>
              </w:rPr>
              <w:br/>
            </w:r>
            <w:r w:rsidRPr="00545998">
              <w:rPr>
                <w:b/>
                <w:sz w:val="22"/>
                <w:szCs w:val="22"/>
              </w:rPr>
              <w:t>(1)</w:t>
            </w:r>
          </w:p>
        </w:tc>
        <w:tc>
          <w:tcPr>
            <w:tcW w:w="1644" w:type="dxa"/>
            <w:shd w:val="clear" w:color="auto" w:fill="D9D9D9" w:themeFill="background1" w:themeFillShade="D9"/>
          </w:tcPr>
          <w:p w:rsidR="0050313B" w:rsidRPr="00545998" w:rsidP="00545998" w14:paraId="2514B438" w14:textId="77777777">
            <w:pPr>
              <w:widowControl/>
              <w:autoSpaceDE/>
              <w:autoSpaceDN/>
              <w:adjustRightInd/>
              <w:spacing w:after="160"/>
              <w:rPr>
                <w:b/>
                <w:sz w:val="22"/>
                <w:szCs w:val="22"/>
              </w:rPr>
            </w:pPr>
            <w:r w:rsidRPr="00545998">
              <w:rPr>
                <w:b/>
                <w:sz w:val="22"/>
                <w:szCs w:val="22"/>
              </w:rPr>
              <w:t>Annual Number of Responses per Respondent</w:t>
            </w:r>
          </w:p>
          <w:p w:rsidR="0050313B" w:rsidRPr="00545998" w:rsidP="00545998" w14:paraId="2652984B" w14:textId="77777777">
            <w:pPr>
              <w:widowControl/>
              <w:autoSpaceDE/>
              <w:autoSpaceDN/>
              <w:adjustRightInd/>
              <w:spacing w:after="160"/>
              <w:rPr>
                <w:b/>
                <w:sz w:val="22"/>
                <w:szCs w:val="22"/>
              </w:rPr>
            </w:pPr>
            <w:r w:rsidRPr="00545998">
              <w:rPr>
                <w:b/>
                <w:sz w:val="22"/>
                <w:szCs w:val="22"/>
              </w:rPr>
              <w:t>(2)</w:t>
            </w:r>
          </w:p>
        </w:tc>
        <w:tc>
          <w:tcPr>
            <w:tcW w:w="1242" w:type="dxa"/>
            <w:shd w:val="clear" w:color="auto" w:fill="D9D9D9" w:themeFill="background1" w:themeFillShade="D9"/>
          </w:tcPr>
          <w:p w:rsidR="0050313B" w:rsidRPr="00545998" w:rsidP="00545998" w14:paraId="49A947D1" w14:textId="77777777">
            <w:pPr>
              <w:widowControl/>
              <w:autoSpaceDE/>
              <w:autoSpaceDN/>
              <w:adjustRightInd/>
              <w:spacing w:after="160"/>
              <w:rPr>
                <w:b/>
                <w:sz w:val="22"/>
                <w:szCs w:val="22"/>
              </w:rPr>
            </w:pPr>
            <w:r w:rsidRPr="00545998">
              <w:rPr>
                <w:b/>
                <w:sz w:val="22"/>
                <w:szCs w:val="22"/>
              </w:rPr>
              <w:t>Total Number of Responses (1)*(2)=(3)</w:t>
            </w:r>
          </w:p>
        </w:tc>
        <w:tc>
          <w:tcPr>
            <w:tcW w:w="1400" w:type="dxa"/>
            <w:shd w:val="clear" w:color="auto" w:fill="D9D9D9" w:themeFill="background1" w:themeFillShade="D9"/>
          </w:tcPr>
          <w:p w:rsidR="0050313B" w:rsidRPr="00545998" w:rsidP="00545998" w14:paraId="7E34FD35" w14:textId="77777777">
            <w:pPr>
              <w:widowControl/>
              <w:autoSpaceDE/>
              <w:autoSpaceDN/>
              <w:adjustRightInd/>
              <w:spacing w:after="160"/>
              <w:rPr>
                <w:b/>
                <w:sz w:val="22"/>
                <w:szCs w:val="22"/>
              </w:rPr>
            </w:pPr>
            <w:r w:rsidRPr="00545998">
              <w:rPr>
                <w:b/>
                <w:sz w:val="22"/>
                <w:szCs w:val="22"/>
              </w:rPr>
              <w:t>Average Burden Hrs. &amp; Cost Per Response</w:t>
            </w:r>
            <w:r>
              <w:rPr>
                <w:bCs/>
                <w:sz w:val="22"/>
                <w:szCs w:val="22"/>
                <w:vertAlign w:val="superscript"/>
              </w:rPr>
              <w:footnoteReference w:id="5"/>
            </w:r>
          </w:p>
          <w:p w:rsidR="0050313B" w:rsidRPr="00545998" w:rsidP="00545998" w14:paraId="51E2C3C1" w14:textId="77777777">
            <w:pPr>
              <w:widowControl/>
              <w:autoSpaceDE/>
              <w:autoSpaceDN/>
              <w:adjustRightInd/>
              <w:spacing w:after="160"/>
              <w:rPr>
                <w:b/>
                <w:sz w:val="22"/>
                <w:szCs w:val="22"/>
              </w:rPr>
            </w:pPr>
            <w:r w:rsidRPr="00545998">
              <w:rPr>
                <w:b/>
                <w:sz w:val="22"/>
                <w:szCs w:val="22"/>
              </w:rPr>
              <w:t>(4)</w:t>
            </w:r>
          </w:p>
        </w:tc>
        <w:tc>
          <w:tcPr>
            <w:tcW w:w="1320" w:type="dxa"/>
            <w:shd w:val="clear" w:color="auto" w:fill="D9D9D9" w:themeFill="background1" w:themeFillShade="D9"/>
          </w:tcPr>
          <w:p w:rsidR="0050313B" w:rsidRPr="00545998" w:rsidP="00545998" w14:paraId="037C935E" w14:textId="77777777">
            <w:pPr>
              <w:widowControl/>
              <w:autoSpaceDE/>
              <w:autoSpaceDN/>
              <w:adjustRightInd/>
              <w:spacing w:after="160"/>
              <w:rPr>
                <w:b/>
                <w:sz w:val="22"/>
                <w:szCs w:val="22"/>
              </w:rPr>
            </w:pPr>
            <w:r w:rsidRPr="00545998">
              <w:rPr>
                <w:b/>
                <w:sz w:val="22"/>
                <w:szCs w:val="22"/>
              </w:rPr>
              <w:t>Total Annual Burden Hours &amp; Total Annual Cost</w:t>
            </w:r>
          </w:p>
          <w:p w:rsidR="0050313B" w:rsidRPr="00545998" w:rsidP="00545998" w14:paraId="5D2E1EDD" w14:textId="77777777">
            <w:pPr>
              <w:widowControl/>
              <w:autoSpaceDE/>
              <w:autoSpaceDN/>
              <w:adjustRightInd/>
              <w:spacing w:after="160"/>
              <w:rPr>
                <w:b/>
                <w:sz w:val="22"/>
                <w:szCs w:val="22"/>
              </w:rPr>
            </w:pPr>
            <w:r w:rsidRPr="00545998">
              <w:rPr>
                <w:b/>
                <w:sz w:val="22"/>
                <w:szCs w:val="22"/>
              </w:rPr>
              <w:t>(3)*(4)=(5)</w:t>
            </w:r>
          </w:p>
        </w:tc>
        <w:tc>
          <w:tcPr>
            <w:tcW w:w="1324" w:type="dxa"/>
            <w:shd w:val="clear" w:color="auto" w:fill="D9D9D9" w:themeFill="background1" w:themeFillShade="D9"/>
          </w:tcPr>
          <w:p w:rsidR="0050313B" w:rsidRPr="00545998" w:rsidP="00545998" w14:paraId="4D62FA72" w14:textId="77777777">
            <w:pPr>
              <w:widowControl/>
              <w:autoSpaceDE/>
              <w:autoSpaceDN/>
              <w:adjustRightInd/>
              <w:spacing w:after="160"/>
              <w:rPr>
                <w:b/>
                <w:sz w:val="22"/>
                <w:szCs w:val="22"/>
              </w:rPr>
            </w:pPr>
            <w:r w:rsidRPr="00545998">
              <w:rPr>
                <w:b/>
                <w:sz w:val="22"/>
                <w:szCs w:val="22"/>
              </w:rPr>
              <w:t>Cost per Respondent</w:t>
            </w:r>
          </w:p>
          <w:p w:rsidR="0050313B" w:rsidRPr="00545998" w:rsidP="00545998" w14:paraId="692ED269" w14:textId="77777777">
            <w:pPr>
              <w:widowControl/>
              <w:autoSpaceDE/>
              <w:autoSpaceDN/>
              <w:adjustRightInd/>
              <w:spacing w:after="160"/>
              <w:rPr>
                <w:b/>
                <w:sz w:val="22"/>
                <w:szCs w:val="22"/>
              </w:rPr>
            </w:pPr>
            <w:r w:rsidRPr="00545998">
              <w:rPr>
                <w:b/>
                <w:sz w:val="22"/>
                <w:szCs w:val="22"/>
              </w:rPr>
              <w:t>($)</w:t>
            </w:r>
          </w:p>
          <w:p w:rsidR="0050313B" w:rsidRPr="00545998" w:rsidP="00545998" w14:paraId="444AEEAB" w14:textId="77777777">
            <w:pPr>
              <w:widowControl/>
              <w:autoSpaceDE/>
              <w:autoSpaceDN/>
              <w:adjustRightInd/>
              <w:spacing w:after="160"/>
              <w:rPr>
                <w:b/>
                <w:sz w:val="22"/>
                <w:szCs w:val="22"/>
              </w:rPr>
            </w:pPr>
            <w:r w:rsidRPr="00545998">
              <w:rPr>
                <w:b/>
                <w:sz w:val="22"/>
                <w:szCs w:val="22"/>
              </w:rPr>
              <w:t>(5)÷(1)</w:t>
            </w:r>
          </w:p>
        </w:tc>
      </w:tr>
      <w:tr w14:paraId="7DC868F4" w14:textId="77777777" w:rsidTr="003516E6">
        <w:tblPrEx>
          <w:tblW w:w="9516" w:type="dxa"/>
          <w:tblInd w:w="-72" w:type="dxa"/>
          <w:tblLayout w:type="fixed"/>
          <w:tblLook w:val="01E0"/>
        </w:tblPrEx>
        <w:trPr>
          <w:cantSplit/>
          <w:trHeight w:val="300"/>
        </w:trPr>
        <w:tc>
          <w:tcPr>
            <w:tcW w:w="1410" w:type="dxa"/>
          </w:tcPr>
          <w:p w:rsidR="00AC53D9" w:rsidRPr="00545998" w:rsidP="00AC53D9" w14:paraId="32E8884E" w14:textId="0A9013EC">
            <w:pPr>
              <w:widowControl/>
              <w:autoSpaceDE/>
              <w:autoSpaceDN/>
              <w:adjustRightInd/>
              <w:spacing w:after="160"/>
              <w:rPr>
                <w:sz w:val="22"/>
                <w:szCs w:val="22"/>
              </w:rPr>
            </w:pPr>
            <w:r w:rsidRPr="00545998">
              <w:rPr>
                <w:sz w:val="22"/>
                <w:szCs w:val="22"/>
              </w:rPr>
              <w:t>Preservation of Records</w:t>
            </w:r>
            <w:r>
              <w:rPr>
                <w:rStyle w:val="FootnoteReference"/>
                <w:sz w:val="22"/>
                <w:szCs w:val="22"/>
              </w:rPr>
              <w:footnoteReference w:id="6"/>
            </w:r>
          </w:p>
        </w:tc>
        <w:tc>
          <w:tcPr>
            <w:tcW w:w="1176" w:type="dxa"/>
          </w:tcPr>
          <w:p w:rsidR="00AC53D9" w:rsidRPr="00545998" w:rsidP="00AC53D9" w14:paraId="1DC1E344" w14:textId="77777777">
            <w:pPr>
              <w:widowControl/>
              <w:autoSpaceDE/>
              <w:autoSpaceDN/>
              <w:adjustRightInd/>
              <w:spacing w:after="160"/>
              <w:jc w:val="right"/>
              <w:rPr>
                <w:bCs/>
                <w:sz w:val="22"/>
                <w:szCs w:val="22"/>
              </w:rPr>
            </w:pPr>
            <w:r w:rsidRPr="00545998">
              <w:rPr>
                <w:bCs/>
                <w:sz w:val="22"/>
                <w:szCs w:val="22"/>
              </w:rPr>
              <w:t>667</w:t>
            </w:r>
          </w:p>
        </w:tc>
        <w:tc>
          <w:tcPr>
            <w:tcW w:w="1644" w:type="dxa"/>
          </w:tcPr>
          <w:p w:rsidR="00AC53D9" w:rsidRPr="00545998" w:rsidP="00AC53D9" w14:paraId="323873C2" w14:textId="77777777">
            <w:pPr>
              <w:widowControl/>
              <w:autoSpaceDE/>
              <w:autoSpaceDN/>
              <w:adjustRightInd/>
              <w:spacing w:after="160"/>
              <w:jc w:val="right"/>
              <w:rPr>
                <w:bCs/>
                <w:sz w:val="22"/>
                <w:szCs w:val="22"/>
              </w:rPr>
            </w:pPr>
            <w:r w:rsidRPr="00545998">
              <w:rPr>
                <w:bCs/>
                <w:sz w:val="22"/>
                <w:szCs w:val="22"/>
              </w:rPr>
              <w:t>1</w:t>
            </w:r>
          </w:p>
        </w:tc>
        <w:tc>
          <w:tcPr>
            <w:tcW w:w="1242" w:type="dxa"/>
          </w:tcPr>
          <w:p w:rsidR="00AC53D9" w:rsidRPr="00545998" w:rsidP="00AC53D9" w14:paraId="3ABD9AF7" w14:textId="77777777">
            <w:pPr>
              <w:widowControl/>
              <w:autoSpaceDE/>
              <w:autoSpaceDN/>
              <w:adjustRightInd/>
              <w:spacing w:after="160"/>
              <w:jc w:val="right"/>
              <w:rPr>
                <w:bCs/>
                <w:sz w:val="22"/>
                <w:szCs w:val="22"/>
              </w:rPr>
            </w:pPr>
            <w:r w:rsidRPr="00545998">
              <w:rPr>
                <w:bCs/>
                <w:sz w:val="22"/>
                <w:szCs w:val="22"/>
              </w:rPr>
              <w:t>667</w:t>
            </w:r>
          </w:p>
        </w:tc>
        <w:tc>
          <w:tcPr>
            <w:tcW w:w="1400" w:type="dxa"/>
          </w:tcPr>
          <w:p w:rsidR="00AC53D9" w:rsidRPr="00545998" w:rsidP="00AC53D9" w14:paraId="16EEC622" w14:textId="24B1A0E3">
            <w:pPr>
              <w:widowControl/>
              <w:autoSpaceDE/>
              <w:autoSpaceDN/>
              <w:adjustRightInd/>
              <w:spacing w:after="160"/>
              <w:jc w:val="right"/>
              <w:rPr>
                <w:bCs/>
                <w:sz w:val="22"/>
                <w:szCs w:val="22"/>
              </w:rPr>
            </w:pPr>
            <w:r w:rsidRPr="00545998">
              <w:rPr>
                <w:bCs/>
                <w:sz w:val="22"/>
                <w:szCs w:val="22"/>
              </w:rPr>
              <w:t>5,218</w:t>
            </w:r>
            <w:r>
              <w:rPr>
                <w:bCs/>
                <w:sz w:val="22"/>
                <w:szCs w:val="22"/>
              </w:rPr>
              <w:t>.5</w:t>
            </w:r>
            <w:r w:rsidRPr="00545998">
              <w:rPr>
                <w:bCs/>
                <w:sz w:val="22"/>
                <w:szCs w:val="22"/>
              </w:rPr>
              <w:t xml:space="preserve"> hrs.;</w:t>
            </w:r>
          </w:p>
          <w:p w:rsidR="00AC53D9" w:rsidRPr="00545998" w:rsidP="00AC53D9" w14:paraId="6133B601" w14:textId="3DF64411">
            <w:pPr>
              <w:widowControl/>
              <w:autoSpaceDE/>
              <w:autoSpaceDN/>
              <w:adjustRightInd/>
              <w:spacing w:after="160"/>
              <w:jc w:val="right"/>
              <w:rPr>
                <w:bCs/>
                <w:sz w:val="22"/>
                <w:szCs w:val="22"/>
              </w:rPr>
            </w:pPr>
            <w:r w:rsidRPr="00545998">
              <w:rPr>
                <w:bCs/>
                <w:sz w:val="22"/>
                <w:szCs w:val="22"/>
              </w:rPr>
              <w:t>$532,2</w:t>
            </w:r>
            <w:r>
              <w:rPr>
                <w:bCs/>
                <w:sz w:val="22"/>
                <w:szCs w:val="22"/>
              </w:rPr>
              <w:t>87</w:t>
            </w:r>
          </w:p>
        </w:tc>
        <w:tc>
          <w:tcPr>
            <w:tcW w:w="1320" w:type="dxa"/>
          </w:tcPr>
          <w:p w:rsidR="00AC53D9" w:rsidRPr="006D6A0F" w:rsidP="00AC53D9" w14:paraId="5C71F1B4" w14:textId="77777777">
            <w:pPr>
              <w:jc w:val="right"/>
              <w:rPr>
                <w:bCs/>
                <w:sz w:val="22"/>
                <w:szCs w:val="22"/>
              </w:rPr>
            </w:pPr>
            <w:r w:rsidRPr="006D6A0F">
              <w:rPr>
                <w:bCs/>
                <w:sz w:val="22"/>
                <w:szCs w:val="22"/>
              </w:rPr>
              <w:t>3,480,</w:t>
            </w:r>
            <w:r>
              <w:rPr>
                <w:bCs/>
                <w:sz w:val="22"/>
                <w:szCs w:val="22"/>
              </w:rPr>
              <w:t>740</w:t>
            </w:r>
            <w:r w:rsidRPr="006D6A0F">
              <w:rPr>
                <w:bCs/>
                <w:sz w:val="22"/>
                <w:szCs w:val="22"/>
              </w:rPr>
              <w:t xml:space="preserve"> hrs.;</w:t>
            </w:r>
          </w:p>
          <w:p w:rsidR="00AC53D9" w:rsidRPr="00545998" w:rsidP="00AC53D9" w14:paraId="28C7DFE8" w14:textId="1A5273CA">
            <w:pPr>
              <w:widowControl/>
              <w:autoSpaceDE/>
              <w:autoSpaceDN/>
              <w:adjustRightInd/>
              <w:spacing w:after="160"/>
              <w:jc w:val="right"/>
              <w:rPr>
                <w:bCs/>
                <w:sz w:val="22"/>
                <w:szCs w:val="22"/>
              </w:rPr>
            </w:pPr>
            <w:r w:rsidRPr="006D6A0F">
              <w:rPr>
                <w:bCs/>
                <w:sz w:val="22"/>
                <w:szCs w:val="22"/>
              </w:rPr>
              <w:t>$355,</w:t>
            </w:r>
            <w:r>
              <w:rPr>
                <w:bCs/>
                <w:sz w:val="22"/>
                <w:szCs w:val="22"/>
              </w:rPr>
              <w:t>035,480</w:t>
            </w:r>
          </w:p>
        </w:tc>
        <w:tc>
          <w:tcPr>
            <w:tcW w:w="1324" w:type="dxa"/>
          </w:tcPr>
          <w:p w:rsidR="00AC53D9" w:rsidRPr="00545998" w:rsidP="00AC53D9" w14:paraId="16E58267" w14:textId="768717E0">
            <w:pPr>
              <w:widowControl/>
              <w:autoSpaceDE/>
              <w:autoSpaceDN/>
              <w:adjustRightInd/>
              <w:spacing w:after="160"/>
              <w:jc w:val="right"/>
              <w:rPr>
                <w:bCs/>
                <w:sz w:val="22"/>
                <w:szCs w:val="22"/>
              </w:rPr>
            </w:pPr>
            <w:r w:rsidRPr="00545998">
              <w:rPr>
                <w:bCs/>
                <w:sz w:val="22"/>
                <w:szCs w:val="22"/>
              </w:rPr>
              <w:t>$532,2</w:t>
            </w:r>
            <w:r>
              <w:rPr>
                <w:bCs/>
                <w:sz w:val="22"/>
                <w:szCs w:val="22"/>
              </w:rPr>
              <w:t>87</w:t>
            </w:r>
          </w:p>
        </w:tc>
      </w:tr>
      <w:tr w14:paraId="5DFBDC52" w14:textId="77777777" w:rsidTr="003516E6">
        <w:tblPrEx>
          <w:tblW w:w="9516" w:type="dxa"/>
          <w:tblInd w:w="-72" w:type="dxa"/>
          <w:tblLayout w:type="fixed"/>
          <w:tblLook w:val="01E0"/>
        </w:tblPrEx>
        <w:trPr>
          <w:cantSplit/>
          <w:trHeight w:val="300"/>
        </w:trPr>
        <w:tc>
          <w:tcPr>
            <w:tcW w:w="1410" w:type="dxa"/>
            <w:shd w:val="clear" w:color="auto" w:fill="D9D9D9" w:themeFill="background1" w:themeFillShade="D9"/>
          </w:tcPr>
          <w:p w:rsidR="00AC53D9" w:rsidRPr="00E87CEC" w:rsidP="00AC53D9" w14:paraId="6229797C" w14:textId="63218875">
            <w:pPr>
              <w:widowControl/>
              <w:autoSpaceDE/>
              <w:autoSpaceDN/>
              <w:adjustRightInd/>
              <w:spacing w:after="160"/>
              <w:rPr>
                <w:sz w:val="22"/>
                <w:szCs w:val="22"/>
              </w:rPr>
            </w:pPr>
            <w:r w:rsidRPr="000A62CC">
              <w:rPr>
                <w:b/>
                <w:bCs/>
                <w:sz w:val="22"/>
                <w:szCs w:val="22"/>
              </w:rPr>
              <w:t>TOTAL</w:t>
            </w:r>
          </w:p>
        </w:tc>
        <w:tc>
          <w:tcPr>
            <w:tcW w:w="1176" w:type="dxa"/>
            <w:shd w:val="clear" w:color="auto" w:fill="D9D9D9" w:themeFill="background1" w:themeFillShade="D9"/>
          </w:tcPr>
          <w:p w:rsidR="00AC53D9" w:rsidRPr="00E87CEC" w:rsidP="00AC53D9" w14:paraId="6C2674D1" w14:textId="0D37D372">
            <w:pPr>
              <w:widowControl/>
              <w:autoSpaceDE/>
              <w:autoSpaceDN/>
              <w:adjustRightInd/>
              <w:spacing w:after="160"/>
              <w:rPr>
                <w:sz w:val="22"/>
                <w:szCs w:val="22"/>
              </w:rPr>
            </w:pPr>
          </w:p>
        </w:tc>
        <w:tc>
          <w:tcPr>
            <w:tcW w:w="1644" w:type="dxa"/>
            <w:shd w:val="clear" w:color="auto" w:fill="D9D9D9" w:themeFill="background1" w:themeFillShade="D9"/>
          </w:tcPr>
          <w:p w:rsidR="00AC53D9" w:rsidRPr="00E87CEC" w:rsidP="00AC53D9" w14:paraId="1A5C6FE9" w14:textId="75ED06FB">
            <w:pPr>
              <w:widowControl/>
              <w:autoSpaceDE/>
              <w:autoSpaceDN/>
              <w:adjustRightInd/>
              <w:spacing w:after="160"/>
              <w:rPr>
                <w:sz w:val="22"/>
                <w:szCs w:val="22"/>
              </w:rPr>
            </w:pPr>
          </w:p>
        </w:tc>
        <w:tc>
          <w:tcPr>
            <w:tcW w:w="1242" w:type="dxa"/>
          </w:tcPr>
          <w:p w:rsidR="00AC53D9" w:rsidRPr="00E87CEC" w:rsidP="00AC53D9" w14:paraId="673E0C64" w14:textId="3CC27919">
            <w:pPr>
              <w:widowControl/>
              <w:autoSpaceDE/>
              <w:autoSpaceDN/>
              <w:adjustRightInd/>
              <w:spacing w:after="160"/>
              <w:jc w:val="right"/>
              <w:rPr>
                <w:sz w:val="22"/>
                <w:szCs w:val="22"/>
              </w:rPr>
            </w:pPr>
            <w:r>
              <w:rPr>
                <w:b/>
                <w:bCs/>
                <w:sz w:val="22"/>
                <w:szCs w:val="22"/>
              </w:rPr>
              <w:t>667</w:t>
            </w:r>
          </w:p>
        </w:tc>
        <w:tc>
          <w:tcPr>
            <w:tcW w:w="1400" w:type="dxa"/>
            <w:shd w:val="clear" w:color="auto" w:fill="D9D9D9" w:themeFill="background1" w:themeFillShade="D9"/>
          </w:tcPr>
          <w:p w:rsidR="00AC53D9" w:rsidRPr="00E87CEC" w:rsidP="00AC53D9" w14:paraId="526E54DC" w14:textId="7666FCAC">
            <w:pPr>
              <w:widowControl/>
              <w:autoSpaceDE/>
              <w:autoSpaceDN/>
              <w:adjustRightInd/>
              <w:spacing w:after="160"/>
              <w:jc w:val="right"/>
              <w:rPr>
                <w:sz w:val="22"/>
                <w:szCs w:val="22"/>
              </w:rPr>
            </w:pPr>
          </w:p>
        </w:tc>
        <w:tc>
          <w:tcPr>
            <w:tcW w:w="1320" w:type="dxa"/>
          </w:tcPr>
          <w:p w:rsidR="00AC53D9" w:rsidRPr="00E87CEC" w:rsidP="00AC53D9" w14:paraId="6DBA516A" w14:textId="325C9FAA">
            <w:pPr>
              <w:widowControl/>
              <w:autoSpaceDE/>
              <w:autoSpaceDN/>
              <w:adjustRightInd/>
              <w:spacing w:after="160"/>
              <w:jc w:val="right"/>
              <w:rPr>
                <w:sz w:val="22"/>
                <w:szCs w:val="22"/>
              </w:rPr>
            </w:pPr>
            <w:r>
              <w:rPr>
                <w:b/>
                <w:bCs/>
                <w:sz w:val="22"/>
                <w:szCs w:val="22"/>
              </w:rPr>
              <w:t>3,480,740</w:t>
            </w:r>
            <w:r w:rsidRPr="000A62CC">
              <w:rPr>
                <w:b/>
                <w:bCs/>
                <w:sz w:val="22"/>
                <w:szCs w:val="22"/>
              </w:rPr>
              <w:t xml:space="preserve"> hours; $</w:t>
            </w:r>
            <w:r w:rsidRPr="006B7875">
              <w:rPr>
                <w:b/>
                <w:bCs/>
                <w:sz w:val="22"/>
                <w:szCs w:val="22"/>
              </w:rPr>
              <w:t>355,035,480</w:t>
            </w:r>
          </w:p>
        </w:tc>
        <w:tc>
          <w:tcPr>
            <w:tcW w:w="1324" w:type="dxa"/>
            <w:shd w:val="clear" w:color="auto" w:fill="D9D9D9" w:themeFill="background1" w:themeFillShade="D9"/>
          </w:tcPr>
          <w:p w:rsidR="00AC53D9" w:rsidRPr="00E87CEC" w:rsidP="00AC53D9" w14:paraId="1FD23304" w14:textId="462787B8">
            <w:pPr>
              <w:widowControl/>
              <w:autoSpaceDE/>
              <w:autoSpaceDN/>
              <w:adjustRightInd/>
              <w:spacing w:after="160"/>
              <w:rPr>
                <w:sz w:val="22"/>
                <w:szCs w:val="22"/>
              </w:rPr>
            </w:pPr>
          </w:p>
        </w:tc>
      </w:tr>
    </w:tbl>
    <w:p w:rsidR="0050313B" w14:paraId="79BD9BB1" w14:textId="77777777">
      <w:pPr>
        <w:widowControl/>
        <w:autoSpaceDE/>
        <w:autoSpaceDN/>
        <w:adjustRightInd/>
        <w:spacing w:after="160" w:line="259" w:lineRule="auto"/>
      </w:pPr>
    </w:p>
    <w:p w:rsidR="0050313B" w14:paraId="1531377A" w14:textId="77777777">
      <w:pPr>
        <w:widowControl/>
        <w:autoSpaceDE/>
        <w:autoSpaceDN/>
        <w:adjustRightInd/>
        <w:spacing w:after="160" w:line="259" w:lineRule="auto"/>
      </w:pPr>
    </w:p>
    <w:p w:rsidR="007A5446" w:rsidRPr="007A5446" w:rsidP="0057499C" w14:paraId="29501220" w14:textId="53A4E40C">
      <w:pPr>
        <w:numPr>
          <w:ilvl w:val="0"/>
          <w:numId w:val="17"/>
        </w:numPr>
        <w:ind w:left="360"/>
        <w:rPr>
          <w:b/>
          <w:bCs/>
        </w:rPr>
      </w:pPr>
      <w:r w:rsidRPr="007A5446">
        <w:rPr>
          <w:b/>
          <w:bCs/>
        </w:rPr>
        <w:t>ESTIMATE OF THE TOTAL ANNUAL COST BURDEN TO RESPONDENTS</w:t>
      </w:r>
    </w:p>
    <w:p w:rsidR="00A3529C" w:rsidP="007A5446" w14:paraId="56E37761" w14:textId="77777777"/>
    <w:p w:rsidR="00234E0F" w:rsidP="00234E0F" w14:paraId="4800A1B1" w14:textId="0D0AFE20">
      <w:r>
        <w:t>The commission believes that jurisdictional companies store their records electronically and that physical storage space is no longer relevant to associate with this information collection. The marginal cost for electronic storage of documents is negligible (less than $0.06 per gb). As such, the commission no longer includes records storage costs with this information collection.</w:t>
      </w:r>
    </w:p>
    <w:p w:rsidR="008E27E0" w:rsidP="007A5446" w14:paraId="74376C2E" w14:textId="77777777"/>
    <w:p w:rsidR="00A3529C" w:rsidRPr="007A5446" w:rsidP="007A5446" w14:paraId="2E4765FC" w14:textId="77777777"/>
    <w:p w:rsidR="007A5446" w:rsidRPr="007A5446" w:rsidP="00A3529C" w14:paraId="0829A8FB" w14:textId="7AC391CD">
      <w:pPr>
        <w:numPr>
          <w:ilvl w:val="0"/>
          <w:numId w:val="18"/>
        </w:numPr>
        <w:ind w:left="360"/>
        <w:rPr>
          <w:b/>
          <w:bCs/>
        </w:rPr>
      </w:pPr>
      <w:r w:rsidRPr="007A5446">
        <w:rPr>
          <w:b/>
          <w:bCs/>
        </w:rPr>
        <w:t>ESTIMATED ANNUALIZED COST TO FEDERAL GOVERNMENT</w:t>
      </w:r>
    </w:p>
    <w:p w:rsidR="00A3529C" w:rsidP="007A5446" w14:paraId="15BC1702" w14:textId="77777777"/>
    <w:p w:rsidR="002D682D" w:rsidRPr="002D682D" w:rsidP="002D682D" w14:paraId="5981E1E5" w14:textId="16CB1B21">
      <w:r>
        <w:t>T</w:t>
      </w:r>
      <w:r w:rsidR="00E122E2">
        <w:t xml:space="preserve">hese records are </w:t>
      </w:r>
      <w:r w:rsidR="00C75987">
        <w:t xml:space="preserve">maintained by </w:t>
      </w:r>
      <w:r w:rsidR="00797D8F">
        <w:t>jurisdictional entities and are not submitted to FERC unless required.</w:t>
      </w:r>
      <w:r>
        <w:t xml:space="preserve"> Therefore, the</w:t>
      </w:r>
      <w:r w:rsidR="00D72032">
        <w:t xml:space="preserve"> only cost to the federal government is the </w:t>
      </w:r>
      <w:r w:rsidRPr="002D682D" w:rsidR="003A79DE">
        <w:t>estimated PRA Administrative Cost of $</w:t>
      </w:r>
      <w:r w:rsidR="000D3089">
        <w:t>8,404</w:t>
      </w:r>
      <w:r w:rsidRPr="002D682D" w:rsidR="003A79DE">
        <w:t xml:space="preserve"> associated with preparing, issuing, and submitting materials necessary to comply with the PRA for rulemakings, orders, or any other vehicle used to create, modify, extend, or discontinue an information collection.</w:t>
      </w:r>
      <w:r w:rsidR="003516E6">
        <w:t xml:space="preserve"> </w:t>
      </w:r>
      <w:r w:rsidRPr="002D682D" w:rsidR="003A79DE">
        <w:t>This average annual cost includes requests for extensions, all associated rulemakings and orders, other changes to the collection, and associated publications in the Federal Register</w:t>
      </w:r>
    </w:p>
    <w:p w:rsidR="00654567" w:rsidP="007A5446" w14:paraId="62A1272D" w14:textId="77777777"/>
    <w:p w:rsidR="00CE00F2" w:rsidRPr="00CE00F2" w:rsidP="00DF7FCF" w14:paraId="3A8ECDE7" w14:textId="77777777">
      <w:pPr>
        <w:jc w:val="center"/>
        <w:rPr>
          <w:b/>
          <w:bCs/>
        </w:rPr>
      </w:pPr>
      <w:r w:rsidRPr="00CE00F2">
        <w:rPr>
          <w:b/>
          <w:bCs/>
        </w:rPr>
        <w:t>Table 14</w:t>
      </w:r>
    </w:p>
    <w:p w:rsidR="00CE00F2" w:rsidRPr="00CE00F2" w:rsidP="00DF7FCF" w14:paraId="137DDB68" w14:textId="2F55216D">
      <w:pPr>
        <w:jc w:val="center"/>
      </w:pPr>
      <w:r w:rsidRPr="00CE00F2">
        <w:rPr>
          <w:b/>
          <w:bCs/>
        </w:rPr>
        <w:t>Estimated Annual Federal Costs</w:t>
      </w:r>
      <w:r w:rsidRPr="00DF7FCF">
        <w:rPr>
          <w:b/>
          <w:bCs/>
        </w:rPr>
        <w:t xml:space="preserve"> for FERC-555</w:t>
      </w:r>
    </w:p>
    <w:p w:rsidR="00CE00F2" w:rsidRPr="00CE00F2" w:rsidP="00CE00F2" w14:paraId="5E56D901" w14:textId="77777777"/>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2"/>
        <w:gridCol w:w="3201"/>
        <w:gridCol w:w="2995"/>
      </w:tblGrid>
      <w:tr w14:paraId="31C5D46C" w14:textId="77777777" w:rsidTr="00DF7FCF">
        <w:tblPrEx>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3182"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CE00F2" w:rsidRPr="00CE00F2" w:rsidP="00DF7FCF" w14:paraId="44CFEC5B" w14:textId="7FECB349">
            <w:pPr>
              <w:jc w:val="center"/>
              <w:rPr>
                <w:b/>
              </w:rPr>
            </w:pPr>
          </w:p>
        </w:tc>
        <w:tc>
          <w:tcPr>
            <w:tcW w:w="3201"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CE00F2" w:rsidRPr="00CE00F2" w:rsidP="00DF7FCF" w14:paraId="77AB3599" w14:textId="77777777">
            <w:pPr>
              <w:jc w:val="center"/>
              <w:rPr>
                <w:b/>
              </w:rPr>
            </w:pPr>
            <w:r w:rsidRPr="00CE00F2">
              <w:rPr>
                <w:b/>
              </w:rPr>
              <w:t>Number of Employees (FTEs)</w:t>
            </w:r>
          </w:p>
        </w:tc>
        <w:tc>
          <w:tcPr>
            <w:tcW w:w="2995" w:type="dxa"/>
            <w:tcBorders>
              <w:top w:val="single" w:sz="4" w:space="0" w:color="auto"/>
              <w:left w:val="single" w:sz="4" w:space="0" w:color="auto"/>
              <w:bottom w:val="single" w:sz="4" w:space="0" w:color="auto"/>
              <w:right w:val="single" w:sz="4" w:space="0" w:color="auto"/>
            </w:tcBorders>
            <w:shd w:val="clear" w:color="auto" w:fill="CCCCCC"/>
            <w:vAlign w:val="center"/>
            <w:hideMark/>
          </w:tcPr>
          <w:p w:rsidR="00CE00F2" w:rsidRPr="00CE00F2" w:rsidP="00DF7FCF" w14:paraId="7E3426EA" w14:textId="77777777">
            <w:pPr>
              <w:jc w:val="center"/>
              <w:rPr>
                <w:b/>
              </w:rPr>
            </w:pPr>
            <w:r w:rsidRPr="00CE00F2">
              <w:rPr>
                <w:b/>
              </w:rPr>
              <w:t>Estimated Annual Federal Cost</w:t>
            </w:r>
          </w:p>
        </w:tc>
      </w:tr>
      <w:tr w14:paraId="3A416EDA" w14:textId="77777777" w:rsidTr="00DF7FCF">
        <w:tblPrEx>
          <w:tblW w:w="9378" w:type="dxa"/>
          <w:tblLook w:val="01E0"/>
        </w:tblPrEx>
        <w:tc>
          <w:tcPr>
            <w:tcW w:w="3182"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0D72FEFE" w14:textId="7C4CFF0F">
            <w:pPr>
              <w:jc w:val="center"/>
            </w:pPr>
            <w:r w:rsidRPr="00CE00F2">
              <w:t xml:space="preserve">Analysis and Processing </w:t>
            </w:r>
            <w:r w:rsidR="0001012D">
              <w:t>Costs</w:t>
            </w:r>
          </w:p>
        </w:tc>
        <w:tc>
          <w:tcPr>
            <w:tcW w:w="3201"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0FACFBE4" w14:textId="11B819B9">
            <w:pPr>
              <w:jc w:val="right"/>
            </w:pPr>
            <w:r>
              <w:t>0</w:t>
            </w:r>
          </w:p>
        </w:tc>
        <w:tc>
          <w:tcPr>
            <w:tcW w:w="2995"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7A481458" w14:textId="4E3FE532">
            <w:pPr>
              <w:jc w:val="right"/>
            </w:pPr>
            <w:r>
              <w:t>-</w:t>
            </w:r>
          </w:p>
        </w:tc>
      </w:tr>
      <w:tr w14:paraId="6A6BDF29" w14:textId="77777777" w:rsidTr="00DF7FCF">
        <w:tblPrEx>
          <w:tblW w:w="9378" w:type="dxa"/>
          <w:tblLook w:val="01E0"/>
        </w:tblPrEx>
        <w:tc>
          <w:tcPr>
            <w:tcW w:w="3182"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7B4676D6" w14:textId="30E1E520">
            <w:pPr>
              <w:jc w:val="center"/>
            </w:pPr>
            <w:r w:rsidRPr="00CE00F2">
              <w:t>P</w:t>
            </w:r>
            <w:r w:rsidR="004414E5">
              <w:t>R</w:t>
            </w:r>
            <w:r w:rsidR="00027EDC">
              <w:t xml:space="preserve">A </w:t>
            </w:r>
            <w:r w:rsidRPr="00CE00F2">
              <w:t>Administrative Cost</w:t>
            </w:r>
          </w:p>
        </w:tc>
        <w:tc>
          <w:tcPr>
            <w:tcW w:w="3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E00F2" w:rsidRPr="00CE00F2" w:rsidP="00DF7FCF" w14:paraId="5949E12F" w14:textId="77777777">
            <w:pPr>
              <w:jc w:val="right"/>
            </w:pPr>
          </w:p>
        </w:tc>
        <w:tc>
          <w:tcPr>
            <w:tcW w:w="2995"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0250A238" w14:textId="07EA5FC3">
            <w:pPr>
              <w:jc w:val="right"/>
            </w:pPr>
            <w:r w:rsidRPr="00CE00F2">
              <w:t>$</w:t>
            </w:r>
            <w:r w:rsidR="0039153C">
              <w:t>8,404</w:t>
            </w:r>
          </w:p>
        </w:tc>
      </w:tr>
      <w:tr w14:paraId="0FFFBAB3" w14:textId="77777777" w:rsidTr="00DF7FCF">
        <w:tblPrEx>
          <w:tblW w:w="9378" w:type="dxa"/>
          <w:tblLook w:val="01E0"/>
        </w:tblPrEx>
        <w:tc>
          <w:tcPr>
            <w:tcW w:w="3182"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475D172A" w14:textId="77777777">
            <w:pPr>
              <w:jc w:val="center"/>
              <w:rPr>
                <w:b/>
              </w:rPr>
            </w:pPr>
            <w:r w:rsidRPr="00CE00F2">
              <w:rPr>
                <w:b/>
              </w:rPr>
              <w:t>TOTAL</w:t>
            </w:r>
          </w:p>
        </w:tc>
        <w:tc>
          <w:tcPr>
            <w:tcW w:w="32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E00F2" w:rsidRPr="00CE00F2" w:rsidP="00DF7FCF" w14:paraId="594E8CFC" w14:textId="77777777">
            <w:pPr>
              <w:jc w:val="right"/>
            </w:pPr>
          </w:p>
        </w:tc>
        <w:tc>
          <w:tcPr>
            <w:tcW w:w="2995" w:type="dxa"/>
            <w:tcBorders>
              <w:top w:val="single" w:sz="4" w:space="0" w:color="auto"/>
              <w:left w:val="single" w:sz="4" w:space="0" w:color="auto"/>
              <w:bottom w:val="single" w:sz="4" w:space="0" w:color="auto"/>
              <w:right w:val="single" w:sz="4" w:space="0" w:color="auto"/>
            </w:tcBorders>
            <w:vAlign w:val="bottom"/>
            <w:hideMark/>
          </w:tcPr>
          <w:p w:rsidR="00CE00F2" w:rsidRPr="00CE00F2" w:rsidP="00DF7FCF" w14:paraId="35837A83" w14:textId="06B5FF8A">
            <w:pPr>
              <w:jc w:val="right"/>
            </w:pPr>
            <w:r w:rsidRPr="00CE00F2">
              <w:t>$</w:t>
            </w:r>
            <w:r w:rsidR="0039153C">
              <w:t>8,404</w:t>
            </w:r>
          </w:p>
        </w:tc>
      </w:tr>
    </w:tbl>
    <w:p w:rsidR="0075003F" w:rsidP="007A5446" w14:paraId="2917D9D6" w14:textId="77777777"/>
    <w:p w:rsidR="007A5446" w:rsidRPr="007A5446" w:rsidP="007A5446" w14:paraId="3BC18756" w14:textId="6F41FEB0"/>
    <w:p w:rsidR="007A5446" w:rsidRPr="007A5446" w:rsidP="00FA1567" w14:paraId="0A71C1F1" w14:textId="1BF920F9">
      <w:pPr>
        <w:numPr>
          <w:ilvl w:val="0"/>
          <w:numId w:val="19"/>
        </w:numPr>
        <w:ind w:left="360"/>
        <w:rPr>
          <w:b/>
          <w:bCs/>
        </w:rPr>
      </w:pPr>
      <w:r w:rsidRPr="007A5446">
        <w:rPr>
          <w:b/>
          <w:bCs/>
        </w:rPr>
        <w:t>REASONS FOR CHANGES IN BURDEN INCLUDING THE NEED FOR ANY INCREASE</w:t>
      </w:r>
    </w:p>
    <w:p w:rsidR="00FA1567" w:rsidP="007A5446" w14:paraId="6DFB4A6E" w14:textId="77777777"/>
    <w:p w:rsidR="007A5446" w:rsidRPr="007A5446" w:rsidP="007A5446" w14:paraId="19E3ED30" w14:textId="32D7F64D">
      <w:r>
        <w:t>There are no program changes.</w:t>
      </w:r>
      <w:r w:rsidR="003516E6">
        <w:t xml:space="preserve"> </w:t>
      </w:r>
      <w:r w:rsidR="00505810">
        <w:t xml:space="preserve">There are </w:t>
      </w:r>
      <w:r w:rsidR="171D9FA5">
        <w:t>three</w:t>
      </w:r>
      <w:r w:rsidR="00505810">
        <w:t xml:space="preserve"> adjustments to the estimate </w:t>
      </w:r>
    </w:p>
    <w:p w:rsidR="007A5446" w:rsidRPr="007A5446" w:rsidP="24D96973" w14:paraId="3DE07615" w14:textId="52D3AA5A">
      <w:pPr>
        <w:pStyle w:val="ListParagraph"/>
        <w:numPr>
          <w:ilvl w:val="0"/>
          <w:numId w:val="1"/>
        </w:numPr>
      </w:pPr>
      <w:r w:rsidR="7690D11A">
        <w:t>I</w:t>
      </w:r>
      <w:r w:rsidR="00505810">
        <w:t>ncorporating the burden associated with the Project Area Wages Record Retention as part of the overall burden</w:t>
      </w:r>
      <w:r w:rsidR="5AEE507F">
        <w:t>.</w:t>
      </w:r>
    </w:p>
    <w:p w:rsidR="007A5446" w:rsidRPr="007A5446" w:rsidP="24D96973" w14:paraId="4929E9E8" w14:textId="62621725">
      <w:pPr>
        <w:pStyle w:val="ListParagraph"/>
        <w:numPr>
          <w:ilvl w:val="0"/>
          <w:numId w:val="1"/>
        </w:numPr>
      </w:pPr>
      <w:r w:rsidR="5C78331F">
        <w:t>A</w:t>
      </w:r>
      <w:r w:rsidR="00505810">
        <w:t xml:space="preserve">djustments </w:t>
      </w:r>
      <w:r w:rsidR="00056B8E">
        <w:t xml:space="preserve">an increase in the number of </w:t>
      </w:r>
      <w:r w:rsidR="00505810">
        <w:t xml:space="preserve">entities that are </w:t>
      </w:r>
      <w:r w:rsidR="00505810">
        <w:t>required</w:t>
      </w:r>
      <w:r w:rsidR="00505810">
        <w:t xml:space="preserve"> to meet the record keeping requirements (from 509 to 667) </w:t>
      </w:r>
      <w:r w:rsidR="00BC3C1C">
        <w:t>as a result of</w:t>
      </w:r>
      <w:r w:rsidR="00BC3C1C">
        <w:t xml:space="preserve"> regular fluctuations </w:t>
      </w:r>
      <w:r w:rsidR="001E4F5F">
        <w:t xml:space="preserve">in the </w:t>
      </w:r>
      <w:r w:rsidR="004C32D4">
        <w:t xml:space="preserve">market participants. </w:t>
      </w:r>
    </w:p>
    <w:p w:rsidR="325C0517" w:rsidP="24D96973" w14:paraId="5660F90C" w14:textId="56E4EACF">
      <w:pPr>
        <w:pStyle w:val="ListParagraph"/>
        <w:numPr>
          <w:ilvl w:val="0"/>
          <w:numId w:val="1"/>
        </w:numPr>
      </w:pPr>
      <w:r>
        <w:t>R</w:t>
      </w:r>
      <w:r w:rsidR="3E6F6C2A">
        <w:t xml:space="preserve">emoval of </w:t>
      </w:r>
      <w:r w:rsidR="28D4EF0B">
        <w:t xml:space="preserve">costs associated with physical storage recognizing that entities store this information electronically and that the cost of </w:t>
      </w:r>
      <w:r w:rsidR="22687879">
        <w:t xml:space="preserve">electronic </w:t>
      </w:r>
      <w:r w:rsidR="28D4EF0B">
        <w:t xml:space="preserve">storage is negligible. </w:t>
      </w:r>
    </w:p>
    <w:p w:rsidR="007A5446" w:rsidRPr="007A5446" w:rsidP="007A5446" w14:paraId="67FF3B53" w14:textId="77777777">
      <w:r w:rsidRPr="007A5446">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20"/>
        <w:gridCol w:w="1530"/>
        <w:gridCol w:w="1545"/>
        <w:gridCol w:w="1590"/>
        <w:gridCol w:w="1530"/>
      </w:tblGrid>
      <w:tr w14:paraId="2FB8FFF3" w14:textId="77777777" w:rsidTr="24D96973">
        <w:tblPrEx>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780"/>
        </w:trPr>
        <w:tc>
          <w:tcPr>
            <w:tcW w:w="312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7A5446" w:rsidRPr="007A5446" w:rsidP="00E9587B" w14:paraId="54541E95" w14:textId="2D1CF769"/>
        </w:tc>
        <w:tc>
          <w:tcPr>
            <w:tcW w:w="153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7A5446" w:rsidRPr="007A5446" w:rsidP="007A5446" w14:paraId="3A262E1E" w14:textId="77777777">
            <w:r w:rsidRPr="007A5446">
              <w:rPr>
                <w:b/>
                <w:bCs/>
              </w:rPr>
              <w:t>Total Request</w:t>
            </w:r>
            <w:r w:rsidRPr="007A5446">
              <w:t> </w:t>
            </w:r>
          </w:p>
        </w:tc>
        <w:tc>
          <w:tcPr>
            <w:tcW w:w="1545"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7A5446" w:rsidRPr="007A5446" w:rsidP="007A5446" w14:paraId="65C415A1" w14:textId="77777777">
            <w:r w:rsidRPr="007A5446">
              <w:rPr>
                <w:b/>
                <w:bCs/>
              </w:rPr>
              <w:t>Previously Approved</w:t>
            </w:r>
            <w:r w:rsidRPr="007A5446">
              <w:t> </w:t>
            </w:r>
          </w:p>
        </w:tc>
        <w:tc>
          <w:tcPr>
            <w:tcW w:w="159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7A5446" w:rsidRPr="007A5446" w:rsidP="007A5446" w14:paraId="2E7EAE6F" w14:textId="77777777">
            <w:r w:rsidRPr="007A5446">
              <w:rPr>
                <w:b/>
                <w:bCs/>
              </w:rPr>
              <w:t>Change due to Adjustment in Estimate</w:t>
            </w:r>
            <w:r w:rsidRPr="007A5446">
              <w:t> </w:t>
            </w:r>
          </w:p>
        </w:tc>
        <w:tc>
          <w:tcPr>
            <w:tcW w:w="1530"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7A5446" w:rsidRPr="007A5446" w:rsidP="007A5446" w14:paraId="4CF6B635" w14:textId="77777777">
            <w:r w:rsidRPr="007A5446">
              <w:rPr>
                <w:b/>
                <w:bCs/>
              </w:rPr>
              <w:t>Change Due to Agency Discretion</w:t>
            </w:r>
            <w:r w:rsidRPr="007A5446">
              <w:t> </w:t>
            </w:r>
          </w:p>
        </w:tc>
      </w:tr>
      <w:tr w14:paraId="6F763AB2" w14:textId="77777777" w:rsidTr="24D96973">
        <w:tblPrEx>
          <w:tblW w:w="0" w:type="dxa"/>
          <w:tblInd w:w="-15" w:type="dxa"/>
          <w:tblCellMar>
            <w:left w:w="0" w:type="dxa"/>
            <w:right w:w="0" w:type="dxa"/>
          </w:tblCellMar>
          <w:tblLook w:val="04A0"/>
        </w:tblPrEx>
        <w:trPr>
          <w:trHeight w:val="165"/>
        </w:trPr>
        <w:tc>
          <w:tcPr>
            <w:tcW w:w="3120" w:type="dxa"/>
            <w:tcBorders>
              <w:top w:val="single" w:sz="6" w:space="0" w:color="auto"/>
              <w:left w:val="single" w:sz="6" w:space="0" w:color="auto"/>
              <w:bottom w:val="single" w:sz="6" w:space="0" w:color="auto"/>
              <w:right w:val="single" w:sz="6" w:space="0" w:color="auto"/>
            </w:tcBorders>
            <w:vAlign w:val="center"/>
            <w:hideMark/>
          </w:tcPr>
          <w:p w:rsidR="007A5446" w:rsidRPr="007A5446" w:rsidP="007A5446" w14:paraId="673FC7F2" w14:textId="77777777">
            <w:r w:rsidRPr="007A5446">
              <w:t>Annual Number of Responses </w:t>
            </w:r>
          </w:p>
        </w:tc>
        <w:tc>
          <w:tcPr>
            <w:tcW w:w="153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14E6715F" w14:textId="43CCBF0A">
            <w:pPr>
              <w:jc w:val="right"/>
            </w:pPr>
            <w:r>
              <w:t>667</w:t>
            </w:r>
            <w:r w:rsidRPr="007A5446" w:rsidR="00F80E31">
              <w:t> </w:t>
            </w:r>
          </w:p>
        </w:tc>
        <w:tc>
          <w:tcPr>
            <w:tcW w:w="1545"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679816E9" w14:textId="36D1C060">
            <w:pPr>
              <w:jc w:val="right"/>
            </w:pPr>
            <w:r>
              <w:t>679</w:t>
            </w:r>
            <w:r w:rsidRPr="007A5446" w:rsidR="00DE1D5E">
              <w:t> </w:t>
            </w:r>
          </w:p>
        </w:tc>
        <w:tc>
          <w:tcPr>
            <w:tcW w:w="159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50B3DAD6" w14:textId="7C009492">
            <w:pPr>
              <w:jc w:val="right"/>
            </w:pPr>
            <w:r>
              <w:t>-12</w:t>
            </w:r>
          </w:p>
        </w:tc>
        <w:tc>
          <w:tcPr>
            <w:tcW w:w="153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1EDF16B1" w14:textId="77777777">
            <w:pPr>
              <w:jc w:val="right"/>
            </w:pPr>
            <w:r w:rsidRPr="007A5446">
              <w:t>0 </w:t>
            </w:r>
          </w:p>
        </w:tc>
      </w:tr>
      <w:tr w14:paraId="70DD4812" w14:textId="77777777" w:rsidTr="24D96973">
        <w:tblPrEx>
          <w:tblW w:w="0" w:type="dxa"/>
          <w:tblInd w:w="-15" w:type="dxa"/>
          <w:tblCellMar>
            <w:left w:w="0" w:type="dxa"/>
            <w:right w:w="0" w:type="dxa"/>
          </w:tblCellMar>
          <w:tblLook w:val="04A0"/>
        </w:tblPrEx>
        <w:trPr>
          <w:trHeight w:val="165"/>
        </w:trPr>
        <w:tc>
          <w:tcPr>
            <w:tcW w:w="3120" w:type="dxa"/>
            <w:tcBorders>
              <w:top w:val="single" w:sz="6" w:space="0" w:color="auto"/>
              <w:left w:val="single" w:sz="6" w:space="0" w:color="auto"/>
              <w:bottom w:val="single" w:sz="6" w:space="0" w:color="auto"/>
              <w:right w:val="single" w:sz="6" w:space="0" w:color="auto"/>
            </w:tcBorders>
            <w:vAlign w:val="center"/>
            <w:hideMark/>
          </w:tcPr>
          <w:p w:rsidR="007A5446" w:rsidRPr="007A5446" w:rsidP="007A5446" w14:paraId="25B6B9EC" w14:textId="77777777">
            <w:r w:rsidRPr="007A5446">
              <w:t>Annual Time Burden (Hr.) </w:t>
            </w:r>
          </w:p>
        </w:tc>
        <w:tc>
          <w:tcPr>
            <w:tcW w:w="153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6E0764EE" w14:textId="780FDABF">
            <w:pPr>
              <w:jc w:val="right"/>
            </w:pPr>
            <w:r w:rsidRPr="00F80E31">
              <w:t>3,480,</w:t>
            </w:r>
            <w:r w:rsidR="00AC53D9">
              <w:t>740</w:t>
            </w:r>
          </w:p>
        </w:tc>
        <w:tc>
          <w:tcPr>
            <w:tcW w:w="1545"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2CB7E244" w14:textId="47DF6C87">
            <w:pPr>
              <w:jc w:val="right"/>
            </w:pPr>
            <w:r w:rsidRPr="00AC53D9">
              <w:t>2,656,132</w:t>
            </w:r>
          </w:p>
        </w:tc>
        <w:tc>
          <w:tcPr>
            <w:tcW w:w="159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25702272" w14:textId="5BCA1661">
            <w:pPr>
              <w:jc w:val="right"/>
            </w:pPr>
            <w:r>
              <w:t>+</w:t>
            </w:r>
            <w:r w:rsidRPr="00AC53D9" w:rsidR="00AC53D9">
              <w:t>824</w:t>
            </w:r>
            <w:r w:rsidR="00AC53D9">
              <w:t>,608</w:t>
            </w:r>
          </w:p>
        </w:tc>
        <w:tc>
          <w:tcPr>
            <w:tcW w:w="153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59E63DCA" w14:textId="77777777">
            <w:pPr>
              <w:jc w:val="right"/>
            </w:pPr>
            <w:r w:rsidRPr="007A5446">
              <w:t>0 </w:t>
            </w:r>
          </w:p>
        </w:tc>
      </w:tr>
      <w:tr w14:paraId="69239F98" w14:textId="77777777" w:rsidTr="24D96973">
        <w:tblPrEx>
          <w:tblW w:w="0" w:type="dxa"/>
          <w:tblInd w:w="-15" w:type="dxa"/>
          <w:tblCellMar>
            <w:left w:w="0" w:type="dxa"/>
            <w:right w:w="0" w:type="dxa"/>
          </w:tblCellMar>
          <w:tblLook w:val="04A0"/>
        </w:tblPrEx>
        <w:trPr>
          <w:trHeight w:val="255"/>
        </w:trPr>
        <w:tc>
          <w:tcPr>
            <w:tcW w:w="3120" w:type="dxa"/>
            <w:tcBorders>
              <w:top w:val="single" w:sz="6" w:space="0" w:color="auto"/>
              <w:left w:val="single" w:sz="6" w:space="0" w:color="auto"/>
              <w:bottom w:val="single" w:sz="6" w:space="0" w:color="auto"/>
              <w:right w:val="single" w:sz="6" w:space="0" w:color="auto"/>
            </w:tcBorders>
            <w:vAlign w:val="center"/>
            <w:hideMark/>
          </w:tcPr>
          <w:p w:rsidR="007A5446" w:rsidRPr="007A5446" w:rsidP="007A5446" w14:paraId="7422C4A2" w14:textId="5A29C3D2">
            <w:r w:rsidRPr="007A5446">
              <w:t>Annual Cost Burden ($)</w:t>
            </w:r>
            <w:r>
              <w:t> </w:t>
            </w:r>
          </w:p>
        </w:tc>
        <w:tc>
          <w:tcPr>
            <w:tcW w:w="153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74DE82D8" w14:textId="551491EB">
            <w:pPr>
              <w:jc w:val="right"/>
            </w:pPr>
            <w:r>
              <w:t>-</w:t>
            </w:r>
            <w:r w:rsidR="003516E6">
              <w:t xml:space="preserve"> </w:t>
            </w:r>
          </w:p>
        </w:tc>
        <w:tc>
          <w:tcPr>
            <w:tcW w:w="1545"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174E8C63" w14:textId="0C0597E3">
            <w:pPr>
              <w:jc w:val="right"/>
            </w:pPr>
            <w:r w:rsidR="4994801D">
              <w:t>$</w:t>
            </w:r>
            <w:r w:rsidR="1612C7BB">
              <w:t>78,243,220</w:t>
            </w:r>
          </w:p>
        </w:tc>
        <w:tc>
          <w:tcPr>
            <w:tcW w:w="159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3B6C6571" w14:textId="2B5FA195">
            <w:pPr>
              <w:jc w:val="right"/>
            </w:pPr>
            <w:r>
              <w:t>-</w:t>
            </w:r>
            <w:r w:rsidR="1A1B9B8B">
              <w:t>$</w:t>
            </w:r>
            <w:r w:rsidR="1A1B9B8B">
              <w:t>78,243,220</w:t>
            </w:r>
          </w:p>
        </w:tc>
        <w:tc>
          <w:tcPr>
            <w:tcW w:w="1530" w:type="dxa"/>
            <w:tcBorders>
              <w:top w:val="single" w:sz="6" w:space="0" w:color="auto"/>
              <w:left w:val="single" w:sz="6" w:space="0" w:color="auto"/>
              <w:bottom w:val="single" w:sz="6" w:space="0" w:color="auto"/>
              <w:right w:val="single" w:sz="6" w:space="0" w:color="auto"/>
            </w:tcBorders>
            <w:vAlign w:val="bottom"/>
            <w:hideMark/>
          </w:tcPr>
          <w:p w:rsidR="007A5446" w:rsidRPr="007A5446" w:rsidP="00A65959" w14:paraId="487C71B9" w14:textId="5C0AA516">
            <w:pPr>
              <w:jc w:val="right"/>
            </w:pPr>
            <w:r w:rsidR="1A1B9B8B">
              <w:t>0</w:t>
            </w:r>
          </w:p>
        </w:tc>
      </w:tr>
    </w:tbl>
    <w:p w:rsidR="007A5446" w:rsidRPr="007A5446" w:rsidP="007A5446" w14:paraId="16AE7ECF" w14:textId="4ED13AA1"/>
    <w:p w:rsidR="007A5446" w:rsidRPr="00F93A36" w:rsidP="00F93A36" w14:paraId="3F4396F4" w14:textId="09AFA2E3">
      <w:pPr>
        <w:pStyle w:val="ListParagraph"/>
        <w:numPr>
          <w:ilvl w:val="0"/>
          <w:numId w:val="19"/>
        </w:numPr>
        <w:ind w:left="360"/>
        <w:rPr>
          <w:b/>
          <w:bCs/>
        </w:rPr>
      </w:pPr>
      <w:r w:rsidRPr="00F93A36">
        <w:rPr>
          <w:b/>
          <w:bCs/>
        </w:rPr>
        <w:t>TIME SCHEDULE FOR PUBLICATION OF DATA</w:t>
      </w:r>
    </w:p>
    <w:p w:rsidR="00F93A36" w:rsidP="007A5446" w14:paraId="1FEAF8CF" w14:textId="77777777"/>
    <w:p w:rsidR="007A5446" w:rsidRPr="007A5446" w:rsidP="007A5446" w14:paraId="1F02DA9F" w14:textId="08DC6E40">
      <w:r w:rsidRPr="007A5446">
        <w:t xml:space="preserve">There is no </w:t>
      </w:r>
      <w:r w:rsidR="009C3F16">
        <w:t>regular</w:t>
      </w:r>
      <w:r w:rsidR="00795B1E">
        <w:t xml:space="preserve">ly scheduled </w:t>
      </w:r>
      <w:r w:rsidRPr="007A5446">
        <w:t>publication of data associated with FERC-555 information</w:t>
      </w:r>
      <w:r w:rsidR="00795B1E">
        <w:t>.</w:t>
      </w:r>
      <w:r w:rsidR="003516E6">
        <w:t xml:space="preserve"> </w:t>
      </w:r>
      <w:r w:rsidR="00795B1E">
        <w:t xml:space="preserve">Any publication of </w:t>
      </w:r>
      <w:r w:rsidR="002A5E61">
        <w:t xml:space="preserve">data associated with FERC-555 information </w:t>
      </w:r>
      <w:r w:rsidR="00721D8E">
        <w:t xml:space="preserve">is only to the extent that </w:t>
      </w:r>
      <w:r w:rsidR="003C42A2">
        <w:t xml:space="preserve">publication is involved in the </w:t>
      </w:r>
      <w:r w:rsidR="007D7562">
        <w:t>Commission</w:t>
      </w:r>
      <w:r w:rsidR="003C42A2">
        <w:t>’s</w:t>
      </w:r>
      <w:r w:rsidR="007D7562">
        <w:t xml:space="preserve"> use</w:t>
      </w:r>
      <w:r w:rsidR="003C42A2">
        <w:t xml:space="preserve"> of the relevant </w:t>
      </w:r>
      <w:r w:rsidR="007D7562">
        <w:t>records during periodic compliance reviews by audit and compliance staff, during investigations by the enforcement staff, and for special analyses as deemed necessary by the Commission.</w:t>
      </w:r>
      <w:r w:rsidR="003516E6">
        <w:t xml:space="preserve"> </w:t>
      </w:r>
      <w:r w:rsidR="00FD7A9D">
        <w:t>Otherwise, t</w:t>
      </w:r>
      <w:r w:rsidRPr="007A5446">
        <w:t xml:space="preserve">he FERC-555 </w:t>
      </w:r>
      <w:r w:rsidR="00743CA8">
        <w:t xml:space="preserve">records retained by jurisdictional entities are </w:t>
      </w:r>
      <w:r w:rsidRPr="007A5446">
        <w:t>not submitted to FERC</w:t>
      </w:r>
      <w:r w:rsidR="006B4ABC">
        <w:t xml:space="preserve"> and thus are not published by FERC.</w:t>
      </w:r>
    </w:p>
    <w:p w:rsidR="007A5446" w:rsidRPr="007A5446" w:rsidP="007A5446" w14:paraId="7EA25EAC" w14:textId="2B55A589"/>
    <w:p w:rsidR="24D96973" w14:paraId="151CC4A9" w14:textId="3FC493C3"/>
    <w:p w:rsidR="007A5446" w:rsidRPr="007A5446" w:rsidP="006B4ABC" w14:paraId="3616E87E" w14:textId="680B200B">
      <w:pPr>
        <w:numPr>
          <w:ilvl w:val="0"/>
          <w:numId w:val="21"/>
        </w:numPr>
        <w:ind w:left="360"/>
        <w:rPr>
          <w:b/>
          <w:bCs/>
        </w:rPr>
      </w:pPr>
      <w:r w:rsidRPr="007A5446">
        <w:rPr>
          <w:b/>
          <w:bCs/>
        </w:rPr>
        <w:t>DISPLAY OF EXPIRATION DATE</w:t>
      </w:r>
    </w:p>
    <w:p w:rsidR="006B4ABC" w:rsidP="007A5446" w14:paraId="1ECE6479" w14:textId="77777777"/>
    <w:p w:rsidR="00BD0E10" w:rsidP="007A5446" w14:paraId="3F40FBBD" w14:textId="0FF27752">
      <w:r w:rsidRPr="007A5446">
        <w:t xml:space="preserve">The expiration date is displayed in a table posted on ferc.gov at </w:t>
      </w:r>
      <w:hyperlink r:id="rId9" w:history="1">
        <w:r w:rsidRPr="00DC6DFF" w:rsidR="00DC6DFF">
          <w:rPr>
            <w:rStyle w:val="Hyperlink"/>
          </w:rPr>
          <w:t>Information Collections | Federal Energy Regulatory Commission (ferc.gov)</w:t>
        </w:r>
      </w:hyperlink>
    </w:p>
    <w:p w:rsidR="00DC6DFF" w:rsidRPr="007A5446" w:rsidP="007A5446" w14:paraId="5639451A" w14:textId="77777777">
      <w:pPr>
        <w:rPr>
          <w:b/>
          <w:bCs/>
        </w:rPr>
      </w:pPr>
    </w:p>
    <w:p w:rsidR="007A5446" w:rsidRPr="007A5446" w:rsidP="006B4ABC" w14:paraId="227E090F" w14:textId="34CC7430">
      <w:pPr>
        <w:numPr>
          <w:ilvl w:val="0"/>
          <w:numId w:val="22"/>
        </w:numPr>
        <w:ind w:left="360"/>
        <w:rPr>
          <w:b/>
          <w:bCs/>
        </w:rPr>
      </w:pPr>
      <w:r w:rsidRPr="007A5446">
        <w:rPr>
          <w:b/>
          <w:bCs/>
        </w:rPr>
        <w:t>EXCEPTIONS TO THE CERTIFICATION STATEMENT</w:t>
      </w:r>
    </w:p>
    <w:p w:rsidR="00BD0E10" w:rsidP="007A5446" w14:paraId="25A33077" w14:textId="77777777"/>
    <w:p w:rsidR="007A5446" w:rsidRPr="007A5446" w:rsidP="007A5446" w14:paraId="582E3992" w14:textId="14E21576">
      <w:r w:rsidRPr="007A5446">
        <w:t>There are no exceptions.</w:t>
      </w:r>
    </w:p>
    <w:sectPr>
      <w:headerReference w:type="default" r:id="rId1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56FE7" w:rsidP="007A5446" w14:paraId="46EF6616" w14:textId="77777777">
      <w:r>
        <w:separator/>
      </w:r>
    </w:p>
  </w:footnote>
  <w:footnote w:type="continuationSeparator" w:id="1">
    <w:p w:rsidR="00856FE7" w:rsidP="007A5446" w14:paraId="629BE3B8" w14:textId="77777777">
      <w:r>
        <w:continuationSeparator/>
      </w:r>
    </w:p>
  </w:footnote>
  <w:footnote w:type="continuationNotice" w:id="2">
    <w:p w:rsidR="00856FE7" w14:paraId="599DF973" w14:textId="77777777"/>
  </w:footnote>
  <w:footnote w:id="3">
    <w:p w:rsidR="009F7A86" w:rsidRPr="003516E6" w14:paraId="400E4BB1" w14:textId="7B297939">
      <w:pPr>
        <w:pStyle w:val="FootnoteText"/>
        <w:rPr>
          <w:sz w:val="22"/>
          <w:szCs w:val="22"/>
        </w:rPr>
      </w:pPr>
      <w:r w:rsidRPr="003516E6">
        <w:rPr>
          <w:rStyle w:val="FootnoteReference"/>
          <w:sz w:val="22"/>
          <w:szCs w:val="22"/>
        </w:rPr>
        <w:footnoteRef/>
      </w:r>
      <w:r w:rsidRPr="003516E6">
        <w:rPr>
          <w:sz w:val="22"/>
          <w:szCs w:val="22"/>
        </w:rPr>
        <w:t xml:space="preserve"> </w:t>
      </w:r>
      <w:r w:rsidRPr="003516E6" w:rsidR="0030562A">
        <w:rPr>
          <w:sz w:val="22"/>
          <w:szCs w:val="22"/>
        </w:rPr>
        <w:t xml:space="preserve">Section 20 is reprinted at </w:t>
      </w:r>
      <w:hyperlink r:id="rId1" w:history="1">
        <w:r w:rsidRPr="003516E6" w:rsidR="0030562A">
          <w:rPr>
            <w:rStyle w:val="Hyperlink"/>
            <w:sz w:val="22"/>
            <w:szCs w:val="22"/>
          </w:rPr>
          <w:t>Interstate Commerce Act (ferc.gov)</w:t>
        </w:r>
      </w:hyperlink>
      <w:r w:rsidRPr="003516E6" w:rsidR="008859E1">
        <w:rPr>
          <w:sz w:val="22"/>
          <w:szCs w:val="22"/>
        </w:rPr>
        <w:t xml:space="preserve">, which is </w:t>
      </w:r>
      <w:r w:rsidRPr="003516E6" w:rsidR="00CC3B5B">
        <w:rPr>
          <w:sz w:val="22"/>
          <w:szCs w:val="22"/>
        </w:rPr>
        <w:t xml:space="preserve">included </w:t>
      </w:r>
      <w:r w:rsidRPr="003516E6" w:rsidR="008C333A">
        <w:rPr>
          <w:sz w:val="22"/>
          <w:szCs w:val="22"/>
        </w:rPr>
        <w:t xml:space="preserve">in </w:t>
      </w:r>
      <w:r w:rsidRPr="003516E6" w:rsidR="00807403">
        <w:rPr>
          <w:sz w:val="22"/>
          <w:szCs w:val="22"/>
        </w:rPr>
        <w:t xml:space="preserve">Volume I of the FERC Staff Oil Pipeline Handbook </w:t>
      </w:r>
      <w:r w:rsidRPr="003516E6" w:rsidR="009572DC">
        <w:rPr>
          <w:sz w:val="22"/>
          <w:szCs w:val="22"/>
        </w:rPr>
        <w:t xml:space="preserve">at </w:t>
      </w:r>
      <w:hyperlink r:id="rId2" w:history="1">
        <w:r w:rsidRPr="003516E6" w:rsidR="009572DC">
          <w:rPr>
            <w:rStyle w:val="Hyperlink"/>
            <w:sz w:val="22"/>
            <w:szCs w:val="22"/>
          </w:rPr>
          <w:t>https://www.ferc.gov/industries-data/oil/staff-oil-pipeline-handbooks/volume-i-staff-oil-pipeline-handbook</w:t>
        </w:r>
      </w:hyperlink>
      <w:r w:rsidRPr="003516E6" w:rsidR="004358A5">
        <w:rPr>
          <w:sz w:val="22"/>
          <w:szCs w:val="22"/>
        </w:rPr>
        <w:t>.</w:t>
      </w:r>
    </w:p>
    <w:p w:rsidR="004358A5" w14:paraId="01DF890A" w14:textId="7A30DECF">
      <w:pPr>
        <w:pStyle w:val="FootnoteText"/>
      </w:pPr>
    </w:p>
  </w:footnote>
  <w:footnote w:id="4">
    <w:p w:rsidR="00C408D5" w:rsidRPr="003516E6" w:rsidP="00C408D5" w14:paraId="279AE331" w14:textId="77777777">
      <w:pPr>
        <w:pStyle w:val="FootnoteText"/>
        <w:rPr>
          <w:sz w:val="22"/>
          <w:szCs w:val="22"/>
        </w:rPr>
      </w:pPr>
      <w:r w:rsidRPr="003516E6">
        <w:rPr>
          <w:rStyle w:val="FootnoteReference"/>
          <w:sz w:val="22"/>
          <w:szCs w:val="22"/>
        </w:rPr>
        <w:footnoteRef/>
      </w:r>
      <w:r w:rsidRPr="003516E6">
        <w:rPr>
          <w:sz w:val="22"/>
          <w:szCs w:val="22"/>
        </w:rPr>
        <w:t xml:space="preserve"> “Burden” is the total time, effort, or financial resources expended by persons to generate, maintain, retain, or disclose or provide information to or for a Federal agency. For further explanation of what is included in the information collection burden, refer to 5 CFR 1320.3.</w:t>
      </w:r>
    </w:p>
  </w:footnote>
  <w:footnote w:id="5">
    <w:p w:rsidR="0050313B" w:rsidRPr="003516E6" w:rsidP="0050313B" w14:paraId="4EA8232C" w14:textId="2CC06EB2">
      <w:pPr>
        <w:pStyle w:val="FootnoteText"/>
        <w:rPr>
          <w:sz w:val="22"/>
          <w:szCs w:val="22"/>
        </w:rPr>
      </w:pPr>
      <w:r w:rsidRPr="003516E6">
        <w:rPr>
          <w:rStyle w:val="FootnoteReference"/>
          <w:sz w:val="22"/>
          <w:szCs w:val="22"/>
        </w:rPr>
        <w:footnoteRef/>
      </w:r>
      <w:r w:rsidR="008E2295">
        <w:rPr>
          <w:sz w:val="22"/>
          <w:szCs w:val="22"/>
        </w:rPr>
        <w:t xml:space="preserve"> </w:t>
      </w:r>
      <w:r w:rsidRPr="003516E6">
        <w:rPr>
          <w:sz w:val="22"/>
          <w:szCs w:val="22"/>
        </w:rPr>
        <w:t>FERC estimates that industry hourly costs are similar to the Commission FY 2026 average salary plus benefits of $213,003 per year (or $102/hour).</w:t>
      </w:r>
    </w:p>
  </w:footnote>
  <w:footnote w:id="6">
    <w:p w:rsidR="00AC53D9" w14:paraId="66DD2661" w14:textId="7D312C28">
      <w:pPr>
        <w:pStyle w:val="FootnoteText"/>
      </w:pPr>
      <w:r>
        <w:rPr>
          <w:rStyle w:val="FootnoteReference"/>
        </w:rPr>
        <w:footnoteRef/>
      </w:r>
      <w:r>
        <w:t xml:space="preserve"> </w:t>
      </w:r>
      <w:r w:rsidRPr="003516E6">
        <w:rPr>
          <w:sz w:val="22"/>
          <w:szCs w:val="22"/>
        </w:rPr>
        <w:t>The estimate of annual burden incorporates an additional 0.5 hr per respondent annual estimated burden approved by the Commission in </w:t>
      </w:r>
      <w:r w:rsidRPr="003516E6">
        <w:rPr>
          <w:i/>
          <w:iCs/>
          <w:sz w:val="22"/>
          <w:szCs w:val="22"/>
        </w:rPr>
        <w:t>Policy Statement on</w:t>
      </w:r>
      <w:r w:rsidRPr="003516E6">
        <w:rPr>
          <w:sz w:val="22"/>
          <w:szCs w:val="22"/>
        </w:rPr>
        <w:t> </w:t>
      </w:r>
      <w:r w:rsidRPr="003516E6">
        <w:rPr>
          <w:i/>
          <w:iCs/>
          <w:sz w:val="22"/>
          <w:szCs w:val="22"/>
        </w:rPr>
        <w:t>Project-Area Wage Standards in the Labor Cost Component of Cost-of-Service Rates</w:t>
      </w:r>
      <w:r w:rsidRPr="003516E6">
        <w:rPr>
          <w:sz w:val="22"/>
          <w:szCs w:val="22"/>
        </w:rPr>
        <w:t>, 186 FERC ¶ 61,190 at P 20 (2024) (“… entities seeking to include project-area wage standards in cost-of-service rates should maintain and preserve records, including books of account or records for work performed by employees, contractors or subcontractors, sufficient to demonstrate that claimed project-area wages were actually paid.”).</w:t>
      </w:r>
      <w:r>
        <w:rPr>
          <w:sz w:val="22"/>
          <w:szCs w:val="22"/>
        </w:rPr>
        <w:t xml:space="preserve"> </w:t>
      </w:r>
      <w:r w:rsidRPr="003516E6">
        <w:rPr>
          <w:sz w:val="22"/>
          <w:szCs w:val="22"/>
        </w:rPr>
        <w:t>The 60-day Federal Register Notice correctly stated that there are no proposed changes to the record keeping requirements.</w:t>
      </w:r>
      <w:r>
        <w:rPr>
          <w:sz w:val="22"/>
          <w:szCs w:val="22"/>
        </w:rPr>
        <w:t xml:space="preserve"> </w:t>
      </w:r>
      <w:r w:rsidRPr="003516E6">
        <w:rPr>
          <w:sz w:val="22"/>
          <w:szCs w:val="22"/>
        </w:rPr>
        <w:t>However, the additional burden associated with the previously approved Project Area Wages Record Retention was inadvertently omitted from the 60-day Federal Register Notice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81B7A" w14:paraId="14493259" w14:textId="27F38360">
    <w:pPr>
      <w:pStyle w:val="Header"/>
    </w:pPr>
    <w:r>
      <w:t>FERC-555(OMB Control No. 1902-0098)</w:t>
    </w:r>
  </w:p>
  <w:p w:rsidR="007A5446" w14:paraId="76EFE5FE" w14:textId="6F6BC3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B514DB"/>
    <w:multiLevelType w:val="multilevel"/>
    <w:tmpl w:val="857C88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262D03"/>
    <w:multiLevelType w:val="multilevel"/>
    <w:tmpl w:val="FE64FA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A279B7"/>
    <w:multiLevelType w:val="multilevel"/>
    <w:tmpl w:val="5BA401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4F2A5A"/>
    <w:multiLevelType w:val="multilevel"/>
    <w:tmpl w:val="F1EC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6DF6BA2"/>
    <w:multiLevelType w:val="multilevel"/>
    <w:tmpl w:val="03E6E3C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8DB1EA7"/>
    <w:multiLevelType w:val="multilevel"/>
    <w:tmpl w:val="303E3C5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100B9D"/>
    <w:multiLevelType w:val="multilevel"/>
    <w:tmpl w:val="53DC9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C5EAC"/>
    <w:multiLevelType w:val="multilevel"/>
    <w:tmpl w:val="728A9B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543E68"/>
    <w:multiLevelType w:val="multilevel"/>
    <w:tmpl w:val="B188335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CA4B8B"/>
    <w:multiLevelType w:val="multilevel"/>
    <w:tmpl w:val="D07841D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C055835"/>
    <w:multiLevelType w:val="multilevel"/>
    <w:tmpl w:val="66DEE4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0F0D5F"/>
    <w:multiLevelType w:val="multilevel"/>
    <w:tmpl w:val="4828BA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73E5271"/>
    <w:multiLevelType w:val="hybridMultilevel"/>
    <w:tmpl w:val="FBD0235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C397296"/>
    <w:multiLevelType w:val="multilevel"/>
    <w:tmpl w:val="5B7ABA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60842C2"/>
    <w:multiLevelType w:val="multilevel"/>
    <w:tmpl w:val="99804C0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5BC1824"/>
    <w:multiLevelType w:val="multilevel"/>
    <w:tmpl w:val="86F04C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736535F"/>
    <w:multiLevelType w:val="multilevel"/>
    <w:tmpl w:val="5B60CF0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86824B3"/>
    <w:multiLevelType w:val="multilevel"/>
    <w:tmpl w:val="546889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C831AA5"/>
    <w:multiLevelType w:val="multilevel"/>
    <w:tmpl w:val="B452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38329EE"/>
    <w:multiLevelType w:val="multilevel"/>
    <w:tmpl w:val="8592A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BA647A"/>
    <w:multiLevelType w:val="multilevel"/>
    <w:tmpl w:val="C882CF4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5BC11F8"/>
    <w:multiLevelType w:val="multilevel"/>
    <w:tmpl w:val="0836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EE2934F"/>
    <w:multiLevelType w:val="hybridMultilevel"/>
    <w:tmpl w:val="000000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2"/>
  </w:num>
  <w:num w:numId="2" w16cid:durableId="1816337960">
    <w:abstractNumId w:val="19"/>
  </w:num>
  <w:num w:numId="3" w16cid:durableId="1807622946">
    <w:abstractNumId w:val="10"/>
  </w:num>
  <w:num w:numId="4" w16cid:durableId="1173833655">
    <w:abstractNumId w:val="21"/>
  </w:num>
  <w:num w:numId="5" w16cid:durableId="1432971301">
    <w:abstractNumId w:val="3"/>
  </w:num>
  <w:num w:numId="6" w16cid:durableId="601574494">
    <w:abstractNumId w:val="18"/>
  </w:num>
  <w:num w:numId="7" w16cid:durableId="565647484">
    <w:abstractNumId w:val="2"/>
  </w:num>
  <w:num w:numId="8" w16cid:durableId="1386446003">
    <w:abstractNumId w:val="13"/>
  </w:num>
  <w:num w:numId="9" w16cid:durableId="84033340">
    <w:abstractNumId w:val="6"/>
  </w:num>
  <w:num w:numId="10" w16cid:durableId="325978851">
    <w:abstractNumId w:val="17"/>
  </w:num>
  <w:num w:numId="11" w16cid:durableId="93400100">
    <w:abstractNumId w:val="9"/>
  </w:num>
  <w:num w:numId="12" w16cid:durableId="1624192718">
    <w:abstractNumId w:val="15"/>
  </w:num>
  <w:num w:numId="13" w16cid:durableId="701133128">
    <w:abstractNumId w:val="1"/>
  </w:num>
  <w:num w:numId="14" w16cid:durableId="585697058">
    <w:abstractNumId w:val="7"/>
  </w:num>
  <w:num w:numId="15" w16cid:durableId="224342272">
    <w:abstractNumId w:val="11"/>
  </w:num>
  <w:num w:numId="16" w16cid:durableId="857933757">
    <w:abstractNumId w:val="14"/>
  </w:num>
  <w:num w:numId="17" w16cid:durableId="710494309">
    <w:abstractNumId w:val="8"/>
  </w:num>
  <w:num w:numId="18" w16cid:durableId="884830695">
    <w:abstractNumId w:val="0"/>
  </w:num>
  <w:num w:numId="19" w16cid:durableId="254679308">
    <w:abstractNumId w:val="20"/>
  </w:num>
  <w:num w:numId="20" w16cid:durableId="804466782">
    <w:abstractNumId w:val="4"/>
  </w:num>
  <w:num w:numId="21" w16cid:durableId="412900719">
    <w:abstractNumId w:val="5"/>
  </w:num>
  <w:num w:numId="22" w16cid:durableId="1074352691">
    <w:abstractNumId w:val="16"/>
  </w:num>
  <w:num w:numId="23" w16cid:durableId="7167776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46"/>
    <w:rsid w:val="00003323"/>
    <w:rsid w:val="0001012D"/>
    <w:rsid w:val="0001066F"/>
    <w:rsid w:val="000168BE"/>
    <w:rsid w:val="00026029"/>
    <w:rsid w:val="00027EDC"/>
    <w:rsid w:val="00035A5D"/>
    <w:rsid w:val="000404B0"/>
    <w:rsid w:val="00056B8E"/>
    <w:rsid w:val="00064B29"/>
    <w:rsid w:val="00065277"/>
    <w:rsid w:val="00073D3E"/>
    <w:rsid w:val="000804FC"/>
    <w:rsid w:val="00081B7A"/>
    <w:rsid w:val="00083731"/>
    <w:rsid w:val="0008586A"/>
    <w:rsid w:val="00093474"/>
    <w:rsid w:val="00097840"/>
    <w:rsid w:val="000A62CC"/>
    <w:rsid w:val="000D3089"/>
    <w:rsid w:val="000E212E"/>
    <w:rsid w:val="000F29C0"/>
    <w:rsid w:val="00103CF2"/>
    <w:rsid w:val="001063F6"/>
    <w:rsid w:val="0010795B"/>
    <w:rsid w:val="00121A09"/>
    <w:rsid w:val="00122303"/>
    <w:rsid w:val="00125590"/>
    <w:rsid w:val="001351B7"/>
    <w:rsid w:val="00155984"/>
    <w:rsid w:val="001631B4"/>
    <w:rsid w:val="00171AF3"/>
    <w:rsid w:val="00175713"/>
    <w:rsid w:val="001A5935"/>
    <w:rsid w:val="001A6689"/>
    <w:rsid w:val="001B0190"/>
    <w:rsid w:val="001C0F8C"/>
    <w:rsid w:val="001C474A"/>
    <w:rsid w:val="001E4F5F"/>
    <w:rsid w:val="00201464"/>
    <w:rsid w:val="00211860"/>
    <w:rsid w:val="00222576"/>
    <w:rsid w:val="002234B8"/>
    <w:rsid w:val="00234E0F"/>
    <w:rsid w:val="00256704"/>
    <w:rsid w:val="002651D4"/>
    <w:rsid w:val="00271AC3"/>
    <w:rsid w:val="00283999"/>
    <w:rsid w:val="00284F2B"/>
    <w:rsid w:val="002907BE"/>
    <w:rsid w:val="002A0332"/>
    <w:rsid w:val="002A26ED"/>
    <w:rsid w:val="002A35FD"/>
    <w:rsid w:val="002A5E61"/>
    <w:rsid w:val="002C2911"/>
    <w:rsid w:val="002D4CE1"/>
    <w:rsid w:val="002D50AC"/>
    <w:rsid w:val="002D682D"/>
    <w:rsid w:val="002E5DD9"/>
    <w:rsid w:val="002E7C55"/>
    <w:rsid w:val="002F1D37"/>
    <w:rsid w:val="002F6C30"/>
    <w:rsid w:val="00301681"/>
    <w:rsid w:val="0030562A"/>
    <w:rsid w:val="00312A84"/>
    <w:rsid w:val="0033140E"/>
    <w:rsid w:val="00351509"/>
    <w:rsid w:val="003516E6"/>
    <w:rsid w:val="00353B6D"/>
    <w:rsid w:val="00356BA2"/>
    <w:rsid w:val="0036251D"/>
    <w:rsid w:val="0036375A"/>
    <w:rsid w:val="00364D15"/>
    <w:rsid w:val="00376F79"/>
    <w:rsid w:val="00387441"/>
    <w:rsid w:val="0039153C"/>
    <w:rsid w:val="003A79DE"/>
    <w:rsid w:val="003B1070"/>
    <w:rsid w:val="003C26B5"/>
    <w:rsid w:val="003C3310"/>
    <w:rsid w:val="003C42A2"/>
    <w:rsid w:val="003D011C"/>
    <w:rsid w:val="003D4766"/>
    <w:rsid w:val="003E5924"/>
    <w:rsid w:val="003F4DE7"/>
    <w:rsid w:val="00400F80"/>
    <w:rsid w:val="004024A8"/>
    <w:rsid w:val="00407FD1"/>
    <w:rsid w:val="004210D2"/>
    <w:rsid w:val="00423EB0"/>
    <w:rsid w:val="0043045A"/>
    <w:rsid w:val="004358A5"/>
    <w:rsid w:val="00440B30"/>
    <w:rsid w:val="004414E5"/>
    <w:rsid w:val="00466D07"/>
    <w:rsid w:val="00486F8F"/>
    <w:rsid w:val="004A158C"/>
    <w:rsid w:val="004A5492"/>
    <w:rsid w:val="004C175E"/>
    <w:rsid w:val="004C32D4"/>
    <w:rsid w:val="004C4EF1"/>
    <w:rsid w:val="004E2F69"/>
    <w:rsid w:val="004E45D6"/>
    <w:rsid w:val="004F30F3"/>
    <w:rsid w:val="0050313B"/>
    <w:rsid w:val="00505810"/>
    <w:rsid w:val="00513166"/>
    <w:rsid w:val="00520D0A"/>
    <w:rsid w:val="005230F8"/>
    <w:rsid w:val="00525E44"/>
    <w:rsid w:val="00541954"/>
    <w:rsid w:val="00544323"/>
    <w:rsid w:val="00545998"/>
    <w:rsid w:val="005737C0"/>
    <w:rsid w:val="0057499C"/>
    <w:rsid w:val="0057601E"/>
    <w:rsid w:val="00585B44"/>
    <w:rsid w:val="00597EDA"/>
    <w:rsid w:val="005B7D4F"/>
    <w:rsid w:val="005C1B5B"/>
    <w:rsid w:val="005C65EB"/>
    <w:rsid w:val="005C758E"/>
    <w:rsid w:val="00613DB1"/>
    <w:rsid w:val="00614E36"/>
    <w:rsid w:val="00622643"/>
    <w:rsid w:val="00623498"/>
    <w:rsid w:val="00627B4F"/>
    <w:rsid w:val="0063091E"/>
    <w:rsid w:val="006537E9"/>
    <w:rsid w:val="00654567"/>
    <w:rsid w:val="00663D3F"/>
    <w:rsid w:val="006900AE"/>
    <w:rsid w:val="006901E7"/>
    <w:rsid w:val="006920CF"/>
    <w:rsid w:val="00694675"/>
    <w:rsid w:val="006A21B1"/>
    <w:rsid w:val="006A50D4"/>
    <w:rsid w:val="006B407E"/>
    <w:rsid w:val="006B414D"/>
    <w:rsid w:val="006B4ABC"/>
    <w:rsid w:val="006B7875"/>
    <w:rsid w:val="006D6A0F"/>
    <w:rsid w:val="00700E3B"/>
    <w:rsid w:val="00710A16"/>
    <w:rsid w:val="0072088F"/>
    <w:rsid w:val="00721D8E"/>
    <w:rsid w:val="0072359D"/>
    <w:rsid w:val="00724F84"/>
    <w:rsid w:val="0073510D"/>
    <w:rsid w:val="00736A1E"/>
    <w:rsid w:val="00737948"/>
    <w:rsid w:val="00742242"/>
    <w:rsid w:val="00743A0F"/>
    <w:rsid w:val="00743CA8"/>
    <w:rsid w:val="0075003F"/>
    <w:rsid w:val="00756873"/>
    <w:rsid w:val="00767533"/>
    <w:rsid w:val="00773B0C"/>
    <w:rsid w:val="00795B1E"/>
    <w:rsid w:val="00795F1E"/>
    <w:rsid w:val="00797D8F"/>
    <w:rsid w:val="007A5446"/>
    <w:rsid w:val="007B025E"/>
    <w:rsid w:val="007B1E6E"/>
    <w:rsid w:val="007D54AA"/>
    <w:rsid w:val="007D7562"/>
    <w:rsid w:val="007E1732"/>
    <w:rsid w:val="007F29AB"/>
    <w:rsid w:val="00805C65"/>
    <w:rsid w:val="00807403"/>
    <w:rsid w:val="00810144"/>
    <w:rsid w:val="00817EE5"/>
    <w:rsid w:val="0084054E"/>
    <w:rsid w:val="008445EB"/>
    <w:rsid w:val="00845618"/>
    <w:rsid w:val="00856FE7"/>
    <w:rsid w:val="00867E5C"/>
    <w:rsid w:val="00870E37"/>
    <w:rsid w:val="0087325F"/>
    <w:rsid w:val="00880063"/>
    <w:rsid w:val="00881450"/>
    <w:rsid w:val="008859E1"/>
    <w:rsid w:val="00896AA4"/>
    <w:rsid w:val="008A5413"/>
    <w:rsid w:val="008C333A"/>
    <w:rsid w:val="008D04EF"/>
    <w:rsid w:val="008D2708"/>
    <w:rsid w:val="008D2E46"/>
    <w:rsid w:val="008E060F"/>
    <w:rsid w:val="008E2295"/>
    <w:rsid w:val="008E27E0"/>
    <w:rsid w:val="008F2D7B"/>
    <w:rsid w:val="0091328B"/>
    <w:rsid w:val="00923CC3"/>
    <w:rsid w:val="0092535D"/>
    <w:rsid w:val="00931FC4"/>
    <w:rsid w:val="00943964"/>
    <w:rsid w:val="00944C73"/>
    <w:rsid w:val="009572DC"/>
    <w:rsid w:val="00960675"/>
    <w:rsid w:val="00967369"/>
    <w:rsid w:val="009B6607"/>
    <w:rsid w:val="009C034B"/>
    <w:rsid w:val="009C3F16"/>
    <w:rsid w:val="009D1A10"/>
    <w:rsid w:val="009D27F3"/>
    <w:rsid w:val="009D44E2"/>
    <w:rsid w:val="009D7ABE"/>
    <w:rsid w:val="009E0A34"/>
    <w:rsid w:val="009E3B1E"/>
    <w:rsid w:val="009F2CF2"/>
    <w:rsid w:val="009F7A86"/>
    <w:rsid w:val="00A07F25"/>
    <w:rsid w:val="00A106AB"/>
    <w:rsid w:val="00A170F7"/>
    <w:rsid w:val="00A3529C"/>
    <w:rsid w:val="00A419BF"/>
    <w:rsid w:val="00A42D1C"/>
    <w:rsid w:val="00A51E3F"/>
    <w:rsid w:val="00A56012"/>
    <w:rsid w:val="00A65959"/>
    <w:rsid w:val="00A75790"/>
    <w:rsid w:val="00A814F3"/>
    <w:rsid w:val="00AA487A"/>
    <w:rsid w:val="00AC53D9"/>
    <w:rsid w:val="00AD0EAB"/>
    <w:rsid w:val="00AD6612"/>
    <w:rsid w:val="00AE1C02"/>
    <w:rsid w:val="00AF3B9D"/>
    <w:rsid w:val="00B10FA4"/>
    <w:rsid w:val="00B17FF8"/>
    <w:rsid w:val="00B22C8E"/>
    <w:rsid w:val="00B236A9"/>
    <w:rsid w:val="00B30E59"/>
    <w:rsid w:val="00B464A0"/>
    <w:rsid w:val="00B53AE7"/>
    <w:rsid w:val="00B86932"/>
    <w:rsid w:val="00BC3C1C"/>
    <w:rsid w:val="00BC7066"/>
    <w:rsid w:val="00BD0E10"/>
    <w:rsid w:val="00BD3603"/>
    <w:rsid w:val="00BD3F57"/>
    <w:rsid w:val="00BF00AC"/>
    <w:rsid w:val="00BF2A21"/>
    <w:rsid w:val="00BF2D5E"/>
    <w:rsid w:val="00C03EBA"/>
    <w:rsid w:val="00C07B50"/>
    <w:rsid w:val="00C15934"/>
    <w:rsid w:val="00C21715"/>
    <w:rsid w:val="00C24EB1"/>
    <w:rsid w:val="00C408D5"/>
    <w:rsid w:val="00C4169A"/>
    <w:rsid w:val="00C41721"/>
    <w:rsid w:val="00C43746"/>
    <w:rsid w:val="00C53800"/>
    <w:rsid w:val="00C578ED"/>
    <w:rsid w:val="00C60446"/>
    <w:rsid w:val="00C647AE"/>
    <w:rsid w:val="00C75987"/>
    <w:rsid w:val="00C84A0C"/>
    <w:rsid w:val="00C92257"/>
    <w:rsid w:val="00C924D4"/>
    <w:rsid w:val="00CC147E"/>
    <w:rsid w:val="00CC32F4"/>
    <w:rsid w:val="00CC3B5B"/>
    <w:rsid w:val="00CC5B59"/>
    <w:rsid w:val="00CE00F2"/>
    <w:rsid w:val="00CE2D1D"/>
    <w:rsid w:val="00D03A45"/>
    <w:rsid w:val="00D05DC6"/>
    <w:rsid w:val="00D21086"/>
    <w:rsid w:val="00D22286"/>
    <w:rsid w:val="00D22C4F"/>
    <w:rsid w:val="00D35F56"/>
    <w:rsid w:val="00D72032"/>
    <w:rsid w:val="00D725A6"/>
    <w:rsid w:val="00D8592E"/>
    <w:rsid w:val="00D86B5F"/>
    <w:rsid w:val="00DA0346"/>
    <w:rsid w:val="00DA7CB8"/>
    <w:rsid w:val="00DB01BA"/>
    <w:rsid w:val="00DC15DF"/>
    <w:rsid w:val="00DC4813"/>
    <w:rsid w:val="00DC6DFF"/>
    <w:rsid w:val="00DC7BEB"/>
    <w:rsid w:val="00DD0304"/>
    <w:rsid w:val="00DD0BDE"/>
    <w:rsid w:val="00DE1D5E"/>
    <w:rsid w:val="00DE31B3"/>
    <w:rsid w:val="00DF26AE"/>
    <w:rsid w:val="00DF7FCF"/>
    <w:rsid w:val="00E01DEC"/>
    <w:rsid w:val="00E122E2"/>
    <w:rsid w:val="00E21680"/>
    <w:rsid w:val="00E26522"/>
    <w:rsid w:val="00E36B1C"/>
    <w:rsid w:val="00E444F3"/>
    <w:rsid w:val="00E6328E"/>
    <w:rsid w:val="00E64AFD"/>
    <w:rsid w:val="00E87CEC"/>
    <w:rsid w:val="00E9587B"/>
    <w:rsid w:val="00E9747E"/>
    <w:rsid w:val="00EA43A7"/>
    <w:rsid w:val="00EB13C5"/>
    <w:rsid w:val="00EB457C"/>
    <w:rsid w:val="00EB6D2B"/>
    <w:rsid w:val="00EC055A"/>
    <w:rsid w:val="00EC32BD"/>
    <w:rsid w:val="00EC775E"/>
    <w:rsid w:val="00EC7FEB"/>
    <w:rsid w:val="00ED0A09"/>
    <w:rsid w:val="00EE0864"/>
    <w:rsid w:val="00EE474F"/>
    <w:rsid w:val="00EF333F"/>
    <w:rsid w:val="00F0384C"/>
    <w:rsid w:val="00F06550"/>
    <w:rsid w:val="00F10792"/>
    <w:rsid w:val="00F11B4C"/>
    <w:rsid w:val="00F156DE"/>
    <w:rsid w:val="00F169B5"/>
    <w:rsid w:val="00F2120B"/>
    <w:rsid w:val="00F229F5"/>
    <w:rsid w:val="00F25748"/>
    <w:rsid w:val="00F30B3A"/>
    <w:rsid w:val="00F4451F"/>
    <w:rsid w:val="00F46236"/>
    <w:rsid w:val="00F53080"/>
    <w:rsid w:val="00F54237"/>
    <w:rsid w:val="00F544BB"/>
    <w:rsid w:val="00F62D89"/>
    <w:rsid w:val="00F76776"/>
    <w:rsid w:val="00F80E31"/>
    <w:rsid w:val="00F93A36"/>
    <w:rsid w:val="00F95F40"/>
    <w:rsid w:val="00FA1567"/>
    <w:rsid w:val="00FD7A9D"/>
    <w:rsid w:val="00FE1F12"/>
    <w:rsid w:val="00FF3914"/>
    <w:rsid w:val="07C179F1"/>
    <w:rsid w:val="1612C7BB"/>
    <w:rsid w:val="16CA481F"/>
    <w:rsid w:val="171D9FA5"/>
    <w:rsid w:val="19115240"/>
    <w:rsid w:val="1A1B9B8B"/>
    <w:rsid w:val="1C43D538"/>
    <w:rsid w:val="1CD55522"/>
    <w:rsid w:val="22687879"/>
    <w:rsid w:val="24D96973"/>
    <w:rsid w:val="26056ABE"/>
    <w:rsid w:val="26E0DBAB"/>
    <w:rsid w:val="28D4EF0B"/>
    <w:rsid w:val="2BDFB171"/>
    <w:rsid w:val="325C0517"/>
    <w:rsid w:val="3E6F6C2A"/>
    <w:rsid w:val="429B6583"/>
    <w:rsid w:val="4994801D"/>
    <w:rsid w:val="4D056ACA"/>
    <w:rsid w:val="4E8D27CF"/>
    <w:rsid w:val="4F3C62A2"/>
    <w:rsid w:val="56F565AC"/>
    <w:rsid w:val="5AEE507F"/>
    <w:rsid w:val="5C78331F"/>
    <w:rsid w:val="6C354605"/>
    <w:rsid w:val="6C976718"/>
    <w:rsid w:val="7457C439"/>
    <w:rsid w:val="75DC21F1"/>
    <w:rsid w:val="7690D11A"/>
    <w:rsid w:val="7A0C4DAA"/>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AA9DFE4"/>
  <w15:chartTrackingRefBased/>
  <w15:docId w15:val="{3989822D-7AC0-4D35-B6C9-B1EA2EACE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5748"/>
    <w:pPr>
      <w:widowControl w:val="0"/>
      <w:autoSpaceDE w:val="0"/>
      <w:autoSpaceDN w:val="0"/>
      <w:adjustRightInd w:val="0"/>
      <w:spacing w:after="0" w:line="240" w:lineRule="auto"/>
    </w:pPr>
    <w:rPr>
      <w:rFonts w:ascii="Times New Roman" w:hAnsi="Times New Roman"/>
      <w:sz w:val="26"/>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5748"/>
    <w:pPr>
      <w:ind w:left="720"/>
      <w:contextualSpacing/>
    </w:pPr>
    <w:rPr>
      <w:rFonts w:eastAsia="Times New Roman" w:cs="Times New Roman"/>
    </w:rPr>
  </w:style>
  <w:style w:type="paragraph" w:styleId="Header">
    <w:name w:val="header"/>
    <w:basedOn w:val="Normal"/>
    <w:link w:val="HeaderChar"/>
    <w:uiPriority w:val="99"/>
    <w:unhideWhenUsed/>
    <w:rsid w:val="007A5446"/>
    <w:pPr>
      <w:tabs>
        <w:tab w:val="center" w:pos="4680"/>
        <w:tab w:val="right" w:pos="9360"/>
      </w:tabs>
    </w:pPr>
  </w:style>
  <w:style w:type="character" w:customStyle="1" w:styleId="HeaderChar">
    <w:name w:val="Header Char"/>
    <w:basedOn w:val="DefaultParagraphFont"/>
    <w:link w:val="Header"/>
    <w:uiPriority w:val="99"/>
    <w:rsid w:val="007A5446"/>
    <w:rPr>
      <w:rFonts w:ascii="Times New Roman" w:hAnsi="Times New Roman"/>
      <w:sz w:val="26"/>
      <w:szCs w:val="24"/>
    </w:rPr>
  </w:style>
  <w:style w:type="paragraph" w:styleId="Footer">
    <w:name w:val="footer"/>
    <w:basedOn w:val="Normal"/>
    <w:link w:val="FooterChar"/>
    <w:uiPriority w:val="99"/>
    <w:unhideWhenUsed/>
    <w:rsid w:val="007A5446"/>
    <w:pPr>
      <w:tabs>
        <w:tab w:val="center" w:pos="4680"/>
        <w:tab w:val="right" w:pos="9360"/>
      </w:tabs>
    </w:pPr>
  </w:style>
  <w:style w:type="character" w:customStyle="1" w:styleId="FooterChar">
    <w:name w:val="Footer Char"/>
    <w:basedOn w:val="DefaultParagraphFont"/>
    <w:link w:val="Footer"/>
    <w:uiPriority w:val="99"/>
    <w:rsid w:val="007A5446"/>
    <w:rPr>
      <w:rFonts w:ascii="Times New Roman" w:hAnsi="Times New Roman"/>
      <w:sz w:val="26"/>
      <w:szCs w:val="24"/>
    </w:rPr>
  </w:style>
  <w:style w:type="character" w:styleId="Hyperlink">
    <w:name w:val="Hyperlink"/>
    <w:basedOn w:val="DefaultParagraphFont"/>
    <w:uiPriority w:val="99"/>
    <w:unhideWhenUsed/>
    <w:rsid w:val="007A5446"/>
    <w:rPr>
      <w:color w:val="0563C1" w:themeColor="hyperlink"/>
      <w:u w:val="single"/>
    </w:rPr>
  </w:style>
  <w:style w:type="character" w:styleId="UnresolvedMention">
    <w:name w:val="Unresolved Mention"/>
    <w:basedOn w:val="DefaultParagraphFont"/>
    <w:uiPriority w:val="99"/>
    <w:semiHidden/>
    <w:unhideWhenUsed/>
    <w:rsid w:val="007A5446"/>
    <w:rPr>
      <w:color w:val="605E5C"/>
      <w:shd w:val="clear" w:color="auto" w:fill="E1DFDD"/>
    </w:rPr>
  </w:style>
  <w:style w:type="paragraph" w:styleId="FootnoteText">
    <w:name w:val="footnote text"/>
    <w:basedOn w:val="Normal"/>
    <w:link w:val="FootnoteTextChar"/>
    <w:uiPriority w:val="99"/>
    <w:semiHidden/>
    <w:unhideWhenUsed/>
    <w:rsid w:val="009F7A86"/>
    <w:rPr>
      <w:sz w:val="20"/>
      <w:szCs w:val="20"/>
    </w:rPr>
  </w:style>
  <w:style w:type="character" w:customStyle="1" w:styleId="FootnoteTextChar">
    <w:name w:val="Footnote Text Char"/>
    <w:basedOn w:val="DefaultParagraphFont"/>
    <w:link w:val="FootnoteText"/>
    <w:uiPriority w:val="99"/>
    <w:semiHidden/>
    <w:rsid w:val="009F7A86"/>
    <w:rPr>
      <w:rFonts w:ascii="Times New Roman" w:hAnsi="Times New Roman"/>
      <w:sz w:val="20"/>
      <w:szCs w:val="20"/>
    </w:rPr>
  </w:style>
  <w:style w:type="character" w:styleId="FootnoteReference">
    <w:name w:val="footnote reference"/>
    <w:basedOn w:val="DefaultParagraphFont"/>
    <w:uiPriority w:val="99"/>
    <w:semiHidden/>
    <w:unhideWhenUsed/>
    <w:rsid w:val="009F7A86"/>
    <w:rPr>
      <w:vertAlign w:val="superscript"/>
    </w:rPr>
  </w:style>
  <w:style w:type="character" w:styleId="FollowedHyperlink">
    <w:name w:val="FollowedHyperlink"/>
    <w:basedOn w:val="DefaultParagraphFont"/>
    <w:uiPriority w:val="99"/>
    <w:semiHidden/>
    <w:unhideWhenUsed/>
    <w:rsid w:val="004358A5"/>
    <w:rPr>
      <w:color w:val="954F72" w:themeColor="followedHyperlink"/>
      <w:u w:val="single"/>
    </w:rPr>
  </w:style>
  <w:style w:type="paragraph" w:styleId="Revision">
    <w:name w:val="Revision"/>
    <w:hidden/>
    <w:uiPriority w:val="99"/>
    <w:semiHidden/>
    <w:rsid w:val="00E444F3"/>
    <w:pPr>
      <w:spacing w:after="0" w:line="240" w:lineRule="auto"/>
    </w:pPr>
    <w:rPr>
      <w:rFonts w:ascii="Times New Roman" w:hAnsi="Times New Roman"/>
      <w:sz w:val="26"/>
      <w:szCs w:val="24"/>
    </w:rPr>
  </w:style>
  <w:style w:type="character" w:customStyle="1" w:styleId="CommentReference">
    <w:name w:val="Comment Reference"/>
    <w:basedOn w:val="DefaultParagraphFont"/>
    <w:uiPriority w:val="99"/>
    <w:semiHidden/>
    <w:unhideWhenUsed/>
    <w:rsid w:val="009D7ABE"/>
    <w:rPr>
      <w:sz w:val="16"/>
      <w:szCs w:val="16"/>
    </w:rPr>
  </w:style>
  <w:style w:type="paragraph" w:customStyle="1" w:styleId="CommentText">
    <w:name w:val="Comment Text"/>
    <w:basedOn w:val="Normal"/>
    <w:link w:val="CommentTextChar"/>
    <w:uiPriority w:val="99"/>
    <w:unhideWhenUsed/>
    <w:rsid w:val="009D7ABE"/>
    <w:rPr>
      <w:sz w:val="20"/>
      <w:szCs w:val="20"/>
    </w:rPr>
  </w:style>
  <w:style w:type="character" w:customStyle="1" w:styleId="CommentTextChar">
    <w:name w:val="Comment Text Char"/>
    <w:basedOn w:val="DefaultParagraphFont"/>
    <w:link w:val="CommentText"/>
    <w:uiPriority w:val="99"/>
    <w:rsid w:val="009D7ABE"/>
    <w:rPr>
      <w:rFonts w:ascii="Times New Roman" w:hAnsi="Times New Roman"/>
      <w:sz w:val="20"/>
      <w:szCs w:val="20"/>
    </w:rPr>
  </w:style>
  <w:style w:type="paragraph" w:customStyle="1" w:styleId="CommentSubject">
    <w:name w:val="Comment Subject"/>
    <w:basedOn w:val="CommentText"/>
    <w:next w:val="CommentText"/>
    <w:link w:val="CommentSubjectChar"/>
    <w:uiPriority w:val="99"/>
    <w:semiHidden/>
    <w:unhideWhenUsed/>
    <w:rsid w:val="009D7ABE"/>
    <w:rPr>
      <w:b/>
      <w:bCs/>
    </w:rPr>
  </w:style>
  <w:style w:type="character" w:customStyle="1" w:styleId="CommentSubjectChar">
    <w:name w:val="Comment Subject Char"/>
    <w:basedOn w:val="CommentTextChar"/>
    <w:link w:val="CommentSubject"/>
    <w:uiPriority w:val="99"/>
    <w:semiHidden/>
    <w:rsid w:val="009D7ABE"/>
    <w:rPr>
      <w:rFonts w:ascii="Times New Roman" w:hAnsi="Times New Roman"/>
      <w:b/>
      <w:bCs/>
      <w:sz w:val="20"/>
      <w:szCs w:val="20"/>
    </w:rPr>
  </w:style>
  <w:style w:type="character" w:customStyle="1" w:styleId="normaltextrun">
    <w:name w:val="normaltextrun"/>
    <w:basedOn w:val="DefaultParagraphFont"/>
    <w:rsid w:val="00C647AE"/>
  </w:style>
  <w:style w:type="character" w:customStyle="1" w:styleId="eop">
    <w:name w:val="eop"/>
    <w:basedOn w:val="DefaultParagraphFont"/>
    <w:rsid w:val="00C647AE"/>
  </w:style>
  <w:style w:type="paragraph" w:customStyle="1" w:styleId="paragraph">
    <w:name w:val="paragraph"/>
    <w:basedOn w:val="Normal"/>
    <w:rsid w:val="00C647AE"/>
    <w:pPr>
      <w:widowControl/>
      <w:autoSpaceDE/>
      <w:autoSpaceDN/>
      <w:adjustRightInd/>
      <w:spacing w:before="100" w:beforeAutospacing="1" w:after="100" w:afterAutospacing="1"/>
    </w:pPr>
    <w:rPr>
      <w:rFonts w:eastAsia="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ferc.gov/media/information-collections"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erc.gov/sites/default/files/2020-06/ica.pdf" TargetMode="External" /><Relationship Id="rId2" Type="http://schemas.openxmlformats.org/officeDocument/2006/relationships/hyperlink" Target="https://www.ferc.gov/industries-data/oil/staff-oil-pipeline-handbooks/volume-i-staff-oil-pipeline-handbook"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enewal_x0020_Document_x0020_Type xmlns="d6eefc7d-9817-4fa6-84d5-3bc009be21b8">None</Renewal_x0020_Document_x0020_Type>
    <TaxCatchAll xmlns="5a7c6213-c3f8-4376-93f2-dc58e5c51d54" xsi:nil="true"/>
    <Rulemaking_x0020_Document_x0020_Type xmlns="d6eefc7d-9817-4fa6-84d5-3bc009be21b8">None</Rulemaking_x0020_Document_x0020_Type>
    <_x0033__x002e__x0020_Docket_x0020_Number xmlns="d6eefc7d-9817-4fa6-84d5-3bc009be21b8" xsi:nil="true"/>
    <_x0031__x002e__x0020_Collection_x0020_Number xmlns="d6eefc7d-9817-4fa6-84d5-3bc009be21b8" xsi:nil="true"/>
    <Date xmlns="d6eefc7d-9817-4fa6-84d5-3bc009be21b8" xsi:nil="true"/>
    <Status xmlns="d6eefc7d-9817-4fa6-84d5-3bc009be21b8">None</Status>
    <lcf76f155ced4ddcb4097134ff3c332f xmlns="e029e753-062b-49ce-baa7-feb352134f8f">
      <Terms xmlns="http://schemas.microsoft.com/office/infopath/2007/PartnerControls"/>
    </lcf76f155ced4ddcb4097134ff3c332f>
    <_x0032__x002e__x0020_Docket_x0020_Number xmlns="d6eefc7d-9817-4fa6-84d5-3bc009be21b8" xsi:nil="true"/>
    <_x0032__x002e__x0020_Collection_x0020_Number xmlns="d6eefc7d-9817-4fa6-84d5-3bc009be21b8" xsi:nil="true"/>
    <_x0031__x002e__x0020_Docket_x0020_Number xmlns="d6eefc7d-9817-4fa6-84d5-3bc009be21b8" xsi:nil="true"/>
    <_x0033__x002e__x0020_Collection_x0020_Number xmlns="d6eefc7d-9817-4fa6-84d5-3bc009be21b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B4819515F02041B733A30B504091D8" ma:contentTypeVersion="21" ma:contentTypeDescription="Create a new document." ma:contentTypeScope="" ma:versionID="9f757fac7c7b0b3ff33a1b2962e07276">
  <xsd:schema xmlns:xsd="http://www.w3.org/2001/XMLSchema" xmlns:xs="http://www.w3.org/2001/XMLSchema" xmlns:p="http://schemas.microsoft.com/office/2006/metadata/properties" xmlns:ns2="d6eefc7d-9817-4fa6-84d5-3bc009be21b8" xmlns:ns3="e029e753-062b-49ce-baa7-feb352134f8f" xmlns:ns4="5a7c6213-c3f8-4376-93f2-dc58e5c51d54" targetNamespace="http://schemas.microsoft.com/office/2006/metadata/properties" ma:root="true" ma:fieldsID="3d748f22f8ae9cdada74fd2f074b77a3" ns2:_="" ns3:_="" ns4:_="">
    <xsd:import namespace="d6eefc7d-9817-4fa6-84d5-3bc009be21b8"/>
    <xsd:import namespace="e029e753-062b-49ce-baa7-feb352134f8f"/>
    <xsd:import namespace="5a7c6213-c3f8-4376-93f2-dc58e5c51d54"/>
    <xsd:element name="properties">
      <xsd:complexType>
        <xsd:sequence>
          <xsd:element name="documentManagement">
            <xsd:complexType>
              <xsd:all>
                <xsd:element ref="ns2:_x0031__x002e__x0020_Collection_x0020_Number" minOccurs="0"/>
                <xsd:element ref="ns2:_x0032__x002e__x0020_Collection_x0020_Number" minOccurs="0"/>
                <xsd:element ref="ns2:_x0033__x002e__x0020_Collection_x0020_Number" minOccurs="0"/>
                <xsd:element ref="ns2:_x0031__x002e__x0020_Docket_x0020_Number" minOccurs="0"/>
                <xsd:element ref="ns2:_x0032__x002e__x0020_Docket_x0020_Number" minOccurs="0"/>
                <xsd:element ref="ns2:_x0033__x002e__x0020_Docket_x0020_Number" minOccurs="0"/>
                <xsd:element ref="ns2:Date" minOccurs="0"/>
                <xsd:element ref="ns2:Renewal_x0020_Document_x0020_Type" minOccurs="0"/>
                <xsd:element ref="ns2:Rulemaking_x0020_Document_x0020_Type" minOccurs="0"/>
                <xsd:element ref="ns2:Statu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efc7d-9817-4fa6-84d5-3bc009be21b8" elementFormDefault="qualified">
    <xsd:import namespace="http://schemas.microsoft.com/office/2006/documentManagement/types"/>
    <xsd:import namespace="http://schemas.microsoft.com/office/infopath/2007/PartnerControls"/>
    <xsd:element name="_x0031__x002e__x0020_Collection_x0020_Number" ma:index="8" nillable="true" ma:displayName="Collection 1" ma:indexed="true" ma:internalName="_x0031__x002e__x0020_Collection_x0020_Number">
      <xsd:simpleType>
        <xsd:restriction base="dms:Text">
          <xsd:maxLength value="255"/>
        </xsd:restriction>
      </xsd:simpleType>
    </xsd:element>
    <xsd:element name="_x0032__x002e__x0020_Collection_x0020_Number" ma:index="9" nillable="true" ma:displayName="Collection 2" ma:internalName="_x0032__x002e__x0020_Collection_x0020_Number">
      <xsd:simpleType>
        <xsd:restriction base="dms:Text">
          <xsd:maxLength value="255"/>
        </xsd:restriction>
      </xsd:simpleType>
    </xsd:element>
    <xsd:element name="_x0033__x002e__x0020_Collection_x0020_Number" ma:index="10" nillable="true" ma:displayName="Collection 3" ma:internalName="_x0033__x002e__x0020_Collection_x0020_Number">
      <xsd:simpleType>
        <xsd:restriction base="dms:Text">
          <xsd:maxLength value="255"/>
        </xsd:restriction>
      </xsd:simpleType>
    </xsd:element>
    <xsd:element name="_x0031__x002e__x0020_Docket_x0020_Number" ma:index="11" nillable="true" ma:displayName="Docket 1" ma:indexed="true" ma:internalName="_x0031__x002e__x0020_Docket_x0020_Number">
      <xsd:simpleType>
        <xsd:restriction base="dms:Text">
          <xsd:maxLength value="255"/>
        </xsd:restriction>
      </xsd:simpleType>
    </xsd:element>
    <xsd:element name="_x0032__x002e__x0020_Docket_x0020_Number" ma:index="12" nillable="true" ma:displayName="Docket 2" ma:internalName="_x0032__x002e__x0020_Docket_x0020_Number">
      <xsd:simpleType>
        <xsd:restriction base="dms:Text">
          <xsd:maxLength value="255"/>
        </xsd:restriction>
      </xsd:simpleType>
    </xsd:element>
    <xsd:element name="_x0033__x002e__x0020_Docket_x0020_Number" ma:index="13" nillable="true" ma:displayName="Docket 3" ma:internalName="_x0033__x002e__x0020_Docket_x0020_Number">
      <xsd:simpleType>
        <xsd:restriction base="dms:Text">
          <xsd:maxLength value="255"/>
        </xsd:restriction>
      </xsd:simpleType>
    </xsd:element>
    <xsd:element name="Date" ma:index="14" nillable="true" ma:displayName="Date" ma:format="DateOnly" ma:indexed="true" ma:internalName="Date">
      <xsd:simpleType>
        <xsd:restriction base="dms:DateTime"/>
      </xsd:simpleType>
    </xsd:element>
    <xsd:element name="Renewal_x0020_Document_x0020_Type" ma:index="15" nillable="true" ma:displayName="Renewal Document Type" ma:default="None" ma:format="Dropdown" ma:internalName="Renewal_x0020_Document_x0020_Type">
      <xsd:simpleType>
        <xsd:restriction base="dms:Choice">
          <xsd:enumeration value="None"/>
          <xsd:enumeration value="60-Day Notice"/>
          <xsd:enumeration value="30-Day Notice"/>
          <xsd:enumeration value="OMB Supporting Statement"/>
          <xsd:enumeration value="Supporting Information"/>
          <xsd:enumeration value="Correspondence"/>
          <xsd:enumeration value="Comments"/>
          <xsd:enumeration value="OMB NOA"/>
          <xsd:enumeration value="Errata"/>
          <xsd:enumeration value="Data Instrument"/>
          <xsd:enumeration value="Other"/>
        </xsd:restriction>
      </xsd:simpleType>
    </xsd:element>
    <xsd:element name="Rulemaking_x0020_Document_x0020_Type" ma:index="16" nillable="true" ma:displayName="Rulemaking Document Type" ma:default="None" ma:format="Dropdown" ma:indexed="true" ma:internalName="Rulemaking_x0020_Document_x0020_Type">
      <xsd:simpleType>
        <xsd:restriction base="dms:Choice">
          <xsd:enumeration value="None"/>
          <xsd:enumeration value="Proposed Rule"/>
          <xsd:enumeration value="Final Rule"/>
          <xsd:enumeration value="NOI, Policy Statements, and Rehearing"/>
          <xsd:enumeration value="OMB Supporting Statement"/>
          <xsd:enumeration value="Supporting Information"/>
          <xsd:enumeration value="Correspondence"/>
          <xsd:enumeration value="CRA OMB Letter"/>
          <xsd:enumeration value="CRA SBA Letter"/>
          <xsd:enumeration value="CRA Form"/>
          <xsd:enumeration value="CRA Fact Sheet"/>
          <xsd:enumeration value="OMB NOA"/>
          <xsd:enumeration value="Status and Regulations"/>
          <xsd:enumeration value="Comments"/>
          <xsd:enumeration value="Data Instrument"/>
          <xsd:enumeration value="Other"/>
        </xsd:restriction>
      </xsd:simpleType>
    </xsd:element>
    <xsd:element name="Status" ma:index="17" nillable="true" ma:displayName="Status" ma:default="None" ma:format="Dropdown" ma:internalName="Status">
      <xsd:simpleType>
        <xsd:restriction base="dms:Choice">
          <xsd:enumeration value="None"/>
          <xsd:enumeration value="Draft"/>
          <xsd:enumeration value="Final"/>
          <xsd:enumeration value="Issued"/>
          <xsd:enumeration value="Published"/>
        </xsd:restriction>
      </xsd:simpleType>
    </xsd:element>
  </xsd:schema>
  <xsd:schema xmlns:xsd="http://www.w3.org/2001/XMLSchema" xmlns:xs="http://www.w3.org/2001/XMLSchema" xmlns:dms="http://schemas.microsoft.com/office/2006/documentManagement/types" xmlns:pc="http://schemas.microsoft.com/office/infopath/2007/PartnerControls" targetNamespace="e029e753-062b-49ce-baa7-feb352134f8f"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9776dbc-9393-46bd-9fa9-87fe347ccf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a7c6213-c3f8-4376-93f2-dc58e5c51d5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3106a42-f136-493a-9b07-5365c92b590c}" ma:internalName="TaxCatchAll" ma:showField="CatchAllData" ma:web="5a7c6213-c3f8-4376-93f2-dc58e5c51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FA9B10-8F51-44BE-8223-4AF5B2C6ADD1}">
  <ds:schemaRefs>
    <ds:schemaRef ds:uri="http://schemas.microsoft.com/office/2006/metadata/properties"/>
    <ds:schemaRef ds:uri="http://schemas.microsoft.com/office/infopath/2007/PartnerControls"/>
    <ds:schemaRef ds:uri="d6eefc7d-9817-4fa6-84d5-3bc009be21b8"/>
    <ds:schemaRef ds:uri="5a7c6213-c3f8-4376-93f2-dc58e5c51d54"/>
    <ds:schemaRef ds:uri="e029e753-062b-49ce-baa7-feb352134f8f"/>
  </ds:schemaRefs>
</ds:datastoreItem>
</file>

<file path=customXml/itemProps2.xml><?xml version="1.0" encoding="utf-8"?>
<ds:datastoreItem xmlns:ds="http://schemas.openxmlformats.org/officeDocument/2006/customXml" ds:itemID="{9777496C-7564-416B-B513-CA760F118D4C}">
  <ds:schemaRefs>
    <ds:schemaRef ds:uri="http://schemas.openxmlformats.org/officeDocument/2006/bibliography"/>
  </ds:schemaRefs>
</ds:datastoreItem>
</file>

<file path=customXml/itemProps3.xml><?xml version="1.0" encoding="utf-8"?>
<ds:datastoreItem xmlns:ds="http://schemas.openxmlformats.org/officeDocument/2006/customXml" ds:itemID="{B3305359-4729-4BD6-9713-C85007441F32}">
  <ds:schemaRefs>
    <ds:schemaRef ds:uri="http://schemas.microsoft.com/sharepoint/v3/contenttype/forms"/>
  </ds:schemaRefs>
</ds:datastoreItem>
</file>

<file path=customXml/itemProps4.xml><?xml version="1.0" encoding="utf-8"?>
<ds:datastoreItem xmlns:ds="http://schemas.openxmlformats.org/officeDocument/2006/customXml" ds:itemID="{B0DE9E48-9B63-4647-9878-205FEA405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efc7d-9817-4fa6-84d5-3bc009be21b8"/>
    <ds:schemaRef ds:uri="e029e753-062b-49ce-baa7-feb352134f8f"/>
    <ds:schemaRef ds:uri="5a7c6213-c3f8-4376-93f2-dc58e5c51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Sonneman</dc:creator>
  <cp:lastModifiedBy>Ken Ambrose</cp:lastModifiedBy>
  <cp:revision>69</cp:revision>
  <dcterms:created xsi:type="dcterms:W3CDTF">2026-08-05T14:05:00Z</dcterms:created>
  <dcterms:modified xsi:type="dcterms:W3CDTF">2026-09-16T14:38:08Z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0x0101006AB4819515F02041B733A30B504091D8</vt:lpwstr>
  </property>
  <property fmtid="{D5CDD505-2E9C-101B-9397-08002B2CF9AE}" pid="3" name="MediaServiceImageTags">
    <vt:lpwstr/>
  </property>
  <property fmtid="{D5CDD505-2E9C-101B-9397-08002B2CF9AE}" pid="4" name="MSIP_Label_bd24d06a-0e85-4d57-b1e0-ba34b1abc708_ActionId">
    <vt:lpwstr>0a9a009c-d535-4e49-b134-3bd3047afa00</vt:lpwstr>
  </property>
  <property fmtid="{D5CDD505-2E9C-101B-9397-08002B2CF9AE}" pid="5" name="MSIP_Label_bd24d06a-0e85-4d57-b1e0-ba34b1abc708_ContentBits">
    <vt:lpwstr>0</vt:lpwstr>
  </property>
  <property fmtid="{D5CDD505-2E9C-101B-9397-08002B2CF9AE}" pid="6" name="MSIP_Label_bd24d06a-0e85-4d57-b1e0-ba34b1abc708_Enabled">
    <vt:lpwstr>true</vt:lpwstr>
  </property>
  <property fmtid="{D5CDD505-2E9C-101B-9397-08002B2CF9AE}" pid="7" name="MSIP_Label_bd24d06a-0e85-4d57-b1e0-ba34b1abc708_Method">
    <vt:lpwstr>Privileged</vt:lpwstr>
  </property>
  <property fmtid="{D5CDD505-2E9C-101B-9397-08002B2CF9AE}" pid="8" name="MSIP_Label_bd24d06a-0e85-4d57-b1e0-ba34b1abc708_Name">
    <vt:lpwstr>bd24d06a-0e85-4d57-b1e0-ba34b1abc708</vt:lpwstr>
  </property>
  <property fmtid="{D5CDD505-2E9C-101B-9397-08002B2CF9AE}" pid="9" name="MSIP_Label_bd24d06a-0e85-4d57-b1e0-ba34b1abc708_SetDate">
    <vt:lpwstr>2026-07-14T19:19:57Z</vt:lpwstr>
  </property>
  <property fmtid="{D5CDD505-2E9C-101B-9397-08002B2CF9AE}" pid="10" name="MSIP_Label_bd24d06a-0e85-4d57-b1e0-ba34b1abc708_SiteId">
    <vt:lpwstr>19caa9e9-04ff-43fa-885f-d77fac387903</vt:lpwstr>
  </property>
  <property fmtid="{D5CDD505-2E9C-101B-9397-08002B2CF9AE}" pid="11" name="MSIP_Label_bd24d06a-0e85-4d57-b1e0-ba34b1abc708_Tag">
    <vt:lpwstr>10, 0, 1, 1</vt:lpwstr>
  </property>
</Properties>
</file>