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001E4" w:rsidP="00DE7A1C" w14:paraId="48B1C1A7" w14:textId="77777777">
      <w:pPr>
        <w:rPr>
          <w:noProof/>
        </w:rPr>
      </w:pPr>
    </w:p>
    <w:p w:rsidR="00041909" w:rsidP="00313D14" w14:paraId="665EF962" w14:textId="25E0E677">
      <w:r>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10160</wp:posOffset>
            </wp:positionV>
            <wp:extent cx="5943600" cy="1803400"/>
            <wp:effectExtent l="0" t="0" r="0" b="0"/>
            <wp:wrapNone/>
            <wp:docPr id="7" name="Picture 1" descr="C:\Users\ace\AppData\Local\Microsoft\Windows\INetCache\Content.Word\blueswoosh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Users\ace\AppData\Local\Microsoft\Windows\INetCache\Content.Word\blueswooshwhitebackground.png"/>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130" r="136" b="45941"/>
                    <a:stretch>
                      <a:fillRect/>
                    </a:stretch>
                  </pic:blipFill>
                  <pic:spPr bwMode="auto">
                    <a:xfrm>
                      <a:off x="0" y="0"/>
                      <a:ext cx="5943600"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F3A8F">
        <w:rPr>
          <w:noProof/>
        </w:rPr>
        <w:softHyphen/>
      </w:r>
      <w:r w:rsidR="001F3A8F">
        <w:rPr>
          <w:noProof/>
        </w:rPr>
        <w:softHyphen/>
      </w:r>
      <w:r w:rsidR="001F3A8F">
        <w:rPr>
          <w:noProof/>
        </w:rPr>
        <w:softHyphen/>
      </w:r>
    </w:p>
    <w:p w:rsidR="00D928FD" w14:paraId="64921D02" w14:textId="77777777"/>
    <w:p w:rsidR="00D928FD" w:rsidP="00313D14" w14:paraId="546FD1F5" w14:textId="77777777">
      <w:r>
        <w:tab/>
      </w:r>
    </w:p>
    <w:p w:rsidR="00D928FD" w14:paraId="60D683FC" w14:textId="77777777"/>
    <w:p w:rsidR="00D928FD" w14:paraId="20924E8A" w14:textId="77777777"/>
    <w:p w:rsidR="00D928FD" w14:paraId="27DBBE81" w14:textId="77777777"/>
    <w:p w:rsidR="001F3A8F" w:rsidP="00313D14" w14:paraId="34282172" w14:textId="0E7B6265">
      <w:r>
        <w:rPr>
          <w:noProof/>
        </w:rPr>
        <mc:AlternateContent>
          <mc:Choice Requires="wps">
            <w:drawing>
              <wp:anchor distT="0" distB="0" distL="114300" distR="114300" simplePos="0" relativeHeight="251658240" behindDoc="0" locked="0" layoutInCell="1" allowOverlap="1">
                <wp:simplePos x="0" y="0"/>
                <wp:positionH relativeFrom="margin">
                  <wp:posOffset>361950</wp:posOffset>
                </wp:positionH>
                <wp:positionV relativeFrom="paragraph">
                  <wp:posOffset>958849</wp:posOffset>
                </wp:positionV>
                <wp:extent cx="5000625" cy="2066925"/>
                <wp:effectExtent l="0" t="0" r="0" b="9525"/>
                <wp:wrapNone/>
                <wp:docPr id="17"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00625" cy="20669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779A" w:rsidRPr="009F61F7" w:rsidP="00313D14" w14:paraId="0EC0B52A" w14:textId="617E4714">
                            <w:pPr>
                              <w:spacing w:line="276" w:lineRule="auto"/>
                              <w:rPr>
                                <w:b/>
                                <w:sz w:val="60"/>
                                <w:szCs w:val="60"/>
                              </w:rPr>
                            </w:pPr>
                            <w:r>
                              <w:rPr>
                                <w:rFonts w:ascii="Times New Roman" w:hAnsi="Times New Roman"/>
                                <w:b/>
                                <w:color w:val="139CD8"/>
                                <w:sz w:val="60"/>
                                <w:szCs w:val="60"/>
                              </w:rPr>
                              <w:t xml:space="preserve">Supporting Statement for </w:t>
                            </w:r>
                            <w:r w:rsidRPr="00F46202" w:rsidR="00F46202">
                              <w:rPr>
                                <w:rFonts w:ascii="Times New Roman" w:hAnsi="Times New Roman"/>
                                <w:b/>
                                <w:color w:val="139CD8"/>
                                <w:sz w:val="60"/>
                                <w:szCs w:val="60"/>
                              </w:rPr>
                              <w:t xml:space="preserve">EIA-860S (Supplement) – </w:t>
                            </w:r>
                            <w:r w:rsidR="00CD3B08">
                              <w:rPr>
                                <w:rFonts w:ascii="Times New Roman" w:hAnsi="Times New Roman"/>
                                <w:b/>
                                <w:color w:val="139CD8"/>
                                <w:sz w:val="60"/>
                                <w:szCs w:val="60"/>
                              </w:rPr>
                              <w:t xml:space="preserve">Voluntary </w:t>
                            </w:r>
                            <w:r w:rsidRPr="00F46202" w:rsidR="00F46202">
                              <w:rPr>
                                <w:rFonts w:ascii="Times New Roman" w:hAnsi="Times New Roman"/>
                                <w:b/>
                                <w:color w:val="139CD8"/>
                                <w:sz w:val="60"/>
                                <w:szCs w:val="60"/>
                              </w:rPr>
                              <w:t>State Level Generator Air Permit Inventory</w:t>
                            </w: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5" type="#_x0000_t202" style="width:393.75pt;height:162.75pt;margin-top:75.5pt;margin-left:28.5pt;mso-height-percent:0;mso-height-relative:margin;mso-position-horizontal-relative:margin;mso-width-percent:0;mso-width-relative:margin;mso-wrap-distance-bottom:0;mso-wrap-distance-left:9pt;mso-wrap-distance-right:9pt;mso-wrap-distance-top:0;mso-wrap-style:square;position:absolute;visibility:visible;v-text-anchor:bottom;z-index:251659264" filled="f" stroked="f">
                <v:textbox inset="0">
                  <w:txbxContent>
                    <w:p w:rsidR="00EA779A" w:rsidRPr="009F61F7" w:rsidP="00313D14" w14:paraId="3DB602C6" w14:textId="617E4714">
                      <w:pPr>
                        <w:spacing w:line="276" w:lineRule="auto"/>
                        <w:rPr>
                          <w:b/>
                          <w:sz w:val="60"/>
                          <w:szCs w:val="60"/>
                        </w:rPr>
                      </w:pPr>
                      <w:r>
                        <w:rPr>
                          <w:rFonts w:ascii="Times New Roman" w:hAnsi="Times New Roman"/>
                          <w:b/>
                          <w:color w:val="139CD8"/>
                          <w:sz w:val="60"/>
                          <w:szCs w:val="60"/>
                        </w:rPr>
                        <w:t xml:space="preserve">Supporting Statement for </w:t>
                      </w:r>
                      <w:r w:rsidRPr="00F46202" w:rsidR="00F46202">
                        <w:rPr>
                          <w:rFonts w:ascii="Times New Roman" w:hAnsi="Times New Roman"/>
                          <w:b/>
                          <w:color w:val="139CD8"/>
                          <w:sz w:val="60"/>
                          <w:szCs w:val="60"/>
                        </w:rPr>
                        <w:t xml:space="preserve">EIA-860S (Supplement) – </w:t>
                      </w:r>
                      <w:r w:rsidR="00CD3B08">
                        <w:rPr>
                          <w:rFonts w:ascii="Times New Roman" w:hAnsi="Times New Roman"/>
                          <w:b/>
                          <w:color w:val="139CD8"/>
                          <w:sz w:val="60"/>
                          <w:szCs w:val="60"/>
                        </w:rPr>
                        <w:t xml:space="preserve">Voluntary </w:t>
                      </w:r>
                      <w:r w:rsidRPr="00F46202" w:rsidR="00F46202">
                        <w:rPr>
                          <w:rFonts w:ascii="Times New Roman" w:hAnsi="Times New Roman"/>
                          <w:b/>
                          <w:color w:val="139CD8"/>
                          <w:sz w:val="60"/>
                          <w:szCs w:val="60"/>
                        </w:rPr>
                        <w:t>State Level Generator Air Permit Inventory</w:t>
                      </w:r>
                    </w:p>
                  </w:txbxContent>
                </v:textbox>
                <w10:wrap anchorx="margin"/>
              </v:shape>
            </w:pict>
          </mc:Fallback>
        </mc:AlternateContent>
      </w:r>
      <w:r w:rsidR="00674702">
        <w:rPr>
          <w:noProof/>
        </w:rPr>
        <mc:AlternateContent>
          <mc:Choice Requires="wps">
            <w:drawing>
              <wp:anchor distT="0" distB="0" distL="114300" distR="114300" simplePos="0" relativeHeight="251668480" behindDoc="0" locked="0" layoutInCell="1" allowOverlap="1">
                <wp:simplePos x="0" y="0"/>
                <wp:positionH relativeFrom="margin">
                  <wp:posOffset>388620</wp:posOffset>
                </wp:positionH>
                <wp:positionV relativeFrom="margin">
                  <wp:posOffset>5821680</wp:posOffset>
                </wp:positionV>
                <wp:extent cx="5318760" cy="1844040"/>
                <wp:effectExtent l="0" t="0" r="0" b="0"/>
                <wp:wrapSquare wrapText="bothSides"/>
                <wp:docPr id="2"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18760" cy="18440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054DF" w:rsidRPr="00E054DF" w:rsidP="00E054DF" w14:textId="657D14A9">
                            <w:pPr>
                              <w:pStyle w:val="Boxtext"/>
                              <w:rPr>
                                <w:rFonts w:ascii="Times New Roman" w:hAnsi="Times New Roman"/>
                                <w:sz w:val="36"/>
                                <w:szCs w:val="36"/>
                              </w:rPr>
                            </w:pPr>
                            <w:bookmarkStart w:id="0" w:name="_Toc466046933"/>
                            <w:bookmarkStart w:id="1" w:name="_Toc128056073"/>
                            <w:r>
                              <w:rPr>
                                <w:rStyle w:val="Heading1Char"/>
                              </w:rPr>
                              <w:t>Part A</w:t>
                            </w:r>
                            <w:r w:rsidRPr="00E054DF">
                              <w:rPr>
                                <w:rStyle w:val="Heading1Char"/>
                              </w:rPr>
                              <w:t xml:space="preserve">: </w:t>
                            </w:r>
                            <w:bookmarkEnd w:id="0"/>
                            <w:r w:rsidR="00F43F66">
                              <w:rPr>
                                <w:rStyle w:val="Heading1Char"/>
                              </w:rPr>
                              <w:t>Justifications</w:t>
                            </w:r>
                            <w:bookmarkEnd w:id="1"/>
                            <w:r>
                              <w:br/>
                            </w:r>
                            <w:r w:rsidRPr="00E054DF">
                              <w:rPr>
                                <w:rFonts w:ascii="Times New Roman" w:hAnsi="Times New Roman"/>
                                <w:sz w:val="36"/>
                                <w:szCs w:val="36"/>
                              </w:rPr>
                              <w:t>OMB No. 1905-0</w:t>
                            </w:r>
                            <w:r w:rsidR="00F46202">
                              <w:rPr>
                                <w:rFonts w:ascii="Times New Roman" w:hAnsi="Times New Roman"/>
                                <w:sz w:val="36"/>
                                <w:szCs w:val="36"/>
                              </w:rPr>
                              <w:t>215</w:t>
                            </w:r>
                          </w:p>
                          <w:p w:rsidR="00E054DF" w:rsidRPr="0059212D" w:rsidP="00E054DF" w14:textId="31DD4F71">
                            <w:pPr>
                              <w:rPr>
                                <w:i/>
                                <w:sz w:val="28"/>
                                <w:szCs w:val="28"/>
                              </w:rPr>
                            </w:pPr>
                            <w:r w:rsidRPr="0059212D">
                              <w:rPr>
                                <w:i/>
                                <w:sz w:val="28"/>
                                <w:szCs w:val="28"/>
                              </w:rPr>
                              <w:t>Form EIA-</w:t>
                            </w:r>
                            <w:r w:rsidR="00F46202">
                              <w:rPr>
                                <w:i/>
                                <w:sz w:val="28"/>
                                <w:szCs w:val="28"/>
                              </w:rPr>
                              <w:t>860S</w:t>
                            </w:r>
                            <w:r w:rsidRPr="0059212D">
                              <w:rPr>
                                <w:i/>
                                <w:sz w:val="28"/>
                                <w:szCs w:val="28"/>
                              </w:rPr>
                              <w:t xml:space="preserve">, </w:t>
                            </w:r>
                            <w:r w:rsidR="00BB096A">
                              <w:rPr>
                                <w:i/>
                                <w:sz w:val="28"/>
                                <w:szCs w:val="28"/>
                              </w:rPr>
                              <w:t xml:space="preserve">Voluntary </w:t>
                            </w:r>
                            <w:r w:rsidRPr="00F46202" w:rsidR="00F46202">
                              <w:rPr>
                                <w:i/>
                                <w:sz w:val="28"/>
                                <w:szCs w:val="28"/>
                              </w:rPr>
                              <w:t>State Level Generator Air Permit Inventory</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0" o:spid="_x0000_s1026" type="#_x0000_t202" style="width:418.8pt;height:145.2pt;margin-top:458.4pt;margin-left:30.6pt;mso-height-percent:0;mso-height-relative:margin;mso-position-horizontal-relative:margin;mso-position-vertical-relative:margin;mso-width-percent:0;mso-width-relative:margin;mso-wrap-distance-bottom:0;mso-wrap-distance-left:9pt;mso-wrap-distance-right:9pt;mso-wrap-distance-top:0;position:absolute;v-text-anchor:top;z-index:251667456" filled="f" fillcolor="this" stroked="f">
                <v:textbox inset="0">
                  <w:txbxContent>
                    <w:p w:rsidR="00E054DF" w:rsidRPr="00E054DF" w:rsidP="00E054DF" w14:paraId="44D3B1B9" w14:textId="657D14A9">
                      <w:pPr>
                        <w:pStyle w:val="Boxtext"/>
                        <w:rPr>
                          <w:rFonts w:ascii="Times New Roman" w:hAnsi="Times New Roman"/>
                          <w:sz w:val="36"/>
                          <w:szCs w:val="36"/>
                        </w:rPr>
                      </w:pPr>
                      <w:bookmarkStart w:id="0" w:name="_Toc466046933"/>
                      <w:bookmarkStart w:id="1" w:name="_Toc128056073"/>
                      <w:r>
                        <w:rPr>
                          <w:rStyle w:val="Heading1Char"/>
                        </w:rPr>
                        <w:t>Part A</w:t>
                      </w:r>
                      <w:r w:rsidRPr="00E054DF">
                        <w:rPr>
                          <w:rStyle w:val="Heading1Char"/>
                        </w:rPr>
                        <w:t xml:space="preserve">: </w:t>
                      </w:r>
                      <w:bookmarkEnd w:id="0"/>
                      <w:r w:rsidR="00F43F66">
                        <w:rPr>
                          <w:rStyle w:val="Heading1Char"/>
                        </w:rPr>
                        <w:t>Justifications</w:t>
                      </w:r>
                      <w:bookmarkEnd w:id="1"/>
                      <w:r>
                        <w:br/>
                      </w:r>
                      <w:r w:rsidRPr="00E054DF">
                        <w:rPr>
                          <w:rFonts w:ascii="Times New Roman" w:hAnsi="Times New Roman"/>
                          <w:sz w:val="36"/>
                          <w:szCs w:val="36"/>
                        </w:rPr>
                        <w:t>OMB No. 1905-0</w:t>
                      </w:r>
                      <w:r w:rsidR="00F46202">
                        <w:rPr>
                          <w:rFonts w:ascii="Times New Roman" w:hAnsi="Times New Roman"/>
                          <w:sz w:val="36"/>
                          <w:szCs w:val="36"/>
                        </w:rPr>
                        <w:t>215</w:t>
                      </w:r>
                    </w:p>
                    <w:p w:rsidR="00E054DF" w:rsidRPr="0059212D" w:rsidP="00E054DF" w14:paraId="0855ED2A" w14:textId="31DD4F71">
                      <w:pPr>
                        <w:rPr>
                          <w:i/>
                          <w:sz w:val="28"/>
                          <w:szCs w:val="28"/>
                        </w:rPr>
                      </w:pPr>
                      <w:r w:rsidRPr="0059212D">
                        <w:rPr>
                          <w:i/>
                          <w:sz w:val="28"/>
                          <w:szCs w:val="28"/>
                        </w:rPr>
                        <w:t>Form EIA-</w:t>
                      </w:r>
                      <w:r w:rsidR="00F46202">
                        <w:rPr>
                          <w:i/>
                          <w:sz w:val="28"/>
                          <w:szCs w:val="28"/>
                        </w:rPr>
                        <w:t>860S</w:t>
                      </w:r>
                      <w:r w:rsidRPr="0059212D">
                        <w:rPr>
                          <w:i/>
                          <w:sz w:val="28"/>
                          <w:szCs w:val="28"/>
                        </w:rPr>
                        <w:t xml:space="preserve">, </w:t>
                      </w:r>
                      <w:r w:rsidR="00BB096A">
                        <w:rPr>
                          <w:i/>
                          <w:sz w:val="28"/>
                          <w:szCs w:val="28"/>
                        </w:rPr>
                        <w:t xml:space="preserve">Voluntary </w:t>
                      </w:r>
                      <w:r w:rsidRPr="00F46202" w:rsidR="00F46202">
                        <w:rPr>
                          <w:i/>
                          <w:sz w:val="28"/>
                          <w:szCs w:val="28"/>
                        </w:rPr>
                        <w:t>State Level Generator Air Permit Inventory</w:t>
                      </w:r>
                    </w:p>
                  </w:txbxContent>
                </v:textbox>
                <w10:wrap type="square"/>
              </v:shape>
            </w:pict>
          </mc:Fallback>
        </mc:AlternateContent>
      </w:r>
      <w:r w:rsidR="00674702">
        <w:rPr>
          <w:noProof/>
        </w:rPr>
        <mc:AlternateContent>
          <mc:Choice Requires="wps">
            <w:drawing>
              <wp:anchor distT="0" distB="0" distL="114300" distR="114300" simplePos="0" relativeHeight="251662336" behindDoc="0" locked="0" layoutInCell="1" allowOverlap="1">
                <wp:simplePos x="0" y="0"/>
                <wp:positionH relativeFrom="margin">
                  <wp:posOffset>3352800</wp:posOffset>
                </wp:positionH>
                <wp:positionV relativeFrom="margin">
                  <wp:posOffset>8542020</wp:posOffset>
                </wp:positionV>
                <wp:extent cx="2717800" cy="647700"/>
                <wp:effectExtent l="0" t="0" r="0" b="0"/>
                <wp:wrapSquare wrapText="bothSides"/>
                <wp:docPr id="13"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47700"/>
                        </a:xfrm>
                        <a:prstGeom prst="rect">
                          <a:avLst/>
                        </a:prstGeom>
                        <a:noFill/>
                        <a:ln w="9525">
                          <a:noFill/>
                          <a:miter lim="800000"/>
                          <a:headEnd/>
                          <a:tailEnd/>
                        </a:ln>
                      </wps:spPr>
                      <wps:txbx>
                        <w:txbxContent>
                          <w:p w:rsidR="00EA779A" w:rsidRPr="00E054DF" w:rsidP="004D236B" w14:paraId="2B084612"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EA779A" w:rsidRPr="00E054DF" w:rsidP="004D236B" w14:paraId="7774ECBD"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EA779A" w:rsidRPr="00E054DF" w:rsidP="004D236B" w14:paraId="5BAB0472"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7" type="#_x0000_t202" style="width:214pt;height:51pt;margin-top:672.6pt;margin-left:26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inset="0">
                  <w:txbxContent>
                    <w:p w:rsidR="00EA779A" w:rsidRPr="00E054DF" w:rsidP="004D236B" w14:paraId="21DCB9DC"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EA779A" w:rsidRPr="00E054DF" w:rsidP="004D236B" w14:paraId="2F422DFA"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EA779A" w:rsidRPr="00E054DF" w:rsidP="004D236B" w14:paraId="3F645604"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v:textbox>
                <w10:wrap type="square"/>
              </v:shape>
            </w:pict>
          </mc:Fallback>
        </mc:AlternateContent>
      </w:r>
      <w:r w:rsidR="00674702">
        <w:rPr>
          <w:noProof/>
        </w:rPr>
        <mc:AlternateContent>
          <mc:Choice Requires="wps">
            <w:drawing>
              <wp:anchor distT="45720" distB="45720" distL="114300" distR="114300" simplePos="0" relativeHeight="251665408" behindDoc="0" locked="0" layoutInCell="1" allowOverlap="1">
                <wp:simplePos x="0" y="0"/>
                <wp:positionH relativeFrom="column">
                  <wp:posOffset>-106045</wp:posOffset>
                </wp:positionH>
                <wp:positionV relativeFrom="paragraph">
                  <wp:posOffset>6384925</wp:posOffset>
                </wp:positionV>
                <wp:extent cx="2377440" cy="530225"/>
                <wp:effectExtent l="0" t="0" r="0" b="0"/>
                <wp:wrapSquare wrapText="bothSides"/>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530225"/>
                        </a:xfrm>
                        <a:prstGeom prst="rect">
                          <a:avLst/>
                        </a:prstGeom>
                        <a:noFill/>
                        <a:ln w="9525">
                          <a:noFill/>
                          <a:miter lim="800000"/>
                          <a:headEnd/>
                          <a:tailEnd/>
                        </a:ln>
                      </wps:spPr>
                      <wps:txbx>
                        <w:txbxContent>
                          <w:p w:rsidR="00EA779A" w14:paraId="20C3E298" w14:textId="3F283E17">
                            <w:r w:rsidRPr="00583CFD">
                              <w:rPr>
                                <w:noProof/>
                              </w:rPr>
                              <w:drawing>
                                <wp:inline distT="0" distB="0" distL="0" distR="0">
                                  <wp:extent cx="2162175" cy="476250"/>
                                  <wp:effectExtent l="0" t="0" r="0" b="0"/>
                                  <wp:docPr id="3"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1" descr="C:\Users\ace\AppData\Local\Microsoft\Windows\INetCache\Content.Word\eialogo_fullcolor.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2" o:spid="_x0000_s1028" type="#_x0000_t202" style="width:187.2pt;height:41.75pt;margin-top:502.75pt;margin-left:-8.35pt;mso-height-percent:0;mso-height-relative:margin;mso-width-percent:400;mso-width-relative:margin;mso-wrap-distance-bottom:3.6pt;mso-wrap-distance-left:9pt;mso-wrap-distance-right:9pt;mso-wrap-distance-top:3.6pt;mso-wrap-style:square;position:absolute;visibility:visible;v-text-anchor:top;z-index:251666432" filled="f" stroked="f">
                <v:textbox>
                  <w:txbxContent>
                    <w:p w:rsidR="00EA779A" w14:paraId="672A6659" w14:textId="3F283E17">
                      <w:drawing>
                        <wp:inline distT="0" distB="0" distL="0" distR="0">
                          <wp:extent cx="2162175" cy="476250"/>
                          <wp:effectExtent l="0" t="0" r="0" b="0"/>
                          <wp:docPr id="1502119933"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119933" name="Picture 61" descr="C:\Users\ace\AppData\Local\Microsoft\Windows\INetCache\Content.Word\eialogo_fullcolor.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p>
                  </w:txbxContent>
                </v:textbox>
                <w10:wrap type="square"/>
              </v:shape>
            </w:pict>
          </mc:Fallback>
        </mc:AlternateContent>
      </w:r>
      <w:r w:rsidR="00674702">
        <w:rPr>
          <w:noProof/>
        </w:rPr>
        <mc:AlternateContent>
          <mc:Choice Requires="wps">
            <w:drawing>
              <wp:anchor distT="0" distB="0" distL="114300" distR="114300" simplePos="0" relativeHeight="251660288" behindDoc="0" locked="0" layoutInCell="1" allowOverlap="1">
                <wp:simplePos x="0" y="0"/>
                <wp:positionH relativeFrom="margin">
                  <wp:posOffset>391160</wp:posOffset>
                </wp:positionH>
                <wp:positionV relativeFrom="margin">
                  <wp:posOffset>5288280</wp:posOffset>
                </wp:positionV>
                <wp:extent cx="2377440" cy="477520"/>
                <wp:effectExtent l="0" t="0" r="0" b="0"/>
                <wp:wrapSquare wrapText="bothSides"/>
                <wp:docPr id="16"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775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779A" w:rsidRPr="00E054DF" w14:paraId="32C16BD6" w14:textId="1C274AAB">
                            <w:pPr>
                              <w:rPr>
                                <w:rFonts w:ascii="Franklin Gothic Medium" w:hAnsi="Franklin Gothic Medium"/>
                                <w:color w:val="7F7F7F"/>
                                <w:sz w:val="36"/>
                              </w:rPr>
                            </w:pPr>
                            <w:r>
                              <w:rPr>
                                <w:rFonts w:ascii="Franklin Gothic Medium" w:hAnsi="Franklin Gothic Medium"/>
                                <w:color w:val="7F7F7F"/>
                                <w:sz w:val="36"/>
                              </w:rPr>
                              <w:t>July</w:t>
                            </w:r>
                            <w:r w:rsidRPr="00E054DF" w:rsidR="00E054DF">
                              <w:rPr>
                                <w:rFonts w:ascii="Franklin Gothic Medium" w:hAnsi="Franklin Gothic Medium"/>
                                <w:color w:val="7F7F7F"/>
                                <w:sz w:val="36"/>
                              </w:rPr>
                              <w:t xml:space="preserve"> 202</w:t>
                            </w:r>
                            <w:r w:rsidR="009C374C">
                              <w:rPr>
                                <w:rFonts w:ascii="Franklin Gothic Medium" w:hAnsi="Franklin Gothic Medium"/>
                                <w:color w:val="7F7F7F"/>
                                <w:sz w:val="36"/>
                              </w:rPr>
                              <w:t>6</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width:187.2pt;height:37.6pt;margin-top:416.4pt;margin-left:30.8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EA779A" w:rsidRPr="00E054DF" w14:paraId="6EE3DC18" w14:textId="1C274AAB">
                      <w:pPr>
                        <w:rPr>
                          <w:rFonts w:ascii="Franklin Gothic Medium" w:hAnsi="Franklin Gothic Medium"/>
                          <w:color w:val="7F7F7F"/>
                          <w:sz w:val="36"/>
                        </w:rPr>
                      </w:pPr>
                      <w:r>
                        <w:rPr>
                          <w:rFonts w:ascii="Franklin Gothic Medium" w:hAnsi="Franklin Gothic Medium"/>
                          <w:color w:val="7F7F7F"/>
                          <w:sz w:val="36"/>
                        </w:rPr>
                        <w:t>July</w:t>
                      </w:r>
                      <w:r w:rsidRPr="00E054DF" w:rsidR="00E054DF">
                        <w:rPr>
                          <w:rFonts w:ascii="Franklin Gothic Medium" w:hAnsi="Franklin Gothic Medium"/>
                          <w:color w:val="7F7F7F"/>
                          <w:sz w:val="36"/>
                        </w:rPr>
                        <w:t xml:space="preserve"> 202</w:t>
                      </w:r>
                      <w:r w:rsidR="009C374C">
                        <w:rPr>
                          <w:rFonts w:ascii="Franklin Gothic Medium" w:hAnsi="Franklin Gothic Medium"/>
                          <w:color w:val="7F7F7F"/>
                          <w:sz w:val="36"/>
                        </w:rPr>
                        <w:t>6</w:t>
                      </w:r>
                    </w:p>
                  </w:txbxContent>
                </v:textbox>
                <w10:wrap type="square"/>
              </v:shape>
            </w:pict>
          </mc:Fallback>
        </mc:AlternateContent>
      </w:r>
      <w:r w:rsidR="001F3A8F">
        <w:br w:type="page"/>
      </w:r>
    </w:p>
    <w:p w:rsidR="00755C3D" w14:paraId="0297F04E" w14:textId="77777777">
      <w:pPr>
        <w:sectPr w:rsidSect="00206D5A">
          <w:footerReference w:type="default" r:id="rId12"/>
          <w:footnotePr>
            <w:pos w:val="beneathText"/>
          </w:footnotePr>
          <w:type w:val="continuous"/>
          <w:pgSz w:w="12240" w:h="15840"/>
          <w:pgMar w:top="720" w:right="1440" w:bottom="720" w:left="1440" w:header="720" w:footer="720" w:gutter="0"/>
          <w:pgNumType w:fmt="lowerRoman" w:start="0"/>
          <w:cols w:space="720"/>
          <w:titlePg/>
          <w:docGrid w:linePitch="360"/>
        </w:sectPr>
      </w:pPr>
    </w:p>
    <w:p w:rsidR="00D928FD" w14:paraId="19EA844E" w14:textId="77777777"/>
    <w:p w:rsidR="001F3A8F" w14:paraId="54E25F02" w14:textId="77777777"/>
    <w:p w:rsidR="001F3A8F" w14:paraId="0B63A2D3" w14:textId="77777777"/>
    <w:p w:rsidR="001F3A8F" w14:paraId="086A3CFE" w14:textId="77777777"/>
    <w:p w:rsidR="001F3A8F" w14:paraId="6EB2828F" w14:textId="77777777"/>
    <w:p w:rsidR="001F3A8F" w14:paraId="5147A12F" w14:textId="77777777"/>
    <w:p w:rsidR="001F3A8F" w14:paraId="43FF5E04" w14:textId="77777777"/>
    <w:p w:rsidR="001F3A8F" w14:paraId="36C6A668" w14:textId="77777777"/>
    <w:p w:rsidR="001F3A8F" w14:paraId="7DEAAD48" w14:textId="77777777"/>
    <w:p w:rsidR="001F3A8F" w14:paraId="2F06AAA1" w14:textId="77777777"/>
    <w:p w:rsidR="001F3A8F" w14:paraId="2DCCA58D" w14:textId="77777777"/>
    <w:p w:rsidR="001F3A8F" w14:paraId="1EF7DB81" w14:textId="77777777"/>
    <w:p w:rsidR="001F3A8F" w14:paraId="25ACB011" w14:textId="77777777"/>
    <w:p w:rsidR="001F3A8F" w14:paraId="6CEB4B99" w14:textId="77777777"/>
    <w:p w:rsidR="001F3A8F" w14:paraId="19C01B1B" w14:textId="77777777"/>
    <w:p w:rsidR="001F3A8F" w14:paraId="79DC8B49" w14:textId="77777777"/>
    <w:p w:rsidR="001F3A8F" w14:paraId="1CD85D5E" w14:textId="77777777"/>
    <w:p w:rsidR="001F3A8F" w14:paraId="33829DB7" w14:textId="77777777"/>
    <w:p w:rsidR="001F3A8F" w14:paraId="34E942A8" w14:textId="77777777"/>
    <w:p w:rsidR="001F3A8F" w14:paraId="73AF0450" w14:textId="77777777"/>
    <w:p w:rsidR="00D928FD" w:rsidP="00D928FD" w14:paraId="14C9E149" w14:textId="77777777">
      <w:pPr>
        <w:sectPr w:rsidSect="009F61F7">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p>
    <w:p w:rsidR="00AD6244" w:rsidP="00E054DF" w14:paraId="1FD470BC" w14:textId="77777777">
      <w:pPr>
        <w:pStyle w:val="TOCHeading"/>
      </w:pPr>
      <w:r>
        <w:t>Table of Contents</w:t>
      </w:r>
    </w:p>
    <w:p w:rsidR="00F43F66" w:rsidRPr="00BB64D7" w14:paraId="33F58D27" w14:textId="77777777">
      <w:pPr>
        <w:pStyle w:val="TOC1"/>
        <w:rPr>
          <w:rFonts w:eastAsia="Times New Roman"/>
          <w:noProof/>
          <w:color w:val="auto"/>
        </w:rPr>
      </w:pPr>
      <w:r w:rsidRPr="00E054DF">
        <w:rPr>
          <w:b/>
          <w:bCs/>
          <w:noProof/>
          <w:color w:val="auto"/>
        </w:rPr>
        <w:fldChar w:fldCharType="begin"/>
      </w:r>
      <w:r>
        <w:rPr>
          <w:b/>
          <w:bCs/>
          <w:noProof/>
        </w:rPr>
        <w:instrText xml:space="preserve"> TOC \o "1-5" \h \z \u </w:instrText>
      </w:r>
      <w:r w:rsidRPr="00E054DF">
        <w:rPr>
          <w:b/>
          <w:bCs/>
          <w:noProof/>
          <w:color w:val="auto"/>
        </w:rPr>
        <w:fldChar w:fldCharType="separate"/>
      </w:r>
      <w:hyperlink r:id="rId14" w:anchor="_Toc128056073" w:history="1">
        <w:r w:rsidRPr="00A140A3">
          <w:rPr>
            <w:rStyle w:val="Hyperlink"/>
            <w:noProof/>
          </w:rPr>
          <w:t>Part A: Justifications</w:t>
        </w:r>
        <w:r>
          <w:rPr>
            <w:noProof/>
            <w:webHidden/>
          </w:rPr>
          <w:tab/>
        </w:r>
        <w:r>
          <w:rPr>
            <w:noProof/>
            <w:webHidden/>
          </w:rPr>
          <w:fldChar w:fldCharType="begin"/>
        </w:r>
        <w:r>
          <w:rPr>
            <w:noProof/>
            <w:webHidden/>
          </w:rPr>
          <w:instrText xml:space="preserve"> PAGEREF _Toc128056073 \h </w:instrText>
        </w:r>
        <w:r>
          <w:rPr>
            <w:noProof/>
            <w:webHidden/>
          </w:rPr>
          <w:fldChar w:fldCharType="separate"/>
        </w:r>
        <w:r>
          <w:rPr>
            <w:noProof/>
            <w:webHidden/>
          </w:rPr>
          <w:t xml:space="preserve"> </w:t>
        </w:r>
        <w:r>
          <w:rPr>
            <w:noProof/>
            <w:webHidden/>
          </w:rPr>
          <w:fldChar w:fldCharType="end"/>
        </w:r>
      </w:hyperlink>
    </w:p>
    <w:p w:rsidR="00F43F66" w:rsidRPr="00BB64D7" w14:paraId="6E34D520" w14:textId="77777777">
      <w:pPr>
        <w:pStyle w:val="TOC2"/>
        <w:rPr>
          <w:rFonts w:eastAsia="Times New Roman"/>
          <w:noProof/>
          <w:color w:val="auto"/>
        </w:rPr>
      </w:pPr>
      <w:hyperlink w:anchor="_Toc128056074" w:history="1">
        <w:r w:rsidRPr="00BB64D7">
          <w:rPr>
            <w:rStyle w:val="Hyperlink"/>
            <w:rFonts w:eastAsia="Times New Roman"/>
            <w:noProof/>
          </w:rPr>
          <w:t>Introduction</w:t>
        </w:r>
        <w:r>
          <w:rPr>
            <w:noProof/>
            <w:webHidden/>
          </w:rPr>
          <w:tab/>
        </w:r>
        <w:r>
          <w:rPr>
            <w:noProof/>
            <w:webHidden/>
          </w:rPr>
          <w:fldChar w:fldCharType="begin"/>
        </w:r>
        <w:r>
          <w:rPr>
            <w:noProof/>
            <w:webHidden/>
          </w:rPr>
          <w:instrText xml:space="preserve"> PAGEREF _Toc128056074 \h </w:instrText>
        </w:r>
        <w:r>
          <w:rPr>
            <w:noProof/>
            <w:webHidden/>
          </w:rPr>
          <w:fldChar w:fldCharType="separate"/>
        </w:r>
        <w:r>
          <w:rPr>
            <w:noProof/>
            <w:webHidden/>
          </w:rPr>
          <w:t>2</w:t>
        </w:r>
        <w:r>
          <w:rPr>
            <w:noProof/>
            <w:webHidden/>
          </w:rPr>
          <w:fldChar w:fldCharType="end"/>
        </w:r>
      </w:hyperlink>
    </w:p>
    <w:p w:rsidR="00F43F66" w:rsidRPr="00BB64D7" w14:paraId="7BE12329" w14:textId="77777777">
      <w:pPr>
        <w:pStyle w:val="TOC2"/>
        <w:rPr>
          <w:rFonts w:eastAsia="Times New Roman"/>
          <w:noProof/>
          <w:color w:val="auto"/>
        </w:rPr>
      </w:pPr>
      <w:hyperlink w:anchor="_Toc128056075" w:history="1">
        <w:r w:rsidRPr="00BB64D7">
          <w:rPr>
            <w:rStyle w:val="Hyperlink"/>
            <w:rFonts w:eastAsia="Times New Roman"/>
            <w:noProof/>
          </w:rPr>
          <w:t>A.1. Legal Justification</w:t>
        </w:r>
        <w:r>
          <w:rPr>
            <w:noProof/>
            <w:webHidden/>
          </w:rPr>
          <w:tab/>
        </w:r>
        <w:r>
          <w:rPr>
            <w:noProof/>
            <w:webHidden/>
          </w:rPr>
          <w:fldChar w:fldCharType="begin"/>
        </w:r>
        <w:r>
          <w:rPr>
            <w:noProof/>
            <w:webHidden/>
          </w:rPr>
          <w:instrText xml:space="preserve"> PAGEREF _Toc128056075 \h </w:instrText>
        </w:r>
        <w:r>
          <w:rPr>
            <w:noProof/>
            <w:webHidden/>
          </w:rPr>
          <w:fldChar w:fldCharType="separate"/>
        </w:r>
        <w:r>
          <w:rPr>
            <w:noProof/>
            <w:webHidden/>
          </w:rPr>
          <w:t>2</w:t>
        </w:r>
        <w:r>
          <w:rPr>
            <w:noProof/>
            <w:webHidden/>
          </w:rPr>
          <w:fldChar w:fldCharType="end"/>
        </w:r>
      </w:hyperlink>
    </w:p>
    <w:p w:rsidR="00F43F66" w:rsidRPr="00BB64D7" w14:paraId="070EC386" w14:textId="77777777">
      <w:pPr>
        <w:pStyle w:val="TOC2"/>
        <w:rPr>
          <w:rFonts w:eastAsia="Times New Roman"/>
          <w:noProof/>
          <w:color w:val="auto"/>
        </w:rPr>
      </w:pPr>
      <w:hyperlink w:anchor="_Toc128056076" w:history="1">
        <w:r w:rsidRPr="00BB64D7">
          <w:rPr>
            <w:rStyle w:val="Hyperlink"/>
            <w:rFonts w:eastAsia="Times New Roman"/>
            <w:noProof/>
          </w:rPr>
          <w:t>A.2. Needs and Uses of Data</w:t>
        </w:r>
        <w:r>
          <w:rPr>
            <w:noProof/>
            <w:webHidden/>
          </w:rPr>
          <w:tab/>
        </w:r>
        <w:r>
          <w:rPr>
            <w:noProof/>
            <w:webHidden/>
          </w:rPr>
          <w:fldChar w:fldCharType="begin"/>
        </w:r>
        <w:r>
          <w:rPr>
            <w:noProof/>
            <w:webHidden/>
          </w:rPr>
          <w:instrText xml:space="preserve"> PAGEREF _Toc128056076 \h </w:instrText>
        </w:r>
        <w:r>
          <w:rPr>
            <w:noProof/>
            <w:webHidden/>
          </w:rPr>
          <w:fldChar w:fldCharType="separate"/>
        </w:r>
        <w:r>
          <w:rPr>
            <w:noProof/>
            <w:webHidden/>
          </w:rPr>
          <w:t>3</w:t>
        </w:r>
        <w:r>
          <w:rPr>
            <w:noProof/>
            <w:webHidden/>
          </w:rPr>
          <w:fldChar w:fldCharType="end"/>
        </w:r>
      </w:hyperlink>
    </w:p>
    <w:p w:rsidR="00F43F66" w:rsidRPr="00BB64D7" w14:paraId="5C6FA73F" w14:textId="77777777">
      <w:pPr>
        <w:pStyle w:val="TOC2"/>
        <w:rPr>
          <w:rFonts w:eastAsia="Times New Roman"/>
          <w:noProof/>
          <w:color w:val="auto"/>
        </w:rPr>
      </w:pPr>
      <w:hyperlink w:anchor="_Toc128056077" w:history="1">
        <w:r w:rsidRPr="00BB64D7">
          <w:rPr>
            <w:rStyle w:val="Hyperlink"/>
            <w:rFonts w:eastAsia="Times New Roman"/>
            <w:noProof/>
          </w:rPr>
          <w:t>A.3. Use of Technology</w:t>
        </w:r>
        <w:r>
          <w:rPr>
            <w:noProof/>
            <w:webHidden/>
          </w:rPr>
          <w:tab/>
        </w:r>
        <w:r>
          <w:rPr>
            <w:noProof/>
            <w:webHidden/>
          </w:rPr>
          <w:fldChar w:fldCharType="begin"/>
        </w:r>
        <w:r>
          <w:rPr>
            <w:noProof/>
            <w:webHidden/>
          </w:rPr>
          <w:instrText xml:space="preserve"> PAGEREF _Toc128056077 \h </w:instrText>
        </w:r>
        <w:r>
          <w:rPr>
            <w:noProof/>
            <w:webHidden/>
          </w:rPr>
          <w:fldChar w:fldCharType="separate"/>
        </w:r>
        <w:r>
          <w:rPr>
            <w:noProof/>
            <w:webHidden/>
          </w:rPr>
          <w:t>3</w:t>
        </w:r>
        <w:r>
          <w:rPr>
            <w:noProof/>
            <w:webHidden/>
          </w:rPr>
          <w:fldChar w:fldCharType="end"/>
        </w:r>
      </w:hyperlink>
    </w:p>
    <w:p w:rsidR="00F43F66" w:rsidRPr="00BB64D7" w14:paraId="4270053C" w14:textId="77777777">
      <w:pPr>
        <w:pStyle w:val="TOC2"/>
        <w:rPr>
          <w:rFonts w:eastAsia="Times New Roman"/>
          <w:noProof/>
          <w:color w:val="auto"/>
        </w:rPr>
      </w:pPr>
      <w:hyperlink w:anchor="_Toc128056078" w:history="1">
        <w:r w:rsidRPr="00BB64D7">
          <w:rPr>
            <w:rStyle w:val="Hyperlink"/>
            <w:rFonts w:eastAsia="Times New Roman"/>
            <w:noProof/>
          </w:rPr>
          <w:t>A.4. Efforts to Identify Duplication</w:t>
        </w:r>
        <w:r>
          <w:rPr>
            <w:noProof/>
            <w:webHidden/>
          </w:rPr>
          <w:tab/>
        </w:r>
        <w:r>
          <w:rPr>
            <w:noProof/>
            <w:webHidden/>
          </w:rPr>
          <w:fldChar w:fldCharType="begin"/>
        </w:r>
        <w:r>
          <w:rPr>
            <w:noProof/>
            <w:webHidden/>
          </w:rPr>
          <w:instrText xml:space="preserve"> PAGEREF _Toc128056078 \h </w:instrText>
        </w:r>
        <w:r>
          <w:rPr>
            <w:noProof/>
            <w:webHidden/>
          </w:rPr>
          <w:fldChar w:fldCharType="separate"/>
        </w:r>
        <w:r>
          <w:rPr>
            <w:noProof/>
            <w:webHidden/>
          </w:rPr>
          <w:t>3</w:t>
        </w:r>
        <w:r>
          <w:rPr>
            <w:noProof/>
            <w:webHidden/>
          </w:rPr>
          <w:fldChar w:fldCharType="end"/>
        </w:r>
      </w:hyperlink>
    </w:p>
    <w:p w:rsidR="00F43F66" w:rsidRPr="00BB64D7" w14:paraId="5E85B778" w14:textId="77777777">
      <w:pPr>
        <w:pStyle w:val="TOC2"/>
        <w:rPr>
          <w:rFonts w:eastAsia="Times New Roman"/>
          <w:noProof/>
          <w:color w:val="auto"/>
        </w:rPr>
      </w:pPr>
      <w:hyperlink w:anchor="_Toc128056079" w:history="1">
        <w:r w:rsidRPr="00BB64D7">
          <w:rPr>
            <w:rStyle w:val="Hyperlink"/>
            <w:rFonts w:eastAsia="Times New Roman"/>
            <w:noProof/>
          </w:rPr>
          <w:t>A.5. Provisions for Reducing Burden on Small Businesses</w:t>
        </w:r>
        <w:r>
          <w:rPr>
            <w:noProof/>
            <w:webHidden/>
          </w:rPr>
          <w:tab/>
        </w:r>
        <w:r>
          <w:rPr>
            <w:noProof/>
            <w:webHidden/>
          </w:rPr>
          <w:fldChar w:fldCharType="begin"/>
        </w:r>
        <w:r>
          <w:rPr>
            <w:noProof/>
            <w:webHidden/>
          </w:rPr>
          <w:instrText xml:space="preserve"> PAGEREF _Toc128056079 \h </w:instrText>
        </w:r>
        <w:r>
          <w:rPr>
            <w:noProof/>
            <w:webHidden/>
          </w:rPr>
          <w:fldChar w:fldCharType="separate"/>
        </w:r>
        <w:r>
          <w:rPr>
            <w:noProof/>
            <w:webHidden/>
          </w:rPr>
          <w:t>3</w:t>
        </w:r>
        <w:r>
          <w:rPr>
            <w:noProof/>
            <w:webHidden/>
          </w:rPr>
          <w:fldChar w:fldCharType="end"/>
        </w:r>
      </w:hyperlink>
    </w:p>
    <w:p w:rsidR="00F43F66" w:rsidRPr="00BB64D7" w14:paraId="4ADC6D48" w14:textId="77777777">
      <w:pPr>
        <w:pStyle w:val="TOC2"/>
        <w:rPr>
          <w:rFonts w:eastAsia="Times New Roman"/>
          <w:noProof/>
          <w:color w:val="auto"/>
        </w:rPr>
      </w:pPr>
      <w:hyperlink w:anchor="_Toc128056080" w:history="1">
        <w:r w:rsidRPr="00BB64D7">
          <w:rPr>
            <w:rStyle w:val="Hyperlink"/>
            <w:rFonts w:eastAsia="Times New Roman"/>
            <w:noProof/>
          </w:rPr>
          <w:t>A.6. Consequences of Less-Frequent Reporting</w:t>
        </w:r>
        <w:r>
          <w:rPr>
            <w:noProof/>
            <w:webHidden/>
          </w:rPr>
          <w:tab/>
        </w:r>
        <w:r>
          <w:rPr>
            <w:noProof/>
            <w:webHidden/>
          </w:rPr>
          <w:fldChar w:fldCharType="begin"/>
        </w:r>
        <w:r>
          <w:rPr>
            <w:noProof/>
            <w:webHidden/>
          </w:rPr>
          <w:instrText xml:space="preserve"> PAGEREF _Toc128056080 \h </w:instrText>
        </w:r>
        <w:r>
          <w:rPr>
            <w:noProof/>
            <w:webHidden/>
          </w:rPr>
          <w:fldChar w:fldCharType="separate"/>
        </w:r>
        <w:r>
          <w:rPr>
            <w:noProof/>
            <w:webHidden/>
          </w:rPr>
          <w:t>3</w:t>
        </w:r>
        <w:r>
          <w:rPr>
            <w:noProof/>
            <w:webHidden/>
          </w:rPr>
          <w:fldChar w:fldCharType="end"/>
        </w:r>
      </w:hyperlink>
    </w:p>
    <w:p w:rsidR="00F43F66" w:rsidRPr="00BB64D7" w14:paraId="05593236" w14:textId="77777777">
      <w:pPr>
        <w:pStyle w:val="TOC2"/>
        <w:rPr>
          <w:rFonts w:eastAsia="Times New Roman"/>
          <w:noProof/>
          <w:color w:val="auto"/>
        </w:rPr>
      </w:pPr>
      <w:hyperlink w:anchor="_Toc128056081" w:history="1">
        <w:r w:rsidRPr="00BB64D7">
          <w:rPr>
            <w:rStyle w:val="Hyperlink"/>
            <w:rFonts w:eastAsia="Times New Roman"/>
            <w:noProof/>
          </w:rPr>
          <w:t>A.7. Compliance with 5 CFR 1320.5</w:t>
        </w:r>
        <w:r>
          <w:rPr>
            <w:noProof/>
            <w:webHidden/>
          </w:rPr>
          <w:tab/>
        </w:r>
        <w:r>
          <w:rPr>
            <w:noProof/>
            <w:webHidden/>
          </w:rPr>
          <w:fldChar w:fldCharType="begin"/>
        </w:r>
        <w:r>
          <w:rPr>
            <w:noProof/>
            <w:webHidden/>
          </w:rPr>
          <w:instrText xml:space="preserve"> PAGEREF _Toc128056081 \h </w:instrText>
        </w:r>
        <w:r>
          <w:rPr>
            <w:noProof/>
            <w:webHidden/>
          </w:rPr>
          <w:fldChar w:fldCharType="separate"/>
        </w:r>
        <w:r>
          <w:rPr>
            <w:noProof/>
            <w:webHidden/>
          </w:rPr>
          <w:t>4</w:t>
        </w:r>
        <w:r>
          <w:rPr>
            <w:noProof/>
            <w:webHidden/>
          </w:rPr>
          <w:fldChar w:fldCharType="end"/>
        </w:r>
      </w:hyperlink>
    </w:p>
    <w:p w:rsidR="00F43F66" w:rsidRPr="00BB64D7" w14:paraId="49E7E6EE" w14:textId="77777777">
      <w:pPr>
        <w:pStyle w:val="TOC2"/>
        <w:rPr>
          <w:rFonts w:eastAsia="Times New Roman"/>
          <w:noProof/>
          <w:color w:val="auto"/>
        </w:rPr>
      </w:pPr>
      <w:hyperlink w:anchor="_Toc128056082" w:history="1">
        <w:r w:rsidRPr="00BB64D7">
          <w:rPr>
            <w:rStyle w:val="Hyperlink"/>
            <w:rFonts w:eastAsia="Times New Roman"/>
            <w:noProof/>
          </w:rPr>
          <w:t>A.8. Summary of Consultations Outside of the Agency</w:t>
        </w:r>
        <w:r>
          <w:rPr>
            <w:noProof/>
            <w:webHidden/>
          </w:rPr>
          <w:tab/>
        </w:r>
        <w:r>
          <w:rPr>
            <w:noProof/>
            <w:webHidden/>
          </w:rPr>
          <w:fldChar w:fldCharType="begin"/>
        </w:r>
        <w:r>
          <w:rPr>
            <w:noProof/>
            <w:webHidden/>
          </w:rPr>
          <w:instrText xml:space="preserve"> PAGEREF _Toc128056082 \h </w:instrText>
        </w:r>
        <w:r>
          <w:rPr>
            <w:noProof/>
            <w:webHidden/>
          </w:rPr>
          <w:fldChar w:fldCharType="separate"/>
        </w:r>
        <w:r>
          <w:rPr>
            <w:noProof/>
            <w:webHidden/>
          </w:rPr>
          <w:t>4</w:t>
        </w:r>
        <w:r>
          <w:rPr>
            <w:noProof/>
            <w:webHidden/>
          </w:rPr>
          <w:fldChar w:fldCharType="end"/>
        </w:r>
      </w:hyperlink>
    </w:p>
    <w:p w:rsidR="00F43F66" w:rsidRPr="00BB64D7" w14:paraId="609323D5" w14:textId="77777777">
      <w:pPr>
        <w:pStyle w:val="TOC2"/>
        <w:rPr>
          <w:rFonts w:eastAsia="Times New Roman"/>
          <w:noProof/>
          <w:color w:val="auto"/>
        </w:rPr>
      </w:pPr>
      <w:hyperlink w:anchor="_Toc128056083" w:history="1">
        <w:r w:rsidRPr="00BB64D7">
          <w:rPr>
            <w:rStyle w:val="Hyperlink"/>
            <w:rFonts w:eastAsia="Times New Roman"/>
            <w:noProof/>
          </w:rPr>
          <w:t>A.9. Payments or Gifts to Respondents</w:t>
        </w:r>
        <w:r>
          <w:rPr>
            <w:noProof/>
            <w:webHidden/>
          </w:rPr>
          <w:tab/>
        </w:r>
        <w:r>
          <w:rPr>
            <w:noProof/>
            <w:webHidden/>
          </w:rPr>
          <w:fldChar w:fldCharType="begin"/>
        </w:r>
        <w:r>
          <w:rPr>
            <w:noProof/>
            <w:webHidden/>
          </w:rPr>
          <w:instrText xml:space="preserve"> PAGEREF _Toc128056083 \h </w:instrText>
        </w:r>
        <w:r>
          <w:rPr>
            <w:noProof/>
            <w:webHidden/>
          </w:rPr>
          <w:fldChar w:fldCharType="separate"/>
        </w:r>
        <w:r>
          <w:rPr>
            <w:noProof/>
            <w:webHidden/>
          </w:rPr>
          <w:t>5</w:t>
        </w:r>
        <w:r>
          <w:rPr>
            <w:noProof/>
            <w:webHidden/>
          </w:rPr>
          <w:fldChar w:fldCharType="end"/>
        </w:r>
      </w:hyperlink>
    </w:p>
    <w:p w:rsidR="00F43F66" w:rsidRPr="00BB64D7" w14:paraId="07D28763" w14:textId="77777777">
      <w:pPr>
        <w:pStyle w:val="TOC2"/>
        <w:rPr>
          <w:rFonts w:eastAsia="Times New Roman"/>
          <w:noProof/>
          <w:color w:val="auto"/>
        </w:rPr>
      </w:pPr>
      <w:hyperlink w:anchor="_Toc128056084" w:history="1">
        <w:r w:rsidRPr="00BB64D7">
          <w:rPr>
            <w:rStyle w:val="Hyperlink"/>
            <w:rFonts w:eastAsia="Times New Roman"/>
            <w:noProof/>
          </w:rPr>
          <w:t>A.10. Provisions for Protection of Information</w:t>
        </w:r>
        <w:r>
          <w:rPr>
            <w:noProof/>
            <w:webHidden/>
          </w:rPr>
          <w:tab/>
        </w:r>
        <w:r>
          <w:rPr>
            <w:noProof/>
            <w:webHidden/>
          </w:rPr>
          <w:fldChar w:fldCharType="begin"/>
        </w:r>
        <w:r>
          <w:rPr>
            <w:noProof/>
            <w:webHidden/>
          </w:rPr>
          <w:instrText xml:space="preserve"> PAGEREF _Toc128056084 \h </w:instrText>
        </w:r>
        <w:r>
          <w:rPr>
            <w:noProof/>
            <w:webHidden/>
          </w:rPr>
          <w:fldChar w:fldCharType="separate"/>
        </w:r>
        <w:r>
          <w:rPr>
            <w:noProof/>
            <w:webHidden/>
          </w:rPr>
          <w:t>5</w:t>
        </w:r>
        <w:r>
          <w:rPr>
            <w:noProof/>
            <w:webHidden/>
          </w:rPr>
          <w:fldChar w:fldCharType="end"/>
        </w:r>
      </w:hyperlink>
    </w:p>
    <w:p w:rsidR="00F43F66" w:rsidRPr="00BB64D7" w14:paraId="32A08EBF" w14:textId="77777777">
      <w:pPr>
        <w:pStyle w:val="TOC2"/>
        <w:rPr>
          <w:rFonts w:eastAsia="Times New Roman"/>
          <w:noProof/>
          <w:color w:val="auto"/>
        </w:rPr>
      </w:pPr>
      <w:hyperlink w:anchor="_Toc128056085" w:history="1">
        <w:r w:rsidRPr="00BB64D7">
          <w:rPr>
            <w:rStyle w:val="Hyperlink"/>
            <w:rFonts w:eastAsia="Times New Roman"/>
            <w:noProof/>
          </w:rPr>
          <w:t>A.11. Justification for Sensitive Questions</w:t>
        </w:r>
        <w:r>
          <w:rPr>
            <w:noProof/>
            <w:webHidden/>
          </w:rPr>
          <w:tab/>
        </w:r>
        <w:r>
          <w:rPr>
            <w:noProof/>
            <w:webHidden/>
          </w:rPr>
          <w:fldChar w:fldCharType="begin"/>
        </w:r>
        <w:r>
          <w:rPr>
            <w:noProof/>
            <w:webHidden/>
          </w:rPr>
          <w:instrText xml:space="preserve"> PAGEREF _Toc128056085 \h </w:instrText>
        </w:r>
        <w:r>
          <w:rPr>
            <w:noProof/>
            <w:webHidden/>
          </w:rPr>
          <w:fldChar w:fldCharType="separate"/>
        </w:r>
        <w:r>
          <w:rPr>
            <w:noProof/>
            <w:webHidden/>
          </w:rPr>
          <w:t>5</w:t>
        </w:r>
        <w:r>
          <w:rPr>
            <w:noProof/>
            <w:webHidden/>
          </w:rPr>
          <w:fldChar w:fldCharType="end"/>
        </w:r>
      </w:hyperlink>
    </w:p>
    <w:p w:rsidR="00F43F66" w:rsidRPr="00BB64D7" w14:paraId="54910E8D" w14:textId="77777777">
      <w:pPr>
        <w:pStyle w:val="TOC2"/>
        <w:rPr>
          <w:rFonts w:eastAsia="Times New Roman"/>
          <w:noProof/>
          <w:color w:val="auto"/>
        </w:rPr>
      </w:pPr>
      <w:hyperlink w:anchor="_Toc128056086" w:history="1">
        <w:r w:rsidRPr="00BB64D7">
          <w:rPr>
            <w:rStyle w:val="Hyperlink"/>
            <w:rFonts w:eastAsia="Times New Roman"/>
            <w:noProof/>
          </w:rPr>
          <w:t>A.12. Estimate of Respondent Burden Hours and Cost</w:t>
        </w:r>
        <w:r>
          <w:rPr>
            <w:noProof/>
            <w:webHidden/>
          </w:rPr>
          <w:tab/>
        </w:r>
        <w:r>
          <w:rPr>
            <w:noProof/>
            <w:webHidden/>
          </w:rPr>
          <w:fldChar w:fldCharType="begin"/>
        </w:r>
        <w:r>
          <w:rPr>
            <w:noProof/>
            <w:webHidden/>
          </w:rPr>
          <w:instrText xml:space="preserve"> PAGEREF _Toc128056086 \h </w:instrText>
        </w:r>
        <w:r>
          <w:rPr>
            <w:noProof/>
            <w:webHidden/>
          </w:rPr>
          <w:fldChar w:fldCharType="separate"/>
        </w:r>
        <w:r>
          <w:rPr>
            <w:noProof/>
            <w:webHidden/>
          </w:rPr>
          <w:t>5</w:t>
        </w:r>
        <w:r>
          <w:rPr>
            <w:noProof/>
            <w:webHidden/>
          </w:rPr>
          <w:fldChar w:fldCharType="end"/>
        </w:r>
      </w:hyperlink>
    </w:p>
    <w:p w:rsidR="00F43F66" w:rsidRPr="00BB64D7" w14:paraId="5BE816E8" w14:textId="77777777">
      <w:pPr>
        <w:pStyle w:val="TOC2"/>
        <w:rPr>
          <w:rFonts w:eastAsia="Times New Roman"/>
          <w:noProof/>
          <w:color w:val="auto"/>
        </w:rPr>
      </w:pPr>
      <w:hyperlink w:anchor="_Toc128056087" w:history="1">
        <w:r w:rsidRPr="00BB64D7">
          <w:rPr>
            <w:rStyle w:val="Hyperlink"/>
            <w:rFonts w:eastAsia="Times New Roman"/>
            <w:noProof/>
          </w:rPr>
          <w:t>A.13. Annual Cost to the Federal Government</w:t>
        </w:r>
        <w:r>
          <w:rPr>
            <w:noProof/>
            <w:webHidden/>
          </w:rPr>
          <w:tab/>
        </w:r>
        <w:r>
          <w:rPr>
            <w:noProof/>
            <w:webHidden/>
          </w:rPr>
          <w:fldChar w:fldCharType="begin"/>
        </w:r>
        <w:r>
          <w:rPr>
            <w:noProof/>
            <w:webHidden/>
          </w:rPr>
          <w:instrText xml:space="preserve"> PAGEREF _Toc128056087 \h </w:instrText>
        </w:r>
        <w:r>
          <w:rPr>
            <w:noProof/>
            <w:webHidden/>
          </w:rPr>
          <w:fldChar w:fldCharType="separate"/>
        </w:r>
        <w:r>
          <w:rPr>
            <w:noProof/>
            <w:webHidden/>
          </w:rPr>
          <w:t>6</w:t>
        </w:r>
        <w:r>
          <w:rPr>
            <w:noProof/>
            <w:webHidden/>
          </w:rPr>
          <w:fldChar w:fldCharType="end"/>
        </w:r>
      </w:hyperlink>
    </w:p>
    <w:p w:rsidR="00F43F66" w:rsidRPr="00BB64D7" w14:paraId="71C39A65" w14:textId="77777777">
      <w:pPr>
        <w:pStyle w:val="TOC2"/>
        <w:rPr>
          <w:rFonts w:eastAsia="Times New Roman"/>
          <w:noProof/>
          <w:color w:val="auto"/>
        </w:rPr>
      </w:pPr>
      <w:hyperlink w:anchor="_Toc128056088" w:history="1">
        <w:r w:rsidRPr="00BB64D7">
          <w:rPr>
            <w:rStyle w:val="Hyperlink"/>
            <w:rFonts w:eastAsia="Times New Roman"/>
            <w:noProof/>
          </w:rPr>
          <w:t>A.14. Changes in Burden</w:t>
        </w:r>
        <w:r>
          <w:rPr>
            <w:noProof/>
            <w:webHidden/>
          </w:rPr>
          <w:tab/>
        </w:r>
        <w:r>
          <w:rPr>
            <w:noProof/>
            <w:webHidden/>
          </w:rPr>
          <w:fldChar w:fldCharType="begin"/>
        </w:r>
        <w:r>
          <w:rPr>
            <w:noProof/>
            <w:webHidden/>
          </w:rPr>
          <w:instrText xml:space="preserve"> PAGEREF _Toc128056088 \h </w:instrText>
        </w:r>
        <w:r>
          <w:rPr>
            <w:noProof/>
            <w:webHidden/>
          </w:rPr>
          <w:fldChar w:fldCharType="separate"/>
        </w:r>
        <w:r>
          <w:rPr>
            <w:noProof/>
            <w:webHidden/>
          </w:rPr>
          <w:t>7</w:t>
        </w:r>
        <w:r>
          <w:rPr>
            <w:noProof/>
            <w:webHidden/>
          </w:rPr>
          <w:fldChar w:fldCharType="end"/>
        </w:r>
      </w:hyperlink>
    </w:p>
    <w:p w:rsidR="00F43F66" w:rsidRPr="00BB64D7" w14:paraId="780705E8" w14:textId="77777777">
      <w:pPr>
        <w:pStyle w:val="TOC2"/>
        <w:rPr>
          <w:rFonts w:eastAsia="Times New Roman"/>
          <w:noProof/>
          <w:color w:val="auto"/>
        </w:rPr>
      </w:pPr>
      <w:hyperlink w:anchor="_Toc128056089" w:history="1">
        <w:r w:rsidRPr="00BB64D7">
          <w:rPr>
            <w:rStyle w:val="Hyperlink"/>
            <w:rFonts w:eastAsia="Times New Roman"/>
            <w:noProof/>
          </w:rPr>
          <w:t>A.15. Reasons for Changes in Burden</w:t>
        </w:r>
        <w:r>
          <w:rPr>
            <w:noProof/>
            <w:webHidden/>
          </w:rPr>
          <w:tab/>
        </w:r>
        <w:r>
          <w:rPr>
            <w:noProof/>
            <w:webHidden/>
          </w:rPr>
          <w:fldChar w:fldCharType="begin"/>
        </w:r>
        <w:r>
          <w:rPr>
            <w:noProof/>
            <w:webHidden/>
          </w:rPr>
          <w:instrText xml:space="preserve"> PAGEREF _Toc128056089 \h </w:instrText>
        </w:r>
        <w:r>
          <w:rPr>
            <w:noProof/>
            <w:webHidden/>
          </w:rPr>
          <w:fldChar w:fldCharType="separate"/>
        </w:r>
        <w:r>
          <w:rPr>
            <w:noProof/>
            <w:webHidden/>
          </w:rPr>
          <w:t>1</w:t>
        </w:r>
        <w:r>
          <w:rPr>
            <w:noProof/>
            <w:webHidden/>
          </w:rPr>
          <w:fldChar w:fldCharType="end"/>
        </w:r>
      </w:hyperlink>
    </w:p>
    <w:p w:rsidR="00F43F66" w:rsidRPr="00BB64D7" w14:paraId="407A80CE" w14:textId="77777777">
      <w:pPr>
        <w:pStyle w:val="TOC2"/>
        <w:rPr>
          <w:rFonts w:eastAsia="Times New Roman"/>
          <w:noProof/>
          <w:color w:val="auto"/>
        </w:rPr>
      </w:pPr>
      <w:hyperlink w:anchor="_Toc128056090" w:history="1">
        <w:r w:rsidRPr="00BB64D7">
          <w:rPr>
            <w:rStyle w:val="Hyperlink"/>
            <w:rFonts w:eastAsia="Times New Roman"/>
            <w:noProof/>
          </w:rPr>
          <w:t>A.16. Collection, Tabulation, and Publication Plans</w:t>
        </w:r>
        <w:r>
          <w:rPr>
            <w:noProof/>
            <w:webHidden/>
          </w:rPr>
          <w:tab/>
        </w:r>
        <w:r>
          <w:rPr>
            <w:noProof/>
            <w:webHidden/>
          </w:rPr>
          <w:fldChar w:fldCharType="begin"/>
        </w:r>
        <w:r>
          <w:rPr>
            <w:noProof/>
            <w:webHidden/>
          </w:rPr>
          <w:instrText xml:space="preserve"> PAGEREF _Toc128056090 \h </w:instrText>
        </w:r>
        <w:r>
          <w:rPr>
            <w:noProof/>
            <w:webHidden/>
          </w:rPr>
          <w:fldChar w:fldCharType="separate"/>
        </w:r>
        <w:r>
          <w:rPr>
            <w:noProof/>
            <w:webHidden/>
          </w:rPr>
          <w:t>1</w:t>
        </w:r>
        <w:r>
          <w:rPr>
            <w:noProof/>
            <w:webHidden/>
          </w:rPr>
          <w:fldChar w:fldCharType="end"/>
        </w:r>
      </w:hyperlink>
    </w:p>
    <w:p w:rsidR="00F43F66" w:rsidRPr="00BB64D7" w14:paraId="36AC2B7D" w14:textId="77777777">
      <w:pPr>
        <w:pStyle w:val="TOC2"/>
        <w:rPr>
          <w:rFonts w:eastAsia="Times New Roman"/>
          <w:noProof/>
          <w:color w:val="auto"/>
        </w:rPr>
      </w:pPr>
      <w:hyperlink w:anchor="_Toc128056091" w:history="1">
        <w:r w:rsidRPr="00BB64D7">
          <w:rPr>
            <w:rStyle w:val="Hyperlink"/>
            <w:rFonts w:eastAsia="Times New Roman"/>
            <w:noProof/>
          </w:rPr>
          <w:t>A.17. OMB Number and Expiration Date</w:t>
        </w:r>
        <w:r>
          <w:rPr>
            <w:noProof/>
            <w:webHidden/>
          </w:rPr>
          <w:tab/>
        </w:r>
        <w:r>
          <w:rPr>
            <w:noProof/>
            <w:webHidden/>
          </w:rPr>
          <w:fldChar w:fldCharType="begin"/>
        </w:r>
        <w:r>
          <w:rPr>
            <w:noProof/>
            <w:webHidden/>
          </w:rPr>
          <w:instrText xml:space="preserve"> PAGEREF _Toc128056091 \h </w:instrText>
        </w:r>
        <w:r>
          <w:rPr>
            <w:noProof/>
            <w:webHidden/>
          </w:rPr>
          <w:fldChar w:fldCharType="separate"/>
        </w:r>
        <w:r>
          <w:rPr>
            <w:noProof/>
            <w:webHidden/>
          </w:rPr>
          <w:t>1</w:t>
        </w:r>
        <w:r>
          <w:rPr>
            <w:noProof/>
            <w:webHidden/>
          </w:rPr>
          <w:fldChar w:fldCharType="end"/>
        </w:r>
      </w:hyperlink>
    </w:p>
    <w:p w:rsidR="00F43F66" w:rsidRPr="00BB64D7" w14:paraId="060D2D49" w14:textId="77777777">
      <w:pPr>
        <w:pStyle w:val="TOC2"/>
        <w:rPr>
          <w:rFonts w:eastAsia="Times New Roman"/>
          <w:noProof/>
          <w:color w:val="auto"/>
        </w:rPr>
      </w:pPr>
      <w:hyperlink w:anchor="_Toc128056092" w:history="1">
        <w:r w:rsidRPr="00BB64D7">
          <w:rPr>
            <w:rStyle w:val="Hyperlink"/>
            <w:rFonts w:eastAsia="Times New Roman"/>
            <w:noProof/>
          </w:rPr>
          <w:t>A.18. Certification Statement</w:t>
        </w:r>
        <w:r>
          <w:rPr>
            <w:noProof/>
            <w:webHidden/>
          </w:rPr>
          <w:tab/>
        </w:r>
        <w:r>
          <w:rPr>
            <w:noProof/>
            <w:webHidden/>
          </w:rPr>
          <w:fldChar w:fldCharType="begin"/>
        </w:r>
        <w:r>
          <w:rPr>
            <w:noProof/>
            <w:webHidden/>
          </w:rPr>
          <w:instrText xml:space="preserve"> PAGEREF _Toc128056092 \h </w:instrText>
        </w:r>
        <w:r>
          <w:rPr>
            <w:noProof/>
            <w:webHidden/>
          </w:rPr>
          <w:fldChar w:fldCharType="separate"/>
        </w:r>
        <w:r>
          <w:rPr>
            <w:noProof/>
            <w:webHidden/>
          </w:rPr>
          <w:t>1</w:t>
        </w:r>
        <w:r>
          <w:rPr>
            <w:noProof/>
            <w:webHidden/>
          </w:rPr>
          <w:fldChar w:fldCharType="end"/>
        </w:r>
      </w:hyperlink>
    </w:p>
    <w:p w:rsidR="00AD6244" w14:paraId="428EF8F3" w14:textId="77777777">
      <w:r w:rsidRPr="00E054DF">
        <w:rPr>
          <w:b/>
          <w:bCs/>
          <w:noProof/>
          <w:color w:val="000000"/>
        </w:rPr>
        <w:fldChar w:fldCharType="end"/>
      </w:r>
    </w:p>
    <w:p w:rsidR="002542D4" w:rsidRPr="002542D4" w:rsidP="002542D4" w14:paraId="6FB9CC6D" w14:textId="6048AF51">
      <w:pPr>
        <w:rPr>
          <w:noProof/>
        </w:rPr>
      </w:pPr>
      <w:r>
        <w:rPr>
          <w:noProof/>
        </w:rPr>
        <w:br w:type="page"/>
      </w:r>
    </w:p>
    <w:p w:rsidR="002542D4" w:rsidRPr="00BB64D7" w:rsidP="00F43F66" w14:paraId="45E4613E" w14:textId="77777777">
      <w:pPr>
        <w:pStyle w:val="Heading2"/>
        <w:rPr>
          <w:noProof/>
        </w:rPr>
      </w:pPr>
      <w:bookmarkStart w:id="2" w:name="_Toc492634200"/>
      <w:bookmarkStart w:id="3" w:name="_Toc128056074"/>
      <w:r w:rsidRPr="00BB64D7">
        <w:rPr>
          <w:noProof/>
        </w:rPr>
        <w:t>Introduction</w:t>
      </w:r>
      <w:bookmarkEnd w:id="2"/>
      <w:bookmarkEnd w:id="3"/>
    </w:p>
    <w:p w:rsidR="0051262A" w:rsidRPr="0051262A" w:rsidP="0051262A" w14:paraId="3ED8506A" w14:textId="77777777">
      <w:pPr>
        <w:contextualSpacing/>
        <w:rPr>
          <w:rFonts w:eastAsia="Arial" w:cs="Calibri"/>
        </w:rPr>
      </w:pPr>
      <w:r w:rsidRPr="0051262A">
        <w:rPr>
          <w:rFonts w:eastAsia="Arial" w:cs="Calibri"/>
        </w:rPr>
        <w:t xml:space="preserve">The U.S. Energy Information Administration (EIA) is the statistical and analytical agency within the U.S. Department of Energy (DOE). EIA’s mission is to collect, analyze, and disseminate independent and impartial energy information to promote sound policymaking, efficient markets, and public understanding of energy and its interaction with the economy and the environment. EIA is the Nation’s premier source of energy information, and, by law, its data, analyses, and forecasts are independent of approval by any other officer or employee of the United States Government. EIA conducts a relevant, reliable, and timely data collection program that covers the full spectrum of energy sources, end uses, and energy flows; generates short- and long-term domestic and international energy projections; and performs informative energy analyses. EIA communicates its statistical and analytical products primarily through its website and customer contact center. </w:t>
      </w:r>
    </w:p>
    <w:p w:rsidR="0051262A" w:rsidRPr="0051262A" w:rsidP="0051262A" w14:paraId="0B91CED3" w14:textId="77777777">
      <w:pPr>
        <w:contextualSpacing/>
        <w:rPr>
          <w:rFonts w:eastAsia="Arial" w:cs="Calibri"/>
        </w:rPr>
      </w:pPr>
    </w:p>
    <w:p w:rsidR="0051262A" w:rsidRPr="0051262A" w:rsidP="0051262A" w14:paraId="73B81FBC" w14:textId="572F8720">
      <w:pPr>
        <w:rPr>
          <w:rFonts w:eastAsia="Arial" w:cs="Calibri"/>
          <w:vertAlign w:val="superscript"/>
        </w:rPr>
      </w:pPr>
      <w:r w:rsidRPr="0051262A">
        <w:rPr>
          <w:rFonts w:eastAsia="Arial" w:cs="Calibri"/>
        </w:rPr>
        <w:t>To meet this obligation, EIA’s Office of Energy Statistics conducts surveys that collect information about the national energy system and key activities that affect that system. Increases in electricity demand have important effects on electric transmission and distribution systems. As evidence, President Donald J. Trump has issued three executive orders with direct bearing on questions of urgency, public harm, and unanticipated events related to this demand growth. Executive Order 14156, "Declaring a National Energy Emergency," issued on January 20, 2025, cites a "precariously inadequate and intermittent energy supply, and an increasingly unreliable grid, requiring swift and decisive action."</w:t>
      </w:r>
      <w:r>
        <w:rPr>
          <w:rStyle w:val="FootnoteReference"/>
          <w:rFonts w:eastAsia="Arial" w:cs="Calibri"/>
        </w:rPr>
        <w:footnoteReference w:id="2"/>
      </w:r>
      <w:r w:rsidRPr="0051262A">
        <w:rPr>
          <w:rFonts w:eastAsia="Arial" w:cs="Calibri"/>
        </w:rPr>
        <w:t xml:space="preserve"> Executive Order 14262, “Strengthening the Reliability and Security of the United States Electric Grid,” issued on April 8, 2025, states that “an increase in demand, coupled with existing capacity challenges, places a significant strain on our Nation’s electric grid,” and further notes “[that the] lack of reliability in the electric grid puts the national and economic security of the American people at risk.”</w:t>
      </w:r>
      <w:r>
        <w:rPr>
          <w:rStyle w:val="FootnoteReference"/>
          <w:rFonts w:eastAsia="Arial" w:cs="Calibri"/>
        </w:rPr>
        <w:footnoteReference w:id="3"/>
      </w:r>
      <w:r w:rsidRPr="0051262A">
        <w:rPr>
          <w:rFonts w:eastAsia="Arial" w:cs="Calibri"/>
          <w:vertAlign w:val="superscript"/>
        </w:rPr>
        <w:t xml:space="preserve"> </w:t>
      </w:r>
      <w:r w:rsidRPr="0051262A">
        <w:rPr>
          <w:rFonts w:eastAsia="Arial" w:cs="Calibri"/>
        </w:rPr>
        <w:t>The same executive order also refers to an unanticipated event in the form of "an unprecedented surge in electricity demand driven by rapid technological advancements, including the expansion of artificial intelligence data centers and increase in domestic manufacturing.”</w:t>
      </w:r>
      <w:r>
        <w:rPr>
          <w:rStyle w:val="FootnoteReference"/>
          <w:rFonts w:eastAsia="Arial" w:cs="Calibri"/>
        </w:rPr>
        <w:footnoteReference w:id="4"/>
      </w:r>
      <w:r w:rsidRPr="0051262A">
        <w:rPr>
          <w:rStyle w:val="FootnoteReference"/>
          <w:rFonts w:eastAsia="Arial" w:cs="Calibri"/>
        </w:rPr>
        <w:t xml:space="preserve"> </w:t>
      </w:r>
      <w:r w:rsidRPr="0051262A">
        <w:rPr>
          <w:rFonts w:eastAsia="Arial" w:cs="Calibri"/>
        </w:rPr>
        <w:t xml:space="preserve"> With respect to the expansion of artificial intelligence, Executive Order 14365, “Ensuring a National Policy Framework for Artificial Intelligence,” issued on December 11, 2025, asserts that “we remain in the earliest days of this technological revolution and are in a race with adversaries for supremacy within it.”</w:t>
      </w:r>
      <w:r>
        <w:rPr>
          <w:rStyle w:val="FootnoteReference"/>
          <w:rFonts w:eastAsia="Arial" w:cs="Calibri"/>
        </w:rPr>
        <w:footnoteReference w:id="5"/>
      </w:r>
    </w:p>
    <w:p w:rsidR="0051262A" w:rsidRPr="0051262A" w:rsidP="0051262A" w14:paraId="7DDD182D" w14:textId="049327C6">
      <w:pPr>
        <w:rPr>
          <w:rFonts w:eastAsia="Arial" w:cs="Calibri"/>
        </w:rPr>
      </w:pPr>
      <w:r w:rsidRPr="0051262A">
        <w:rPr>
          <w:rFonts w:eastAsia="Arial" w:cs="Calibri"/>
        </w:rPr>
        <w:t>The urgency articulated by these executive orders</w:t>
      </w:r>
      <w:r>
        <w:rPr>
          <w:rStyle w:val="FootnoteReference"/>
          <w:rFonts w:eastAsia="Arial" w:cs="Calibri"/>
        </w:rPr>
        <w:footnoteReference w:id="6"/>
      </w:r>
      <w:r w:rsidRPr="0051262A">
        <w:rPr>
          <w:rFonts w:eastAsia="Arial" w:cs="Calibri"/>
        </w:rPr>
        <w:t xml:space="preserve"> is underscored by the more than 40 emergency orders issued by DOE</w:t>
      </w:r>
      <w:r w:rsidRPr="0051262A" w:rsidR="3B93F22B">
        <w:rPr>
          <w:rFonts w:eastAsia="Arial" w:cs="Calibri"/>
        </w:rPr>
        <w:t xml:space="preserve"> </w:t>
      </w:r>
      <w:r w:rsidRPr="0051262A">
        <w:rPr>
          <w:rFonts w:eastAsia="Arial" w:cs="Calibri"/>
        </w:rPr>
        <w:t xml:space="preserve">under section 202(c) of the Federal Power Act (FPA) since January 2025. By </w:t>
      </w:r>
      <w:r w:rsidRPr="0051262A">
        <w:rPr>
          <w:rFonts w:eastAsia="Arial" w:cs="Calibri"/>
        </w:rPr>
        <w:t>comparison, only one 202(c) order was issued in each of 2023 and 2024.</w:t>
      </w:r>
      <w:r>
        <w:rPr>
          <w:rStyle w:val="FootnoteReference"/>
          <w:rFonts w:eastAsia="Arial" w:cs="Calibri"/>
        </w:rPr>
        <w:footnoteReference w:id="7"/>
      </w:r>
      <w:r w:rsidRPr="0051262A">
        <w:rPr>
          <w:rFonts w:eastAsia="Arial" w:cs="Calibri"/>
          <w:vertAlign w:val="superscript"/>
        </w:rPr>
        <w:t xml:space="preserve">  </w:t>
      </w:r>
      <w:r w:rsidRPr="0051262A">
        <w:rPr>
          <w:rFonts w:eastAsia="Arial" w:cs="Calibri"/>
        </w:rPr>
        <w:t>FPA section 202(c)(1) provides that whenever the Secretary of Energy determines “that an emergency exists by reason of a sudden increase in the demand for electric energy, or a shortage of electric energy or of facilities for the generation or transmission of electric energy,” then the Secretary has the authority “to require by order . . . such generation, delivery, interchange, or transmission of electric energy as in [his] judgment will best meet the emergency and serve the public interest.”</w:t>
      </w:r>
      <w:r>
        <w:rPr>
          <w:rStyle w:val="FootnoteReference"/>
          <w:rFonts w:eastAsia="Arial" w:cs="Calibri"/>
        </w:rPr>
        <w:footnoteReference w:id="8"/>
      </w:r>
      <w:r w:rsidRPr="0051262A">
        <w:rPr>
          <w:rFonts w:eastAsia="Arial" w:cs="Calibri"/>
        </w:rPr>
        <w:t xml:space="preserve"> This statutory language constitutes a specific grant of authority to the Secretary to authorize the operation of generation, delivery, and transmission resources that the Secretary has determined will best meet an emergency. Such orders have affected every region of the country, including Colorado, Florida, Indiana, Maryland, Michigan, New York, Pennsylvania, Texas, Puerto Rico, and Washington. Each of these orders inherently signifies an official declaration of an “emergency" within the electric power system. </w:t>
      </w:r>
    </w:p>
    <w:p w:rsidR="0051262A" w:rsidRPr="0051262A" w:rsidP="0051262A" w14:paraId="54A3D30A" w14:textId="77777777">
      <w:pPr>
        <w:rPr>
          <w:rFonts w:eastAsia="Arial" w:cs="Calibri"/>
        </w:rPr>
      </w:pPr>
      <w:r w:rsidRPr="0051262A">
        <w:rPr>
          <w:rFonts w:eastAsia="Arial" w:cs="Calibri"/>
        </w:rPr>
        <w:t>The Department of Energy Organization Act establishes the EIA Administrator’s central mission as "carrying out a central, comprehensive, and unified energy data and information program which will collect, evaluate, assemble, analyze, and disseminate data and information . . . which is relevant to the adequacy of energy resources to meet demands in the near and longer term future for the Nation’s economic and social needs.” To achieve this mission, EIA manages a complex system of surveys to gather data from every sector of the U.S. energy system. One survey critical to this effort is EIA-860, Annual Electric Power Industry Report, which is intended to maintain a census of every U.S. electricity generating unit with a generation capacity equal to or greater than one megawatt (1 MW). DOE uses the results of this mandatory annual survey to inform its emergency orders under section 202(c) of the Federal Power Act. It is accompanied by a monthly requirement to provide updates on generator retirements and additions.</w:t>
      </w:r>
    </w:p>
    <w:p w:rsidR="0051262A" w:rsidRPr="0051262A" w:rsidP="0051262A" w14:paraId="644F1B00" w14:textId="3C6C8A58">
      <w:pPr>
        <w:spacing w:line="259" w:lineRule="auto"/>
        <w:rPr>
          <w:rFonts w:eastAsia="Arial" w:cs="Calibri"/>
          <w:color w:val="D13438"/>
          <w:u w:val="single"/>
        </w:rPr>
      </w:pPr>
      <w:r w:rsidRPr="0051262A">
        <w:rPr>
          <w:rFonts w:eastAsia="Arial" w:cs="Calibri"/>
        </w:rPr>
        <w:t xml:space="preserve">On February 19, 2026, the Office of Management and Budget (OMB) granted approval for an emergency Information Collection Request (ICR) to enhance the completeness and accuracy of the EIA-860 survey frame, delivered through the EIA-860S. This approval facilitated EIA's fulfillment of its statutory obligations. EIA now seeks to transition the EIA-860S into an annual </w:t>
      </w:r>
      <w:r w:rsidR="00067138">
        <w:rPr>
          <w:rFonts w:eastAsia="Arial" w:cs="Calibri"/>
        </w:rPr>
        <w:t xml:space="preserve">voluntary </w:t>
      </w:r>
      <w:r w:rsidRPr="0051262A">
        <w:rPr>
          <w:rFonts w:eastAsia="Arial" w:cs="Calibri"/>
        </w:rPr>
        <w:t>standby form. This form will enable the acquisition of power generator data from all 50 states, the District of Columbia, and five U.S. territories, primarily through collaboration with air permitting offices responsible for regulating generators under the Clean Air Act.</w:t>
      </w:r>
      <w:r w:rsidRPr="00FC1BF6" w:rsidR="00FC1BF6">
        <w:t xml:space="preserve"> </w:t>
      </w:r>
      <w:r w:rsidRPr="00FC1BF6" w:rsidR="00FC1BF6">
        <w:rPr>
          <w:rFonts w:eastAsia="Arial" w:cs="Calibri"/>
        </w:rPr>
        <w:t>Maintaining this annual form in standby will allow EIA to periodically gather administrative data, strengthening the EIA</w:t>
      </w:r>
      <w:r w:rsidRPr="00FC1BF6" w:rsidR="00FC1BF6">
        <w:rPr>
          <w:rFonts w:ascii="Cambria Math" w:eastAsia="Arial" w:hAnsi="Cambria Math" w:cs="Cambria Math"/>
        </w:rPr>
        <w:t>‑</w:t>
      </w:r>
      <w:r w:rsidRPr="00FC1BF6" w:rsidR="00FC1BF6">
        <w:rPr>
          <w:rFonts w:eastAsia="Arial" w:cs="Calibri"/>
        </w:rPr>
        <w:t>860 frame and keeping a consolidated inventory of air</w:t>
      </w:r>
      <w:r w:rsidRPr="00FC1BF6" w:rsidR="00FC1BF6">
        <w:rPr>
          <w:rFonts w:ascii="Cambria Math" w:eastAsia="Arial" w:hAnsi="Cambria Math" w:cs="Cambria Math"/>
        </w:rPr>
        <w:t>‑</w:t>
      </w:r>
      <w:r w:rsidRPr="00FC1BF6" w:rsidR="00FC1BF6">
        <w:rPr>
          <w:rFonts w:eastAsia="Arial" w:cs="Calibri"/>
        </w:rPr>
        <w:t>permitted electric generators up to date through systematic reconciliation and validation</w:t>
      </w:r>
      <w:r w:rsidR="00FC1BF6">
        <w:rPr>
          <w:rFonts w:eastAsia="Arial" w:cs="Calibri"/>
        </w:rPr>
        <w:t xml:space="preserve">; </w:t>
      </w:r>
      <w:r w:rsidRPr="00FC1BF6" w:rsidR="00FC1BF6">
        <w:rPr>
          <w:rFonts w:eastAsia="Arial" w:cs="Calibri"/>
        </w:rPr>
        <w:t>without necessitating any alteration to the core purpose or structure of the primary EIA-860 survey.</w:t>
      </w:r>
    </w:p>
    <w:p w:rsidR="002542D4" w:rsidP="002542D4" w14:paraId="182E3394" w14:textId="696855BD">
      <w:pPr>
        <w:rPr>
          <w:b/>
          <w:bCs/>
          <w:noProof/>
        </w:rPr>
      </w:pPr>
      <w:r>
        <w:rPr>
          <w:b/>
          <w:bCs/>
          <w:noProof/>
        </w:rPr>
        <w:t>Summary of Changes</w:t>
      </w:r>
    </w:p>
    <w:p w:rsidR="00376FE1" w:rsidP="00E21E25" w14:paraId="6D24B41B" w14:textId="7478D5CF">
      <w:pPr>
        <w:pStyle w:val="HTMLPreformatted"/>
        <w:rPr>
          <w:rFonts w:ascii="Calibri" w:hAnsi="Calibri" w:cs="Calibri"/>
          <w:sz w:val="22"/>
          <w:szCs w:val="22"/>
        </w:rPr>
      </w:pPr>
      <w:bookmarkStart w:id="4" w:name="_Toc492634201"/>
      <w:bookmarkStart w:id="5" w:name="_Toc128056075"/>
      <w:r w:rsidRPr="00376FE1">
        <w:rPr>
          <w:rFonts w:ascii="Calibri" w:hAnsi="Calibri" w:cs="Calibri"/>
          <w:sz w:val="22"/>
          <w:szCs w:val="22"/>
        </w:rPr>
        <w:t xml:space="preserve">Based on feedback received during the emergency data collection and the 60-day Federal Register Notice (FRN) comment period, EIA has revised this information collection to improve data accuracy and reduce respondent burden. Specifically, the estimated number of respondents has increased from 56 to 150 to account for jurisdictions where counties and regional air districts, rather than state-level agencies, issue air permits. The estimated reporting burden per response has been increased from 5 </w:t>
      </w:r>
      <w:r w:rsidRPr="00376FE1">
        <w:rPr>
          <w:rFonts w:ascii="Calibri" w:hAnsi="Calibri" w:cs="Calibri"/>
          <w:sz w:val="22"/>
          <w:szCs w:val="22"/>
        </w:rPr>
        <w:t>hours to 10 hours, and the reporting status has been changed from mandatory to voluntary. To further mitigate respondent burden, EIA will implement a "web-scraping first" protocol for jurisdictions with public-facing air permit portals; respondents will only be requested to voluntarily report new air permits issued since their last reporting period. Finally, the survey instructions have been clarified to request air permits for all power generators, rather than limiting the scope to backup generators, which better aligns with respondents' standard record-keeping practices.</w:t>
      </w:r>
    </w:p>
    <w:p w:rsidR="00376FE1" w:rsidRPr="00E21E25" w:rsidP="00E21E25" w14:paraId="0DE73E69" w14:textId="77777777">
      <w:pPr>
        <w:pStyle w:val="HTMLPreformatted"/>
        <w:rPr>
          <w:rFonts w:ascii="Calibri" w:hAnsi="Calibri" w:cs="Calibri"/>
          <w:sz w:val="22"/>
          <w:szCs w:val="22"/>
        </w:rPr>
      </w:pPr>
    </w:p>
    <w:p w:rsidR="002542D4" w:rsidRPr="00BB64D7" w:rsidP="00F43F66" w14:paraId="3F7D65EB" w14:textId="77777777">
      <w:pPr>
        <w:pStyle w:val="Heading2"/>
        <w:rPr>
          <w:noProof/>
        </w:rPr>
      </w:pPr>
      <w:r w:rsidRPr="00BB64D7">
        <w:rPr>
          <w:noProof/>
        </w:rPr>
        <w:t>A.1. Legal Justification</w:t>
      </w:r>
      <w:bookmarkEnd w:id="4"/>
      <w:bookmarkEnd w:id="5"/>
    </w:p>
    <w:p w:rsidR="0051262A" w:rsidRPr="00A966B2" w:rsidP="00A966B2" w14:paraId="4522F01B" w14:textId="2B0E8F47">
      <w:pPr>
        <w:contextualSpacing/>
        <w:rPr>
          <w:rFonts w:eastAsia="Arial" w:cs="Calibri"/>
        </w:rPr>
      </w:pPr>
      <w:r w:rsidRPr="0051262A">
        <w:rPr>
          <w:rFonts w:eastAsia="Arial" w:cs="Calibri"/>
        </w:rPr>
        <w:t xml:space="preserve">The authority for this </w:t>
      </w:r>
      <w:r w:rsidR="00A966B2">
        <w:rPr>
          <w:rFonts w:eastAsia="Arial" w:cs="Calibri"/>
        </w:rPr>
        <w:t>voluntary</w:t>
      </w:r>
      <w:r w:rsidRPr="0051262A">
        <w:rPr>
          <w:rFonts w:eastAsia="Arial" w:cs="Calibri"/>
        </w:rPr>
        <w:t xml:space="preserve"> information collection is provided by the following general provision</w:t>
      </w:r>
      <w:r w:rsidR="00A966B2">
        <w:rPr>
          <w:rFonts w:eastAsia="Arial" w:cs="Calibri"/>
        </w:rPr>
        <w:t>s</w:t>
      </w:r>
      <w:r w:rsidRPr="0051262A">
        <w:rPr>
          <w:rFonts w:eastAsia="Arial" w:cs="Calibri"/>
        </w:rPr>
        <w:t>:</w:t>
      </w:r>
    </w:p>
    <w:p w:rsidR="0051262A" w:rsidRPr="0051262A" w:rsidP="0051262A" w14:paraId="047380C0" w14:textId="1EBC4217">
      <w:pPr>
        <w:pStyle w:val="ListParagraph"/>
        <w:numPr>
          <w:ilvl w:val="0"/>
          <w:numId w:val="21"/>
        </w:numPr>
        <w:rPr>
          <w:rFonts w:eastAsia="Arial" w:cs="Calibri"/>
        </w:rPr>
      </w:pPr>
      <w:r w:rsidRPr="0051262A">
        <w:rPr>
          <w:rFonts w:eastAsia="Arial" w:cs="Calibri"/>
        </w:rPr>
        <w:t>Title 15 U.S. Code §764, which established EIA Administrator’s powers to plan, direct, and conduct mandatory and voluntary energy programs that are designed and implemented in a fair and efficient manner. These powers include duties to collect, evaluate, assemble, and analyze energy information on U.S. reserves, production, demand, and related economic data, while obtaining the cooperation of business, labor, consumer, and other interests.</w:t>
      </w:r>
    </w:p>
    <w:p w:rsidR="0051262A" w:rsidRPr="0051262A" w:rsidP="0051262A" w14:paraId="2C1D8B3D" w14:textId="77777777">
      <w:pPr>
        <w:pStyle w:val="ListParagraph"/>
        <w:numPr>
          <w:ilvl w:val="0"/>
          <w:numId w:val="0"/>
        </w:numPr>
        <w:ind w:left="1170"/>
        <w:rPr>
          <w:rFonts w:eastAsia="Arial" w:cs="Calibri"/>
        </w:rPr>
      </w:pPr>
    </w:p>
    <w:p w:rsidR="0051262A" w:rsidRPr="0051262A" w:rsidP="0051262A" w14:paraId="4F8F88AD" w14:textId="34E09FB8">
      <w:pPr>
        <w:pStyle w:val="ListParagraph"/>
        <w:numPr>
          <w:ilvl w:val="0"/>
          <w:numId w:val="21"/>
        </w:numPr>
        <w:rPr>
          <w:rFonts w:eastAsia="Arial" w:cs="Calibri"/>
        </w:rPr>
      </w:pPr>
      <w:r w:rsidRPr="0051262A">
        <w:rPr>
          <w:rFonts w:eastAsia="Arial" w:cs="Calibri"/>
        </w:rPr>
        <w:t>Title 15 U.S. Code §790a, which established the National Energy Information System (NEIS) that is the enclave containing the energy data collected by EIA, which allows EIA to describe and analyze energy supply and consumption in the U.S. NEIS allows EIA to perform statistical and forecasting activities to meet the needs of DOE and Congress, as well as the needs of the States to the extent required by the Natural Gas Act [Title 15 U.S. Code §717 et seq.] and the Federal Power Act [Title 16 U.S. Code §791a et seq.].</w:t>
      </w:r>
    </w:p>
    <w:p w:rsidR="002542D4" w:rsidRPr="002542D4" w:rsidP="002542D4" w14:paraId="13ED46E1" w14:textId="77777777">
      <w:pPr>
        <w:rPr>
          <w:noProof/>
        </w:rPr>
      </w:pPr>
    </w:p>
    <w:p w:rsidR="002542D4" w:rsidRPr="00BB64D7" w:rsidP="00F43F66" w14:paraId="10C4E44E" w14:textId="77777777">
      <w:pPr>
        <w:pStyle w:val="Heading2"/>
        <w:rPr>
          <w:noProof/>
        </w:rPr>
      </w:pPr>
      <w:bookmarkStart w:id="6" w:name="_Toc492634202"/>
      <w:bookmarkStart w:id="7" w:name="_Toc128056076"/>
      <w:r w:rsidRPr="00BB64D7">
        <w:rPr>
          <w:noProof/>
        </w:rPr>
        <w:t>A.2. Needs and Uses of Data</w:t>
      </w:r>
      <w:bookmarkEnd w:id="6"/>
      <w:bookmarkEnd w:id="7"/>
    </w:p>
    <w:p w:rsidR="00ED4F5F" w:rsidRPr="00BE28AC" w:rsidP="00ED4F5F" w14:paraId="280FAF31" w14:textId="77777777">
      <w:pPr>
        <w:rPr>
          <w:rFonts w:eastAsia="Arial" w:cs="Calibri"/>
        </w:rPr>
      </w:pPr>
      <w:bookmarkStart w:id="8" w:name="_Toc492634203"/>
      <w:bookmarkStart w:id="9" w:name="_Toc128056077"/>
      <w:r w:rsidRPr="00BE28AC">
        <w:rPr>
          <w:rFonts w:eastAsia="Arial" w:cs="Calibri"/>
        </w:rPr>
        <w:t>President Donald J. Trump has issued three executive orders with direct bearing on questions of urgency, public harm, and unanticipated events related to this demand growth. Executive Order 14156, "Declaring a National Energy Emergency," issued on January 20, 2025, cites a "precariously inadequate and intermittent energy supply, and an increasingly unreliable grid, requiring swift and decisive action."</w:t>
      </w:r>
      <w:r>
        <w:rPr>
          <w:rStyle w:val="FootnoteReference"/>
          <w:rFonts w:eastAsia="Arial" w:cs="Calibri"/>
        </w:rPr>
        <w:footnoteReference w:id="9"/>
      </w:r>
      <w:r w:rsidRPr="00BE28AC">
        <w:rPr>
          <w:rFonts w:eastAsia="Arial" w:cs="Calibri"/>
        </w:rPr>
        <w:t xml:space="preserve"> Executive Order 14262, “Strengthening the Reliability and Security of the United States Electric Grid,” issued on April 8, 2025, states that “an increase in demand, coupled with existing capacity challenges, places a significant strain on our Nation’s electric grid,” and further notes “[that the] lack of reliability in the electric grid puts the national and economic security of the American people at risk.”</w:t>
      </w:r>
      <w:r>
        <w:rPr>
          <w:rStyle w:val="FootnoteReference"/>
          <w:rFonts w:eastAsia="Arial" w:cs="Calibri"/>
        </w:rPr>
        <w:footnoteReference w:id="10"/>
      </w:r>
      <w:r w:rsidRPr="00BE28AC">
        <w:rPr>
          <w:rFonts w:eastAsia="Arial" w:cs="Calibri"/>
          <w:vertAlign w:val="superscript"/>
        </w:rPr>
        <w:t xml:space="preserve"> </w:t>
      </w:r>
      <w:r w:rsidRPr="00BE28AC">
        <w:rPr>
          <w:rFonts w:eastAsia="Arial" w:cs="Calibri"/>
        </w:rPr>
        <w:t>The same executive order also refers to an unanticipated event in the form of "an unprecedented surge in electricity demand driven by rapid technological advancements, including the expansion of artificial intelligence data centers and increase in domestic manufacturing.”</w:t>
      </w:r>
      <w:r>
        <w:rPr>
          <w:rStyle w:val="FootnoteReference"/>
          <w:rFonts w:eastAsia="Arial" w:cs="Calibri"/>
        </w:rPr>
        <w:footnoteReference w:id="11"/>
      </w:r>
      <w:r w:rsidRPr="00BE28AC">
        <w:rPr>
          <w:rStyle w:val="FootnoteReference"/>
          <w:rFonts w:eastAsia="Arial" w:cs="Calibri"/>
        </w:rPr>
        <w:t xml:space="preserve"> </w:t>
      </w:r>
      <w:r w:rsidRPr="00BE28AC">
        <w:rPr>
          <w:rFonts w:eastAsia="Arial" w:cs="Calibri"/>
        </w:rPr>
        <w:t xml:space="preserve"> With respect to the expansion of artificial intelligence, Executive Order 14365, “Ensuring a National Policy Framework for Artificial </w:t>
      </w:r>
      <w:r w:rsidRPr="00BE28AC">
        <w:rPr>
          <w:rFonts w:eastAsia="Arial" w:cs="Calibri"/>
        </w:rPr>
        <w:t>Intelligence,” issued on December 11, 2025, asserts that “we remain in the earliest days of this technological revolution and are in a race with adversaries for supremacy within it.”</w:t>
      </w:r>
      <w:r>
        <w:rPr>
          <w:rStyle w:val="FootnoteReference"/>
          <w:rFonts w:eastAsia="Arial" w:cs="Calibri"/>
        </w:rPr>
        <w:footnoteReference w:id="12"/>
      </w:r>
    </w:p>
    <w:p w:rsidR="00ED4F5F" w:rsidRPr="00BE28AC" w:rsidP="00ED4F5F" w14:paraId="061A293C" w14:textId="0D92362B">
      <w:pPr>
        <w:contextualSpacing/>
        <w:rPr>
          <w:rFonts w:cs="Calibri"/>
        </w:rPr>
      </w:pPr>
      <w:r w:rsidRPr="00BE28AC">
        <w:rPr>
          <w:rFonts w:cs="Calibri"/>
        </w:rPr>
        <w:t xml:space="preserve">The existing deficiency in comprehensive data pertaining to </w:t>
      </w:r>
      <w:r w:rsidR="00EB2230">
        <w:rPr>
          <w:rFonts w:cs="Calibri"/>
        </w:rPr>
        <w:t>power</w:t>
      </w:r>
      <w:r w:rsidRPr="00BE28AC" w:rsidR="00EB2230">
        <w:rPr>
          <w:rFonts w:cs="Calibri"/>
        </w:rPr>
        <w:t xml:space="preserve"> </w:t>
      </w:r>
      <w:r w:rsidRPr="00BE28AC">
        <w:rPr>
          <w:rFonts w:cs="Calibri"/>
        </w:rPr>
        <w:t>generators, especially smaller emergency units, constitutes a critical gap in our assessment of overall U.S. grid capacity and resilience. This data void could impede effective emergency response and grid management during periods of heightened demand or system stress, potentially resulting in widespread power disruptions and adverse economic impacts. The EIA-860S is designed to mitigate this critical information gap.</w:t>
      </w:r>
    </w:p>
    <w:p w:rsidR="00ED4F5F" w:rsidRPr="00BE28AC" w:rsidP="00ED4F5F" w14:paraId="084F5DC7" w14:textId="77777777">
      <w:pPr>
        <w:contextualSpacing/>
        <w:rPr>
          <w:rFonts w:cs="Calibri"/>
        </w:rPr>
      </w:pPr>
    </w:p>
    <w:p w:rsidR="00ED4F5F" w:rsidRPr="0045087A" w:rsidP="00ED4F5F" w14:paraId="5B27D772" w14:textId="7DF60EAF">
      <w:pPr>
        <w:contextualSpacing/>
        <w:rPr>
          <w:rFonts w:ascii="Arial" w:hAnsi="Arial" w:cs="Arial"/>
        </w:rPr>
      </w:pPr>
      <w:r w:rsidRPr="00BE28AC">
        <w:rPr>
          <w:rFonts w:cs="Calibri"/>
        </w:rPr>
        <w:t xml:space="preserve">On February 19, 2026, the Office of Management and Budget (OMB) approved an emergency Information Collection Request (ICR) for the EIA-860S, specifically to augment the completeness and accuracy of the EIA-860 survey framework. This approval directly supports EIA's ability to fulfill its statutory mandates. EIA is now proposing to convert the EIA-860S into an annual standby form. This mechanism will facilitate the systematic acquisition of power generator data from all 50 states, the District of Columbia, and five U.S. territories. This data will be procured primarily through established collaborations with air permitting offices, which are statutorily responsible for regulating generators under the Clean Air Act. The implementation of this annual </w:t>
      </w:r>
      <w:r w:rsidR="000F4E4F">
        <w:rPr>
          <w:rFonts w:cs="Calibri"/>
        </w:rPr>
        <w:t xml:space="preserve">voluntary </w:t>
      </w:r>
      <w:r w:rsidRPr="00BE28AC">
        <w:rPr>
          <w:rFonts w:cs="Calibri"/>
        </w:rPr>
        <w:t xml:space="preserve">standby form will enable EIA to periodically </w:t>
      </w:r>
      <w:r w:rsidRPr="00DD63E2" w:rsidR="00DD63E2">
        <w:rPr>
          <w:rFonts w:cs="Calibri"/>
        </w:rPr>
        <w:t>gather administrative data, strengthening the EIA</w:t>
      </w:r>
      <w:r w:rsidRPr="00DD63E2" w:rsidR="00DD63E2">
        <w:rPr>
          <w:rFonts w:cs="Calibri"/>
        </w:rPr>
        <w:noBreakHyphen/>
        <w:t>860 frame and keeping a consolidated inventory of air</w:t>
      </w:r>
      <w:r w:rsidRPr="00DD63E2" w:rsidR="00DD63E2">
        <w:rPr>
          <w:rFonts w:cs="Calibri"/>
        </w:rPr>
        <w:noBreakHyphen/>
        <w:t>permitted electric generators up to date through systematic reconciliation and validation; without necessitating any alteration to the core purpose or structure of the primary EIA-860 survey.</w:t>
      </w:r>
    </w:p>
    <w:p w:rsidR="002542D4" w:rsidRPr="00BB64D7" w:rsidP="00F43F66" w14:paraId="782BCFC1" w14:textId="39E84B20">
      <w:pPr>
        <w:pStyle w:val="Heading2"/>
        <w:rPr>
          <w:noProof/>
        </w:rPr>
      </w:pPr>
      <w:r w:rsidRPr="00BB64D7">
        <w:rPr>
          <w:noProof/>
        </w:rPr>
        <w:t>A.3. Use of Technology</w:t>
      </w:r>
      <w:bookmarkEnd w:id="8"/>
      <w:bookmarkEnd w:id="9"/>
    </w:p>
    <w:p w:rsidR="002542D4" w:rsidP="002542D4" w14:paraId="186755AF" w14:textId="0B19531D">
      <w:pPr>
        <w:contextualSpacing/>
        <w:rPr>
          <w:rFonts w:cs="Calibri"/>
        </w:rPr>
      </w:pPr>
      <w:r w:rsidRPr="00376FE1">
        <w:rPr>
          <w:rFonts w:cs="Calibri"/>
        </w:rPr>
        <w:t>EIA will implement a "web-scraping first" protocol for jurisdictions with public-facing air permit portals; respondents will only be requested to voluntarily report new air permits issued since their last reporting period.</w:t>
      </w:r>
      <w:r w:rsidR="00F47277">
        <w:rPr>
          <w:rFonts w:cs="Calibri"/>
        </w:rPr>
        <w:t xml:space="preserve"> </w:t>
      </w:r>
      <w:r w:rsidRPr="00BE28AC" w:rsidR="00BE28AC">
        <w:rPr>
          <w:rFonts w:cs="Calibri"/>
        </w:rPr>
        <w:t xml:space="preserve">The primary data collection method will be secure file transfers facilitated by EIA's e-filing system. </w:t>
      </w:r>
    </w:p>
    <w:p w:rsidR="009B77C6" w:rsidRPr="009B77C6" w:rsidP="002542D4" w14:paraId="0161F607" w14:textId="77777777">
      <w:pPr>
        <w:contextualSpacing/>
        <w:rPr>
          <w:rFonts w:cs="Calibri"/>
        </w:rPr>
      </w:pPr>
    </w:p>
    <w:p w:rsidR="002542D4" w:rsidRPr="00BB64D7" w:rsidP="00F43F66" w14:paraId="4F4EC7E8" w14:textId="77777777">
      <w:pPr>
        <w:pStyle w:val="Heading2"/>
        <w:rPr>
          <w:noProof/>
        </w:rPr>
      </w:pPr>
      <w:bookmarkStart w:id="10" w:name="_Toc492634204"/>
      <w:bookmarkStart w:id="11" w:name="_Toc128056078"/>
      <w:r w:rsidRPr="00BB64D7">
        <w:rPr>
          <w:noProof/>
        </w:rPr>
        <w:t>A.4. Efforts to Identify Duplication</w:t>
      </w:r>
      <w:bookmarkEnd w:id="10"/>
      <w:bookmarkEnd w:id="11"/>
    </w:p>
    <w:p w:rsidR="00BE28AC" w:rsidRPr="00BE28AC" w:rsidP="00BE28AC" w14:paraId="21ED50E1" w14:textId="3D34D561">
      <w:pPr>
        <w:contextualSpacing/>
        <w:outlineLvl w:val="0"/>
        <w:rPr>
          <w:rFonts w:cs="Calibri"/>
        </w:rPr>
      </w:pPr>
      <w:r w:rsidRPr="00BE28AC">
        <w:rPr>
          <w:rFonts w:eastAsia="Arial" w:cs="Calibri"/>
        </w:rPr>
        <w:t xml:space="preserve">There is no other known source available to provide a comprehensive and time-sensitive source of data. </w:t>
      </w:r>
      <w:r w:rsidRPr="00BE28AC">
        <w:rPr>
          <w:rFonts w:cs="Calibri"/>
        </w:rPr>
        <w:t xml:space="preserve">We have consulted with other federal agencies, including other DOE departmental elements and the U.S. Environmental Protection Agency, and have not identified an authoritative, comprehensive data source for </w:t>
      </w:r>
      <w:r w:rsidR="00F86C46">
        <w:rPr>
          <w:rFonts w:cs="Calibri"/>
        </w:rPr>
        <w:t>power</w:t>
      </w:r>
      <w:r w:rsidRPr="00BE28AC" w:rsidR="00F86C46">
        <w:rPr>
          <w:rFonts w:cs="Calibri"/>
        </w:rPr>
        <w:t xml:space="preserve"> </w:t>
      </w:r>
      <w:r w:rsidRPr="00BE28AC">
        <w:rPr>
          <w:rFonts w:cs="Calibri"/>
        </w:rPr>
        <w:t xml:space="preserve">generator capacity at the scale and granularity required for accurate grid assessment and emergency planning. </w:t>
      </w:r>
    </w:p>
    <w:p w:rsidR="002542D4" w:rsidRPr="002542D4" w:rsidP="002542D4" w14:paraId="55F6B93A" w14:textId="77777777">
      <w:pPr>
        <w:rPr>
          <w:noProof/>
        </w:rPr>
      </w:pPr>
    </w:p>
    <w:p w:rsidR="002542D4" w:rsidRPr="00BB64D7" w:rsidP="00F43F66" w14:paraId="752CC633" w14:textId="77777777">
      <w:pPr>
        <w:pStyle w:val="Heading2"/>
        <w:rPr>
          <w:noProof/>
        </w:rPr>
      </w:pPr>
      <w:bookmarkStart w:id="12" w:name="_Toc492634205"/>
      <w:bookmarkStart w:id="13" w:name="_Toc128056079"/>
      <w:r w:rsidRPr="00BB64D7">
        <w:rPr>
          <w:noProof/>
        </w:rPr>
        <w:t>A.5. Provisions for Reducing Burden on Small Businesses</w:t>
      </w:r>
      <w:bookmarkEnd w:id="12"/>
      <w:bookmarkEnd w:id="13"/>
      <w:r w:rsidRPr="00BB64D7">
        <w:rPr>
          <w:noProof/>
        </w:rPr>
        <w:t xml:space="preserve"> </w:t>
      </w:r>
    </w:p>
    <w:p w:rsidR="002542D4" w:rsidRPr="002542D4" w:rsidP="00CD3B08" w14:paraId="441613ED" w14:textId="5EF8049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rPr>
          <w:noProof/>
        </w:rPr>
      </w:pPr>
      <w:r w:rsidRPr="0066266C">
        <w:rPr>
          <w:rFonts w:eastAsia="Arial" w:cs="Calibri"/>
        </w:rPr>
        <w:t xml:space="preserve">Not applicable. </w:t>
      </w:r>
      <w:r w:rsidRPr="0066266C">
        <w:rPr>
          <w:rFonts w:cs="Calibri"/>
          <w:bCs/>
        </w:rPr>
        <w:t xml:space="preserve">This proposed information collection request addresses these gaps by acquiring existing power generator data from all 50 states, the District of Columbia, and five U.S. territories via air </w:t>
      </w:r>
      <w:r w:rsidRPr="0066266C">
        <w:rPr>
          <w:rFonts w:cs="Calibri"/>
          <w:bCs/>
        </w:rPr>
        <w:t>permitting offices, which regulate generators under the Clean Air Act, rather than imposing new direct reporting burdens on operators.</w:t>
      </w:r>
    </w:p>
    <w:p w:rsidR="002542D4" w:rsidRPr="00BB64D7" w:rsidP="00F43F66" w14:paraId="1E0739B3" w14:textId="77777777">
      <w:pPr>
        <w:pStyle w:val="Heading2"/>
        <w:rPr>
          <w:noProof/>
        </w:rPr>
      </w:pPr>
      <w:bookmarkStart w:id="14" w:name="_Toc492634206"/>
      <w:bookmarkStart w:id="15" w:name="_Toc128056080"/>
      <w:r w:rsidRPr="00BB64D7">
        <w:rPr>
          <w:noProof/>
        </w:rPr>
        <w:t>A.6. Consequences of Less-Frequent Reporting</w:t>
      </w:r>
      <w:bookmarkEnd w:id="14"/>
      <w:bookmarkEnd w:id="15"/>
    </w:p>
    <w:p w:rsidR="0066266C" w:rsidRPr="00E33C83" w:rsidP="0066266C" w14:paraId="1B62BCF3" w14:textId="5F743223">
      <w:pPr>
        <w:rPr>
          <w:rFonts w:eastAsia="Arial" w:cs="Calibri"/>
        </w:rPr>
      </w:pPr>
      <w:r w:rsidRPr="00E33C83">
        <w:rPr>
          <w:rFonts w:eastAsia="Arial" w:cs="Calibri"/>
        </w:rPr>
        <w:t>President Donald J. Trump has issued three executive orders with direct bearing on questions of urgency, public harm, and unanticipated events related to this demand growth. Executive Order 14156, "Declaring a National Energy Emergency," issued on January 20, 2025, cites a "precariously inadequate and intermittent energy supply, and an increasingly unreliable grid, requiring swift and decisive action."</w:t>
      </w:r>
      <w:r>
        <w:rPr>
          <w:rStyle w:val="FootnoteReference"/>
          <w:rFonts w:eastAsia="Arial" w:cs="Calibri"/>
        </w:rPr>
        <w:footnoteReference w:id="13"/>
      </w:r>
      <w:r w:rsidRPr="00E33C83">
        <w:rPr>
          <w:rFonts w:eastAsia="Arial" w:cs="Calibri"/>
        </w:rPr>
        <w:t xml:space="preserve"> Executive Order 14262, “Strengthening the Reliability and Security of the United States Electric Grid,” issued on April 8, 2025, states that “an increase in demand, coupled with existing capacity challenges, places a significant strain on our Nation’s electric grid,” and further notes “[that the] lack of reliability in the electric grid puts the national and economic security of the American people at risk.”</w:t>
      </w:r>
      <w:r>
        <w:rPr>
          <w:rStyle w:val="FootnoteReference"/>
          <w:rFonts w:eastAsia="Arial" w:cs="Calibri"/>
        </w:rPr>
        <w:footnoteReference w:id="14"/>
      </w:r>
      <w:r w:rsidRPr="00E33C83">
        <w:rPr>
          <w:rFonts w:eastAsia="Arial" w:cs="Calibri"/>
          <w:vertAlign w:val="superscript"/>
        </w:rPr>
        <w:t xml:space="preserve"> </w:t>
      </w:r>
      <w:r w:rsidRPr="00E33C83">
        <w:rPr>
          <w:rFonts w:eastAsia="Arial" w:cs="Calibri"/>
        </w:rPr>
        <w:t>The same executive order also refers to an unanticipated event in the form of "an unprecedented surge in electricity demand driven by rapid technological advancements, including the expansion of artificial intelligence data centers and increase in domestic manufacturing.”</w:t>
      </w:r>
      <w:r>
        <w:rPr>
          <w:rStyle w:val="FootnoteReference"/>
          <w:rFonts w:eastAsia="Arial" w:cs="Calibri"/>
        </w:rPr>
        <w:footnoteReference w:id="15"/>
      </w:r>
      <w:r w:rsidRPr="00E33C83">
        <w:rPr>
          <w:rStyle w:val="FootnoteReference"/>
          <w:rFonts w:eastAsia="Arial" w:cs="Calibri"/>
        </w:rPr>
        <w:t xml:space="preserve"> </w:t>
      </w:r>
      <w:r w:rsidRPr="00E33C83">
        <w:rPr>
          <w:rFonts w:eastAsia="Arial" w:cs="Calibri"/>
        </w:rPr>
        <w:t xml:space="preserve"> With respect to the expansion of artificial intelligence, Executive Order 14365, “Ensuring a National Policy Framework for Artificial Intelligence,” issued on December 11, 2025, asserts that “we remain in the earliest days of this technological revolution and are in a race with adversaries for supremacy within it.”</w:t>
      </w:r>
      <w:r>
        <w:rPr>
          <w:rStyle w:val="FootnoteReference"/>
          <w:rFonts w:eastAsia="Arial" w:cs="Calibri"/>
        </w:rPr>
        <w:footnoteReference w:id="16"/>
      </w:r>
    </w:p>
    <w:p w:rsidR="0066266C" w:rsidRPr="00E33C83" w:rsidP="0066266C" w14:paraId="60C775B1" w14:textId="6BD3EB24">
      <w:pPr>
        <w:rPr>
          <w:rFonts w:eastAsia="Arial" w:cs="Calibri"/>
        </w:rPr>
      </w:pPr>
      <w:r w:rsidRPr="00E33C83">
        <w:rPr>
          <w:rFonts w:cs="Calibri"/>
        </w:rPr>
        <w:t xml:space="preserve">The current lack of comprehensive data on </w:t>
      </w:r>
      <w:r w:rsidR="00A86228">
        <w:rPr>
          <w:rFonts w:cs="Calibri"/>
        </w:rPr>
        <w:t>power</w:t>
      </w:r>
      <w:r w:rsidRPr="00E33C83" w:rsidR="00A86228">
        <w:rPr>
          <w:rFonts w:cs="Calibri"/>
        </w:rPr>
        <w:t xml:space="preserve"> </w:t>
      </w:r>
      <w:r w:rsidRPr="00E33C83">
        <w:rPr>
          <w:rFonts w:cs="Calibri"/>
        </w:rPr>
        <w:t>generators, particularly smaller emergency units, represents a significant gap in our understanding of total U.S. grid capacity and resilience. This gap could hinder effective emergency response and grid management during periods of stress, potentially leading to widespread power outages and economic disruption.</w:t>
      </w:r>
    </w:p>
    <w:p w:rsidR="002542D4" w:rsidRPr="002542D4" w:rsidP="002542D4" w14:paraId="3D4615E0" w14:textId="4743AA21">
      <w:pPr>
        <w:rPr>
          <w:noProof/>
        </w:rPr>
      </w:pPr>
    </w:p>
    <w:p w:rsidR="002542D4" w:rsidRPr="00BB64D7" w:rsidP="00F43F66" w14:paraId="44C1F549" w14:textId="77777777">
      <w:pPr>
        <w:pStyle w:val="Heading2"/>
        <w:rPr>
          <w:noProof/>
        </w:rPr>
      </w:pPr>
      <w:bookmarkStart w:id="16" w:name="_Toc492634207"/>
      <w:bookmarkStart w:id="17" w:name="_Toc128056081"/>
      <w:r w:rsidRPr="00BB64D7">
        <w:rPr>
          <w:noProof/>
        </w:rPr>
        <w:t>A.7. Compliance with 5 CFR 1320.5</w:t>
      </w:r>
      <w:bookmarkEnd w:id="16"/>
      <w:bookmarkEnd w:id="17"/>
    </w:p>
    <w:p w:rsidR="002542D4" w:rsidP="00ED4C7C" w14:paraId="7B9F92A0" w14:textId="023C0838">
      <w:pPr>
        <w:spacing w:line="259" w:lineRule="auto"/>
        <w:rPr>
          <w:rFonts w:eastAsia="Arial" w:cs="Calibri"/>
        </w:rPr>
      </w:pPr>
      <w:r w:rsidRPr="0039473D">
        <w:rPr>
          <w:rFonts w:eastAsia="Arial" w:cs="Calibri"/>
        </w:rPr>
        <w:t>The data for the collection instruments in this proposal are being collected consistent with the guidelines in 5 C.F.R. 1320.5</w:t>
      </w:r>
      <w:r>
        <w:rPr>
          <w:rFonts w:eastAsia="Arial" w:cs="Calibri"/>
        </w:rPr>
        <w:t>.</w:t>
      </w:r>
    </w:p>
    <w:p w:rsidR="00ED4C7C" w:rsidRPr="00ED4C7C" w:rsidP="00ED4C7C" w14:paraId="0BCB82C5" w14:textId="77777777">
      <w:pPr>
        <w:spacing w:line="259" w:lineRule="auto"/>
        <w:rPr>
          <w:rFonts w:eastAsia="Arial" w:cs="Calibri"/>
        </w:rPr>
      </w:pPr>
    </w:p>
    <w:p w:rsidR="002542D4" w:rsidRPr="00BB64D7" w:rsidP="00F43F66" w14:paraId="33C8F9D7" w14:textId="77777777">
      <w:pPr>
        <w:pStyle w:val="Heading2"/>
        <w:rPr>
          <w:noProof/>
        </w:rPr>
      </w:pPr>
      <w:bookmarkStart w:id="18" w:name="_Toc492634208"/>
      <w:bookmarkStart w:id="19" w:name="_Toc128056082"/>
      <w:r w:rsidRPr="00BB64D7">
        <w:rPr>
          <w:noProof/>
        </w:rPr>
        <w:t>A.8. Summary of Consultations Outside of the Agency</w:t>
      </w:r>
      <w:bookmarkEnd w:id="18"/>
      <w:bookmarkEnd w:id="19"/>
    </w:p>
    <w:p w:rsidR="00DD3701" w:rsidRPr="00D379E4" w:rsidP="00DD3701" w14:paraId="5208B246" w14:textId="1A717CE9">
      <w:pPr>
        <w:rPr>
          <w:b/>
        </w:rPr>
      </w:pPr>
      <w:r w:rsidRPr="00D379E4">
        <w:rPr>
          <w:b/>
          <w:bCs/>
        </w:rPr>
        <w:t>60 Day Federal Register Notice</w:t>
      </w:r>
    </w:p>
    <w:p w:rsidR="00343787" w:rsidRPr="00882068" w:rsidP="00343787" w14:paraId="5BE85AE9" w14:textId="0EE6F7F1">
      <w:pPr>
        <w:spacing w:after="160" w:line="278" w:lineRule="auto"/>
      </w:pPr>
      <w:r w:rsidRPr="00D379E4">
        <w:t xml:space="preserve">EIA published a 60-day Federal Register Notice on </w:t>
      </w:r>
      <w:r w:rsidR="00A375C8">
        <w:t>March</w:t>
      </w:r>
      <w:r w:rsidRPr="00D379E4">
        <w:t xml:space="preserve"> </w:t>
      </w:r>
      <w:r w:rsidR="00A375C8">
        <w:t>06</w:t>
      </w:r>
      <w:r w:rsidRPr="00D379E4">
        <w:t>, 202</w:t>
      </w:r>
      <w:r w:rsidR="00A375C8">
        <w:t>6</w:t>
      </w:r>
      <w:r w:rsidRPr="00D379E4">
        <w:t>, at 9</w:t>
      </w:r>
      <w:r w:rsidR="009111B3">
        <w:t>1</w:t>
      </w:r>
      <w:r w:rsidRPr="00D379E4">
        <w:t xml:space="preserve"> Fed. Reg. </w:t>
      </w:r>
      <w:r w:rsidR="009111B3">
        <w:t>44</w:t>
      </w:r>
      <w:r w:rsidRPr="00D379E4">
        <w:t xml:space="preserve">, page </w:t>
      </w:r>
      <w:r w:rsidR="009111B3">
        <w:t>11069</w:t>
      </w:r>
      <w:r w:rsidRPr="00D379E4">
        <w:t>,</w:t>
      </w:r>
      <w:r w:rsidR="00AA6F7F">
        <w:t xml:space="preserve"> inviting the public to comment. EI</w:t>
      </w:r>
      <w:r w:rsidR="00251D9E">
        <w:t>A received four comments from the public</w:t>
      </w:r>
      <w:r w:rsidR="00AA6F7F">
        <w:t>.</w:t>
      </w:r>
      <w:r>
        <w:t xml:space="preserve"> </w:t>
      </w:r>
      <w:r w:rsidRPr="00882068">
        <w:t>The comments generally fell into three categories</w:t>
      </w:r>
      <w:r>
        <w:t>. One comment fell under tec</w:t>
      </w:r>
      <w:r w:rsidRPr="00882068">
        <w:t xml:space="preserve">hnical and policy recommendations related to the operation and environmental controls of backup generators, including suggestions for coordinated permitting pathways; </w:t>
      </w:r>
      <w:r>
        <w:t xml:space="preserve">two comments fell under </w:t>
      </w:r>
      <w:r w:rsidRPr="00882068">
        <w:t>concerns from state agencies and state Attorneys General regarding EIA’s statutory authority to collect the requested information, the accuracy of burden estimates, and the feasibility of providing generator</w:t>
      </w:r>
      <w:r w:rsidRPr="00882068">
        <w:noBreakHyphen/>
        <w:t xml:space="preserve">level data; and </w:t>
      </w:r>
      <w:r>
        <w:t xml:space="preserve">lastly, one comment </w:t>
      </w:r>
      <w:r w:rsidRPr="00882068">
        <w:t xml:space="preserve"> </w:t>
      </w:r>
      <w:r>
        <w:t xml:space="preserve">provided </w:t>
      </w:r>
      <w:r w:rsidRPr="00882068">
        <w:t>general feedback emphasizing the need for clear guidance, practical implementation, reasonable timelines, and user</w:t>
      </w:r>
      <w:r w:rsidRPr="00882068">
        <w:noBreakHyphen/>
        <w:t>friendly processes.</w:t>
      </w:r>
    </w:p>
    <w:p w:rsidR="002542D4" w:rsidRPr="002542D4" w:rsidP="00DD3701" w14:paraId="2171C71C" w14:textId="0BC4650C">
      <w:pPr>
        <w:rPr>
          <w:b/>
          <w:bCs/>
          <w:noProof/>
        </w:rPr>
      </w:pPr>
      <w:r w:rsidRPr="00AA3FA1">
        <w:t>EIA prepared two separate responses to address the distinct nature of the public comments received on the EIA</w:t>
      </w:r>
      <w:r w:rsidRPr="00AA3FA1">
        <w:noBreakHyphen/>
        <w:t>860S. A consolidated response was drafted for general stakeholders, acknowledging the value of feedback regarding technical considerations, environmental controls, data gaps in backup</w:t>
      </w:r>
      <w:r w:rsidRPr="00AA3FA1">
        <w:noBreakHyphen/>
        <w:t>generator reporting, and concerns about reporting burden. This response explains that EIA will convert the EIA</w:t>
      </w:r>
      <w:r w:rsidRPr="00AA3FA1">
        <w:noBreakHyphen/>
        <w:t>860S into an annual voluntary standby survey, reduce burden by retrieving publicly available permits before contacting States, and request only new permit information going forward. A separate, tailored response was issued to the coalition of State Attorneys General due to the legal and statutory issues they raised. In this response, EIA outlines its statutory mission, emphasizes the importance of generator</w:t>
      </w:r>
      <w:r w:rsidRPr="00AA3FA1">
        <w:noBreakHyphen/>
        <w:t>level data for national grid reliability, and reiterates burden</w:t>
      </w:r>
      <w:r w:rsidRPr="00AA3FA1">
        <w:noBreakHyphen/>
        <w:t>reduction steps, while directly addressing the States’ concerns about authority, scope, and feasibility by clarifying that all EIA</w:t>
      </w:r>
      <w:r w:rsidRPr="00AA3FA1">
        <w:noBreakHyphen/>
        <w:t>860S questions will be voluntary and that future requests will avoid duplication wherever possible.</w:t>
      </w:r>
    </w:p>
    <w:p w:rsidR="002542D4" w:rsidRPr="00BB64D7" w:rsidP="00F43F66" w14:paraId="24F04BA0" w14:textId="77777777">
      <w:pPr>
        <w:pStyle w:val="Heading2"/>
        <w:rPr>
          <w:noProof/>
        </w:rPr>
      </w:pPr>
      <w:bookmarkStart w:id="20" w:name="_Toc492634209"/>
      <w:bookmarkStart w:id="21" w:name="_Toc128056083"/>
      <w:r w:rsidRPr="00BB64D7">
        <w:rPr>
          <w:noProof/>
        </w:rPr>
        <w:t>A.9. Payments or Gifts to Respondents</w:t>
      </w:r>
      <w:bookmarkEnd w:id="20"/>
      <w:bookmarkEnd w:id="21"/>
      <w:r w:rsidRPr="00BB64D7">
        <w:rPr>
          <w:noProof/>
        </w:rPr>
        <w:t xml:space="preserve"> </w:t>
      </w:r>
    </w:p>
    <w:p w:rsidR="0022474F" w:rsidP="0022474F" w14:paraId="38BD25E3" w14:textId="77777777">
      <w:pPr>
        <w:rPr>
          <w:rFonts w:eastAsia="Arial" w:cs="Calibri"/>
        </w:rPr>
      </w:pPr>
      <w:r w:rsidRPr="0022474F">
        <w:rPr>
          <w:rFonts w:eastAsia="Arial" w:cs="Calibri"/>
        </w:rPr>
        <w:t>Respondents to this information collection will not receive any payments or gifts from EIA to participate in this information collection.</w:t>
      </w:r>
    </w:p>
    <w:p w:rsidR="00344B99" w:rsidRPr="0022474F" w:rsidP="0022474F" w14:paraId="1C9DA03C" w14:textId="77777777">
      <w:pPr>
        <w:rPr>
          <w:rFonts w:eastAsia="Arial" w:cs="Calibri"/>
        </w:rPr>
      </w:pPr>
    </w:p>
    <w:p w:rsidR="002542D4" w:rsidRPr="00BB64D7" w:rsidP="00F43F66" w14:paraId="35EDAD10" w14:textId="77777777">
      <w:pPr>
        <w:pStyle w:val="Heading2"/>
        <w:rPr>
          <w:noProof/>
        </w:rPr>
      </w:pPr>
      <w:bookmarkStart w:id="22" w:name="_Toc492634210"/>
      <w:bookmarkStart w:id="23" w:name="_Toc128056084"/>
      <w:r w:rsidRPr="00BB64D7">
        <w:rPr>
          <w:noProof/>
        </w:rPr>
        <w:t>A.10. Provisions for Protection of Information</w:t>
      </w:r>
      <w:bookmarkEnd w:id="22"/>
      <w:bookmarkEnd w:id="23"/>
      <w:r w:rsidRPr="00BB64D7">
        <w:rPr>
          <w:noProof/>
        </w:rPr>
        <w:t xml:space="preserve"> </w:t>
      </w:r>
    </w:p>
    <w:p w:rsidR="00F0524F" w:rsidRPr="00F0524F" w:rsidP="00F0524F" w14:paraId="598C4230" w14:textId="77777777">
      <w:pPr>
        <w:rPr>
          <w:rFonts w:cs="Calibri"/>
          <w:color w:val="000000"/>
        </w:rPr>
      </w:pPr>
      <w:r w:rsidRPr="00F0524F">
        <w:rPr>
          <w:rFonts w:cs="Calibri"/>
          <w:color w:val="000000"/>
        </w:rPr>
        <w:t xml:space="preserve">All information reported will be treated as non-sensitive and may be publicly released in identifiable form. </w:t>
      </w:r>
    </w:p>
    <w:p w:rsidR="00F0524F" w:rsidRPr="00F0524F" w:rsidP="00F0524F" w14:paraId="066AD0BE" w14:textId="30C39086">
      <w:pPr>
        <w:rPr>
          <w:rFonts w:cs="Calibri"/>
          <w:color w:val="000000"/>
        </w:rPr>
      </w:pPr>
      <w:r w:rsidRPr="00F0524F">
        <w:rPr>
          <w:rFonts w:cs="Calibri"/>
          <w:color w:val="000000"/>
        </w:rPr>
        <w:t>The Federal Energy Administration Act requires EIA to provide company-specific data to other Federal agencies when requested for official use. The information reported on this form may also be made available, upon request, to another component of DOE,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2542D4" w:rsidRPr="002542D4" w:rsidP="002542D4" w14:paraId="77B29169" w14:textId="77777777">
      <w:pPr>
        <w:rPr>
          <w:b/>
          <w:bCs/>
          <w:noProof/>
        </w:rPr>
      </w:pPr>
    </w:p>
    <w:p w:rsidR="002542D4" w:rsidRPr="00BB64D7" w:rsidP="00F43F66" w14:paraId="188173EA" w14:textId="77777777">
      <w:pPr>
        <w:pStyle w:val="Heading2"/>
        <w:rPr>
          <w:noProof/>
        </w:rPr>
      </w:pPr>
      <w:bookmarkStart w:id="24" w:name="_Toc492634211"/>
      <w:bookmarkStart w:id="25" w:name="_Toc128056085"/>
      <w:r w:rsidRPr="00BB64D7">
        <w:rPr>
          <w:noProof/>
        </w:rPr>
        <w:t>A.11. Justification for Sensitive Questions</w:t>
      </w:r>
      <w:bookmarkEnd w:id="24"/>
      <w:bookmarkEnd w:id="25"/>
      <w:r w:rsidRPr="00BB64D7">
        <w:rPr>
          <w:noProof/>
        </w:rPr>
        <w:t xml:space="preserve"> </w:t>
      </w:r>
    </w:p>
    <w:p w:rsidR="002542D4" w:rsidP="002542D4" w14:paraId="3C64FEEE" w14:textId="265C8EB3">
      <w:pPr>
        <w:rPr>
          <w:rFonts w:eastAsia="Arial" w:cs="Calibri"/>
        </w:rPr>
      </w:pPr>
      <w:r w:rsidRPr="007A6B17">
        <w:rPr>
          <w:rFonts w:eastAsia="Arial" w:cs="Calibri"/>
        </w:rPr>
        <w:t>This information collection does not include any questions of a sensitive nature.</w:t>
      </w:r>
    </w:p>
    <w:p w:rsidR="00AC6AA3" w:rsidRPr="002542D4" w:rsidP="002542D4" w14:paraId="71D41F53" w14:textId="77777777">
      <w:pPr>
        <w:rPr>
          <w:b/>
          <w:bCs/>
          <w:noProof/>
        </w:rPr>
      </w:pPr>
    </w:p>
    <w:p w:rsidR="002542D4" w:rsidRPr="00BB64D7" w:rsidP="00F43F66" w14:paraId="0994BE64" w14:textId="77777777">
      <w:pPr>
        <w:pStyle w:val="Heading2"/>
        <w:rPr>
          <w:noProof/>
        </w:rPr>
      </w:pPr>
      <w:bookmarkStart w:id="26" w:name="_Toc492634212"/>
      <w:bookmarkStart w:id="27" w:name="_Toc128056086"/>
      <w:r w:rsidRPr="00BB64D7">
        <w:rPr>
          <w:noProof/>
        </w:rPr>
        <w:t>A.12. Estimate of Respondent Burden Hours and Cost</w:t>
      </w:r>
      <w:bookmarkEnd w:id="26"/>
      <w:bookmarkEnd w:id="27"/>
      <w:r w:rsidRPr="00BB64D7">
        <w:rPr>
          <w:noProof/>
        </w:rPr>
        <w:t xml:space="preserve"> </w:t>
      </w:r>
    </w:p>
    <w:p w:rsidR="008B6D6F" w:rsidRPr="007670CC" w:rsidP="00BC1E1A" w14:paraId="2663AD4C" w14:textId="403C5D2D">
      <w:pPr>
        <w:contextualSpacing/>
        <w:rPr>
          <w:rFonts w:cs="Calibri"/>
        </w:rPr>
      </w:pPr>
      <w:r w:rsidRPr="007670CC">
        <w:rPr>
          <w:rFonts w:cs="Calibri"/>
        </w:rPr>
        <w:t>The total burden is estimated at 1500 hours, calculated as 10 hours per respondent for a one-time collection across the air permitting offices, which include all 50 states, the District of Columbia, and the five major U.S. territories. In some states, air permits are delegated to the county and/or regional air district level</w:t>
      </w:r>
      <w:r w:rsidRPr="007670CC" w:rsidR="00667B54">
        <w:rPr>
          <w:rFonts w:cs="Calibri"/>
        </w:rPr>
        <w:t>, totaling 150 respondents</w:t>
      </w:r>
      <w:r w:rsidRPr="007670CC">
        <w:rPr>
          <w:rFonts w:cs="Calibri"/>
        </w:rPr>
        <w:t>. This translates to an estimated additional cost of $</w:t>
      </w:r>
      <w:r w:rsidRPr="007670CC" w:rsidR="00106390">
        <w:rPr>
          <w:rFonts w:cs="Calibri"/>
        </w:rPr>
        <w:t>142,410</w:t>
      </w:r>
      <w:r w:rsidRPr="007670CC">
        <w:rPr>
          <w:rFonts w:cs="Calibri"/>
        </w:rPr>
        <w:t xml:space="preserve"> for respondents, derived from 150</w:t>
      </w:r>
      <w:r w:rsidRPr="007670CC" w:rsidR="00C33699">
        <w:rPr>
          <w:rFonts w:cs="Calibri"/>
        </w:rPr>
        <w:t>0</w:t>
      </w:r>
      <w:r w:rsidRPr="007670CC">
        <w:rPr>
          <w:rFonts w:cs="Calibri"/>
        </w:rPr>
        <w:t xml:space="preserve"> hours multiplied by an hourly rate of $94.9</w:t>
      </w:r>
      <w:r w:rsidRPr="007670CC" w:rsidR="00C33699">
        <w:rPr>
          <w:rFonts w:cs="Calibri"/>
        </w:rPr>
        <w:t>4</w:t>
      </w:r>
      <w:r w:rsidRPr="007670CC">
        <w:rPr>
          <w:rFonts w:cs="Calibri"/>
        </w:rPr>
        <w:t xml:space="preserve"> (representing the average loaded salary and benefits for an EIA employee). It is anticipated that the actual burden on respondents may be lower, given that the required administrative data is publicly available on the websites of many of these air permitting offices, although not in an easily retrievable, consolidated format.</w:t>
      </w:r>
    </w:p>
    <w:p w:rsidR="008B1E83" w:rsidP="008B6D6F" w14:paraId="5D9982ED" w14:textId="77777777">
      <w:pPr>
        <w:contextualSpacing/>
        <w:rPr>
          <w:rFonts w:ascii="Arial" w:hAnsi="Arial" w:cs="Arial"/>
        </w:rPr>
      </w:pPr>
    </w:p>
    <w:p w:rsidR="002542D4" w:rsidP="002542D4" w14:paraId="27B977B8" w14:textId="21176B42">
      <w:pPr>
        <w:rPr>
          <w:b/>
          <w:bCs/>
          <w:noProof/>
        </w:rPr>
      </w:pPr>
    </w:p>
    <w:tbl>
      <w:tblPr>
        <w:tblW w:w="0" w:type="auto"/>
        <w:tblLayout w:type="fixed"/>
        <w:tblLook w:val="06A0"/>
      </w:tblPr>
      <w:tblGrid>
        <w:gridCol w:w="2580"/>
        <w:gridCol w:w="1155"/>
        <w:gridCol w:w="1275"/>
        <w:gridCol w:w="1275"/>
        <w:gridCol w:w="1275"/>
        <w:gridCol w:w="1275"/>
      </w:tblGrid>
      <w:tr w14:paraId="6E6B870F" w14:textId="77777777" w:rsidTr="00620C60">
        <w:tblPrEx>
          <w:tblW w:w="0" w:type="auto"/>
          <w:tblLayout w:type="fixed"/>
          <w:tblLook w:val="06A0"/>
        </w:tblPrEx>
        <w:trPr>
          <w:trHeight w:val="281"/>
        </w:trPr>
        <w:tc>
          <w:tcPr>
            <w:tcW w:w="8835" w:type="dxa"/>
            <w:gridSpan w:val="6"/>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76798" w:rsidRPr="332F9C4E" w:rsidP="00620C60" w14:paraId="13ACFCD1" w14:textId="77777777">
            <w:pPr>
              <w:jc w:val="center"/>
              <w:rPr>
                <w:rFonts w:cs="Calibri"/>
                <w:b/>
                <w:bCs/>
                <w:color w:val="000000" w:themeColor="text1"/>
              </w:rPr>
            </w:pPr>
            <w:r>
              <w:rPr>
                <w:rFonts w:cs="Calibri"/>
                <w:b/>
                <w:bCs/>
                <w:color w:val="000000" w:themeColor="text1"/>
              </w:rPr>
              <w:t>Table A1: Estimated Respondent Burden</w:t>
            </w:r>
          </w:p>
        </w:tc>
      </w:tr>
      <w:tr w14:paraId="4B8DCDC2" w14:textId="77777777" w:rsidTr="00620C60">
        <w:tblPrEx>
          <w:tblW w:w="0" w:type="auto"/>
          <w:tblLayout w:type="fixed"/>
          <w:tblLook w:val="06A0"/>
        </w:tblPrEx>
        <w:trPr>
          <w:trHeight w:val="870"/>
        </w:trPr>
        <w:tc>
          <w:tcPr>
            <w:tcW w:w="2580" w:type="dxa"/>
            <w:tcBorders>
              <w:top w:val="single" w:sz="4" w:space="0" w:color="auto"/>
              <w:left w:val="single" w:sz="4" w:space="0" w:color="auto"/>
              <w:bottom w:val="single" w:sz="4" w:space="0" w:color="auto"/>
              <w:right w:val="single" w:sz="4" w:space="0" w:color="auto"/>
            </w:tcBorders>
            <w:shd w:val="clear" w:color="auto" w:fill="5B9BD5"/>
            <w:tcMar>
              <w:top w:w="15" w:type="dxa"/>
              <w:left w:w="15" w:type="dxa"/>
              <w:right w:w="15" w:type="dxa"/>
            </w:tcMar>
            <w:vAlign w:val="bottom"/>
          </w:tcPr>
          <w:p w:rsidR="00E76798" w:rsidP="00620C60" w14:paraId="2E293FF0" w14:textId="77777777">
            <w:bookmarkStart w:id="28" w:name="_MON_1539789608"/>
            <w:bookmarkEnd w:id="28"/>
            <w:r w:rsidRPr="332F9C4E">
              <w:rPr>
                <w:rFonts w:cs="Calibri"/>
                <w:b/>
                <w:bCs/>
                <w:color w:val="000000" w:themeColor="text1"/>
              </w:rPr>
              <w:t>EIA Form Number/Title</w:t>
            </w:r>
          </w:p>
        </w:tc>
        <w:tc>
          <w:tcPr>
            <w:tcW w:w="1155" w:type="dxa"/>
            <w:tcBorders>
              <w:top w:val="single" w:sz="4" w:space="0" w:color="auto"/>
              <w:left w:val="single" w:sz="4" w:space="0" w:color="auto"/>
              <w:bottom w:val="single" w:sz="4" w:space="0" w:color="auto"/>
              <w:right w:val="single" w:sz="4" w:space="0" w:color="auto"/>
            </w:tcBorders>
            <w:shd w:val="clear" w:color="auto" w:fill="5B9BD5"/>
            <w:tcMar>
              <w:top w:w="15" w:type="dxa"/>
              <w:left w:w="15" w:type="dxa"/>
              <w:right w:w="15" w:type="dxa"/>
            </w:tcMar>
            <w:vAlign w:val="bottom"/>
          </w:tcPr>
          <w:p w:rsidR="00E76798" w:rsidP="00620C60" w14:paraId="7F86ACD4" w14:textId="77777777">
            <w:r w:rsidRPr="332F9C4E">
              <w:rPr>
                <w:rFonts w:cs="Calibri"/>
                <w:b/>
                <w:bCs/>
                <w:color w:val="000000" w:themeColor="text1"/>
              </w:rPr>
              <w:t>Annual Reporting Frequency</w:t>
            </w:r>
          </w:p>
        </w:tc>
        <w:tc>
          <w:tcPr>
            <w:tcW w:w="1275" w:type="dxa"/>
            <w:tcBorders>
              <w:top w:val="single" w:sz="4" w:space="0" w:color="auto"/>
              <w:left w:val="single" w:sz="4" w:space="0" w:color="auto"/>
              <w:bottom w:val="single" w:sz="4" w:space="0" w:color="auto"/>
              <w:right w:val="single" w:sz="4" w:space="0" w:color="auto"/>
            </w:tcBorders>
            <w:shd w:val="clear" w:color="auto" w:fill="5B9BD5"/>
            <w:tcMar>
              <w:top w:w="15" w:type="dxa"/>
              <w:left w:w="15" w:type="dxa"/>
              <w:right w:w="15" w:type="dxa"/>
            </w:tcMar>
            <w:vAlign w:val="bottom"/>
          </w:tcPr>
          <w:p w:rsidR="00E76798" w:rsidP="00620C60" w14:paraId="6CA14EA1" w14:textId="77777777">
            <w:r w:rsidRPr="332F9C4E">
              <w:rPr>
                <w:rFonts w:cs="Calibri"/>
                <w:b/>
                <w:bCs/>
                <w:color w:val="000000" w:themeColor="text1"/>
              </w:rPr>
              <w:t>Number of Respondents</w:t>
            </w:r>
          </w:p>
        </w:tc>
        <w:tc>
          <w:tcPr>
            <w:tcW w:w="1275" w:type="dxa"/>
            <w:tcBorders>
              <w:top w:val="single" w:sz="4" w:space="0" w:color="auto"/>
              <w:left w:val="single" w:sz="4" w:space="0" w:color="auto"/>
              <w:bottom w:val="single" w:sz="4" w:space="0" w:color="auto"/>
              <w:right w:val="single" w:sz="4" w:space="0" w:color="auto"/>
            </w:tcBorders>
            <w:shd w:val="clear" w:color="auto" w:fill="5B9BD5"/>
            <w:tcMar>
              <w:top w:w="15" w:type="dxa"/>
              <w:left w:w="15" w:type="dxa"/>
              <w:right w:w="15" w:type="dxa"/>
            </w:tcMar>
            <w:vAlign w:val="bottom"/>
          </w:tcPr>
          <w:p w:rsidR="00E76798" w:rsidP="00620C60" w14:paraId="03525C05" w14:textId="77777777">
            <w:r w:rsidRPr="332F9C4E">
              <w:rPr>
                <w:rFonts w:cs="Calibri"/>
                <w:b/>
                <w:bCs/>
                <w:color w:val="000000" w:themeColor="text1"/>
              </w:rPr>
              <w:t>Annual Number of Responses</w:t>
            </w:r>
          </w:p>
        </w:tc>
        <w:tc>
          <w:tcPr>
            <w:tcW w:w="1275" w:type="dxa"/>
            <w:tcBorders>
              <w:top w:val="single" w:sz="4" w:space="0" w:color="auto"/>
              <w:left w:val="single" w:sz="4" w:space="0" w:color="auto"/>
              <w:bottom w:val="single" w:sz="4" w:space="0" w:color="auto"/>
              <w:right w:val="single" w:sz="4" w:space="0" w:color="auto"/>
            </w:tcBorders>
            <w:shd w:val="clear" w:color="auto" w:fill="5B9BD5"/>
            <w:tcMar>
              <w:top w:w="15" w:type="dxa"/>
              <w:left w:w="15" w:type="dxa"/>
              <w:right w:w="15" w:type="dxa"/>
            </w:tcMar>
            <w:vAlign w:val="bottom"/>
          </w:tcPr>
          <w:p w:rsidR="00E76798" w:rsidP="00620C60" w14:paraId="09A0E417" w14:textId="77777777">
            <w:r w:rsidRPr="332F9C4E">
              <w:rPr>
                <w:rFonts w:cs="Calibri"/>
                <w:b/>
                <w:bCs/>
                <w:color w:val="000000" w:themeColor="text1"/>
              </w:rPr>
              <w:t>Burden Hours Per Response</w:t>
            </w:r>
          </w:p>
        </w:tc>
        <w:tc>
          <w:tcPr>
            <w:tcW w:w="1275" w:type="dxa"/>
            <w:tcBorders>
              <w:top w:val="single" w:sz="4" w:space="0" w:color="auto"/>
              <w:left w:val="single" w:sz="4" w:space="0" w:color="auto"/>
              <w:bottom w:val="single" w:sz="4" w:space="0" w:color="auto"/>
              <w:right w:val="single" w:sz="4" w:space="0" w:color="auto"/>
            </w:tcBorders>
            <w:shd w:val="clear" w:color="auto" w:fill="5B9BD5"/>
            <w:tcMar>
              <w:top w:w="15" w:type="dxa"/>
              <w:left w:w="15" w:type="dxa"/>
              <w:right w:w="15" w:type="dxa"/>
            </w:tcMar>
            <w:vAlign w:val="bottom"/>
          </w:tcPr>
          <w:p w:rsidR="00E76798" w:rsidP="00620C60" w14:paraId="7C5B09A4" w14:textId="77777777">
            <w:r w:rsidRPr="332F9C4E">
              <w:rPr>
                <w:rFonts w:cs="Calibri"/>
                <w:b/>
                <w:bCs/>
                <w:color w:val="000000" w:themeColor="text1"/>
              </w:rPr>
              <w:t>Annual Burden Hours</w:t>
            </w:r>
          </w:p>
        </w:tc>
      </w:tr>
      <w:tr w14:paraId="464C403B" w14:textId="77777777" w:rsidTr="00620C60">
        <w:tblPrEx>
          <w:tblW w:w="0" w:type="auto"/>
          <w:tblLayout w:type="fixed"/>
          <w:tblLook w:val="06A0"/>
        </w:tblPrEx>
        <w:trPr>
          <w:trHeight w:val="570"/>
        </w:trPr>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76798" w:rsidP="00620C60" w14:paraId="0A2ED3C4" w14:textId="3B2A1D2B">
            <w:r>
              <w:t xml:space="preserve">Form </w:t>
            </w:r>
            <w:r w:rsidRPr="00942F16">
              <w:t>EIA-860S (Supplement) – State Level Generator Air Permit Inventory</w:t>
            </w:r>
          </w:p>
        </w:tc>
        <w:tc>
          <w:tcPr>
            <w:tcW w:w="11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76798" w:rsidP="00620C60" w14:paraId="417EBA6E" w14:textId="4EBD4204">
            <w:r>
              <w:t>1</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76798" w:rsidP="00620C60" w14:paraId="35C2D897" w14:textId="74FF0F41">
            <w:r>
              <w:t>150</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76798" w:rsidP="00620C60" w14:paraId="0EFBEF67" w14:textId="0CDFF5F9">
            <w:r>
              <w:t>150</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76798" w:rsidP="00620C60" w14:paraId="721BEE06" w14:textId="26C060A6">
            <w:r>
              <w:t>10</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76798" w:rsidP="00620C60" w14:paraId="34875172" w14:textId="6B7DA090">
            <w:r>
              <w:t>1500</w:t>
            </w:r>
          </w:p>
        </w:tc>
      </w:tr>
      <w:tr w14:paraId="15E603DE" w14:textId="77777777" w:rsidTr="00620C60">
        <w:tblPrEx>
          <w:tblW w:w="0" w:type="auto"/>
          <w:tblLayout w:type="fixed"/>
          <w:tblLook w:val="06A0"/>
        </w:tblPrEx>
        <w:trPr>
          <w:trHeight w:val="285"/>
        </w:trPr>
        <w:tc>
          <w:tcPr>
            <w:tcW w:w="25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76798" w:rsidP="00620C60" w14:paraId="7648EBA6" w14:textId="77777777">
            <w:r w:rsidRPr="332F9C4E">
              <w:rPr>
                <w:rFonts w:cs="Calibri"/>
                <w:b/>
                <w:bCs/>
                <w:color w:val="000000" w:themeColor="text1"/>
              </w:rPr>
              <w:t>TOTAL</w:t>
            </w:r>
          </w:p>
        </w:tc>
        <w:tc>
          <w:tcPr>
            <w:tcW w:w="1155" w:type="dxa"/>
            <w:tcBorders>
              <w:top w:val="single" w:sz="4" w:space="0" w:color="auto"/>
              <w:left w:val="single" w:sz="4" w:space="0" w:color="auto"/>
              <w:bottom w:val="single" w:sz="4" w:space="0" w:color="auto"/>
              <w:right w:val="single" w:sz="4" w:space="0" w:color="auto"/>
            </w:tcBorders>
            <w:shd w:val="clear" w:color="auto" w:fill="000000" w:themeFill="text1"/>
            <w:tcMar>
              <w:top w:w="15" w:type="dxa"/>
              <w:left w:w="15" w:type="dxa"/>
              <w:right w:w="15" w:type="dxa"/>
            </w:tcMar>
            <w:vAlign w:val="bottom"/>
          </w:tcPr>
          <w:p w:rsidR="00E76798" w:rsidP="00620C60" w14:paraId="668545CD" w14:textId="71979757"/>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76798" w:rsidP="00620C60" w14:paraId="21D3A51D" w14:textId="68FD9C7F">
            <w:r>
              <w:t>150</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76798" w:rsidP="00620C60" w14:paraId="4F7202A1" w14:textId="06CA74B9">
            <w:r>
              <w:t>150</w:t>
            </w:r>
          </w:p>
        </w:tc>
        <w:tc>
          <w:tcPr>
            <w:tcW w:w="1275" w:type="dxa"/>
            <w:tcBorders>
              <w:top w:val="single" w:sz="4" w:space="0" w:color="auto"/>
              <w:left w:val="single" w:sz="4" w:space="0" w:color="auto"/>
              <w:bottom w:val="single" w:sz="4" w:space="0" w:color="auto"/>
              <w:right w:val="single" w:sz="4" w:space="0" w:color="auto"/>
            </w:tcBorders>
            <w:shd w:val="clear" w:color="auto" w:fill="000000" w:themeFill="text1"/>
            <w:tcMar>
              <w:top w:w="15" w:type="dxa"/>
              <w:left w:w="15" w:type="dxa"/>
              <w:right w:w="15" w:type="dxa"/>
            </w:tcMar>
            <w:vAlign w:val="bottom"/>
          </w:tcPr>
          <w:p w:rsidR="00E76798" w:rsidP="00620C60" w14:paraId="63DBC40F" w14:textId="77777777">
            <w:r w:rsidRPr="332F9C4E">
              <w:rPr>
                <w:rFonts w:cs="Calibri"/>
                <w:b/>
                <w:bCs/>
                <w:color w:val="000000" w:themeColor="text1"/>
              </w:rPr>
              <w:t xml:space="preserve"> </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76798" w:rsidP="00620C60" w14:paraId="00FD7109" w14:textId="63002B52">
            <w:r w:rsidRPr="332F9C4E">
              <w:rPr>
                <w:rFonts w:cs="Calibri"/>
                <w:b/>
                <w:bCs/>
                <w:color w:val="000000" w:themeColor="text1"/>
              </w:rPr>
              <w:t xml:space="preserve"> </w:t>
            </w:r>
            <w:r w:rsidR="00942F16">
              <w:rPr>
                <w:rFonts w:cs="Calibri"/>
                <w:b/>
                <w:bCs/>
                <w:color w:val="000000" w:themeColor="text1"/>
              </w:rPr>
              <w:t>1500</w:t>
            </w:r>
          </w:p>
        </w:tc>
      </w:tr>
    </w:tbl>
    <w:p w:rsidR="00B17242" w:rsidP="00B17242" w14:paraId="4ADB789D" w14:textId="77777777">
      <w:pPr>
        <w:pStyle w:val="P1-StandPara"/>
        <w:spacing w:line="259" w:lineRule="auto"/>
        <w:ind w:firstLine="0"/>
        <w:jc w:val="left"/>
        <w:rPr>
          <w:rFonts w:ascii="Arial" w:eastAsia="Arial" w:hAnsi="Arial" w:cs="Arial"/>
          <w:color w:val="000000" w:themeColor="text1"/>
        </w:rPr>
      </w:pPr>
    </w:p>
    <w:p w:rsidR="00B17242" w:rsidRPr="00B17242" w:rsidP="002542D4" w14:paraId="6D97958B" w14:textId="77777777">
      <w:pPr>
        <w:rPr>
          <w:noProof/>
        </w:rPr>
      </w:pPr>
    </w:p>
    <w:p w:rsidR="002542D4" w:rsidRPr="00BB64D7" w:rsidP="00F43F66" w14:paraId="113286DE" w14:textId="77777777">
      <w:pPr>
        <w:pStyle w:val="Heading2"/>
        <w:rPr>
          <w:noProof/>
        </w:rPr>
      </w:pPr>
      <w:bookmarkStart w:id="29" w:name="_Toc492634213"/>
      <w:bookmarkStart w:id="30" w:name="_Toc128056087"/>
      <w:r w:rsidRPr="00BB64D7">
        <w:rPr>
          <w:noProof/>
        </w:rPr>
        <w:t>A.13. Annual Cost to the Federal Government</w:t>
      </w:r>
      <w:bookmarkEnd w:id="29"/>
      <w:bookmarkEnd w:id="30"/>
    </w:p>
    <w:p w:rsidR="008B1E83" w:rsidP="008B1E83" w14:paraId="16E1731E" w14:textId="77777777">
      <w:pPr>
        <w:pStyle w:val="P1-StandPara"/>
        <w:spacing w:line="259" w:lineRule="auto"/>
        <w:ind w:firstLine="0"/>
        <w:jc w:val="left"/>
        <w:rPr>
          <w:rFonts w:ascii="Arial" w:eastAsia="Arial" w:hAnsi="Arial" w:cs="Arial"/>
          <w:color w:val="000000" w:themeColor="text1"/>
        </w:rPr>
      </w:pPr>
    </w:p>
    <w:p w:rsidR="00B17242" w:rsidRPr="007670CC" w:rsidP="00B17242" w14:paraId="3551C6BE" w14:textId="06BD2FE3">
      <w:pPr>
        <w:rPr>
          <w:rFonts w:eastAsia="Arial" w:cs="Calibri"/>
        </w:rPr>
      </w:pPr>
      <w:r w:rsidRPr="007670CC">
        <w:rPr>
          <w:rFonts w:eastAsia="Arial" w:cs="Calibri"/>
        </w:rPr>
        <w:t xml:space="preserve">The expected cost of operating this EIA-860s is estimated at $193,152 and includes federal staff time for survey-related activities, such as frame maintenance, collection, processing, dissemination, and data systems maintenance. </w:t>
      </w:r>
    </w:p>
    <w:p w:rsidR="002542D4" w:rsidRPr="002542D4" w:rsidP="002542D4" w14:paraId="7E6DD4AE" w14:textId="77777777">
      <w:pPr>
        <w:rPr>
          <w:b/>
          <w:noProof/>
        </w:rPr>
        <w:sectPr w:rsidSect="008F4CBD">
          <w:headerReference w:type="even" r:id="rId15"/>
          <w:headerReference w:type="default" r:id="rId16"/>
          <w:footerReference w:type="even" r:id="rId17"/>
          <w:headerReference w:type="first" r:id="rId18"/>
          <w:footerReference w:type="first" r:id="rId19"/>
          <w:pgSz w:w="12240" w:h="15840"/>
          <w:pgMar w:top="1440" w:right="1440" w:bottom="1440" w:left="1440" w:header="720" w:footer="720" w:gutter="0"/>
          <w:pgNumType w:start="1"/>
          <w:cols w:space="720"/>
          <w:docGrid w:linePitch="360"/>
        </w:sectPr>
      </w:pPr>
    </w:p>
    <w:p w:rsidR="002542D4" w:rsidP="00F43F66" w14:paraId="56851371" w14:textId="12FD1A26">
      <w:pPr>
        <w:pStyle w:val="Heading2"/>
        <w:rPr>
          <w:noProof/>
        </w:rPr>
      </w:pPr>
      <w:bookmarkStart w:id="31" w:name="_Toc492634214"/>
      <w:bookmarkStart w:id="32" w:name="_Toc128056088"/>
      <w:r w:rsidRPr="00BB64D7">
        <w:rPr>
          <w:noProof/>
        </w:rPr>
        <w:t>A.14. Changes in Burden</w:t>
      </w:r>
      <w:bookmarkEnd w:id="31"/>
      <w:bookmarkEnd w:id="32"/>
      <w:r w:rsidRPr="00BB64D7">
        <w:rPr>
          <w:noProof/>
        </w:rPr>
        <w:t xml:space="preserve"> </w:t>
      </w:r>
    </w:p>
    <w:p w:rsidR="005B7212" w:rsidRPr="00CD3B08" w:rsidP="00CD3B08" w14:paraId="2620B399" w14:textId="7FF2D8FE">
      <w:r>
        <w:t>Number of respondents increased from 56 to 150</w:t>
      </w:r>
      <w:r w:rsidR="009567F1">
        <w:t xml:space="preserve"> respondents. The </w:t>
      </w:r>
      <w:r w:rsidR="003F58AD">
        <w:t>time to complete increase</w:t>
      </w:r>
      <w:r w:rsidR="00343787">
        <w:t>d</w:t>
      </w:r>
      <w:r w:rsidR="003F58AD">
        <w:t xml:space="preserve"> from 5 hours to 10 hours, increase the annual burden hours to 1500. </w:t>
      </w:r>
    </w:p>
    <w:p w:rsidR="00575A2C" w:rsidP="00575A2C" w14:paraId="77D8F442" w14:textId="77777777">
      <w:bookmarkStart w:id="33" w:name="_MON_1566376226"/>
      <w:bookmarkEnd w:id="33"/>
    </w:p>
    <w:p w:rsidR="00575A2C" w:rsidRPr="00575A2C" w:rsidP="00575A2C" w14:paraId="3B17C311" w14:textId="59E9C289">
      <w:pPr>
        <w:rPr>
          <w:b/>
          <w:bCs/>
        </w:rPr>
      </w:pPr>
      <w:r w:rsidRPr="00575A2C">
        <w:rPr>
          <w:b/>
          <w:bCs/>
        </w:rPr>
        <w:t>Table A2. Changes in Burden</w:t>
      </w:r>
    </w:p>
    <w:tbl>
      <w:tblPr>
        <w:tblpPr w:leftFromText="180" w:rightFromText="180" w:vertAnchor="text" w:horzAnchor="margin" w:tblpX="-1180" w:tblpY="-40"/>
        <w:tblW w:w="15115" w:type="dxa"/>
        <w:tblLayout w:type="fixed"/>
        <w:tblLook w:val="04A0"/>
      </w:tblPr>
      <w:tblGrid>
        <w:gridCol w:w="1165"/>
        <w:gridCol w:w="900"/>
        <w:gridCol w:w="990"/>
        <w:gridCol w:w="990"/>
        <w:gridCol w:w="900"/>
        <w:gridCol w:w="990"/>
        <w:gridCol w:w="990"/>
        <w:gridCol w:w="990"/>
        <w:gridCol w:w="900"/>
        <w:gridCol w:w="1080"/>
        <w:gridCol w:w="810"/>
        <w:gridCol w:w="900"/>
        <w:gridCol w:w="900"/>
        <w:gridCol w:w="810"/>
        <w:gridCol w:w="900"/>
        <w:gridCol w:w="900"/>
      </w:tblGrid>
      <w:tr w14:paraId="54FAF56D" w14:textId="77777777" w:rsidTr="0083170C">
        <w:tblPrEx>
          <w:tblW w:w="15115" w:type="dxa"/>
          <w:tblLayout w:type="fixed"/>
          <w:tblLook w:val="04A0"/>
        </w:tblPrEx>
        <w:trPr>
          <w:trHeight w:val="290"/>
        </w:trPr>
        <w:tc>
          <w:tcPr>
            <w:tcW w:w="1165" w:type="dxa"/>
            <w:vMerge w:val="restart"/>
            <w:tcBorders>
              <w:top w:val="single" w:sz="4" w:space="0" w:color="auto"/>
              <w:left w:val="single" w:sz="4" w:space="0" w:color="auto"/>
              <w:bottom w:val="single" w:sz="4" w:space="0" w:color="000000"/>
              <w:right w:val="single" w:sz="4" w:space="0" w:color="auto"/>
            </w:tcBorders>
            <w:shd w:val="clear" w:color="000000" w:fill="5B9BD5"/>
            <w:vAlign w:val="center"/>
            <w:hideMark/>
          </w:tcPr>
          <w:p w:rsidR="00575A2C" w:rsidRPr="00E34212" w:rsidP="00620C60" w14:paraId="7ADFB102" w14:textId="77777777">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EIA Form Number/Title</w:t>
            </w:r>
          </w:p>
        </w:tc>
        <w:tc>
          <w:tcPr>
            <w:tcW w:w="900" w:type="dxa"/>
            <w:vMerge w:val="restart"/>
            <w:tcBorders>
              <w:top w:val="single" w:sz="4" w:space="0" w:color="auto"/>
              <w:left w:val="single" w:sz="4" w:space="0" w:color="auto"/>
              <w:bottom w:val="single" w:sz="4" w:space="0" w:color="000000"/>
              <w:right w:val="single" w:sz="4" w:space="0" w:color="auto"/>
            </w:tcBorders>
            <w:shd w:val="clear" w:color="000000" w:fill="5B9BD5"/>
            <w:vAlign w:val="center"/>
            <w:hideMark/>
          </w:tcPr>
          <w:p w:rsidR="00575A2C" w:rsidRPr="00E34212" w:rsidP="00620C60" w14:paraId="7296A132" w14:textId="77777777">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Annual Reporting Frequency</w:t>
            </w:r>
          </w:p>
        </w:tc>
        <w:tc>
          <w:tcPr>
            <w:tcW w:w="990" w:type="dxa"/>
            <w:vMerge w:val="restart"/>
            <w:tcBorders>
              <w:top w:val="single" w:sz="4" w:space="0" w:color="auto"/>
              <w:left w:val="single" w:sz="4" w:space="0" w:color="auto"/>
              <w:bottom w:val="single" w:sz="4" w:space="0" w:color="000000"/>
              <w:right w:val="single" w:sz="4" w:space="0" w:color="auto"/>
            </w:tcBorders>
            <w:shd w:val="clear" w:color="000000" w:fill="5B9BD5"/>
            <w:vAlign w:val="center"/>
            <w:hideMark/>
          </w:tcPr>
          <w:p w:rsidR="00575A2C" w:rsidRPr="00E34212" w:rsidP="00620C60" w14:paraId="17B2E497" w14:textId="77777777">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Number of Respondents (Previously Approved)</w:t>
            </w:r>
          </w:p>
        </w:tc>
        <w:tc>
          <w:tcPr>
            <w:tcW w:w="990" w:type="dxa"/>
            <w:vMerge w:val="restart"/>
            <w:tcBorders>
              <w:top w:val="single" w:sz="4" w:space="0" w:color="auto"/>
              <w:left w:val="single" w:sz="4" w:space="0" w:color="auto"/>
              <w:bottom w:val="single" w:sz="4" w:space="0" w:color="000000"/>
              <w:right w:val="single" w:sz="4" w:space="0" w:color="auto"/>
            </w:tcBorders>
            <w:shd w:val="clear" w:color="000000" w:fill="5B9BD5"/>
            <w:vAlign w:val="center"/>
            <w:hideMark/>
          </w:tcPr>
          <w:p w:rsidR="00575A2C" w:rsidRPr="00E34212" w:rsidP="00620C60" w14:paraId="44F83E36" w14:textId="77777777">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Number of Respondents (Requested)</w:t>
            </w:r>
          </w:p>
        </w:tc>
        <w:tc>
          <w:tcPr>
            <w:tcW w:w="900" w:type="dxa"/>
            <w:vMerge w:val="restart"/>
            <w:tcBorders>
              <w:top w:val="single" w:sz="4" w:space="0" w:color="auto"/>
              <w:left w:val="single" w:sz="4" w:space="0" w:color="auto"/>
              <w:bottom w:val="single" w:sz="4" w:space="0" w:color="000000"/>
              <w:right w:val="single" w:sz="4" w:space="0" w:color="auto"/>
            </w:tcBorders>
            <w:shd w:val="clear" w:color="000000" w:fill="5B9BD5"/>
            <w:vAlign w:val="center"/>
            <w:hideMark/>
          </w:tcPr>
          <w:p w:rsidR="00575A2C" w:rsidRPr="00E34212" w:rsidP="00620C60" w14:paraId="027770CB" w14:textId="77777777">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Annual Number of Responses (Previously Approved)</w:t>
            </w:r>
          </w:p>
        </w:tc>
        <w:tc>
          <w:tcPr>
            <w:tcW w:w="990" w:type="dxa"/>
            <w:vMerge w:val="restart"/>
            <w:tcBorders>
              <w:top w:val="single" w:sz="4" w:space="0" w:color="auto"/>
              <w:left w:val="single" w:sz="4" w:space="0" w:color="auto"/>
              <w:bottom w:val="single" w:sz="4" w:space="0" w:color="000000"/>
              <w:right w:val="single" w:sz="4" w:space="0" w:color="auto"/>
            </w:tcBorders>
            <w:shd w:val="clear" w:color="000000" w:fill="5B9BD5"/>
            <w:vAlign w:val="center"/>
            <w:hideMark/>
          </w:tcPr>
          <w:p w:rsidR="00575A2C" w:rsidRPr="00E34212" w:rsidP="00620C60" w14:paraId="3B2EC0B0" w14:textId="77777777">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Annual Number of Responses (Requested)</w:t>
            </w:r>
          </w:p>
        </w:tc>
        <w:tc>
          <w:tcPr>
            <w:tcW w:w="990" w:type="dxa"/>
            <w:vMerge w:val="restart"/>
            <w:tcBorders>
              <w:top w:val="single" w:sz="4" w:space="0" w:color="auto"/>
              <w:left w:val="single" w:sz="4" w:space="0" w:color="auto"/>
              <w:bottom w:val="single" w:sz="4" w:space="0" w:color="000000"/>
              <w:right w:val="single" w:sz="4" w:space="0" w:color="auto"/>
            </w:tcBorders>
            <w:shd w:val="clear" w:color="000000" w:fill="5B9BD5"/>
            <w:vAlign w:val="center"/>
            <w:hideMark/>
          </w:tcPr>
          <w:p w:rsidR="00575A2C" w:rsidRPr="00E34212" w:rsidP="00620C60" w14:paraId="0BA2E879" w14:textId="77777777">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Burden Hours Per Response (Previously Approved)</w:t>
            </w:r>
          </w:p>
        </w:tc>
        <w:tc>
          <w:tcPr>
            <w:tcW w:w="990" w:type="dxa"/>
            <w:vMerge w:val="restart"/>
            <w:tcBorders>
              <w:top w:val="single" w:sz="4" w:space="0" w:color="auto"/>
              <w:left w:val="single" w:sz="4" w:space="0" w:color="auto"/>
              <w:bottom w:val="single" w:sz="4" w:space="0" w:color="000000"/>
              <w:right w:val="single" w:sz="4" w:space="0" w:color="auto"/>
            </w:tcBorders>
            <w:shd w:val="clear" w:color="000000" w:fill="5B9BD5"/>
            <w:vAlign w:val="center"/>
            <w:hideMark/>
          </w:tcPr>
          <w:p w:rsidR="00575A2C" w:rsidRPr="00E34212" w:rsidP="00620C60" w14:paraId="03BD2DD9" w14:textId="77777777">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Burden Hours Per Response (Requested)</w:t>
            </w:r>
          </w:p>
        </w:tc>
        <w:tc>
          <w:tcPr>
            <w:tcW w:w="900" w:type="dxa"/>
            <w:vMerge w:val="restart"/>
            <w:tcBorders>
              <w:top w:val="single" w:sz="4" w:space="0" w:color="auto"/>
              <w:left w:val="single" w:sz="4" w:space="0" w:color="auto"/>
              <w:bottom w:val="single" w:sz="4" w:space="0" w:color="000000"/>
              <w:right w:val="single" w:sz="4" w:space="0" w:color="auto"/>
            </w:tcBorders>
            <w:shd w:val="clear" w:color="000000" w:fill="5B9BD5"/>
            <w:vAlign w:val="center"/>
            <w:hideMark/>
          </w:tcPr>
          <w:p w:rsidR="00575A2C" w:rsidRPr="00E34212" w:rsidP="00620C60" w14:paraId="0B9480AD" w14:textId="77777777">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Annual Burden Hours (Previously Approved)</w:t>
            </w:r>
          </w:p>
        </w:tc>
        <w:tc>
          <w:tcPr>
            <w:tcW w:w="1080" w:type="dxa"/>
            <w:vMerge w:val="restart"/>
            <w:tcBorders>
              <w:top w:val="single" w:sz="4" w:space="0" w:color="auto"/>
              <w:left w:val="single" w:sz="4" w:space="0" w:color="auto"/>
              <w:bottom w:val="single" w:sz="4" w:space="0" w:color="000000"/>
              <w:right w:val="single" w:sz="4" w:space="0" w:color="auto"/>
            </w:tcBorders>
            <w:shd w:val="clear" w:color="000000" w:fill="5B9BD5"/>
            <w:vAlign w:val="center"/>
            <w:hideMark/>
          </w:tcPr>
          <w:p w:rsidR="00575A2C" w:rsidRPr="00E34212" w:rsidP="00620C60" w14:paraId="5B193214" w14:textId="77777777">
            <w:pPr>
              <w:spacing w:after="0" w:line="240" w:lineRule="auto"/>
              <w:jc w:val="center"/>
              <w:rPr>
                <w:rFonts w:eastAsia="Times New Roman" w:cstheme="minorHAnsi"/>
                <w:b/>
                <w:bCs/>
                <w:color w:val="000000"/>
                <w:sz w:val="14"/>
                <w:szCs w:val="14"/>
              </w:rPr>
            </w:pPr>
            <w:r w:rsidRPr="00E34212">
              <w:rPr>
                <w:rFonts w:eastAsia="Times New Roman" w:cstheme="minorHAnsi"/>
                <w:b/>
                <w:bCs/>
                <w:color w:val="000000"/>
                <w:sz w:val="14"/>
                <w:szCs w:val="14"/>
              </w:rPr>
              <w:t>Annual Burden Hours (Requested)</w:t>
            </w:r>
          </w:p>
        </w:tc>
        <w:tc>
          <w:tcPr>
            <w:tcW w:w="2610" w:type="dxa"/>
            <w:gridSpan w:val="3"/>
            <w:tcBorders>
              <w:top w:val="single" w:sz="4" w:space="0" w:color="auto"/>
              <w:left w:val="nil"/>
              <w:bottom w:val="single" w:sz="4" w:space="0" w:color="auto"/>
              <w:right w:val="single" w:sz="4" w:space="0" w:color="000000"/>
            </w:tcBorders>
            <w:shd w:val="clear" w:color="000000" w:fill="5B9BD5"/>
            <w:noWrap/>
            <w:vAlign w:val="center"/>
            <w:hideMark/>
          </w:tcPr>
          <w:p w:rsidR="00575A2C" w:rsidRPr="00E34212" w:rsidP="00620C60" w14:paraId="70A3232C" w14:textId="77777777">
            <w:pPr>
              <w:spacing w:after="0" w:line="240" w:lineRule="auto"/>
              <w:jc w:val="center"/>
              <w:rPr>
                <w:rFonts w:eastAsia="Times New Roman" w:cstheme="minorHAnsi"/>
                <w:b/>
                <w:bCs/>
                <w:sz w:val="14"/>
                <w:szCs w:val="14"/>
              </w:rPr>
            </w:pPr>
            <w:r w:rsidRPr="00E34212">
              <w:rPr>
                <w:rFonts w:eastAsia="Times New Roman" w:cstheme="minorHAnsi"/>
                <w:b/>
                <w:bCs/>
                <w:sz w:val="14"/>
                <w:szCs w:val="14"/>
              </w:rPr>
              <w:t>Annual Number of Responses</w:t>
            </w:r>
          </w:p>
        </w:tc>
        <w:tc>
          <w:tcPr>
            <w:tcW w:w="2610" w:type="dxa"/>
            <w:gridSpan w:val="3"/>
            <w:tcBorders>
              <w:top w:val="single" w:sz="4" w:space="0" w:color="auto"/>
              <w:left w:val="nil"/>
              <w:bottom w:val="single" w:sz="4" w:space="0" w:color="auto"/>
              <w:right w:val="single" w:sz="4" w:space="0" w:color="000000"/>
            </w:tcBorders>
            <w:shd w:val="clear" w:color="000000" w:fill="5B9BD5"/>
            <w:noWrap/>
            <w:vAlign w:val="center"/>
            <w:hideMark/>
          </w:tcPr>
          <w:p w:rsidR="00575A2C" w:rsidRPr="00E34212" w:rsidP="00620C60" w14:paraId="3D893D21" w14:textId="77777777">
            <w:pPr>
              <w:spacing w:after="0" w:line="240" w:lineRule="auto"/>
              <w:jc w:val="center"/>
              <w:rPr>
                <w:rFonts w:eastAsia="Times New Roman" w:cstheme="minorHAnsi"/>
                <w:b/>
                <w:bCs/>
                <w:sz w:val="14"/>
                <w:szCs w:val="14"/>
              </w:rPr>
            </w:pPr>
            <w:r w:rsidRPr="00E34212">
              <w:rPr>
                <w:rFonts w:eastAsia="Times New Roman" w:cstheme="minorHAnsi"/>
                <w:b/>
                <w:bCs/>
                <w:sz w:val="14"/>
                <w:szCs w:val="14"/>
              </w:rPr>
              <w:t>Annual Burden Hours</w:t>
            </w:r>
          </w:p>
        </w:tc>
      </w:tr>
      <w:tr w14:paraId="670C2634" w14:textId="77777777" w:rsidTr="0083170C">
        <w:tblPrEx>
          <w:tblW w:w="15115" w:type="dxa"/>
          <w:tblLayout w:type="fixed"/>
          <w:tblLook w:val="04A0"/>
        </w:tblPrEx>
        <w:trPr>
          <w:trHeight w:val="1415"/>
        </w:trPr>
        <w:tc>
          <w:tcPr>
            <w:tcW w:w="1165" w:type="dxa"/>
            <w:vMerge/>
            <w:tcBorders>
              <w:top w:val="single" w:sz="4" w:space="0" w:color="auto"/>
              <w:left w:val="single" w:sz="4" w:space="0" w:color="auto"/>
              <w:bottom w:val="single" w:sz="4" w:space="0" w:color="000000"/>
              <w:right w:val="single" w:sz="4" w:space="0" w:color="auto"/>
            </w:tcBorders>
            <w:vAlign w:val="center"/>
            <w:hideMark/>
          </w:tcPr>
          <w:p w:rsidR="00575A2C" w:rsidRPr="00E34212" w:rsidP="00620C60" w14:paraId="3AA639A7" w14:textId="77777777">
            <w:pPr>
              <w:spacing w:after="0" w:line="240" w:lineRule="auto"/>
              <w:jc w:val="center"/>
              <w:rPr>
                <w:rFonts w:eastAsia="Times New Roman" w:cstheme="minorHAnsi"/>
                <w:b/>
                <w:bCs/>
                <w:color w:val="000000"/>
                <w:sz w:val="14"/>
                <w:szCs w:val="14"/>
              </w:rPr>
            </w:pPr>
          </w:p>
        </w:tc>
        <w:tc>
          <w:tcPr>
            <w:tcW w:w="900" w:type="dxa"/>
            <w:vMerge/>
            <w:tcBorders>
              <w:top w:val="single" w:sz="4" w:space="0" w:color="auto"/>
              <w:left w:val="single" w:sz="4" w:space="0" w:color="auto"/>
              <w:bottom w:val="single" w:sz="4" w:space="0" w:color="000000"/>
              <w:right w:val="single" w:sz="4" w:space="0" w:color="auto"/>
            </w:tcBorders>
            <w:vAlign w:val="center"/>
            <w:hideMark/>
          </w:tcPr>
          <w:p w:rsidR="00575A2C" w:rsidRPr="00E34212" w:rsidP="00620C60" w14:paraId="15FE9A75" w14:textId="77777777">
            <w:pPr>
              <w:spacing w:after="0" w:line="240" w:lineRule="auto"/>
              <w:jc w:val="center"/>
              <w:rPr>
                <w:rFonts w:eastAsia="Times New Roman" w:cstheme="minorHAnsi"/>
                <w:b/>
                <w:bCs/>
                <w:color w:val="000000"/>
                <w:sz w:val="14"/>
                <w:szCs w:val="14"/>
              </w:rPr>
            </w:pPr>
          </w:p>
        </w:tc>
        <w:tc>
          <w:tcPr>
            <w:tcW w:w="990" w:type="dxa"/>
            <w:vMerge/>
            <w:tcBorders>
              <w:top w:val="single" w:sz="4" w:space="0" w:color="auto"/>
              <w:left w:val="single" w:sz="4" w:space="0" w:color="auto"/>
              <w:bottom w:val="single" w:sz="4" w:space="0" w:color="000000"/>
              <w:right w:val="single" w:sz="4" w:space="0" w:color="auto"/>
            </w:tcBorders>
            <w:vAlign w:val="center"/>
            <w:hideMark/>
          </w:tcPr>
          <w:p w:rsidR="00575A2C" w:rsidRPr="00E34212" w:rsidP="00620C60" w14:paraId="6378255C" w14:textId="77777777">
            <w:pPr>
              <w:spacing w:after="0" w:line="240" w:lineRule="auto"/>
              <w:jc w:val="center"/>
              <w:rPr>
                <w:rFonts w:eastAsia="Times New Roman" w:cstheme="minorHAnsi"/>
                <w:b/>
                <w:bCs/>
                <w:color w:val="000000"/>
                <w:sz w:val="14"/>
                <w:szCs w:val="14"/>
              </w:rPr>
            </w:pPr>
          </w:p>
        </w:tc>
        <w:tc>
          <w:tcPr>
            <w:tcW w:w="990" w:type="dxa"/>
            <w:vMerge/>
            <w:tcBorders>
              <w:top w:val="single" w:sz="4" w:space="0" w:color="auto"/>
              <w:left w:val="single" w:sz="4" w:space="0" w:color="auto"/>
              <w:bottom w:val="single" w:sz="4" w:space="0" w:color="000000"/>
              <w:right w:val="single" w:sz="4" w:space="0" w:color="auto"/>
            </w:tcBorders>
            <w:vAlign w:val="center"/>
            <w:hideMark/>
          </w:tcPr>
          <w:p w:rsidR="00575A2C" w:rsidRPr="00E34212" w:rsidP="00620C60" w14:paraId="133E36BB" w14:textId="77777777">
            <w:pPr>
              <w:spacing w:after="0" w:line="240" w:lineRule="auto"/>
              <w:jc w:val="center"/>
              <w:rPr>
                <w:rFonts w:eastAsia="Times New Roman" w:cstheme="minorHAnsi"/>
                <w:b/>
                <w:bCs/>
                <w:color w:val="000000"/>
                <w:sz w:val="14"/>
                <w:szCs w:val="14"/>
              </w:rPr>
            </w:pPr>
          </w:p>
        </w:tc>
        <w:tc>
          <w:tcPr>
            <w:tcW w:w="900" w:type="dxa"/>
            <w:vMerge/>
            <w:tcBorders>
              <w:top w:val="single" w:sz="4" w:space="0" w:color="auto"/>
              <w:left w:val="single" w:sz="4" w:space="0" w:color="auto"/>
              <w:bottom w:val="single" w:sz="4" w:space="0" w:color="000000"/>
              <w:right w:val="single" w:sz="4" w:space="0" w:color="auto"/>
            </w:tcBorders>
            <w:vAlign w:val="center"/>
            <w:hideMark/>
          </w:tcPr>
          <w:p w:rsidR="00575A2C" w:rsidRPr="00E34212" w:rsidP="00620C60" w14:paraId="54C66485" w14:textId="77777777">
            <w:pPr>
              <w:spacing w:after="0" w:line="240" w:lineRule="auto"/>
              <w:jc w:val="center"/>
              <w:rPr>
                <w:rFonts w:eastAsia="Times New Roman" w:cstheme="minorHAnsi"/>
                <w:b/>
                <w:bCs/>
                <w:color w:val="000000"/>
                <w:sz w:val="14"/>
                <w:szCs w:val="14"/>
              </w:rPr>
            </w:pPr>
          </w:p>
        </w:tc>
        <w:tc>
          <w:tcPr>
            <w:tcW w:w="990" w:type="dxa"/>
            <w:vMerge/>
            <w:tcBorders>
              <w:top w:val="single" w:sz="4" w:space="0" w:color="auto"/>
              <w:left w:val="single" w:sz="4" w:space="0" w:color="auto"/>
              <w:bottom w:val="single" w:sz="4" w:space="0" w:color="000000"/>
              <w:right w:val="single" w:sz="4" w:space="0" w:color="auto"/>
            </w:tcBorders>
            <w:vAlign w:val="center"/>
            <w:hideMark/>
          </w:tcPr>
          <w:p w:rsidR="00575A2C" w:rsidRPr="00E34212" w:rsidP="00620C60" w14:paraId="5A0B322F" w14:textId="77777777">
            <w:pPr>
              <w:spacing w:after="0" w:line="240" w:lineRule="auto"/>
              <w:jc w:val="center"/>
              <w:rPr>
                <w:rFonts w:eastAsia="Times New Roman" w:cstheme="minorHAnsi"/>
                <w:b/>
                <w:bCs/>
                <w:color w:val="000000"/>
                <w:sz w:val="14"/>
                <w:szCs w:val="14"/>
              </w:rPr>
            </w:pPr>
          </w:p>
        </w:tc>
        <w:tc>
          <w:tcPr>
            <w:tcW w:w="990" w:type="dxa"/>
            <w:vMerge/>
            <w:tcBorders>
              <w:top w:val="single" w:sz="4" w:space="0" w:color="auto"/>
              <w:left w:val="single" w:sz="4" w:space="0" w:color="auto"/>
              <w:bottom w:val="single" w:sz="4" w:space="0" w:color="000000"/>
              <w:right w:val="single" w:sz="4" w:space="0" w:color="auto"/>
            </w:tcBorders>
            <w:vAlign w:val="center"/>
            <w:hideMark/>
          </w:tcPr>
          <w:p w:rsidR="00575A2C" w:rsidRPr="00E34212" w:rsidP="00620C60" w14:paraId="7A91162E" w14:textId="77777777">
            <w:pPr>
              <w:spacing w:after="0" w:line="240" w:lineRule="auto"/>
              <w:jc w:val="center"/>
              <w:rPr>
                <w:rFonts w:eastAsia="Times New Roman" w:cstheme="minorHAnsi"/>
                <w:b/>
                <w:bCs/>
                <w:color w:val="000000"/>
                <w:sz w:val="14"/>
                <w:szCs w:val="14"/>
              </w:rPr>
            </w:pPr>
          </w:p>
        </w:tc>
        <w:tc>
          <w:tcPr>
            <w:tcW w:w="990" w:type="dxa"/>
            <w:vMerge/>
            <w:tcBorders>
              <w:top w:val="single" w:sz="4" w:space="0" w:color="auto"/>
              <w:left w:val="single" w:sz="4" w:space="0" w:color="auto"/>
              <w:bottom w:val="single" w:sz="4" w:space="0" w:color="000000"/>
              <w:right w:val="single" w:sz="4" w:space="0" w:color="auto"/>
            </w:tcBorders>
            <w:vAlign w:val="center"/>
            <w:hideMark/>
          </w:tcPr>
          <w:p w:rsidR="00575A2C" w:rsidRPr="00E34212" w:rsidP="00620C60" w14:paraId="2B0CCC23" w14:textId="77777777">
            <w:pPr>
              <w:spacing w:after="0" w:line="240" w:lineRule="auto"/>
              <w:jc w:val="center"/>
              <w:rPr>
                <w:rFonts w:eastAsia="Times New Roman" w:cstheme="minorHAnsi"/>
                <w:b/>
                <w:bCs/>
                <w:color w:val="000000"/>
                <w:sz w:val="14"/>
                <w:szCs w:val="14"/>
              </w:rPr>
            </w:pPr>
          </w:p>
        </w:tc>
        <w:tc>
          <w:tcPr>
            <w:tcW w:w="900" w:type="dxa"/>
            <w:vMerge/>
            <w:tcBorders>
              <w:top w:val="single" w:sz="4" w:space="0" w:color="auto"/>
              <w:left w:val="single" w:sz="4" w:space="0" w:color="auto"/>
              <w:bottom w:val="single" w:sz="4" w:space="0" w:color="000000"/>
              <w:right w:val="single" w:sz="4" w:space="0" w:color="auto"/>
            </w:tcBorders>
            <w:vAlign w:val="center"/>
            <w:hideMark/>
          </w:tcPr>
          <w:p w:rsidR="00575A2C" w:rsidRPr="00E34212" w:rsidP="00620C60" w14:paraId="25002412" w14:textId="77777777">
            <w:pPr>
              <w:spacing w:after="0" w:line="240" w:lineRule="auto"/>
              <w:jc w:val="center"/>
              <w:rPr>
                <w:rFonts w:eastAsia="Times New Roman" w:cstheme="minorHAnsi"/>
                <w:b/>
                <w:bCs/>
                <w:color w:val="000000"/>
                <w:sz w:val="14"/>
                <w:szCs w:val="14"/>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575A2C" w:rsidRPr="00E34212" w:rsidP="00620C60" w14:paraId="117499B6" w14:textId="77777777">
            <w:pPr>
              <w:spacing w:after="0" w:line="240" w:lineRule="auto"/>
              <w:jc w:val="center"/>
              <w:rPr>
                <w:rFonts w:eastAsia="Times New Roman" w:cstheme="minorHAnsi"/>
                <w:b/>
                <w:bCs/>
                <w:color w:val="000000"/>
                <w:sz w:val="14"/>
                <w:szCs w:val="14"/>
              </w:rPr>
            </w:pPr>
          </w:p>
        </w:tc>
        <w:tc>
          <w:tcPr>
            <w:tcW w:w="810" w:type="dxa"/>
            <w:tcBorders>
              <w:top w:val="nil"/>
              <w:left w:val="nil"/>
              <w:bottom w:val="single" w:sz="4" w:space="0" w:color="auto"/>
              <w:right w:val="single" w:sz="4" w:space="0" w:color="auto"/>
            </w:tcBorders>
            <w:shd w:val="clear" w:color="000000" w:fill="5B9BD5"/>
            <w:vAlign w:val="center"/>
            <w:hideMark/>
          </w:tcPr>
          <w:p w:rsidR="00575A2C" w:rsidRPr="00E34212" w:rsidP="00620C60" w14:paraId="4139A66C" w14:textId="77777777">
            <w:pPr>
              <w:spacing w:after="0" w:line="240" w:lineRule="auto"/>
              <w:jc w:val="center"/>
              <w:rPr>
                <w:rFonts w:eastAsia="Times New Roman" w:cstheme="minorHAnsi"/>
                <w:b/>
                <w:bCs/>
                <w:sz w:val="14"/>
                <w:szCs w:val="14"/>
              </w:rPr>
            </w:pPr>
            <w:r w:rsidRPr="00E34212">
              <w:rPr>
                <w:rFonts w:eastAsia="Times New Roman" w:cstheme="minorHAnsi"/>
                <w:b/>
                <w:bCs/>
                <w:sz w:val="14"/>
                <w:szCs w:val="14"/>
              </w:rPr>
              <w:t>Change Due to Agency Discretion</w:t>
            </w:r>
          </w:p>
        </w:tc>
        <w:tc>
          <w:tcPr>
            <w:tcW w:w="900" w:type="dxa"/>
            <w:tcBorders>
              <w:top w:val="nil"/>
              <w:left w:val="nil"/>
              <w:bottom w:val="single" w:sz="4" w:space="0" w:color="auto"/>
              <w:right w:val="single" w:sz="4" w:space="0" w:color="auto"/>
            </w:tcBorders>
            <w:shd w:val="clear" w:color="000000" w:fill="5B9BD5"/>
            <w:vAlign w:val="center"/>
            <w:hideMark/>
          </w:tcPr>
          <w:p w:rsidR="00575A2C" w:rsidRPr="00E34212" w:rsidP="00620C60" w14:paraId="5BB245C3" w14:textId="77777777">
            <w:pPr>
              <w:spacing w:after="0" w:line="240" w:lineRule="auto"/>
              <w:jc w:val="center"/>
              <w:rPr>
                <w:rFonts w:eastAsia="Times New Roman" w:cstheme="minorHAnsi"/>
                <w:b/>
                <w:bCs/>
                <w:sz w:val="14"/>
                <w:szCs w:val="14"/>
              </w:rPr>
            </w:pPr>
            <w:r w:rsidRPr="00E34212">
              <w:rPr>
                <w:rFonts w:eastAsia="Times New Roman" w:cstheme="minorHAnsi"/>
                <w:b/>
                <w:bCs/>
                <w:sz w:val="14"/>
                <w:szCs w:val="14"/>
              </w:rPr>
              <w:t>Change Due to Adjustment in Agency Estimate</w:t>
            </w:r>
          </w:p>
        </w:tc>
        <w:tc>
          <w:tcPr>
            <w:tcW w:w="900" w:type="dxa"/>
            <w:tcBorders>
              <w:top w:val="nil"/>
              <w:left w:val="nil"/>
              <w:bottom w:val="single" w:sz="4" w:space="0" w:color="auto"/>
              <w:right w:val="single" w:sz="4" w:space="0" w:color="auto"/>
            </w:tcBorders>
            <w:shd w:val="clear" w:color="000000" w:fill="5B9BD5"/>
            <w:vAlign w:val="center"/>
            <w:hideMark/>
          </w:tcPr>
          <w:p w:rsidR="00575A2C" w:rsidRPr="00E34212" w:rsidP="00620C60" w14:paraId="612B4372" w14:textId="77777777">
            <w:pPr>
              <w:spacing w:after="0" w:line="240" w:lineRule="auto"/>
              <w:jc w:val="center"/>
              <w:rPr>
                <w:rFonts w:eastAsia="Times New Roman" w:cstheme="minorHAnsi"/>
                <w:b/>
                <w:bCs/>
                <w:sz w:val="14"/>
                <w:szCs w:val="14"/>
              </w:rPr>
            </w:pPr>
            <w:r w:rsidRPr="00E34212">
              <w:rPr>
                <w:rFonts w:eastAsia="Times New Roman" w:cstheme="minorHAnsi"/>
                <w:b/>
                <w:bCs/>
                <w:sz w:val="14"/>
                <w:szCs w:val="14"/>
              </w:rPr>
              <w:t>Adjustment</w:t>
            </w:r>
          </w:p>
        </w:tc>
        <w:tc>
          <w:tcPr>
            <w:tcW w:w="810" w:type="dxa"/>
            <w:tcBorders>
              <w:top w:val="nil"/>
              <w:left w:val="nil"/>
              <w:bottom w:val="single" w:sz="4" w:space="0" w:color="auto"/>
              <w:right w:val="single" w:sz="4" w:space="0" w:color="auto"/>
            </w:tcBorders>
            <w:shd w:val="clear" w:color="000000" w:fill="5B9BD5"/>
            <w:vAlign w:val="center"/>
            <w:hideMark/>
          </w:tcPr>
          <w:p w:rsidR="00575A2C" w:rsidRPr="00E34212" w:rsidP="00620C60" w14:paraId="53C7650C" w14:textId="77777777">
            <w:pPr>
              <w:spacing w:after="0" w:line="240" w:lineRule="auto"/>
              <w:jc w:val="center"/>
              <w:rPr>
                <w:rFonts w:eastAsia="Times New Roman" w:cstheme="minorHAnsi"/>
                <w:b/>
                <w:bCs/>
                <w:sz w:val="14"/>
                <w:szCs w:val="14"/>
              </w:rPr>
            </w:pPr>
            <w:r w:rsidRPr="00E34212">
              <w:rPr>
                <w:rFonts w:eastAsia="Times New Roman" w:cstheme="minorHAnsi"/>
                <w:b/>
                <w:bCs/>
                <w:sz w:val="14"/>
                <w:szCs w:val="14"/>
              </w:rPr>
              <w:t>Change Due to Agency Discretion</w:t>
            </w:r>
          </w:p>
        </w:tc>
        <w:tc>
          <w:tcPr>
            <w:tcW w:w="900" w:type="dxa"/>
            <w:tcBorders>
              <w:top w:val="nil"/>
              <w:left w:val="nil"/>
              <w:bottom w:val="single" w:sz="4" w:space="0" w:color="auto"/>
              <w:right w:val="single" w:sz="4" w:space="0" w:color="auto"/>
            </w:tcBorders>
            <w:shd w:val="clear" w:color="000000" w:fill="5B9BD5"/>
            <w:vAlign w:val="center"/>
            <w:hideMark/>
          </w:tcPr>
          <w:p w:rsidR="00575A2C" w:rsidRPr="00E34212" w:rsidP="00620C60" w14:paraId="237C6822" w14:textId="77777777">
            <w:pPr>
              <w:spacing w:after="0" w:line="240" w:lineRule="auto"/>
              <w:jc w:val="center"/>
              <w:rPr>
                <w:rFonts w:eastAsia="Times New Roman" w:cstheme="minorHAnsi"/>
                <w:b/>
                <w:bCs/>
                <w:sz w:val="14"/>
                <w:szCs w:val="14"/>
              </w:rPr>
            </w:pPr>
            <w:r w:rsidRPr="00E34212">
              <w:rPr>
                <w:rFonts w:eastAsia="Times New Roman" w:cstheme="minorHAnsi"/>
                <w:b/>
                <w:bCs/>
                <w:sz w:val="14"/>
                <w:szCs w:val="14"/>
              </w:rPr>
              <w:t>Change Due to Adjustment in Agency Estimate</w:t>
            </w:r>
          </w:p>
        </w:tc>
        <w:tc>
          <w:tcPr>
            <w:tcW w:w="900" w:type="dxa"/>
            <w:tcBorders>
              <w:top w:val="nil"/>
              <w:left w:val="nil"/>
              <w:bottom w:val="single" w:sz="4" w:space="0" w:color="auto"/>
              <w:right w:val="single" w:sz="4" w:space="0" w:color="auto"/>
            </w:tcBorders>
            <w:shd w:val="clear" w:color="000000" w:fill="5B9BD5"/>
            <w:vAlign w:val="center"/>
            <w:hideMark/>
          </w:tcPr>
          <w:p w:rsidR="00575A2C" w:rsidRPr="00E34212" w:rsidP="00620C60" w14:paraId="76B3B3F8" w14:textId="77777777">
            <w:pPr>
              <w:spacing w:after="0" w:line="240" w:lineRule="auto"/>
              <w:jc w:val="center"/>
              <w:rPr>
                <w:rFonts w:eastAsia="Times New Roman" w:cstheme="minorHAnsi"/>
                <w:b/>
                <w:bCs/>
                <w:sz w:val="14"/>
                <w:szCs w:val="14"/>
              </w:rPr>
            </w:pPr>
            <w:r w:rsidRPr="00E34212">
              <w:rPr>
                <w:rFonts w:eastAsia="Times New Roman" w:cstheme="minorHAnsi"/>
                <w:b/>
                <w:bCs/>
                <w:sz w:val="14"/>
                <w:szCs w:val="14"/>
              </w:rPr>
              <w:t>Adjustment</w:t>
            </w:r>
          </w:p>
        </w:tc>
      </w:tr>
      <w:tr w14:paraId="3A46A32C" w14:textId="77777777" w:rsidTr="00CD3B08">
        <w:tblPrEx>
          <w:tblW w:w="15115" w:type="dxa"/>
          <w:tblLayout w:type="fixed"/>
          <w:tblLook w:val="04A0"/>
        </w:tblPrEx>
        <w:trPr>
          <w:trHeight w:val="870"/>
        </w:trPr>
        <w:tc>
          <w:tcPr>
            <w:tcW w:w="1165" w:type="dxa"/>
            <w:tcBorders>
              <w:top w:val="nil"/>
              <w:left w:val="single" w:sz="4" w:space="0" w:color="auto"/>
              <w:bottom w:val="single" w:sz="4" w:space="0" w:color="auto"/>
              <w:right w:val="single" w:sz="4" w:space="0" w:color="auto"/>
            </w:tcBorders>
            <w:vAlign w:val="bottom"/>
          </w:tcPr>
          <w:p w:rsidR="00575A2C" w:rsidRPr="00CD3B08" w:rsidP="00620C60" w14:paraId="5822957F" w14:textId="397BB65E">
            <w:pPr>
              <w:spacing w:after="0" w:line="240" w:lineRule="auto"/>
              <w:rPr>
                <w:rFonts w:eastAsia="Times New Roman" w:cstheme="minorHAnsi"/>
                <w:color w:val="000000"/>
                <w:sz w:val="20"/>
                <w:szCs w:val="20"/>
              </w:rPr>
            </w:pPr>
            <w:r w:rsidRPr="00CD3B08">
              <w:rPr>
                <w:sz w:val="20"/>
                <w:szCs w:val="20"/>
              </w:rPr>
              <w:t>Form EIA-860S (Supplement) – State Level Generator Air Permit Inventory</w:t>
            </w:r>
          </w:p>
        </w:tc>
        <w:tc>
          <w:tcPr>
            <w:tcW w:w="900" w:type="dxa"/>
            <w:tcBorders>
              <w:top w:val="nil"/>
              <w:left w:val="nil"/>
              <w:bottom w:val="single" w:sz="4" w:space="0" w:color="auto"/>
              <w:right w:val="single" w:sz="4" w:space="0" w:color="auto"/>
            </w:tcBorders>
            <w:noWrap/>
            <w:vAlign w:val="center"/>
          </w:tcPr>
          <w:p w:rsidR="00575A2C" w:rsidRPr="00CD3B08" w:rsidP="007670CC" w14:paraId="41CE0599" w14:textId="627A782D">
            <w:pPr>
              <w:spacing w:after="0" w:line="240" w:lineRule="auto"/>
              <w:jc w:val="center"/>
              <w:rPr>
                <w:rFonts w:eastAsia="Times New Roman" w:cstheme="minorHAnsi"/>
                <w:color w:val="000000"/>
                <w:sz w:val="20"/>
                <w:szCs w:val="20"/>
              </w:rPr>
            </w:pPr>
            <w:r w:rsidRPr="00CD3B08">
              <w:rPr>
                <w:rFonts w:eastAsia="Times New Roman" w:cstheme="minorHAnsi"/>
                <w:color w:val="000000"/>
                <w:sz w:val="20"/>
                <w:szCs w:val="20"/>
              </w:rPr>
              <w:t>1</w:t>
            </w:r>
          </w:p>
        </w:tc>
        <w:tc>
          <w:tcPr>
            <w:tcW w:w="990" w:type="dxa"/>
            <w:tcBorders>
              <w:top w:val="nil"/>
              <w:left w:val="nil"/>
              <w:bottom w:val="single" w:sz="4" w:space="0" w:color="auto"/>
              <w:right w:val="single" w:sz="4" w:space="0" w:color="auto"/>
            </w:tcBorders>
            <w:shd w:val="clear" w:color="000000" w:fill="E7E6E6"/>
            <w:noWrap/>
            <w:vAlign w:val="center"/>
          </w:tcPr>
          <w:p w:rsidR="00575A2C" w:rsidRPr="00CD3B08" w:rsidP="007670CC" w14:paraId="17B99DF8" w14:textId="2F994C73">
            <w:pPr>
              <w:spacing w:after="0" w:line="240" w:lineRule="auto"/>
              <w:jc w:val="center"/>
              <w:rPr>
                <w:rFonts w:eastAsia="Times New Roman" w:cstheme="minorHAnsi"/>
                <w:color w:val="000000"/>
                <w:sz w:val="20"/>
                <w:szCs w:val="20"/>
              </w:rPr>
            </w:pPr>
            <w:r w:rsidRPr="00CD3B08">
              <w:rPr>
                <w:rFonts w:eastAsia="Times New Roman" w:cstheme="minorHAnsi"/>
                <w:color w:val="000000"/>
                <w:sz w:val="20"/>
                <w:szCs w:val="20"/>
              </w:rPr>
              <w:t>56</w:t>
            </w:r>
          </w:p>
        </w:tc>
        <w:tc>
          <w:tcPr>
            <w:tcW w:w="990" w:type="dxa"/>
            <w:tcBorders>
              <w:top w:val="nil"/>
              <w:left w:val="nil"/>
              <w:bottom w:val="single" w:sz="4" w:space="0" w:color="auto"/>
              <w:right w:val="single" w:sz="4" w:space="0" w:color="auto"/>
            </w:tcBorders>
            <w:shd w:val="clear" w:color="000000" w:fill="FCE4D6"/>
            <w:noWrap/>
            <w:vAlign w:val="center"/>
          </w:tcPr>
          <w:p w:rsidR="00575A2C" w:rsidRPr="00CD3B08" w:rsidP="007670CC" w14:paraId="46EDEF56" w14:textId="6D4C8B2B">
            <w:pPr>
              <w:spacing w:after="0" w:line="240" w:lineRule="auto"/>
              <w:jc w:val="center"/>
              <w:rPr>
                <w:rFonts w:eastAsia="Times New Roman" w:cstheme="minorHAnsi"/>
                <w:color w:val="000000"/>
                <w:sz w:val="20"/>
                <w:szCs w:val="20"/>
              </w:rPr>
            </w:pPr>
            <w:r w:rsidRPr="00CD3B08">
              <w:rPr>
                <w:rFonts w:eastAsia="Times New Roman" w:cstheme="minorHAnsi"/>
                <w:color w:val="000000"/>
                <w:sz w:val="20"/>
                <w:szCs w:val="20"/>
              </w:rPr>
              <w:t>150</w:t>
            </w:r>
          </w:p>
        </w:tc>
        <w:tc>
          <w:tcPr>
            <w:tcW w:w="900" w:type="dxa"/>
            <w:tcBorders>
              <w:top w:val="nil"/>
              <w:left w:val="nil"/>
              <w:bottom w:val="single" w:sz="4" w:space="0" w:color="auto"/>
              <w:right w:val="single" w:sz="4" w:space="0" w:color="auto"/>
            </w:tcBorders>
            <w:shd w:val="clear" w:color="000000" w:fill="E7E6E6"/>
            <w:noWrap/>
            <w:vAlign w:val="center"/>
          </w:tcPr>
          <w:p w:rsidR="00575A2C" w:rsidRPr="00CD3B08" w:rsidP="007670CC" w14:paraId="31039195" w14:textId="1042FE76">
            <w:pPr>
              <w:spacing w:after="0" w:line="240" w:lineRule="auto"/>
              <w:jc w:val="center"/>
              <w:rPr>
                <w:rFonts w:eastAsia="Times New Roman" w:cstheme="minorHAnsi"/>
                <w:color w:val="000000"/>
                <w:sz w:val="20"/>
                <w:szCs w:val="20"/>
              </w:rPr>
            </w:pPr>
            <w:r w:rsidRPr="00CD3B08">
              <w:rPr>
                <w:rFonts w:eastAsia="Times New Roman" w:cstheme="minorHAnsi"/>
                <w:color w:val="000000"/>
                <w:sz w:val="20"/>
                <w:szCs w:val="20"/>
              </w:rPr>
              <w:t>56</w:t>
            </w:r>
          </w:p>
        </w:tc>
        <w:tc>
          <w:tcPr>
            <w:tcW w:w="990" w:type="dxa"/>
            <w:tcBorders>
              <w:top w:val="nil"/>
              <w:left w:val="nil"/>
              <w:bottom w:val="single" w:sz="4" w:space="0" w:color="auto"/>
              <w:right w:val="single" w:sz="4" w:space="0" w:color="auto"/>
            </w:tcBorders>
            <w:shd w:val="clear" w:color="000000" w:fill="FCE4D6"/>
            <w:noWrap/>
            <w:vAlign w:val="center"/>
          </w:tcPr>
          <w:p w:rsidR="00575A2C" w:rsidRPr="00CD3B08" w:rsidP="007670CC" w14:paraId="70F4C4B6" w14:textId="12989EFC">
            <w:pPr>
              <w:spacing w:after="0" w:line="240" w:lineRule="auto"/>
              <w:jc w:val="center"/>
              <w:rPr>
                <w:rFonts w:eastAsia="Times New Roman" w:cstheme="minorHAnsi"/>
                <w:color w:val="000000"/>
                <w:sz w:val="20"/>
                <w:szCs w:val="20"/>
              </w:rPr>
            </w:pPr>
            <w:r w:rsidRPr="00CD3B08">
              <w:rPr>
                <w:rFonts w:eastAsia="Times New Roman" w:cstheme="minorHAnsi"/>
                <w:color w:val="000000"/>
                <w:sz w:val="20"/>
                <w:szCs w:val="20"/>
              </w:rPr>
              <w:t>150</w:t>
            </w:r>
          </w:p>
        </w:tc>
        <w:tc>
          <w:tcPr>
            <w:tcW w:w="990" w:type="dxa"/>
            <w:tcBorders>
              <w:top w:val="nil"/>
              <w:left w:val="nil"/>
              <w:bottom w:val="single" w:sz="4" w:space="0" w:color="auto"/>
              <w:right w:val="single" w:sz="4" w:space="0" w:color="auto"/>
            </w:tcBorders>
            <w:shd w:val="clear" w:color="000000" w:fill="E7E6E6"/>
            <w:noWrap/>
            <w:vAlign w:val="center"/>
          </w:tcPr>
          <w:p w:rsidR="00575A2C" w:rsidRPr="00CD3B08" w:rsidP="007670CC" w14:paraId="792B742C" w14:textId="01A12797">
            <w:pPr>
              <w:spacing w:after="0" w:line="240" w:lineRule="auto"/>
              <w:jc w:val="center"/>
              <w:rPr>
                <w:rFonts w:eastAsia="Times New Roman" w:cstheme="minorHAnsi"/>
                <w:color w:val="000000"/>
                <w:sz w:val="20"/>
                <w:szCs w:val="20"/>
              </w:rPr>
            </w:pPr>
            <w:r w:rsidRPr="00CD3B08">
              <w:rPr>
                <w:rFonts w:eastAsia="Times New Roman" w:cstheme="minorHAnsi"/>
                <w:color w:val="000000"/>
                <w:sz w:val="20"/>
                <w:szCs w:val="20"/>
              </w:rPr>
              <w:t>5</w:t>
            </w:r>
          </w:p>
        </w:tc>
        <w:tc>
          <w:tcPr>
            <w:tcW w:w="990" w:type="dxa"/>
            <w:tcBorders>
              <w:top w:val="nil"/>
              <w:left w:val="nil"/>
              <w:bottom w:val="single" w:sz="4" w:space="0" w:color="auto"/>
              <w:right w:val="single" w:sz="4" w:space="0" w:color="auto"/>
            </w:tcBorders>
            <w:shd w:val="clear" w:color="000000" w:fill="FCE4D6"/>
            <w:noWrap/>
            <w:vAlign w:val="center"/>
          </w:tcPr>
          <w:p w:rsidR="00575A2C" w:rsidRPr="00CD3B08" w:rsidP="007670CC" w14:paraId="1314B825" w14:textId="6AF70481">
            <w:pPr>
              <w:spacing w:after="0" w:line="240" w:lineRule="auto"/>
              <w:jc w:val="center"/>
              <w:rPr>
                <w:rFonts w:eastAsia="Times New Roman" w:cstheme="minorHAnsi"/>
                <w:color w:val="000000"/>
                <w:sz w:val="20"/>
                <w:szCs w:val="20"/>
              </w:rPr>
            </w:pPr>
            <w:r w:rsidRPr="00CD3B08">
              <w:rPr>
                <w:rFonts w:eastAsia="Times New Roman" w:cstheme="minorHAnsi"/>
                <w:color w:val="000000"/>
                <w:sz w:val="20"/>
                <w:szCs w:val="20"/>
              </w:rPr>
              <w:t>10</w:t>
            </w:r>
          </w:p>
        </w:tc>
        <w:tc>
          <w:tcPr>
            <w:tcW w:w="900" w:type="dxa"/>
            <w:tcBorders>
              <w:top w:val="nil"/>
              <w:left w:val="nil"/>
              <w:bottom w:val="single" w:sz="4" w:space="0" w:color="auto"/>
              <w:right w:val="single" w:sz="4" w:space="0" w:color="auto"/>
            </w:tcBorders>
            <w:shd w:val="clear" w:color="000000" w:fill="E7E6E6"/>
            <w:noWrap/>
            <w:vAlign w:val="center"/>
          </w:tcPr>
          <w:p w:rsidR="00575A2C" w:rsidRPr="00CD3B08" w:rsidP="007670CC" w14:paraId="1CE9162C" w14:textId="605B729C">
            <w:pPr>
              <w:spacing w:after="0" w:line="240" w:lineRule="auto"/>
              <w:jc w:val="center"/>
              <w:rPr>
                <w:rFonts w:eastAsia="Times New Roman" w:cstheme="minorHAnsi"/>
                <w:color w:val="000000"/>
                <w:sz w:val="20"/>
                <w:szCs w:val="20"/>
              </w:rPr>
            </w:pPr>
            <w:r w:rsidRPr="00CD3B08">
              <w:rPr>
                <w:rFonts w:eastAsia="Times New Roman" w:cstheme="minorHAnsi"/>
                <w:color w:val="000000"/>
                <w:sz w:val="20"/>
                <w:szCs w:val="20"/>
              </w:rPr>
              <w:t>280</w:t>
            </w:r>
          </w:p>
        </w:tc>
        <w:tc>
          <w:tcPr>
            <w:tcW w:w="1080" w:type="dxa"/>
            <w:tcBorders>
              <w:top w:val="nil"/>
              <w:left w:val="nil"/>
              <w:bottom w:val="single" w:sz="4" w:space="0" w:color="auto"/>
              <w:right w:val="single" w:sz="4" w:space="0" w:color="auto"/>
            </w:tcBorders>
            <w:shd w:val="clear" w:color="000000" w:fill="FCE4D6"/>
            <w:noWrap/>
            <w:vAlign w:val="center"/>
          </w:tcPr>
          <w:p w:rsidR="00575A2C" w:rsidRPr="00CD3B08" w:rsidP="007670CC" w14:paraId="35044856" w14:textId="6F0ACBF6">
            <w:pPr>
              <w:spacing w:after="0" w:line="240" w:lineRule="auto"/>
              <w:jc w:val="center"/>
              <w:rPr>
                <w:rFonts w:eastAsia="Times New Roman" w:cstheme="minorHAnsi"/>
                <w:color w:val="000000"/>
                <w:sz w:val="20"/>
                <w:szCs w:val="20"/>
              </w:rPr>
            </w:pPr>
            <w:r w:rsidRPr="00CD3B08">
              <w:rPr>
                <w:rFonts w:eastAsia="Times New Roman" w:cstheme="minorHAnsi"/>
                <w:color w:val="000000"/>
                <w:sz w:val="20"/>
                <w:szCs w:val="20"/>
              </w:rPr>
              <w:t>1500</w:t>
            </w:r>
          </w:p>
        </w:tc>
        <w:tc>
          <w:tcPr>
            <w:tcW w:w="810" w:type="dxa"/>
            <w:tcBorders>
              <w:top w:val="nil"/>
              <w:left w:val="nil"/>
              <w:bottom w:val="single" w:sz="4" w:space="0" w:color="auto"/>
              <w:right w:val="single" w:sz="4" w:space="0" w:color="auto"/>
            </w:tcBorders>
            <w:noWrap/>
            <w:vAlign w:val="center"/>
          </w:tcPr>
          <w:p w:rsidR="00575A2C" w:rsidRPr="00CD3B08" w:rsidP="007670CC" w14:paraId="0057E77C" w14:textId="48AC1091">
            <w:pPr>
              <w:spacing w:after="0" w:line="240" w:lineRule="auto"/>
              <w:jc w:val="center"/>
              <w:rPr>
                <w:rFonts w:eastAsia="Times New Roman" w:cstheme="minorHAnsi"/>
                <w:color w:val="000000"/>
                <w:sz w:val="20"/>
                <w:szCs w:val="20"/>
              </w:rPr>
            </w:pPr>
          </w:p>
        </w:tc>
        <w:tc>
          <w:tcPr>
            <w:tcW w:w="900" w:type="dxa"/>
            <w:tcBorders>
              <w:top w:val="nil"/>
              <w:left w:val="nil"/>
              <w:bottom w:val="single" w:sz="4" w:space="0" w:color="auto"/>
              <w:right w:val="single" w:sz="4" w:space="0" w:color="auto"/>
            </w:tcBorders>
            <w:shd w:val="clear" w:color="000000" w:fill="FCE4D6"/>
            <w:noWrap/>
            <w:vAlign w:val="center"/>
          </w:tcPr>
          <w:p w:rsidR="00575A2C" w:rsidRPr="00CD3B08" w:rsidP="007670CC" w14:paraId="4758242A" w14:textId="4E4150C2">
            <w:pPr>
              <w:spacing w:after="0" w:line="240" w:lineRule="auto"/>
              <w:jc w:val="center"/>
              <w:rPr>
                <w:rFonts w:eastAsia="Times New Roman" w:cstheme="minorHAnsi"/>
                <w:color w:val="000000"/>
                <w:sz w:val="20"/>
                <w:szCs w:val="20"/>
              </w:rPr>
            </w:pPr>
            <w:r>
              <w:rPr>
                <w:rFonts w:eastAsia="Times New Roman" w:cstheme="minorHAnsi"/>
                <w:color w:val="000000"/>
                <w:sz w:val="20"/>
                <w:szCs w:val="20"/>
              </w:rPr>
              <w:t>94</w:t>
            </w:r>
          </w:p>
        </w:tc>
        <w:tc>
          <w:tcPr>
            <w:tcW w:w="900" w:type="dxa"/>
            <w:tcBorders>
              <w:top w:val="nil"/>
              <w:left w:val="nil"/>
              <w:bottom w:val="single" w:sz="4" w:space="0" w:color="auto"/>
              <w:right w:val="single" w:sz="4" w:space="0" w:color="auto"/>
            </w:tcBorders>
            <w:shd w:val="clear" w:color="000000" w:fill="FCE4D6"/>
            <w:noWrap/>
            <w:vAlign w:val="center"/>
          </w:tcPr>
          <w:p w:rsidR="00575A2C" w:rsidRPr="00CD3B08" w:rsidP="007670CC" w14:paraId="1B7027DE" w14:textId="6803BA29">
            <w:pPr>
              <w:spacing w:after="0" w:line="240" w:lineRule="auto"/>
              <w:jc w:val="center"/>
              <w:rPr>
                <w:rFonts w:eastAsia="Times New Roman" w:cstheme="minorHAnsi"/>
                <w:color w:val="000000"/>
                <w:sz w:val="20"/>
                <w:szCs w:val="20"/>
              </w:rPr>
            </w:pPr>
            <w:r w:rsidRPr="00CD3B08">
              <w:rPr>
                <w:rFonts w:eastAsia="Times New Roman" w:cstheme="minorHAnsi"/>
                <w:color w:val="000000"/>
                <w:sz w:val="20"/>
                <w:szCs w:val="20"/>
              </w:rPr>
              <w:t>94</w:t>
            </w:r>
          </w:p>
        </w:tc>
        <w:tc>
          <w:tcPr>
            <w:tcW w:w="810" w:type="dxa"/>
            <w:tcBorders>
              <w:top w:val="nil"/>
              <w:left w:val="nil"/>
              <w:bottom w:val="single" w:sz="4" w:space="0" w:color="auto"/>
              <w:right w:val="single" w:sz="4" w:space="0" w:color="auto"/>
            </w:tcBorders>
            <w:noWrap/>
            <w:vAlign w:val="center"/>
          </w:tcPr>
          <w:p w:rsidR="00575A2C" w:rsidRPr="00CD3B08" w:rsidP="007670CC" w14:paraId="38B631E3" w14:textId="13ED4F98">
            <w:pPr>
              <w:spacing w:after="0" w:line="240" w:lineRule="auto"/>
              <w:jc w:val="center"/>
              <w:rPr>
                <w:rFonts w:eastAsia="Times New Roman" w:cstheme="minorHAnsi"/>
                <w:color w:val="000000"/>
                <w:sz w:val="20"/>
                <w:szCs w:val="20"/>
              </w:rPr>
            </w:pPr>
          </w:p>
        </w:tc>
        <w:tc>
          <w:tcPr>
            <w:tcW w:w="900" w:type="dxa"/>
            <w:tcBorders>
              <w:top w:val="nil"/>
              <w:left w:val="nil"/>
              <w:bottom w:val="single" w:sz="4" w:space="0" w:color="auto"/>
              <w:right w:val="single" w:sz="4" w:space="0" w:color="auto"/>
            </w:tcBorders>
            <w:shd w:val="clear" w:color="000000" w:fill="FCE4D6"/>
            <w:noWrap/>
            <w:vAlign w:val="center"/>
          </w:tcPr>
          <w:p w:rsidR="00575A2C" w:rsidRPr="00CD3B08" w:rsidP="007670CC" w14:paraId="40A49AD2" w14:textId="0E006950">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12</w:t>
            </w:r>
            <w:r w:rsidR="00DD1346">
              <w:rPr>
                <w:rFonts w:eastAsia="Times New Roman" w:cstheme="minorHAnsi"/>
                <w:color w:val="000000"/>
                <w:sz w:val="20"/>
                <w:szCs w:val="20"/>
              </w:rPr>
              <w:t>2</w:t>
            </w:r>
            <w:r>
              <w:rPr>
                <w:rFonts w:eastAsia="Times New Roman" w:cstheme="minorHAnsi"/>
                <w:color w:val="000000"/>
                <w:sz w:val="20"/>
                <w:szCs w:val="20"/>
              </w:rPr>
              <w:t>0</w:t>
            </w:r>
          </w:p>
        </w:tc>
        <w:tc>
          <w:tcPr>
            <w:tcW w:w="900" w:type="dxa"/>
            <w:tcBorders>
              <w:top w:val="nil"/>
              <w:left w:val="nil"/>
              <w:bottom w:val="single" w:sz="4" w:space="0" w:color="auto"/>
              <w:right w:val="single" w:sz="4" w:space="0" w:color="auto"/>
            </w:tcBorders>
            <w:shd w:val="clear" w:color="000000" w:fill="FCE4D6"/>
            <w:noWrap/>
            <w:vAlign w:val="center"/>
          </w:tcPr>
          <w:p w:rsidR="00575A2C" w:rsidRPr="00CD3B08" w:rsidP="007670CC" w14:paraId="05D43D77" w14:textId="3AEE5697">
            <w:pPr>
              <w:spacing w:after="0" w:line="240" w:lineRule="auto"/>
              <w:jc w:val="center"/>
              <w:rPr>
                <w:rFonts w:eastAsia="Times New Roman" w:cstheme="minorHAnsi"/>
                <w:color w:val="000000"/>
                <w:sz w:val="20"/>
                <w:szCs w:val="20"/>
              </w:rPr>
            </w:pPr>
            <w:r w:rsidRPr="00CD3B08">
              <w:rPr>
                <w:rFonts w:eastAsia="Times New Roman" w:cstheme="minorHAnsi"/>
                <w:color w:val="000000"/>
                <w:sz w:val="20"/>
                <w:szCs w:val="20"/>
              </w:rPr>
              <w:t>1,220</w:t>
            </w:r>
          </w:p>
        </w:tc>
      </w:tr>
      <w:tr w14:paraId="1BC5117B" w14:textId="77777777" w:rsidTr="00CD3B08">
        <w:tblPrEx>
          <w:tblW w:w="15115" w:type="dxa"/>
          <w:tblLayout w:type="fixed"/>
          <w:tblLook w:val="04A0"/>
        </w:tblPrEx>
        <w:trPr>
          <w:trHeight w:val="290"/>
        </w:trPr>
        <w:tc>
          <w:tcPr>
            <w:tcW w:w="1165" w:type="dxa"/>
            <w:tcBorders>
              <w:top w:val="nil"/>
              <w:left w:val="single" w:sz="4" w:space="0" w:color="auto"/>
              <w:bottom w:val="single" w:sz="4" w:space="0" w:color="auto"/>
              <w:right w:val="single" w:sz="4" w:space="0" w:color="auto"/>
            </w:tcBorders>
            <w:noWrap/>
            <w:vAlign w:val="bottom"/>
            <w:hideMark/>
          </w:tcPr>
          <w:p w:rsidR="00575A2C" w:rsidRPr="00CD3B08" w:rsidP="00620C60" w14:paraId="70B022C5" w14:textId="77777777">
            <w:pPr>
              <w:spacing w:after="0" w:line="240" w:lineRule="auto"/>
              <w:rPr>
                <w:rFonts w:eastAsia="Times New Roman" w:cstheme="minorHAnsi"/>
                <w:b/>
                <w:bCs/>
                <w:color w:val="000000"/>
                <w:sz w:val="20"/>
                <w:szCs w:val="20"/>
              </w:rPr>
            </w:pPr>
            <w:r w:rsidRPr="00CD3B08">
              <w:rPr>
                <w:rFonts w:eastAsia="Times New Roman" w:cstheme="minorHAnsi"/>
                <w:b/>
                <w:bCs/>
                <w:color w:val="000000"/>
                <w:sz w:val="20"/>
                <w:szCs w:val="20"/>
              </w:rPr>
              <w:t>TOTAL</w:t>
            </w:r>
          </w:p>
        </w:tc>
        <w:tc>
          <w:tcPr>
            <w:tcW w:w="900" w:type="dxa"/>
            <w:tcBorders>
              <w:top w:val="nil"/>
              <w:left w:val="nil"/>
              <w:bottom w:val="single" w:sz="4" w:space="0" w:color="auto"/>
              <w:right w:val="single" w:sz="4" w:space="0" w:color="auto"/>
            </w:tcBorders>
            <w:shd w:val="clear" w:color="000000" w:fill="000000"/>
            <w:noWrap/>
            <w:vAlign w:val="bottom"/>
            <w:hideMark/>
          </w:tcPr>
          <w:p w:rsidR="00575A2C" w:rsidRPr="00CD3B08" w:rsidP="00620C60" w14:paraId="3032CC5D" w14:textId="77777777">
            <w:pPr>
              <w:spacing w:after="0" w:line="240" w:lineRule="auto"/>
              <w:jc w:val="center"/>
              <w:rPr>
                <w:rFonts w:eastAsia="Times New Roman" w:cstheme="minorHAnsi"/>
                <w:b/>
                <w:bCs/>
                <w:color w:val="000000"/>
                <w:sz w:val="20"/>
                <w:szCs w:val="20"/>
              </w:rPr>
            </w:pPr>
          </w:p>
        </w:tc>
        <w:tc>
          <w:tcPr>
            <w:tcW w:w="990" w:type="dxa"/>
            <w:tcBorders>
              <w:top w:val="nil"/>
              <w:left w:val="nil"/>
              <w:bottom w:val="single" w:sz="4" w:space="0" w:color="auto"/>
              <w:right w:val="single" w:sz="4" w:space="0" w:color="auto"/>
            </w:tcBorders>
            <w:shd w:val="clear" w:color="000000" w:fill="E7E6E6"/>
            <w:noWrap/>
            <w:vAlign w:val="bottom"/>
          </w:tcPr>
          <w:p w:rsidR="00575A2C" w:rsidRPr="00CD3B08" w:rsidP="00620C60" w14:paraId="27D6DBBC" w14:textId="38510A7C">
            <w:pPr>
              <w:spacing w:after="0" w:line="240" w:lineRule="auto"/>
              <w:jc w:val="center"/>
              <w:rPr>
                <w:rFonts w:eastAsia="Times New Roman" w:cstheme="minorHAnsi"/>
                <w:b/>
                <w:bCs/>
                <w:color w:val="000000"/>
                <w:sz w:val="20"/>
                <w:szCs w:val="20"/>
              </w:rPr>
            </w:pPr>
            <w:r w:rsidRPr="00CD3B08">
              <w:rPr>
                <w:rFonts w:eastAsia="Times New Roman" w:cstheme="minorHAnsi"/>
                <w:b/>
                <w:bCs/>
                <w:color w:val="000000"/>
                <w:sz w:val="20"/>
                <w:szCs w:val="20"/>
              </w:rPr>
              <w:t>56</w:t>
            </w:r>
          </w:p>
        </w:tc>
        <w:tc>
          <w:tcPr>
            <w:tcW w:w="990" w:type="dxa"/>
            <w:tcBorders>
              <w:top w:val="nil"/>
              <w:left w:val="nil"/>
              <w:bottom w:val="single" w:sz="4" w:space="0" w:color="auto"/>
              <w:right w:val="single" w:sz="4" w:space="0" w:color="auto"/>
            </w:tcBorders>
            <w:shd w:val="clear" w:color="000000" w:fill="FCE4D6"/>
            <w:noWrap/>
            <w:vAlign w:val="bottom"/>
          </w:tcPr>
          <w:p w:rsidR="00575A2C" w:rsidRPr="00CD3B08" w:rsidP="00620C60" w14:paraId="78B88DDD" w14:textId="1375FA71">
            <w:pPr>
              <w:spacing w:after="0" w:line="240" w:lineRule="auto"/>
              <w:jc w:val="center"/>
              <w:rPr>
                <w:rFonts w:eastAsia="Times New Roman" w:cstheme="minorHAnsi"/>
                <w:b/>
                <w:bCs/>
                <w:color w:val="000000"/>
                <w:sz w:val="20"/>
                <w:szCs w:val="20"/>
              </w:rPr>
            </w:pPr>
            <w:r w:rsidRPr="00CD3B08">
              <w:rPr>
                <w:rFonts w:eastAsia="Times New Roman" w:cstheme="minorHAnsi"/>
                <w:b/>
                <w:bCs/>
                <w:color w:val="000000"/>
                <w:sz w:val="20"/>
                <w:szCs w:val="20"/>
              </w:rPr>
              <w:t>150</w:t>
            </w:r>
          </w:p>
        </w:tc>
        <w:tc>
          <w:tcPr>
            <w:tcW w:w="900" w:type="dxa"/>
            <w:tcBorders>
              <w:top w:val="nil"/>
              <w:left w:val="nil"/>
              <w:bottom w:val="single" w:sz="4" w:space="0" w:color="auto"/>
              <w:right w:val="single" w:sz="4" w:space="0" w:color="auto"/>
            </w:tcBorders>
            <w:shd w:val="clear" w:color="000000" w:fill="E7E6E6"/>
            <w:noWrap/>
            <w:vAlign w:val="bottom"/>
          </w:tcPr>
          <w:p w:rsidR="00575A2C" w:rsidRPr="00CD3B08" w:rsidP="00620C60" w14:paraId="5B275DEE" w14:textId="66658B00">
            <w:pPr>
              <w:spacing w:after="0" w:line="240" w:lineRule="auto"/>
              <w:jc w:val="center"/>
              <w:rPr>
                <w:rFonts w:eastAsia="Times New Roman" w:cstheme="minorHAnsi"/>
                <w:b/>
                <w:bCs/>
                <w:color w:val="000000"/>
                <w:sz w:val="20"/>
                <w:szCs w:val="20"/>
              </w:rPr>
            </w:pPr>
            <w:r w:rsidRPr="00CD3B08">
              <w:rPr>
                <w:rFonts w:eastAsia="Times New Roman" w:cstheme="minorHAnsi"/>
                <w:b/>
                <w:bCs/>
                <w:color w:val="000000"/>
                <w:sz w:val="20"/>
                <w:szCs w:val="20"/>
              </w:rPr>
              <w:t>56</w:t>
            </w:r>
          </w:p>
        </w:tc>
        <w:tc>
          <w:tcPr>
            <w:tcW w:w="990" w:type="dxa"/>
            <w:tcBorders>
              <w:top w:val="nil"/>
              <w:left w:val="nil"/>
              <w:bottom w:val="single" w:sz="4" w:space="0" w:color="auto"/>
              <w:right w:val="single" w:sz="4" w:space="0" w:color="auto"/>
            </w:tcBorders>
            <w:shd w:val="clear" w:color="000000" w:fill="FCE4D6"/>
            <w:noWrap/>
            <w:vAlign w:val="bottom"/>
          </w:tcPr>
          <w:p w:rsidR="00575A2C" w:rsidRPr="00CD3B08" w:rsidP="00620C60" w14:paraId="104B5D0A" w14:textId="11488C22">
            <w:pPr>
              <w:spacing w:after="0" w:line="240" w:lineRule="auto"/>
              <w:jc w:val="center"/>
              <w:rPr>
                <w:rFonts w:eastAsia="Times New Roman" w:cstheme="minorHAnsi"/>
                <w:b/>
                <w:bCs/>
                <w:color w:val="000000"/>
                <w:sz w:val="20"/>
                <w:szCs w:val="20"/>
              </w:rPr>
            </w:pPr>
            <w:r w:rsidRPr="00CD3B08">
              <w:rPr>
                <w:rFonts w:eastAsia="Times New Roman" w:cstheme="minorHAnsi"/>
                <w:b/>
                <w:bCs/>
                <w:color w:val="000000"/>
                <w:sz w:val="20"/>
                <w:szCs w:val="20"/>
              </w:rPr>
              <w:t>150</w:t>
            </w:r>
          </w:p>
        </w:tc>
        <w:tc>
          <w:tcPr>
            <w:tcW w:w="990" w:type="dxa"/>
            <w:tcBorders>
              <w:top w:val="nil"/>
              <w:left w:val="nil"/>
              <w:bottom w:val="single" w:sz="4" w:space="0" w:color="auto"/>
              <w:right w:val="single" w:sz="4" w:space="0" w:color="auto"/>
            </w:tcBorders>
            <w:shd w:val="clear" w:color="000000" w:fill="000000"/>
            <w:noWrap/>
            <w:vAlign w:val="bottom"/>
          </w:tcPr>
          <w:p w:rsidR="00575A2C" w:rsidRPr="00CD3B08" w:rsidP="00620C60" w14:paraId="363CF97D" w14:textId="77777777">
            <w:pPr>
              <w:spacing w:after="0" w:line="240" w:lineRule="auto"/>
              <w:jc w:val="center"/>
              <w:rPr>
                <w:rFonts w:eastAsia="Times New Roman" w:cstheme="minorHAnsi"/>
                <w:b/>
                <w:bCs/>
                <w:color w:val="000000"/>
                <w:sz w:val="20"/>
                <w:szCs w:val="20"/>
              </w:rPr>
            </w:pPr>
          </w:p>
        </w:tc>
        <w:tc>
          <w:tcPr>
            <w:tcW w:w="990" w:type="dxa"/>
            <w:tcBorders>
              <w:top w:val="nil"/>
              <w:left w:val="nil"/>
              <w:bottom w:val="single" w:sz="4" w:space="0" w:color="auto"/>
              <w:right w:val="single" w:sz="4" w:space="0" w:color="auto"/>
            </w:tcBorders>
            <w:shd w:val="clear" w:color="000000" w:fill="000000"/>
            <w:noWrap/>
            <w:vAlign w:val="bottom"/>
          </w:tcPr>
          <w:p w:rsidR="00575A2C" w:rsidRPr="00CD3B08" w:rsidP="00620C60" w14:paraId="5C3BF45E" w14:textId="77777777">
            <w:pPr>
              <w:spacing w:after="0" w:line="240" w:lineRule="auto"/>
              <w:jc w:val="center"/>
              <w:rPr>
                <w:rFonts w:eastAsia="Times New Roman" w:cstheme="minorHAnsi"/>
                <w:b/>
                <w:bCs/>
                <w:color w:val="000000"/>
                <w:sz w:val="20"/>
                <w:szCs w:val="20"/>
              </w:rPr>
            </w:pPr>
          </w:p>
        </w:tc>
        <w:tc>
          <w:tcPr>
            <w:tcW w:w="900" w:type="dxa"/>
            <w:tcBorders>
              <w:top w:val="nil"/>
              <w:left w:val="nil"/>
              <w:bottom w:val="single" w:sz="4" w:space="0" w:color="auto"/>
              <w:right w:val="single" w:sz="4" w:space="0" w:color="auto"/>
            </w:tcBorders>
            <w:shd w:val="clear" w:color="000000" w:fill="E7E6E6"/>
            <w:noWrap/>
            <w:vAlign w:val="bottom"/>
          </w:tcPr>
          <w:p w:rsidR="00575A2C" w:rsidRPr="00CD3B08" w:rsidP="00620C60" w14:paraId="031AB0B0" w14:textId="6F3F6F43">
            <w:pPr>
              <w:spacing w:after="0" w:line="240" w:lineRule="auto"/>
              <w:jc w:val="center"/>
              <w:rPr>
                <w:rFonts w:eastAsia="Times New Roman" w:cstheme="minorHAnsi"/>
                <w:b/>
                <w:bCs/>
                <w:color w:val="000000"/>
                <w:sz w:val="20"/>
                <w:szCs w:val="20"/>
              </w:rPr>
            </w:pPr>
            <w:r w:rsidRPr="00CD3B08">
              <w:rPr>
                <w:rFonts w:eastAsia="Times New Roman" w:cstheme="minorHAnsi"/>
                <w:b/>
                <w:bCs/>
                <w:color w:val="000000"/>
                <w:sz w:val="20"/>
                <w:szCs w:val="20"/>
              </w:rPr>
              <w:t>280</w:t>
            </w:r>
          </w:p>
        </w:tc>
        <w:tc>
          <w:tcPr>
            <w:tcW w:w="1080" w:type="dxa"/>
            <w:tcBorders>
              <w:top w:val="nil"/>
              <w:left w:val="nil"/>
              <w:bottom w:val="single" w:sz="4" w:space="0" w:color="auto"/>
              <w:right w:val="single" w:sz="4" w:space="0" w:color="auto"/>
            </w:tcBorders>
            <w:shd w:val="clear" w:color="000000" w:fill="FCE4D6"/>
            <w:noWrap/>
            <w:vAlign w:val="bottom"/>
          </w:tcPr>
          <w:p w:rsidR="00575A2C" w:rsidRPr="00CD3B08" w:rsidP="00620C60" w14:paraId="31F9110D" w14:textId="32510CA9">
            <w:pPr>
              <w:spacing w:after="0" w:line="240" w:lineRule="auto"/>
              <w:jc w:val="center"/>
              <w:rPr>
                <w:rFonts w:eastAsia="Times New Roman" w:cstheme="minorHAnsi"/>
                <w:b/>
                <w:bCs/>
                <w:color w:val="000000"/>
                <w:sz w:val="20"/>
                <w:szCs w:val="20"/>
              </w:rPr>
            </w:pPr>
            <w:r w:rsidRPr="00CD3B08">
              <w:rPr>
                <w:rFonts w:eastAsia="Times New Roman" w:cstheme="minorHAnsi"/>
                <w:b/>
                <w:bCs/>
                <w:color w:val="000000"/>
                <w:sz w:val="20"/>
                <w:szCs w:val="20"/>
              </w:rPr>
              <w:t>1500</w:t>
            </w:r>
          </w:p>
        </w:tc>
        <w:tc>
          <w:tcPr>
            <w:tcW w:w="810" w:type="dxa"/>
            <w:tcBorders>
              <w:top w:val="nil"/>
              <w:left w:val="nil"/>
              <w:bottom w:val="single" w:sz="4" w:space="0" w:color="auto"/>
              <w:right w:val="single" w:sz="4" w:space="0" w:color="auto"/>
            </w:tcBorders>
            <w:noWrap/>
            <w:vAlign w:val="bottom"/>
          </w:tcPr>
          <w:p w:rsidR="00575A2C" w:rsidRPr="00CD3B08" w:rsidP="00620C60" w14:paraId="3B0FF3A5" w14:textId="4BFB3FDB">
            <w:pPr>
              <w:spacing w:after="0" w:line="240" w:lineRule="auto"/>
              <w:jc w:val="center"/>
              <w:rPr>
                <w:rFonts w:eastAsia="Times New Roman" w:cstheme="minorHAnsi"/>
                <w:b/>
                <w:bCs/>
                <w:color w:val="000000"/>
                <w:sz w:val="20"/>
                <w:szCs w:val="20"/>
              </w:rPr>
            </w:pPr>
          </w:p>
        </w:tc>
        <w:tc>
          <w:tcPr>
            <w:tcW w:w="900" w:type="dxa"/>
            <w:tcBorders>
              <w:top w:val="nil"/>
              <w:left w:val="nil"/>
              <w:bottom w:val="single" w:sz="4" w:space="0" w:color="auto"/>
              <w:right w:val="single" w:sz="4" w:space="0" w:color="auto"/>
            </w:tcBorders>
            <w:shd w:val="clear" w:color="000000" w:fill="FCE4D6"/>
            <w:noWrap/>
            <w:vAlign w:val="bottom"/>
          </w:tcPr>
          <w:p w:rsidR="00575A2C" w:rsidRPr="00CD3B08" w:rsidP="00620C60" w14:paraId="6E02DC34" w14:textId="4D935E5A">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94</w:t>
            </w:r>
          </w:p>
        </w:tc>
        <w:tc>
          <w:tcPr>
            <w:tcW w:w="900" w:type="dxa"/>
            <w:tcBorders>
              <w:top w:val="nil"/>
              <w:left w:val="nil"/>
              <w:bottom w:val="single" w:sz="4" w:space="0" w:color="auto"/>
              <w:right w:val="single" w:sz="4" w:space="0" w:color="auto"/>
            </w:tcBorders>
            <w:shd w:val="clear" w:color="000000" w:fill="FCE4D6"/>
            <w:noWrap/>
            <w:vAlign w:val="bottom"/>
          </w:tcPr>
          <w:p w:rsidR="00575A2C" w:rsidRPr="00CD3B08" w:rsidP="00620C60" w14:paraId="7EC699DE" w14:textId="445BF4F7">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94</w:t>
            </w:r>
          </w:p>
        </w:tc>
        <w:tc>
          <w:tcPr>
            <w:tcW w:w="810" w:type="dxa"/>
            <w:tcBorders>
              <w:top w:val="nil"/>
              <w:left w:val="nil"/>
              <w:bottom w:val="single" w:sz="4" w:space="0" w:color="auto"/>
              <w:right w:val="single" w:sz="4" w:space="0" w:color="auto"/>
            </w:tcBorders>
            <w:noWrap/>
            <w:vAlign w:val="bottom"/>
          </w:tcPr>
          <w:p w:rsidR="00575A2C" w:rsidRPr="00CD3B08" w:rsidP="00620C60" w14:paraId="2409D7E8" w14:textId="46CBA94E">
            <w:pPr>
              <w:spacing w:after="0" w:line="240" w:lineRule="auto"/>
              <w:jc w:val="center"/>
              <w:rPr>
                <w:rFonts w:eastAsia="Times New Roman" w:cstheme="minorHAnsi"/>
                <w:b/>
                <w:bCs/>
                <w:color w:val="000000"/>
                <w:sz w:val="20"/>
                <w:szCs w:val="20"/>
              </w:rPr>
            </w:pPr>
          </w:p>
        </w:tc>
        <w:tc>
          <w:tcPr>
            <w:tcW w:w="900" w:type="dxa"/>
            <w:tcBorders>
              <w:top w:val="nil"/>
              <w:left w:val="nil"/>
              <w:bottom w:val="single" w:sz="4" w:space="0" w:color="auto"/>
              <w:right w:val="single" w:sz="4" w:space="0" w:color="auto"/>
            </w:tcBorders>
            <w:shd w:val="clear" w:color="000000" w:fill="FCE4D6"/>
            <w:noWrap/>
            <w:vAlign w:val="bottom"/>
          </w:tcPr>
          <w:p w:rsidR="00575A2C" w:rsidRPr="00CD3B08" w:rsidP="00620C60" w14:paraId="28AC954E" w14:textId="3E494293">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12</w:t>
            </w:r>
            <w:r w:rsidR="00DD1346">
              <w:rPr>
                <w:rFonts w:eastAsia="Times New Roman" w:cstheme="minorHAnsi"/>
                <w:b/>
                <w:bCs/>
                <w:color w:val="000000"/>
                <w:sz w:val="20"/>
                <w:szCs w:val="20"/>
              </w:rPr>
              <w:t>2</w:t>
            </w:r>
            <w:r>
              <w:rPr>
                <w:rFonts w:eastAsia="Times New Roman" w:cstheme="minorHAnsi"/>
                <w:b/>
                <w:bCs/>
                <w:color w:val="000000"/>
                <w:sz w:val="20"/>
                <w:szCs w:val="20"/>
              </w:rPr>
              <w:t>0</w:t>
            </w:r>
          </w:p>
        </w:tc>
        <w:tc>
          <w:tcPr>
            <w:tcW w:w="900" w:type="dxa"/>
            <w:tcBorders>
              <w:top w:val="nil"/>
              <w:left w:val="nil"/>
              <w:bottom w:val="single" w:sz="4" w:space="0" w:color="auto"/>
              <w:right w:val="single" w:sz="4" w:space="0" w:color="auto"/>
            </w:tcBorders>
            <w:shd w:val="clear" w:color="000000" w:fill="FCE4D6"/>
            <w:noWrap/>
            <w:vAlign w:val="bottom"/>
          </w:tcPr>
          <w:p w:rsidR="00575A2C" w:rsidRPr="00CD3B08" w:rsidP="00620C60" w14:paraId="7FE8A9BF" w14:textId="203AB84F">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1,200</w:t>
            </w:r>
          </w:p>
        </w:tc>
      </w:tr>
    </w:tbl>
    <w:p w:rsidR="002542D4" w:rsidRPr="002542D4" w:rsidP="002542D4" w14:paraId="08F41C17" w14:textId="77777777">
      <w:pPr>
        <w:rPr>
          <w:b/>
          <w:bCs/>
          <w:noProof/>
        </w:rPr>
      </w:pPr>
    </w:p>
    <w:p w:rsidR="002542D4" w:rsidRPr="002542D4" w:rsidP="002542D4" w14:paraId="17E64ED6" w14:textId="77777777">
      <w:pPr>
        <w:rPr>
          <w:b/>
          <w:noProof/>
        </w:rPr>
        <w:sectPr w:rsidSect="00BB64D7">
          <w:footerReference w:type="default" r:id="rId20"/>
          <w:pgSz w:w="15840" w:h="12240" w:orient="landscape"/>
          <w:pgMar w:top="1440" w:right="1440" w:bottom="1440" w:left="1440" w:header="720" w:footer="720" w:gutter="0"/>
          <w:cols w:space="720"/>
          <w:docGrid w:linePitch="360"/>
        </w:sectPr>
      </w:pPr>
    </w:p>
    <w:p w:rsidR="002542D4" w:rsidRPr="00BB64D7" w:rsidP="00F43F66" w14:paraId="796B2F38" w14:textId="77777777">
      <w:pPr>
        <w:pStyle w:val="Heading2"/>
        <w:rPr>
          <w:noProof/>
        </w:rPr>
      </w:pPr>
      <w:bookmarkStart w:id="34" w:name="_Toc492634215"/>
      <w:bookmarkStart w:id="35" w:name="_Toc128056089"/>
      <w:r w:rsidRPr="00BB64D7">
        <w:rPr>
          <w:noProof/>
        </w:rPr>
        <w:t>A.15. Reasons for Changes in Burden</w:t>
      </w:r>
      <w:bookmarkEnd w:id="34"/>
      <w:bookmarkEnd w:id="35"/>
    </w:p>
    <w:p w:rsidR="002B0DE8" w:rsidRPr="000B000B" w:rsidP="002B0DE8" w14:paraId="181854E6" w14:textId="6C4BBB20">
      <w:pPr>
        <w:rPr>
          <w:noProof/>
        </w:rPr>
      </w:pPr>
      <w:r w:rsidRPr="00376FE1">
        <w:rPr>
          <w:rFonts w:cs="Calibri"/>
        </w:rPr>
        <w:t>Based on feedback received during the emergency data collection and the 60-day Federal Register Notice (FRN) comment period</w:t>
      </w:r>
      <w:r>
        <w:rPr>
          <w:rFonts w:cs="Calibri"/>
        </w:rPr>
        <w:t xml:space="preserve"> , t</w:t>
      </w:r>
      <w:r w:rsidRPr="00376FE1">
        <w:rPr>
          <w:rFonts w:cs="Calibri"/>
        </w:rPr>
        <w:t>he estimated number of respondents has increased from 56 to 150 to account for jurisdictions where counties and regional air districts, rather than state-level agencies, issue air permits. The estimated reporting burden per response has increased from 5 hours to 10 hours. To further mitigate respondent burden, EIA will implement a "web-scraping first" protocol for jurisdictions with public-facing air permit portals; respondents will only be requested to voluntarily report new air permits issued since their last reporting period</w:t>
      </w:r>
      <w:r>
        <w:rPr>
          <w:rFonts w:cs="Calibri"/>
        </w:rPr>
        <w:t>.</w:t>
      </w:r>
    </w:p>
    <w:p w:rsidR="009664FE" w:rsidP="009664FE" w14:paraId="3FF4C6CF" w14:textId="787DC222">
      <w:pPr>
        <w:rPr>
          <w:rFonts w:ascii="Arial" w:eastAsia="Arial" w:hAnsi="Arial" w:cs="Arial"/>
        </w:rPr>
      </w:pPr>
      <w:r w:rsidRPr="38DE5EDF">
        <w:rPr>
          <w:rFonts w:ascii="Arial" w:eastAsia="Arial" w:hAnsi="Arial" w:cs="Arial"/>
        </w:rPr>
        <w:t xml:space="preserve">  </w:t>
      </w:r>
    </w:p>
    <w:tbl>
      <w:tblPr>
        <w:tblW w:w="9360" w:type="dxa"/>
        <w:jc w:val="center"/>
        <w:tblLayout w:type="fixed"/>
        <w:tblCellMar>
          <w:left w:w="115" w:type="dxa"/>
          <w:right w:w="115" w:type="dxa"/>
        </w:tblCellMar>
        <w:tblLook w:val="04A0"/>
      </w:tblPr>
      <w:tblGrid>
        <w:gridCol w:w="1872"/>
        <w:gridCol w:w="1818"/>
        <w:gridCol w:w="1926"/>
        <w:gridCol w:w="1872"/>
        <w:gridCol w:w="1872"/>
      </w:tblGrid>
      <w:tr w14:paraId="73C018D4" w14:textId="77777777" w:rsidTr="00BB64D7">
        <w:tblPrEx>
          <w:tblW w:w="9360" w:type="dxa"/>
          <w:jc w:val="center"/>
          <w:tblLayout w:type="fixed"/>
          <w:tblCellMar>
            <w:left w:w="115" w:type="dxa"/>
            <w:right w:w="115" w:type="dxa"/>
          </w:tblCellMar>
          <w:tblLook w:val="04A0"/>
        </w:tblPrEx>
        <w:trPr>
          <w:trHeight w:val="360"/>
          <w:jc w:val="center"/>
        </w:trPr>
        <w:tc>
          <w:tcPr>
            <w:tcW w:w="9360" w:type="dxa"/>
            <w:gridSpan w:val="5"/>
            <w:tcBorders>
              <w:top w:val="nil"/>
              <w:left w:val="nil"/>
              <w:bottom w:val="nil"/>
              <w:right w:val="nil"/>
            </w:tcBorders>
            <w:noWrap/>
            <w:vAlign w:val="bottom"/>
            <w:hideMark/>
          </w:tcPr>
          <w:p w:rsidR="002542D4" w:rsidRPr="002542D4" w:rsidP="002542D4" w14:paraId="624B09B4" w14:textId="77777777">
            <w:pPr>
              <w:rPr>
                <w:b/>
                <w:noProof/>
              </w:rPr>
            </w:pPr>
            <w:r w:rsidRPr="002542D4">
              <w:rPr>
                <w:noProof/>
              </w:rPr>
              <w:br w:type="page"/>
            </w:r>
            <w:r w:rsidRPr="002542D4">
              <w:rPr>
                <w:b/>
                <w:noProof/>
              </w:rPr>
              <w:t>Table A3. ICR Summary of Burden</w:t>
            </w:r>
          </w:p>
        </w:tc>
      </w:tr>
      <w:tr w14:paraId="0DD41CFD" w14:textId="77777777" w:rsidTr="00BB64D7">
        <w:tblPrEx>
          <w:tblW w:w="9360" w:type="dxa"/>
          <w:jc w:val="center"/>
          <w:tblLayout w:type="fixed"/>
          <w:tblCellMar>
            <w:left w:w="115" w:type="dxa"/>
            <w:right w:w="115" w:type="dxa"/>
          </w:tblCellMar>
          <w:tblLook w:val="04A0"/>
        </w:tblPrEx>
        <w:trPr>
          <w:trHeight w:val="510"/>
          <w:jc w:val="center"/>
        </w:trPr>
        <w:tc>
          <w:tcPr>
            <w:tcW w:w="1872"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2542D4" w:rsidRPr="002542D4" w:rsidP="002542D4" w14:paraId="2B856013" w14:textId="77777777">
            <w:pPr>
              <w:rPr>
                <w:b/>
                <w:bCs/>
                <w:noProof/>
              </w:rPr>
            </w:pPr>
            <w:r w:rsidRPr="002542D4">
              <w:rPr>
                <w:b/>
                <w:bCs/>
                <w:noProof/>
              </w:rPr>
              <w:t> </w:t>
            </w:r>
          </w:p>
        </w:tc>
        <w:tc>
          <w:tcPr>
            <w:tcW w:w="1818" w:type="dxa"/>
            <w:tcBorders>
              <w:top w:val="single" w:sz="4" w:space="0" w:color="auto"/>
              <w:left w:val="nil"/>
              <w:bottom w:val="single" w:sz="4" w:space="0" w:color="auto"/>
              <w:right w:val="single" w:sz="4" w:space="0" w:color="auto"/>
            </w:tcBorders>
            <w:shd w:val="clear" w:color="000000" w:fill="00B0F0"/>
            <w:vAlign w:val="center"/>
            <w:hideMark/>
          </w:tcPr>
          <w:p w:rsidR="002542D4" w:rsidRPr="002542D4" w:rsidP="002542D4" w14:paraId="36C37179" w14:textId="77777777">
            <w:pPr>
              <w:rPr>
                <w:b/>
                <w:bCs/>
                <w:noProof/>
              </w:rPr>
            </w:pPr>
            <w:r w:rsidRPr="002542D4">
              <w:rPr>
                <w:b/>
                <w:bCs/>
                <w:noProof/>
              </w:rPr>
              <w:t>Requested</w:t>
            </w:r>
          </w:p>
        </w:tc>
        <w:tc>
          <w:tcPr>
            <w:tcW w:w="1926" w:type="dxa"/>
            <w:tcBorders>
              <w:top w:val="single" w:sz="4" w:space="0" w:color="auto"/>
              <w:left w:val="nil"/>
              <w:bottom w:val="single" w:sz="4" w:space="0" w:color="auto"/>
              <w:right w:val="single" w:sz="4" w:space="0" w:color="auto"/>
            </w:tcBorders>
            <w:shd w:val="clear" w:color="000000" w:fill="00B0F0"/>
            <w:vAlign w:val="center"/>
            <w:hideMark/>
          </w:tcPr>
          <w:p w:rsidR="002542D4" w:rsidRPr="002542D4" w:rsidP="002542D4" w14:paraId="02E50E1F" w14:textId="77777777">
            <w:pPr>
              <w:rPr>
                <w:b/>
                <w:bCs/>
                <w:noProof/>
              </w:rPr>
            </w:pPr>
            <w:r w:rsidRPr="002542D4">
              <w:rPr>
                <w:b/>
                <w:bCs/>
                <w:noProof/>
              </w:rPr>
              <w:t>Program Change Due to Agency Discretion</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2542D4" w:rsidRPr="002542D4" w:rsidP="002542D4" w14:paraId="285B629A" w14:textId="77777777">
            <w:pPr>
              <w:rPr>
                <w:b/>
                <w:bCs/>
                <w:noProof/>
              </w:rPr>
            </w:pPr>
            <w:r w:rsidRPr="002542D4">
              <w:rPr>
                <w:b/>
                <w:bCs/>
                <w:noProof/>
              </w:rPr>
              <w:t>Change Due to Adjustment in Agency Estimate</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2542D4" w:rsidRPr="002542D4" w:rsidP="002542D4" w14:paraId="54E26F49" w14:textId="77777777">
            <w:pPr>
              <w:rPr>
                <w:b/>
                <w:bCs/>
                <w:noProof/>
              </w:rPr>
            </w:pPr>
            <w:r w:rsidRPr="002542D4">
              <w:rPr>
                <w:b/>
                <w:bCs/>
                <w:noProof/>
              </w:rPr>
              <w:t>Previously Approved</w:t>
            </w:r>
          </w:p>
        </w:tc>
      </w:tr>
      <w:tr w14:paraId="192A9D0C" w14:textId="77777777" w:rsidTr="00BB64D7">
        <w:tblPrEx>
          <w:tblW w:w="9360" w:type="dxa"/>
          <w:jc w:val="center"/>
          <w:tblLayout w:type="fixed"/>
          <w:tblCellMar>
            <w:left w:w="115" w:type="dxa"/>
            <w:right w:w="115" w:type="dxa"/>
          </w:tblCellMar>
          <w:tblLook w:val="04A0"/>
        </w:tblPrEx>
        <w:trPr>
          <w:trHeight w:val="525"/>
          <w:jc w:val="center"/>
        </w:trPr>
        <w:tc>
          <w:tcPr>
            <w:tcW w:w="1872" w:type="dxa"/>
            <w:tcBorders>
              <w:top w:val="nil"/>
              <w:left w:val="single" w:sz="4" w:space="0" w:color="auto"/>
              <w:bottom w:val="single" w:sz="4" w:space="0" w:color="auto"/>
              <w:right w:val="single" w:sz="4" w:space="0" w:color="auto"/>
            </w:tcBorders>
            <w:vAlign w:val="center"/>
            <w:hideMark/>
          </w:tcPr>
          <w:p w:rsidR="002542D4" w:rsidRPr="002542D4" w:rsidP="002542D4" w14:paraId="1D68C4BE" w14:textId="77777777">
            <w:pPr>
              <w:rPr>
                <w:noProof/>
              </w:rPr>
            </w:pPr>
            <w:r w:rsidRPr="002542D4">
              <w:rPr>
                <w:noProof/>
              </w:rPr>
              <w:t>Total Number of Responses</w:t>
            </w:r>
          </w:p>
        </w:tc>
        <w:tc>
          <w:tcPr>
            <w:tcW w:w="1818" w:type="dxa"/>
            <w:tcBorders>
              <w:top w:val="nil"/>
              <w:left w:val="nil"/>
              <w:bottom w:val="single" w:sz="4" w:space="0" w:color="auto"/>
              <w:right w:val="single" w:sz="4" w:space="0" w:color="auto"/>
            </w:tcBorders>
            <w:vAlign w:val="center"/>
            <w:hideMark/>
          </w:tcPr>
          <w:p w:rsidR="002542D4" w:rsidRPr="002542D4" w:rsidP="002542D4" w14:paraId="575074A7" w14:textId="38951CDB">
            <w:pPr>
              <w:rPr>
                <w:b/>
                <w:bCs/>
                <w:noProof/>
              </w:rPr>
            </w:pPr>
          </w:p>
          <w:p w:rsidR="002542D4" w:rsidRPr="002542D4" w:rsidP="002542D4" w14:paraId="44981D62" w14:textId="259E2DAA">
            <w:pPr>
              <w:rPr>
                <w:b/>
                <w:bCs/>
                <w:noProof/>
              </w:rPr>
            </w:pPr>
            <w:r>
              <w:rPr>
                <w:b/>
                <w:bCs/>
                <w:noProof/>
              </w:rPr>
              <w:t>150</w:t>
            </w:r>
          </w:p>
          <w:p w:rsidR="002542D4" w:rsidRPr="002542D4" w:rsidP="002542D4" w14:paraId="1AAC15F7" w14:textId="515B59E9">
            <w:pPr>
              <w:rPr>
                <w:noProof/>
              </w:rPr>
            </w:pPr>
          </w:p>
        </w:tc>
        <w:tc>
          <w:tcPr>
            <w:tcW w:w="1926" w:type="dxa"/>
            <w:tcBorders>
              <w:top w:val="nil"/>
              <w:left w:val="nil"/>
              <w:bottom w:val="single" w:sz="4" w:space="0" w:color="auto"/>
              <w:right w:val="single" w:sz="4" w:space="0" w:color="auto"/>
            </w:tcBorders>
            <w:vAlign w:val="center"/>
            <w:hideMark/>
          </w:tcPr>
          <w:p w:rsidR="002542D4" w:rsidRPr="002542D4" w:rsidP="002542D4" w14:paraId="56D364A5" w14:textId="4ABD0AFD">
            <w:pPr>
              <w:rPr>
                <w:b/>
                <w:bCs/>
                <w:noProof/>
              </w:rPr>
            </w:pPr>
          </w:p>
          <w:p w:rsidR="002542D4" w:rsidRPr="002542D4" w:rsidP="002542D4" w14:paraId="06C8E576" w14:textId="77777777">
            <w:pPr>
              <w:rPr>
                <w:b/>
                <w:bCs/>
                <w:noProof/>
              </w:rPr>
            </w:pPr>
            <w:r w:rsidRPr="002542D4">
              <w:rPr>
                <w:b/>
                <w:bCs/>
                <w:noProof/>
              </w:rPr>
              <w:t>0</w:t>
            </w:r>
          </w:p>
          <w:p w:rsidR="002542D4" w:rsidRPr="002542D4" w:rsidP="002542D4" w14:paraId="64179956" w14:textId="076BB9A1">
            <w:pPr>
              <w:rPr>
                <w:noProof/>
              </w:rPr>
            </w:pPr>
          </w:p>
        </w:tc>
        <w:tc>
          <w:tcPr>
            <w:tcW w:w="1872" w:type="dxa"/>
            <w:tcBorders>
              <w:top w:val="nil"/>
              <w:left w:val="nil"/>
              <w:bottom w:val="single" w:sz="4" w:space="0" w:color="auto"/>
              <w:right w:val="single" w:sz="4" w:space="0" w:color="auto"/>
            </w:tcBorders>
            <w:vAlign w:val="center"/>
            <w:hideMark/>
          </w:tcPr>
          <w:p w:rsidR="002542D4" w:rsidRPr="002542D4" w:rsidP="002542D4" w14:paraId="78625E4B" w14:textId="26EDAF53">
            <w:pPr>
              <w:rPr>
                <w:b/>
                <w:bCs/>
                <w:noProof/>
              </w:rPr>
            </w:pPr>
          </w:p>
          <w:p w:rsidR="002542D4" w:rsidRPr="002542D4" w:rsidP="002542D4" w14:paraId="70C84C38" w14:textId="404AA973">
            <w:pPr>
              <w:rPr>
                <w:b/>
                <w:bCs/>
                <w:noProof/>
              </w:rPr>
            </w:pPr>
            <w:r>
              <w:rPr>
                <w:b/>
                <w:bCs/>
                <w:noProof/>
              </w:rPr>
              <w:t>94</w:t>
            </w:r>
          </w:p>
          <w:p w:rsidR="002542D4" w:rsidRPr="002542D4" w:rsidP="002542D4" w14:paraId="4F20EC9D" w14:textId="6FFBB8CE">
            <w:pPr>
              <w:rPr>
                <w:noProof/>
              </w:rPr>
            </w:pPr>
          </w:p>
        </w:tc>
        <w:tc>
          <w:tcPr>
            <w:tcW w:w="1872" w:type="dxa"/>
            <w:tcBorders>
              <w:top w:val="nil"/>
              <w:left w:val="nil"/>
              <w:bottom w:val="single" w:sz="4" w:space="0" w:color="auto"/>
              <w:right w:val="single" w:sz="4" w:space="0" w:color="auto"/>
            </w:tcBorders>
            <w:vAlign w:val="center"/>
            <w:hideMark/>
          </w:tcPr>
          <w:p w:rsidR="002542D4" w:rsidRPr="002542D4" w:rsidP="002542D4" w14:paraId="3D222F02" w14:textId="320B20F2">
            <w:pPr>
              <w:rPr>
                <w:b/>
                <w:bCs/>
                <w:noProof/>
              </w:rPr>
            </w:pPr>
          </w:p>
          <w:p w:rsidR="002542D4" w:rsidRPr="002542D4" w:rsidP="002542D4" w14:paraId="63722FC0" w14:textId="0B5380B0">
            <w:pPr>
              <w:rPr>
                <w:b/>
                <w:bCs/>
                <w:noProof/>
              </w:rPr>
            </w:pPr>
            <w:r>
              <w:rPr>
                <w:b/>
                <w:bCs/>
                <w:noProof/>
              </w:rPr>
              <w:t>56</w:t>
            </w:r>
          </w:p>
          <w:p w:rsidR="002542D4" w:rsidRPr="002542D4" w:rsidP="002542D4" w14:paraId="2E9EB24A" w14:textId="2C82D3FB">
            <w:pPr>
              <w:rPr>
                <w:noProof/>
              </w:rPr>
            </w:pPr>
          </w:p>
        </w:tc>
      </w:tr>
      <w:tr w14:paraId="5FA8F9BA" w14:textId="77777777" w:rsidTr="00BB64D7">
        <w:tblPrEx>
          <w:tblW w:w="9360" w:type="dxa"/>
          <w:jc w:val="center"/>
          <w:tblLayout w:type="fixed"/>
          <w:tblCellMar>
            <w:left w:w="115" w:type="dxa"/>
            <w:right w:w="115" w:type="dxa"/>
          </w:tblCellMar>
          <w:tblLook w:val="04A0"/>
        </w:tblPrEx>
        <w:trPr>
          <w:trHeight w:val="525"/>
          <w:jc w:val="center"/>
        </w:trPr>
        <w:tc>
          <w:tcPr>
            <w:tcW w:w="1872" w:type="dxa"/>
            <w:tcBorders>
              <w:top w:val="nil"/>
              <w:left w:val="single" w:sz="4" w:space="0" w:color="auto"/>
              <w:bottom w:val="single" w:sz="4" w:space="0" w:color="auto"/>
              <w:right w:val="single" w:sz="4" w:space="0" w:color="auto"/>
            </w:tcBorders>
            <w:vAlign w:val="center"/>
            <w:hideMark/>
          </w:tcPr>
          <w:p w:rsidR="002542D4" w:rsidRPr="002542D4" w:rsidP="002542D4" w14:paraId="12D798DF" w14:textId="77777777">
            <w:pPr>
              <w:rPr>
                <w:noProof/>
              </w:rPr>
            </w:pPr>
            <w:r w:rsidRPr="002542D4">
              <w:rPr>
                <w:noProof/>
              </w:rPr>
              <w:t>Total Time Burden (Hr)</w:t>
            </w:r>
          </w:p>
        </w:tc>
        <w:tc>
          <w:tcPr>
            <w:tcW w:w="1818" w:type="dxa"/>
            <w:tcBorders>
              <w:top w:val="nil"/>
              <w:left w:val="nil"/>
              <w:bottom w:val="single" w:sz="4" w:space="0" w:color="auto"/>
              <w:right w:val="single" w:sz="4" w:space="0" w:color="auto"/>
            </w:tcBorders>
            <w:vAlign w:val="center"/>
            <w:hideMark/>
          </w:tcPr>
          <w:p w:rsidR="002542D4" w:rsidRPr="002542D4" w:rsidP="002542D4" w14:paraId="74106FBC" w14:textId="68BCC29C">
            <w:pPr>
              <w:rPr>
                <w:b/>
                <w:bCs/>
                <w:noProof/>
              </w:rPr>
            </w:pPr>
          </w:p>
          <w:p w:rsidR="002542D4" w:rsidRPr="002542D4" w:rsidP="002542D4" w14:paraId="359B7F80" w14:textId="1D7CA699">
            <w:pPr>
              <w:rPr>
                <w:b/>
                <w:bCs/>
                <w:noProof/>
              </w:rPr>
            </w:pPr>
            <w:r>
              <w:rPr>
                <w:b/>
                <w:bCs/>
                <w:noProof/>
              </w:rPr>
              <w:t>1500</w:t>
            </w:r>
          </w:p>
          <w:p w:rsidR="002542D4" w:rsidRPr="002542D4" w:rsidP="002542D4" w14:paraId="29772340" w14:textId="531BB35C">
            <w:pPr>
              <w:rPr>
                <w:noProof/>
              </w:rPr>
            </w:pPr>
          </w:p>
        </w:tc>
        <w:tc>
          <w:tcPr>
            <w:tcW w:w="1926" w:type="dxa"/>
            <w:tcBorders>
              <w:top w:val="nil"/>
              <w:left w:val="nil"/>
              <w:bottom w:val="single" w:sz="4" w:space="0" w:color="auto"/>
              <w:right w:val="single" w:sz="4" w:space="0" w:color="auto"/>
            </w:tcBorders>
            <w:vAlign w:val="center"/>
            <w:hideMark/>
          </w:tcPr>
          <w:p w:rsidR="002542D4" w:rsidRPr="002542D4" w:rsidP="002542D4" w14:paraId="5A90083E" w14:textId="61FD726D">
            <w:pPr>
              <w:rPr>
                <w:b/>
                <w:bCs/>
                <w:noProof/>
              </w:rPr>
            </w:pPr>
          </w:p>
          <w:p w:rsidR="002542D4" w:rsidRPr="002542D4" w:rsidP="002542D4" w14:paraId="629922FD" w14:textId="77777777">
            <w:pPr>
              <w:rPr>
                <w:b/>
                <w:bCs/>
                <w:noProof/>
              </w:rPr>
            </w:pPr>
            <w:r w:rsidRPr="002542D4">
              <w:rPr>
                <w:b/>
                <w:bCs/>
                <w:noProof/>
              </w:rPr>
              <w:t>0</w:t>
            </w:r>
          </w:p>
          <w:p w:rsidR="002542D4" w:rsidRPr="002542D4" w:rsidP="002542D4" w14:paraId="27E03667" w14:textId="555CBE4D">
            <w:pPr>
              <w:rPr>
                <w:noProof/>
              </w:rPr>
            </w:pPr>
          </w:p>
        </w:tc>
        <w:tc>
          <w:tcPr>
            <w:tcW w:w="1872" w:type="dxa"/>
            <w:tcBorders>
              <w:top w:val="nil"/>
              <w:left w:val="nil"/>
              <w:bottom w:val="single" w:sz="4" w:space="0" w:color="auto"/>
              <w:right w:val="single" w:sz="4" w:space="0" w:color="auto"/>
            </w:tcBorders>
            <w:vAlign w:val="center"/>
            <w:hideMark/>
          </w:tcPr>
          <w:p w:rsidR="002542D4" w:rsidRPr="002542D4" w:rsidP="002542D4" w14:paraId="5F93D5DF" w14:textId="1918540A">
            <w:pPr>
              <w:rPr>
                <w:b/>
                <w:bCs/>
                <w:noProof/>
              </w:rPr>
            </w:pPr>
          </w:p>
          <w:p w:rsidR="002542D4" w:rsidRPr="002542D4" w:rsidP="002542D4" w14:paraId="4580BEA7" w14:textId="520FFA12">
            <w:pPr>
              <w:rPr>
                <w:b/>
                <w:bCs/>
                <w:noProof/>
              </w:rPr>
            </w:pPr>
            <w:r>
              <w:rPr>
                <w:b/>
                <w:bCs/>
                <w:noProof/>
              </w:rPr>
              <w:t>1220</w:t>
            </w:r>
          </w:p>
          <w:p w:rsidR="002542D4" w:rsidRPr="002542D4" w:rsidP="002542D4" w14:paraId="771EE30F" w14:textId="4E010B38">
            <w:pPr>
              <w:rPr>
                <w:noProof/>
              </w:rPr>
            </w:pPr>
          </w:p>
        </w:tc>
        <w:tc>
          <w:tcPr>
            <w:tcW w:w="1872" w:type="dxa"/>
            <w:tcBorders>
              <w:top w:val="nil"/>
              <w:left w:val="nil"/>
              <w:bottom w:val="single" w:sz="4" w:space="0" w:color="auto"/>
              <w:right w:val="single" w:sz="4" w:space="0" w:color="auto"/>
            </w:tcBorders>
            <w:vAlign w:val="center"/>
            <w:hideMark/>
          </w:tcPr>
          <w:p w:rsidR="002542D4" w:rsidRPr="002542D4" w:rsidP="002542D4" w14:paraId="76F9A0D8" w14:textId="4968A14E">
            <w:pPr>
              <w:rPr>
                <w:b/>
                <w:bCs/>
                <w:noProof/>
              </w:rPr>
            </w:pPr>
          </w:p>
          <w:p w:rsidR="002542D4" w:rsidRPr="002542D4" w:rsidP="002542D4" w14:paraId="619C7BF9" w14:textId="49F9711C">
            <w:pPr>
              <w:rPr>
                <w:b/>
                <w:bCs/>
                <w:noProof/>
              </w:rPr>
            </w:pPr>
            <w:r>
              <w:rPr>
                <w:b/>
                <w:bCs/>
                <w:noProof/>
              </w:rPr>
              <w:t>280</w:t>
            </w:r>
          </w:p>
          <w:p w:rsidR="002542D4" w:rsidRPr="002542D4" w:rsidP="002542D4" w14:paraId="4B4CE2E3" w14:textId="6153080C">
            <w:pPr>
              <w:rPr>
                <w:noProof/>
              </w:rPr>
            </w:pPr>
          </w:p>
        </w:tc>
      </w:tr>
    </w:tbl>
    <w:p w:rsidR="002542D4" w:rsidRPr="002542D4" w:rsidP="002542D4" w14:paraId="7081378C" w14:textId="77777777">
      <w:pPr>
        <w:rPr>
          <w:noProof/>
        </w:rPr>
      </w:pPr>
    </w:p>
    <w:p w:rsidR="002542D4" w:rsidRPr="00BB64D7" w:rsidP="00F43F66" w14:paraId="283CF40A" w14:textId="77777777">
      <w:pPr>
        <w:pStyle w:val="Heading2"/>
        <w:rPr>
          <w:noProof/>
        </w:rPr>
      </w:pPr>
      <w:bookmarkStart w:id="36" w:name="_Toc492634216"/>
      <w:bookmarkStart w:id="37" w:name="_Toc128056090"/>
      <w:r w:rsidRPr="00BB64D7">
        <w:rPr>
          <w:noProof/>
        </w:rPr>
        <w:t>A.16. Collection, Tabulation, and Publication Plans</w:t>
      </w:r>
      <w:bookmarkEnd w:id="36"/>
      <w:bookmarkEnd w:id="37"/>
      <w:r w:rsidRPr="00BB64D7">
        <w:rPr>
          <w:noProof/>
        </w:rPr>
        <w:t xml:space="preserve"> </w:t>
      </w:r>
    </w:p>
    <w:p w:rsidR="009664FE" w:rsidRPr="009664FE" w:rsidP="009664FE" w14:paraId="7BA8154C" w14:textId="77777777">
      <w:pPr>
        <w:rPr>
          <w:rFonts w:cs="Calibri"/>
          <w:color w:val="000000"/>
        </w:rPr>
      </w:pPr>
      <w:r w:rsidRPr="009664FE">
        <w:rPr>
          <w:rFonts w:cs="Calibri"/>
        </w:rPr>
        <w:t xml:space="preserve">By identifying and incorporating power generator data from air permitting offices into the EIA-860 frame, EIA and DOE will obtain a more complete and accurate representation of the total U.S. grid capacity. </w:t>
      </w:r>
      <w:r w:rsidRPr="009664FE">
        <w:rPr>
          <w:rFonts w:cs="Calibri"/>
          <w:color w:val="000000"/>
        </w:rPr>
        <w:t>Furthermore, c</w:t>
      </w:r>
      <w:r w:rsidRPr="009664FE">
        <w:rPr>
          <w:rFonts w:cs="Calibri"/>
        </w:rPr>
        <w:t>onsistent with the current EIA-860 form, all information reported will be treated as non-sensitive and may be publicly released in identifiable form.</w:t>
      </w:r>
    </w:p>
    <w:p w:rsidR="002542D4" w:rsidRPr="002542D4" w:rsidP="002542D4" w14:paraId="75BE146F" w14:textId="77777777">
      <w:pPr>
        <w:rPr>
          <w:noProof/>
        </w:rPr>
      </w:pPr>
    </w:p>
    <w:p w:rsidR="002542D4" w:rsidRPr="00BB64D7" w:rsidP="00F43F66" w14:paraId="1822EACD" w14:textId="77777777">
      <w:pPr>
        <w:pStyle w:val="Heading2"/>
        <w:rPr>
          <w:noProof/>
        </w:rPr>
      </w:pPr>
      <w:bookmarkStart w:id="38" w:name="_Toc492634217"/>
      <w:bookmarkStart w:id="39" w:name="_Toc128056091"/>
      <w:r w:rsidRPr="00BB64D7">
        <w:rPr>
          <w:noProof/>
        </w:rPr>
        <w:t>A.17. OMB Number and Expiration Date</w:t>
      </w:r>
      <w:bookmarkEnd w:id="38"/>
      <w:bookmarkEnd w:id="39"/>
      <w:r w:rsidRPr="00BB64D7">
        <w:rPr>
          <w:noProof/>
        </w:rPr>
        <w:t xml:space="preserve"> </w:t>
      </w:r>
    </w:p>
    <w:p w:rsidR="00B7147C" w:rsidP="00524544" w14:paraId="73A9DBCD" w14:textId="77777777">
      <w:pPr>
        <w:rPr>
          <w:rFonts w:eastAsia="Arial" w:cs="Calibri"/>
          <w:szCs w:val="20"/>
        </w:rPr>
      </w:pPr>
      <w:bookmarkStart w:id="40" w:name="_Toc492634218"/>
      <w:bookmarkStart w:id="41" w:name="_Toc128056092"/>
      <w:r w:rsidRPr="00CD3B08">
        <w:rPr>
          <w:rFonts w:eastAsia="Arial" w:cs="Calibri"/>
          <w:szCs w:val="20"/>
        </w:rPr>
        <w:t>The OMB number (1905-0215) and expiration date are displayed on each form.</w:t>
      </w:r>
    </w:p>
    <w:p w:rsidR="002542D4" w:rsidRPr="00BB64D7" w:rsidP="00F43F66" w14:paraId="15C2C7F3" w14:textId="4868B30D">
      <w:pPr>
        <w:pStyle w:val="Heading2"/>
        <w:rPr>
          <w:noProof/>
        </w:rPr>
      </w:pPr>
      <w:r w:rsidRPr="00BB64D7">
        <w:rPr>
          <w:noProof/>
        </w:rPr>
        <w:t>A.18. Certification Statement</w:t>
      </w:r>
      <w:bookmarkEnd w:id="40"/>
      <w:bookmarkEnd w:id="41"/>
      <w:r w:rsidRPr="00BB64D7">
        <w:rPr>
          <w:noProof/>
        </w:rPr>
        <w:t xml:space="preserve"> </w:t>
      </w:r>
    </w:p>
    <w:p w:rsidR="00612A58" w:rsidP="003A2FD5" w14:paraId="224B043C" w14:textId="343AE05B">
      <w:pPr>
        <w:rPr>
          <w:noProof/>
        </w:rPr>
      </w:pPr>
      <w:r w:rsidRPr="00524544">
        <w:rPr>
          <w:rFonts w:eastAsia="Arial" w:cs="Calibri"/>
        </w:rPr>
        <w:t>This submission meets all certification requirements of the "Certification for Paperwork Reduction Act Submissions," for OMB Form 83-I.</w:t>
      </w:r>
    </w:p>
    <w:sectPr w:rsidSect="00A075CD">
      <w:headerReference w:type="even" r:id="rId21"/>
      <w:headerReference w:type="default" r:id="rId22"/>
      <w:footerReference w:type="even" r:id="rId23"/>
      <w:headerReference w:type="first" r:id="rId24"/>
      <w:footerReference w:type="first" r:id="rId25"/>
      <w:footnotePr>
        <w:pos w:val="beneathText"/>
      </w:footnote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1F3A8F" w:rsidP="001F3A8F" w14:paraId="11934DD3" w14:textId="535C1FA3">
    <w:pPr>
      <w:pStyle w:val="Footer"/>
    </w:pPr>
    <w:r w:rsidRPr="00CB180D">
      <w:t xml:space="preserve">U.S. Energy Information Administration   |   </w:t>
    </w:r>
    <w:r w:rsidRPr="00A075CD" w:rsidR="00A075CD">
      <w:t>Supporting Statement for EIA-860S (Supplement) – Voluntary State Level Generator Air Permit</w:t>
    </w:r>
    <w:r>
      <w:tab/>
    </w:r>
    <w:r>
      <w:fldChar w:fldCharType="begin"/>
    </w:r>
    <w:r>
      <w:instrText xml:space="preserve"> PAGE   \* MERGEFORMAT </w:instrText>
    </w:r>
    <w:r>
      <w:fldChar w:fldCharType="separate"/>
    </w:r>
    <w:r w:rsidR="00385B7A">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25D55E4C" w14:textId="77777777">
    <w:pPr>
      <w:pStyle w:val="Footer"/>
    </w:pPr>
    <w:r w:rsidRPr="00CB180D">
      <w:t xml:space="preserve">U.S. Energy Information Administration   |   </w:t>
    </w:r>
    <w:r w:rsidR="001D2E96">
      <w:t>Shortened document title</w:t>
    </w:r>
    <w:r w:rsidRPr="00CB180D">
      <w:tab/>
    </w:r>
    <w:r w:rsidRPr="00760677">
      <w:t xml:space="preserve"> </w:t>
    </w:r>
    <w:r>
      <w:fldChar w:fldCharType="begin"/>
    </w:r>
    <w:r>
      <w:instrText xml:space="preserve"> PAGE   \* MERGEFORMAT </w:instrText>
    </w:r>
    <w:r>
      <w:fldChar w:fldCharType="separate"/>
    </w:r>
    <w:r>
      <w:rPr>
        <w:noProof/>
      </w:rPr>
      <w:t>i</w:t>
    </w:r>
    <w:r>
      <w:rPr>
        <w:noProof/>
      </w:rPr>
      <w:fldChar w:fldCharType="end"/>
    </w:r>
  </w:p>
  <w:p w:rsidR="00EA779A" w14:paraId="058F499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42D4" w:rsidP="00760677" w14:paraId="27693931" w14:textId="777777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42D4" w:rsidP="00760677" w14:paraId="2CEE4AE3" w14:textId="77777777">
    <w:pPr>
      <w:pStyle w:val="Footer"/>
    </w:pPr>
    <w:r w:rsidRPr="00CB180D">
      <w:t xml:space="preserve">U.S. Energy Information Administration   |   </w:t>
    </w:r>
    <w:r>
      <w:t>Shortened document title</w:t>
    </w:r>
    <w:r w:rsidRPr="00CB180D">
      <w:tab/>
    </w:r>
    <w:r w:rsidRPr="00760677">
      <w:t xml:space="preserve"> </w:t>
    </w:r>
    <w:r>
      <w:fldChar w:fldCharType="begin"/>
    </w:r>
    <w:r>
      <w:instrText xml:space="preserve"> PAGE   \* MERGEFORMAT </w:instrText>
    </w:r>
    <w:r>
      <w:fldChar w:fldCharType="separate"/>
    </w:r>
    <w:r>
      <w:rPr>
        <w:noProof/>
      </w:rPr>
      <w:t>1</w:t>
    </w:r>
    <w:r>
      <w:rPr>
        <w:noProof/>
      </w:rPr>
      <w:fldChar w:fldCharType="end"/>
    </w:r>
  </w:p>
  <w:p w:rsidR="002542D4" w:rsidP="00760677" w14:paraId="4CBBB58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42D4" w:rsidRPr="001F3A8F" w:rsidP="00BB64D7" w14:paraId="2ACE8FDD" w14:textId="6883D1F7">
    <w:pPr>
      <w:pStyle w:val="Footer"/>
      <w:tabs>
        <w:tab w:val="left" w:pos="8655"/>
        <w:tab w:val="clear" w:pos="9720"/>
      </w:tabs>
    </w:pPr>
    <w:r w:rsidRPr="00CB180D">
      <w:t>U.S. Energy Information Administration   |</w:t>
    </w:r>
    <w:r>
      <w:t xml:space="preserve"> </w:t>
    </w:r>
    <w:r w:rsidRPr="00A075CD" w:rsidR="00A075CD">
      <w:t>Supporting Statement for EIA-860S (Supplement) – Voluntary State Level Generator Air Permit</w:t>
    </w:r>
    <w:r>
      <w:tab/>
      <w:t xml:space="preserve"> </w:t>
    </w:r>
    <w:r>
      <w:fldChar w:fldCharType="begin"/>
    </w:r>
    <w:r>
      <w:instrText xml:space="preserve"> PAGE   \* MERGEFORMAT </w:instrText>
    </w:r>
    <w:r>
      <w:fldChar w:fldCharType="separate"/>
    </w:r>
    <w:r w:rsidR="00385B7A">
      <w:rPr>
        <w:noProof/>
      </w:rPr>
      <w:t>7</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333D4298" w14:textId="777777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0E7F2F3D" w14:textId="77777777">
    <w:pPr>
      <w:pStyle w:val="Footer"/>
    </w:pPr>
    <w:r w:rsidRPr="00CB180D">
      <w:t xml:space="preserve">U.S. Energy Information Administration   |   </w:t>
    </w:r>
    <w:r w:rsidR="001D2E96">
      <w:t>Shortened document title</w:t>
    </w:r>
    <w:r w:rsidRPr="00CB180D">
      <w:tab/>
    </w:r>
    <w:r w:rsidRPr="00760677">
      <w:t xml:space="preserve"> </w:t>
    </w:r>
    <w:r>
      <w:fldChar w:fldCharType="begin"/>
    </w:r>
    <w:r>
      <w:instrText xml:space="preserve"> PAGE   \* MERGEFORMAT </w:instrText>
    </w:r>
    <w:r>
      <w:fldChar w:fldCharType="separate"/>
    </w:r>
    <w:r>
      <w:rPr>
        <w:noProof/>
      </w:rPr>
      <w:t>1</w:t>
    </w:r>
    <w:r>
      <w:rPr>
        <w:noProof/>
      </w:rPr>
      <w:fldChar w:fldCharType="end"/>
    </w:r>
  </w:p>
  <w:p w:rsidR="00EA779A" w:rsidP="00760677" w14:paraId="4043F3D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012C5" w:rsidP="00536CE1" w14:paraId="307E61FE" w14:textId="77777777">
      <w:pPr>
        <w:spacing w:after="0" w:line="240" w:lineRule="auto"/>
      </w:pPr>
      <w:r>
        <w:separator/>
      </w:r>
    </w:p>
  </w:footnote>
  <w:footnote w:type="continuationSeparator" w:id="1">
    <w:p w:rsidR="009012C5" w:rsidP="00536CE1" w14:paraId="47662046" w14:textId="77777777">
      <w:pPr>
        <w:spacing w:after="0" w:line="240" w:lineRule="auto"/>
      </w:pPr>
      <w:r>
        <w:continuationSeparator/>
      </w:r>
    </w:p>
  </w:footnote>
  <w:footnote w:id="2">
    <w:p w:rsidR="0051262A" w:rsidP="0051262A" w14:paraId="49CBAD1C" w14:textId="77777777">
      <w:pPr>
        <w:pStyle w:val="FootnoteText"/>
      </w:pPr>
      <w:r>
        <w:rPr>
          <w:rStyle w:val="FootnoteReference"/>
        </w:rPr>
        <w:footnoteRef/>
      </w:r>
      <w:r>
        <w:t xml:space="preserve"> Executive Order No. 14156, 90 Fed. Reg. 8433 (Jan. 20, 2025) (Declaring a National Energy Emergency), </w:t>
      </w:r>
      <w:hyperlink r:id="rId1" w:history="1">
        <w:r w:rsidRPr="00EE3DAA">
          <w:rPr>
            <w:rStyle w:val="Hyperlink"/>
          </w:rPr>
          <w:t>https://www.whitehouse.gov/presidential-actions/2025/01/declaring-a-national-energy-emergency/</w:t>
        </w:r>
      </w:hyperlink>
      <w:r>
        <w:t>.</w:t>
      </w:r>
    </w:p>
  </w:footnote>
  <w:footnote w:id="3">
    <w:p w:rsidR="0051262A" w:rsidP="0051262A" w14:paraId="25BCEA68" w14:textId="77777777">
      <w:pPr>
        <w:pStyle w:val="FootnoteText"/>
      </w:pPr>
      <w:r>
        <w:rPr>
          <w:rStyle w:val="FootnoteReference"/>
        </w:rPr>
        <w:footnoteRef/>
      </w:r>
      <w:r>
        <w:t xml:space="preserve"> </w:t>
      </w:r>
      <w:r w:rsidRPr="7259910E">
        <w:t xml:space="preserve">Executive Order No. 14262, 90 Fed. Reg. 15521 (Apr. 8, 2025) (Strengthening the Reliability and Security of the United States Electric Grid), </w:t>
      </w:r>
      <w:hyperlink r:id="rId2" w:history="1">
        <w:r w:rsidRPr="00456B7E">
          <w:rPr>
            <w:rStyle w:val="Hyperlink"/>
          </w:rPr>
          <w:t>https://www.federalregister.gov/documents/2025/04/14/2025-06381/strengthening-thereliability-and-security-of-the-united-states-electric-grid</w:t>
        </w:r>
      </w:hyperlink>
      <w:r>
        <w:t xml:space="preserve">. </w:t>
      </w:r>
    </w:p>
  </w:footnote>
  <w:footnote w:id="4">
    <w:p w:rsidR="0051262A" w:rsidP="0051262A" w14:paraId="5B796C73" w14:textId="77777777">
      <w:pPr>
        <w:pStyle w:val="FootnoteText"/>
      </w:pPr>
      <w:r>
        <w:rPr>
          <w:rStyle w:val="FootnoteReference"/>
        </w:rPr>
        <w:footnoteRef/>
      </w:r>
      <w:r>
        <w:t xml:space="preserve"> </w:t>
      </w:r>
      <w:r w:rsidRPr="7259910E">
        <w:t xml:space="preserve">Executive Order No. 14262, 90 Fed. Reg. 15521 (Apr. 8, 2025) (Strengthening the Reliability and Security of the United States Electric Grid), </w:t>
      </w:r>
      <w:hyperlink r:id="rId2" w:history="1">
        <w:r w:rsidRPr="00456B7E">
          <w:rPr>
            <w:rStyle w:val="Hyperlink"/>
          </w:rPr>
          <w:t>https://www.federalregister.gov/documents/2025/04/14/2025-06381/strengthening-thereliability-and-security-of-the-united-states-electric-grid</w:t>
        </w:r>
      </w:hyperlink>
      <w:r>
        <w:t xml:space="preserve">. </w:t>
      </w:r>
    </w:p>
  </w:footnote>
  <w:footnote w:id="5">
    <w:p w:rsidR="0051262A" w:rsidP="0051262A" w14:paraId="5C425B5B" w14:textId="77777777">
      <w:pPr>
        <w:pStyle w:val="FootnoteText"/>
      </w:pPr>
      <w:r>
        <w:rPr>
          <w:rStyle w:val="FootnoteReference"/>
        </w:rPr>
        <w:footnoteRef/>
      </w:r>
      <w:r>
        <w:t xml:space="preserve"> </w:t>
      </w:r>
      <w:hyperlink r:id="rId3" w:history="1">
        <w:r w:rsidRPr="00456B7E">
          <w:rPr>
            <w:rStyle w:val="Hyperlink"/>
          </w:rPr>
          <w:t>https://www.federalregister.gov/documents/2025/12/16/2025-23092/ensuring-a-national-policy-framework-for-artificial-intelligence</w:t>
        </w:r>
      </w:hyperlink>
      <w:r>
        <w:t xml:space="preserve"> </w:t>
      </w:r>
    </w:p>
  </w:footnote>
  <w:footnote w:id="6">
    <w:p w:rsidR="0051262A" w:rsidP="0051262A" w14:paraId="78B79B41" w14:textId="77777777">
      <w:pPr>
        <w:pStyle w:val="FootnoteText"/>
      </w:pPr>
      <w:r>
        <w:rPr>
          <w:rStyle w:val="FootnoteReference"/>
        </w:rPr>
        <w:footnoteRef/>
      </w:r>
      <w:r>
        <w:t xml:space="preserve"> </w:t>
      </w:r>
      <w:hyperlink r:id="rId4" w:history="1">
        <w:r w:rsidRPr="009F113F">
          <w:rPr>
            <w:rStyle w:val="Hyperlink"/>
          </w:rPr>
          <w:t>https://www.whitehouse.gov/presidential-actions/2025/04/strengthening-the-reliability-and-security-of-the-united-states-electric-grid/</w:t>
        </w:r>
      </w:hyperlink>
      <w:r>
        <w:t>.</w:t>
      </w:r>
    </w:p>
  </w:footnote>
  <w:footnote w:id="7">
    <w:p w:rsidR="0051262A" w:rsidP="0051262A" w14:paraId="36CC0DB7" w14:textId="77777777">
      <w:pPr>
        <w:pStyle w:val="FootnoteText"/>
      </w:pPr>
      <w:r>
        <w:rPr>
          <w:rStyle w:val="FootnoteReference"/>
        </w:rPr>
        <w:footnoteRef/>
      </w:r>
      <w:r>
        <w:t xml:space="preserve"> </w:t>
      </w:r>
      <w:hyperlink r:id="rId5" w:history="1">
        <w:r w:rsidRPr="009F113F">
          <w:rPr>
            <w:rStyle w:val="Hyperlink"/>
          </w:rPr>
          <w:t>https://www.energy.gov/ceser/2026-doe-202c-orders</w:t>
        </w:r>
      </w:hyperlink>
      <w:r>
        <w:t xml:space="preserve">. </w:t>
      </w:r>
    </w:p>
  </w:footnote>
  <w:footnote w:id="8">
    <w:p w:rsidR="0051262A" w:rsidP="0051262A" w14:paraId="4D36FE1F" w14:textId="77777777">
      <w:pPr>
        <w:pStyle w:val="FootnoteText"/>
      </w:pPr>
      <w:r>
        <w:rPr>
          <w:rStyle w:val="FootnoteReference"/>
        </w:rPr>
        <w:footnoteRef/>
      </w:r>
      <w:r>
        <w:t xml:space="preserve"> </w:t>
      </w:r>
      <w:r w:rsidRPr="7259910E">
        <w:t>Although the text of FPA section 202(c) grants this authority to “the Commission,” section 301(b) of the Department of Energy Organization Act transferred this authority to the Secretary of the Department of Energy. See 42 U.S.C. § 7151(b).</w:t>
      </w:r>
    </w:p>
  </w:footnote>
  <w:footnote w:id="9">
    <w:p w:rsidR="00ED4F5F" w:rsidP="00ED4F5F" w14:paraId="22812095" w14:textId="77777777">
      <w:pPr>
        <w:pStyle w:val="FootnoteText"/>
      </w:pPr>
      <w:r>
        <w:rPr>
          <w:rStyle w:val="FootnoteReference"/>
        </w:rPr>
        <w:footnoteRef/>
      </w:r>
      <w:r>
        <w:t xml:space="preserve"> Executive Order No. 14156, 90 Fed. Reg. 8433 (Jan. 20, 2025) (Declaring a National Energy Emergency), </w:t>
      </w:r>
      <w:hyperlink r:id="rId1" w:history="1">
        <w:r w:rsidRPr="00EE3DAA">
          <w:rPr>
            <w:rStyle w:val="Hyperlink"/>
          </w:rPr>
          <w:t>https://www.whitehouse.gov/presidential-actions/2025/01/declaring-a-national-energy-emergency/</w:t>
        </w:r>
      </w:hyperlink>
      <w:r>
        <w:t>.</w:t>
      </w:r>
    </w:p>
  </w:footnote>
  <w:footnote w:id="10">
    <w:p w:rsidR="00ED4F5F" w:rsidP="00ED4F5F" w14:paraId="4ECBCABF" w14:textId="77777777">
      <w:pPr>
        <w:pStyle w:val="FootnoteText"/>
      </w:pPr>
      <w:r>
        <w:rPr>
          <w:rStyle w:val="FootnoteReference"/>
        </w:rPr>
        <w:footnoteRef/>
      </w:r>
      <w:r>
        <w:t xml:space="preserve"> </w:t>
      </w:r>
      <w:r w:rsidRPr="7259910E">
        <w:t xml:space="preserve">Executive Order No. 14262, 90 Fed. Reg. 15521 (Apr. 8, 2025) (Strengthening the Reliability and Security of the United States Electric Grid), </w:t>
      </w:r>
      <w:hyperlink r:id="rId2" w:history="1">
        <w:r w:rsidRPr="00456B7E">
          <w:rPr>
            <w:rStyle w:val="Hyperlink"/>
          </w:rPr>
          <w:t>https://www.federalregister.gov/documents/2025/04/14/2025-06381/strengthening-thereliability-and-security-of-the-united-states-electric-grid</w:t>
        </w:r>
      </w:hyperlink>
      <w:r>
        <w:t xml:space="preserve">. </w:t>
      </w:r>
    </w:p>
  </w:footnote>
  <w:footnote w:id="11">
    <w:p w:rsidR="00ED4F5F" w:rsidP="00ED4F5F" w14:paraId="7B2DDA53" w14:textId="77777777">
      <w:pPr>
        <w:pStyle w:val="FootnoteText"/>
      </w:pPr>
      <w:r>
        <w:rPr>
          <w:rStyle w:val="FootnoteReference"/>
        </w:rPr>
        <w:footnoteRef/>
      </w:r>
      <w:r>
        <w:t xml:space="preserve"> </w:t>
      </w:r>
      <w:r w:rsidRPr="7259910E">
        <w:t xml:space="preserve">Executive Order No. 14262, 90 Fed. Reg. 15521 (Apr. 8, 2025) (Strengthening the Reliability and Security of the United States Electric Grid), </w:t>
      </w:r>
      <w:hyperlink r:id="rId2" w:history="1">
        <w:r w:rsidRPr="00456B7E">
          <w:rPr>
            <w:rStyle w:val="Hyperlink"/>
          </w:rPr>
          <w:t>https://www.federalregister.gov/documents/2025/04/14/2025-06381/strengthening-thereliability-and-security-of-the-united-states-electric-grid</w:t>
        </w:r>
      </w:hyperlink>
      <w:r>
        <w:t xml:space="preserve">. </w:t>
      </w:r>
    </w:p>
  </w:footnote>
  <w:footnote w:id="12">
    <w:p w:rsidR="00ED4F5F" w:rsidP="00ED4F5F" w14:paraId="291D934C" w14:textId="77777777">
      <w:pPr>
        <w:pStyle w:val="FootnoteText"/>
      </w:pPr>
      <w:r>
        <w:rPr>
          <w:rStyle w:val="FootnoteReference"/>
        </w:rPr>
        <w:footnoteRef/>
      </w:r>
      <w:r>
        <w:t xml:space="preserve"> </w:t>
      </w:r>
      <w:hyperlink r:id="rId3" w:history="1">
        <w:r w:rsidRPr="00456B7E">
          <w:rPr>
            <w:rStyle w:val="Hyperlink"/>
          </w:rPr>
          <w:t>https://www.federalregister.gov/documents/2025/12/16/2025-23092/ensuring-a-national-policy-framework-for-artificial-intelligence</w:t>
        </w:r>
      </w:hyperlink>
      <w:r>
        <w:t xml:space="preserve"> </w:t>
      </w:r>
    </w:p>
  </w:footnote>
  <w:footnote w:id="13">
    <w:p w:rsidR="0066266C" w:rsidP="0066266C" w14:paraId="5EFAF1B3" w14:textId="77777777">
      <w:pPr>
        <w:pStyle w:val="FootnoteText"/>
      </w:pPr>
      <w:r>
        <w:rPr>
          <w:rStyle w:val="FootnoteReference"/>
        </w:rPr>
        <w:footnoteRef/>
      </w:r>
      <w:r>
        <w:t xml:space="preserve"> Executive Order No. 14156, 90 Fed. Reg. 8433 (Jan. 20, 2025) (Declaring a National Energy Emergency), </w:t>
      </w:r>
      <w:hyperlink r:id="rId1" w:history="1">
        <w:r w:rsidRPr="00EE3DAA">
          <w:rPr>
            <w:rStyle w:val="Hyperlink"/>
          </w:rPr>
          <w:t>https://www.whitehouse.gov/presidential-actions/2025/01/declaring-a-national-energy-emergency/</w:t>
        </w:r>
      </w:hyperlink>
      <w:r>
        <w:t>.</w:t>
      </w:r>
    </w:p>
  </w:footnote>
  <w:footnote w:id="14">
    <w:p w:rsidR="0066266C" w:rsidP="0066266C" w14:paraId="5C17372B" w14:textId="77777777">
      <w:pPr>
        <w:pStyle w:val="FootnoteText"/>
      </w:pPr>
      <w:r>
        <w:rPr>
          <w:rStyle w:val="FootnoteReference"/>
        </w:rPr>
        <w:footnoteRef/>
      </w:r>
      <w:r>
        <w:t xml:space="preserve"> </w:t>
      </w:r>
      <w:r w:rsidRPr="7259910E">
        <w:t xml:space="preserve">Executive Order No. 14262, 90 Fed. Reg. 15521 (Apr. 8, 2025) (Strengthening the Reliability and Security of the United States Electric Grid), </w:t>
      </w:r>
      <w:hyperlink r:id="rId2" w:history="1">
        <w:r w:rsidRPr="00456B7E">
          <w:rPr>
            <w:rStyle w:val="Hyperlink"/>
          </w:rPr>
          <w:t>https://www.federalregister.gov/documents/2025/04/14/2025-06381/strengthening-thereliability-and-security-of-the-united-states-electric-grid</w:t>
        </w:r>
      </w:hyperlink>
      <w:r>
        <w:t xml:space="preserve">. </w:t>
      </w:r>
    </w:p>
  </w:footnote>
  <w:footnote w:id="15">
    <w:p w:rsidR="0066266C" w:rsidP="0066266C" w14:paraId="01AC4FFB" w14:textId="77777777">
      <w:pPr>
        <w:pStyle w:val="FootnoteText"/>
      </w:pPr>
      <w:r>
        <w:rPr>
          <w:rStyle w:val="FootnoteReference"/>
        </w:rPr>
        <w:footnoteRef/>
      </w:r>
      <w:r>
        <w:t xml:space="preserve"> </w:t>
      </w:r>
      <w:r w:rsidRPr="7259910E">
        <w:t xml:space="preserve">Executive Order No. 14262, 90 Fed. Reg. 15521 (Apr. 8, 2025) (Strengthening the Reliability and Security of the United States Electric Grid), </w:t>
      </w:r>
      <w:hyperlink r:id="rId2" w:history="1">
        <w:r w:rsidRPr="00456B7E">
          <w:rPr>
            <w:rStyle w:val="Hyperlink"/>
          </w:rPr>
          <w:t>https://www.federalregister.gov/documents/2025/04/14/2025-06381/strengthening-thereliability-and-security-of-the-united-states-electric-grid</w:t>
        </w:r>
      </w:hyperlink>
      <w:r>
        <w:t xml:space="preserve">. </w:t>
      </w:r>
    </w:p>
  </w:footnote>
  <w:footnote w:id="16">
    <w:p w:rsidR="0066266C" w:rsidP="0066266C" w14:paraId="4A84FE1D" w14:textId="77777777">
      <w:pPr>
        <w:pStyle w:val="FootnoteText"/>
      </w:pPr>
      <w:r>
        <w:rPr>
          <w:rStyle w:val="FootnoteReference"/>
        </w:rPr>
        <w:footnoteRef/>
      </w:r>
      <w:r>
        <w:t xml:space="preserve"> </w:t>
      </w:r>
      <w:hyperlink r:id="rId3" w:history="1">
        <w:r w:rsidRPr="00456B7E">
          <w:rPr>
            <w:rStyle w:val="Hyperlink"/>
          </w:rPr>
          <w:t>https://www.federalregister.gov/documents/2025/12/16/2025-23092/ensuring-a-national-policy-framework-for-artificial-intelligence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42D4" w:rsidRPr="00373208" w:rsidP="00041909" w14:paraId="64BDD4E3" w14:textId="77777777">
    <w:pPr>
      <w:pStyle w:val="Header"/>
    </w:pPr>
    <w:r>
      <w:t>September 2011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42D4" w:rsidP="00041909" w14:paraId="5C858648" w14:textId="422DB1CA">
    <w:pPr>
      <w:pStyle w:val="Header"/>
    </w:pPr>
    <w:r>
      <w:t>July</w:t>
    </w:r>
    <w:r w:rsidR="009D2670">
      <w:t xml:space="preserve"> 202</w:t>
    </w:r>
    <w:r w:rsidR="003A2FD5">
      <w:t>6</w:t>
    </w:r>
  </w:p>
  <w:p w:rsidR="003A2FD5" w:rsidRPr="00F8298C" w:rsidP="003A2FD5" w14:paraId="10C4DA19" w14:textId="77777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42D4" w:rsidP="00041909" w14:paraId="13EAA780" w14:textId="77777777">
    <w:pPr>
      <w:pStyle w:val="Header"/>
    </w:pPr>
    <w:r>
      <w:t>December 2011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373208" w:rsidP="009F61F7" w14:paraId="16428B3F" w14:textId="77777777">
    <w:pPr>
      <w:pStyle w:val="Header"/>
    </w:pPr>
    <w:r>
      <w:t>September 2011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9F61F7" w:rsidP="009F61F7" w14:paraId="0B4219A0" w14:textId="24CF30D4">
    <w:pPr>
      <w:pStyle w:val="Header"/>
    </w:pPr>
    <w:r>
      <w:t xml:space="preserve">July </w:t>
    </w:r>
    <w:r w:rsidR="00A075CD">
      <w:t>2026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9F61F7" w14:paraId="709D3AF2" w14:textId="77777777">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455A35"/>
    <w:multiLevelType w:val="hybridMultilevel"/>
    <w:tmpl w:val="85101D1A"/>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7">
    <w:nsid w:val="03FC10DC"/>
    <w:multiLevelType w:val="multilevel"/>
    <w:tmpl w:val="B69ADCF2"/>
    <w:numStyleLink w:val="EIAbullets"/>
  </w:abstractNum>
  <w:abstractNum w:abstractNumId="8">
    <w:nsid w:val="12E5181C"/>
    <w:multiLevelType w:val="multilevel"/>
    <w:tmpl w:val="B69ADCF2"/>
    <w:numStyleLink w:val="EIAbullets"/>
  </w:abstractNum>
  <w:abstractNum w:abstractNumId="9">
    <w:nsid w:val="17EC7600"/>
    <w:multiLevelType w:val="hybridMultilevel"/>
    <w:tmpl w:val="95DCA000"/>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442868"/>
    <w:multiLevelType w:val="hybridMultilevel"/>
    <w:tmpl w:val="8CE6C348"/>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7E6225"/>
    <w:multiLevelType w:val="multilevel"/>
    <w:tmpl w:val="B69ADCF2"/>
    <w:numStyleLink w:val="EIAbullets"/>
  </w:abstractNum>
  <w:abstractNum w:abstractNumId="12">
    <w:nsid w:val="271B7F46"/>
    <w:multiLevelType w:val="multilevel"/>
    <w:tmpl w:val="B69ADCF2"/>
    <w:styleLink w:val="EIAbullets"/>
    <w:lvl w:ilvl="0">
      <w:start w:val="1"/>
      <w:numFmt w:val="bullet"/>
      <w:lvlText w:val=""/>
      <w:lvlJc w:val="left"/>
      <w:pPr>
        <w:ind w:left="720" w:hanging="360"/>
      </w:pPr>
      <w:rPr>
        <w:rFonts w:ascii="Symbol" w:hAnsi="Symbol" w:hint="default"/>
        <w:color w:val="auto"/>
        <w:sz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color w:val="auto"/>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color w:val="auto"/>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color w:val="auto"/>
      </w:rPr>
    </w:lvl>
  </w:abstractNum>
  <w:abstractNum w:abstractNumId="13">
    <w:nsid w:val="2FE2310F"/>
    <w:multiLevelType w:val="hybridMultilevel"/>
    <w:tmpl w:val="49D49724"/>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861E46"/>
    <w:multiLevelType w:val="multilevel"/>
    <w:tmpl w:val="B69ADCF2"/>
    <w:numStyleLink w:val="EIAbullets"/>
  </w:abstractNum>
  <w:abstractNum w:abstractNumId="15">
    <w:nsid w:val="3AE524C1"/>
    <w:multiLevelType w:val="hybridMultilevel"/>
    <w:tmpl w:val="B130EA84"/>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D6F7EB2"/>
    <w:multiLevelType w:val="hybridMultilevel"/>
    <w:tmpl w:val="8D58EC0A"/>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7">
    <w:nsid w:val="46BA2386"/>
    <w:multiLevelType w:val="multilevel"/>
    <w:tmpl w:val="B69ADCF2"/>
    <w:numStyleLink w:val="EIAbullets"/>
  </w:abstractNum>
  <w:abstractNum w:abstractNumId="18">
    <w:nsid w:val="4EBF29EA"/>
    <w:multiLevelType w:val="multilevel"/>
    <w:tmpl w:val="B69ADCF2"/>
    <w:numStyleLink w:val="EIAbullets"/>
  </w:abstractNum>
  <w:abstractNum w:abstractNumId="19">
    <w:nsid w:val="632B2CBD"/>
    <w:multiLevelType w:val="multilevel"/>
    <w:tmpl w:val="B69ADCF2"/>
    <w:numStyleLink w:val="EIAbullets"/>
  </w:abstractNum>
  <w:abstractNum w:abstractNumId="20">
    <w:nsid w:val="69F073C5"/>
    <w:multiLevelType w:val="hybridMultilevel"/>
    <w:tmpl w:val="1C8EBEFC"/>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F863061"/>
    <w:multiLevelType w:val="multilevel"/>
    <w:tmpl w:val="AE02192E"/>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22">
    <w:nsid w:val="71BD3F29"/>
    <w:multiLevelType w:val="hybridMultilevel"/>
    <w:tmpl w:val="8B62AC58"/>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num w:numId="1" w16cid:durableId="1535344289">
    <w:abstractNumId w:val="3"/>
  </w:num>
  <w:num w:numId="2" w16cid:durableId="719285488">
    <w:abstractNumId w:val="6"/>
  </w:num>
  <w:num w:numId="3" w16cid:durableId="1922375538">
    <w:abstractNumId w:val="4"/>
  </w:num>
  <w:num w:numId="4" w16cid:durableId="218396535">
    <w:abstractNumId w:val="2"/>
  </w:num>
  <w:num w:numId="5" w16cid:durableId="1967657263">
    <w:abstractNumId w:val="1"/>
  </w:num>
  <w:num w:numId="6" w16cid:durableId="1828478875">
    <w:abstractNumId w:val="0"/>
  </w:num>
  <w:num w:numId="7" w16cid:durableId="409012565">
    <w:abstractNumId w:val="21"/>
  </w:num>
  <w:num w:numId="8" w16cid:durableId="645663680">
    <w:abstractNumId w:val="12"/>
  </w:num>
  <w:num w:numId="9" w16cid:durableId="80152211">
    <w:abstractNumId w:val="17"/>
  </w:num>
  <w:num w:numId="10" w16cid:durableId="1456676267">
    <w:abstractNumId w:val="8"/>
  </w:num>
  <w:num w:numId="11" w16cid:durableId="1823504595">
    <w:abstractNumId w:val="9"/>
  </w:num>
  <w:num w:numId="12" w16cid:durableId="270551563">
    <w:abstractNumId w:val="11"/>
  </w:num>
  <w:num w:numId="13" w16cid:durableId="1126386435">
    <w:abstractNumId w:val="14"/>
  </w:num>
  <w:num w:numId="14" w16cid:durableId="1941183313">
    <w:abstractNumId w:val="10"/>
  </w:num>
  <w:num w:numId="15" w16cid:durableId="926422921">
    <w:abstractNumId w:val="7"/>
  </w:num>
  <w:num w:numId="16" w16cid:durableId="166678099">
    <w:abstractNumId w:val="20"/>
  </w:num>
  <w:num w:numId="17" w16cid:durableId="2098209203">
    <w:abstractNumId w:val="18"/>
  </w:num>
  <w:num w:numId="18" w16cid:durableId="165176320">
    <w:abstractNumId w:val="15"/>
  </w:num>
  <w:num w:numId="19" w16cid:durableId="351107711">
    <w:abstractNumId w:val="19"/>
  </w:num>
  <w:num w:numId="20" w16cid:durableId="501896926">
    <w:abstractNumId w:val="5"/>
  </w:num>
  <w:num w:numId="21" w16cid:durableId="1204900115">
    <w:abstractNumId w:val="16"/>
  </w:num>
  <w:num w:numId="22" w16cid:durableId="750321938">
    <w:abstractNumId w:val="13"/>
  </w:num>
  <w:num w:numId="23" w16cid:durableId="985280306">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44"/>
  <w:drawingGridVerticalSpacing w:val="187"/>
  <w:displayHorizontalDrawingGridEvery w:val="2"/>
  <w:characterSpacingControl w:val="doNotCompress"/>
  <w:footnotePr>
    <w:pos w:val="beneathTex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02"/>
    <w:rsid w:val="0000019D"/>
    <w:rsid w:val="000008B5"/>
    <w:rsid w:val="0000364C"/>
    <w:rsid w:val="00004135"/>
    <w:rsid w:val="000041A1"/>
    <w:rsid w:val="000053BB"/>
    <w:rsid w:val="00011B3F"/>
    <w:rsid w:val="00013373"/>
    <w:rsid w:val="000142E5"/>
    <w:rsid w:val="00014862"/>
    <w:rsid w:val="00015DA7"/>
    <w:rsid w:val="000248CE"/>
    <w:rsid w:val="00024BBF"/>
    <w:rsid w:val="00034A4B"/>
    <w:rsid w:val="00041909"/>
    <w:rsid w:val="00046593"/>
    <w:rsid w:val="00047C08"/>
    <w:rsid w:val="00051D24"/>
    <w:rsid w:val="000556B6"/>
    <w:rsid w:val="00055769"/>
    <w:rsid w:val="00056EC3"/>
    <w:rsid w:val="000621DC"/>
    <w:rsid w:val="00062CFE"/>
    <w:rsid w:val="00063FA9"/>
    <w:rsid w:val="00067138"/>
    <w:rsid w:val="0007129A"/>
    <w:rsid w:val="0007760A"/>
    <w:rsid w:val="000827AF"/>
    <w:rsid w:val="000831C4"/>
    <w:rsid w:val="000844CA"/>
    <w:rsid w:val="00085234"/>
    <w:rsid w:val="00085E32"/>
    <w:rsid w:val="00086002"/>
    <w:rsid w:val="00091CC7"/>
    <w:rsid w:val="000B000B"/>
    <w:rsid w:val="000B3FBE"/>
    <w:rsid w:val="000C4381"/>
    <w:rsid w:val="000C5311"/>
    <w:rsid w:val="000F040A"/>
    <w:rsid w:val="000F4E4F"/>
    <w:rsid w:val="001022FE"/>
    <w:rsid w:val="001034E8"/>
    <w:rsid w:val="00106390"/>
    <w:rsid w:val="00112A69"/>
    <w:rsid w:val="0011541D"/>
    <w:rsid w:val="00131E32"/>
    <w:rsid w:val="00132F4A"/>
    <w:rsid w:val="00140D25"/>
    <w:rsid w:val="00160925"/>
    <w:rsid w:val="00160D58"/>
    <w:rsid w:val="00167425"/>
    <w:rsid w:val="00175361"/>
    <w:rsid w:val="001807A3"/>
    <w:rsid w:val="001826CB"/>
    <w:rsid w:val="00190B90"/>
    <w:rsid w:val="00192337"/>
    <w:rsid w:val="00193B10"/>
    <w:rsid w:val="001947D5"/>
    <w:rsid w:val="001A6E1E"/>
    <w:rsid w:val="001B0E69"/>
    <w:rsid w:val="001B2422"/>
    <w:rsid w:val="001D03A8"/>
    <w:rsid w:val="001D2E96"/>
    <w:rsid w:val="001E5904"/>
    <w:rsid w:val="001F3A8F"/>
    <w:rsid w:val="002008B4"/>
    <w:rsid w:val="00201F24"/>
    <w:rsid w:val="00206D5A"/>
    <w:rsid w:val="002127CE"/>
    <w:rsid w:val="00215842"/>
    <w:rsid w:val="002207DF"/>
    <w:rsid w:val="00221AC2"/>
    <w:rsid w:val="00221F53"/>
    <w:rsid w:val="00222BB5"/>
    <w:rsid w:val="00224002"/>
    <w:rsid w:val="0022474F"/>
    <w:rsid w:val="00227E4B"/>
    <w:rsid w:val="0023015A"/>
    <w:rsid w:val="0023708A"/>
    <w:rsid w:val="0024312E"/>
    <w:rsid w:val="0025022D"/>
    <w:rsid w:val="00251D9E"/>
    <w:rsid w:val="002530BB"/>
    <w:rsid w:val="002542D4"/>
    <w:rsid w:val="002556F3"/>
    <w:rsid w:val="00260EDF"/>
    <w:rsid w:val="00262FA4"/>
    <w:rsid w:val="00264148"/>
    <w:rsid w:val="00267A8E"/>
    <w:rsid w:val="00274179"/>
    <w:rsid w:val="00286B8D"/>
    <w:rsid w:val="002A06AD"/>
    <w:rsid w:val="002B0DE8"/>
    <w:rsid w:val="002B0FD2"/>
    <w:rsid w:val="002B5EC9"/>
    <w:rsid w:val="002C378C"/>
    <w:rsid w:val="002C4B2B"/>
    <w:rsid w:val="002C768F"/>
    <w:rsid w:val="002D4FE9"/>
    <w:rsid w:val="002E18F8"/>
    <w:rsid w:val="002E3FD5"/>
    <w:rsid w:val="002E7A38"/>
    <w:rsid w:val="002F02A8"/>
    <w:rsid w:val="00306516"/>
    <w:rsid w:val="00313D14"/>
    <w:rsid w:val="00325C96"/>
    <w:rsid w:val="00330D13"/>
    <w:rsid w:val="00343787"/>
    <w:rsid w:val="00344B99"/>
    <w:rsid w:val="003469CB"/>
    <w:rsid w:val="00346BDC"/>
    <w:rsid w:val="00350C8B"/>
    <w:rsid w:val="00363331"/>
    <w:rsid w:val="003703F1"/>
    <w:rsid w:val="00371E14"/>
    <w:rsid w:val="00373208"/>
    <w:rsid w:val="00376FE1"/>
    <w:rsid w:val="00383DB3"/>
    <w:rsid w:val="003854B2"/>
    <w:rsid w:val="00385AE6"/>
    <w:rsid w:val="00385B7A"/>
    <w:rsid w:val="00387C8D"/>
    <w:rsid w:val="003921BE"/>
    <w:rsid w:val="00392347"/>
    <w:rsid w:val="00392DD0"/>
    <w:rsid w:val="0039473D"/>
    <w:rsid w:val="00396BCB"/>
    <w:rsid w:val="00397825"/>
    <w:rsid w:val="003A1073"/>
    <w:rsid w:val="003A10F3"/>
    <w:rsid w:val="003A274B"/>
    <w:rsid w:val="003A2FD5"/>
    <w:rsid w:val="003A366F"/>
    <w:rsid w:val="003A37D7"/>
    <w:rsid w:val="003A3906"/>
    <w:rsid w:val="003B03A4"/>
    <w:rsid w:val="003B494B"/>
    <w:rsid w:val="003C03EA"/>
    <w:rsid w:val="003C690C"/>
    <w:rsid w:val="003E3494"/>
    <w:rsid w:val="003E3BDD"/>
    <w:rsid w:val="003E40FA"/>
    <w:rsid w:val="003F24ED"/>
    <w:rsid w:val="003F3866"/>
    <w:rsid w:val="003F529E"/>
    <w:rsid w:val="003F58AD"/>
    <w:rsid w:val="004020B2"/>
    <w:rsid w:val="004222E7"/>
    <w:rsid w:val="0042608E"/>
    <w:rsid w:val="00426481"/>
    <w:rsid w:val="00427997"/>
    <w:rsid w:val="00431CD7"/>
    <w:rsid w:val="00432966"/>
    <w:rsid w:val="00433C96"/>
    <w:rsid w:val="0045087A"/>
    <w:rsid w:val="0045608E"/>
    <w:rsid w:val="0045662F"/>
    <w:rsid w:val="00456B7E"/>
    <w:rsid w:val="00466959"/>
    <w:rsid w:val="0047784B"/>
    <w:rsid w:val="004854EE"/>
    <w:rsid w:val="0049397E"/>
    <w:rsid w:val="004946F0"/>
    <w:rsid w:val="00497C2A"/>
    <w:rsid w:val="004A729E"/>
    <w:rsid w:val="004B058E"/>
    <w:rsid w:val="004B1075"/>
    <w:rsid w:val="004B30FB"/>
    <w:rsid w:val="004B552A"/>
    <w:rsid w:val="004C14D5"/>
    <w:rsid w:val="004C277B"/>
    <w:rsid w:val="004D05FB"/>
    <w:rsid w:val="004D0F05"/>
    <w:rsid w:val="004D236B"/>
    <w:rsid w:val="004D29C7"/>
    <w:rsid w:val="004E5446"/>
    <w:rsid w:val="004E6204"/>
    <w:rsid w:val="004F0D07"/>
    <w:rsid w:val="00504119"/>
    <w:rsid w:val="00505571"/>
    <w:rsid w:val="005065CF"/>
    <w:rsid w:val="00506BB4"/>
    <w:rsid w:val="0050705F"/>
    <w:rsid w:val="005120F9"/>
    <w:rsid w:val="0051262A"/>
    <w:rsid w:val="005170D3"/>
    <w:rsid w:val="00524544"/>
    <w:rsid w:val="0052493A"/>
    <w:rsid w:val="00524A83"/>
    <w:rsid w:val="00535CAF"/>
    <w:rsid w:val="00536054"/>
    <w:rsid w:val="0053654B"/>
    <w:rsid w:val="00536CE1"/>
    <w:rsid w:val="00537C90"/>
    <w:rsid w:val="00540CC5"/>
    <w:rsid w:val="0054180D"/>
    <w:rsid w:val="00547B53"/>
    <w:rsid w:val="00552509"/>
    <w:rsid w:val="00560D8D"/>
    <w:rsid w:val="00563592"/>
    <w:rsid w:val="00571D8F"/>
    <w:rsid w:val="0057367D"/>
    <w:rsid w:val="00575A2C"/>
    <w:rsid w:val="00581BBD"/>
    <w:rsid w:val="00585BE3"/>
    <w:rsid w:val="00590293"/>
    <w:rsid w:val="0059212D"/>
    <w:rsid w:val="00593FB1"/>
    <w:rsid w:val="005B2B58"/>
    <w:rsid w:val="005B4863"/>
    <w:rsid w:val="005B61F4"/>
    <w:rsid w:val="005B7212"/>
    <w:rsid w:val="005C00FA"/>
    <w:rsid w:val="005C2D89"/>
    <w:rsid w:val="005C4397"/>
    <w:rsid w:val="005C485B"/>
    <w:rsid w:val="005D2D16"/>
    <w:rsid w:val="005D39D7"/>
    <w:rsid w:val="005D5956"/>
    <w:rsid w:val="005D602C"/>
    <w:rsid w:val="005D6F63"/>
    <w:rsid w:val="005E500B"/>
    <w:rsid w:val="005F108A"/>
    <w:rsid w:val="005F345F"/>
    <w:rsid w:val="005F4848"/>
    <w:rsid w:val="005F55C3"/>
    <w:rsid w:val="005F778C"/>
    <w:rsid w:val="00612A58"/>
    <w:rsid w:val="00615BCD"/>
    <w:rsid w:val="0062008C"/>
    <w:rsid w:val="00620797"/>
    <w:rsid w:val="00620C60"/>
    <w:rsid w:val="00625EB4"/>
    <w:rsid w:val="00626494"/>
    <w:rsid w:val="0063178F"/>
    <w:rsid w:val="00637378"/>
    <w:rsid w:val="00641DE2"/>
    <w:rsid w:val="00642D13"/>
    <w:rsid w:val="00643384"/>
    <w:rsid w:val="00652F00"/>
    <w:rsid w:val="0065406F"/>
    <w:rsid w:val="00660B0C"/>
    <w:rsid w:val="0066266C"/>
    <w:rsid w:val="00663EC4"/>
    <w:rsid w:val="006647FC"/>
    <w:rsid w:val="00666179"/>
    <w:rsid w:val="00667B54"/>
    <w:rsid w:val="00670F46"/>
    <w:rsid w:val="00671BDE"/>
    <w:rsid w:val="00674702"/>
    <w:rsid w:val="00677C5F"/>
    <w:rsid w:val="006A0BC7"/>
    <w:rsid w:val="006A0EB0"/>
    <w:rsid w:val="006A6190"/>
    <w:rsid w:val="006C0062"/>
    <w:rsid w:val="006C097E"/>
    <w:rsid w:val="006C2DC3"/>
    <w:rsid w:val="006D0439"/>
    <w:rsid w:val="006D466F"/>
    <w:rsid w:val="00706856"/>
    <w:rsid w:val="00725453"/>
    <w:rsid w:val="00727793"/>
    <w:rsid w:val="00737591"/>
    <w:rsid w:val="00743836"/>
    <w:rsid w:val="007438F2"/>
    <w:rsid w:val="00752786"/>
    <w:rsid w:val="007550DA"/>
    <w:rsid w:val="00755C3D"/>
    <w:rsid w:val="007576EF"/>
    <w:rsid w:val="00760677"/>
    <w:rsid w:val="007609B3"/>
    <w:rsid w:val="00761C12"/>
    <w:rsid w:val="007670CC"/>
    <w:rsid w:val="00776CF4"/>
    <w:rsid w:val="00777AEA"/>
    <w:rsid w:val="00783DF5"/>
    <w:rsid w:val="00784F89"/>
    <w:rsid w:val="00786336"/>
    <w:rsid w:val="007A4264"/>
    <w:rsid w:val="007A4378"/>
    <w:rsid w:val="007A538F"/>
    <w:rsid w:val="007A6B17"/>
    <w:rsid w:val="007B0386"/>
    <w:rsid w:val="007B3F48"/>
    <w:rsid w:val="007B6FA1"/>
    <w:rsid w:val="007C17C1"/>
    <w:rsid w:val="007C1889"/>
    <w:rsid w:val="007C2C68"/>
    <w:rsid w:val="007C5CE9"/>
    <w:rsid w:val="007D0ACA"/>
    <w:rsid w:val="007D39CC"/>
    <w:rsid w:val="007D418E"/>
    <w:rsid w:val="007D6AAF"/>
    <w:rsid w:val="007E0774"/>
    <w:rsid w:val="007E37FC"/>
    <w:rsid w:val="007E5A11"/>
    <w:rsid w:val="007E73E6"/>
    <w:rsid w:val="007E7B61"/>
    <w:rsid w:val="007F1954"/>
    <w:rsid w:val="007F21D7"/>
    <w:rsid w:val="007F2494"/>
    <w:rsid w:val="007F2BB7"/>
    <w:rsid w:val="0080289A"/>
    <w:rsid w:val="008057F8"/>
    <w:rsid w:val="008307E1"/>
    <w:rsid w:val="0083170C"/>
    <w:rsid w:val="00837F34"/>
    <w:rsid w:val="00844A59"/>
    <w:rsid w:val="008544AC"/>
    <w:rsid w:val="008652AF"/>
    <w:rsid w:val="00867160"/>
    <w:rsid w:val="0087205B"/>
    <w:rsid w:val="00874FB8"/>
    <w:rsid w:val="00875FA9"/>
    <w:rsid w:val="00882068"/>
    <w:rsid w:val="00895669"/>
    <w:rsid w:val="00897946"/>
    <w:rsid w:val="008A0029"/>
    <w:rsid w:val="008A226E"/>
    <w:rsid w:val="008A3276"/>
    <w:rsid w:val="008A3447"/>
    <w:rsid w:val="008A5A3C"/>
    <w:rsid w:val="008B12AC"/>
    <w:rsid w:val="008B1E83"/>
    <w:rsid w:val="008B6D6F"/>
    <w:rsid w:val="008C05FE"/>
    <w:rsid w:val="008C4DAD"/>
    <w:rsid w:val="008D23DC"/>
    <w:rsid w:val="008E4BF2"/>
    <w:rsid w:val="008E4FA4"/>
    <w:rsid w:val="008F460A"/>
    <w:rsid w:val="008F4CBD"/>
    <w:rsid w:val="009012C5"/>
    <w:rsid w:val="009017AD"/>
    <w:rsid w:val="00901BED"/>
    <w:rsid w:val="00905735"/>
    <w:rsid w:val="00907274"/>
    <w:rsid w:val="009111B3"/>
    <w:rsid w:val="009131B9"/>
    <w:rsid w:val="009131C8"/>
    <w:rsid w:val="00935805"/>
    <w:rsid w:val="009368F3"/>
    <w:rsid w:val="00937E4D"/>
    <w:rsid w:val="00942F16"/>
    <w:rsid w:val="00947C42"/>
    <w:rsid w:val="00950489"/>
    <w:rsid w:val="009529A1"/>
    <w:rsid w:val="009567F1"/>
    <w:rsid w:val="00957DE9"/>
    <w:rsid w:val="00963AE0"/>
    <w:rsid w:val="00965A44"/>
    <w:rsid w:val="009664FE"/>
    <w:rsid w:val="00967D7C"/>
    <w:rsid w:val="00970164"/>
    <w:rsid w:val="009757AD"/>
    <w:rsid w:val="00980B6A"/>
    <w:rsid w:val="0098160F"/>
    <w:rsid w:val="009818F9"/>
    <w:rsid w:val="00982338"/>
    <w:rsid w:val="0098618F"/>
    <w:rsid w:val="00987C32"/>
    <w:rsid w:val="00991646"/>
    <w:rsid w:val="00992D0F"/>
    <w:rsid w:val="0099448B"/>
    <w:rsid w:val="00997347"/>
    <w:rsid w:val="00997A39"/>
    <w:rsid w:val="009B19CE"/>
    <w:rsid w:val="009B77C6"/>
    <w:rsid w:val="009C202F"/>
    <w:rsid w:val="009C374C"/>
    <w:rsid w:val="009C77F7"/>
    <w:rsid w:val="009D2670"/>
    <w:rsid w:val="009D3ABF"/>
    <w:rsid w:val="009E5ABC"/>
    <w:rsid w:val="009E5B9C"/>
    <w:rsid w:val="009F113F"/>
    <w:rsid w:val="009F61F7"/>
    <w:rsid w:val="00A00D71"/>
    <w:rsid w:val="00A00EDF"/>
    <w:rsid w:val="00A048C4"/>
    <w:rsid w:val="00A05A74"/>
    <w:rsid w:val="00A075CD"/>
    <w:rsid w:val="00A114E5"/>
    <w:rsid w:val="00A140A3"/>
    <w:rsid w:val="00A15571"/>
    <w:rsid w:val="00A26A17"/>
    <w:rsid w:val="00A272B6"/>
    <w:rsid w:val="00A30169"/>
    <w:rsid w:val="00A312A3"/>
    <w:rsid w:val="00A33D9F"/>
    <w:rsid w:val="00A361AA"/>
    <w:rsid w:val="00A37229"/>
    <w:rsid w:val="00A375C8"/>
    <w:rsid w:val="00A418C9"/>
    <w:rsid w:val="00A738B0"/>
    <w:rsid w:val="00A74C9B"/>
    <w:rsid w:val="00A86228"/>
    <w:rsid w:val="00A93478"/>
    <w:rsid w:val="00A966B2"/>
    <w:rsid w:val="00A97FE7"/>
    <w:rsid w:val="00AA3FA1"/>
    <w:rsid w:val="00AA46CA"/>
    <w:rsid w:val="00AA6F7F"/>
    <w:rsid w:val="00AA7EFA"/>
    <w:rsid w:val="00AB61B3"/>
    <w:rsid w:val="00AC323A"/>
    <w:rsid w:val="00AC6AA3"/>
    <w:rsid w:val="00AD6244"/>
    <w:rsid w:val="00AD6357"/>
    <w:rsid w:val="00AD7F81"/>
    <w:rsid w:val="00AE0C75"/>
    <w:rsid w:val="00AE1B3B"/>
    <w:rsid w:val="00AE4663"/>
    <w:rsid w:val="00AE4CA9"/>
    <w:rsid w:val="00AF2CBF"/>
    <w:rsid w:val="00AF367D"/>
    <w:rsid w:val="00AF45FD"/>
    <w:rsid w:val="00B00F4B"/>
    <w:rsid w:val="00B00F90"/>
    <w:rsid w:val="00B01714"/>
    <w:rsid w:val="00B17242"/>
    <w:rsid w:val="00B35E2A"/>
    <w:rsid w:val="00B4094E"/>
    <w:rsid w:val="00B41D7A"/>
    <w:rsid w:val="00B4263D"/>
    <w:rsid w:val="00B453D8"/>
    <w:rsid w:val="00B51F51"/>
    <w:rsid w:val="00B56F49"/>
    <w:rsid w:val="00B65018"/>
    <w:rsid w:val="00B671F4"/>
    <w:rsid w:val="00B7147C"/>
    <w:rsid w:val="00B7442A"/>
    <w:rsid w:val="00B80706"/>
    <w:rsid w:val="00B84DBA"/>
    <w:rsid w:val="00B85AD1"/>
    <w:rsid w:val="00B94A85"/>
    <w:rsid w:val="00B97002"/>
    <w:rsid w:val="00BA72AC"/>
    <w:rsid w:val="00BB096A"/>
    <w:rsid w:val="00BB2F70"/>
    <w:rsid w:val="00BB32F1"/>
    <w:rsid w:val="00BB64D7"/>
    <w:rsid w:val="00BB6CF4"/>
    <w:rsid w:val="00BC14C3"/>
    <w:rsid w:val="00BC1ABE"/>
    <w:rsid w:val="00BC1E1A"/>
    <w:rsid w:val="00BD2F20"/>
    <w:rsid w:val="00BD4F62"/>
    <w:rsid w:val="00BE28AC"/>
    <w:rsid w:val="00BE4AFD"/>
    <w:rsid w:val="00C00590"/>
    <w:rsid w:val="00C04647"/>
    <w:rsid w:val="00C12551"/>
    <w:rsid w:val="00C173D5"/>
    <w:rsid w:val="00C211CD"/>
    <w:rsid w:val="00C25328"/>
    <w:rsid w:val="00C33699"/>
    <w:rsid w:val="00C3744D"/>
    <w:rsid w:val="00C43A84"/>
    <w:rsid w:val="00C43D02"/>
    <w:rsid w:val="00C43FA1"/>
    <w:rsid w:val="00C52D52"/>
    <w:rsid w:val="00C53CB3"/>
    <w:rsid w:val="00C63A97"/>
    <w:rsid w:val="00C64137"/>
    <w:rsid w:val="00C658E4"/>
    <w:rsid w:val="00C665DE"/>
    <w:rsid w:val="00C676B1"/>
    <w:rsid w:val="00C70FE0"/>
    <w:rsid w:val="00C7266E"/>
    <w:rsid w:val="00C754F1"/>
    <w:rsid w:val="00C76C66"/>
    <w:rsid w:val="00C82DF9"/>
    <w:rsid w:val="00C87190"/>
    <w:rsid w:val="00C9047C"/>
    <w:rsid w:val="00C928DB"/>
    <w:rsid w:val="00C93A6A"/>
    <w:rsid w:val="00C97EC2"/>
    <w:rsid w:val="00CA1564"/>
    <w:rsid w:val="00CA2A61"/>
    <w:rsid w:val="00CA7C8A"/>
    <w:rsid w:val="00CB180D"/>
    <w:rsid w:val="00CB29D4"/>
    <w:rsid w:val="00CB34B0"/>
    <w:rsid w:val="00CB44E8"/>
    <w:rsid w:val="00CB7310"/>
    <w:rsid w:val="00CB7978"/>
    <w:rsid w:val="00CC1D12"/>
    <w:rsid w:val="00CC2798"/>
    <w:rsid w:val="00CD3B08"/>
    <w:rsid w:val="00CD48CA"/>
    <w:rsid w:val="00CE3B72"/>
    <w:rsid w:val="00CE42E9"/>
    <w:rsid w:val="00CF2D29"/>
    <w:rsid w:val="00CF5767"/>
    <w:rsid w:val="00CF76C5"/>
    <w:rsid w:val="00D001E4"/>
    <w:rsid w:val="00D00AA8"/>
    <w:rsid w:val="00D02778"/>
    <w:rsid w:val="00D0458E"/>
    <w:rsid w:val="00D06EF5"/>
    <w:rsid w:val="00D10C35"/>
    <w:rsid w:val="00D2737C"/>
    <w:rsid w:val="00D300F4"/>
    <w:rsid w:val="00D3344B"/>
    <w:rsid w:val="00D379E4"/>
    <w:rsid w:val="00D40175"/>
    <w:rsid w:val="00D47AAE"/>
    <w:rsid w:val="00D55243"/>
    <w:rsid w:val="00D60C1D"/>
    <w:rsid w:val="00D62F90"/>
    <w:rsid w:val="00D63E74"/>
    <w:rsid w:val="00D715C4"/>
    <w:rsid w:val="00D74E20"/>
    <w:rsid w:val="00D80B19"/>
    <w:rsid w:val="00D8196C"/>
    <w:rsid w:val="00D83FE2"/>
    <w:rsid w:val="00D928FD"/>
    <w:rsid w:val="00D935D2"/>
    <w:rsid w:val="00D954B4"/>
    <w:rsid w:val="00D96D3C"/>
    <w:rsid w:val="00DA7884"/>
    <w:rsid w:val="00DC1D1B"/>
    <w:rsid w:val="00DC79E3"/>
    <w:rsid w:val="00DD1346"/>
    <w:rsid w:val="00DD3701"/>
    <w:rsid w:val="00DD63E2"/>
    <w:rsid w:val="00DE0DC5"/>
    <w:rsid w:val="00DE2D54"/>
    <w:rsid w:val="00DE2FB9"/>
    <w:rsid w:val="00DE7A1C"/>
    <w:rsid w:val="00DF5FC6"/>
    <w:rsid w:val="00E02BB0"/>
    <w:rsid w:val="00E03CE6"/>
    <w:rsid w:val="00E04947"/>
    <w:rsid w:val="00E04AA7"/>
    <w:rsid w:val="00E054DF"/>
    <w:rsid w:val="00E13716"/>
    <w:rsid w:val="00E1631C"/>
    <w:rsid w:val="00E21D3A"/>
    <w:rsid w:val="00E21E25"/>
    <w:rsid w:val="00E23364"/>
    <w:rsid w:val="00E2582E"/>
    <w:rsid w:val="00E266FF"/>
    <w:rsid w:val="00E27661"/>
    <w:rsid w:val="00E31D3F"/>
    <w:rsid w:val="00E33C83"/>
    <w:rsid w:val="00E34212"/>
    <w:rsid w:val="00E3552C"/>
    <w:rsid w:val="00E361CF"/>
    <w:rsid w:val="00E47DB3"/>
    <w:rsid w:val="00E51F8B"/>
    <w:rsid w:val="00E5242A"/>
    <w:rsid w:val="00E53398"/>
    <w:rsid w:val="00E66AE2"/>
    <w:rsid w:val="00E74DA4"/>
    <w:rsid w:val="00E76798"/>
    <w:rsid w:val="00E76E06"/>
    <w:rsid w:val="00E817F4"/>
    <w:rsid w:val="00E81B89"/>
    <w:rsid w:val="00E8598D"/>
    <w:rsid w:val="00E87488"/>
    <w:rsid w:val="00E91432"/>
    <w:rsid w:val="00E91B5A"/>
    <w:rsid w:val="00EA0F63"/>
    <w:rsid w:val="00EA779A"/>
    <w:rsid w:val="00EA7BBA"/>
    <w:rsid w:val="00EB2230"/>
    <w:rsid w:val="00EB2CA6"/>
    <w:rsid w:val="00EB6F5A"/>
    <w:rsid w:val="00EC1321"/>
    <w:rsid w:val="00EC7041"/>
    <w:rsid w:val="00EC7D4A"/>
    <w:rsid w:val="00ED218D"/>
    <w:rsid w:val="00ED2D61"/>
    <w:rsid w:val="00ED4C7C"/>
    <w:rsid w:val="00ED4F5F"/>
    <w:rsid w:val="00ED6E45"/>
    <w:rsid w:val="00EE3DAA"/>
    <w:rsid w:val="00EE43E4"/>
    <w:rsid w:val="00EE4BED"/>
    <w:rsid w:val="00EF13CF"/>
    <w:rsid w:val="00EF6BF6"/>
    <w:rsid w:val="00EF7F20"/>
    <w:rsid w:val="00F001EA"/>
    <w:rsid w:val="00F0524F"/>
    <w:rsid w:val="00F148C8"/>
    <w:rsid w:val="00F16B90"/>
    <w:rsid w:val="00F33B00"/>
    <w:rsid w:val="00F34F19"/>
    <w:rsid w:val="00F366BA"/>
    <w:rsid w:val="00F43F66"/>
    <w:rsid w:val="00F44A21"/>
    <w:rsid w:val="00F46202"/>
    <w:rsid w:val="00F47277"/>
    <w:rsid w:val="00F5013F"/>
    <w:rsid w:val="00F51159"/>
    <w:rsid w:val="00F53384"/>
    <w:rsid w:val="00F575F0"/>
    <w:rsid w:val="00F6664C"/>
    <w:rsid w:val="00F66841"/>
    <w:rsid w:val="00F73109"/>
    <w:rsid w:val="00F80AF1"/>
    <w:rsid w:val="00F8298C"/>
    <w:rsid w:val="00F86C46"/>
    <w:rsid w:val="00F90245"/>
    <w:rsid w:val="00F920D9"/>
    <w:rsid w:val="00F9459F"/>
    <w:rsid w:val="00F94781"/>
    <w:rsid w:val="00F953B0"/>
    <w:rsid w:val="00F9692B"/>
    <w:rsid w:val="00FA346E"/>
    <w:rsid w:val="00FA4819"/>
    <w:rsid w:val="00FA5388"/>
    <w:rsid w:val="00FA540C"/>
    <w:rsid w:val="00FA7281"/>
    <w:rsid w:val="00FB05E6"/>
    <w:rsid w:val="00FB08E3"/>
    <w:rsid w:val="00FB703A"/>
    <w:rsid w:val="00FC1BF6"/>
    <w:rsid w:val="00FC5602"/>
    <w:rsid w:val="00FD397B"/>
    <w:rsid w:val="00FD4B01"/>
    <w:rsid w:val="00FD7CDC"/>
    <w:rsid w:val="00FE22D2"/>
    <w:rsid w:val="00FE58E0"/>
    <w:rsid w:val="00FE74D0"/>
    <w:rsid w:val="0F57B4CE"/>
    <w:rsid w:val="2EB5AB95"/>
    <w:rsid w:val="332F9C4E"/>
    <w:rsid w:val="38DE5EDF"/>
    <w:rsid w:val="3B93F22B"/>
    <w:rsid w:val="725991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8DCF84"/>
  <w15:docId w15:val="{A26D6C96-5056-431D-BF0A-B8C879923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2B0DE8"/>
    <w:pPr>
      <w:spacing w:after="200" w:line="300" w:lineRule="atLeast"/>
    </w:pPr>
    <w:rPr>
      <w:sz w:val="22"/>
      <w:szCs w:val="22"/>
    </w:rPr>
  </w:style>
  <w:style w:type="paragraph" w:styleId="Heading1">
    <w:name w:val="heading 1"/>
    <w:basedOn w:val="Normal"/>
    <w:next w:val="Left05Indent"/>
    <w:link w:val="Heading1Char"/>
    <w:autoRedefine/>
    <w:uiPriority w:val="1"/>
    <w:qFormat/>
    <w:rsid w:val="00E054DF"/>
    <w:pPr>
      <w:keepNext/>
      <w:keepLines/>
      <w:numPr>
        <w:numId w:val="7"/>
      </w:numPr>
      <w:spacing w:after="120" w:line="380" w:lineRule="atLeast"/>
      <w:outlineLvl w:val="0"/>
    </w:pPr>
    <w:rPr>
      <w:rFonts w:ascii="Times New Roman" w:eastAsia="Times New Roman" w:hAnsi="Times New Roman"/>
      <w:b/>
      <w:bCs/>
      <w:sz w:val="36"/>
      <w:szCs w:val="36"/>
    </w:rPr>
  </w:style>
  <w:style w:type="paragraph" w:styleId="Heading2">
    <w:name w:val="heading 2"/>
    <w:next w:val="Normal"/>
    <w:link w:val="Heading2Char"/>
    <w:autoRedefine/>
    <w:uiPriority w:val="1"/>
    <w:qFormat/>
    <w:rsid w:val="00DE7A1C"/>
    <w:pPr>
      <w:keepNext/>
      <w:keepLines/>
      <w:spacing w:before="200"/>
      <w:outlineLvl w:val="1"/>
    </w:pPr>
    <w:rPr>
      <w:rFonts w:eastAsia="Times New Roman"/>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imes New Roman" w:hAnsi="Times New Roman"/>
      <w:bCs/>
      <w:i/>
      <w:color w:val="595959"/>
      <w:sz w:val="24"/>
    </w:rPr>
  </w:style>
  <w:style w:type="paragraph" w:styleId="Heading4">
    <w:name w:val="heading 4"/>
    <w:basedOn w:val="Heading3"/>
    <w:next w:val="Normal"/>
    <w:link w:val="Heading4Char"/>
    <w:autoRedefine/>
    <w:uiPriority w:val="1"/>
    <w:qFormat/>
    <w:rsid w:val="005F55C3"/>
    <w:pPr>
      <w:numPr>
        <w:ilvl w:val="3"/>
      </w:numPr>
      <w:outlineLvl w:val="3"/>
    </w:pPr>
    <w:rPr>
      <w:rFonts w:ascii="Calibri" w:hAnsi="Calibri"/>
      <w:bCs w:val="0"/>
      <w:i w:val="0"/>
      <w:iCs/>
    </w:rPr>
  </w:style>
  <w:style w:type="paragraph" w:styleId="Heading5">
    <w:name w:val="heading 5"/>
    <w:basedOn w:val="Heading4"/>
    <w:next w:val="Normal"/>
    <w:link w:val="Heading5Char"/>
    <w:uiPriority w:val="1"/>
    <w:qFormat/>
    <w:rsid w:val="00AD6244"/>
    <w:pPr>
      <w:numPr>
        <w:ilvl w:val="4"/>
      </w:numPr>
      <w:outlineLvl w:val="4"/>
    </w:pPr>
    <w:rPr>
      <w:rFonts w:ascii="Times New Roman" w:hAnsi="Times New Roman"/>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imes New Roman" w:eastAsia="Times New Roman" w:hAnsi="Times New Roman"/>
      <w:i/>
      <w:iCs/>
      <w:color w:val="404040"/>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imes New Roman" w:eastAsia="Times New Roman" w:hAnsi="Times New Roman"/>
      <w:color w:val="404040"/>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imes New Roman" w:eastAsia="Times New Roman" w:hAnsi="Times New Roman"/>
      <w:i/>
      <w:iCs/>
      <w:color w:val="4040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E054DF"/>
    <w:rPr>
      <w:rFonts w:ascii="Times New Roman" w:eastAsia="Times New Roman" w:hAnsi="Times New Roman" w:cs="Times New Roman"/>
      <w:b/>
      <w:bCs/>
      <w:sz w:val="36"/>
      <w:szCs w:val="36"/>
    </w:rPr>
  </w:style>
  <w:style w:type="paragraph" w:styleId="NoSpacing">
    <w:name w:val="No Spacing"/>
    <w:uiPriority w:val="2"/>
    <w:qFormat/>
    <w:rsid w:val="00112A69"/>
    <w:pPr>
      <w:jc w:val="both"/>
    </w:pPr>
    <w:rPr>
      <w:sz w:val="22"/>
      <w:szCs w:val="22"/>
    </w:rPr>
  </w:style>
  <w:style w:type="character" w:customStyle="1" w:styleId="Heading2Char">
    <w:name w:val="Heading 2 Char"/>
    <w:link w:val="Heading2"/>
    <w:uiPriority w:val="1"/>
    <w:rsid w:val="00DE7A1C"/>
    <w:rPr>
      <w:rFonts w:eastAsia="Times New Roman" w:cs="Times New Roman"/>
      <w:b/>
      <w:color w:val="1396D8"/>
      <w:sz w:val="28"/>
      <w:szCs w:val="26"/>
    </w:rPr>
  </w:style>
  <w:style w:type="character" w:customStyle="1" w:styleId="Heading3Char">
    <w:name w:val="Heading 3 Char"/>
    <w:link w:val="Heading3"/>
    <w:uiPriority w:val="1"/>
    <w:rsid w:val="00FD7CDC"/>
    <w:rPr>
      <w:rFonts w:ascii="Times New Roman" w:eastAsia="Times New Roman" w:hAnsi="Times New Roman" w:cs="Times New Roman"/>
      <w:b/>
      <w:bCs/>
      <w:i/>
      <w:color w:val="595959"/>
      <w:sz w:val="24"/>
      <w:szCs w:val="26"/>
    </w:rPr>
  </w:style>
  <w:style w:type="character" w:customStyle="1" w:styleId="Heading4Char">
    <w:name w:val="Heading 4 Char"/>
    <w:link w:val="Heading4"/>
    <w:uiPriority w:val="1"/>
    <w:rsid w:val="005F55C3"/>
    <w:rPr>
      <w:rFonts w:eastAsia="Times New Roman" w:cs="Times New Roman"/>
      <w:b/>
      <w:iCs/>
      <w:color w:val="595959"/>
      <w:sz w:val="24"/>
      <w:szCs w:val="26"/>
    </w:rPr>
  </w:style>
  <w:style w:type="character" w:customStyle="1" w:styleId="Heading5Char">
    <w:name w:val="Heading 5 Char"/>
    <w:link w:val="Heading5"/>
    <w:uiPriority w:val="1"/>
    <w:rsid w:val="00AD6244"/>
    <w:rPr>
      <w:rFonts w:ascii="Times New Roman" w:eastAsia="Times New Roman" w:hAnsi="Times New Roman" w:cs="Times New Roman"/>
      <w:b/>
      <w:iCs/>
      <w:color w:val="595959"/>
      <w:sz w:val="24"/>
      <w:szCs w:val="26"/>
    </w:rPr>
  </w:style>
  <w:style w:type="character" w:customStyle="1" w:styleId="Heading6Char">
    <w:name w:val="Heading 6 Char"/>
    <w:link w:val="Heading6"/>
    <w:uiPriority w:val="9"/>
    <w:semiHidden/>
    <w:rsid w:val="00D55243"/>
    <w:rPr>
      <w:rFonts w:eastAsia="Times New Roman" w:cs="Times New Roman"/>
      <w:b/>
      <w:i/>
      <w:color w:val="666666"/>
      <w:szCs w:val="26"/>
    </w:rPr>
  </w:style>
  <w:style w:type="character" w:customStyle="1" w:styleId="Heading7Char">
    <w:name w:val="Heading 7 Char"/>
    <w:link w:val="Heading7"/>
    <w:uiPriority w:val="9"/>
    <w:semiHidden/>
    <w:rsid w:val="00D55243"/>
    <w:rPr>
      <w:rFonts w:ascii="Times New Roman" w:eastAsia="Times New Roman" w:hAnsi="Times New Roman" w:cs="Times New Roman"/>
      <w:i/>
      <w:iCs/>
      <w:color w:val="404040"/>
    </w:rPr>
  </w:style>
  <w:style w:type="character" w:customStyle="1" w:styleId="Heading8Char">
    <w:name w:val="Heading 8 Char"/>
    <w:link w:val="Heading8"/>
    <w:uiPriority w:val="9"/>
    <w:semiHidden/>
    <w:rsid w:val="00D55243"/>
    <w:rPr>
      <w:rFonts w:ascii="Times New Roman" w:eastAsia="Times New Roman" w:hAnsi="Times New Roman" w:cs="Times New Roman"/>
      <w:color w:val="404040"/>
    </w:rPr>
  </w:style>
  <w:style w:type="character" w:customStyle="1" w:styleId="Heading9Char">
    <w:name w:val="Heading 9 Char"/>
    <w:link w:val="Heading9"/>
    <w:uiPriority w:val="9"/>
    <w:semiHidden/>
    <w:rsid w:val="00D55243"/>
    <w:rPr>
      <w:rFonts w:ascii="Times New Roman" w:eastAsia="Times New Roman" w:hAnsi="Times New Roman" w:cs="Times New Roman"/>
      <w:i/>
      <w:iCs/>
      <w:color w:val="404040"/>
    </w:rPr>
  </w:style>
  <w:style w:type="paragraph" w:styleId="Caption">
    <w:name w:val="caption"/>
    <w:basedOn w:val="Normal"/>
    <w:next w:val="Normal"/>
    <w:autoRedefine/>
    <w:uiPriority w:val="3"/>
    <w:qFormat/>
    <w:rsid w:val="00DE7A1C"/>
    <w:pPr>
      <w:keepNext/>
      <w:spacing w:before="140" w:after="80" w:line="240" w:lineRule="auto"/>
    </w:pPr>
    <w:rPr>
      <w:b/>
      <w:bCs/>
      <w:color w:val="000000"/>
      <w:szCs w:val="18"/>
    </w:rPr>
  </w:style>
  <w:style w:type="paragraph" w:styleId="Header">
    <w:name w:val="header"/>
    <w:basedOn w:val="Normal"/>
    <w:link w:val="HeaderChar"/>
    <w:autoRedefine/>
    <w:uiPriority w:val="99"/>
    <w:qFormat/>
    <w:rsid w:val="009F61F7"/>
    <w:pPr>
      <w:tabs>
        <w:tab w:val="left" w:pos="1491"/>
        <w:tab w:val="center" w:pos="4680"/>
        <w:tab w:val="left" w:pos="5571"/>
        <w:tab w:val="right" w:pos="9360"/>
      </w:tabs>
      <w:spacing w:after="0" w:line="240" w:lineRule="auto"/>
      <w:jc w:val="right"/>
    </w:pPr>
    <w:rPr>
      <w:i/>
    </w:rPr>
  </w:style>
  <w:style w:type="character" w:customStyle="1" w:styleId="HeaderChar">
    <w:name w:val="Header Char"/>
    <w:link w:val="Header"/>
    <w:uiPriority w:val="99"/>
    <w:rsid w:val="009F61F7"/>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left w:val="single" w:sz="18" w:space="10" w:color="C4ECFF"/>
        <w:bottom w:val="single" w:sz="18" w:space="6" w:color="C4ECFF"/>
        <w:right w:val="single" w:sz="18" w:space="10" w:color="C4ECFF"/>
      </w:pBdr>
      <w:shd w:val="clear" w:color="auto" w:fill="C4ECFF"/>
      <w:spacing w:before="120" w:after="120" w:line="240" w:lineRule="auto"/>
      <w:ind w:left="936" w:right="216"/>
      <w:jc w:val="both"/>
    </w:pPr>
    <w:rPr>
      <w:i/>
      <w:color w:val="0096D7"/>
    </w:rPr>
  </w:style>
  <w:style w:type="character" w:customStyle="1" w:styleId="NoteHeadingChar">
    <w:name w:val="Note Heading Char"/>
    <w:aliases w:val="Note 1 Char"/>
    <w:link w:val="NoteHeading"/>
    <w:uiPriority w:val="13"/>
    <w:rsid w:val="004C277B"/>
    <w:rPr>
      <w:i/>
      <w:color w:val="0096D7"/>
      <w:szCs w:val="22"/>
      <w:shd w:val="clear" w:color="auto" w:fill="C4ECFF"/>
    </w:rPr>
  </w:style>
  <w:style w:type="character" w:styleId="PageNumber">
    <w:name w:val="page number"/>
    <w:uiPriority w:val="99"/>
    <w:semiHidden/>
    <w:locked/>
    <w:rsid w:val="00112A69"/>
    <w:rPr>
      <w:rFonts w:eastAsia="Times New Roman" w:cs="Arial"/>
      <w:sz w:val="16"/>
      <w:szCs w:val="16"/>
    </w:rPr>
  </w:style>
  <w:style w:type="character" w:styleId="Hyperlink">
    <w:name w:val="Hyperlink"/>
    <w:uiPriority w:val="99"/>
    <w:qFormat/>
    <w:rsid w:val="00433C96"/>
    <w:rPr>
      <w:rFonts w:ascii="Calibri" w:hAnsi="Calibri"/>
      <w:color w:val="1396D8"/>
      <w:u w:val="none"/>
    </w:rPr>
  </w:style>
  <w:style w:type="paragraph" w:customStyle="1" w:styleId="Link">
    <w:name w:val="Link"/>
    <w:basedOn w:val="Normal"/>
    <w:link w:val="LinkChar"/>
    <w:autoRedefine/>
    <w:uiPriority w:val="11"/>
    <w:qFormat/>
    <w:rsid w:val="004E5446"/>
    <w:pPr>
      <w:spacing w:after="0" w:line="240" w:lineRule="auto"/>
    </w:pPr>
    <w:rPr>
      <w:rFonts w:eastAsia="Times New Roman"/>
      <w:color w:val="1396D8"/>
      <w:szCs w:val="24"/>
    </w:rPr>
  </w:style>
  <w:style w:type="character" w:customStyle="1" w:styleId="LinkChar">
    <w:name w:val="Link Char"/>
    <w:link w:val="Link"/>
    <w:uiPriority w:val="11"/>
    <w:rsid w:val="004E5446"/>
    <w:rPr>
      <w:rFonts w:eastAsia="Times New Roman" w:cs="Times New Roman"/>
      <w:color w:val="1396D8"/>
      <w:szCs w:val="24"/>
    </w:rPr>
  </w:style>
  <w:style w:type="character" w:styleId="IntenseReference">
    <w:name w:val="Intense Reference"/>
    <w:aliases w:val="Note 1 Bold"/>
    <w:uiPriority w:val="32"/>
    <w:locked/>
    <w:rsid w:val="00112A69"/>
    <w:rPr>
      <w:rFonts w:ascii="Calibri" w:hAnsi="Calibri"/>
      <w:b/>
      <w:bCs/>
      <w:smallCaps/>
      <w:color w:val="BD732A"/>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rPr>
  </w:style>
  <w:style w:type="character" w:customStyle="1" w:styleId="QuoteChar">
    <w:name w:val="Quote Char"/>
    <w:link w:val="Quote"/>
    <w:uiPriority w:val="14"/>
    <w:rsid w:val="00D55243"/>
    <w:rPr>
      <w:iCs/>
      <w:color w:val="000000"/>
    </w:rPr>
  </w:style>
  <w:style w:type="character" w:styleId="IntenseEmphasis">
    <w:name w:val="Intense Emphasis"/>
    <w:uiPriority w:val="5"/>
    <w:qFormat/>
    <w:locked/>
    <w:rsid w:val="00112A69"/>
    <w:rPr>
      <w:rFonts w:ascii="Calibri" w:hAnsi="Calibri"/>
      <w:b/>
      <w:bCs/>
      <w:i/>
      <w:iCs/>
      <w:color w:val="1396D8"/>
      <w:sz w:val="20"/>
    </w:rPr>
  </w:style>
  <w:style w:type="character" w:styleId="Emphasis">
    <w:name w:val="Emphasis"/>
    <w:uiPriority w:val="5"/>
    <w:qFormat/>
    <w:rsid w:val="00F80AF1"/>
    <w:rPr>
      <w:rFonts w:ascii="Calibri" w:hAnsi="Calibr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sz w:val="23"/>
      <w:szCs w:val="23"/>
    </w:rPr>
  </w:style>
  <w:style w:type="paragraph" w:styleId="ListParagraph">
    <w:name w:val="List Paragraph"/>
    <w:basedOn w:val="Normal"/>
    <w:autoRedefine/>
    <w:uiPriority w:val="34"/>
    <w:qFormat/>
    <w:rsid w:val="0051262A"/>
    <w:pPr>
      <w:numPr>
        <w:numId w:val="22"/>
      </w:numPr>
      <w:spacing w:after="0" w:line="240" w:lineRule="auto"/>
      <w:contextualSpacing/>
    </w:pPr>
  </w:style>
  <w:style w:type="paragraph" w:styleId="TOCHeading">
    <w:name w:val="TOC Heading"/>
    <w:basedOn w:val="Heading1"/>
    <w:next w:val="Normal"/>
    <w:autoRedefine/>
    <w:uiPriority w:val="39"/>
    <w:qFormat/>
    <w:rsid w:val="006A0EB0"/>
    <w:pPr>
      <w:numPr>
        <w:numId w:val="0"/>
      </w:numPr>
      <w:spacing w:before="480" w:line="240" w:lineRule="auto"/>
      <w:outlineLvl w:val="9"/>
    </w:pPr>
    <w:rPr>
      <w:color w:val="0096D7"/>
    </w:rPr>
  </w:style>
  <w:style w:type="paragraph" w:styleId="TOC1">
    <w:name w:val="toc 1"/>
    <w:basedOn w:val="Normal"/>
    <w:next w:val="Normal"/>
    <w:autoRedefine/>
    <w:uiPriority w:val="39"/>
    <w:qFormat/>
    <w:rsid w:val="00AD6244"/>
    <w:pPr>
      <w:tabs>
        <w:tab w:val="left" w:pos="400"/>
        <w:tab w:val="right" w:leader="dot" w:pos="9350"/>
      </w:tabs>
      <w:spacing w:after="100"/>
    </w:pPr>
    <w:rPr>
      <w:color w:val="000000"/>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imes New Roman" w:hAnsi="Arial" w:cs="Arial"/>
      <w:color w:val="000000"/>
      <w:sz w:val="16"/>
      <w:szCs w:val="16"/>
    </w:rPr>
  </w:style>
  <w:style w:type="character" w:customStyle="1" w:styleId="BodyTextIndent3Char">
    <w:name w:val="Body Text Indent 3 Char"/>
    <w:aliases w:val="Table Text .25 ndent Char"/>
    <w:link w:val="BodyTextIndent3"/>
    <w:uiPriority w:val="99"/>
    <w:semiHidden/>
    <w:rsid w:val="00E03CE6"/>
    <w:rPr>
      <w:rFonts w:ascii="Arial" w:eastAsia="Times New Roman" w:hAnsi="Arial"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link w:val="FootnoteText"/>
    <w:uiPriority w:val="99"/>
    <w:rsid w:val="00C7266E"/>
    <w:rPr>
      <w:sz w:val="18"/>
    </w:rPr>
  </w:style>
  <w:style w:type="paragraph" w:customStyle="1" w:styleId="Graphnoteandsourcetext">
    <w:name w:val="Graph note and source text"/>
    <w:basedOn w:val="Normal"/>
    <w:next w:val="Tablefootnotetext"/>
    <w:uiPriority w:val="7"/>
    <w:qFormat/>
    <w:rsid w:val="002E18F8"/>
    <w:pPr>
      <w:spacing w:line="240" w:lineRule="auto"/>
    </w:pPr>
    <w:rPr>
      <w:rFonts w:ascii="Arial" w:hAnsi="Arial"/>
      <w:color w:val="000000"/>
      <w:sz w:val="18"/>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imes New Roman" w:eastAsia="Times New Roman" w:hAnsi="Times New Roman"/>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imes New Roman"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imes New Roman" w:eastAsia="Times New Roman" w:hAnsi="Times New Roman"/>
      <w:color w:val="139CD8"/>
      <w:spacing w:val="5"/>
      <w:kern w:val="28"/>
      <w:sz w:val="52"/>
      <w:szCs w:val="52"/>
    </w:rPr>
  </w:style>
  <w:style w:type="character" w:customStyle="1" w:styleId="TitleChar">
    <w:name w:val="Title Char"/>
    <w:link w:val="Title"/>
    <w:uiPriority w:val="99"/>
    <w:semiHidden/>
    <w:rsid w:val="00E03CE6"/>
    <w:rPr>
      <w:rFonts w:ascii="Times New Roman" w:eastAsia="Times New Roman" w:hAnsi="Times New Roman" w:cs="Times New Roman"/>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link w:val="Date"/>
    <w:uiPriority w:val="4"/>
    <w:rsid w:val="00D55243"/>
    <w:rPr>
      <w:color w:val="7E8E9A"/>
      <w:sz w:val="22"/>
    </w:rPr>
  </w:style>
  <w:style w:type="table" w:styleId="ColorfulListAccent3">
    <w:name w:val="Colorful List Accent 3"/>
    <w:basedOn w:val="TableNormal"/>
    <w:uiPriority w:val="72"/>
    <w:locked/>
    <w:rsid w:val="00D55243"/>
    <w:rPr>
      <w:color w:val="000000"/>
    </w:rPr>
    <w:tblPr>
      <w:tblStyleRowBandSize w:val="1"/>
      <w:tblStyleColBandSize w:val="1"/>
    </w:tblPr>
    <w:tcPr>
      <w:shd w:val="clear" w:color="auto" w:fill="EEF7E8"/>
    </w:tcPr>
    <w:tblStylePr w:type="firstRow">
      <w:rPr>
        <w:b/>
        <w:bCs/>
        <w:color w:val="FFFFFF"/>
      </w:rPr>
      <w:tblPr/>
      <w:tcPr>
        <w:tcBorders>
          <w:bottom w:val="single" w:sz="12" w:space="0" w:color="FFFFFF"/>
        </w:tcBorders>
        <w:shd w:val="clear" w:color="auto" w:fill="CD9F00"/>
      </w:tcPr>
    </w:tblStylePr>
    <w:tblStylePr w:type="lastRow">
      <w:rPr>
        <w:b/>
        <w:bCs/>
        <w:color w:val="CD9F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cPr>
    </w:tblStylePr>
    <w:tblStylePr w:type="band1Horz">
      <w:tblPr/>
      <w:tcPr>
        <w:shd w:val="clear" w:color="auto" w:fill="DDEFD0"/>
      </w:tcPr>
    </w:tblStylePr>
  </w:style>
  <w:style w:type="table" w:styleId="ColorfulGridAccent6">
    <w:name w:val="Colorful Grid Accent 6"/>
    <w:basedOn w:val="TableNormal"/>
    <w:uiPriority w:val="73"/>
    <w:locked/>
    <w:rsid w:val="00D55243"/>
    <w:rPr>
      <w:color w:val="000000"/>
    </w:rPr>
    <w:tblPr>
      <w:tblStyleRowBandSize w:val="1"/>
      <w:tblStyleColBandSize w:val="1"/>
      <w:tblBorders>
        <w:insideH w:val="single" w:sz="4" w:space="0" w:color="FFFFFF"/>
      </w:tblBorders>
    </w:tblPr>
    <w:tcPr>
      <w:shd w:val="clear" w:color="auto" w:fill="FBEAB2"/>
    </w:tcPr>
    <w:tblStylePr w:type="firstRow">
      <w:rPr>
        <w:b/>
        <w:bCs/>
      </w:rPr>
      <w:tblPr/>
      <w:tcPr>
        <w:shd w:val="clear" w:color="auto" w:fill="F7D565"/>
      </w:tcPr>
    </w:tblStylePr>
    <w:tblStylePr w:type="lastRow">
      <w:rPr>
        <w:b/>
        <w:bCs/>
        <w:color w:val="000000"/>
      </w:rPr>
      <w:tblPr/>
      <w:tcPr>
        <w:shd w:val="clear" w:color="auto" w:fill="F7D565"/>
      </w:tcPr>
    </w:tblStylePr>
    <w:tblStylePr w:type="firstCol">
      <w:rPr>
        <w:color w:val="FFFFFF"/>
      </w:rPr>
      <w:tblPr/>
      <w:tcPr>
        <w:shd w:val="clear" w:color="auto" w:fill="4C3B03"/>
      </w:tcPr>
    </w:tblStylePr>
    <w:tblStylePr w:type="lastCol">
      <w:rPr>
        <w:color w:val="FFFFFF"/>
      </w:rPr>
      <w:tblPr/>
      <w:tcPr>
        <w:shd w:val="clear" w:color="auto" w:fill="4C3B03"/>
      </w:tcPr>
    </w:tblStylePr>
    <w:tblStylePr w:type="band1Vert">
      <w:tblPr/>
      <w:tcPr>
        <w:shd w:val="clear" w:color="auto" w:fill="F5CB3F"/>
      </w:tcPr>
    </w:tblStylePr>
    <w:tblStylePr w:type="band1Horz">
      <w:tblPr/>
      <w:tcPr>
        <w:shd w:val="clear" w:color="auto" w:fill="F5CB3F"/>
      </w:tcPr>
    </w:tblStylePr>
  </w:style>
  <w:style w:type="table" w:styleId="TableGrid">
    <w:name w:val="Table Grid"/>
    <w:basedOn w:val="TableNormal"/>
    <w:uiPriority w:val="59"/>
    <w:locked/>
    <w:rsid w:val="00FB08E3"/>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8E4FA4"/>
  </w:style>
  <w:style w:type="character" w:styleId="Strong">
    <w:name w:val="Strong"/>
    <w:uiPriority w:val="22"/>
    <w:qFormat/>
    <w:locked/>
    <w:rsid w:val="00677C5F"/>
    <w:rPr>
      <w:b/>
      <w:bCs/>
    </w:rPr>
  </w:style>
  <w:style w:type="numbering" w:customStyle="1" w:styleId="EIAbullets">
    <w:name w:val="EIA bullets"/>
    <w:uiPriority w:val="99"/>
    <w:rsid w:val="00752786"/>
    <w:pPr>
      <w:numPr>
        <w:numId w:val="8"/>
      </w:numPr>
    </w:pPr>
  </w:style>
  <w:style w:type="table" w:customStyle="1" w:styleId="TableGrid1">
    <w:name w:val="Table Grid1"/>
    <w:basedOn w:val="TableNormal"/>
    <w:next w:val="TableGrid"/>
    <w:uiPriority w:val="59"/>
    <w:locked/>
    <w:rsid w:val="00612A58"/>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table" w:customStyle="1" w:styleId="TableGrid2">
    <w:name w:val="Table Grid2"/>
    <w:basedOn w:val="TableNormal"/>
    <w:next w:val="TableGrid"/>
    <w:uiPriority w:val="59"/>
    <w:locked/>
    <w:rsid w:val="00C9047C"/>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table" w:customStyle="1" w:styleId="TableGrid3">
    <w:name w:val="Table Grid3"/>
    <w:basedOn w:val="TableNormal"/>
    <w:next w:val="TableGrid"/>
    <w:uiPriority w:val="59"/>
    <w:locked/>
    <w:rsid w:val="00330D13"/>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character" w:styleId="CommentReference">
    <w:name w:val="annotation reference"/>
    <w:uiPriority w:val="99"/>
    <w:semiHidden/>
    <w:unhideWhenUsed/>
    <w:locked/>
    <w:rsid w:val="005F778C"/>
    <w:rPr>
      <w:sz w:val="16"/>
      <w:szCs w:val="16"/>
    </w:rPr>
  </w:style>
  <w:style w:type="paragraph" w:styleId="CommentText">
    <w:name w:val="annotation text"/>
    <w:basedOn w:val="Normal"/>
    <w:link w:val="CommentTextChar"/>
    <w:uiPriority w:val="99"/>
    <w:unhideWhenUsed/>
    <w:locked/>
    <w:rsid w:val="005F778C"/>
    <w:pPr>
      <w:spacing w:line="240" w:lineRule="auto"/>
    </w:pPr>
    <w:rPr>
      <w:sz w:val="20"/>
      <w:szCs w:val="20"/>
    </w:rPr>
  </w:style>
  <w:style w:type="character" w:customStyle="1" w:styleId="CommentTextChar">
    <w:name w:val="Comment Text Char"/>
    <w:link w:val="CommentText"/>
    <w:uiPriority w:val="99"/>
    <w:rsid w:val="005F778C"/>
    <w:rPr>
      <w:sz w:val="20"/>
      <w:szCs w:val="20"/>
    </w:rPr>
  </w:style>
  <w:style w:type="paragraph" w:styleId="CommentSubject">
    <w:name w:val="annotation subject"/>
    <w:basedOn w:val="CommentText"/>
    <w:next w:val="CommentText"/>
    <w:link w:val="CommentSubjectChar"/>
    <w:uiPriority w:val="99"/>
    <w:semiHidden/>
    <w:unhideWhenUsed/>
    <w:locked/>
    <w:rsid w:val="005F778C"/>
    <w:rPr>
      <w:b/>
      <w:bCs/>
    </w:rPr>
  </w:style>
  <w:style w:type="character" w:customStyle="1" w:styleId="CommentSubjectChar">
    <w:name w:val="Comment Subject Char"/>
    <w:link w:val="CommentSubject"/>
    <w:uiPriority w:val="99"/>
    <w:semiHidden/>
    <w:rsid w:val="005F778C"/>
    <w:rPr>
      <w:b/>
      <w:bCs/>
      <w:sz w:val="20"/>
      <w:szCs w:val="20"/>
    </w:rPr>
  </w:style>
  <w:style w:type="paragraph" w:styleId="TOC5">
    <w:name w:val="toc 5"/>
    <w:basedOn w:val="Normal"/>
    <w:next w:val="Normal"/>
    <w:autoRedefine/>
    <w:uiPriority w:val="39"/>
    <w:unhideWhenUsed/>
    <w:locked/>
    <w:rsid w:val="00AD6244"/>
    <w:pPr>
      <w:spacing w:after="100"/>
      <w:ind w:left="1440"/>
    </w:pPr>
  </w:style>
  <w:style w:type="character" w:styleId="FootnoteReference">
    <w:name w:val="footnote reference"/>
    <w:uiPriority w:val="99"/>
    <w:semiHidden/>
    <w:rsid w:val="0051262A"/>
    <w:rPr>
      <w:vertAlign w:val="superscript"/>
    </w:rPr>
  </w:style>
  <w:style w:type="paragraph" w:customStyle="1" w:styleId="P1-StandPara">
    <w:name w:val="P1-Stand Para"/>
    <w:rsid w:val="003A274B"/>
    <w:pPr>
      <w:spacing w:line="360" w:lineRule="atLeast"/>
      <w:ind w:firstLine="1152"/>
      <w:jc w:val="both"/>
    </w:pPr>
    <w:rPr>
      <w:rFonts w:ascii="Times New Roman" w:eastAsia="Times New Roman" w:hAnsi="Times New Roman"/>
      <w:sz w:val="22"/>
    </w:rPr>
  </w:style>
  <w:style w:type="paragraph" w:styleId="Revision">
    <w:name w:val="Revision"/>
    <w:hidden/>
    <w:uiPriority w:val="99"/>
    <w:semiHidden/>
    <w:rsid w:val="008C05FE"/>
    <w:rPr>
      <w:sz w:val="22"/>
      <w:szCs w:val="22"/>
    </w:rPr>
  </w:style>
  <w:style w:type="character" w:styleId="Mention">
    <w:name w:val="Mention"/>
    <w:basedOn w:val="DefaultParagraphFont"/>
    <w:uiPriority w:val="99"/>
    <w:unhideWhenUsed/>
    <w:rsid w:val="00C173D5"/>
    <w:rPr>
      <w:color w:val="2B579A"/>
      <w:shd w:val="clear" w:color="auto" w:fill="E1DFDD"/>
    </w:rPr>
  </w:style>
  <w:style w:type="paragraph" w:styleId="HTMLPreformatted">
    <w:name w:val="HTML Preformatted"/>
    <w:basedOn w:val="Normal"/>
    <w:link w:val="HTMLPreformattedChar"/>
    <w:locked/>
    <w:rsid w:val="00E2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21E25"/>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yperlink" Target="file:///C:/Users/ace/OneDrive%20-%20Energy%20Information%20Administration/Desktop/A.dot"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3.xml" /><Relationship Id="rId18" Type="http://schemas.openxmlformats.org/officeDocument/2006/relationships/header" Target="header3.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header" Target="header4.xml" /><Relationship Id="rId22" Type="http://schemas.openxmlformats.org/officeDocument/2006/relationships/header" Target="header5.xml" /><Relationship Id="rId23" Type="http://schemas.openxmlformats.org/officeDocument/2006/relationships/footer" Target="footer6.xml" /><Relationship Id="rId24" Type="http://schemas.openxmlformats.org/officeDocument/2006/relationships/header" Target="header6.xml" /><Relationship Id="rId25" Type="http://schemas.openxmlformats.org/officeDocument/2006/relationships/footer" Target="footer7.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presidential-actions/2025/01/declaring-a-national-energy-emergency/" TargetMode="External" /><Relationship Id="rId2" Type="http://schemas.openxmlformats.org/officeDocument/2006/relationships/hyperlink" Target="https://www.federalregister.gov/documents/2025/04/14/2025-06381/strengthening-thereliability-and-security-of-the-united-states-electric-grid" TargetMode="External" /><Relationship Id="rId3" Type="http://schemas.openxmlformats.org/officeDocument/2006/relationships/hyperlink" Target="https://www.federalregister.gov/documents/2025/12/16/2025-23092/ensuring-a-national-policy-framework-for-artificial-intelligence" TargetMode="External" /><Relationship Id="rId4" Type="http://schemas.openxmlformats.org/officeDocument/2006/relationships/hyperlink" Target="https://www.whitehouse.gov/presidential-actions/2025/04/strengthening-the-reliability-and-security-of-the-united-states-electric-grid/" TargetMode="External" /><Relationship Id="rId5" Type="http://schemas.openxmlformats.org/officeDocument/2006/relationships/hyperlink" Target="https://www.energy.gov/ceser/2026-doe-202c-orders"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fa\OneDrive%20-%20Energy%20Information%20Administration\Desktop\Survey_Development\MECS\MECS%202026\Supporting%20Statement%20A%20Template.docx.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_ApprovalAssignedTo xmlns="d588c4e7-d2ae-4a4b-9907-42eca676916f">
      <UserInfo>
        <DisplayName/>
        <AccountId xsi:nil="true"/>
        <AccountType/>
      </UserInfo>
    </_ApprovalAssignedTo>
    <_ApprovalSentBy xmlns="d588c4e7-d2ae-4a4b-9907-42eca676916f">
      <UserInfo>
        <DisplayName/>
        <AccountId xsi:nil="true"/>
        <AccountType/>
      </UserInfo>
    </_ApprovalSentBy>
    <_ApprovalStatus xmlns="d588c4e7-d2ae-4a4b-9907-42eca676916f">0</_ApprovalStatus>
    <_ApprovalRespondedBy xmlns="d588c4e7-d2ae-4a4b-9907-42eca676916f">
      <UserInfo>
        <DisplayName/>
        <AccountId xsi:nil="true"/>
        <AccountType/>
      </UserInfo>
    </_ApprovalRespondedB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24" ma:contentTypeDescription="Create a new document." ma:contentTypeScope="" ma:versionID="bddfece69c4e14700d7e0111ade2048a">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97d2ff85dfba41cc278ca16614455d12"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OCR"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_ApprovalAssignedTo" ma:index="2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7"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D6665B-B363-4372-B9C2-CB1D8144ACFC}">
  <ds:schemaRefs>
    <ds:schemaRef ds:uri="http://schemas.microsoft.com/office/2006/metadata/properties"/>
    <ds:schemaRef ds:uri="http://schemas.microsoft.com/office/infopath/2007/PartnerControls"/>
    <ds:schemaRef ds:uri="d588c4e7-d2ae-4a4b-9907-42eca676916f"/>
    <ds:schemaRef ds:uri="0ecc70da-eab6-411d-8058-deb5dffcc27c"/>
  </ds:schemaRefs>
</ds:datastoreItem>
</file>

<file path=customXml/itemProps3.xml><?xml version="1.0" encoding="utf-8"?>
<ds:datastoreItem xmlns:ds="http://schemas.openxmlformats.org/officeDocument/2006/customXml" ds:itemID="{EB2A863B-66FF-4EFC-9A7F-E7C93993666C}">
  <ds:schemaRefs>
    <ds:schemaRef ds:uri="http://schemas.openxmlformats.org/officeDocument/2006/bibliography"/>
  </ds:schemaRefs>
</ds:datastoreItem>
</file>

<file path=customXml/itemProps4.xml><?xml version="1.0" encoding="utf-8"?>
<ds:datastoreItem xmlns:ds="http://schemas.openxmlformats.org/officeDocument/2006/customXml" ds:itemID="{1720615A-E0FA-4B03-8025-E48A82AA15DB}">
  <ds:schemaRefs>
    <ds:schemaRef ds:uri="http://schemas.microsoft.com/sharepoint/v3/contenttype/forms"/>
  </ds:schemaRefs>
</ds:datastoreItem>
</file>

<file path=customXml/itemProps5.xml><?xml version="1.0" encoding="utf-8"?>
<ds:datastoreItem xmlns:ds="http://schemas.openxmlformats.org/officeDocument/2006/customXml" ds:itemID="{84326240-F16A-49B7-8E79-B3AF9AE4E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Supporting Statement A Template.docx</Template>
  <TotalTime>2</TotalTime>
  <Pages>12</Pages>
  <Words>3496</Words>
  <Characters>20350</Characters>
  <Application>Microsoft Office Word</Application>
  <DocSecurity>0</DocSecurity>
  <Lines>521</Lines>
  <Paragraphs>186</Paragraphs>
  <ScaleCrop>false</ScaleCrop>
  <Company/>
  <LinksUpToDate>false</LinksUpToDate>
  <CharactersWithSpaces>23660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&lt;Title of Information Collection Request&gt;</dc:title>
  <dc:subject>Shortened document title</dc:subject>
  <dc:creator>Aloulou, Faouzi</dc:creator>
  <cp:lastModifiedBy>Morales, Gerson</cp:lastModifiedBy>
  <cp:revision>105</cp:revision>
  <cp:lastPrinted>2011-12-12T20:42:00Z</cp:lastPrinted>
  <dcterms:created xsi:type="dcterms:W3CDTF">2025-04-01T16:31:00Z</dcterms:created>
  <dcterms:modified xsi:type="dcterms:W3CDTF">2026-07-21T15:11:00Z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docLang">
    <vt:lpwstr>en</vt:lpwstr>
  </property>
  <property fmtid="{D5CDD505-2E9C-101B-9397-08002B2CF9AE}" pid="4" name="MediaServiceImageTags">
    <vt:lpwstr/>
  </property>
</Properties>
</file>