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01E4" w:rsidP="00DE7A1C" w14:paraId="09853739" w14:textId="77777777">
      <w:pPr>
        <w:rPr>
          <w:noProof/>
        </w:rPr>
      </w:pPr>
    </w:p>
    <w:p w:rsidR="00041909" w:rsidP="00313D14" w14:paraId="56A44E3D" w14:textId="4D233F49">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785A4D67" w14:textId="77777777"/>
    <w:p w:rsidR="00D928FD" w:rsidP="00313D14" w14:paraId="3B58610E" w14:textId="77777777">
      <w:r>
        <w:tab/>
      </w:r>
    </w:p>
    <w:p w:rsidR="00D928FD" w14:paraId="48901AA5" w14:textId="77777777"/>
    <w:p w:rsidR="00D928FD" w14:paraId="5B5B0D7F" w14:textId="77777777"/>
    <w:p w:rsidR="00D928FD" w14:paraId="4F21AE02" w14:textId="77777777"/>
    <w:p w:rsidR="001F3A8F" w:rsidP="00313D14" w14:paraId="5A1D59A4" w14:textId="13C4CCF4">
      <w:r>
        <w:rPr>
          <w:noProof/>
        </w:rPr>
        <mc:AlternateContent>
          <mc:Choice Requires="wps">
            <w:drawing>
              <wp:anchor distT="0" distB="0" distL="114300" distR="114300" simplePos="0" relativeHeight="251658240" behindDoc="0" locked="0" layoutInCell="1" allowOverlap="1">
                <wp:simplePos x="0" y="0"/>
                <wp:positionH relativeFrom="margin">
                  <wp:posOffset>361950</wp:posOffset>
                </wp:positionH>
                <wp:positionV relativeFrom="paragraph">
                  <wp:posOffset>958850</wp:posOffset>
                </wp:positionV>
                <wp:extent cx="4991100" cy="20193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2019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9F61F7" w:rsidP="00313D14" w14:textId="565720BB">
                            <w:pPr>
                              <w:spacing w:line="276" w:lineRule="auto"/>
                              <w:rPr>
                                <w:b/>
                                <w:sz w:val="60"/>
                                <w:szCs w:val="60"/>
                              </w:rPr>
                            </w:pPr>
                            <w:r>
                              <w:rPr>
                                <w:rFonts w:ascii="Times New Roman" w:hAnsi="Times New Roman"/>
                                <w:b/>
                                <w:color w:val="139CD8"/>
                                <w:sz w:val="60"/>
                                <w:szCs w:val="60"/>
                              </w:rPr>
                              <w:t xml:space="preserve">Supporting Statement for </w:t>
                            </w:r>
                            <w:r w:rsidRPr="008F2341" w:rsidR="008F2341">
                              <w:rPr>
                                <w:rFonts w:ascii="Times New Roman" w:hAnsi="Times New Roman"/>
                                <w:b/>
                                <w:color w:val="139CD8"/>
                                <w:sz w:val="60"/>
                                <w:szCs w:val="60"/>
                              </w:rPr>
                              <w:t xml:space="preserve">EIA-860S (Supplement) – </w:t>
                            </w:r>
                            <w:r w:rsidR="00704D98">
                              <w:rPr>
                                <w:rFonts w:ascii="Times New Roman" w:hAnsi="Times New Roman"/>
                                <w:b/>
                                <w:color w:val="139CD8"/>
                                <w:sz w:val="60"/>
                                <w:szCs w:val="60"/>
                              </w:rPr>
                              <w:t xml:space="preserve">Voluntary </w:t>
                            </w:r>
                            <w:r w:rsidRPr="008F2341" w:rsidR="008F2341">
                              <w:rPr>
                                <w:rFonts w:ascii="Times New Roman" w:hAnsi="Times New Roman"/>
                                <w:b/>
                                <w:color w:val="139CD8"/>
                                <w:sz w:val="60"/>
                                <w:szCs w:val="60"/>
                              </w:rPr>
                              <w:t>State Level Generator Air Permit Inventory</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5" type="#_x0000_t202" style="width:393pt;height:159pt;margin-top:75.5pt;margin-left:28.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9F61F7" w:rsidP="00313D14" w14:paraId="60364942" w14:textId="565720BB">
                      <w:pPr>
                        <w:spacing w:line="276" w:lineRule="auto"/>
                        <w:rPr>
                          <w:b/>
                          <w:sz w:val="60"/>
                          <w:szCs w:val="60"/>
                        </w:rPr>
                      </w:pPr>
                      <w:r>
                        <w:rPr>
                          <w:rFonts w:ascii="Times New Roman" w:hAnsi="Times New Roman"/>
                          <w:b/>
                          <w:color w:val="139CD8"/>
                          <w:sz w:val="60"/>
                          <w:szCs w:val="60"/>
                        </w:rPr>
                        <w:t xml:space="preserve">Supporting Statement for </w:t>
                      </w:r>
                      <w:r w:rsidRPr="008F2341" w:rsidR="008F2341">
                        <w:rPr>
                          <w:rFonts w:ascii="Times New Roman" w:hAnsi="Times New Roman"/>
                          <w:b/>
                          <w:color w:val="139CD8"/>
                          <w:sz w:val="60"/>
                          <w:szCs w:val="60"/>
                        </w:rPr>
                        <w:t xml:space="preserve">EIA-860S (Supplement) – </w:t>
                      </w:r>
                      <w:r w:rsidR="00704D98">
                        <w:rPr>
                          <w:rFonts w:ascii="Times New Roman" w:hAnsi="Times New Roman"/>
                          <w:b/>
                          <w:color w:val="139CD8"/>
                          <w:sz w:val="60"/>
                          <w:szCs w:val="60"/>
                        </w:rPr>
                        <w:t xml:space="preserve">Voluntary </w:t>
                      </w:r>
                      <w:r w:rsidRPr="008F2341" w:rsidR="008F2341">
                        <w:rPr>
                          <w:rFonts w:ascii="Times New Roman" w:hAnsi="Times New Roman"/>
                          <w:b/>
                          <w:color w:val="139CD8"/>
                          <w:sz w:val="60"/>
                          <w:szCs w:val="60"/>
                        </w:rPr>
                        <w:t>State Level Generator Air Permit Inventory</w:t>
                      </w:r>
                    </w:p>
                  </w:txbxContent>
                </v:textbox>
                <w10:wrap anchorx="margin"/>
              </v:shape>
            </w:pict>
          </mc:Fallback>
        </mc:AlternateContent>
      </w:r>
      <w:r w:rsidR="00A076DE">
        <w:rPr>
          <w:noProof/>
        </w:rPr>
        <mc:AlternateContent>
          <mc:Choice Requires="wps">
            <w:drawing>
              <wp:anchor distT="0" distB="0" distL="114300" distR="114300" simplePos="0" relativeHeight="251667456" behindDoc="0" locked="0" layoutInCell="1" allowOverlap="1">
                <wp:simplePos x="0" y="0"/>
                <wp:positionH relativeFrom="margin">
                  <wp:posOffset>388620</wp:posOffset>
                </wp:positionH>
                <wp:positionV relativeFrom="margin">
                  <wp:posOffset>5821680</wp:posOffset>
                </wp:positionV>
                <wp:extent cx="5318760" cy="1844040"/>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84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E054DF" w14:textId="3F90395D">
                            <w:pPr>
                              <w:pStyle w:val="Boxtext"/>
                              <w:rPr>
                                <w:rFonts w:ascii="Times New Roman" w:hAnsi="Times New Roman"/>
                                <w:sz w:val="36"/>
                                <w:szCs w:val="36"/>
                              </w:rPr>
                            </w:pPr>
                            <w:bookmarkStart w:id="0" w:name="_Toc466046933"/>
                            <w:r w:rsidRPr="00E054DF">
                              <w:rPr>
                                <w:rStyle w:val="Heading1Char"/>
                              </w:rPr>
                              <w:t>Part B: Collections of Information Employing Statistical Methods</w:t>
                            </w:r>
                            <w:bookmarkEnd w:id="0"/>
                            <w:r>
                              <w:br/>
                            </w:r>
                            <w:r w:rsidRPr="00E054DF">
                              <w:rPr>
                                <w:rFonts w:ascii="Times New Roman" w:hAnsi="Times New Roman"/>
                                <w:sz w:val="36"/>
                                <w:szCs w:val="36"/>
                              </w:rPr>
                              <w:t>OMB No. 1905-</w:t>
                            </w:r>
                            <w:r w:rsidR="008F2341">
                              <w:rPr>
                                <w:rFonts w:ascii="Times New Roman" w:hAnsi="Times New Roman"/>
                                <w:sz w:val="36"/>
                                <w:szCs w:val="36"/>
                              </w:rPr>
                              <w:t>0215</w:t>
                            </w:r>
                          </w:p>
                          <w:p w:rsidR="00E054DF" w:rsidRPr="0059212D" w:rsidP="008F2341" w14:textId="18A7A676">
                            <w:pPr>
                              <w:rPr>
                                <w:i/>
                                <w:sz w:val="28"/>
                                <w:szCs w:val="28"/>
                              </w:rPr>
                            </w:pPr>
                            <w:r w:rsidRPr="0059212D">
                              <w:rPr>
                                <w:i/>
                                <w:sz w:val="28"/>
                                <w:szCs w:val="28"/>
                              </w:rPr>
                              <w:t>Form EIA-</w:t>
                            </w:r>
                            <w:r>
                              <w:rPr>
                                <w:i/>
                                <w:sz w:val="28"/>
                                <w:szCs w:val="28"/>
                              </w:rPr>
                              <w:t>860S</w:t>
                            </w:r>
                            <w:r w:rsidRPr="0059212D">
                              <w:rPr>
                                <w:i/>
                                <w:sz w:val="28"/>
                                <w:szCs w:val="28"/>
                              </w:rPr>
                              <w:t xml:space="preserve">, </w:t>
                            </w:r>
                            <w:r w:rsidR="0051657E">
                              <w:rPr>
                                <w:i/>
                                <w:sz w:val="28"/>
                                <w:szCs w:val="28"/>
                              </w:rPr>
                              <w:t xml:space="preserve">Voluntary </w:t>
                            </w:r>
                            <w:r w:rsidRPr="00F46202">
                              <w:rPr>
                                <w:i/>
                                <w:sz w:val="28"/>
                                <w:szCs w:val="28"/>
                              </w:rPr>
                              <w:t>State Level Generator Air Permit Inventory</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26" type="#_x0000_t202" style="width:418.8pt;height:145.2pt;margin-top:458.4pt;margin-left:3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E054DF" w14:paraId="5FB12764" w14:textId="3F90395D">
                      <w:pPr>
                        <w:pStyle w:val="Boxtext"/>
                        <w:rPr>
                          <w:rFonts w:ascii="Times New Roman" w:hAnsi="Times New Roman"/>
                          <w:sz w:val="36"/>
                          <w:szCs w:val="36"/>
                        </w:rPr>
                      </w:pPr>
                      <w:bookmarkStart w:id="0" w:name="_Toc466046933"/>
                      <w:r w:rsidRPr="00E054DF">
                        <w:rPr>
                          <w:rStyle w:val="Heading1Char"/>
                        </w:rPr>
                        <w:t>Part B: Collections of Information Employing Statistical Methods</w:t>
                      </w:r>
                      <w:bookmarkEnd w:id="0"/>
                      <w:r>
                        <w:br/>
                      </w:r>
                      <w:r w:rsidRPr="00E054DF">
                        <w:rPr>
                          <w:rFonts w:ascii="Times New Roman" w:hAnsi="Times New Roman"/>
                          <w:sz w:val="36"/>
                          <w:szCs w:val="36"/>
                        </w:rPr>
                        <w:t>OMB No. 1905-</w:t>
                      </w:r>
                      <w:r w:rsidR="008F2341">
                        <w:rPr>
                          <w:rFonts w:ascii="Times New Roman" w:hAnsi="Times New Roman"/>
                          <w:sz w:val="36"/>
                          <w:szCs w:val="36"/>
                        </w:rPr>
                        <w:t>0215</w:t>
                      </w:r>
                    </w:p>
                    <w:p w:rsidR="00E054DF" w:rsidRPr="0059212D" w:rsidP="008F2341" w14:paraId="2A40FF5F" w14:textId="18A7A676">
                      <w:pPr>
                        <w:rPr>
                          <w:i/>
                          <w:sz w:val="28"/>
                          <w:szCs w:val="28"/>
                        </w:rPr>
                      </w:pPr>
                      <w:r w:rsidRPr="0059212D">
                        <w:rPr>
                          <w:i/>
                          <w:sz w:val="28"/>
                          <w:szCs w:val="28"/>
                        </w:rPr>
                        <w:t>Form EIA-</w:t>
                      </w:r>
                      <w:r>
                        <w:rPr>
                          <w:i/>
                          <w:sz w:val="28"/>
                          <w:szCs w:val="28"/>
                        </w:rPr>
                        <w:t>860S</w:t>
                      </w:r>
                      <w:r w:rsidRPr="0059212D">
                        <w:rPr>
                          <w:i/>
                          <w:sz w:val="28"/>
                          <w:szCs w:val="28"/>
                        </w:rPr>
                        <w:t xml:space="preserve">, </w:t>
                      </w:r>
                      <w:r w:rsidR="0051657E">
                        <w:rPr>
                          <w:i/>
                          <w:sz w:val="28"/>
                          <w:szCs w:val="28"/>
                        </w:rPr>
                        <w:t xml:space="preserve">Voluntary </w:t>
                      </w:r>
                      <w:r w:rsidRPr="00F46202">
                        <w:rPr>
                          <w:i/>
                          <w:sz w:val="28"/>
                          <w:szCs w:val="28"/>
                        </w:rPr>
                        <w:t>State Level Generator Air Permit Inventory</w:t>
                      </w:r>
                    </w:p>
                  </w:txbxContent>
                </v:textbox>
                <w10:wrap type="square"/>
              </v:shape>
            </w:pict>
          </mc:Fallback>
        </mc:AlternateContent>
      </w:r>
      <w:r w:rsidR="00A076DE">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E054DF" w:rsidP="004D236B" w14:paraId="6AAA5EF2"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www.eia.gov</w:t>
                      </w:r>
                    </w:p>
                    <w:p w:rsidR="00EA779A" w:rsidRPr="00E054DF" w:rsidP="004D236B" w14:paraId="25095810" w14:textId="77777777">
                      <w:pPr>
                        <w:spacing w:after="0" w:line="240" w:lineRule="auto"/>
                        <w:jc w:val="right"/>
                        <w:rPr>
                          <w:rFonts w:ascii="Franklin Gothic Book" w:hAnsi="Franklin Gothic Book"/>
                          <w:color w:val="808080"/>
                          <w:kern w:val="24"/>
                          <w:sz w:val="20"/>
                        </w:rPr>
                      </w:pPr>
                      <w:r w:rsidRPr="00E054DF">
                        <w:rPr>
                          <w:rFonts w:ascii="Franklin Gothic Book" w:hAnsi="Franklin Gothic Book"/>
                          <w:color w:val="808080"/>
                          <w:kern w:val="24"/>
                          <w:sz w:val="20"/>
                        </w:rPr>
                        <w:t>U.S. Department of Energy</w:t>
                      </w:r>
                    </w:p>
                    <w:p w:rsidR="00EA779A" w:rsidRPr="00E054DF" w:rsidP="004D236B" w14:paraId="728411BC" w14:textId="77777777">
                      <w:pPr>
                        <w:spacing w:before="40" w:after="0" w:line="240" w:lineRule="auto"/>
                        <w:jc w:val="right"/>
                        <w:rPr>
                          <w:rFonts w:ascii="Franklin Gothic Book" w:eastAsia="Times New Roman" w:hAnsi="Franklin Gothic Book"/>
                          <w:color w:val="808080"/>
                          <w:sz w:val="20"/>
                        </w:rPr>
                      </w:pPr>
                      <w:r w:rsidRPr="00E054DF">
                        <w:rPr>
                          <w:rFonts w:ascii="Franklin Gothic Book" w:hAnsi="Franklin Gothic Book"/>
                          <w:color w:val="808080"/>
                          <w:kern w:val="24"/>
                          <w:sz w:val="20"/>
                        </w:rPr>
                        <w:t>Washington, DC 20585</w:t>
                      </w:r>
                    </w:p>
                  </w:txbxContent>
                </v:textbox>
                <w10:wrap type="square"/>
              </v:shape>
            </w:pict>
          </mc:Fallback>
        </mc:AlternateContent>
      </w:r>
      <w:r w:rsidR="00A076DE">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3120A8A4">
                            <w:r w:rsidRPr="00583CFD">
                              <w:rPr>
                                <w:noProof/>
                              </w:rPr>
                              <w:drawing>
                                <wp:inline distT="0" distB="0" distL="0" distR="0">
                                  <wp:extent cx="2162175" cy="476250"/>
                                  <wp:effectExtent l="0" t="0" r="0" b="0"/>
                                  <wp:docPr id="1788329737"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29737"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2E263D52" w14:textId="3120A8A4">
                      <w:drawing>
                        <wp:inline distT="0" distB="0" distL="0" distR="0">
                          <wp:extent cx="2162175" cy="476250"/>
                          <wp:effectExtent l="0" t="0" r="0" b="0"/>
                          <wp:docPr id="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descr="C:\Users\ace\AppData\Local\Microsoft\Windows\INetCache\Content.Word\eialogo_fullcolor.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A076DE">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5288280</wp:posOffset>
                </wp:positionV>
                <wp:extent cx="2377440" cy="477520"/>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775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E054DF" w14:textId="30EBA670">
                            <w:pPr>
                              <w:rPr>
                                <w:rFonts w:ascii="Franklin Gothic Medium" w:hAnsi="Franklin Gothic Medium"/>
                                <w:color w:val="7F7F7F"/>
                                <w:sz w:val="36"/>
                              </w:rPr>
                            </w:pPr>
                            <w:r>
                              <w:rPr>
                                <w:rFonts w:ascii="Franklin Gothic Medium" w:hAnsi="Franklin Gothic Medium"/>
                                <w:color w:val="7F7F7F"/>
                                <w:sz w:val="36"/>
                              </w:rPr>
                              <w:t>July</w:t>
                            </w:r>
                            <w:r w:rsidRPr="00E054DF" w:rsidR="00E054DF">
                              <w:rPr>
                                <w:rFonts w:ascii="Franklin Gothic Medium" w:hAnsi="Franklin Gothic Medium"/>
                                <w:color w:val="7F7F7F"/>
                                <w:sz w:val="36"/>
                              </w:rPr>
                              <w:t xml:space="preserve"> 202</w:t>
                            </w:r>
                            <w:r w:rsidR="008F2341">
                              <w:rPr>
                                <w:rFonts w:ascii="Franklin Gothic Medium" w:hAnsi="Franklin Gothic Medium"/>
                                <w:color w:val="7F7F7F"/>
                                <w:sz w:val="36"/>
                              </w:rPr>
                              <w:t>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width:187.2pt;height:37.6pt;margin-top:416.4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E054DF" w14:paraId="27203E54" w14:textId="30EBA670">
                      <w:pPr>
                        <w:rPr>
                          <w:rFonts w:ascii="Franklin Gothic Medium" w:hAnsi="Franklin Gothic Medium"/>
                          <w:color w:val="7F7F7F"/>
                          <w:sz w:val="36"/>
                        </w:rPr>
                      </w:pPr>
                      <w:r>
                        <w:rPr>
                          <w:rFonts w:ascii="Franklin Gothic Medium" w:hAnsi="Franklin Gothic Medium"/>
                          <w:color w:val="7F7F7F"/>
                          <w:sz w:val="36"/>
                        </w:rPr>
                        <w:t>July</w:t>
                      </w:r>
                      <w:r w:rsidRPr="00E054DF" w:rsidR="00E054DF">
                        <w:rPr>
                          <w:rFonts w:ascii="Franklin Gothic Medium" w:hAnsi="Franklin Gothic Medium"/>
                          <w:color w:val="7F7F7F"/>
                          <w:sz w:val="36"/>
                        </w:rPr>
                        <w:t xml:space="preserve"> 202</w:t>
                      </w:r>
                      <w:r w:rsidR="008F2341">
                        <w:rPr>
                          <w:rFonts w:ascii="Franklin Gothic Medium" w:hAnsi="Franklin Gothic Medium"/>
                          <w:color w:val="7F7F7F"/>
                          <w:sz w:val="36"/>
                        </w:rPr>
                        <w:t>6</w:t>
                      </w:r>
                    </w:p>
                  </w:txbxContent>
                </v:textbox>
                <w10:wrap type="square"/>
              </v:shape>
            </w:pict>
          </mc:Fallback>
        </mc:AlternateContent>
      </w:r>
      <w:r w:rsidR="001F3A8F">
        <w:br w:type="page"/>
      </w:r>
    </w:p>
    <w:p w:rsidR="00755C3D" w14:paraId="3304DD64" w14:textId="77777777">
      <w:pPr>
        <w:sectPr w:rsidSect="00206D5A">
          <w:footerReference w:type="default" r:id="rId11"/>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5CAE25FC" w14:textId="77777777"/>
    <w:p w:rsidR="001F3A8F" w14:paraId="1FF41A87" w14:textId="77777777"/>
    <w:p w:rsidR="001F3A8F" w14:paraId="72AA68AF" w14:textId="77777777"/>
    <w:p w:rsidR="001F3A8F" w14:paraId="0E7EF1E5" w14:textId="77777777"/>
    <w:p w:rsidR="001F3A8F" w14:paraId="37129C75" w14:textId="77777777"/>
    <w:p w:rsidR="001F3A8F" w14:paraId="60090C2B" w14:textId="77777777"/>
    <w:p w:rsidR="001F3A8F" w14:paraId="5624BB64" w14:textId="77777777"/>
    <w:p w:rsidR="001F3A8F" w14:paraId="5A35C923" w14:textId="77777777"/>
    <w:p w:rsidR="001F3A8F" w14:paraId="5C722D70" w14:textId="77777777"/>
    <w:p w:rsidR="001F3A8F" w14:paraId="234606D8" w14:textId="77777777"/>
    <w:p w:rsidR="001F3A8F" w14:paraId="50814830" w14:textId="77777777"/>
    <w:p w:rsidR="001F3A8F" w14:paraId="0ABB2A5D" w14:textId="77777777"/>
    <w:p w:rsidR="001F3A8F" w14:paraId="4954EBDB" w14:textId="77777777"/>
    <w:p w:rsidR="001F3A8F" w14:paraId="59E901A1" w14:textId="77777777"/>
    <w:p w:rsidR="001F3A8F" w14:paraId="5AF06BDB" w14:textId="77777777"/>
    <w:p w:rsidR="001F3A8F" w14:paraId="54669FC0" w14:textId="77777777"/>
    <w:p w:rsidR="001F3A8F" w14:paraId="000B77DF" w14:textId="77777777"/>
    <w:p w:rsidR="001F3A8F" w14:paraId="530267CC" w14:textId="77777777"/>
    <w:p w:rsidR="001F3A8F" w14:paraId="1E54E962" w14:textId="77777777"/>
    <w:p w:rsidR="001F3A8F" w14:paraId="3A8A27C6" w14:textId="77777777"/>
    <w:p w:rsidR="008F2341" w:rsidP="008F2341" w14:paraId="0457BE18" w14:textId="77777777">
      <w:pPr>
        <w:pStyle w:val="TOCHeading"/>
        <w:spacing w:before="0" w:after="0"/>
      </w:pPr>
    </w:p>
    <w:p w:rsidR="008F2341" w:rsidP="008F2341" w14:paraId="23278852" w14:textId="77777777">
      <w:pPr>
        <w:pStyle w:val="TOCHeading"/>
        <w:spacing w:before="0" w:after="0"/>
      </w:pPr>
    </w:p>
    <w:p w:rsidR="008F2341" w:rsidP="008F2341" w14:paraId="6AA64DD0" w14:textId="61E24F4F">
      <w:pPr>
        <w:pStyle w:val="TOCHeading"/>
        <w:spacing w:before="0" w:after="0"/>
      </w:pPr>
    </w:p>
    <w:p w:rsidR="008F2341" w:rsidP="008F2341" w14:paraId="7D3F56AC" w14:textId="77777777"/>
    <w:p w:rsidR="008F2341" w:rsidRPr="008F2341" w:rsidP="008F2341" w14:paraId="7C2A4DA5" w14:textId="77777777"/>
    <w:p w:rsidR="00AD6244" w:rsidP="00E054DF" w14:paraId="5488D01C" w14:textId="3EA5687D">
      <w:pPr>
        <w:pStyle w:val="TOCHeading"/>
      </w:pPr>
      <w:r>
        <w:t>Table of Contents</w:t>
      </w:r>
    </w:p>
    <w:p w:rsidR="00E054DF" w:rsidRPr="00E054DF" w14:paraId="1FA4ACF2" w14:textId="77777777">
      <w:pPr>
        <w:pStyle w:val="TOC2"/>
        <w:rPr>
          <w:rFonts w:eastAsia="Times New Roman"/>
          <w:noProof/>
          <w:color w:val="auto"/>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28055326" w:history="1">
        <w:r w:rsidRPr="00B94719">
          <w:rPr>
            <w:rStyle w:val="Hyperlink"/>
            <w:noProof/>
          </w:rPr>
          <w:t>B.1. Respondent Universe</w:t>
        </w:r>
        <w:r>
          <w:rPr>
            <w:noProof/>
            <w:webHidden/>
          </w:rPr>
          <w:tab/>
        </w:r>
        <w:r>
          <w:rPr>
            <w:noProof/>
            <w:webHidden/>
          </w:rPr>
          <w:fldChar w:fldCharType="begin"/>
        </w:r>
        <w:r>
          <w:rPr>
            <w:noProof/>
            <w:webHidden/>
          </w:rPr>
          <w:instrText xml:space="preserve"> PAGEREF _Toc128055326 \h </w:instrText>
        </w:r>
        <w:r>
          <w:rPr>
            <w:noProof/>
            <w:webHidden/>
          </w:rPr>
          <w:fldChar w:fldCharType="separate"/>
        </w:r>
        <w:r>
          <w:rPr>
            <w:noProof/>
            <w:webHidden/>
          </w:rPr>
          <w:t>2</w:t>
        </w:r>
        <w:r>
          <w:rPr>
            <w:noProof/>
            <w:webHidden/>
          </w:rPr>
          <w:fldChar w:fldCharType="end"/>
        </w:r>
      </w:hyperlink>
    </w:p>
    <w:p w:rsidR="00E054DF" w:rsidRPr="00E054DF" w14:paraId="0B8B938A" w14:textId="77777777">
      <w:pPr>
        <w:pStyle w:val="TOC2"/>
        <w:rPr>
          <w:rFonts w:eastAsia="Times New Roman"/>
          <w:noProof/>
          <w:color w:val="auto"/>
        </w:rPr>
      </w:pPr>
      <w:hyperlink w:anchor="_Toc128055327" w:history="1">
        <w:r w:rsidRPr="00B94719">
          <w:rPr>
            <w:rStyle w:val="Hyperlink"/>
            <w:noProof/>
          </w:rPr>
          <w:t>B.2. Statistical Methods</w:t>
        </w:r>
        <w:r>
          <w:rPr>
            <w:noProof/>
            <w:webHidden/>
          </w:rPr>
          <w:tab/>
        </w:r>
        <w:r>
          <w:rPr>
            <w:noProof/>
            <w:webHidden/>
          </w:rPr>
          <w:fldChar w:fldCharType="begin"/>
        </w:r>
        <w:r>
          <w:rPr>
            <w:noProof/>
            <w:webHidden/>
          </w:rPr>
          <w:instrText xml:space="preserve"> PAGEREF _Toc128055327 \h </w:instrText>
        </w:r>
        <w:r>
          <w:rPr>
            <w:noProof/>
            <w:webHidden/>
          </w:rPr>
          <w:fldChar w:fldCharType="separate"/>
        </w:r>
        <w:r>
          <w:rPr>
            <w:noProof/>
            <w:webHidden/>
          </w:rPr>
          <w:t>2</w:t>
        </w:r>
        <w:r>
          <w:rPr>
            <w:noProof/>
            <w:webHidden/>
          </w:rPr>
          <w:fldChar w:fldCharType="end"/>
        </w:r>
      </w:hyperlink>
    </w:p>
    <w:p w:rsidR="00E054DF" w:rsidRPr="00E054DF" w14:paraId="04A7BD86" w14:textId="77777777">
      <w:pPr>
        <w:pStyle w:val="TOC2"/>
        <w:rPr>
          <w:rFonts w:eastAsia="Times New Roman"/>
          <w:noProof/>
          <w:color w:val="auto"/>
        </w:rPr>
      </w:pPr>
      <w:hyperlink w:anchor="_Toc128055328" w:history="1">
        <w:r w:rsidRPr="00B94719">
          <w:rPr>
            <w:rStyle w:val="Hyperlink"/>
            <w:noProof/>
          </w:rPr>
          <w:t>B.3. Maximizing Response Rates</w:t>
        </w:r>
        <w:r>
          <w:rPr>
            <w:noProof/>
            <w:webHidden/>
          </w:rPr>
          <w:tab/>
        </w:r>
        <w:r>
          <w:rPr>
            <w:noProof/>
            <w:webHidden/>
          </w:rPr>
          <w:fldChar w:fldCharType="begin"/>
        </w:r>
        <w:r>
          <w:rPr>
            <w:noProof/>
            <w:webHidden/>
          </w:rPr>
          <w:instrText xml:space="preserve"> PAGEREF _Toc128055328 \h </w:instrText>
        </w:r>
        <w:r>
          <w:rPr>
            <w:noProof/>
            <w:webHidden/>
          </w:rPr>
          <w:fldChar w:fldCharType="separate"/>
        </w:r>
        <w:r>
          <w:rPr>
            <w:noProof/>
            <w:webHidden/>
          </w:rPr>
          <w:t>2</w:t>
        </w:r>
        <w:r>
          <w:rPr>
            <w:noProof/>
            <w:webHidden/>
          </w:rPr>
          <w:fldChar w:fldCharType="end"/>
        </w:r>
      </w:hyperlink>
    </w:p>
    <w:p w:rsidR="00E054DF" w:rsidRPr="00E054DF" w14:paraId="321E6D7C" w14:textId="77777777">
      <w:pPr>
        <w:pStyle w:val="TOC2"/>
        <w:rPr>
          <w:rFonts w:eastAsia="Times New Roman"/>
          <w:noProof/>
          <w:color w:val="auto"/>
        </w:rPr>
      </w:pPr>
      <w:hyperlink w:anchor="_Toc128055329" w:history="1">
        <w:r w:rsidRPr="00B94719">
          <w:rPr>
            <w:rStyle w:val="Hyperlink"/>
            <w:noProof/>
          </w:rPr>
          <w:t>B.4. Test Procedures and Form Consultations</w:t>
        </w:r>
        <w:r>
          <w:rPr>
            <w:noProof/>
            <w:webHidden/>
          </w:rPr>
          <w:tab/>
        </w:r>
        <w:r>
          <w:rPr>
            <w:noProof/>
            <w:webHidden/>
          </w:rPr>
          <w:fldChar w:fldCharType="begin"/>
        </w:r>
        <w:r>
          <w:rPr>
            <w:noProof/>
            <w:webHidden/>
          </w:rPr>
          <w:instrText xml:space="preserve"> PAGEREF _Toc128055329 \h </w:instrText>
        </w:r>
        <w:r>
          <w:rPr>
            <w:noProof/>
            <w:webHidden/>
          </w:rPr>
          <w:fldChar w:fldCharType="separate"/>
        </w:r>
        <w:r>
          <w:rPr>
            <w:noProof/>
            <w:webHidden/>
          </w:rPr>
          <w:t>3</w:t>
        </w:r>
        <w:r>
          <w:rPr>
            <w:noProof/>
            <w:webHidden/>
          </w:rPr>
          <w:fldChar w:fldCharType="end"/>
        </w:r>
      </w:hyperlink>
    </w:p>
    <w:p w:rsidR="00E054DF" w:rsidRPr="00E054DF" w14:paraId="545B038A" w14:textId="77777777">
      <w:pPr>
        <w:pStyle w:val="TOC2"/>
        <w:rPr>
          <w:rFonts w:eastAsia="Times New Roman"/>
          <w:noProof/>
          <w:color w:val="auto"/>
        </w:rPr>
      </w:pPr>
      <w:hyperlink w:anchor="_Toc128055330" w:history="1">
        <w:r w:rsidRPr="00B94719">
          <w:rPr>
            <w:rStyle w:val="Hyperlink"/>
            <w:noProof/>
          </w:rPr>
          <w:t>B.5. Statistical Consultations</w:t>
        </w:r>
        <w:r>
          <w:rPr>
            <w:noProof/>
            <w:webHidden/>
          </w:rPr>
          <w:tab/>
        </w:r>
        <w:r>
          <w:rPr>
            <w:noProof/>
            <w:webHidden/>
          </w:rPr>
          <w:fldChar w:fldCharType="begin"/>
        </w:r>
        <w:r>
          <w:rPr>
            <w:noProof/>
            <w:webHidden/>
          </w:rPr>
          <w:instrText xml:space="preserve"> PAGEREF _Toc128055330 \h </w:instrText>
        </w:r>
        <w:r>
          <w:rPr>
            <w:noProof/>
            <w:webHidden/>
          </w:rPr>
          <w:fldChar w:fldCharType="separate"/>
        </w:r>
        <w:r>
          <w:rPr>
            <w:noProof/>
            <w:webHidden/>
          </w:rPr>
          <w:t>3</w:t>
        </w:r>
        <w:r>
          <w:rPr>
            <w:noProof/>
            <w:webHidden/>
          </w:rPr>
          <w:fldChar w:fldCharType="end"/>
        </w:r>
      </w:hyperlink>
    </w:p>
    <w:p w:rsidR="00AD6244" w14:paraId="42A3A8A3" w14:textId="77777777">
      <w:r w:rsidRPr="00E054DF">
        <w:rPr>
          <w:b/>
          <w:bCs/>
          <w:noProof/>
          <w:color w:val="000000"/>
        </w:rPr>
        <w:fldChar w:fldCharType="end"/>
      </w:r>
    </w:p>
    <w:p w:rsidR="00E054DF" w:rsidRPr="00E054DF" w:rsidP="00E054DF" w14:paraId="16101C61" w14:textId="2CFA8C42">
      <w:pPr>
        <w:rPr>
          <w:b/>
          <w:bCs/>
          <w:noProof/>
        </w:rPr>
      </w:pPr>
      <w:r>
        <w:rPr>
          <w:noProof/>
        </w:rPr>
        <w:br w:type="page"/>
      </w:r>
    </w:p>
    <w:p w:rsidR="00E054DF" w:rsidRPr="00E054DF" w:rsidP="00E054DF" w14:paraId="031D8232" w14:textId="77777777">
      <w:pPr>
        <w:pStyle w:val="Heading2"/>
        <w:rPr>
          <w:noProof/>
        </w:rPr>
      </w:pPr>
      <w:bookmarkStart w:id="1" w:name="_Toc466046934"/>
      <w:bookmarkStart w:id="2" w:name="_Toc128055326"/>
      <w:r w:rsidRPr="00E054DF">
        <w:rPr>
          <w:noProof/>
        </w:rPr>
        <w:t>B.1. Respondent Universe</w:t>
      </w:r>
      <w:bookmarkEnd w:id="1"/>
      <w:bookmarkEnd w:id="2"/>
    </w:p>
    <w:p w:rsidR="0063341B" w:rsidRPr="00BE0AF1" w:rsidP="0063341B" w14:paraId="22E39027" w14:textId="5F7BAEE3">
      <w:pPr>
        <w:spacing w:after="160" w:line="257" w:lineRule="auto"/>
        <w:rPr>
          <w:rFonts w:eastAsia="Arial" w:cs="Calibri"/>
        </w:rPr>
      </w:pPr>
      <w:r w:rsidRPr="00BE0AF1">
        <w:rPr>
          <w:rFonts w:eastAsia="Arial" w:cs="Calibri"/>
        </w:rPr>
        <w:t xml:space="preserve">The EIA-860S (Supplement) is an annual </w:t>
      </w:r>
      <w:r w:rsidR="00704D98">
        <w:rPr>
          <w:rFonts w:eastAsia="Arial" w:cs="Calibri"/>
        </w:rPr>
        <w:t xml:space="preserve">voluntary </w:t>
      </w:r>
      <w:r w:rsidRPr="00BE0AF1">
        <w:rPr>
          <w:rFonts w:eastAsia="Arial" w:cs="Calibri"/>
        </w:rPr>
        <w:t xml:space="preserve">standby survey of </w:t>
      </w:r>
      <w:r w:rsidRPr="00BE0AF1">
        <w:rPr>
          <w:rFonts w:cs="Calibri"/>
          <w:bCs/>
        </w:rPr>
        <w:t>air permitting offices of all 50 states, the District of Columbia, and the five major U.S. territories</w:t>
      </w:r>
      <w:r w:rsidRPr="00BE0AF1">
        <w:rPr>
          <w:rFonts w:eastAsia="Arial" w:cs="Calibri"/>
        </w:rPr>
        <w:t>. Based on EIA’s experience during the previous emergency data collection, we expect to receive a high response rate of 100%.</w:t>
      </w:r>
    </w:p>
    <w:p w:rsidR="00E054DF" w:rsidRPr="00E054DF" w:rsidP="00E054DF" w14:paraId="23BEDB1F" w14:textId="77777777">
      <w:pPr>
        <w:rPr>
          <w:noProof/>
        </w:rPr>
      </w:pPr>
    </w:p>
    <w:p w:rsidR="00E054DF" w:rsidRPr="00E054DF" w:rsidP="00E054DF" w14:paraId="6BE8EEDA" w14:textId="77777777">
      <w:pPr>
        <w:pStyle w:val="Heading2"/>
        <w:rPr>
          <w:noProof/>
        </w:rPr>
      </w:pPr>
      <w:bookmarkStart w:id="3" w:name="_Toc466046935"/>
      <w:bookmarkStart w:id="4" w:name="_Toc128055327"/>
      <w:r w:rsidRPr="00E054DF">
        <w:rPr>
          <w:noProof/>
        </w:rPr>
        <w:t>B.2. Statistical Methods</w:t>
      </w:r>
      <w:bookmarkEnd w:id="3"/>
      <w:bookmarkEnd w:id="4"/>
    </w:p>
    <w:p w:rsidR="0063341B" w:rsidRPr="00BE0AF1" w:rsidP="0063341B" w14:paraId="79E97B5C" w14:textId="77777777">
      <w:pPr>
        <w:contextualSpacing/>
        <w:outlineLvl w:val="0"/>
        <w:rPr>
          <w:rFonts w:cs="Calibri"/>
          <w:bCs/>
        </w:rPr>
      </w:pPr>
      <w:r w:rsidRPr="00BE0AF1">
        <w:rPr>
          <w:rFonts w:cs="Calibri"/>
          <w:bCs/>
        </w:rPr>
        <w:t xml:space="preserve">The total number of respondents for this data collection will be 150, comprising a census of the air permitting offices of all 50 states, the District of Columbia, and the five major U.S. territories. In some states, for example Washington State, air permitting is delegated to regional clean air districts. </w:t>
      </w:r>
    </w:p>
    <w:p w:rsidR="0063341B" w:rsidRPr="00BE0AF1" w:rsidP="0063341B" w14:paraId="499D120B" w14:textId="77777777">
      <w:pPr>
        <w:contextualSpacing/>
        <w:outlineLvl w:val="0"/>
        <w:rPr>
          <w:rFonts w:cs="Calibri"/>
          <w:bCs/>
        </w:rPr>
      </w:pPr>
    </w:p>
    <w:p w:rsidR="00BE0AF1" w:rsidP="00BE0AF1" w14:paraId="086AC8B7" w14:textId="371FEA72">
      <w:pPr>
        <w:contextualSpacing/>
        <w:outlineLvl w:val="0"/>
        <w:rPr>
          <w:rFonts w:cs="Calibri"/>
        </w:rPr>
      </w:pPr>
      <w:r w:rsidRPr="41F9F011">
        <w:rPr>
          <w:rFonts w:cs="Calibri"/>
        </w:rPr>
        <w:t xml:space="preserve">This will be a complete </w:t>
      </w:r>
      <w:r w:rsidR="006576AF">
        <w:rPr>
          <w:rFonts w:cs="Calibri"/>
        </w:rPr>
        <w:t xml:space="preserve">voluntary </w:t>
      </w:r>
      <w:r w:rsidRPr="41F9F011">
        <w:rPr>
          <w:rFonts w:cs="Calibri"/>
        </w:rPr>
        <w:t>census of all air permitting offices in the targeted geographic regions. No sampling or estimation methods will be used.</w:t>
      </w:r>
      <w:r w:rsidRPr="41F9F011" w:rsidR="76DEC614">
        <w:rPr>
          <w:rFonts w:eastAsia="Arial" w:cs="Calibri"/>
        </w:rPr>
        <w:t xml:space="preserve"> </w:t>
      </w:r>
      <w:r w:rsidRPr="41F9F011" w:rsidR="0063341B">
        <w:rPr>
          <w:rFonts w:cs="Calibri"/>
        </w:rPr>
        <w:t xml:space="preserve"> </w:t>
      </w:r>
    </w:p>
    <w:p w:rsidR="006576AF" w:rsidRPr="00BE0AF1" w:rsidP="00BE0AF1" w14:paraId="520DB5A2" w14:textId="77777777">
      <w:pPr>
        <w:contextualSpacing/>
        <w:outlineLvl w:val="0"/>
        <w:rPr>
          <w:rFonts w:cs="Calibri"/>
          <w:bCs/>
        </w:rPr>
      </w:pPr>
    </w:p>
    <w:p w:rsidR="0063341B" w:rsidRPr="00BE0AF1" w:rsidP="00BE0AF1" w14:paraId="5736DBF7" w14:textId="592FF888">
      <w:pPr>
        <w:contextualSpacing/>
        <w:outlineLvl w:val="0"/>
        <w:rPr>
          <w:rFonts w:cs="Calibri"/>
          <w:bCs/>
        </w:rPr>
      </w:pPr>
      <w:r w:rsidRPr="00BE0AF1">
        <w:rPr>
          <w:rFonts w:eastAsia="Arial" w:cs="Calibri"/>
        </w:rPr>
        <w:t xml:space="preserve">The proposed survey is scheduled to be annual </w:t>
      </w:r>
      <w:r w:rsidR="006576AF">
        <w:rPr>
          <w:rFonts w:eastAsia="Arial" w:cs="Calibri"/>
        </w:rPr>
        <w:t xml:space="preserve">voluntary </w:t>
      </w:r>
      <w:r w:rsidRPr="00BE0AF1">
        <w:rPr>
          <w:rFonts w:eastAsia="Arial" w:cs="Calibri"/>
        </w:rPr>
        <w:t>standby form.</w:t>
      </w:r>
    </w:p>
    <w:p w:rsidR="00E054DF" w:rsidRPr="00E054DF" w:rsidP="00E054DF" w14:paraId="7CE10D6C" w14:textId="77777777">
      <w:pPr>
        <w:rPr>
          <w:noProof/>
        </w:rPr>
      </w:pPr>
    </w:p>
    <w:p w:rsidR="00E054DF" w:rsidRPr="00E054DF" w:rsidP="00E054DF" w14:paraId="60CCE0F1" w14:textId="77777777">
      <w:pPr>
        <w:pStyle w:val="Heading2"/>
        <w:rPr>
          <w:noProof/>
        </w:rPr>
      </w:pPr>
      <w:bookmarkStart w:id="5" w:name="_Toc466046936"/>
      <w:bookmarkStart w:id="6" w:name="_Toc128055328"/>
      <w:r w:rsidRPr="00E054DF">
        <w:rPr>
          <w:noProof/>
        </w:rPr>
        <w:t>B.3. Maximizing Response Rates</w:t>
      </w:r>
      <w:bookmarkEnd w:id="5"/>
      <w:bookmarkEnd w:id="6"/>
    </w:p>
    <w:p w:rsidR="00AF3E49" w:rsidRPr="00AF3E49" w:rsidP="00AF3E49" w14:paraId="146CD823" w14:textId="6D9CF1C3">
      <w:pPr>
        <w:rPr>
          <w:rFonts w:eastAsia="Arial" w:cs="Calibri"/>
        </w:rPr>
      </w:pPr>
      <w:r w:rsidRPr="00AF3E49">
        <w:rPr>
          <w:rFonts w:eastAsia="Arial" w:cs="Calibri"/>
        </w:rPr>
        <w:t>To maximize response rates and minimize respondent burden, the U.S. Energy Information Administration (EIA) employs a multi-faceted approach involving user-centric survey design, proactive outreach, targeted follow-up, and automated data integration for the EIA-860</w:t>
      </w:r>
      <w:r w:rsidR="00701FCA">
        <w:rPr>
          <w:rFonts w:eastAsia="Arial" w:cs="Calibri"/>
        </w:rPr>
        <w:t>S</w:t>
      </w:r>
      <w:r w:rsidRPr="00AF3E49">
        <w:rPr>
          <w:rFonts w:eastAsia="Arial" w:cs="Calibri"/>
        </w:rPr>
        <w:t xml:space="preserve"> </w:t>
      </w:r>
      <w:r w:rsidR="00701FCA">
        <w:rPr>
          <w:rFonts w:eastAsia="Arial" w:cs="Calibri"/>
        </w:rPr>
        <w:t>(</w:t>
      </w:r>
      <w:r w:rsidRPr="00AF3E49">
        <w:rPr>
          <w:rFonts w:eastAsia="Arial" w:cs="Calibri"/>
        </w:rPr>
        <w:t>Supplement</w:t>
      </w:r>
      <w:r w:rsidR="00701FCA">
        <w:rPr>
          <w:rFonts w:eastAsia="Arial" w:cs="Calibri"/>
        </w:rPr>
        <w:t>)</w:t>
      </w:r>
      <w:r w:rsidRPr="00AF3E49">
        <w:rPr>
          <w:rFonts w:eastAsia="Arial" w:cs="Calibri"/>
        </w:rPr>
        <w:t xml:space="preserve">. </w:t>
      </w:r>
    </w:p>
    <w:p w:rsidR="00AF3E49" w:rsidRPr="00AF3E49" w:rsidP="00AF3E49" w14:paraId="2EAC7295" w14:textId="00D1045D">
      <w:pPr>
        <w:numPr>
          <w:ilvl w:val="0"/>
          <w:numId w:val="21"/>
        </w:numPr>
        <w:rPr>
          <w:rFonts w:eastAsia="Arial" w:cs="Calibri"/>
        </w:rPr>
      </w:pPr>
      <w:r w:rsidRPr="00AF3E49">
        <w:rPr>
          <w:rFonts w:eastAsia="Arial" w:cs="Calibri"/>
        </w:rPr>
        <w:t>Survey Design and Burden Reduction: The EIA-860</w:t>
      </w:r>
      <w:r w:rsidR="00701FCA">
        <w:rPr>
          <w:rFonts w:eastAsia="Arial" w:cs="Calibri"/>
        </w:rPr>
        <w:t xml:space="preserve">S </w:t>
      </w:r>
      <w:r w:rsidRPr="00AF3E49">
        <w:rPr>
          <w:rFonts w:eastAsia="Arial" w:cs="Calibri"/>
        </w:rPr>
        <w:t>is engineered for maximum clarity and conciseness. To prevent duplicative reporting, the survey scope is limited; respondents are only required to report new air permits issued since the previous data collection period.</w:t>
      </w:r>
      <w:r w:rsidR="00701FCA">
        <w:rPr>
          <w:rFonts w:eastAsia="Arial" w:cs="Calibri"/>
        </w:rPr>
        <w:t xml:space="preserve"> </w:t>
      </w:r>
      <w:r w:rsidRPr="00AF3E49">
        <w:rPr>
          <w:rFonts w:eastAsia="Arial" w:cs="Calibri"/>
        </w:rPr>
        <w:t>Furthermore, to minimize active respondent burden, EIA will utilize web-scraping to collect air permit information directly from public-facing state databases where available, integrating this data to supplement the collection process.</w:t>
      </w:r>
    </w:p>
    <w:p w:rsidR="00AF3E49" w:rsidRPr="00AF3E49" w:rsidP="00AF3E49" w14:paraId="28B49CFD" w14:textId="77777777">
      <w:pPr>
        <w:numPr>
          <w:ilvl w:val="0"/>
          <w:numId w:val="21"/>
        </w:numPr>
        <w:rPr>
          <w:rFonts w:eastAsia="Arial" w:cs="Calibri"/>
        </w:rPr>
      </w:pPr>
      <w:r w:rsidRPr="00AF3E49">
        <w:rPr>
          <w:rFonts w:eastAsia="Arial" w:cs="Calibri"/>
        </w:rPr>
        <w:t>Proactive Outreach: EIA will distribute electronic notifications to respondents early in the reporting cycle. This maximizes the time frame available for respondents to compile and submit their information before the deadline.</w:t>
      </w:r>
    </w:p>
    <w:p w:rsidR="00AF3E49" w:rsidRPr="00AF3E49" w:rsidP="00AF3E49" w14:paraId="33F76E1A" w14:textId="77777777">
      <w:pPr>
        <w:numPr>
          <w:ilvl w:val="0"/>
          <w:numId w:val="21"/>
        </w:numPr>
        <w:rPr>
          <w:rFonts w:eastAsia="Arial" w:cs="Calibri"/>
        </w:rPr>
      </w:pPr>
      <w:r w:rsidRPr="00AF3E49">
        <w:rPr>
          <w:rFonts w:eastAsia="Arial" w:cs="Calibri"/>
        </w:rPr>
        <w:t>Non-Response Follow-Up (NRFU): To resolve outstanding submissions and strive toward a near-zero non-response rate, EIA will execute a progressive, multi-tier follow-up protocol. Staff will contact non-reporting entities systematically via email, telephone, official correspondence, and, if necessary, targeted in-person visits.</w:t>
      </w:r>
    </w:p>
    <w:p w:rsidR="00490F4C" w:rsidRPr="00AF3E49" w:rsidP="00E054DF" w14:paraId="3D830BF7" w14:textId="51A16BAA">
      <w:pPr>
        <w:numPr>
          <w:ilvl w:val="0"/>
          <w:numId w:val="21"/>
        </w:numPr>
        <w:rPr>
          <w:rFonts w:eastAsia="Arial" w:cs="Calibri"/>
        </w:rPr>
      </w:pPr>
      <w:r w:rsidRPr="00AF3E49">
        <w:rPr>
          <w:rFonts w:eastAsia="Arial" w:cs="Calibri"/>
        </w:rPr>
        <w:t>Data Quality Assurance: The survey submission system enables real-time data verification. Respondents are prompted to resolve data anomalies or submit explanatory comments directly within the interface during the submission process. EIA staff will systematically audit these explanations and conduct direct follow-up with respondents should further clarification be required.</w:t>
      </w:r>
    </w:p>
    <w:p w:rsidR="00AF3E49" w:rsidRPr="00AF3E49" w:rsidP="00AF3E49" w14:paraId="40F5AB11" w14:textId="77777777">
      <w:pPr>
        <w:ind w:left="720"/>
        <w:rPr>
          <w:rFonts w:eastAsia="Arial" w:cs="Calibri"/>
        </w:rPr>
      </w:pPr>
    </w:p>
    <w:p w:rsidR="00E054DF" w:rsidRPr="00E054DF" w:rsidP="00E054DF" w14:paraId="4B9B5170" w14:textId="77777777">
      <w:pPr>
        <w:pStyle w:val="Heading2"/>
        <w:rPr>
          <w:noProof/>
        </w:rPr>
      </w:pPr>
      <w:bookmarkStart w:id="7" w:name="_Toc466046937"/>
      <w:bookmarkStart w:id="8" w:name="_Toc128055329"/>
      <w:r w:rsidRPr="00E054DF">
        <w:rPr>
          <w:noProof/>
        </w:rPr>
        <w:t>B.4. Test Procedures and Form Consultations</w:t>
      </w:r>
      <w:bookmarkEnd w:id="7"/>
      <w:bookmarkEnd w:id="8"/>
    </w:p>
    <w:p w:rsidR="00E054DF" w:rsidP="00E054DF" w14:paraId="58BD5C00" w14:textId="64DCDA2C">
      <w:pPr>
        <w:rPr>
          <w:rFonts w:eastAsia="Arial" w:cs="Calibri"/>
        </w:rPr>
      </w:pPr>
      <w:r w:rsidRPr="00487366">
        <w:rPr>
          <w:rFonts w:eastAsia="Arial" w:cs="Calibri"/>
        </w:rPr>
        <w:t>The EIA-860S (Supplement) survey design is reviewed by EIA survey methodologists and modified as necessary to improve clarity and reduce burden.</w:t>
      </w:r>
    </w:p>
    <w:p w:rsidR="00490F4C" w:rsidRPr="00E054DF" w:rsidP="00E054DF" w14:paraId="6A80F054" w14:textId="77777777">
      <w:pPr>
        <w:rPr>
          <w:noProof/>
        </w:rPr>
      </w:pPr>
    </w:p>
    <w:p w:rsidR="00E054DF" w:rsidRPr="00E054DF" w:rsidP="00E054DF" w14:paraId="737F599E" w14:textId="77777777">
      <w:pPr>
        <w:pStyle w:val="Heading2"/>
        <w:rPr>
          <w:noProof/>
        </w:rPr>
      </w:pPr>
      <w:bookmarkStart w:id="9" w:name="_Toc466046938"/>
      <w:bookmarkStart w:id="10" w:name="_Toc128055330"/>
      <w:r w:rsidRPr="00E054DF">
        <w:rPr>
          <w:noProof/>
        </w:rPr>
        <w:t>B.5. Statistical Consultations</w:t>
      </w:r>
      <w:bookmarkEnd w:id="9"/>
      <w:bookmarkEnd w:id="10"/>
    </w:p>
    <w:p w:rsidR="00487366" w:rsidRPr="00487366" w:rsidP="00487366" w14:paraId="717C3F46" w14:textId="77777777">
      <w:pPr>
        <w:rPr>
          <w:rFonts w:cs="Calibri"/>
        </w:rPr>
      </w:pPr>
      <w:r w:rsidRPr="00487366">
        <w:rPr>
          <w:rFonts w:eastAsia="Arial" w:cs="Calibri"/>
        </w:rPr>
        <w:t xml:space="preserve">For additional information concerning this proposed information collection, please contact Kenneth Pick at </w:t>
      </w:r>
      <w:hyperlink r:id="rId12" w:history="1">
        <w:r w:rsidRPr="00487366">
          <w:rPr>
            <w:rStyle w:val="Hyperlink"/>
            <w:rFonts w:cs="Calibri"/>
          </w:rPr>
          <w:t>eia-frncomments@eia.gov</w:t>
        </w:r>
      </w:hyperlink>
      <w:r w:rsidRPr="00487366">
        <w:rPr>
          <w:rFonts w:cs="Calibri"/>
        </w:rPr>
        <w:t xml:space="preserve">. </w:t>
      </w:r>
    </w:p>
    <w:p w:rsidR="00612A58" w:rsidP="00612A58" w14:paraId="11270626" w14:textId="77777777">
      <w:pPr>
        <w:rPr>
          <w:noProof/>
        </w:rPr>
      </w:pPr>
    </w:p>
    <w:sectPr w:rsidSect="00206D5A">
      <w:headerReference w:type="even" r:id="rId13"/>
      <w:headerReference w:type="default" r:id="rId14"/>
      <w:footerReference w:type="even" r:id="rId15"/>
      <w:headerReference w:type="first" r:id="rId16"/>
      <w:footerReference w:type="first" r:id="rId17"/>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345ADB8E" w14:textId="7B5C351F">
    <w:pPr>
      <w:pStyle w:val="Footer"/>
    </w:pPr>
    <w:r w:rsidRPr="00CB180D">
      <w:t>U.S. Energy Information Administration   |</w:t>
    </w:r>
    <w:r w:rsidRPr="00616B9C" w:rsidR="00616B9C">
      <w:t xml:space="preserve"> </w:t>
    </w:r>
    <w:r w:rsidRPr="00616B9C" w:rsidR="00616B9C">
      <w:t>Supporting Statement for EIA-860S (Supplement) – Voluntary State Level Generator Air Permit</w:t>
    </w:r>
    <w:r>
      <w:tab/>
    </w:r>
    <w:r>
      <w:fldChar w:fldCharType="begin"/>
    </w:r>
    <w:r>
      <w:instrText xml:space="preserve"> PAGE   \* MERGEFORMAT </w:instrText>
    </w:r>
    <w:r>
      <w:fldChar w:fldCharType="separate"/>
    </w:r>
    <w:r w:rsidR="00426A0B">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2BD1F761"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6DB3518C"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134C4D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360300C5"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611E7FA9" w14:textId="3E13A01C">
    <w:pPr>
      <w:pStyle w:val="Header"/>
    </w:pPr>
    <w:r>
      <w:t>July</w:t>
    </w:r>
    <w:r w:rsidR="00E054DF">
      <w:t xml:space="preserve"> 20</w:t>
    </w:r>
    <w:r w:rsidR="00BE0AF1">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371ECBA1"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7E6225"/>
    <w:multiLevelType w:val="multilevel"/>
    <w:tmpl w:val="B69ADCF2"/>
    <w:numStyleLink w:val="EIAbullets"/>
  </w:abstractNum>
  <w:abstractNum w:abstractNumId="12">
    <w:nsid w:val="271B7F46"/>
    <w:multiLevelType w:val="multilevel"/>
    <w:tmpl w:val="B69ADCF2"/>
    <w:styleLink w:val="EIAbullets"/>
    <w:lvl w:ilvl="0">
      <w:start w:val="1"/>
      <w:numFmt w:val="bullet"/>
      <w:pStyle w:val="ListParagraph"/>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3">
    <w:nsid w:val="38861E46"/>
    <w:multiLevelType w:val="multilevel"/>
    <w:tmpl w:val="B69ADCF2"/>
    <w:numStyleLink w:val="EIAbullets"/>
  </w:abstractNum>
  <w:abstractNum w:abstractNumId="14">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BA2386"/>
    <w:multiLevelType w:val="multilevel"/>
    <w:tmpl w:val="B69ADCF2"/>
    <w:numStyleLink w:val="EIAbullets"/>
  </w:abstractNum>
  <w:abstractNum w:abstractNumId="16">
    <w:nsid w:val="4EBF29EA"/>
    <w:multiLevelType w:val="multilevel"/>
    <w:tmpl w:val="B69ADCF2"/>
    <w:numStyleLink w:val="EIAbullets"/>
  </w:abstractNum>
  <w:abstractNum w:abstractNumId="17">
    <w:nsid w:val="597A6130"/>
    <w:multiLevelType w:val="multilevel"/>
    <w:tmpl w:val="620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2B2CBD"/>
    <w:multiLevelType w:val="multilevel"/>
    <w:tmpl w:val="B69ADCF2"/>
    <w:numStyleLink w:val="EIAbullets"/>
  </w:abstractNum>
  <w:abstractNum w:abstractNumId="19">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863061"/>
    <w:multiLevelType w:val="multilevel"/>
    <w:tmpl w:val="AE02192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451120426">
    <w:abstractNumId w:val="3"/>
  </w:num>
  <w:num w:numId="2" w16cid:durableId="674915100">
    <w:abstractNumId w:val="6"/>
  </w:num>
  <w:num w:numId="3" w16cid:durableId="24912803">
    <w:abstractNumId w:val="4"/>
  </w:num>
  <w:num w:numId="4" w16cid:durableId="1263610779">
    <w:abstractNumId w:val="2"/>
  </w:num>
  <w:num w:numId="5" w16cid:durableId="536311615">
    <w:abstractNumId w:val="1"/>
  </w:num>
  <w:num w:numId="6" w16cid:durableId="1824853789">
    <w:abstractNumId w:val="0"/>
  </w:num>
  <w:num w:numId="7" w16cid:durableId="2011520171">
    <w:abstractNumId w:val="20"/>
  </w:num>
  <w:num w:numId="8" w16cid:durableId="1509102714">
    <w:abstractNumId w:val="12"/>
  </w:num>
  <w:num w:numId="9" w16cid:durableId="843014003">
    <w:abstractNumId w:val="15"/>
  </w:num>
  <w:num w:numId="10" w16cid:durableId="2037391906">
    <w:abstractNumId w:val="8"/>
  </w:num>
  <w:num w:numId="11" w16cid:durableId="583104083">
    <w:abstractNumId w:val="9"/>
  </w:num>
  <w:num w:numId="12" w16cid:durableId="821194086">
    <w:abstractNumId w:val="11"/>
  </w:num>
  <w:num w:numId="13" w16cid:durableId="507405367">
    <w:abstractNumId w:val="13"/>
  </w:num>
  <w:num w:numId="14" w16cid:durableId="1566915289">
    <w:abstractNumId w:val="10"/>
  </w:num>
  <w:num w:numId="15" w16cid:durableId="1380980219">
    <w:abstractNumId w:val="7"/>
  </w:num>
  <w:num w:numId="16" w16cid:durableId="2102751190">
    <w:abstractNumId w:val="19"/>
  </w:num>
  <w:num w:numId="17" w16cid:durableId="771820501">
    <w:abstractNumId w:val="16"/>
  </w:num>
  <w:num w:numId="18" w16cid:durableId="361325781">
    <w:abstractNumId w:val="14"/>
  </w:num>
  <w:num w:numId="19" w16cid:durableId="157309564">
    <w:abstractNumId w:val="18"/>
  </w:num>
  <w:num w:numId="20" w16cid:durableId="570578259">
    <w:abstractNumId w:val="5"/>
  </w:num>
  <w:num w:numId="21" w16cid:durableId="175971636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DE"/>
    <w:rsid w:val="0000019D"/>
    <w:rsid w:val="000008B5"/>
    <w:rsid w:val="0000364C"/>
    <w:rsid w:val="00004135"/>
    <w:rsid w:val="000041A1"/>
    <w:rsid w:val="000053BB"/>
    <w:rsid w:val="00011B3F"/>
    <w:rsid w:val="00013373"/>
    <w:rsid w:val="000142E5"/>
    <w:rsid w:val="00015DA7"/>
    <w:rsid w:val="000248CE"/>
    <w:rsid w:val="00034A4B"/>
    <w:rsid w:val="00041909"/>
    <w:rsid w:val="00046593"/>
    <w:rsid w:val="00047C08"/>
    <w:rsid w:val="000556B6"/>
    <w:rsid w:val="00055769"/>
    <w:rsid w:val="00056812"/>
    <w:rsid w:val="00056EC3"/>
    <w:rsid w:val="000621DC"/>
    <w:rsid w:val="00062CFE"/>
    <w:rsid w:val="00063FA9"/>
    <w:rsid w:val="0006748D"/>
    <w:rsid w:val="0007129A"/>
    <w:rsid w:val="0007760A"/>
    <w:rsid w:val="000831C4"/>
    <w:rsid w:val="000844CA"/>
    <w:rsid w:val="00085E32"/>
    <w:rsid w:val="00091CC7"/>
    <w:rsid w:val="000B3FBE"/>
    <w:rsid w:val="000C4381"/>
    <w:rsid w:val="000C5311"/>
    <w:rsid w:val="000F040A"/>
    <w:rsid w:val="00100183"/>
    <w:rsid w:val="001022FE"/>
    <w:rsid w:val="001034E8"/>
    <w:rsid w:val="00112A69"/>
    <w:rsid w:val="0011541D"/>
    <w:rsid w:val="00132F4A"/>
    <w:rsid w:val="00140D25"/>
    <w:rsid w:val="00160925"/>
    <w:rsid w:val="00160D58"/>
    <w:rsid w:val="00167425"/>
    <w:rsid w:val="00175361"/>
    <w:rsid w:val="001807A3"/>
    <w:rsid w:val="00184EEA"/>
    <w:rsid w:val="001947D5"/>
    <w:rsid w:val="001A6E1E"/>
    <w:rsid w:val="001B0E69"/>
    <w:rsid w:val="001D03A8"/>
    <w:rsid w:val="001D2E96"/>
    <w:rsid w:val="001E0765"/>
    <w:rsid w:val="001F3A8F"/>
    <w:rsid w:val="002008B4"/>
    <w:rsid w:val="00201F24"/>
    <w:rsid w:val="00206D5A"/>
    <w:rsid w:val="002127CE"/>
    <w:rsid w:val="00215842"/>
    <w:rsid w:val="002207DF"/>
    <w:rsid w:val="00221AC2"/>
    <w:rsid w:val="00224002"/>
    <w:rsid w:val="00227E4B"/>
    <w:rsid w:val="0023015A"/>
    <w:rsid w:val="00236F87"/>
    <w:rsid w:val="0023708A"/>
    <w:rsid w:val="0025022D"/>
    <w:rsid w:val="002530BB"/>
    <w:rsid w:val="002556F3"/>
    <w:rsid w:val="00260EDF"/>
    <w:rsid w:val="00264148"/>
    <w:rsid w:val="00267A8E"/>
    <w:rsid w:val="00274179"/>
    <w:rsid w:val="002960AF"/>
    <w:rsid w:val="002B0FD2"/>
    <w:rsid w:val="002B5EC9"/>
    <w:rsid w:val="002C378C"/>
    <w:rsid w:val="002D4FE9"/>
    <w:rsid w:val="002E18F8"/>
    <w:rsid w:val="002E3FD5"/>
    <w:rsid w:val="002E7A38"/>
    <w:rsid w:val="00306516"/>
    <w:rsid w:val="00313D14"/>
    <w:rsid w:val="00325C96"/>
    <w:rsid w:val="00330D13"/>
    <w:rsid w:val="003469CB"/>
    <w:rsid w:val="00346BDC"/>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E3BDD"/>
    <w:rsid w:val="003E40FA"/>
    <w:rsid w:val="003F24ED"/>
    <w:rsid w:val="003F3866"/>
    <w:rsid w:val="003F529E"/>
    <w:rsid w:val="004020B2"/>
    <w:rsid w:val="0042608E"/>
    <w:rsid w:val="00426481"/>
    <w:rsid w:val="00426A0B"/>
    <w:rsid w:val="00431CD7"/>
    <w:rsid w:val="00432966"/>
    <w:rsid w:val="00433C96"/>
    <w:rsid w:val="0045608E"/>
    <w:rsid w:val="0045662F"/>
    <w:rsid w:val="00466959"/>
    <w:rsid w:val="00476E47"/>
    <w:rsid w:val="0047784B"/>
    <w:rsid w:val="004854EE"/>
    <w:rsid w:val="00487366"/>
    <w:rsid w:val="00490F4C"/>
    <w:rsid w:val="004946F0"/>
    <w:rsid w:val="00497C2A"/>
    <w:rsid w:val="004A729E"/>
    <w:rsid w:val="004B058E"/>
    <w:rsid w:val="004B1075"/>
    <w:rsid w:val="004B552A"/>
    <w:rsid w:val="004C14D5"/>
    <w:rsid w:val="004C277B"/>
    <w:rsid w:val="004D05FB"/>
    <w:rsid w:val="004D0F05"/>
    <w:rsid w:val="004D236B"/>
    <w:rsid w:val="004D29C7"/>
    <w:rsid w:val="004E5446"/>
    <w:rsid w:val="004E6204"/>
    <w:rsid w:val="0050341B"/>
    <w:rsid w:val="00504119"/>
    <w:rsid w:val="00505571"/>
    <w:rsid w:val="005065CF"/>
    <w:rsid w:val="00506BB4"/>
    <w:rsid w:val="0050705F"/>
    <w:rsid w:val="0051657E"/>
    <w:rsid w:val="005170D3"/>
    <w:rsid w:val="0052493A"/>
    <w:rsid w:val="00524A83"/>
    <w:rsid w:val="00535CAF"/>
    <w:rsid w:val="00536054"/>
    <w:rsid w:val="0053654B"/>
    <w:rsid w:val="00536CE1"/>
    <w:rsid w:val="00537C90"/>
    <w:rsid w:val="00540CC5"/>
    <w:rsid w:val="0054180D"/>
    <w:rsid w:val="00547B53"/>
    <w:rsid w:val="00552509"/>
    <w:rsid w:val="005526BF"/>
    <w:rsid w:val="00563592"/>
    <w:rsid w:val="00571D8F"/>
    <w:rsid w:val="0057367D"/>
    <w:rsid w:val="00585BE3"/>
    <w:rsid w:val="00590293"/>
    <w:rsid w:val="0059212D"/>
    <w:rsid w:val="005B2B58"/>
    <w:rsid w:val="005B4863"/>
    <w:rsid w:val="005C00FA"/>
    <w:rsid w:val="005C2D89"/>
    <w:rsid w:val="005C485B"/>
    <w:rsid w:val="005D39D7"/>
    <w:rsid w:val="005D5956"/>
    <w:rsid w:val="005D602C"/>
    <w:rsid w:val="005D6F63"/>
    <w:rsid w:val="005F108A"/>
    <w:rsid w:val="005F4848"/>
    <w:rsid w:val="005F55C3"/>
    <w:rsid w:val="005F778C"/>
    <w:rsid w:val="00612A58"/>
    <w:rsid w:val="00616B9C"/>
    <w:rsid w:val="0062008C"/>
    <w:rsid w:val="00620797"/>
    <w:rsid w:val="00626494"/>
    <w:rsid w:val="0063341B"/>
    <w:rsid w:val="00641DE2"/>
    <w:rsid w:val="00643384"/>
    <w:rsid w:val="00652F00"/>
    <w:rsid w:val="0065406F"/>
    <w:rsid w:val="006576AF"/>
    <w:rsid w:val="00663EC4"/>
    <w:rsid w:val="00666179"/>
    <w:rsid w:val="00677C5F"/>
    <w:rsid w:val="006A0BC7"/>
    <w:rsid w:val="006A0EB0"/>
    <w:rsid w:val="006A6190"/>
    <w:rsid w:val="006C0062"/>
    <w:rsid w:val="006C097E"/>
    <w:rsid w:val="006C2DC3"/>
    <w:rsid w:val="006C2FDC"/>
    <w:rsid w:val="006D0439"/>
    <w:rsid w:val="006D466F"/>
    <w:rsid w:val="00701FCA"/>
    <w:rsid w:val="00704D98"/>
    <w:rsid w:val="00725453"/>
    <w:rsid w:val="00737591"/>
    <w:rsid w:val="00740716"/>
    <w:rsid w:val="007438F2"/>
    <w:rsid w:val="00752786"/>
    <w:rsid w:val="007558FB"/>
    <w:rsid w:val="00755C3D"/>
    <w:rsid w:val="007576EF"/>
    <w:rsid w:val="00760677"/>
    <w:rsid w:val="007609B3"/>
    <w:rsid w:val="00761C12"/>
    <w:rsid w:val="00776CF4"/>
    <w:rsid w:val="00783DF5"/>
    <w:rsid w:val="00784F89"/>
    <w:rsid w:val="00786336"/>
    <w:rsid w:val="007A4264"/>
    <w:rsid w:val="007A4378"/>
    <w:rsid w:val="007B6FA1"/>
    <w:rsid w:val="007C17C1"/>
    <w:rsid w:val="007C1889"/>
    <w:rsid w:val="007C2C68"/>
    <w:rsid w:val="007C5CE9"/>
    <w:rsid w:val="007D39CC"/>
    <w:rsid w:val="007D6AAF"/>
    <w:rsid w:val="007E0774"/>
    <w:rsid w:val="007E37FC"/>
    <w:rsid w:val="007E5A11"/>
    <w:rsid w:val="007E6AC2"/>
    <w:rsid w:val="007E73E6"/>
    <w:rsid w:val="007E7B61"/>
    <w:rsid w:val="007F1954"/>
    <w:rsid w:val="007F21D7"/>
    <w:rsid w:val="007F2BB7"/>
    <w:rsid w:val="008057F8"/>
    <w:rsid w:val="008307E1"/>
    <w:rsid w:val="008544AC"/>
    <w:rsid w:val="00867160"/>
    <w:rsid w:val="0087205B"/>
    <w:rsid w:val="00874FB8"/>
    <w:rsid w:val="00895669"/>
    <w:rsid w:val="00897946"/>
    <w:rsid w:val="008A3276"/>
    <w:rsid w:val="008A3447"/>
    <w:rsid w:val="008C4DAD"/>
    <w:rsid w:val="008D4262"/>
    <w:rsid w:val="008E0604"/>
    <w:rsid w:val="008E4BF2"/>
    <w:rsid w:val="008E4FA4"/>
    <w:rsid w:val="008F2341"/>
    <w:rsid w:val="008F4CBD"/>
    <w:rsid w:val="009017AD"/>
    <w:rsid w:val="00901BED"/>
    <w:rsid w:val="00905735"/>
    <w:rsid w:val="00907274"/>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2D0F"/>
    <w:rsid w:val="0099448B"/>
    <w:rsid w:val="00997347"/>
    <w:rsid w:val="00997A39"/>
    <w:rsid w:val="009B19CE"/>
    <w:rsid w:val="009C202F"/>
    <w:rsid w:val="009C42E8"/>
    <w:rsid w:val="009C77F7"/>
    <w:rsid w:val="009D3ABF"/>
    <w:rsid w:val="009E5ABC"/>
    <w:rsid w:val="009E5B9C"/>
    <w:rsid w:val="009F61F7"/>
    <w:rsid w:val="00A00D71"/>
    <w:rsid w:val="00A00EDF"/>
    <w:rsid w:val="00A05A74"/>
    <w:rsid w:val="00A076DE"/>
    <w:rsid w:val="00A15571"/>
    <w:rsid w:val="00A26A17"/>
    <w:rsid w:val="00A30169"/>
    <w:rsid w:val="00A312A3"/>
    <w:rsid w:val="00A33D9F"/>
    <w:rsid w:val="00A37229"/>
    <w:rsid w:val="00A418C9"/>
    <w:rsid w:val="00A74C9B"/>
    <w:rsid w:val="00A93478"/>
    <w:rsid w:val="00A97FE7"/>
    <w:rsid w:val="00AA46CA"/>
    <w:rsid w:val="00AA7EFA"/>
    <w:rsid w:val="00AB61B3"/>
    <w:rsid w:val="00AC323A"/>
    <w:rsid w:val="00AD6244"/>
    <w:rsid w:val="00AD6357"/>
    <w:rsid w:val="00AD7F81"/>
    <w:rsid w:val="00AE4CA9"/>
    <w:rsid w:val="00AF2CBF"/>
    <w:rsid w:val="00AF367D"/>
    <w:rsid w:val="00AF3E49"/>
    <w:rsid w:val="00AF45FD"/>
    <w:rsid w:val="00B00B4C"/>
    <w:rsid w:val="00B01714"/>
    <w:rsid w:val="00B35E2A"/>
    <w:rsid w:val="00B41D7A"/>
    <w:rsid w:val="00B4263D"/>
    <w:rsid w:val="00B56F49"/>
    <w:rsid w:val="00B671F4"/>
    <w:rsid w:val="00B7442A"/>
    <w:rsid w:val="00B80706"/>
    <w:rsid w:val="00B83520"/>
    <w:rsid w:val="00B94719"/>
    <w:rsid w:val="00B97002"/>
    <w:rsid w:val="00BA72AC"/>
    <w:rsid w:val="00BB2F70"/>
    <w:rsid w:val="00BB6CF4"/>
    <w:rsid w:val="00BC14C3"/>
    <w:rsid w:val="00BC1ABE"/>
    <w:rsid w:val="00BD2F20"/>
    <w:rsid w:val="00BD4F62"/>
    <w:rsid w:val="00BE0AF1"/>
    <w:rsid w:val="00BE4AFD"/>
    <w:rsid w:val="00C00590"/>
    <w:rsid w:val="00C04647"/>
    <w:rsid w:val="00C12551"/>
    <w:rsid w:val="00C211CD"/>
    <w:rsid w:val="00C25328"/>
    <w:rsid w:val="00C3744D"/>
    <w:rsid w:val="00C43A84"/>
    <w:rsid w:val="00C43D02"/>
    <w:rsid w:val="00C64137"/>
    <w:rsid w:val="00C658E4"/>
    <w:rsid w:val="00C676B1"/>
    <w:rsid w:val="00C7266E"/>
    <w:rsid w:val="00C754F1"/>
    <w:rsid w:val="00C76C66"/>
    <w:rsid w:val="00C82DF9"/>
    <w:rsid w:val="00C87190"/>
    <w:rsid w:val="00C9047C"/>
    <w:rsid w:val="00C97EC2"/>
    <w:rsid w:val="00CA1564"/>
    <w:rsid w:val="00CA2A61"/>
    <w:rsid w:val="00CA7C8A"/>
    <w:rsid w:val="00CB180D"/>
    <w:rsid w:val="00CB34B0"/>
    <w:rsid w:val="00CB44E8"/>
    <w:rsid w:val="00CB7978"/>
    <w:rsid w:val="00CC1D12"/>
    <w:rsid w:val="00CE42E9"/>
    <w:rsid w:val="00CF76C5"/>
    <w:rsid w:val="00D001E4"/>
    <w:rsid w:val="00D00AA8"/>
    <w:rsid w:val="00D02778"/>
    <w:rsid w:val="00D06EF5"/>
    <w:rsid w:val="00D300F4"/>
    <w:rsid w:val="00D3344B"/>
    <w:rsid w:val="00D40175"/>
    <w:rsid w:val="00D55243"/>
    <w:rsid w:val="00D62F90"/>
    <w:rsid w:val="00D63E74"/>
    <w:rsid w:val="00D715C4"/>
    <w:rsid w:val="00D83FE2"/>
    <w:rsid w:val="00D8705D"/>
    <w:rsid w:val="00D928FD"/>
    <w:rsid w:val="00D954B4"/>
    <w:rsid w:val="00D96D3C"/>
    <w:rsid w:val="00DC79E3"/>
    <w:rsid w:val="00DE0DC5"/>
    <w:rsid w:val="00DE2D54"/>
    <w:rsid w:val="00DE7A1C"/>
    <w:rsid w:val="00DF449E"/>
    <w:rsid w:val="00E02BB0"/>
    <w:rsid w:val="00E03CE6"/>
    <w:rsid w:val="00E04947"/>
    <w:rsid w:val="00E04AA7"/>
    <w:rsid w:val="00E054DF"/>
    <w:rsid w:val="00E13716"/>
    <w:rsid w:val="00E1631C"/>
    <w:rsid w:val="00E21D3A"/>
    <w:rsid w:val="00E234A0"/>
    <w:rsid w:val="00E266FF"/>
    <w:rsid w:val="00E27661"/>
    <w:rsid w:val="00E3552C"/>
    <w:rsid w:val="00E47DB3"/>
    <w:rsid w:val="00E51F8B"/>
    <w:rsid w:val="00E5242A"/>
    <w:rsid w:val="00E53398"/>
    <w:rsid w:val="00E66AE2"/>
    <w:rsid w:val="00E74DA4"/>
    <w:rsid w:val="00E81B89"/>
    <w:rsid w:val="00E87488"/>
    <w:rsid w:val="00E91432"/>
    <w:rsid w:val="00E91B5A"/>
    <w:rsid w:val="00EA779A"/>
    <w:rsid w:val="00EB2CA6"/>
    <w:rsid w:val="00EB6F5A"/>
    <w:rsid w:val="00EC7D4A"/>
    <w:rsid w:val="00ED218D"/>
    <w:rsid w:val="00ED2D61"/>
    <w:rsid w:val="00ED6E45"/>
    <w:rsid w:val="00EE43E4"/>
    <w:rsid w:val="00EE4BED"/>
    <w:rsid w:val="00EF13CF"/>
    <w:rsid w:val="00EF6BF6"/>
    <w:rsid w:val="00F001EA"/>
    <w:rsid w:val="00F16B90"/>
    <w:rsid w:val="00F34F19"/>
    <w:rsid w:val="00F44A21"/>
    <w:rsid w:val="00F46202"/>
    <w:rsid w:val="00F5013F"/>
    <w:rsid w:val="00F53384"/>
    <w:rsid w:val="00F575F0"/>
    <w:rsid w:val="00F6664C"/>
    <w:rsid w:val="00F73109"/>
    <w:rsid w:val="00F80AF1"/>
    <w:rsid w:val="00F8298C"/>
    <w:rsid w:val="00F90245"/>
    <w:rsid w:val="00F920D9"/>
    <w:rsid w:val="00F9459F"/>
    <w:rsid w:val="00F94781"/>
    <w:rsid w:val="00F9692B"/>
    <w:rsid w:val="00FA5388"/>
    <w:rsid w:val="00FA540C"/>
    <w:rsid w:val="00FA7281"/>
    <w:rsid w:val="00FB08E3"/>
    <w:rsid w:val="00FD397B"/>
    <w:rsid w:val="00FD4B01"/>
    <w:rsid w:val="00FD7CDC"/>
    <w:rsid w:val="00FE22D2"/>
    <w:rsid w:val="00FE58E0"/>
    <w:rsid w:val="00FE74D0"/>
    <w:rsid w:val="1B516041"/>
    <w:rsid w:val="2AC98B97"/>
    <w:rsid w:val="3C09B276"/>
    <w:rsid w:val="3EF94FB6"/>
    <w:rsid w:val="41F9F011"/>
    <w:rsid w:val="5E4C43A9"/>
    <w:rsid w:val="695BFB19"/>
    <w:rsid w:val="6D7717EB"/>
    <w:rsid w:val="740A404A"/>
    <w:rsid w:val="76DEC614"/>
    <w:rsid w:val="7DD75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9776E6"/>
  <w15:docId w15:val="{0B9FB891-CBC5-4D6C-A148-5415161A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E054DF"/>
    <w:pPr>
      <w:keepNext/>
      <w:keepLines/>
      <w:numPr>
        <w:numId w:val="7"/>
      </w:numPr>
      <w:spacing w:after="120" w:line="380" w:lineRule="atLeast"/>
      <w:outlineLvl w:val="0"/>
    </w:pPr>
    <w:rPr>
      <w:rFonts w:ascii="Times New Roman" w:eastAsia="Times New Roman" w:hAnsi="Times New Roman"/>
      <w:b/>
      <w:bCs/>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imes New Roman" w:hAnsi="Times New Roman"/>
      <w:bCs/>
      <w:i/>
      <w:color w:val="595959"/>
      <w:sz w:val="24"/>
    </w:rPr>
  </w:style>
  <w:style w:type="paragraph" w:styleId="Heading4">
    <w:name w:val="heading 4"/>
    <w:basedOn w:val="Heading3"/>
    <w:next w:val="Normal"/>
    <w:link w:val="Heading4Char"/>
    <w:autoRedefine/>
    <w:uiPriority w:val="1"/>
    <w:qFormat/>
    <w:rsid w:val="005F55C3"/>
    <w:pPr>
      <w:numPr>
        <w:ilvl w:val="3"/>
      </w:numPr>
      <w:outlineLvl w:val="3"/>
    </w:pPr>
    <w:rPr>
      <w:rFonts w:ascii="Calibri" w:hAnsi="Calibri"/>
      <w:bCs w:val="0"/>
      <w:i w:val="0"/>
      <w:iCs/>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054DF"/>
    <w:rPr>
      <w:rFonts w:ascii="Times New Roman" w:eastAsia="Times New Roman" w:hAnsi="Times New Roman" w:cs="Times New Roman"/>
      <w:b/>
      <w:bCs/>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FD7CDC"/>
    <w:rPr>
      <w:rFonts w:ascii="Times New Roman" w:eastAsia="Times New Roman" w:hAnsi="Times New Roman" w:cs="Times New Roman"/>
      <w:b/>
      <w:bCs/>
      <w:i/>
      <w:color w:val="595959"/>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numPr>
        <w:numId w:val="13"/>
      </w:numPr>
      <w:contextualSpacing/>
    </w:pPr>
  </w:style>
  <w:style w:type="paragraph" w:styleId="TOCHeading">
    <w:name w:val="TOC Heading"/>
    <w:basedOn w:val="Heading1"/>
    <w:next w:val="Normal"/>
    <w:autoRedefine/>
    <w:uiPriority w:val="39"/>
    <w:qFormat/>
    <w:rsid w:val="006A0EB0"/>
    <w:pPr>
      <w:numPr>
        <w:numId w:val="0"/>
      </w:numPr>
      <w:spacing w:before="480" w:line="240" w:lineRule="auto"/>
      <w:outlineLvl w:val="9"/>
    </w:pPr>
    <w:rPr>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link w:val="FootnoteText"/>
    <w:uiPriority w:val="7"/>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paragraph" w:styleId="Revision">
    <w:name w:val="Revision"/>
    <w:hidden/>
    <w:uiPriority w:val="99"/>
    <w:semiHidden/>
    <w:rsid w:val="00B83520"/>
    <w:rPr>
      <w:sz w:val="22"/>
      <w:szCs w:val="22"/>
    </w:rPr>
  </w:style>
  <w:style w:type="character" w:styleId="Mention">
    <w:name w:val="Mention"/>
    <w:basedOn w:val="DefaultParagraphFont"/>
    <w:uiPriority w:val="99"/>
    <w:unhideWhenUsed/>
    <w:rsid w:val="00DF44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hyperlink" Target="mailto:eia-frncomments@eia.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fa\OneDrive%20-%20Energy%20Information%20Administration\Desktop\Survey_Development\MECS\MECS%202026\Supporting%20Statement%20B%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_ApprovalAssignedTo xmlns="d588c4e7-d2ae-4a4b-9907-42eca676916f">
      <UserInfo>
        <DisplayName/>
        <AccountId xsi:nil="true"/>
        <AccountType/>
      </UserInfo>
    </_ApprovalAssignedTo>
    <_ApprovalSentBy xmlns="d588c4e7-d2ae-4a4b-9907-42eca676916f">
      <UserInfo>
        <DisplayName/>
        <AccountId xsi:nil="true"/>
        <AccountType/>
      </UserInfo>
    </_ApprovalSentBy>
    <_ApprovalStatus xmlns="d588c4e7-d2ae-4a4b-9907-42eca676916f">0</_ApprovalStatus>
    <_ApprovalRespondedBy xmlns="d588c4e7-d2ae-4a4b-9907-42eca676916f">
      <UserInfo>
        <DisplayName/>
        <AccountId xsi:nil="true"/>
        <AccountType/>
      </UserInfo>
    </_ApprovalRespond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4" ma:contentTypeDescription="Create a new document." ma:contentTypeScope="" ma:versionID="bddfece69c4e14700d7e0111ade2048a">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97d2ff85dfba41cc278ca16614455d1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C0E90B-6204-4833-B5A1-2EA7D1BDCD1C}">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3.xml><?xml version="1.0" encoding="utf-8"?>
<ds:datastoreItem xmlns:ds="http://schemas.openxmlformats.org/officeDocument/2006/customXml" ds:itemID="{CB8037D9-440D-4AD2-AB08-15FCBBB4C850}">
  <ds:schemaRefs>
    <ds:schemaRef ds:uri="http://schemas.openxmlformats.org/officeDocument/2006/bibliography"/>
  </ds:schemaRefs>
</ds:datastoreItem>
</file>

<file path=customXml/itemProps4.xml><?xml version="1.0" encoding="utf-8"?>
<ds:datastoreItem xmlns:ds="http://schemas.openxmlformats.org/officeDocument/2006/customXml" ds:itemID="{10EE3A7A-CCF1-471C-BCB9-9C8CF655F7FA}">
  <ds:schemaRefs>
    <ds:schemaRef ds:uri="http://schemas.microsoft.com/sharepoint/v3/contenttype/forms"/>
  </ds:schemaRefs>
</ds:datastoreItem>
</file>

<file path=customXml/itemProps5.xml><?xml version="1.0" encoding="utf-8"?>
<ds:datastoreItem xmlns:ds="http://schemas.openxmlformats.org/officeDocument/2006/customXml" ds:itemID="{E24D9BB0-B794-4A6B-8F7D-09392795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Supporting Statement B Template</Template>
  <TotalTime>12</TotalTime>
  <Pages>5</Pages>
  <Words>435</Words>
  <Characters>2731</Characters>
  <Application>Microsoft Office Word</Application>
  <DocSecurity>0</DocSecurity>
  <Lines>87</Lines>
  <Paragraphs>22</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Aloulou, Faouzi</dc:creator>
  <cp:lastModifiedBy>Morales, Gerson</cp:lastModifiedBy>
  <cp:revision>22</cp:revision>
  <cp:lastPrinted>2011-12-12T20:42:00Z</cp:lastPrinted>
  <dcterms:created xsi:type="dcterms:W3CDTF">2025-04-01T16:32:00Z</dcterms:created>
  <dcterms:modified xsi:type="dcterms:W3CDTF">2026-06-29T18:53:00Z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docLang">
    <vt:lpwstr>en</vt:lpwstr>
  </property>
  <property fmtid="{D5CDD505-2E9C-101B-9397-08002B2CF9AE}" pid="4" name="MediaServiceImageTags">
    <vt:lpwstr/>
  </property>
</Properties>
</file>