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EA6C04" w:rsidP="00EA6C04" w14:paraId="73D74BB6" w14:textId="77777777">
      <w:pPr>
        <w:jc w:val="center"/>
        <w:rPr>
          <w:rFonts w:asciiTheme="majorHAnsi" w:hAnsiTheme="majorHAnsi"/>
          <w:sz w:val="28"/>
          <w:u w:val="single"/>
        </w:rPr>
      </w:pPr>
      <w:r w:rsidRPr="00EA6C04">
        <w:rPr>
          <w:rFonts w:asciiTheme="majorHAnsi" w:hAnsiTheme="majorHAnsi"/>
          <w:sz w:val="28"/>
          <w:u w:val="single"/>
        </w:rPr>
        <w:t xml:space="preserve">SUPPORTING </w:t>
      </w:r>
      <w:r w:rsidRPr="00EA6C04" w:rsidR="00127B46">
        <w:rPr>
          <w:rFonts w:asciiTheme="majorHAnsi" w:hAnsiTheme="majorHAnsi"/>
          <w:sz w:val="28"/>
          <w:u w:val="single"/>
        </w:rPr>
        <w:t>STATEMENT -</w:t>
      </w:r>
      <w:r w:rsidRPr="00EA6C04">
        <w:rPr>
          <w:rFonts w:asciiTheme="majorHAnsi" w:hAnsiTheme="majorHAnsi"/>
          <w:sz w:val="28"/>
          <w:u w:val="single"/>
        </w:rPr>
        <w:t xml:space="preserve"> PART A</w:t>
      </w:r>
    </w:p>
    <w:p w:rsidR="00EA6C04" w:rsidP="00EA6C04" w14:paraId="25807E21" w14:textId="77777777">
      <w:pPr>
        <w:jc w:val="center"/>
        <w:rPr>
          <w:rFonts w:asciiTheme="majorHAnsi" w:hAnsiTheme="majorHAnsi"/>
          <w:sz w:val="24"/>
        </w:rPr>
      </w:pPr>
      <w:r w:rsidRPr="00725BC0">
        <w:rPr>
          <w:rFonts w:asciiTheme="majorHAnsi" w:hAnsiTheme="majorHAnsi"/>
          <w:sz w:val="24"/>
        </w:rPr>
        <w:t xml:space="preserve">Medical Expense Report – </w:t>
      </w:r>
      <w:r>
        <w:rPr>
          <w:rFonts w:asciiTheme="majorHAnsi" w:hAnsiTheme="majorHAnsi"/>
          <w:sz w:val="24"/>
        </w:rPr>
        <w:t>2900-0161</w:t>
      </w:r>
    </w:p>
    <w:p w:rsidR="00340D9B" w:rsidP="006E563D" w14:paraId="4D7378F3" w14:textId="77777777">
      <w:pPr>
        <w:spacing w:after="0" w:line="240" w:lineRule="auto"/>
        <w:rPr>
          <w:rFonts w:asciiTheme="majorHAnsi" w:hAnsiTheme="majorHAnsi"/>
          <w:sz w:val="24"/>
        </w:rPr>
      </w:pPr>
    </w:p>
    <w:tbl>
      <w:tblPr>
        <w:tblStyle w:val="TableGrid"/>
        <w:tblW w:w="9515" w:type="dxa"/>
        <w:tblInd w:w="-5" w:type="dxa"/>
        <w:tblLook w:val="04A0"/>
      </w:tblPr>
      <w:tblGrid>
        <w:gridCol w:w="9515"/>
      </w:tblGrid>
      <w:tr w14:paraId="7DEAE167" w14:textId="77777777" w:rsidTr="00594B6B">
        <w:tblPrEx>
          <w:tblW w:w="9515" w:type="dxa"/>
          <w:tblInd w:w="-5" w:type="dxa"/>
          <w:tblLook w:val="04A0"/>
        </w:tblPrEx>
        <w:trPr>
          <w:trHeight w:val="595"/>
        </w:trPr>
        <w:tc>
          <w:tcPr>
            <w:tcW w:w="9515" w:type="dxa"/>
          </w:tcPr>
          <w:p w:rsidR="00594B6B" w:rsidP="00594B6B" w14:paraId="61F3EE9F" w14:textId="77777777">
            <w:pPr>
              <w:rPr>
                <w:rFonts w:asciiTheme="majorHAnsi" w:hAnsiTheme="majorHAnsi"/>
                <w:sz w:val="24"/>
              </w:rPr>
            </w:pPr>
            <w:r w:rsidRPr="00725BC0">
              <w:rPr>
                <w:rFonts w:asciiTheme="majorHAnsi" w:hAnsiTheme="majorHAnsi"/>
                <w:sz w:val="24"/>
              </w:rPr>
              <w:t>Summary of Changes from Previously Approved Collection</w:t>
            </w:r>
          </w:p>
          <w:p w:rsidR="00725BC0" w:rsidP="00725BC0" w14:paraId="66163CA0" w14:textId="77777777">
            <w:pPr>
              <w:pStyle w:val="ListParagraph"/>
              <w:numPr>
                <w:ilvl w:val="0"/>
                <w:numId w:val="19"/>
              </w:numPr>
              <w:rPr>
                <w:rFonts w:asciiTheme="majorHAnsi" w:hAnsiTheme="majorHAnsi"/>
                <w:sz w:val="24"/>
              </w:rPr>
            </w:pPr>
            <w:r>
              <w:rPr>
                <w:rFonts w:asciiTheme="majorHAnsi" w:hAnsiTheme="majorHAnsi"/>
                <w:sz w:val="24"/>
              </w:rPr>
              <w:t>Extension of a currently approved collection</w:t>
            </w:r>
          </w:p>
          <w:p w:rsidR="00725BC0" w:rsidP="00725BC0" w14:paraId="7E20B16B" w14:textId="77777777">
            <w:pPr>
              <w:pStyle w:val="ListParagraph"/>
              <w:numPr>
                <w:ilvl w:val="0"/>
                <w:numId w:val="19"/>
              </w:numPr>
              <w:rPr>
                <w:rFonts w:asciiTheme="majorHAnsi" w:hAnsiTheme="majorHAnsi"/>
                <w:sz w:val="24"/>
              </w:rPr>
            </w:pPr>
            <w:r>
              <w:rPr>
                <w:rFonts w:asciiTheme="majorHAnsi" w:hAnsiTheme="majorHAnsi"/>
                <w:sz w:val="24"/>
              </w:rPr>
              <w:t>The respondent burden has remained the same</w:t>
            </w:r>
          </w:p>
          <w:p w:rsidR="00131B62" w:rsidRPr="00725BC0" w:rsidP="00725BC0" w14:paraId="47435A45" w14:textId="77777777">
            <w:pPr>
              <w:pStyle w:val="ListParagraph"/>
              <w:numPr>
                <w:ilvl w:val="0"/>
                <w:numId w:val="19"/>
              </w:numPr>
              <w:rPr>
                <w:rFonts w:asciiTheme="majorHAnsi" w:hAnsiTheme="majorHAnsi"/>
                <w:sz w:val="24"/>
              </w:rPr>
            </w:pPr>
            <w:r>
              <w:rPr>
                <w:rFonts w:asciiTheme="majorHAnsi" w:hAnsiTheme="majorHAnsi"/>
                <w:sz w:val="24"/>
              </w:rPr>
              <w:t xml:space="preserve">One </w:t>
            </w:r>
            <w:r w:rsidR="00284140">
              <w:rPr>
                <w:rFonts w:asciiTheme="majorHAnsi" w:hAnsiTheme="majorHAnsi"/>
                <w:sz w:val="24"/>
              </w:rPr>
              <w:t>public</w:t>
            </w:r>
            <w:r w:rsidR="009C672C">
              <w:rPr>
                <w:rFonts w:asciiTheme="majorHAnsi" w:hAnsiTheme="majorHAnsi"/>
                <w:sz w:val="24"/>
              </w:rPr>
              <w:t xml:space="preserve"> </w:t>
            </w:r>
            <w:r w:rsidR="00284140">
              <w:rPr>
                <w:rFonts w:asciiTheme="majorHAnsi" w:hAnsiTheme="majorHAnsi"/>
                <w:sz w:val="24"/>
              </w:rPr>
              <w:t>comment</w:t>
            </w:r>
            <w:r>
              <w:rPr>
                <w:rFonts w:asciiTheme="majorHAnsi" w:hAnsiTheme="majorHAnsi"/>
                <w:sz w:val="24"/>
              </w:rPr>
              <w:t xml:space="preserve"> was </w:t>
            </w:r>
            <w:r w:rsidR="00284140">
              <w:rPr>
                <w:rFonts w:asciiTheme="majorHAnsi" w:hAnsiTheme="majorHAnsi"/>
                <w:sz w:val="24"/>
              </w:rPr>
              <w:t>received during the 60-Day comment period</w:t>
            </w:r>
          </w:p>
        </w:tc>
      </w:tr>
    </w:tbl>
    <w:p w:rsidR="00340D9B" w:rsidRPr="00340D9B" w:rsidP="002D7713" w14:paraId="36D6328A" w14:textId="77777777">
      <w:pPr>
        <w:pStyle w:val="ListParagraph"/>
        <w:spacing w:after="0" w:line="240" w:lineRule="auto"/>
        <w:rPr>
          <w:rFonts w:asciiTheme="majorHAnsi" w:hAnsiTheme="majorHAnsi"/>
          <w:sz w:val="24"/>
        </w:rPr>
      </w:pPr>
    </w:p>
    <w:p w:rsidR="00340D9B" w:rsidP="006E563D" w14:paraId="525DB75E" w14:textId="77777777">
      <w:pPr>
        <w:spacing w:after="0" w:line="240" w:lineRule="auto"/>
        <w:rPr>
          <w:rFonts w:asciiTheme="majorHAnsi" w:hAnsiTheme="majorHAnsi"/>
          <w:sz w:val="24"/>
        </w:rPr>
      </w:pPr>
    </w:p>
    <w:p w:rsidR="005C7428" w:rsidRPr="0085688C" w:rsidP="006E563D" w14:paraId="705065D1" w14:textId="77777777">
      <w:pPr>
        <w:spacing w:after="0" w:line="240" w:lineRule="auto"/>
        <w:rPr>
          <w:rFonts w:asciiTheme="majorHAnsi" w:hAnsiTheme="majorHAnsi"/>
          <w:sz w:val="24"/>
        </w:rPr>
      </w:pPr>
      <w:r>
        <w:rPr>
          <w:rFonts w:asciiTheme="majorHAnsi" w:hAnsiTheme="majorHAnsi"/>
          <w:sz w:val="24"/>
        </w:rPr>
        <w:t>1.</w:t>
      </w:r>
      <w:r w:rsidR="00211832">
        <w:rPr>
          <w:rFonts w:asciiTheme="majorHAnsi" w:hAnsiTheme="majorHAnsi"/>
          <w:sz w:val="24"/>
        </w:rPr>
        <w:t xml:space="preserve"> </w:t>
      </w:r>
      <w:r w:rsidR="00510F0C">
        <w:rPr>
          <w:rFonts w:asciiTheme="majorHAnsi" w:hAnsiTheme="majorHAnsi"/>
          <w:sz w:val="24"/>
        </w:rPr>
        <w:tab/>
      </w:r>
      <w:r w:rsidRPr="005C7428">
        <w:rPr>
          <w:rFonts w:asciiTheme="majorHAnsi" w:hAnsiTheme="majorHAnsi"/>
          <w:sz w:val="24"/>
          <w:u w:val="single"/>
        </w:rPr>
        <w:t xml:space="preserve">Need for the Information </w:t>
      </w:r>
      <w:r w:rsidRPr="005C7428" w:rsidR="0085688C">
        <w:rPr>
          <w:rFonts w:asciiTheme="majorHAnsi" w:hAnsiTheme="majorHAnsi"/>
          <w:sz w:val="24"/>
          <w:u w:val="single"/>
        </w:rPr>
        <w:t>Collection</w:t>
      </w:r>
    </w:p>
    <w:p w:rsidR="00725BC0" w:rsidRPr="00B52ACA" w:rsidP="00725BC0" w14:paraId="575EE681" w14:textId="77777777">
      <w:pPr>
        <w:spacing w:after="0" w:line="240" w:lineRule="auto"/>
        <w:rPr>
          <w:rFonts w:asciiTheme="majorHAnsi" w:hAnsiTheme="majorHAnsi"/>
          <w:sz w:val="24"/>
        </w:rPr>
      </w:pPr>
      <w:r>
        <w:rPr>
          <w:rFonts w:asciiTheme="majorHAnsi" w:hAnsiTheme="majorHAnsi"/>
          <w:sz w:val="24"/>
        </w:rPr>
        <w:t>The Department of Veterans Affairs (VA), through its Veterans Benefits Administration (VBA), administers an integrated program of benefits and services, established by law, for Veterans, service personnel, and their dependents and/or beneficiaries. Under the authority of 38 U.S.C. 1163, individual unemployability may be payable to a Veteran with service-connected disability or disabilities that render the Veteran unable to secure or follow a substantially gainful occupation. Regulatory authority is found in</w:t>
      </w:r>
      <w:r>
        <w:rPr>
          <w:rFonts w:asciiTheme="majorHAnsi" w:hAnsiTheme="majorHAnsi"/>
          <w:sz w:val="24"/>
        </w:rPr>
        <w:t xml:space="preserve"> 38 C.F.R. 4.16, 38 C.F.R. 3.340, and 38 C.F.R. 3.341.</w:t>
      </w:r>
    </w:p>
    <w:p w:rsidR="00510F0C" w:rsidP="006E563D" w14:paraId="6EBDCC23" w14:textId="77777777">
      <w:pPr>
        <w:spacing w:after="0" w:line="240" w:lineRule="auto"/>
        <w:rPr>
          <w:rFonts w:asciiTheme="majorHAnsi" w:hAnsiTheme="majorHAnsi"/>
          <w:sz w:val="24"/>
        </w:rPr>
      </w:pPr>
    </w:p>
    <w:p w:rsidR="005C7428" w:rsidRPr="0085688C" w:rsidP="006E563D" w14:paraId="024D3C6D" w14:textId="77777777">
      <w:pPr>
        <w:spacing w:after="0" w:line="240" w:lineRule="auto"/>
        <w:rPr>
          <w:rFonts w:asciiTheme="majorHAnsi" w:hAnsiTheme="majorHAnsi"/>
          <w:sz w:val="24"/>
        </w:rPr>
      </w:pPr>
      <w:r>
        <w:rPr>
          <w:rFonts w:asciiTheme="majorHAnsi" w:hAnsiTheme="majorHAnsi"/>
          <w:sz w:val="24"/>
        </w:rPr>
        <w:t>2.</w:t>
      </w:r>
      <w:r>
        <w:rPr>
          <w:rFonts w:asciiTheme="majorHAnsi" w:hAnsiTheme="majorHAnsi"/>
          <w:sz w:val="24"/>
        </w:rPr>
        <w:tab/>
      </w:r>
      <w:r w:rsidRPr="005C7428">
        <w:rPr>
          <w:rFonts w:asciiTheme="majorHAnsi" w:hAnsiTheme="majorHAnsi"/>
          <w:sz w:val="24"/>
          <w:u w:val="single"/>
        </w:rPr>
        <w:t xml:space="preserve">Use of the </w:t>
      </w:r>
      <w:r w:rsidRPr="005C7428" w:rsidR="0085688C">
        <w:rPr>
          <w:rFonts w:asciiTheme="majorHAnsi" w:hAnsiTheme="majorHAnsi"/>
          <w:sz w:val="24"/>
          <w:u w:val="single"/>
        </w:rPr>
        <w:t>Information</w:t>
      </w:r>
    </w:p>
    <w:p w:rsidR="00725BC0" w:rsidP="00725BC0" w14:paraId="6813CFAD" w14:textId="77777777">
      <w:pPr>
        <w:spacing w:after="0" w:line="240" w:lineRule="auto"/>
        <w:rPr>
          <w:rFonts w:asciiTheme="majorHAnsi" w:hAnsiTheme="majorHAnsi"/>
          <w:bCs/>
          <w:sz w:val="24"/>
        </w:rPr>
      </w:pPr>
      <w:r>
        <w:rPr>
          <w:rFonts w:asciiTheme="majorHAnsi" w:hAnsiTheme="majorHAnsi"/>
          <w:bCs/>
          <w:sz w:val="24"/>
        </w:rPr>
        <w:t>VA Form 21P-8416 allows claimants and beneficiaries to report unreimbursed medical expenses to reduce their countable income for needs-based benefit programs, such as VA Pension and Parents’ Dependency and Indemnity Compensation (DIC).  Unreimbursed medical expenses are deducted from otherwise countable income to determine eligibility for income-based benefits and the rate payable.  Veteran Service Representatives use the information on the form to adjust benefits.</w:t>
      </w:r>
    </w:p>
    <w:p w:rsidR="00725BC0" w:rsidP="00725BC0" w14:paraId="5B1314E3" w14:textId="77777777">
      <w:pPr>
        <w:spacing w:after="0" w:line="240" w:lineRule="auto"/>
        <w:rPr>
          <w:rFonts w:asciiTheme="majorHAnsi" w:hAnsiTheme="majorHAnsi"/>
          <w:bCs/>
          <w:sz w:val="24"/>
        </w:rPr>
      </w:pPr>
    </w:p>
    <w:p w:rsidR="00725BC0" w:rsidRPr="0097717C" w:rsidP="00725BC0" w14:paraId="06152EAC" w14:textId="77777777">
      <w:pPr>
        <w:spacing w:after="0" w:line="240" w:lineRule="auto"/>
        <w:rPr>
          <w:rFonts w:asciiTheme="majorHAnsi" w:hAnsiTheme="majorHAnsi"/>
          <w:bCs/>
          <w:sz w:val="24"/>
        </w:rPr>
      </w:pPr>
      <w:r>
        <w:rPr>
          <w:rFonts w:asciiTheme="majorHAnsi" w:hAnsiTheme="majorHAnsi"/>
          <w:bCs/>
          <w:sz w:val="24"/>
        </w:rPr>
        <w:t>VA Form 21P-8416 can be downloaded from VA.gov/find-forms, and a printed copy is sent to beneficiaries as needed. It is not available for digital submission and must be submitted as a paper document by mail or direct submission.</w:t>
      </w:r>
    </w:p>
    <w:p w:rsidR="005C7428" w:rsidP="006E563D" w14:paraId="75AC26AB" w14:textId="77777777">
      <w:pPr>
        <w:spacing w:after="0" w:line="240" w:lineRule="auto"/>
        <w:rPr>
          <w:rFonts w:asciiTheme="majorHAnsi" w:hAnsiTheme="majorHAnsi"/>
          <w:i/>
          <w:sz w:val="24"/>
        </w:rPr>
      </w:pPr>
    </w:p>
    <w:p w:rsidR="005C7428" w:rsidRPr="0085688C" w:rsidP="006E563D" w14:paraId="68545213" w14:textId="77777777">
      <w:pPr>
        <w:spacing w:after="0" w:line="240" w:lineRule="auto"/>
        <w:rPr>
          <w:rFonts w:asciiTheme="majorHAnsi" w:hAnsiTheme="majorHAnsi"/>
          <w:sz w:val="24"/>
        </w:rPr>
      </w:pPr>
      <w:r>
        <w:rPr>
          <w:rFonts w:asciiTheme="majorHAnsi" w:hAnsiTheme="majorHAnsi"/>
          <w:sz w:val="24"/>
        </w:rPr>
        <w:t xml:space="preserve">3. </w:t>
      </w:r>
      <w:r>
        <w:rPr>
          <w:rFonts w:asciiTheme="majorHAnsi" w:hAnsiTheme="majorHAnsi"/>
          <w:sz w:val="24"/>
        </w:rPr>
        <w:tab/>
      </w:r>
      <w:r w:rsidRPr="005C7428">
        <w:rPr>
          <w:rFonts w:asciiTheme="majorHAnsi" w:hAnsiTheme="majorHAnsi"/>
          <w:sz w:val="24"/>
          <w:u w:val="single"/>
        </w:rPr>
        <w:t>Use of Information Technology</w:t>
      </w:r>
    </w:p>
    <w:p w:rsidR="00725BC0" w:rsidRPr="00B764EB" w:rsidP="00725BC0" w14:paraId="05DD88BC" w14:textId="77777777">
      <w:pPr>
        <w:spacing w:after="0" w:line="240" w:lineRule="auto"/>
        <w:rPr>
          <w:rFonts w:asciiTheme="majorHAnsi" w:hAnsiTheme="majorHAnsi"/>
          <w:iCs/>
          <w:sz w:val="24"/>
        </w:rPr>
      </w:pPr>
      <w:r w:rsidRPr="00B764EB">
        <w:rPr>
          <w:rFonts w:asciiTheme="majorHAnsi" w:hAnsiTheme="majorHAnsi"/>
          <w:iCs/>
          <w:sz w:val="24"/>
        </w:rPr>
        <w:t xml:space="preserve">For the information collected on VA Form 21P-8416, VA does not currently use automated, electronic, mechanical, or other technological collection techniques. The form modifications are designed to </w:t>
      </w:r>
      <w:r w:rsidR="001B761F">
        <w:rPr>
          <w:rFonts w:asciiTheme="majorHAnsi" w:hAnsiTheme="majorHAnsi"/>
          <w:iCs/>
          <w:sz w:val="24"/>
        </w:rPr>
        <w:t>accommodate</w:t>
      </w:r>
      <w:r w:rsidRPr="00B764EB">
        <w:rPr>
          <w:rFonts w:asciiTheme="majorHAnsi" w:hAnsiTheme="majorHAnsi"/>
          <w:iCs/>
          <w:sz w:val="24"/>
        </w:rPr>
        <w:t xml:space="preserve"> these types of changes in the future.</w:t>
      </w:r>
      <w:r>
        <w:rPr>
          <w:rFonts w:asciiTheme="majorHAnsi" w:hAnsiTheme="majorHAnsi"/>
          <w:iCs/>
          <w:sz w:val="24"/>
        </w:rPr>
        <w:t xml:space="preserve"> Discussions have started with contractors to meet this need.</w:t>
      </w:r>
    </w:p>
    <w:p w:rsidR="008635C4" w:rsidP="006E563D" w14:paraId="1ED34201" w14:textId="77777777">
      <w:pPr>
        <w:spacing w:after="0" w:line="240" w:lineRule="auto"/>
        <w:rPr>
          <w:rFonts w:asciiTheme="majorHAnsi" w:hAnsiTheme="majorHAnsi"/>
          <w:i/>
          <w:sz w:val="24"/>
        </w:rPr>
      </w:pPr>
      <w:r w:rsidRPr="005C7428">
        <w:rPr>
          <w:rFonts w:asciiTheme="majorHAnsi" w:hAnsiTheme="majorHAnsi"/>
          <w:i/>
          <w:sz w:val="24"/>
        </w:rPr>
        <w:t xml:space="preserve"> </w:t>
      </w:r>
    </w:p>
    <w:p w:rsidR="008635C4" w:rsidRPr="0085688C" w:rsidP="006E563D" w14:paraId="2997F290" w14:textId="77777777">
      <w:pPr>
        <w:spacing w:after="0" w:line="240" w:lineRule="auto"/>
        <w:rPr>
          <w:rFonts w:asciiTheme="majorHAnsi" w:hAnsiTheme="majorHAnsi"/>
          <w:sz w:val="24"/>
        </w:rPr>
      </w:pPr>
      <w:r>
        <w:rPr>
          <w:rFonts w:asciiTheme="majorHAnsi" w:hAnsiTheme="majorHAnsi"/>
          <w:sz w:val="24"/>
        </w:rPr>
        <w:t xml:space="preserve">4. </w:t>
      </w:r>
      <w:r>
        <w:rPr>
          <w:rFonts w:asciiTheme="majorHAnsi" w:hAnsiTheme="majorHAnsi"/>
          <w:sz w:val="24"/>
        </w:rPr>
        <w:tab/>
      </w:r>
      <w:r w:rsidRPr="008635C4">
        <w:rPr>
          <w:rFonts w:asciiTheme="majorHAnsi" w:hAnsiTheme="majorHAnsi"/>
          <w:sz w:val="24"/>
          <w:u w:val="single"/>
        </w:rPr>
        <w:t>Non-duplication</w:t>
      </w:r>
    </w:p>
    <w:p w:rsidR="00CA15B1" w:rsidP="006E563D" w14:paraId="45413BC1" w14:textId="77777777">
      <w:pPr>
        <w:spacing w:after="0" w:line="240" w:lineRule="auto"/>
        <w:rPr>
          <w:rFonts w:asciiTheme="majorHAnsi" w:hAnsiTheme="majorHAnsi"/>
          <w:sz w:val="24"/>
        </w:rPr>
      </w:pPr>
      <w:r w:rsidRPr="00333223">
        <w:rPr>
          <w:rFonts w:asciiTheme="majorHAnsi" w:hAnsiTheme="majorHAnsi"/>
          <w:sz w:val="24"/>
        </w:rPr>
        <w:t>The information obtained through this collection is unique and is not already available for use or adaptation from another cleared source.</w:t>
      </w:r>
    </w:p>
    <w:p w:rsidR="00284E68" w:rsidP="006E563D" w14:paraId="729E32DA" w14:textId="77777777">
      <w:pPr>
        <w:spacing w:after="0" w:line="240" w:lineRule="auto"/>
        <w:rPr>
          <w:rFonts w:asciiTheme="majorHAnsi" w:hAnsiTheme="majorHAnsi"/>
          <w:i/>
          <w:sz w:val="24"/>
        </w:rPr>
      </w:pPr>
    </w:p>
    <w:p w:rsidR="00CA15B1" w:rsidP="006E563D" w14:paraId="3A11C9EF" w14:textId="77777777">
      <w:pPr>
        <w:spacing w:after="0" w:line="240" w:lineRule="auto"/>
        <w:rPr>
          <w:rFonts w:asciiTheme="majorHAnsi" w:hAnsiTheme="majorHAnsi"/>
          <w:i/>
          <w:sz w:val="24"/>
        </w:rPr>
      </w:pPr>
    </w:p>
    <w:p w:rsidR="00CA15B1" w:rsidP="006E563D" w14:paraId="577CAFAA" w14:textId="77777777">
      <w:pPr>
        <w:spacing w:after="0" w:line="240" w:lineRule="auto"/>
        <w:rPr>
          <w:rFonts w:asciiTheme="majorHAnsi" w:hAnsiTheme="majorHAnsi"/>
          <w:sz w:val="24"/>
        </w:rPr>
      </w:pPr>
      <w:r>
        <w:rPr>
          <w:rFonts w:asciiTheme="majorHAnsi" w:hAnsiTheme="majorHAnsi"/>
          <w:sz w:val="24"/>
        </w:rPr>
        <w:t xml:space="preserve">5. </w:t>
      </w:r>
      <w:r>
        <w:rPr>
          <w:rFonts w:asciiTheme="majorHAnsi" w:hAnsiTheme="majorHAnsi"/>
          <w:sz w:val="24"/>
        </w:rPr>
        <w:tab/>
      </w:r>
      <w:r w:rsidRPr="00CA15B1">
        <w:rPr>
          <w:rFonts w:asciiTheme="majorHAnsi" w:hAnsiTheme="majorHAnsi"/>
          <w:sz w:val="24"/>
          <w:u w:val="single"/>
        </w:rPr>
        <w:t>Burden on Small Businesses</w:t>
      </w:r>
    </w:p>
    <w:p w:rsidR="00284E68" w:rsidRPr="00284E68" w:rsidP="00284E68" w14:paraId="656BDE6D" w14:textId="77777777">
      <w:pPr>
        <w:spacing w:after="0" w:line="240" w:lineRule="auto"/>
        <w:rPr>
          <w:rFonts w:asciiTheme="majorHAnsi" w:hAnsiTheme="majorHAnsi"/>
          <w:sz w:val="24"/>
          <w:szCs w:val="24"/>
        </w:rPr>
      </w:pPr>
      <w:r>
        <w:rPr>
          <w:rFonts w:asciiTheme="majorHAnsi" w:hAnsiTheme="majorHAnsi"/>
          <w:sz w:val="24"/>
          <w:szCs w:val="24"/>
        </w:rPr>
        <w:t>Collecting information may require certification from an official of a small business (a care facility other than a nursing home or an in-home care provider). The certification appears on pages 9 and 10 of the form and is limited to the greatest extent possible. VBA estimates the time burden on the business official to be less than two minutes. VBA cannot properly determine a claimant’s countable medical expenses without this certification. If the claimant does not intend to claim expenses for a care facili</w:t>
      </w:r>
      <w:r>
        <w:rPr>
          <w:rFonts w:asciiTheme="majorHAnsi" w:hAnsiTheme="majorHAnsi"/>
          <w:sz w:val="24"/>
          <w:szCs w:val="24"/>
        </w:rPr>
        <w:t>ty other than a nursing home or in-home care, the worksheets are not required.</w:t>
      </w:r>
    </w:p>
    <w:p w:rsidR="002567F9" w:rsidP="006E563D" w14:paraId="7640FB59" w14:textId="77777777">
      <w:pPr>
        <w:spacing w:after="0" w:line="240" w:lineRule="auto"/>
        <w:rPr>
          <w:rFonts w:asciiTheme="majorHAnsi" w:hAnsiTheme="majorHAnsi"/>
          <w:i/>
          <w:sz w:val="24"/>
        </w:rPr>
      </w:pPr>
    </w:p>
    <w:p w:rsidR="002567F9" w:rsidRPr="0085688C" w:rsidP="006E563D" w14:paraId="35F779EC" w14:textId="77777777">
      <w:pPr>
        <w:spacing w:after="0" w:line="240" w:lineRule="auto"/>
        <w:rPr>
          <w:rFonts w:asciiTheme="majorHAnsi" w:hAnsiTheme="majorHAnsi"/>
          <w:sz w:val="24"/>
        </w:rPr>
      </w:pPr>
      <w:r w:rsidRPr="002567F9">
        <w:rPr>
          <w:rFonts w:asciiTheme="majorHAnsi" w:hAnsiTheme="majorHAnsi"/>
          <w:sz w:val="24"/>
        </w:rPr>
        <w:t>6.</w:t>
      </w:r>
      <w:r>
        <w:rPr>
          <w:rFonts w:asciiTheme="majorHAnsi" w:hAnsiTheme="majorHAnsi"/>
          <w:sz w:val="24"/>
        </w:rPr>
        <w:tab/>
        <w:t xml:space="preserve"> </w:t>
      </w:r>
      <w:r w:rsidRPr="002567F9">
        <w:rPr>
          <w:rFonts w:asciiTheme="majorHAnsi" w:hAnsiTheme="majorHAnsi"/>
          <w:sz w:val="24"/>
          <w:u w:val="single"/>
        </w:rPr>
        <w:t xml:space="preserve">Less Frequent </w:t>
      </w:r>
      <w:r w:rsidRPr="002567F9" w:rsidR="0085688C">
        <w:rPr>
          <w:rFonts w:asciiTheme="majorHAnsi" w:hAnsiTheme="majorHAnsi"/>
          <w:sz w:val="24"/>
          <w:u w:val="single"/>
        </w:rPr>
        <w:t>Collection</w:t>
      </w:r>
    </w:p>
    <w:p w:rsidR="00470DA3" w:rsidP="00470DA3" w14:paraId="720D1E7C" w14:textId="77777777">
      <w:pPr>
        <w:spacing w:after="0" w:line="240" w:lineRule="auto"/>
        <w:rPr>
          <w:rFonts w:asciiTheme="majorHAnsi" w:hAnsiTheme="majorHAnsi"/>
          <w:sz w:val="24"/>
        </w:rPr>
      </w:pPr>
      <w:r>
        <w:rPr>
          <w:rFonts w:asciiTheme="majorHAnsi" w:hAnsiTheme="majorHAnsi"/>
          <w:sz w:val="24"/>
        </w:rPr>
        <w:t xml:space="preserve">VBA would be unable to properly administer needs-based benefits without this collection of information.  The information is collected on an ad hoc basis and therefore cannot be collected less frequently.  The </w:t>
      </w:r>
      <w:r>
        <w:rPr>
          <w:rFonts w:asciiTheme="majorHAnsi" w:hAnsiTheme="majorHAnsi"/>
          <w:sz w:val="24"/>
        </w:rPr>
        <w:t>form is designed to collect the minimum amount of information needed for VBA to properly administer the program.</w:t>
      </w:r>
    </w:p>
    <w:p w:rsidR="00F86C35" w:rsidP="006E563D" w14:paraId="7C576D62" w14:textId="77777777">
      <w:pPr>
        <w:spacing w:after="0" w:line="240" w:lineRule="auto"/>
        <w:rPr>
          <w:rFonts w:asciiTheme="majorHAnsi" w:hAnsiTheme="majorHAnsi"/>
          <w:i/>
          <w:sz w:val="24"/>
        </w:rPr>
      </w:pPr>
    </w:p>
    <w:p w:rsidR="000E20B9" w:rsidP="000E20B9" w14:paraId="410C4FFF" w14:textId="77777777">
      <w:pPr>
        <w:spacing w:after="0" w:line="240" w:lineRule="auto"/>
        <w:rPr>
          <w:rFonts w:asciiTheme="majorHAnsi" w:hAnsiTheme="majorHAnsi"/>
          <w:sz w:val="24"/>
          <w:u w:val="single"/>
        </w:rPr>
      </w:pPr>
      <w:r>
        <w:rPr>
          <w:rFonts w:asciiTheme="majorHAnsi" w:hAnsiTheme="majorHAnsi"/>
          <w:i/>
          <w:sz w:val="24"/>
        </w:rPr>
        <w:t xml:space="preserve">7. </w:t>
      </w:r>
      <w:r>
        <w:rPr>
          <w:rFonts w:asciiTheme="majorHAnsi" w:hAnsiTheme="majorHAnsi"/>
          <w:i/>
          <w:sz w:val="24"/>
        </w:rPr>
        <w:tab/>
      </w:r>
      <w:r w:rsidRPr="00F86C35">
        <w:rPr>
          <w:rFonts w:asciiTheme="majorHAnsi" w:hAnsiTheme="majorHAnsi"/>
          <w:sz w:val="24"/>
          <w:u w:val="single"/>
        </w:rPr>
        <w:t>Paperwork Reduction Act Guidelines</w:t>
      </w:r>
    </w:p>
    <w:p w:rsidR="00200261" w:rsidRPr="000E20B9" w:rsidP="000E20B9" w14:paraId="1065CC2C" w14:textId="77777777">
      <w:pPr>
        <w:spacing w:after="0" w:line="240" w:lineRule="auto"/>
        <w:rPr>
          <w:rFonts w:asciiTheme="majorHAnsi" w:hAnsiTheme="majorHAnsi"/>
          <w:sz w:val="24"/>
          <w:u w:val="single"/>
        </w:rPr>
      </w:pPr>
      <w:r w:rsidRPr="000E20B9">
        <w:rPr>
          <w:rFonts w:asciiTheme="majorHAnsi" w:hAnsiTheme="majorHAnsi"/>
        </w:rPr>
        <w:t>This collection of information does not require collection to be conducted in a manner inconsistent with the guidelines delineated in 5 CFR 1320.5(d)(2).</w:t>
      </w:r>
    </w:p>
    <w:p w:rsidR="00200261" w:rsidP="00200261" w14:paraId="2C5661FE" w14:textId="77777777">
      <w:pPr>
        <w:pStyle w:val="NormalWeb"/>
        <w:spacing w:line="288" w:lineRule="atLeast"/>
        <w:rPr>
          <w:rFonts w:asciiTheme="majorHAnsi" w:eastAsiaTheme="minorHAnsi" w:hAnsiTheme="majorHAnsi" w:cstheme="minorBidi"/>
          <w:szCs w:val="22"/>
          <w:u w:val="single"/>
        </w:rPr>
      </w:pPr>
      <w:r w:rsidRPr="00200261">
        <w:rPr>
          <w:rFonts w:asciiTheme="majorHAnsi" w:eastAsiaTheme="minorHAnsi" w:hAnsiTheme="majorHAnsi" w:cstheme="minorBidi"/>
          <w:szCs w:val="22"/>
        </w:rPr>
        <w:t xml:space="preserve">8. </w:t>
      </w:r>
      <w:r w:rsidRPr="00200261">
        <w:rPr>
          <w:rFonts w:asciiTheme="majorHAnsi" w:eastAsiaTheme="minorHAnsi" w:hAnsiTheme="majorHAnsi" w:cstheme="minorBidi"/>
          <w:szCs w:val="22"/>
        </w:rPr>
        <w:tab/>
      </w:r>
      <w:r w:rsidRPr="00200261">
        <w:rPr>
          <w:rFonts w:asciiTheme="majorHAnsi" w:eastAsiaTheme="minorHAnsi" w:hAnsiTheme="majorHAnsi" w:cstheme="minorBidi"/>
          <w:szCs w:val="22"/>
          <w:u w:val="single"/>
        </w:rPr>
        <w:t>Consultation and Public Comments</w:t>
      </w:r>
    </w:p>
    <w:p w:rsidR="00200261" w:rsidP="00200261" w14:paraId="08FA14FC" w14:textId="77777777">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PUBLIC NOTICE</w:t>
      </w:r>
    </w:p>
    <w:p w:rsidR="00200261" w:rsidP="00200261" w14:paraId="7D03B480" w14:textId="77777777">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 xml:space="preserve">A 60-Day Federal Register Notice </w:t>
      </w:r>
      <w:r w:rsidR="00502FF3">
        <w:rPr>
          <w:rFonts w:asciiTheme="majorHAnsi" w:eastAsiaTheme="minorHAnsi" w:hAnsiTheme="majorHAnsi" w:cstheme="minorBidi"/>
          <w:szCs w:val="22"/>
        </w:rPr>
        <w:t xml:space="preserve">(FRN) </w:t>
      </w:r>
      <w:r>
        <w:rPr>
          <w:rFonts w:asciiTheme="majorHAnsi" w:eastAsiaTheme="minorHAnsi" w:hAnsiTheme="majorHAnsi" w:cstheme="minorBidi"/>
          <w:szCs w:val="22"/>
        </w:rPr>
        <w:t xml:space="preserve">for the collection published on </w:t>
      </w:r>
      <w:r w:rsidR="00131B62">
        <w:rPr>
          <w:rFonts w:asciiTheme="majorHAnsi" w:eastAsiaTheme="minorHAnsi" w:hAnsiTheme="majorHAnsi" w:cstheme="minorBidi"/>
          <w:szCs w:val="22"/>
        </w:rPr>
        <w:t>Thursday, July 30, 2026</w:t>
      </w:r>
      <w:r>
        <w:rPr>
          <w:rFonts w:asciiTheme="majorHAnsi" w:eastAsiaTheme="minorHAnsi" w:hAnsiTheme="majorHAnsi" w:cstheme="minorBidi"/>
          <w:szCs w:val="22"/>
        </w:rPr>
        <w:t xml:space="preserve">.  The 60-Day FRN citation is </w:t>
      </w:r>
      <w:r w:rsidR="00131B62">
        <w:rPr>
          <w:rFonts w:asciiTheme="majorHAnsi" w:eastAsiaTheme="minorHAnsi" w:hAnsiTheme="majorHAnsi" w:cstheme="minorBidi"/>
          <w:szCs w:val="22"/>
        </w:rPr>
        <w:t>91</w:t>
      </w:r>
      <w:r>
        <w:rPr>
          <w:rFonts w:asciiTheme="majorHAnsi" w:eastAsiaTheme="minorHAnsi" w:hAnsiTheme="majorHAnsi" w:cstheme="minorBidi"/>
          <w:szCs w:val="22"/>
        </w:rPr>
        <w:t xml:space="preserve"> FRN </w:t>
      </w:r>
      <w:r w:rsidR="00131B62">
        <w:rPr>
          <w:rFonts w:asciiTheme="majorHAnsi" w:eastAsiaTheme="minorHAnsi" w:hAnsiTheme="majorHAnsi" w:cstheme="minorBidi"/>
          <w:szCs w:val="22"/>
        </w:rPr>
        <w:t>47230</w:t>
      </w:r>
      <w:r>
        <w:rPr>
          <w:rFonts w:asciiTheme="majorHAnsi" w:eastAsiaTheme="minorHAnsi" w:hAnsiTheme="majorHAnsi" w:cstheme="minorBidi"/>
          <w:szCs w:val="22"/>
        </w:rPr>
        <w:t xml:space="preserve">. </w:t>
      </w:r>
    </w:p>
    <w:p w:rsidR="00200261" w:rsidP="00200261" w14:paraId="1230921B" w14:textId="77777777">
      <w:pPr>
        <w:pStyle w:val="NormalWeb"/>
        <w:spacing w:line="288" w:lineRule="atLeast"/>
        <w:rPr>
          <w:rFonts w:asciiTheme="majorHAnsi" w:eastAsiaTheme="minorHAnsi" w:hAnsiTheme="majorHAnsi" w:cstheme="minorBidi"/>
          <w:szCs w:val="22"/>
        </w:rPr>
      </w:pPr>
      <w:r w:rsidRPr="009C672C">
        <w:rPr>
          <w:rFonts w:asciiTheme="majorHAnsi" w:eastAsiaTheme="minorHAnsi" w:hAnsiTheme="majorHAnsi" w:cstheme="minorBidi"/>
          <w:szCs w:val="22"/>
        </w:rPr>
        <w:t>1</w:t>
      </w:r>
      <w:r w:rsidRPr="009C672C" w:rsidR="00874504">
        <w:rPr>
          <w:rFonts w:asciiTheme="majorHAnsi" w:eastAsiaTheme="minorHAnsi" w:hAnsiTheme="majorHAnsi" w:cstheme="minorBidi"/>
          <w:szCs w:val="22"/>
        </w:rPr>
        <w:t xml:space="preserve"> comment </w:t>
      </w:r>
      <w:r w:rsidRPr="009C672C">
        <w:rPr>
          <w:rFonts w:asciiTheme="majorHAnsi" w:eastAsiaTheme="minorHAnsi" w:hAnsiTheme="majorHAnsi" w:cstheme="minorBidi"/>
          <w:szCs w:val="22"/>
        </w:rPr>
        <w:t xml:space="preserve">was </w:t>
      </w:r>
      <w:r w:rsidRPr="009C672C" w:rsidR="00874504">
        <w:rPr>
          <w:rFonts w:asciiTheme="majorHAnsi" w:eastAsiaTheme="minorHAnsi" w:hAnsiTheme="majorHAnsi" w:cstheme="minorBidi"/>
          <w:szCs w:val="22"/>
        </w:rPr>
        <w:t>received during the 60-Day Comment Period.</w:t>
      </w:r>
      <w:r w:rsidR="00874504">
        <w:rPr>
          <w:rFonts w:asciiTheme="majorHAnsi" w:eastAsiaTheme="minorHAnsi" w:hAnsiTheme="majorHAnsi" w:cstheme="minorBidi"/>
          <w:szCs w:val="22"/>
        </w:rPr>
        <w:t xml:space="preserve"> </w:t>
      </w:r>
    </w:p>
    <w:p w:rsidR="009C672C" w:rsidRPr="009C672C" w:rsidP="009C672C" w14:paraId="6C61D62B" w14:textId="77777777">
      <w:pPr>
        <w:pStyle w:val="NormalWeb"/>
        <w:spacing w:line="288" w:lineRule="atLeast"/>
        <w:rPr>
          <w:rFonts w:asciiTheme="majorHAnsi" w:hAnsiTheme="majorHAnsi"/>
        </w:rPr>
      </w:pPr>
    </w:p>
    <w:p w:rsidR="009C672C" w:rsidRPr="009C672C" w:rsidP="009C672C" w14:paraId="006230F4" w14:textId="77777777">
      <w:pPr>
        <w:pStyle w:val="NormalWeb"/>
        <w:spacing w:line="288" w:lineRule="atLeast"/>
        <w:rPr>
          <w:rFonts w:asciiTheme="majorHAnsi" w:hAnsiTheme="majorHAnsi"/>
          <w:b/>
          <w:bCs/>
        </w:rPr>
      </w:pPr>
      <w:r w:rsidRPr="009C672C">
        <w:rPr>
          <w:rFonts w:asciiTheme="majorHAnsi" w:hAnsiTheme="majorHAnsi"/>
          <w:b/>
          <w:bCs/>
        </w:rPr>
        <w:t>PUBLIC SUBMISSION</w:t>
      </w:r>
    </w:p>
    <w:p w:rsidR="009C672C" w:rsidRPr="009C672C" w:rsidP="009C672C" w14:paraId="51FCA189" w14:textId="77777777">
      <w:pPr>
        <w:pStyle w:val="NormalWeb"/>
        <w:spacing w:line="288" w:lineRule="atLeast"/>
        <w:rPr>
          <w:rFonts w:asciiTheme="majorHAnsi" w:hAnsiTheme="majorHAnsi"/>
          <w:b/>
          <w:bCs/>
        </w:rPr>
      </w:pPr>
    </w:p>
    <w:p w:rsidR="009C672C" w:rsidRPr="009C672C" w:rsidP="009C672C" w14:paraId="63CDD4A5" w14:textId="77777777">
      <w:pPr>
        <w:pStyle w:val="NormalWeb"/>
        <w:spacing w:line="288" w:lineRule="atLeast"/>
        <w:rPr>
          <w:rFonts w:asciiTheme="majorHAnsi" w:hAnsiTheme="majorHAnsi"/>
        </w:rPr>
      </w:pPr>
      <w:r w:rsidRPr="009C672C">
        <w:rPr>
          <w:rFonts w:asciiTheme="majorHAnsi" w:hAnsiTheme="majorHAnsi"/>
          <w:noProof/>
        </w:rPr>
        <mc:AlternateContent>
          <mc:Choice Requires="wps">
            <w:drawing>
              <wp:inline distT="0" distB="0" distL="0" distR="0">
                <wp:extent cx="2348865" cy="1230630"/>
                <wp:effectExtent l="9525" t="9525" r="13335" b="7620"/>
                <wp:docPr id="1695022021" name="Text Box 3">
                  <a:extLst xmlns:a="http://schemas.openxmlformats.org/drawingml/2006/main">
                    <a:ext xmlns:a="http://schemas.openxmlformats.org/drawingml/2006/main" uri="{FF2B5EF4-FFF2-40B4-BE49-F238E27FC236}">
                      <a16:creationId xmlns:a16="http://schemas.microsoft.com/office/drawing/2014/main" id="{898E2410-DBDA-4509-967D-C68446B9CF8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48865" cy="1230630"/>
                        </a:xfrm>
                        <a:prstGeom prst="rect">
                          <a:avLst/>
                        </a:prstGeom>
                        <a:noFill/>
                        <a:ln w="10687">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9C672C" w:rsidP="009C672C" w14:textId="77777777">
                            <w:pPr>
                              <w:pStyle w:val="BodyText"/>
                              <w:kinsoku w:val="0"/>
                              <w:overflowPunct w:val="0"/>
                              <w:spacing w:line="247" w:lineRule="exact"/>
                              <w:ind w:left="30"/>
                              <w:rPr>
                                <w:color w:val="0C0C0C"/>
                                <w:w w:val="105"/>
                              </w:rPr>
                            </w:pPr>
                            <w:r>
                              <w:rPr>
                                <w:b/>
                                <w:bCs/>
                                <w:color w:val="0C0C0C"/>
                                <w:w w:val="105"/>
                              </w:rPr>
                              <w:t xml:space="preserve">As of: </w:t>
                            </w:r>
                            <w:r>
                              <w:rPr>
                                <w:color w:val="0C0C0C"/>
                                <w:w w:val="105"/>
                              </w:rPr>
                              <w:t>8/19/26, 11:48 AM</w:t>
                            </w:r>
                          </w:p>
                          <w:p w:rsidR="009C672C" w:rsidP="009C672C" w14:textId="77777777">
                            <w:pPr>
                              <w:pStyle w:val="BodyText"/>
                              <w:kinsoku w:val="0"/>
                              <w:overflowPunct w:val="0"/>
                              <w:spacing w:before="4"/>
                              <w:ind w:left="28"/>
                              <w:rPr>
                                <w:color w:val="0C0C0C"/>
                                <w:w w:val="105"/>
                              </w:rPr>
                            </w:pPr>
                            <w:r>
                              <w:rPr>
                                <w:b/>
                                <w:bCs/>
                                <w:color w:val="0C0C0C"/>
                                <w:w w:val="105"/>
                              </w:rPr>
                              <w:t xml:space="preserve">Received: </w:t>
                            </w:r>
                            <w:r>
                              <w:rPr>
                                <w:color w:val="0C0C0C"/>
                                <w:w w:val="105"/>
                              </w:rPr>
                              <w:t>August 18, 2026</w:t>
                            </w:r>
                          </w:p>
                          <w:p w:rsidR="009C672C" w:rsidP="009C672C" w14:textId="77777777">
                            <w:pPr>
                              <w:pStyle w:val="BodyText"/>
                              <w:kinsoku w:val="0"/>
                              <w:overflowPunct w:val="0"/>
                              <w:spacing w:before="10"/>
                              <w:ind w:left="30"/>
                              <w:rPr>
                                <w:color w:val="0C0C0C"/>
                                <w:w w:val="105"/>
                              </w:rPr>
                            </w:pPr>
                            <w:r>
                              <w:rPr>
                                <w:b/>
                                <w:bCs/>
                                <w:color w:val="0C0C0C"/>
                                <w:w w:val="105"/>
                              </w:rPr>
                              <w:t xml:space="preserve">Status: </w:t>
                            </w:r>
                            <w:r>
                              <w:rPr>
                                <w:color w:val="0C0C0C"/>
                                <w:w w:val="105"/>
                              </w:rPr>
                              <w:t>Posted</w:t>
                            </w:r>
                          </w:p>
                          <w:p w:rsidR="009C672C" w:rsidP="009C672C" w14:textId="77777777">
                            <w:pPr>
                              <w:pStyle w:val="BodyText"/>
                              <w:kinsoku w:val="0"/>
                              <w:overflowPunct w:val="0"/>
                              <w:spacing w:before="4"/>
                              <w:ind w:left="26"/>
                              <w:rPr>
                                <w:color w:val="0C0C0C"/>
                                <w:w w:val="105"/>
                              </w:rPr>
                            </w:pPr>
                            <w:r>
                              <w:rPr>
                                <w:b/>
                                <w:bCs/>
                                <w:color w:val="0C0C0C"/>
                                <w:w w:val="105"/>
                              </w:rPr>
                              <w:t xml:space="preserve">Posted: </w:t>
                            </w:r>
                            <w:r>
                              <w:rPr>
                                <w:color w:val="0C0C0C"/>
                                <w:w w:val="105"/>
                              </w:rPr>
                              <w:t>August 19, 2026</w:t>
                            </w:r>
                          </w:p>
                          <w:p w:rsidR="009C672C" w:rsidP="009C672C" w14:textId="77777777">
                            <w:pPr>
                              <w:pStyle w:val="BodyText"/>
                              <w:kinsoku w:val="0"/>
                              <w:overflowPunct w:val="0"/>
                              <w:spacing w:before="5" w:line="247" w:lineRule="auto"/>
                              <w:ind w:left="27" w:right="-13"/>
                              <w:rPr>
                                <w:color w:val="0C0C0C"/>
                                <w:w w:val="105"/>
                              </w:rPr>
                            </w:pPr>
                            <w:r>
                              <w:rPr>
                                <w:b/>
                                <w:bCs/>
                                <w:color w:val="0C0C0C"/>
                                <w:w w:val="105"/>
                              </w:rPr>
                              <w:t xml:space="preserve">Tracking No. </w:t>
                            </w:r>
                            <w:r>
                              <w:rPr>
                                <w:color w:val="0C0C0C"/>
                                <w:w w:val="105"/>
                              </w:rPr>
                              <w:t xml:space="preserve">msz-hiks-0mm </w:t>
                            </w:r>
                            <w:r>
                              <w:rPr>
                                <w:b/>
                                <w:bCs/>
                                <w:color w:val="0C0C0C"/>
                                <w:w w:val="105"/>
                              </w:rPr>
                              <w:t>Comments</w:t>
                            </w:r>
                            <w:r>
                              <w:rPr>
                                <w:b/>
                                <w:bCs/>
                                <w:color w:val="0C0C0C"/>
                                <w:spacing w:val="-6"/>
                                <w:w w:val="105"/>
                              </w:rPr>
                              <w:t xml:space="preserve"> </w:t>
                            </w:r>
                            <w:r>
                              <w:rPr>
                                <w:b/>
                                <w:bCs/>
                                <w:color w:val="0C0C0C"/>
                                <w:w w:val="105"/>
                              </w:rPr>
                              <w:t>Due:</w:t>
                            </w:r>
                            <w:r>
                              <w:rPr>
                                <w:b/>
                                <w:bCs/>
                                <w:color w:val="0C0C0C"/>
                                <w:spacing w:val="-15"/>
                                <w:w w:val="105"/>
                              </w:rPr>
                              <w:t xml:space="preserve"> </w:t>
                            </w:r>
                            <w:r>
                              <w:rPr>
                                <w:color w:val="0C0C0C"/>
                                <w:w w:val="105"/>
                              </w:rPr>
                              <w:t>September</w:t>
                            </w:r>
                            <w:r>
                              <w:rPr>
                                <w:color w:val="0C0C0C"/>
                                <w:spacing w:val="-6"/>
                                <w:w w:val="105"/>
                              </w:rPr>
                              <w:t xml:space="preserve"> </w:t>
                            </w:r>
                            <w:r>
                              <w:rPr>
                                <w:color w:val="0C0C0C"/>
                                <w:w w:val="105"/>
                              </w:rPr>
                              <w:t>28,</w:t>
                            </w:r>
                            <w:r>
                              <w:rPr>
                                <w:color w:val="0C0C0C"/>
                                <w:spacing w:val="-14"/>
                                <w:w w:val="105"/>
                              </w:rPr>
                              <w:t xml:space="preserve"> </w:t>
                            </w:r>
                            <w:r>
                              <w:rPr>
                                <w:color w:val="0C0C0C"/>
                                <w:w w:val="105"/>
                              </w:rPr>
                              <w:t xml:space="preserve">2026 </w:t>
                            </w:r>
                            <w:r>
                              <w:rPr>
                                <w:b/>
                                <w:bCs/>
                                <w:color w:val="0C0C0C"/>
                                <w:w w:val="105"/>
                              </w:rPr>
                              <w:t xml:space="preserve">Submission Type: </w:t>
                            </w:r>
                            <w:r>
                              <w:rPr>
                                <w:color w:val="0C0C0C"/>
                                <w:w w:val="105"/>
                              </w:rPr>
                              <w:t>API</w:t>
                            </w:r>
                          </w:p>
                        </w:txbxContent>
                      </wps:txbx>
                      <wps:bodyPr rot="0" vert="horz" wrap="square" lIns="0" tIns="0" rIns="0" bIns="0" anchor="t" anchorCtr="0" upright="1"/>
                    </wps:wsp>
                  </a:graphicData>
                </a:graphic>
              </wp:inline>
            </w:drawing>
          </mc:Choice>
          <mc:Fallback>
            <w:pict>
              <v:shapetype id="_x0000_t202" coordsize="21600,21600" o:spt="202" path="m,l,21600r21600,l21600,xe">
                <v:stroke joinstyle="miter"/>
                <v:path gradientshapeok="t" o:connecttype="rect"/>
              </v:shapetype>
              <v:shape id="Text Box 3" o:spid="_x0000_i1025" type="#_x0000_t202" style="width:184.95pt;height:96.9pt;mso-left-percent:-10001;mso-position-horizontal-relative:char;mso-position-vertical-relative:line;mso-top-percent:-10001;mso-wrap-style:square;visibility:visible;v-text-anchor:top" filled="f" strokeweight="0.84pt">
                <v:textbox inset="0,0,0,0">
                  <w:txbxContent>
                    <w:p w:rsidR="009C672C" w:rsidP="009C672C" w14:paraId="581C605B" w14:textId="77777777">
                      <w:pPr>
                        <w:pStyle w:val="BodyText"/>
                        <w:kinsoku w:val="0"/>
                        <w:overflowPunct w:val="0"/>
                        <w:spacing w:line="247" w:lineRule="exact"/>
                        <w:ind w:left="30"/>
                        <w:rPr>
                          <w:color w:val="0C0C0C"/>
                          <w:w w:val="105"/>
                        </w:rPr>
                      </w:pPr>
                      <w:r>
                        <w:rPr>
                          <w:b/>
                          <w:bCs/>
                          <w:color w:val="0C0C0C"/>
                          <w:w w:val="105"/>
                        </w:rPr>
                        <w:t xml:space="preserve">As of: </w:t>
                      </w:r>
                      <w:r>
                        <w:rPr>
                          <w:color w:val="0C0C0C"/>
                          <w:w w:val="105"/>
                        </w:rPr>
                        <w:t>8/19/26, 11:48 AM</w:t>
                      </w:r>
                    </w:p>
                    <w:p w:rsidR="009C672C" w:rsidP="009C672C" w14:paraId="53A96357" w14:textId="77777777">
                      <w:pPr>
                        <w:pStyle w:val="BodyText"/>
                        <w:kinsoku w:val="0"/>
                        <w:overflowPunct w:val="0"/>
                        <w:spacing w:before="4"/>
                        <w:ind w:left="28"/>
                        <w:rPr>
                          <w:color w:val="0C0C0C"/>
                          <w:w w:val="105"/>
                        </w:rPr>
                      </w:pPr>
                      <w:r>
                        <w:rPr>
                          <w:b/>
                          <w:bCs/>
                          <w:color w:val="0C0C0C"/>
                          <w:w w:val="105"/>
                        </w:rPr>
                        <w:t xml:space="preserve">Received: </w:t>
                      </w:r>
                      <w:r>
                        <w:rPr>
                          <w:color w:val="0C0C0C"/>
                          <w:w w:val="105"/>
                        </w:rPr>
                        <w:t>August 18, 2026</w:t>
                      </w:r>
                    </w:p>
                    <w:p w:rsidR="009C672C" w:rsidP="009C672C" w14:paraId="2454EA1B" w14:textId="77777777">
                      <w:pPr>
                        <w:pStyle w:val="BodyText"/>
                        <w:kinsoku w:val="0"/>
                        <w:overflowPunct w:val="0"/>
                        <w:spacing w:before="10"/>
                        <w:ind w:left="30"/>
                        <w:rPr>
                          <w:color w:val="0C0C0C"/>
                          <w:w w:val="105"/>
                        </w:rPr>
                      </w:pPr>
                      <w:r>
                        <w:rPr>
                          <w:b/>
                          <w:bCs/>
                          <w:color w:val="0C0C0C"/>
                          <w:w w:val="105"/>
                        </w:rPr>
                        <w:t xml:space="preserve">Status: </w:t>
                      </w:r>
                      <w:r>
                        <w:rPr>
                          <w:color w:val="0C0C0C"/>
                          <w:w w:val="105"/>
                        </w:rPr>
                        <w:t>Posted</w:t>
                      </w:r>
                    </w:p>
                    <w:p w:rsidR="009C672C" w:rsidP="009C672C" w14:paraId="68A5DE0E" w14:textId="77777777">
                      <w:pPr>
                        <w:pStyle w:val="BodyText"/>
                        <w:kinsoku w:val="0"/>
                        <w:overflowPunct w:val="0"/>
                        <w:spacing w:before="4"/>
                        <w:ind w:left="26"/>
                        <w:rPr>
                          <w:color w:val="0C0C0C"/>
                          <w:w w:val="105"/>
                        </w:rPr>
                      </w:pPr>
                      <w:r>
                        <w:rPr>
                          <w:b/>
                          <w:bCs/>
                          <w:color w:val="0C0C0C"/>
                          <w:w w:val="105"/>
                        </w:rPr>
                        <w:t xml:space="preserve">Posted: </w:t>
                      </w:r>
                      <w:r>
                        <w:rPr>
                          <w:color w:val="0C0C0C"/>
                          <w:w w:val="105"/>
                        </w:rPr>
                        <w:t>August 19, 2026</w:t>
                      </w:r>
                    </w:p>
                    <w:p w:rsidR="009C672C" w:rsidP="009C672C" w14:paraId="3E44AD88" w14:textId="77777777">
                      <w:pPr>
                        <w:pStyle w:val="BodyText"/>
                        <w:kinsoku w:val="0"/>
                        <w:overflowPunct w:val="0"/>
                        <w:spacing w:before="5" w:line="247" w:lineRule="auto"/>
                        <w:ind w:left="27" w:right="-13"/>
                        <w:rPr>
                          <w:color w:val="0C0C0C"/>
                          <w:w w:val="105"/>
                        </w:rPr>
                      </w:pPr>
                      <w:r>
                        <w:rPr>
                          <w:b/>
                          <w:bCs/>
                          <w:color w:val="0C0C0C"/>
                          <w:w w:val="105"/>
                        </w:rPr>
                        <w:t xml:space="preserve">Tracking No. </w:t>
                      </w:r>
                      <w:r>
                        <w:rPr>
                          <w:color w:val="0C0C0C"/>
                          <w:w w:val="105"/>
                        </w:rPr>
                        <w:t xml:space="preserve">msz-hiks-0mm </w:t>
                      </w:r>
                      <w:r>
                        <w:rPr>
                          <w:b/>
                          <w:bCs/>
                          <w:color w:val="0C0C0C"/>
                          <w:w w:val="105"/>
                        </w:rPr>
                        <w:t>Comments</w:t>
                      </w:r>
                      <w:r>
                        <w:rPr>
                          <w:b/>
                          <w:bCs/>
                          <w:color w:val="0C0C0C"/>
                          <w:spacing w:val="-6"/>
                          <w:w w:val="105"/>
                        </w:rPr>
                        <w:t xml:space="preserve"> </w:t>
                      </w:r>
                      <w:r>
                        <w:rPr>
                          <w:b/>
                          <w:bCs/>
                          <w:color w:val="0C0C0C"/>
                          <w:w w:val="105"/>
                        </w:rPr>
                        <w:t>Due:</w:t>
                      </w:r>
                      <w:r>
                        <w:rPr>
                          <w:b/>
                          <w:bCs/>
                          <w:color w:val="0C0C0C"/>
                          <w:spacing w:val="-15"/>
                          <w:w w:val="105"/>
                        </w:rPr>
                        <w:t xml:space="preserve"> </w:t>
                      </w:r>
                      <w:r>
                        <w:rPr>
                          <w:color w:val="0C0C0C"/>
                          <w:w w:val="105"/>
                        </w:rPr>
                        <w:t>September</w:t>
                      </w:r>
                      <w:r>
                        <w:rPr>
                          <w:color w:val="0C0C0C"/>
                          <w:spacing w:val="-6"/>
                          <w:w w:val="105"/>
                        </w:rPr>
                        <w:t xml:space="preserve"> </w:t>
                      </w:r>
                      <w:r>
                        <w:rPr>
                          <w:color w:val="0C0C0C"/>
                          <w:w w:val="105"/>
                        </w:rPr>
                        <w:t>28,</w:t>
                      </w:r>
                      <w:r>
                        <w:rPr>
                          <w:color w:val="0C0C0C"/>
                          <w:spacing w:val="-14"/>
                          <w:w w:val="105"/>
                        </w:rPr>
                        <w:t xml:space="preserve"> </w:t>
                      </w:r>
                      <w:r>
                        <w:rPr>
                          <w:color w:val="0C0C0C"/>
                          <w:w w:val="105"/>
                        </w:rPr>
                        <w:t xml:space="preserve">2026 </w:t>
                      </w:r>
                      <w:r>
                        <w:rPr>
                          <w:b/>
                          <w:bCs/>
                          <w:color w:val="0C0C0C"/>
                          <w:w w:val="105"/>
                        </w:rPr>
                        <w:t xml:space="preserve">Submission Type: </w:t>
                      </w:r>
                      <w:r>
                        <w:rPr>
                          <w:color w:val="0C0C0C"/>
                          <w:w w:val="105"/>
                        </w:rPr>
                        <w:t>API</w:t>
                      </w:r>
                    </w:p>
                  </w:txbxContent>
                </v:textbox>
                <w10:wrap type="none"/>
                <w10:anchorlock/>
              </v:shape>
            </w:pict>
          </mc:Fallback>
        </mc:AlternateContent>
      </w:r>
    </w:p>
    <w:p w:rsidR="009C672C" w:rsidRPr="009C672C" w:rsidP="009C672C" w14:paraId="6A6397EE" w14:textId="77777777">
      <w:pPr>
        <w:pStyle w:val="NormalWeb"/>
        <w:spacing w:line="288" w:lineRule="atLeast"/>
        <w:rPr>
          <w:rFonts w:asciiTheme="majorHAnsi" w:hAnsiTheme="majorHAnsi"/>
        </w:rPr>
      </w:pPr>
      <w:r w:rsidRPr="009C672C">
        <w:rPr>
          <w:rFonts w:asciiTheme="majorHAnsi" w:hAnsiTheme="majorHAnsi"/>
          <w:b/>
          <w:bCs/>
        </w:rPr>
        <w:t xml:space="preserve">Docket: </w:t>
      </w:r>
      <w:r w:rsidRPr="009C672C">
        <w:rPr>
          <w:rFonts w:asciiTheme="majorHAnsi" w:hAnsiTheme="majorHAnsi"/>
        </w:rPr>
        <w:t>VA-2026-VACO-0001</w:t>
      </w:r>
    </w:p>
    <w:p w:rsidR="009C672C" w:rsidRPr="009C672C" w:rsidP="009C672C" w14:paraId="09C86513" w14:textId="77777777">
      <w:pPr>
        <w:pStyle w:val="NormalWeb"/>
        <w:spacing w:line="288" w:lineRule="atLeast"/>
        <w:rPr>
          <w:rFonts w:asciiTheme="majorHAnsi" w:hAnsiTheme="majorHAnsi"/>
        </w:rPr>
      </w:pPr>
      <w:r w:rsidRPr="009C672C">
        <w:rPr>
          <w:rFonts w:asciiTheme="majorHAnsi" w:hAnsiTheme="majorHAnsi"/>
        </w:rPr>
        <w:t>Notices</w:t>
      </w:r>
    </w:p>
    <w:p w:rsidR="009C672C" w:rsidRPr="009C672C" w:rsidP="009C672C" w14:paraId="67DA34AF" w14:textId="77777777">
      <w:pPr>
        <w:pStyle w:val="NormalWeb"/>
        <w:spacing w:line="288" w:lineRule="atLeast"/>
        <w:rPr>
          <w:rFonts w:asciiTheme="majorHAnsi" w:hAnsiTheme="majorHAnsi"/>
        </w:rPr>
      </w:pPr>
      <w:r w:rsidRPr="009C672C">
        <w:rPr>
          <w:rFonts w:asciiTheme="majorHAnsi" w:hAnsiTheme="majorHAnsi"/>
          <w:b/>
          <w:bCs/>
        </w:rPr>
        <w:t xml:space="preserve">Comment On: </w:t>
      </w:r>
      <w:r w:rsidRPr="009C672C">
        <w:rPr>
          <w:rFonts w:asciiTheme="majorHAnsi" w:hAnsiTheme="majorHAnsi"/>
        </w:rPr>
        <w:t>VA-2026-VACO-0001-0301</w:t>
      </w:r>
    </w:p>
    <w:p w:rsidR="009C672C" w:rsidRPr="009C672C" w:rsidP="009C672C" w14:paraId="392412EA" w14:textId="77777777">
      <w:pPr>
        <w:pStyle w:val="NormalWeb"/>
        <w:spacing w:line="288" w:lineRule="atLeast"/>
        <w:rPr>
          <w:rFonts w:asciiTheme="majorHAnsi" w:hAnsiTheme="majorHAnsi"/>
        </w:rPr>
      </w:pPr>
      <w:r w:rsidRPr="009C672C">
        <w:rPr>
          <w:rFonts w:asciiTheme="majorHAnsi" w:hAnsiTheme="majorHAnsi"/>
        </w:rPr>
        <w:t>Agency Information Collection Activities; Proposals, Submissions, and Approvals: Medical Expense Report [FR Doc No: 2026-15353; 0MB Control No. 2900-0161]</w:t>
      </w:r>
    </w:p>
    <w:p w:rsidR="009C672C" w:rsidRPr="009C672C" w:rsidP="009C672C" w14:paraId="37F65FB8" w14:textId="77777777">
      <w:pPr>
        <w:pStyle w:val="NormalWeb"/>
        <w:spacing w:line="288" w:lineRule="atLeast"/>
        <w:rPr>
          <w:rFonts w:asciiTheme="majorHAnsi" w:hAnsiTheme="majorHAnsi"/>
        </w:rPr>
      </w:pPr>
      <w:r w:rsidRPr="009C672C">
        <w:rPr>
          <w:rFonts w:asciiTheme="majorHAnsi" w:hAnsiTheme="majorHAnsi"/>
          <w:b/>
          <w:bCs/>
        </w:rPr>
        <w:t xml:space="preserve">Document: </w:t>
      </w:r>
      <w:r w:rsidRPr="009C672C">
        <w:rPr>
          <w:rFonts w:asciiTheme="majorHAnsi" w:hAnsiTheme="majorHAnsi"/>
        </w:rPr>
        <w:t>VA-2026-VACO-0001-0351</w:t>
      </w:r>
    </w:p>
    <w:p w:rsidR="009C672C" w:rsidRPr="009C672C" w:rsidP="009C672C" w14:paraId="01C2DEFA" w14:textId="77777777">
      <w:pPr>
        <w:pStyle w:val="NormalWeb"/>
        <w:spacing w:line="288" w:lineRule="atLeast"/>
        <w:rPr>
          <w:rFonts w:asciiTheme="majorHAnsi" w:hAnsiTheme="majorHAnsi"/>
        </w:rPr>
      </w:pPr>
      <w:r w:rsidRPr="009C672C">
        <w:rPr>
          <w:rFonts w:asciiTheme="majorHAnsi" w:hAnsiTheme="majorHAnsi"/>
        </w:rPr>
        <w:t>Comment from Reggie Greenwood on VA-2026-VACO-0001-0301</w:t>
      </w:r>
    </w:p>
    <w:p w:rsidR="009C672C" w:rsidRPr="009C672C" w:rsidP="009C672C" w14:paraId="2BF0DB16" w14:textId="77777777">
      <w:pPr>
        <w:pStyle w:val="NormalWeb"/>
        <w:spacing w:line="288" w:lineRule="atLeast"/>
        <w:rPr>
          <w:rFonts w:asciiTheme="majorHAnsi" w:hAnsiTheme="majorHAnsi"/>
        </w:rPr>
      </w:pPr>
    </w:p>
    <w:p w:rsidR="009C672C" w:rsidRPr="009C672C" w:rsidP="009C672C" w14:paraId="5211B2A9" w14:textId="77777777">
      <w:pPr>
        <w:pStyle w:val="NormalWeb"/>
        <w:spacing w:line="288" w:lineRule="atLeast"/>
        <w:rPr>
          <w:rFonts w:asciiTheme="majorHAnsi" w:hAnsiTheme="majorHAnsi"/>
        </w:rPr>
      </w:pPr>
      <w:r w:rsidRPr="009C672C">
        <w:rPr>
          <w:rFonts w:asciiTheme="majorHAnsi" w:hAnsiTheme="majorHAnsi"/>
          <w:noProof/>
        </w:rPr>
        <mc:AlternateContent>
          <mc:Choice Requires="wpg">
            <w:drawing>
              <wp:inline distT="0" distB="0" distL="0" distR="0">
                <wp:extent cx="6501765" cy="48895"/>
                <wp:effectExtent l="0" t="0" r="3810" b="8255"/>
                <wp:docPr id="305754269" name="Group 2">
                  <a:extLst xmlns:a="http://schemas.openxmlformats.org/drawingml/2006/main">
                    <a:ext xmlns:a="http://schemas.openxmlformats.org/drawingml/2006/main" uri="{FF2B5EF4-FFF2-40B4-BE49-F238E27FC236}">
                      <a16:creationId xmlns:a16="http://schemas.microsoft.com/office/drawing/2014/main" id="{0536847E-3624-4551-89EA-15B0287E078C}"/>
                    </a:ext>
                  </a:extLst>
                </wp:docPr>
                <wp:cNvGraphicFramePr/>
                <a:graphic xmlns:a="http://schemas.openxmlformats.org/drawingml/2006/main">
                  <a:graphicData uri="http://schemas.microsoft.com/office/word/2010/wordprocessingGroup">
                    <wpg:wgp xmlns:wpg="http://schemas.microsoft.com/office/word/2010/wordprocessingGroup">
                      <wpg:cNvGrpSpPr/>
                      <wpg:grpSpPr>
                        <a:xfrm>
                          <a:off x="0" y="0"/>
                          <a:ext cx="6501765" cy="48895"/>
                          <a:chOff x="0" y="0"/>
                          <a:chExt cx="10239" cy="77"/>
                        </a:xfrm>
                      </wpg:grpSpPr>
                      <wps:wsp xmlns:wps="http://schemas.microsoft.com/office/word/2010/wordprocessingShape">
                        <wps:cNvPr id="1159067879" name="Freeform 4"/>
                        <wps:cNvSpPr/>
                        <wps:spPr bwMode="auto">
                          <a:xfrm>
                            <a:off x="0" y="0"/>
                            <a:ext cx="10239" cy="17"/>
                          </a:xfrm>
                          <a:custGeom>
                            <a:avLst/>
                            <a:gdLst>
                              <a:gd name="T0" fmla="*/ 10238 w 10239"/>
                              <a:gd name="T1" fmla="*/ 16 h 17"/>
                              <a:gd name="T2" fmla="*/ 0 w 10239"/>
                              <a:gd name="T3" fmla="*/ 16 h 17"/>
                              <a:gd name="T4" fmla="*/ 0 w 10239"/>
                              <a:gd name="T5" fmla="*/ 0 h 17"/>
                              <a:gd name="T6" fmla="*/ 10238 w 10239"/>
                              <a:gd name="T7" fmla="*/ 0 h 17"/>
                              <a:gd name="T8" fmla="*/ 10238 w 10239"/>
                              <a:gd name="T9" fmla="*/ 16 h 17"/>
                            </a:gdLst>
                            <a:cxnLst>
                              <a:cxn ang="0">
                                <a:pos x="T0" y="T1"/>
                              </a:cxn>
                              <a:cxn ang="0">
                                <a:pos x="T2" y="T3"/>
                              </a:cxn>
                              <a:cxn ang="0">
                                <a:pos x="T4" y="T5"/>
                              </a:cxn>
                              <a:cxn ang="0">
                                <a:pos x="T6" y="T7"/>
                              </a:cxn>
                              <a:cxn ang="0">
                                <a:pos x="T8" y="T9"/>
                              </a:cxn>
                            </a:cxnLst>
                            <a:rect l="0" t="0" r="r" b="b"/>
                            <a:pathLst>
                              <a:path fill="norm" h="17" w="10239" stroke="1">
                                <a:moveTo>
                                  <a:pt x="10238" y="16"/>
                                </a:moveTo>
                                <a:lnTo>
                                  <a:pt x="0" y="16"/>
                                </a:lnTo>
                                <a:lnTo>
                                  <a:pt x="0" y="0"/>
                                </a:lnTo>
                                <a:lnTo>
                                  <a:pt x="10238" y="0"/>
                                </a:lnTo>
                                <a:lnTo>
                                  <a:pt x="10238" y="16"/>
                                </a:lnTo>
                                <a:close/>
                              </a:path>
                            </a:pathLst>
                          </a:custGeom>
                          <a:solidFill>
                            <a:srgbClr val="9A9A9A"/>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877619943" name="Freeform 5"/>
                        <wps:cNvSpPr/>
                        <wps:spPr bwMode="auto">
                          <a:xfrm>
                            <a:off x="0" y="2"/>
                            <a:ext cx="10239" cy="75"/>
                          </a:xfrm>
                          <a:custGeom>
                            <a:avLst/>
                            <a:gdLst>
                              <a:gd name="T0" fmla="*/ 10238 w 10239"/>
                              <a:gd name="T1" fmla="*/ 57 h 75"/>
                              <a:gd name="T2" fmla="*/ 10236 w 10239"/>
                              <a:gd name="T3" fmla="*/ 57 h 75"/>
                              <a:gd name="T4" fmla="*/ 10236 w 10239"/>
                              <a:gd name="T5" fmla="*/ 0 h 75"/>
                              <a:gd name="T6" fmla="*/ 10222 w 10239"/>
                              <a:gd name="T7" fmla="*/ 14 h 75"/>
                              <a:gd name="T8" fmla="*/ 10222 w 10239"/>
                              <a:gd name="T9" fmla="*/ 57 h 75"/>
                              <a:gd name="T10" fmla="*/ 0 w 10239"/>
                              <a:gd name="T11" fmla="*/ 57 h 75"/>
                              <a:gd name="T12" fmla="*/ 0 w 10239"/>
                              <a:gd name="T13" fmla="*/ 74 h 75"/>
                              <a:gd name="T14" fmla="*/ 10238 w 10239"/>
                              <a:gd name="T15" fmla="*/ 74 h 75"/>
                              <a:gd name="T16" fmla="*/ 10238 w 10239"/>
                              <a:gd name="T17" fmla="*/ 57 h 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75" w="10239" stroke="1">
                                <a:moveTo>
                                  <a:pt x="10238" y="57"/>
                                </a:moveTo>
                                <a:lnTo>
                                  <a:pt x="10236" y="57"/>
                                </a:lnTo>
                                <a:lnTo>
                                  <a:pt x="10236" y="0"/>
                                </a:lnTo>
                                <a:lnTo>
                                  <a:pt x="10222" y="14"/>
                                </a:lnTo>
                                <a:lnTo>
                                  <a:pt x="10222" y="57"/>
                                </a:lnTo>
                                <a:lnTo>
                                  <a:pt x="0" y="57"/>
                                </a:lnTo>
                                <a:lnTo>
                                  <a:pt x="0" y="74"/>
                                </a:lnTo>
                                <a:lnTo>
                                  <a:pt x="10238" y="74"/>
                                </a:lnTo>
                                <a:lnTo>
                                  <a:pt x="10238" y="57"/>
                                </a:lnTo>
                                <a:close/>
                              </a:path>
                            </a:pathLst>
                          </a:custGeom>
                          <a:solidFill>
                            <a:srgbClr val="EDEDED"/>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1283350651" name="Freeform 6"/>
                        <wps:cNvSpPr/>
                        <wps:spPr bwMode="auto">
                          <a:xfrm>
                            <a:off x="0" y="2"/>
                            <a:ext cx="15" cy="75"/>
                          </a:xfrm>
                          <a:custGeom>
                            <a:avLst/>
                            <a:gdLst>
                              <a:gd name="T0" fmla="*/ 0 w 15"/>
                              <a:gd name="T1" fmla="*/ 74 h 75"/>
                              <a:gd name="T2" fmla="*/ 0 w 15"/>
                              <a:gd name="T3" fmla="*/ 0 h 75"/>
                              <a:gd name="T4" fmla="*/ 14 w 15"/>
                              <a:gd name="T5" fmla="*/ 0 h 75"/>
                              <a:gd name="T6" fmla="*/ 14 w 15"/>
                              <a:gd name="T7" fmla="*/ 60 h 75"/>
                              <a:gd name="T8" fmla="*/ 0 w 15"/>
                              <a:gd name="T9" fmla="*/ 74 h 75"/>
                            </a:gdLst>
                            <a:cxnLst>
                              <a:cxn ang="0">
                                <a:pos x="T0" y="T1"/>
                              </a:cxn>
                              <a:cxn ang="0">
                                <a:pos x="T2" y="T3"/>
                              </a:cxn>
                              <a:cxn ang="0">
                                <a:pos x="T4" y="T5"/>
                              </a:cxn>
                              <a:cxn ang="0">
                                <a:pos x="T6" y="T7"/>
                              </a:cxn>
                              <a:cxn ang="0">
                                <a:pos x="T8" y="T9"/>
                              </a:cxn>
                            </a:cxnLst>
                            <a:rect l="0" t="0" r="r" b="b"/>
                            <a:pathLst>
                              <a:path fill="norm" h="75" w="15" stroke="1">
                                <a:moveTo>
                                  <a:pt x="0" y="74"/>
                                </a:moveTo>
                                <a:lnTo>
                                  <a:pt x="0" y="0"/>
                                </a:lnTo>
                                <a:lnTo>
                                  <a:pt x="14" y="0"/>
                                </a:lnTo>
                                <a:lnTo>
                                  <a:pt x="14" y="60"/>
                                </a:lnTo>
                                <a:lnTo>
                                  <a:pt x="0" y="74"/>
                                </a:lnTo>
                                <a:close/>
                              </a:path>
                            </a:pathLst>
                          </a:custGeom>
                          <a:solidFill>
                            <a:srgbClr val="9A9A9A"/>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g:wgp>
                  </a:graphicData>
                </a:graphic>
              </wp:inline>
            </w:drawing>
          </mc:Choice>
          <mc:Fallback>
            <w:pict>
              <v:group id="Group 2" o:spid="_x0000_i1026" style="width:511.95pt;height:3.85pt;mso-position-horizontal-relative:char;mso-position-vertical-relative:line" coordsize="10239,77">
                <v:shape id="Freeform 4" o:spid="_x0000_s1027" style="width:10239;height:17;mso-wrap-style:square;position:absolute;visibility:visible;v-text-anchor:top" coordsize="10239,17" path="m10238,16l,16,,,10238,l10238,16xe" fillcolor="#9a9a9a" stroked="f">
                  <v:path arrowok="t" o:connecttype="custom" o:connectlocs="10238,16;0,16;0,0;10238,0;10238,16" o:connectangles="0,0,0,0,0"/>
                </v:shape>
                <v:shape id="Freeform 5" o:spid="_x0000_s1028" style="width:10239;height:75;mso-wrap-style:square;position:absolute;top:2;visibility:visible;v-text-anchor:top" coordsize="10239,75" path="m10238,57l10236,57l10236,l10222,14l10222,57,,57,,74l10238,74l10238,57xe" fillcolor="#ededed" stroked="f">
                  <v:path arrowok="t" o:connecttype="custom" o:connectlocs="10238,57;10236,57;10236,0;10222,14;10222,57;0,57;0,74;10238,74;10238,57" o:connectangles="0,0,0,0,0,0,0,0,0"/>
                </v:shape>
                <v:shape id="Freeform 6" o:spid="_x0000_s1029" style="width:15;height:75;mso-wrap-style:square;position:absolute;top:2;visibility:visible;v-text-anchor:top" coordsize="15,75" path="m,74l,,14,l14,60l,74xe" fillcolor="#9a9a9a" stroked="f">
                  <v:path arrowok="t" o:connecttype="custom" o:connectlocs="0,74;0,0;14,0;14,60;0,74" o:connectangles="0,0,0,0,0"/>
                </v:shape>
                <w10:wrap type="none"/>
                <w10:anchorlock/>
              </v:group>
            </w:pict>
          </mc:Fallback>
        </mc:AlternateContent>
      </w:r>
    </w:p>
    <w:p w:rsidR="009C672C" w:rsidRPr="009C672C" w:rsidP="009C672C" w14:paraId="0BFFDBCF" w14:textId="77777777">
      <w:pPr>
        <w:pStyle w:val="NormalWeb"/>
        <w:spacing w:line="288" w:lineRule="atLeast"/>
        <w:rPr>
          <w:rFonts w:asciiTheme="majorHAnsi" w:hAnsiTheme="majorHAnsi"/>
        </w:rPr>
      </w:pPr>
    </w:p>
    <w:p w:rsidR="009C672C" w:rsidRPr="009C672C" w:rsidP="009C672C" w14:paraId="71A04294" w14:textId="77777777">
      <w:pPr>
        <w:pStyle w:val="NormalWeb"/>
        <w:spacing w:line="288" w:lineRule="atLeast"/>
        <w:rPr>
          <w:rFonts w:asciiTheme="majorHAnsi" w:hAnsiTheme="majorHAnsi"/>
          <w:b/>
          <w:bCs/>
        </w:rPr>
      </w:pPr>
      <w:r w:rsidRPr="009C672C">
        <w:rPr>
          <w:rFonts w:asciiTheme="majorHAnsi" w:hAnsiTheme="majorHAnsi"/>
          <w:b/>
          <w:bCs/>
        </w:rPr>
        <w:t>Submitter Information</w:t>
      </w:r>
    </w:p>
    <w:p w:rsidR="009C672C" w:rsidRPr="009C672C" w:rsidP="009C672C" w14:paraId="2C271251" w14:textId="77777777">
      <w:pPr>
        <w:pStyle w:val="NormalWeb"/>
        <w:spacing w:line="288" w:lineRule="atLeast"/>
        <w:rPr>
          <w:rFonts w:asciiTheme="majorHAnsi" w:hAnsiTheme="majorHAnsi"/>
        </w:rPr>
      </w:pPr>
      <w:r w:rsidRPr="009C672C">
        <w:rPr>
          <w:rFonts w:asciiTheme="majorHAnsi" w:hAnsiTheme="majorHAnsi"/>
          <w:b/>
          <w:bCs/>
        </w:rPr>
        <w:t xml:space="preserve">Name: </w:t>
      </w:r>
      <w:r w:rsidRPr="009C672C">
        <w:rPr>
          <w:rFonts w:asciiTheme="majorHAnsi" w:hAnsiTheme="majorHAnsi"/>
        </w:rPr>
        <w:t>Reggie Greenwood</w:t>
      </w:r>
    </w:p>
    <w:p w:rsidR="009C672C" w:rsidRPr="009C672C" w:rsidP="009C672C" w14:paraId="71F66C4A" w14:textId="77777777">
      <w:pPr>
        <w:pStyle w:val="NormalWeb"/>
        <w:spacing w:line="288" w:lineRule="atLeast"/>
        <w:rPr>
          <w:rFonts w:asciiTheme="majorHAnsi" w:hAnsiTheme="majorHAnsi"/>
          <w:b/>
          <w:bCs/>
        </w:rPr>
      </w:pPr>
      <w:r w:rsidRPr="009C672C">
        <w:rPr>
          <w:rFonts w:asciiTheme="majorHAnsi" w:hAnsiTheme="majorHAnsi"/>
          <w:b/>
          <w:bCs/>
        </w:rPr>
        <w:t>Address:</w:t>
      </w:r>
    </w:p>
    <w:p w:rsidR="009C672C" w:rsidRPr="009C672C" w:rsidP="009C672C" w14:paraId="15A53BEF" w14:textId="77777777">
      <w:pPr>
        <w:pStyle w:val="NormalWeb"/>
        <w:spacing w:line="288" w:lineRule="atLeast"/>
        <w:rPr>
          <w:rFonts w:asciiTheme="majorHAnsi" w:hAnsiTheme="majorHAnsi"/>
        </w:rPr>
      </w:pPr>
      <w:r w:rsidRPr="009C672C">
        <w:rPr>
          <w:rFonts w:asciiTheme="majorHAnsi" w:hAnsiTheme="majorHAnsi"/>
        </w:rPr>
        <w:t>Tampa, FL, 33612</w:t>
      </w:r>
    </w:p>
    <w:p w:rsidR="009C672C" w:rsidRPr="009C672C" w:rsidP="009C672C" w14:paraId="7EF90CC6" w14:textId="77777777">
      <w:pPr>
        <w:pStyle w:val="NormalWeb"/>
        <w:spacing w:line="288" w:lineRule="atLeast"/>
        <w:rPr>
          <w:rFonts w:asciiTheme="majorHAnsi" w:hAnsiTheme="majorHAnsi"/>
        </w:rPr>
      </w:pPr>
      <w:r w:rsidRPr="009C672C">
        <w:rPr>
          <w:rFonts w:asciiTheme="majorHAnsi" w:hAnsiTheme="majorHAnsi"/>
          <w:b/>
          <w:bCs/>
        </w:rPr>
        <w:t xml:space="preserve">Email: </w:t>
      </w:r>
      <w:hyperlink r:id="rId7" w:history="1">
        <w:r w:rsidRPr="009C672C">
          <w:rPr>
            <w:rStyle w:val="Hyperlink"/>
            <w:rFonts w:asciiTheme="majorHAnsi" w:hAnsiTheme="majorHAnsi"/>
          </w:rPr>
          <w:t>ReggieMG@icloud.com</w:t>
        </w:r>
      </w:hyperlink>
    </w:p>
    <w:p w:rsidR="009C672C" w:rsidRPr="009C672C" w:rsidP="009C672C" w14:paraId="336BF6AD" w14:textId="77777777">
      <w:pPr>
        <w:pStyle w:val="NormalWeb"/>
        <w:spacing w:line="288" w:lineRule="atLeast"/>
        <w:rPr>
          <w:rFonts w:asciiTheme="majorHAnsi" w:hAnsiTheme="majorHAnsi"/>
        </w:rPr>
      </w:pPr>
      <w:r w:rsidRPr="009C672C">
        <w:rPr>
          <w:rFonts w:asciiTheme="majorHAnsi" w:hAnsiTheme="majorHAnsi"/>
          <w:b/>
          <w:bCs/>
        </w:rPr>
        <w:t xml:space="preserve">Phone: </w:t>
      </w:r>
      <w:r w:rsidRPr="009C672C">
        <w:rPr>
          <w:rFonts w:asciiTheme="majorHAnsi" w:hAnsiTheme="majorHAnsi"/>
        </w:rPr>
        <w:t>8137129647</w:t>
      </w:r>
    </w:p>
    <w:p w:rsidR="009C672C" w:rsidRPr="009C672C" w:rsidP="009C672C" w14:paraId="4FE3104E" w14:textId="77777777">
      <w:pPr>
        <w:pStyle w:val="NormalWeb"/>
        <w:spacing w:line="288" w:lineRule="atLeast"/>
        <w:rPr>
          <w:rFonts w:asciiTheme="majorHAnsi" w:hAnsiTheme="majorHAnsi"/>
        </w:rPr>
      </w:pPr>
    </w:p>
    <w:p w:rsidR="009C672C" w:rsidRPr="009C672C" w:rsidP="009C672C" w14:paraId="54F568C9" w14:textId="77777777">
      <w:pPr>
        <w:pStyle w:val="NormalWeb"/>
        <w:spacing w:line="288" w:lineRule="atLeast"/>
        <w:rPr>
          <w:rFonts w:asciiTheme="majorHAnsi" w:hAnsiTheme="majorHAnsi"/>
        </w:rPr>
      </w:pPr>
      <w:r w:rsidRPr="009C672C">
        <w:rPr>
          <w:rFonts w:asciiTheme="majorHAnsi" w:hAnsiTheme="majorHAnsi"/>
          <w:noProof/>
        </w:rPr>
        <mc:AlternateContent>
          <mc:Choice Requires="wpg">
            <w:drawing>
              <wp:inline distT="0" distB="0" distL="0" distR="0">
                <wp:extent cx="6501765" cy="49530"/>
                <wp:effectExtent l="0" t="9525" r="3810" b="7620"/>
                <wp:docPr id="1429689516" name="Group 1">
                  <a:extLst xmlns:a="http://schemas.openxmlformats.org/drawingml/2006/main">
                    <a:ext xmlns:a="http://schemas.openxmlformats.org/drawingml/2006/main" uri="{FF2B5EF4-FFF2-40B4-BE49-F238E27FC236}">
                      <a16:creationId xmlns:a16="http://schemas.microsoft.com/office/drawing/2014/main" id="{D1A82467-0D80-4041-B162-841696ECC6AB}"/>
                    </a:ext>
                  </a:extLst>
                </wp:docPr>
                <wp:cNvGraphicFramePr/>
                <a:graphic xmlns:a="http://schemas.openxmlformats.org/drawingml/2006/main">
                  <a:graphicData uri="http://schemas.microsoft.com/office/word/2010/wordprocessingGroup">
                    <wpg:wgp xmlns:wpg="http://schemas.microsoft.com/office/word/2010/wordprocessingGroup">
                      <wpg:cNvGrpSpPr/>
                      <wpg:grpSpPr>
                        <a:xfrm>
                          <a:off x="0" y="0"/>
                          <a:ext cx="6501765" cy="49530"/>
                          <a:chOff x="0" y="0"/>
                          <a:chExt cx="10239" cy="78"/>
                        </a:xfrm>
                      </wpg:grpSpPr>
                      <wps:wsp xmlns:wps="http://schemas.microsoft.com/office/word/2010/wordprocessingShape">
                        <wps:cNvPr id="743676248" name="Freeform 8"/>
                        <wps:cNvSpPr/>
                        <wps:spPr bwMode="auto">
                          <a:xfrm>
                            <a:off x="0" y="1"/>
                            <a:ext cx="10239" cy="17"/>
                          </a:xfrm>
                          <a:custGeom>
                            <a:avLst/>
                            <a:gdLst>
                              <a:gd name="T0" fmla="*/ 10238 w 10239"/>
                              <a:gd name="T1" fmla="*/ 16 h 17"/>
                              <a:gd name="T2" fmla="*/ 0 w 10239"/>
                              <a:gd name="T3" fmla="*/ 16 h 17"/>
                              <a:gd name="T4" fmla="*/ 0 w 10239"/>
                              <a:gd name="T5" fmla="*/ 0 h 17"/>
                              <a:gd name="T6" fmla="*/ 10238 w 10239"/>
                              <a:gd name="T7" fmla="*/ 0 h 17"/>
                              <a:gd name="T8" fmla="*/ 10238 w 10239"/>
                              <a:gd name="T9" fmla="*/ 16 h 17"/>
                            </a:gdLst>
                            <a:cxnLst>
                              <a:cxn ang="0">
                                <a:pos x="T0" y="T1"/>
                              </a:cxn>
                              <a:cxn ang="0">
                                <a:pos x="T2" y="T3"/>
                              </a:cxn>
                              <a:cxn ang="0">
                                <a:pos x="T4" y="T5"/>
                              </a:cxn>
                              <a:cxn ang="0">
                                <a:pos x="T6" y="T7"/>
                              </a:cxn>
                              <a:cxn ang="0">
                                <a:pos x="T8" y="T9"/>
                              </a:cxn>
                            </a:cxnLst>
                            <a:rect l="0" t="0" r="r" b="b"/>
                            <a:pathLst>
                              <a:path fill="norm" h="17" w="10239" stroke="1">
                                <a:moveTo>
                                  <a:pt x="10238" y="16"/>
                                </a:moveTo>
                                <a:lnTo>
                                  <a:pt x="0" y="16"/>
                                </a:lnTo>
                                <a:lnTo>
                                  <a:pt x="0" y="0"/>
                                </a:lnTo>
                                <a:lnTo>
                                  <a:pt x="10238" y="0"/>
                                </a:lnTo>
                                <a:lnTo>
                                  <a:pt x="10238" y="16"/>
                                </a:lnTo>
                                <a:close/>
                              </a:path>
                            </a:pathLst>
                          </a:custGeom>
                          <a:solidFill>
                            <a:srgbClr val="9A9A9A"/>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949414269" name="Freeform 9"/>
                        <wps:cNvSpPr/>
                        <wps:spPr bwMode="auto">
                          <a:xfrm>
                            <a:off x="0" y="0"/>
                            <a:ext cx="10239" cy="77"/>
                          </a:xfrm>
                          <a:custGeom>
                            <a:avLst/>
                            <a:gdLst>
                              <a:gd name="T0" fmla="*/ 10238 w 10239"/>
                              <a:gd name="T1" fmla="*/ 61 h 77"/>
                              <a:gd name="T2" fmla="*/ 10236 w 10239"/>
                              <a:gd name="T3" fmla="*/ 61 h 77"/>
                              <a:gd name="T4" fmla="*/ 10236 w 10239"/>
                              <a:gd name="T5" fmla="*/ 0 h 77"/>
                              <a:gd name="T6" fmla="*/ 10222 w 10239"/>
                              <a:gd name="T7" fmla="*/ 14 h 77"/>
                              <a:gd name="T8" fmla="*/ 10222 w 10239"/>
                              <a:gd name="T9" fmla="*/ 61 h 77"/>
                              <a:gd name="T10" fmla="*/ 0 w 10239"/>
                              <a:gd name="T11" fmla="*/ 61 h 77"/>
                              <a:gd name="T12" fmla="*/ 0 w 10239"/>
                              <a:gd name="T13" fmla="*/ 78 h 77"/>
                              <a:gd name="T14" fmla="*/ 10238 w 10239"/>
                              <a:gd name="T15" fmla="*/ 78 h 77"/>
                              <a:gd name="T16" fmla="*/ 10238 w 10239"/>
                              <a:gd name="T17" fmla="*/ 61 h 77"/>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77" w="10239" stroke="1">
                                <a:moveTo>
                                  <a:pt x="10238" y="61"/>
                                </a:moveTo>
                                <a:lnTo>
                                  <a:pt x="10236" y="61"/>
                                </a:lnTo>
                                <a:lnTo>
                                  <a:pt x="10236" y="0"/>
                                </a:lnTo>
                                <a:lnTo>
                                  <a:pt x="10222" y="14"/>
                                </a:lnTo>
                                <a:lnTo>
                                  <a:pt x="10222" y="61"/>
                                </a:lnTo>
                                <a:lnTo>
                                  <a:pt x="0" y="61"/>
                                </a:lnTo>
                                <a:lnTo>
                                  <a:pt x="0" y="78"/>
                                </a:lnTo>
                                <a:lnTo>
                                  <a:pt x="10238" y="78"/>
                                </a:lnTo>
                                <a:lnTo>
                                  <a:pt x="10238" y="61"/>
                                </a:lnTo>
                                <a:close/>
                              </a:path>
                            </a:pathLst>
                          </a:custGeom>
                          <a:solidFill>
                            <a:srgbClr val="EDEDED"/>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817496465" name="Freeform 10"/>
                        <wps:cNvSpPr/>
                        <wps:spPr bwMode="auto">
                          <a:xfrm>
                            <a:off x="0" y="0"/>
                            <a:ext cx="15" cy="75"/>
                          </a:xfrm>
                          <a:custGeom>
                            <a:avLst/>
                            <a:gdLst>
                              <a:gd name="T0" fmla="*/ 0 w 15"/>
                              <a:gd name="T1" fmla="*/ 74 h 75"/>
                              <a:gd name="T2" fmla="*/ 0 w 15"/>
                              <a:gd name="T3" fmla="*/ 0 h 75"/>
                              <a:gd name="T4" fmla="*/ 14 w 15"/>
                              <a:gd name="T5" fmla="*/ 0 h 75"/>
                              <a:gd name="T6" fmla="*/ 14 w 15"/>
                              <a:gd name="T7" fmla="*/ 60 h 75"/>
                              <a:gd name="T8" fmla="*/ 0 w 15"/>
                              <a:gd name="T9" fmla="*/ 74 h 75"/>
                            </a:gdLst>
                            <a:cxnLst>
                              <a:cxn ang="0">
                                <a:pos x="T0" y="T1"/>
                              </a:cxn>
                              <a:cxn ang="0">
                                <a:pos x="T2" y="T3"/>
                              </a:cxn>
                              <a:cxn ang="0">
                                <a:pos x="T4" y="T5"/>
                              </a:cxn>
                              <a:cxn ang="0">
                                <a:pos x="T6" y="T7"/>
                              </a:cxn>
                              <a:cxn ang="0">
                                <a:pos x="T8" y="T9"/>
                              </a:cxn>
                            </a:cxnLst>
                            <a:rect l="0" t="0" r="r" b="b"/>
                            <a:pathLst>
                              <a:path fill="norm" h="75" w="15" stroke="1">
                                <a:moveTo>
                                  <a:pt x="0" y="74"/>
                                </a:moveTo>
                                <a:lnTo>
                                  <a:pt x="0" y="0"/>
                                </a:lnTo>
                                <a:lnTo>
                                  <a:pt x="14" y="0"/>
                                </a:lnTo>
                                <a:lnTo>
                                  <a:pt x="14" y="60"/>
                                </a:lnTo>
                                <a:lnTo>
                                  <a:pt x="0" y="74"/>
                                </a:lnTo>
                                <a:close/>
                              </a:path>
                            </a:pathLst>
                          </a:custGeom>
                          <a:solidFill>
                            <a:srgbClr val="9A9A9A"/>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g:wgp>
                  </a:graphicData>
                </a:graphic>
              </wp:inline>
            </w:drawing>
          </mc:Choice>
          <mc:Fallback>
            <w:pict>
              <v:group id="Group 1" o:spid="_x0000_i1030" style="width:511.95pt;height:3.9pt;mso-position-horizontal-relative:char;mso-position-vertical-relative:line" coordsize="10239,78">
                <v:shape id="Freeform 8" o:spid="_x0000_s1031" style="width:10239;height:17;mso-wrap-style:square;position:absolute;top:1;visibility:visible;v-text-anchor:top" coordsize="10239,17" path="m10238,16l,16,,,10238,l10238,16xe" fillcolor="#9a9a9a" stroked="f">
                  <v:path arrowok="t" o:connecttype="custom" o:connectlocs="10238,16;0,16;0,0;10238,0;10238,16" o:connectangles="0,0,0,0,0"/>
                </v:shape>
                <v:shape id="Freeform 9" o:spid="_x0000_s1032" style="width:10239;height:77;mso-wrap-style:square;position:absolute;visibility:visible;v-text-anchor:top" coordsize="10239,77" path="m10238,61l10236,61l10236,l10222,14l10222,61,,61,,78l10238,78l10238,61xe" fillcolor="#ededed" stroked="f">
                  <v:path arrowok="t" o:connecttype="custom" o:connectlocs="10238,61;10236,61;10236,0;10222,14;10222,61;0,61;0,78;10238,78;10238,61" o:connectangles="0,0,0,0,0,0,0,0,0"/>
                </v:shape>
                <v:shape id="Freeform 10" o:spid="_x0000_s1033" style="width:15;height:75;mso-wrap-style:square;position:absolute;visibility:visible;v-text-anchor:top" coordsize="15,75" path="m,74l,,14,l14,60l,74xe" fillcolor="#9a9a9a" stroked="f">
                  <v:path arrowok="t" o:connecttype="custom" o:connectlocs="0,74;0,0;14,0;14,60;0,74" o:connectangles="0,0,0,0,0"/>
                </v:shape>
                <w10:wrap type="none"/>
                <w10:anchorlock/>
              </v:group>
            </w:pict>
          </mc:Fallback>
        </mc:AlternateContent>
      </w:r>
    </w:p>
    <w:p w:rsidR="009C672C" w:rsidRPr="009C672C" w:rsidP="009C672C" w14:paraId="65C1C8CD" w14:textId="77777777">
      <w:pPr>
        <w:pStyle w:val="NormalWeb"/>
        <w:spacing w:line="288" w:lineRule="atLeast"/>
        <w:rPr>
          <w:rFonts w:asciiTheme="majorHAnsi" w:hAnsiTheme="majorHAnsi"/>
        </w:rPr>
      </w:pPr>
    </w:p>
    <w:p w:rsidR="009C672C" w:rsidRPr="009C672C" w:rsidP="009C672C" w14:paraId="56413BE2" w14:textId="77777777">
      <w:pPr>
        <w:pStyle w:val="NormalWeb"/>
        <w:spacing w:line="288" w:lineRule="atLeast"/>
        <w:rPr>
          <w:rFonts w:asciiTheme="majorHAnsi" w:hAnsiTheme="majorHAnsi"/>
          <w:b/>
          <w:bCs/>
        </w:rPr>
      </w:pPr>
      <w:r w:rsidRPr="009C672C">
        <w:rPr>
          <w:rFonts w:asciiTheme="majorHAnsi" w:hAnsiTheme="majorHAnsi"/>
          <w:b/>
          <w:bCs/>
        </w:rPr>
        <w:t>General Comment</w:t>
      </w:r>
    </w:p>
    <w:p w:rsidR="009C672C" w:rsidRPr="009C672C" w:rsidP="009C672C" w14:paraId="1FA33E05" w14:textId="77777777">
      <w:pPr>
        <w:pStyle w:val="NormalWeb"/>
        <w:spacing w:line="288" w:lineRule="atLeast"/>
        <w:rPr>
          <w:rFonts w:asciiTheme="majorHAnsi" w:hAnsiTheme="majorHAnsi"/>
        </w:rPr>
      </w:pPr>
      <w:r w:rsidRPr="009C672C">
        <w:rPr>
          <w:rFonts w:asciiTheme="majorHAnsi" w:hAnsiTheme="majorHAnsi"/>
        </w:rPr>
        <w:t>I respectfully submit the following comments regarding the Veterans Benefits Administration's proposed extension of</w:t>
      </w:r>
      <w:r w:rsidR="00BD2BB1">
        <w:rPr>
          <w:rFonts w:asciiTheme="majorHAnsi" w:hAnsiTheme="majorHAnsi"/>
        </w:rPr>
        <w:t xml:space="preserve"> </w:t>
      </w:r>
      <w:r w:rsidRPr="009C672C">
        <w:rPr>
          <w:rFonts w:asciiTheme="majorHAnsi" w:hAnsiTheme="majorHAnsi"/>
        </w:rPr>
        <w:t>OMB Control No. 2900-0161, VA Form 21P-8416, Medical Expense Report.</w:t>
      </w:r>
    </w:p>
    <w:p w:rsidR="009C672C" w:rsidRPr="009C672C" w:rsidP="009C672C" w14:paraId="548F1564" w14:textId="77777777">
      <w:pPr>
        <w:pStyle w:val="NormalWeb"/>
        <w:spacing w:line="288" w:lineRule="atLeast"/>
        <w:rPr>
          <w:rFonts w:asciiTheme="majorHAnsi" w:hAnsiTheme="majorHAnsi"/>
        </w:rPr>
      </w:pPr>
    </w:p>
    <w:p w:rsidR="009C672C" w:rsidRPr="009C672C" w:rsidP="009C672C" w14:paraId="1034736D" w14:textId="77777777">
      <w:pPr>
        <w:pStyle w:val="NormalWeb"/>
        <w:numPr>
          <w:ilvl w:val="0"/>
          <w:numId w:val="15"/>
        </w:numPr>
        <w:spacing w:line="288" w:lineRule="atLeast"/>
        <w:rPr>
          <w:rFonts w:asciiTheme="majorHAnsi" w:hAnsiTheme="majorHAnsi"/>
          <w:b/>
          <w:bCs/>
        </w:rPr>
      </w:pPr>
      <w:r w:rsidRPr="009C672C">
        <w:rPr>
          <w:rFonts w:asciiTheme="majorHAnsi" w:hAnsiTheme="majorHAnsi"/>
        </w:rPr>
        <w:t>Necessity and Practical Utility</w:t>
      </w:r>
    </w:p>
    <w:p w:rsidR="009C672C" w:rsidRPr="009C672C" w:rsidP="009C672C" w14:paraId="473CC4C2" w14:textId="77777777">
      <w:pPr>
        <w:pStyle w:val="NormalWeb"/>
        <w:spacing w:line="288" w:lineRule="atLeast"/>
        <w:rPr>
          <w:rFonts w:asciiTheme="majorHAnsi" w:hAnsiTheme="majorHAnsi"/>
        </w:rPr>
      </w:pPr>
    </w:p>
    <w:p w:rsidR="009C672C" w:rsidRPr="009C672C" w:rsidP="009C672C" w14:paraId="01552E1B" w14:textId="77777777">
      <w:pPr>
        <w:pStyle w:val="NormalWeb"/>
        <w:spacing w:line="288" w:lineRule="atLeast"/>
        <w:rPr>
          <w:rFonts w:asciiTheme="majorHAnsi" w:hAnsiTheme="majorHAnsi"/>
        </w:rPr>
      </w:pPr>
      <w:r w:rsidRPr="009C672C">
        <w:rPr>
          <w:rFonts w:asciiTheme="majorHAnsi" w:hAnsiTheme="majorHAnsi"/>
        </w:rPr>
        <w:t>The collection serves a legitimate and necessary function because unreimbursed medical expenses may materially affect countable income and eligibility or payment rates for needs-based VA benefits. Accurate collection of these expenses is therefore essential. However, VBA should periodically evaluate each requested data element to ensure it remains necessary for an identifiable adjudicative purpose and eliminate information that is duplicative, obsolete, or reasonably available from existing VA records.</w:t>
      </w:r>
    </w:p>
    <w:p w:rsidR="009C672C" w:rsidRPr="009C672C" w:rsidP="009C672C" w14:paraId="3BD67D4D" w14:textId="77777777">
      <w:pPr>
        <w:pStyle w:val="NormalWeb"/>
        <w:spacing w:line="288" w:lineRule="atLeast"/>
        <w:rPr>
          <w:rFonts w:asciiTheme="majorHAnsi" w:hAnsiTheme="majorHAnsi"/>
        </w:rPr>
      </w:pPr>
    </w:p>
    <w:p w:rsidR="009C672C" w:rsidRPr="009C672C" w:rsidP="009C672C" w14:paraId="2E91D55B" w14:textId="77777777">
      <w:pPr>
        <w:pStyle w:val="NormalWeb"/>
        <w:numPr>
          <w:ilvl w:val="0"/>
          <w:numId w:val="15"/>
        </w:numPr>
        <w:spacing w:line="288" w:lineRule="atLeast"/>
        <w:rPr>
          <w:rFonts w:asciiTheme="majorHAnsi" w:hAnsiTheme="majorHAnsi"/>
        </w:rPr>
      </w:pPr>
      <w:r w:rsidRPr="009C672C">
        <w:rPr>
          <w:rFonts w:asciiTheme="majorHAnsi" w:hAnsiTheme="majorHAnsi"/>
        </w:rPr>
        <w:t>Accuracy of the Burden Estimate</w:t>
      </w:r>
    </w:p>
    <w:p w:rsidR="009C672C" w:rsidRPr="009C672C" w:rsidP="009C672C" w14:paraId="2BB2D5F5" w14:textId="77777777">
      <w:pPr>
        <w:pStyle w:val="NormalWeb"/>
        <w:spacing w:line="288" w:lineRule="atLeast"/>
        <w:rPr>
          <w:rFonts w:asciiTheme="majorHAnsi" w:hAnsiTheme="majorHAnsi"/>
        </w:rPr>
      </w:pPr>
    </w:p>
    <w:p w:rsidR="009C672C" w:rsidRPr="009C672C" w:rsidP="009C672C" w14:paraId="06C6DFF0" w14:textId="77777777">
      <w:pPr>
        <w:pStyle w:val="NormalWeb"/>
        <w:spacing w:line="288" w:lineRule="atLeast"/>
        <w:rPr>
          <w:rFonts w:asciiTheme="majorHAnsi" w:hAnsiTheme="majorHAnsi"/>
        </w:rPr>
      </w:pPr>
      <w:r w:rsidRPr="009C672C">
        <w:rPr>
          <w:rFonts w:asciiTheme="majorHAnsi" w:hAnsiTheme="majorHAnsi"/>
        </w:rPr>
        <w:t>VBA estimates 60,000 annual respondents at 30 minutes each, producing 30,000 burden hours. The mathematical calculation is correct, but the underlying 30-minute assumption should be empirically validated. Completing the form may require respondents to locate medical bills, insurance statements, pharmacy records, mileage or transportation information, payment dates, and reimbursement records. The burden may be greater for older beneficiaries, caregivers, individuals reporting recurring expenses, and claimant</w:t>
      </w:r>
      <w:r w:rsidRPr="009C672C">
        <w:rPr>
          <w:rFonts w:asciiTheme="majorHAnsi" w:hAnsiTheme="majorHAnsi"/>
        </w:rPr>
        <w:t xml:space="preserve">s with numerous providers. VBA should disclose the </w:t>
      </w:r>
      <w:r w:rsidRPr="00BD2BB1">
        <w:rPr>
          <w:rFonts w:asciiTheme="majorHAnsi" w:hAnsiTheme="majorHAnsi"/>
        </w:rPr>
        <w:t>methodology</w:t>
      </w:r>
      <w:r w:rsidRPr="009C672C">
        <w:rPr>
          <w:rFonts w:asciiTheme="majorHAnsi" w:hAnsiTheme="majorHAnsi"/>
        </w:rPr>
        <w:t xml:space="preserve"> and data used to establish the 30-minute estimate and consider whether record-retrieval and verification time is adequately represented.</w:t>
      </w:r>
    </w:p>
    <w:p w:rsidR="009C672C" w:rsidRPr="009C672C" w:rsidP="009C672C" w14:paraId="1689BC0D" w14:textId="77777777">
      <w:pPr>
        <w:pStyle w:val="NormalWeb"/>
        <w:spacing w:line="288" w:lineRule="atLeast"/>
        <w:rPr>
          <w:rFonts w:asciiTheme="majorHAnsi" w:hAnsiTheme="majorHAnsi"/>
        </w:rPr>
      </w:pPr>
    </w:p>
    <w:p w:rsidR="009C672C" w:rsidRPr="009C672C" w:rsidP="009C672C" w14:paraId="3D000B99" w14:textId="77777777">
      <w:pPr>
        <w:pStyle w:val="NormalWeb"/>
        <w:numPr>
          <w:ilvl w:val="0"/>
          <w:numId w:val="15"/>
        </w:numPr>
        <w:spacing w:line="288" w:lineRule="atLeast"/>
        <w:rPr>
          <w:rFonts w:asciiTheme="majorHAnsi" w:hAnsiTheme="majorHAnsi"/>
        </w:rPr>
      </w:pPr>
      <w:r w:rsidRPr="009C672C">
        <w:rPr>
          <w:rFonts w:asciiTheme="majorHAnsi" w:hAnsiTheme="majorHAnsi"/>
        </w:rPr>
        <w:t>Quality, Utility, and Clarity</w:t>
      </w:r>
    </w:p>
    <w:p w:rsidR="009C672C" w:rsidRPr="009C672C" w:rsidP="009C672C" w14:paraId="45C9D45C" w14:textId="77777777">
      <w:pPr>
        <w:pStyle w:val="NormalWeb"/>
        <w:numPr>
          <w:ilvl w:val="0"/>
          <w:numId w:val="15"/>
        </w:numPr>
        <w:spacing w:line="288" w:lineRule="atLeast"/>
        <w:rPr>
          <w:rFonts w:asciiTheme="majorHAnsi" w:hAnsiTheme="majorHAnsi"/>
        </w:rPr>
        <w:sectPr w:rsidSect="009C672C">
          <w:pgSz w:w="12240" w:h="15840"/>
          <w:pgMar w:top="720" w:right="720" w:bottom="280" w:left="720" w:header="720" w:footer="720" w:gutter="0"/>
          <w:cols w:space="720"/>
          <w:noEndnote/>
        </w:sectPr>
      </w:pPr>
    </w:p>
    <w:p w:rsidR="009C672C" w:rsidRPr="009C672C" w:rsidP="009C672C" w14:paraId="6AE496D9" w14:textId="77777777">
      <w:pPr>
        <w:pStyle w:val="NormalWeb"/>
        <w:spacing w:line="288" w:lineRule="atLeast"/>
        <w:rPr>
          <w:rFonts w:asciiTheme="majorHAnsi" w:hAnsiTheme="majorHAnsi"/>
        </w:rPr>
      </w:pPr>
    </w:p>
    <w:p w:rsidR="009C672C" w:rsidRPr="009C672C" w:rsidP="009C672C" w14:paraId="5E7C0355" w14:textId="77777777">
      <w:pPr>
        <w:pStyle w:val="NormalWeb"/>
        <w:spacing w:line="288" w:lineRule="atLeast"/>
        <w:rPr>
          <w:rFonts w:asciiTheme="majorHAnsi" w:hAnsiTheme="majorHAnsi"/>
        </w:rPr>
      </w:pPr>
      <w:r w:rsidRPr="009C672C">
        <w:rPr>
          <w:rFonts w:asciiTheme="majorHAnsi" w:hAnsiTheme="majorHAnsi"/>
        </w:rPr>
        <w:t>VBA should improve the form and instructions by clearly distinguishing deductible from nondeductible expenses; explaining how reimbursements, insurance payments, recurring expenses, transportation costs, and expenses paid for household members should be reported; and providing concise examples for common situations. Definitions and terminology should align with governing eligibility rules. Electronic validation should identify missing or internally inconsistent entries before submission without preventing c</w:t>
      </w:r>
      <w:r w:rsidRPr="009C672C">
        <w:rPr>
          <w:rFonts w:asciiTheme="majorHAnsi" w:hAnsiTheme="majorHAnsi"/>
        </w:rPr>
        <w:t>laimants from explaining unusual circumstances.</w:t>
      </w:r>
    </w:p>
    <w:p w:rsidR="009C672C" w:rsidRPr="009C672C" w:rsidP="009C672C" w14:paraId="5698C17F" w14:textId="77777777">
      <w:pPr>
        <w:pStyle w:val="NormalWeb"/>
        <w:spacing w:line="288" w:lineRule="atLeast"/>
        <w:rPr>
          <w:rFonts w:asciiTheme="majorHAnsi" w:hAnsiTheme="majorHAnsi"/>
        </w:rPr>
      </w:pPr>
    </w:p>
    <w:p w:rsidR="009C672C" w:rsidRPr="009C672C" w:rsidP="009C672C" w14:paraId="3D441B60" w14:textId="77777777">
      <w:pPr>
        <w:pStyle w:val="NormalWeb"/>
        <w:spacing w:line="288" w:lineRule="atLeast"/>
        <w:rPr>
          <w:rFonts w:asciiTheme="majorHAnsi" w:hAnsiTheme="majorHAnsi"/>
        </w:rPr>
      </w:pPr>
      <w:r w:rsidRPr="009C672C">
        <w:rPr>
          <w:rFonts w:asciiTheme="majorHAnsi" w:hAnsiTheme="majorHAnsi"/>
        </w:rPr>
        <w:t>4. Minimizing Respondent Burden</w:t>
      </w:r>
    </w:p>
    <w:p w:rsidR="009C672C" w:rsidRPr="009C672C" w:rsidP="009C672C" w14:paraId="78DAFD79" w14:textId="77777777">
      <w:pPr>
        <w:pStyle w:val="NormalWeb"/>
        <w:spacing w:line="288" w:lineRule="atLeast"/>
        <w:rPr>
          <w:rFonts w:asciiTheme="majorHAnsi" w:hAnsiTheme="majorHAnsi"/>
        </w:rPr>
      </w:pPr>
    </w:p>
    <w:p w:rsidR="009C672C" w:rsidRPr="009C672C" w:rsidP="009C672C" w14:paraId="043B15BA" w14:textId="77777777">
      <w:pPr>
        <w:pStyle w:val="NormalWeb"/>
        <w:spacing w:line="288" w:lineRule="atLeast"/>
        <w:rPr>
          <w:rFonts w:asciiTheme="majorHAnsi" w:hAnsiTheme="majorHAnsi"/>
        </w:rPr>
      </w:pPr>
      <w:r w:rsidRPr="009C672C">
        <w:rPr>
          <w:rFonts w:asciiTheme="majorHAnsi" w:hAnsiTheme="majorHAnsi"/>
        </w:rPr>
        <w:t>VBA should expand secure electronic completion and submission, permit claimants to save and resume partially completed reports, support accessible mobile and desktop interfaces, and allow structured uploading of supporting documentation. Where legally and technically appropriate, known claimant information should be prepopulated rather than repeatedly requested. VBA should also examine whether information already maintained within VA systems can be reused, with appropriate consent, security, and verificatio</w:t>
      </w:r>
      <w:r w:rsidRPr="009C672C">
        <w:rPr>
          <w:rFonts w:asciiTheme="majorHAnsi" w:hAnsiTheme="majorHAnsi"/>
        </w:rPr>
        <w:t>n controls.</w:t>
      </w:r>
    </w:p>
    <w:p w:rsidR="009C672C" w:rsidRPr="009C672C" w:rsidP="009C672C" w14:paraId="69BD4354" w14:textId="77777777">
      <w:pPr>
        <w:pStyle w:val="NormalWeb"/>
        <w:spacing w:line="288" w:lineRule="atLeast"/>
        <w:rPr>
          <w:rFonts w:asciiTheme="majorHAnsi" w:hAnsiTheme="majorHAnsi"/>
        </w:rPr>
      </w:pPr>
    </w:p>
    <w:p w:rsidR="009C672C" w:rsidRPr="009C672C" w:rsidP="009C672C" w14:paraId="1CCCE7A7" w14:textId="77777777">
      <w:pPr>
        <w:pStyle w:val="NormalWeb"/>
        <w:spacing w:line="288" w:lineRule="atLeast"/>
        <w:rPr>
          <w:rFonts w:asciiTheme="majorHAnsi" w:hAnsiTheme="majorHAnsi"/>
        </w:rPr>
      </w:pPr>
      <w:r w:rsidRPr="009C672C">
        <w:rPr>
          <w:rFonts w:asciiTheme="majorHAnsi" w:hAnsiTheme="majorHAnsi"/>
        </w:rPr>
        <w:t>Automation should reduce-not merely relocate-administrative burden. Claimants should retain a practical alternative submission method for those unable or unwilling to use electronic systems, and electronic processes should provide confirmation of receipt and a copy of the submitted information.</w:t>
      </w:r>
    </w:p>
    <w:p w:rsidR="009C672C" w:rsidRPr="009C672C" w:rsidP="009C672C" w14:paraId="7BDFA7FD" w14:textId="77777777">
      <w:pPr>
        <w:pStyle w:val="NormalWeb"/>
        <w:spacing w:line="288" w:lineRule="atLeast"/>
        <w:rPr>
          <w:rFonts w:asciiTheme="majorHAnsi" w:hAnsiTheme="majorHAnsi"/>
        </w:rPr>
      </w:pPr>
    </w:p>
    <w:p w:rsidR="009C672C" w:rsidRPr="009C672C" w:rsidP="009C672C" w14:paraId="4E3C8933" w14:textId="77777777">
      <w:pPr>
        <w:pStyle w:val="NormalWeb"/>
        <w:spacing w:line="288" w:lineRule="atLeast"/>
        <w:rPr>
          <w:rFonts w:asciiTheme="majorHAnsi" w:hAnsiTheme="majorHAnsi"/>
        </w:rPr>
      </w:pPr>
      <w:r w:rsidRPr="009C672C">
        <w:rPr>
          <w:rFonts w:asciiTheme="majorHAnsi" w:hAnsiTheme="majorHAnsi"/>
        </w:rPr>
        <w:t>Given the scale of this collection, even modest reductions in average completion time could produce meaningful aggregate burden savings. I recommend that VBA continue the collection only with ongoing burden measurement, data minimization, clearer instructions, and expanded user-centered electronic processing consistent with the objectives of the Paperwork Reduction Act.</w:t>
      </w:r>
    </w:p>
    <w:p w:rsidR="009C672C" w:rsidP="00200261" w14:paraId="03683FC6" w14:textId="77777777">
      <w:pPr>
        <w:pStyle w:val="NormalWeb"/>
        <w:spacing w:line="288" w:lineRule="atLeast"/>
        <w:rPr>
          <w:rFonts w:asciiTheme="majorHAnsi" w:eastAsiaTheme="minorHAnsi" w:hAnsiTheme="majorHAnsi" w:cstheme="minorBidi"/>
          <w:szCs w:val="22"/>
        </w:rPr>
      </w:pPr>
    </w:p>
    <w:p w:rsidR="009C672C" w:rsidRPr="009C672C" w:rsidP="00200261" w14:paraId="51634507" w14:textId="77777777">
      <w:pPr>
        <w:pStyle w:val="NormalWeb"/>
        <w:spacing w:line="288" w:lineRule="atLeast"/>
        <w:rPr>
          <w:rFonts w:asciiTheme="majorHAnsi" w:eastAsiaTheme="minorHAnsi" w:hAnsiTheme="majorHAnsi" w:cstheme="minorBidi"/>
          <w:b/>
          <w:bCs/>
          <w:u w:val="single"/>
        </w:rPr>
      </w:pPr>
      <w:r w:rsidRPr="009C672C">
        <w:rPr>
          <w:rFonts w:asciiTheme="majorHAnsi" w:eastAsiaTheme="minorHAnsi" w:hAnsiTheme="majorHAnsi" w:cstheme="minorBidi"/>
          <w:b/>
          <w:bCs/>
          <w:u w:val="single"/>
        </w:rPr>
        <w:t>Veteran Affairs Response</w:t>
      </w:r>
    </w:p>
    <w:p w:rsidR="009C672C" w:rsidRPr="009C672C" w:rsidP="009C672C" w14:paraId="685BFCED" w14:textId="77777777">
      <w:pPr>
        <w:pStyle w:val="NormalWeb"/>
        <w:spacing w:line="288" w:lineRule="atLeast"/>
        <w:rPr>
          <w:rFonts w:asciiTheme="majorHAnsi" w:hAnsiTheme="majorHAnsi"/>
        </w:rPr>
      </w:pPr>
      <w:r w:rsidRPr="009C672C">
        <w:rPr>
          <w:rFonts w:asciiTheme="majorHAnsi" w:hAnsiTheme="majorHAnsi"/>
        </w:rPr>
        <w:t xml:space="preserve">Thank you for your comments on the 21P-8416 form. As we continue our efforts to simplify the application process for claimants, we appreciate the time and thought you put into </w:t>
      </w:r>
      <w:r w:rsidRPr="009C672C">
        <w:rPr>
          <w:rFonts w:asciiTheme="majorHAnsi" w:hAnsiTheme="majorHAnsi"/>
        </w:rPr>
        <w:t>providing feedback. We remain committed to ensuring our forms are effective, accessible, and modernized. Thank you again for your engagement and support in enhancing this form.</w:t>
      </w:r>
    </w:p>
    <w:p w:rsidR="00502FF3" w:rsidP="00200261" w14:paraId="2C02F2B4" w14:textId="5E2637DD">
      <w:pPr>
        <w:pStyle w:val="NormalWeb"/>
        <w:spacing w:line="288" w:lineRule="atLeast"/>
        <w:rPr>
          <w:rFonts w:asciiTheme="majorHAnsi" w:eastAsiaTheme="minorHAnsi" w:hAnsiTheme="majorHAnsi" w:cstheme="minorBidi"/>
          <w:szCs w:val="22"/>
        </w:rPr>
      </w:pPr>
      <w:r w:rsidRPr="00D83DC3">
        <w:rPr>
          <w:rFonts w:asciiTheme="majorHAnsi" w:eastAsiaTheme="minorHAnsi" w:hAnsiTheme="majorHAnsi" w:cstheme="minorBidi"/>
          <w:szCs w:val="22"/>
        </w:rPr>
        <w:t>A 30-Day Federal Register Notice for the collection published on</w:t>
      </w:r>
      <w:r w:rsidR="00A55870">
        <w:rPr>
          <w:rFonts w:asciiTheme="majorHAnsi" w:eastAsiaTheme="minorHAnsi" w:hAnsiTheme="majorHAnsi" w:cstheme="minorBidi"/>
          <w:szCs w:val="22"/>
        </w:rPr>
        <w:t xml:space="preserve"> Wednesday, October 28, 2026</w:t>
      </w:r>
      <w:r w:rsidRPr="00D83DC3">
        <w:rPr>
          <w:rFonts w:asciiTheme="majorHAnsi" w:eastAsiaTheme="minorHAnsi" w:hAnsiTheme="majorHAnsi" w:cstheme="minorBidi"/>
          <w:szCs w:val="22"/>
        </w:rPr>
        <w:t xml:space="preserve">.  The 30-Day FRN citation is </w:t>
      </w:r>
      <w:r w:rsidR="00A55870">
        <w:rPr>
          <w:rFonts w:asciiTheme="majorHAnsi" w:eastAsiaTheme="minorHAnsi" w:hAnsiTheme="majorHAnsi" w:cstheme="minorBidi"/>
          <w:szCs w:val="22"/>
        </w:rPr>
        <w:t xml:space="preserve">91 </w:t>
      </w:r>
      <w:r w:rsidRPr="00D83DC3">
        <w:rPr>
          <w:rFonts w:asciiTheme="majorHAnsi" w:eastAsiaTheme="minorHAnsi" w:hAnsiTheme="majorHAnsi" w:cstheme="minorBidi"/>
          <w:szCs w:val="22"/>
        </w:rPr>
        <w:t xml:space="preserve">FRN </w:t>
      </w:r>
      <w:r w:rsidR="00A55870">
        <w:rPr>
          <w:rFonts w:asciiTheme="majorHAnsi" w:eastAsiaTheme="minorHAnsi" w:hAnsiTheme="majorHAnsi" w:cstheme="minorBidi"/>
          <w:szCs w:val="22"/>
        </w:rPr>
        <w:t>67913</w:t>
      </w:r>
      <w:r w:rsidRPr="00D83DC3">
        <w:rPr>
          <w:rFonts w:asciiTheme="majorHAnsi" w:eastAsiaTheme="minorHAnsi" w:hAnsiTheme="majorHAnsi" w:cstheme="minorBidi"/>
          <w:szCs w:val="22"/>
        </w:rPr>
        <w:t>.</w:t>
      </w:r>
    </w:p>
    <w:p w:rsidR="00200261" w:rsidP="00EE7DAB" w14:paraId="0825BEBB" w14:textId="77777777">
      <w:pPr>
        <w:pStyle w:val="NormalWeb"/>
        <w:contextualSpacing/>
        <w:rPr>
          <w:rFonts w:asciiTheme="majorHAnsi" w:eastAsiaTheme="minorHAnsi" w:hAnsiTheme="majorHAnsi" w:cstheme="minorBidi"/>
          <w:szCs w:val="22"/>
        </w:rPr>
      </w:pPr>
      <w:r>
        <w:rPr>
          <w:rFonts w:asciiTheme="majorHAnsi" w:eastAsiaTheme="minorHAnsi" w:hAnsiTheme="majorHAnsi" w:cstheme="minorBidi"/>
          <w:szCs w:val="22"/>
        </w:rPr>
        <w:t>Part B: CONSULTATION</w:t>
      </w:r>
    </w:p>
    <w:p w:rsidR="00571698" w:rsidP="00EE7DAB" w14:paraId="2B12CF85" w14:textId="77777777">
      <w:pPr>
        <w:pStyle w:val="NormalWeb"/>
        <w:contextualSpacing/>
        <w:rPr>
          <w:rFonts w:asciiTheme="majorHAnsi" w:hAnsiTheme="majorHAnsi"/>
          <w:i/>
        </w:rPr>
      </w:pPr>
      <w:r w:rsidRPr="00EE7DAB">
        <w:rPr>
          <w:rFonts w:asciiTheme="majorHAnsi" w:eastAsiaTheme="minorHAnsi" w:hAnsiTheme="majorHAnsi" w:cstheme="minorBidi"/>
          <w:szCs w:val="22"/>
        </w:rPr>
        <w:t>No additional consultation apart from soliciting public comments through the Federal Register was conducted for this submission.</w:t>
      </w:r>
      <w:r>
        <w:rPr>
          <w:rFonts w:asciiTheme="majorHAnsi" w:eastAsiaTheme="minorHAnsi" w:hAnsiTheme="majorHAnsi" w:cstheme="minorBidi"/>
          <w:szCs w:val="22"/>
        </w:rPr>
        <w:t xml:space="preserve"> </w:t>
      </w:r>
    </w:p>
    <w:p w:rsidR="00571698" w:rsidRPr="0085688C" w:rsidP="006E563D" w14:paraId="0BAFF504" w14:textId="77777777">
      <w:pPr>
        <w:spacing w:after="0" w:line="240" w:lineRule="auto"/>
        <w:rPr>
          <w:rFonts w:asciiTheme="majorHAnsi" w:hAnsiTheme="majorHAnsi"/>
          <w:sz w:val="24"/>
        </w:rPr>
      </w:pPr>
      <w:r w:rsidRPr="006A13FA">
        <w:rPr>
          <w:rFonts w:asciiTheme="majorHAnsi" w:hAnsiTheme="majorHAnsi"/>
          <w:sz w:val="24"/>
        </w:rPr>
        <w:t xml:space="preserve">9. </w:t>
      </w:r>
      <w:r w:rsidRPr="006A13FA">
        <w:rPr>
          <w:rFonts w:asciiTheme="majorHAnsi" w:hAnsiTheme="majorHAnsi"/>
          <w:sz w:val="24"/>
        </w:rPr>
        <w:tab/>
      </w:r>
      <w:r w:rsidRPr="006A13FA">
        <w:rPr>
          <w:rFonts w:asciiTheme="majorHAnsi" w:hAnsiTheme="majorHAnsi"/>
          <w:sz w:val="24"/>
          <w:u w:val="single"/>
        </w:rPr>
        <w:t>Gifts or Payment</w:t>
      </w:r>
    </w:p>
    <w:p w:rsidR="003552D9" w:rsidRPr="00EB3510" w:rsidP="006A13FA" w14:paraId="785749CE" w14:textId="77777777">
      <w:pPr>
        <w:spacing w:after="0" w:line="240" w:lineRule="auto"/>
        <w:rPr>
          <w:rFonts w:asciiTheme="majorHAnsi" w:hAnsiTheme="majorHAnsi"/>
          <w:iCs/>
          <w:sz w:val="24"/>
        </w:rPr>
      </w:pPr>
      <w:r w:rsidRPr="00EE7DAB">
        <w:rPr>
          <w:rFonts w:asciiTheme="majorHAnsi" w:hAnsiTheme="majorHAnsi"/>
          <w:sz w:val="24"/>
        </w:rPr>
        <w:t>No payments or gifts are being offered to respondents as an incentive to participate in the collection.</w:t>
      </w:r>
    </w:p>
    <w:p w:rsidR="003552D9" w:rsidP="006A13FA" w14:paraId="47B75C3F" w14:textId="77777777">
      <w:pPr>
        <w:spacing w:after="0" w:line="240" w:lineRule="auto"/>
        <w:rPr>
          <w:rFonts w:asciiTheme="majorHAnsi" w:hAnsiTheme="majorHAnsi"/>
          <w:i/>
          <w:sz w:val="24"/>
        </w:rPr>
      </w:pPr>
    </w:p>
    <w:p w:rsidR="00F97482" w:rsidP="006A13FA" w14:paraId="605AB2D4" w14:textId="77777777">
      <w:pPr>
        <w:spacing w:after="0" w:line="240" w:lineRule="auto"/>
        <w:rPr>
          <w:rFonts w:asciiTheme="majorHAnsi" w:hAnsiTheme="majorHAnsi"/>
          <w:sz w:val="24"/>
          <w:u w:val="single"/>
        </w:rPr>
      </w:pPr>
      <w:r>
        <w:rPr>
          <w:rFonts w:asciiTheme="majorHAnsi" w:hAnsiTheme="majorHAnsi"/>
          <w:sz w:val="24"/>
        </w:rPr>
        <w:t xml:space="preserve">10. </w:t>
      </w:r>
      <w:r>
        <w:rPr>
          <w:rFonts w:asciiTheme="majorHAnsi" w:hAnsiTheme="majorHAnsi"/>
          <w:sz w:val="24"/>
        </w:rPr>
        <w:tab/>
      </w:r>
      <w:r w:rsidRPr="00F97482">
        <w:rPr>
          <w:rFonts w:asciiTheme="majorHAnsi" w:hAnsiTheme="majorHAnsi"/>
          <w:sz w:val="24"/>
          <w:u w:val="single"/>
        </w:rPr>
        <w:t>Confidentiality</w:t>
      </w:r>
      <w:r w:rsidR="0085688C">
        <w:rPr>
          <w:rFonts w:asciiTheme="majorHAnsi" w:hAnsiTheme="majorHAnsi"/>
          <w:sz w:val="24"/>
          <w:u w:val="single"/>
        </w:rPr>
        <w:t xml:space="preserve"> </w:t>
      </w:r>
    </w:p>
    <w:p w:rsidR="00996894" w:rsidRPr="00EE7DAB" w:rsidP="00996894" w14:paraId="128B55F8" w14:textId="77777777">
      <w:pPr>
        <w:spacing w:after="0" w:line="240" w:lineRule="auto"/>
        <w:rPr>
          <w:rFonts w:asciiTheme="majorHAnsi" w:hAnsiTheme="majorHAnsi"/>
          <w:iCs/>
          <w:sz w:val="24"/>
        </w:rPr>
      </w:pPr>
      <w:r w:rsidRPr="00EE7DAB">
        <w:rPr>
          <w:rFonts w:asciiTheme="majorHAnsi" w:hAnsiTheme="majorHAnsi"/>
          <w:iCs/>
          <w:sz w:val="24"/>
        </w:rPr>
        <w:t>The records are maintained in the appropriate Privacy Act System of Records identified as “Compensation, Pension, Education, and Veteran Readiness and Employment Records-VA (58VA21/22/28),” published at 74 FR 29275 on June 19, 2009, and last amended at 87 FR 8740 (February 16, 2022).</w:t>
      </w:r>
    </w:p>
    <w:p w:rsidR="00996894" w:rsidP="00996894" w14:paraId="066DD49A" w14:textId="77777777">
      <w:pPr>
        <w:spacing w:after="0" w:line="240" w:lineRule="auto"/>
        <w:rPr>
          <w:rFonts w:asciiTheme="majorHAnsi" w:hAnsiTheme="majorHAnsi"/>
          <w:sz w:val="24"/>
        </w:rPr>
      </w:pPr>
      <w:r w:rsidRPr="00337EF1">
        <w:rPr>
          <w:rFonts w:asciiTheme="majorHAnsi" w:hAnsiTheme="majorHAnsi"/>
          <w:sz w:val="24"/>
        </w:rPr>
        <w:t xml:space="preserve">11. </w:t>
      </w:r>
      <w:r w:rsidRPr="00337EF1">
        <w:rPr>
          <w:rFonts w:asciiTheme="majorHAnsi" w:hAnsiTheme="majorHAnsi"/>
          <w:sz w:val="24"/>
        </w:rPr>
        <w:tab/>
      </w:r>
      <w:r w:rsidRPr="00337EF1">
        <w:rPr>
          <w:rFonts w:asciiTheme="majorHAnsi" w:hAnsiTheme="majorHAnsi"/>
          <w:sz w:val="24"/>
          <w:u w:val="single"/>
        </w:rPr>
        <w:t>Sensitive Questions</w:t>
      </w:r>
    </w:p>
    <w:p w:rsidR="009A6246" w:rsidP="00337EF1" w14:paraId="3E81D2B1" w14:textId="77777777">
      <w:pPr>
        <w:spacing w:after="0" w:line="240" w:lineRule="auto"/>
        <w:rPr>
          <w:rFonts w:asciiTheme="majorHAnsi" w:hAnsiTheme="majorHAnsi"/>
          <w:sz w:val="24"/>
        </w:rPr>
      </w:pPr>
      <w:r w:rsidRPr="00EE7DAB">
        <w:rPr>
          <w:rFonts w:asciiTheme="majorHAnsi" w:hAnsiTheme="majorHAnsi"/>
          <w:sz w:val="24"/>
        </w:rPr>
        <w:t>No questions considered sensitive are being asked in this collection.</w:t>
      </w:r>
      <w:r>
        <w:rPr>
          <w:rFonts w:asciiTheme="majorHAnsi" w:hAnsiTheme="majorHAnsi"/>
          <w:sz w:val="24"/>
        </w:rPr>
        <w:t xml:space="preserve"> </w:t>
      </w:r>
    </w:p>
    <w:p w:rsidR="00D21AA6" w:rsidP="00337EF1" w14:paraId="157C935D" w14:textId="77777777">
      <w:pPr>
        <w:spacing w:after="0" w:line="240" w:lineRule="auto"/>
        <w:rPr>
          <w:rFonts w:asciiTheme="majorHAnsi" w:hAnsiTheme="majorHAnsi"/>
          <w:sz w:val="24"/>
        </w:rPr>
      </w:pPr>
    </w:p>
    <w:p w:rsidR="00D21AA6" w:rsidRPr="00A16FB9" w:rsidP="00337EF1" w14:paraId="672E2010" w14:textId="77777777">
      <w:pPr>
        <w:spacing w:after="0" w:line="240" w:lineRule="auto"/>
        <w:rPr>
          <w:rFonts w:asciiTheme="majorHAnsi" w:hAnsiTheme="majorHAnsi"/>
          <w:sz w:val="24"/>
        </w:rPr>
      </w:pPr>
      <w:r>
        <w:rPr>
          <w:rFonts w:asciiTheme="majorHAnsi" w:hAnsiTheme="majorHAnsi"/>
          <w:sz w:val="24"/>
        </w:rPr>
        <w:t xml:space="preserve">12. </w:t>
      </w:r>
      <w:r w:rsidRPr="00A16FB9" w:rsidR="00A76F7E">
        <w:rPr>
          <w:rFonts w:asciiTheme="majorHAnsi" w:hAnsiTheme="majorHAnsi"/>
          <w:sz w:val="24"/>
        </w:rPr>
        <w:tab/>
      </w:r>
      <w:r w:rsidRPr="00A16FB9" w:rsidR="00A76F7E">
        <w:rPr>
          <w:rFonts w:asciiTheme="majorHAnsi" w:hAnsiTheme="majorHAnsi"/>
          <w:sz w:val="24"/>
          <w:u w:val="single"/>
        </w:rPr>
        <w:t>Respondent Burden and its Labor Costs</w:t>
      </w:r>
    </w:p>
    <w:p w:rsidR="003552D9" w:rsidRPr="00A16FB9" w:rsidP="003552D9" w14:paraId="6F90F860" w14:textId="77777777">
      <w:pPr>
        <w:spacing w:after="0" w:line="240" w:lineRule="auto"/>
        <w:ind w:left="720"/>
        <w:rPr>
          <w:rFonts w:asciiTheme="majorHAnsi" w:hAnsiTheme="majorHAnsi"/>
          <w:sz w:val="24"/>
        </w:rPr>
      </w:pPr>
      <w:r w:rsidRPr="00A16FB9">
        <w:rPr>
          <w:rFonts w:asciiTheme="majorHAnsi" w:hAnsiTheme="majorHAnsi"/>
          <w:sz w:val="24"/>
        </w:rPr>
        <w:t>a.</w:t>
      </w:r>
      <w:r w:rsidRPr="00A16FB9">
        <w:rPr>
          <w:rFonts w:asciiTheme="majorHAnsi" w:hAnsiTheme="majorHAnsi"/>
          <w:sz w:val="24"/>
        </w:rPr>
        <w:tab/>
        <w:t xml:space="preserve">Number of Respondents is estimated at </w:t>
      </w:r>
      <w:r w:rsidR="00E05EA7">
        <w:rPr>
          <w:rFonts w:asciiTheme="majorHAnsi" w:hAnsiTheme="majorHAnsi"/>
          <w:sz w:val="24"/>
        </w:rPr>
        <w:t>60,000</w:t>
      </w:r>
      <w:r w:rsidRPr="00A16FB9">
        <w:rPr>
          <w:rFonts w:asciiTheme="majorHAnsi" w:hAnsiTheme="majorHAnsi"/>
          <w:sz w:val="24"/>
        </w:rPr>
        <w:t xml:space="preserve"> per year.</w:t>
      </w:r>
    </w:p>
    <w:p w:rsidR="003552D9" w:rsidRPr="00A16FB9" w:rsidP="003552D9" w14:paraId="279570AA" w14:textId="77777777">
      <w:pPr>
        <w:spacing w:after="0" w:line="240" w:lineRule="auto"/>
        <w:ind w:left="720"/>
        <w:rPr>
          <w:rFonts w:asciiTheme="majorHAnsi" w:hAnsiTheme="majorHAnsi"/>
          <w:sz w:val="24"/>
        </w:rPr>
      </w:pPr>
    </w:p>
    <w:p w:rsidR="003552D9" w:rsidRPr="00A16FB9" w:rsidP="003552D9" w14:paraId="2B0FF1EA" w14:textId="77777777">
      <w:pPr>
        <w:spacing w:after="0" w:line="240" w:lineRule="auto"/>
        <w:ind w:left="720"/>
        <w:rPr>
          <w:rFonts w:asciiTheme="majorHAnsi" w:hAnsiTheme="majorHAnsi"/>
          <w:sz w:val="24"/>
        </w:rPr>
      </w:pPr>
      <w:r w:rsidRPr="00A16FB9">
        <w:rPr>
          <w:rFonts w:asciiTheme="majorHAnsi" w:hAnsiTheme="majorHAnsi"/>
          <w:sz w:val="24"/>
        </w:rPr>
        <w:t>b.</w:t>
      </w:r>
      <w:r w:rsidRPr="00A16FB9">
        <w:rPr>
          <w:rFonts w:asciiTheme="majorHAnsi" w:hAnsiTheme="majorHAnsi"/>
          <w:sz w:val="24"/>
        </w:rPr>
        <w:tab/>
      </w:r>
      <w:r w:rsidRPr="00A16FB9">
        <w:rPr>
          <w:rFonts w:asciiTheme="majorHAnsi" w:hAnsiTheme="majorHAnsi"/>
          <w:sz w:val="24"/>
        </w:rPr>
        <w:t>Frequency of Response is one time.</w:t>
      </w:r>
    </w:p>
    <w:p w:rsidR="003552D9" w:rsidRPr="00A16FB9" w:rsidP="003552D9" w14:paraId="1DC074C7" w14:textId="77777777">
      <w:pPr>
        <w:spacing w:after="0" w:line="240" w:lineRule="auto"/>
        <w:ind w:left="720"/>
        <w:rPr>
          <w:rFonts w:asciiTheme="majorHAnsi" w:hAnsiTheme="majorHAnsi"/>
          <w:sz w:val="24"/>
        </w:rPr>
      </w:pPr>
    </w:p>
    <w:p w:rsidR="003552D9" w:rsidRPr="00A16FB9" w:rsidP="003552D9" w14:paraId="7B4CB6CE" w14:textId="77777777">
      <w:pPr>
        <w:spacing w:after="0" w:line="240" w:lineRule="auto"/>
        <w:ind w:left="720"/>
        <w:rPr>
          <w:rFonts w:asciiTheme="majorHAnsi" w:hAnsiTheme="majorHAnsi"/>
          <w:sz w:val="24"/>
        </w:rPr>
      </w:pPr>
      <w:r w:rsidRPr="00A16FB9">
        <w:rPr>
          <w:rFonts w:asciiTheme="majorHAnsi" w:hAnsiTheme="majorHAnsi"/>
          <w:sz w:val="24"/>
        </w:rPr>
        <w:t>c.</w:t>
      </w:r>
      <w:r w:rsidRPr="00A16FB9">
        <w:rPr>
          <w:rFonts w:asciiTheme="majorHAnsi" w:hAnsiTheme="majorHAnsi"/>
          <w:sz w:val="24"/>
        </w:rPr>
        <w:tab/>
        <w:t xml:space="preserve">Annual burden hours are </w:t>
      </w:r>
      <w:r w:rsidR="00E05EA7">
        <w:rPr>
          <w:rFonts w:asciiTheme="majorHAnsi" w:hAnsiTheme="majorHAnsi"/>
          <w:sz w:val="24"/>
        </w:rPr>
        <w:t>30,000</w:t>
      </w:r>
      <w:r w:rsidRPr="00A16FB9">
        <w:rPr>
          <w:rFonts w:asciiTheme="majorHAnsi" w:hAnsiTheme="majorHAnsi"/>
          <w:sz w:val="24"/>
        </w:rPr>
        <w:t xml:space="preserve"> hours.</w:t>
      </w:r>
    </w:p>
    <w:p w:rsidR="003552D9" w:rsidRPr="00A16FB9" w:rsidP="003552D9" w14:paraId="490DE5BC" w14:textId="77777777">
      <w:pPr>
        <w:spacing w:after="0" w:line="240" w:lineRule="auto"/>
        <w:ind w:left="720"/>
        <w:rPr>
          <w:rFonts w:asciiTheme="majorHAnsi" w:hAnsiTheme="majorHAnsi"/>
          <w:sz w:val="24"/>
        </w:rPr>
      </w:pPr>
    </w:p>
    <w:p w:rsidR="003552D9" w:rsidRPr="00A16FB9" w:rsidP="003552D9" w14:paraId="35334287" w14:textId="77777777">
      <w:pPr>
        <w:spacing w:after="0" w:line="240" w:lineRule="auto"/>
        <w:ind w:left="720"/>
        <w:rPr>
          <w:rFonts w:asciiTheme="majorHAnsi" w:hAnsiTheme="majorHAnsi"/>
          <w:sz w:val="24"/>
        </w:rPr>
      </w:pPr>
      <w:r w:rsidRPr="00A16FB9">
        <w:rPr>
          <w:rFonts w:asciiTheme="majorHAnsi" w:hAnsiTheme="majorHAnsi"/>
          <w:sz w:val="24"/>
        </w:rPr>
        <w:t>d.</w:t>
      </w:r>
      <w:r w:rsidRPr="00A16FB9">
        <w:rPr>
          <w:rFonts w:asciiTheme="majorHAnsi" w:hAnsiTheme="majorHAnsi"/>
          <w:sz w:val="24"/>
        </w:rPr>
        <w:tab/>
        <w:t xml:space="preserve">The estimated completion time for this form is </w:t>
      </w:r>
      <w:r w:rsidR="00E05EA7">
        <w:rPr>
          <w:rFonts w:asciiTheme="majorHAnsi" w:hAnsiTheme="majorHAnsi"/>
          <w:sz w:val="24"/>
        </w:rPr>
        <w:t>30</w:t>
      </w:r>
      <w:r w:rsidRPr="00A16FB9">
        <w:rPr>
          <w:rFonts w:asciiTheme="majorHAnsi" w:hAnsiTheme="majorHAnsi"/>
          <w:sz w:val="24"/>
        </w:rPr>
        <w:t xml:space="preserve"> minutes</w:t>
      </w:r>
      <w:r w:rsidR="00E05EA7">
        <w:rPr>
          <w:rFonts w:asciiTheme="majorHAnsi" w:hAnsiTheme="majorHAnsi"/>
          <w:sz w:val="24"/>
        </w:rPr>
        <w:t xml:space="preserve"> (0.50 hours)</w:t>
      </w:r>
      <w:r w:rsidRPr="00A16FB9">
        <w:rPr>
          <w:rFonts w:asciiTheme="majorHAnsi" w:hAnsiTheme="majorHAnsi"/>
          <w:sz w:val="24"/>
        </w:rPr>
        <w:t>.</w:t>
      </w:r>
    </w:p>
    <w:p w:rsidR="003552D9" w:rsidRPr="00A16FB9" w:rsidP="003552D9" w14:paraId="0A8BF7BC" w14:textId="77777777">
      <w:pPr>
        <w:spacing w:after="0" w:line="240" w:lineRule="auto"/>
        <w:ind w:left="720"/>
        <w:rPr>
          <w:rFonts w:asciiTheme="majorHAnsi" w:hAnsiTheme="majorHAnsi"/>
          <w:sz w:val="24"/>
        </w:rPr>
      </w:pPr>
    </w:p>
    <w:p w:rsidR="003552D9" w:rsidRPr="00A16FB9" w:rsidP="003552D9" w14:paraId="36AB8DBC" w14:textId="77777777">
      <w:pPr>
        <w:spacing w:after="0" w:line="240" w:lineRule="auto"/>
        <w:ind w:left="720"/>
        <w:rPr>
          <w:rFonts w:asciiTheme="majorHAnsi" w:hAnsiTheme="majorHAnsi"/>
          <w:sz w:val="24"/>
        </w:rPr>
      </w:pPr>
      <w:r w:rsidRPr="00A16FB9">
        <w:rPr>
          <w:rFonts w:asciiTheme="majorHAnsi" w:hAnsiTheme="majorHAnsi"/>
          <w:sz w:val="24"/>
        </w:rPr>
        <w:t>e.</w:t>
      </w:r>
      <w:r w:rsidRPr="00A16FB9">
        <w:rPr>
          <w:rFonts w:asciiTheme="majorHAnsi" w:hAnsiTheme="majorHAnsi"/>
          <w:sz w:val="24"/>
        </w:rPr>
        <w:tab/>
        <w:t xml:space="preserve">VA cannot make further assumptions about the population of respondents because of the variability of factors such as the educational background and wage potential of respondents. Therefore, VBA used general wage data to estimate the respondents’ costs associated with completing the information collection. </w:t>
      </w:r>
    </w:p>
    <w:p w:rsidR="003552D9" w:rsidRPr="00A16FB9" w:rsidP="003552D9" w14:paraId="6E69461A" w14:textId="77777777">
      <w:pPr>
        <w:spacing w:after="0" w:line="240" w:lineRule="auto"/>
        <w:ind w:left="720"/>
        <w:rPr>
          <w:rFonts w:asciiTheme="majorHAnsi" w:hAnsiTheme="majorHAnsi"/>
          <w:sz w:val="24"/>
        </w:rPr>
      </w:pPr>
    </w:p>
    <w:p w:rsidR="003552D9" w:rsidRPr="00A16FB9" w:rsidP="003552D9" w14:paraId="57B3475C" w14:textId="77777777">
      <w:pPr>
        <w:spacing w:after="0" w:line="240" w:lineRule="auto"/>
        <w:ind w:left="720"/>
        <w:rPr>
          <w:rFonts w:asciiTheme="majorHAnsi" w:hAnsiTheme="majorHAnsi"/>
          <w:sz w:val="24"/>
        </w:rPr>
      </w:pPr>
      <w:r w:rsidRPr="00A16FB9">
        <w:rPr>
          <w:rFonts w:asciiTheme="majorHAnsi" w:hAnsiTheme="majorHAnsi"/>
          <w:sz w:val="24"/>
        </w:rPr>
        <w:t>The Bureau of Labor Statistics (BLS) gathers information on full-time wage and salary workers.  According to the latest available BLS data, the mean hourly wage is $32.66 based on the BLS wage code – “00-0000 All Occupations.”  This information was taken from the following website:</w:t>
      </w:r>
      <w:bookmarkStart w:id="0" w:name="_Hlk194585855"/>
      <w:r w:rsidR="00E05EA7">
        <w:rPr>
          <w:rFonts w:asciiTheme="majorHAnsi" w:hAnsiTheme="majorHAnsi"/>
          <w:sz w:val="24"/>
        </w:rPr>
        <w:t xml:space="preserve"> </w:t>
      </w:r>
      <w:hyperlink r:id="rId8" w:anchor="/industry/000000" w:history="1">
        <w:r w:rsidRPr="007E0E8E" w:rsidR="00E05EA7">
          <w:rPr>
            <w:rStyle w:val="Hyperlink"/>
            <w:rFonts w:eastAsia="Aptos" w:asciiTheme="majorHAnsi" w:hAnsiTheme="majorHAnsi" w:cs="Times New Roman"/>
            <w:sz w:val="24"/>
            <w:szCs w:val="24"/>
          </w:rPr>
          <w:t>https://data.bls.gov/oes/#/industry/000000</w:t>
        </w:r>
      </w:hyperlink>
      <w:bookmarkEnd w:id="0"/>
      <w:r w:rsidRPr="00A16FB9" w:rsidR="00A16FB9">
        <w:rPr>
          <w:rFonts w:eastAsia="Times New Roman" w:asciiTheme="majorHAnsi" w:hAnsiTheme="majorHAnsi" w:cs="Times New Roman"/>
          <w:sz w:val="24"/>
          <w:szCs w:val="24"/>
        </w:rPr>
        <w:t>.</w:t>
      </w:r>
    </w:p>
    <w:p w:rsidR="003552D9" w:rsidRPr="00A16FB9" w:rsidP="003552D9" w14:paraId="13C56E44" w14:textId="77777777">
      <w:pPr>
        <w:spacing w:after="0" w:line="240" w:lineRule="auto"/>
        <w:ind w:left="720"/>
        <w:rPr>
          <w:rFonts w:asciiTheme="majorHAnsi" w:hAnsiTheme="majorHAnsi"/>
          <w:sz w:val="24"/>
        </w:rPr>
      </w:pPr>
    </w:p>
    <w:p w:rsidR="006F2DF8" w:rsidRPr="00A16FB9" w:rsidP="003552D9" w14:paraId="1823D204" w14:textId="77777777">
      <w:pPr>
        <w:spacing w:after="0" w:line="240" w:lineRule="auto"/>
        <w:ind w:left="720"/>
        <w:rPr>
          <w:rFonts w:asciiTheme="majorHAnsi" w:hAnsiTheme="majorHAnsi"/>
          <w:sz w:val="24"/>
        </w:rPr>
      </w:pPr>
      <w:r w:rsidRPr="00A16FB9">
        <w:rPr>
          <w:rFonts w:asciiTheme="majorHAnsi" w:hAnsiTheme="majorHAnsi"/>
          <w:sz w:val="24"/>
        </w:rPr>
        <w:t xml:space="preserve">Legally, respondents may not pay a person or business for assistance in completing the information collection. Therefore, there are no expected overhead costs for </w:t>
      </w:r>
      <w:r w:rsidRPr="00A16FB9">
        <w:rPr>
          <w:rFonts w:asciiTheme="majorHAnsi" w:hAnsiTheme="majorHAnsi"/>
          <w:sz w:val="24"/>
        </w:rPr>
        <w:t>completing the information collection. VBA estimates the total cost to all respondents to be $</w:t>
      </w:r>
      <w:r w:rsidR="00E05EA7">
        <w:rPr>
          <w:rFonts w:asciiTheme="majorHAnsi" w:hAnsiTheme="majorHAnsi"/>
          <w:sz w:val="24"/>
        </w:rPr>
        <w:t>979,800</w:t>
      </w:r>
      <w:r w:rsidRPr="00A16FB9">
        <w:rPr>
          <w:rFonts w:asciiTheme="majorHAnsi" w:hAnsiTheme="majorHAnsi"/>
          <w:sz w:val="24"/>
        </w:rPr>
        <w:t xml:space="preserve"> (</w:t>
      </w:r>
      <w:r w:rsidR="00E05EA7">
        <w:rPr>
          <w:rFonts w:asciiTheme="majorHAnsi" w:hAnsiTheme="majorHAnsi"/>
          <w:sz w:val="24"/>
        </w:rPr>
        <w:t>30</w:t>
      </w:r>
      <w:r w:rsidRPr="00A16FB9">
        <w:rPr>
          <w:rFonts w:asciiTheme="majorHAnsi" w:hAnsiTheme="majorHAnsi"/>
          <w:sz w:val="24"/>
        </w:rPr>
        <w:t>,</w:t>
      </w:r>
      <w:r w:rsidR="00E05EA7">
        <w:rPr>
          <w:rFonts w:asciiTheme="majorHAnsi" w:hAnsiTheme="majorHAnsi"/>
          <w:sz w:val="24"/>
        </w:rPr>
        <w:t>000</w:t>
      </w:r>
      <w:r w:rsidRPr="00A16FB9">
        <w:rPr>
          <w:rFonts w:asciiTheme="majorHAnsi" w:hAnsiTheme="majorHAnsi"/>
          <w:sz w:val="24"/>
        </w:rPr>
        <w:t xml:space="preserve"> burden hours x $32.66 per hour).</w:t>
      </w:r>
    </w:p>
    <w:p w:rsidR="003552D9" w:rsidP="003552D9" w14:paraId="313C967B" w14:textId="77777777">
      <w:pPr>
        <w:spacing w:after="0" w:line="240" w:lineRule="auto"/>
        <w:rPr>
          <w:rFonts w:asciiTheme="majorHAnsi" w:hAnsiTheme="majorHAnsi"/>
          <w:sz w:val="24"/>
        </w:rPr>
      </w:pPr>
    </w:p>
    <w:p w:rsidR="0019309D" w:rsidP="00337EF1" w14:paraId="7C65BAE8" w14:textId="77777777">
      <w:pPr>
        <w:spacing w:after="0" w:line="240" w:lineRule="auto"/>
        <w:rPr>
          <w:rFonts w:asciiTheme="majorHAnsi" w:hAnsiTheme="majorHAnsi"/>
          <w:sz w:val="24"/>
        </w:rPr>
      </w:pPr>
      <w:r>
        <w:rPr>
          <w:rFonts w:asciiTheme="majorHAnsi" w:hAnsiTheme="majorHAnsi"/>
          <w:sz w:val="24"/>
        </w:rPr>
        <w:t>13.</w:t>
      </w:r>
      <w:r>
        <w:rPr>
          <w:rFonts w:asciiTheme="majorHAnsi" w:hAnsiTheme="majorHAnsi"/>
          <w:sz w:val="24"/>
        </w:rPr>
        <w:tab/>
      </w:r>
      <w:r w:rsidRPr="0019309D">
        <w:rPr>
          <w:rFonts w:asciiTheme="majorHAnsi" w:hAnsiTheme="majorHAnsi"/>
          <w:sz w:val="24"/>
          <w:u w:val="single"/>
        </w:rPr>
        <w:t>Respondent Costs Other Than Burden Hour Costs</w:t>
      </w:r>
    </w:p>
    <w:p w:rsidR="00A16FB9" w:rsidP="0019309D" w14:paraId="65C04865" w14:textId="77777777">
      <w:pPr>
        <w:spacing w:after="0" w:line="240" w:lineRule="auto"/>
        <w:rPr>
          <w:rFonts w:asciiTheme="majorHAnsi" w:hAnsiTheme="majorHAnsi"/>
          <w:sz w:val="24"/>
        </w:rPr>
      </w:pPr>
      <w:r w:rsidRPr="00EE7DAB">
        <w:rPr>
          <w:rFonts w:asciiTheme="majorHAnsi" w:hAnsiTheme="majorHAnsi"/>
          <w:sz w:val="24"/>
        </w:rPr>
        <w:t>There are no annualized costs to respondents other than the labor burden costs addressed in Section 12 of this document to complete this collection.</w:t>
      </w:r>
    </w:p>
    <w:p w:rsidR="0019309D" w:rsidP="0019309D" w14:paraId="1CA63D1C" w14:textId="77777777">
      <w:pPr>
        <w:spacing w:after="0" w:line="240" w:lineRule="auto"/>
        <w:rPr>
          <w:rFonts w:asciiTheme="majorHAnsi" w:hAnsiTheme="majorHAnsi"/>
          <w:sz w:val="24"/>
        </w:rPr>
      </w:pPr>
    </w:p>
    <w:p w:rsidR="00F25499" w:rsidP="0019309D" w14:paraId="30831CA9" w14:textId="77777777">
      <w:pPr>
        <w:spacing w:after="0" w:line="240" w:lineRule="auto"/>
        <w:rPr>
          <w:rFonts w:asciiTheme="majorHAnsi" w:hAnsiTheme="majorHAnsi"/>
          <w:sz w:val="24"/>
        </w:rPr>
      </w:pPr>
      <w:r>
        <w:rPr>
          <w:rFonts w:asciiTheme="majorHAnsi" w:hAnsiTheme="majorHAnsi"/>
          <w:sz w:val="24"/>
        </w:rPr>
        <w:t xml:space="preserve">14. </w:t>
      </w:r>
      <w:r>
        <w:rPr>
          <w:rFonts w:asciiTheme="majorHAnsi" w:hAnsiTheme="majorHAnsi"/>
          <w:sz w:val="24"/>
        </w:rPr>
        <w:tab/>
      </w:r>
      <w:r w:rsidRPr="00722FDB">
        <w:rPr>
          <w:rFonts w:asciiTheme="majorHAnsi" w:hAnsiTheme="majorHAnsi"/>
          <w:sz w:val="24"/>
          <w:u w:val="single"/>
        </w:rPr>
        <w:t>Cost to the Federal Government</w:t>
      </w:r>
    </w:p>
    <w:p w:rsidR="00235D71" w:rsidP="0019309D" w14:paraId="30EF4FCB" w14:textId="77777777">
      <w:pPr>
        <w:spacing w:after="0" w:line="240" w:lineRule="auto"/>
        <w:rPr>
          <w:rFonts w:asciiTheme="majorHAnsi" w:hAnsiTheme="majorHAnsi"/>
          <w:sz w:val="24"/>
        </w:rPr>
      </w:pPr>
    </w:p>
    <w:tbl>
      <w:tblPr>
        <w:tblW w:w="9016" w:type="dxa"/>
        <w:tblInd w:w="424" w:type="dxa"/>
        <w:tblLook w:val="04A0"/>
      </w:tblPr>
      <w:tblGrid>
        <w:gridCol w:w="830"/>
        <w:gridCol w:w="667"/>
        <w:gridCol w:w="979"/>
        <w:gridCol w:w="1077"/>
        <w:gridCol w:w="927"/>
        <w:gridCol w:w="1201"/>
        <w:gridCol w:w="1304"/>
        <w:gridCol w:w="2031"/>
      </w:tblGrid>
      <w:tr w14:paraId="779B6550" w14:textId="77777777" w:rsidTr="00A16FB9">
        <w:tblPrEx>
          <w:tblW w:w="9016" w:type="dxa"/>
          <w:tblInd w:w="424" w:type="dxa"/>
          <w:tblLook w:val="04A0"/>
        </w:tblPrEx>
        <w:trPr>
          <w:trHeight w:val="570"/>
        </w:trPr>
        <w:tc>
          <w:tcPr>
            <w:tcW w:w="830" w:type="dxa"/>
            <w:tcBorders>
              <w:top w:val="single" w:sz="8" w:space="0" w:color="auto"/>
              <w:left w:val="single" w:sz="8" w:space="0" w:color="auto"/>
              <w:bottom w:val="single" w:sz="8" w:space="0" w:color="auto"/>
              <w:right w:val="single" w:sz="8" w:space="0" w:color="auto"/>
            </w:tcBorders>
            <w:shd w:val="clear" w:color="000000" w:fill="DCE6F1"/>
            <w:vAlign w:val="center"/>
            <w:hideMark/>
          </w:tcPr>
          <w:p w:rsidR="00A16FB9" w:rsidRPr="00A16FB9" w:rsidP="00BB2D3D" w14:paraId="67D4F4C3"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Grade</w:t>
            </w:r>
          </w:p>
        </w:tc>
        <w:tc>
          <w:tcPr>
            <w:tcW w:w="667"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6FBECAC2"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Step</w:t>
            </w:r>
          </w:p>
        </w:tc>
        <w:tc>
          <w:tcPr>
            <w:tcW w:w="979"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0575603A"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Burden Time</w:t>
            </w:r>
          </w:p>
        </w:tc>
        <w:tc>
          <w:tcPr>
            <w:tcW w:w="1077"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02F94C58"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Fraction of Hour</w:t>
            </w:r>
          </w:p>
        </w:tc>
        <w:tc>
          <w:tcPr>
            <w:tcW w:w="927"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30F27315"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Hourly Rate</w:t>
            </w:r>
          </w:p>
        </w:tc>
        <w:tc>
          <w:tcPr>
            <w:tcW w:w="1201"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6035BF6D"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Cost Per Response</w:t>
            </w:r>
          </w:p>
        </w:tc>
        <w:tc>
          <w:tcPr>
            <w:tcW w:w="1304"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08FD9E6E"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Total Responses</w:t>
            </w:r>
          </w:p>
        </w:tc>
        <w:tc>
          <w:tcPr>
            <w:tcW w:w="2031"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04B38FAC"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Total</w:t>
            </w:r>
          </w:p>
        </w:tc>
      </w:tr>
      <w:tr w14:paraId="4133204D" w14:textId="77777777" w:rsidTr="00A16FB9">
        <w:tblPrEx>
          <w:tblW w:w="9016" w:type="dxa"/>
          <w:tblInd w:w="424" w:type="dxa"/>
          <w:tblLook w:val="04A0"/>
        </w:tblPrEx>
        <w:trPr>
          <w:trHeight w:val="290"/>
        </w:trPr>
        <w:tc>
          <w:tcPr>
            <w:tcW w:w="830" w:type="dxa"/>
            <w:tcBorders>
              <w:top w:val="nil"/>
              <w:left w:val="single" w:sz="8" w:space="0" w:color="auto"/>
              <w:bottom w:val="single" w:sz="4" w:space="0" w:color="auto"/>
              <w:right w:val="single" w:sz="4" w:space="0" w:color="auto"/>
            </w:tcBorders>
            <w:vAlign w:val="bottom"/>
            <w:hideMark/>
          </w:tcPr>
          <w:p w:rsidR="00A16FB9" w:rsidRPr="00A16FB9" w:rsidP="00BB2D3D" w14:paraId="1F8AB83C"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9</w:t>
            </w:r>
          </w:p>
        </w:tc>
        <w:tc>
          <w:tcPr>
            <w:tcW w:w="667" w:type="dxa"/>
            <w:tcBorders>
              <w:top w:val="nil"/>
              <w:left w:val="nil"/>
              <w:bottom w:val="single" w:sz="4" w:space="0" w:color="auto"/>
              <w:right w:val="single" w:sz="4" w:space="0" w:color="auto"/>
            </w:tcBorders>
            <w:vAlign w:val="bottom"/>
            <w:hideMark/>
          </w:tcPr>
          <w:p w:rsidR="00A16FB9" w:rsidRPr="00A16FB9" w:rsidP="00BB2D3D" w14:paraId="27CA872D"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3</w:t>
            </w:r>
          </w:p>
        </w:tc>
        <w:tc>
          <w:tcPr>
            <w:tcW w:w="979" w:type="dxa"/>
            <w:tcBorders>
              <w:top w:val="nil"/>
              <w:left w:val="nil"/>
              <w:bottom w:val="single" w:sz="4" w:space="0" w:color="auto"/>
              <w:right w:val="single" w:sz="4" w:space="0" w:color="auto"/>
            </w:tcBorders>
            <w:vAlign w:val="bottom"/>
            <w:hideMark/>
          </w:tcPr>
          <w:p w:rsidR="00A16FB9" w:rsidRPr="00A16FB9" w:rsidP="00BB2D3D" w14:paraId="1FB097BA"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20</w:t>
            </w:r>
          </w:p>
        </w:tc>
        <w:tc>
          <w:tcPr>
            <w:tcW w:w="1077" w:type="dxa"/>
            <w:tcBorders>
              <w:top w:val="nil"/>
              <w:left w:val="nil"/>
              <w:bottom w:val="single" w:sz="4" w:space="0" w:color="auto"/>
              <w:right w:val="single" w:sz="4" w:space="0" w:color="auto"/>
            </w:tcBorders>
            <w:vAlign w:val="bottom"/>
            <w:hideMark/>
          </w:tcPr>
          <w:p w:rsidR="00A16FB9" w:rsidRPr="00A16FB9" w:rsidP="00BB2D3D" w14:paraId="54B96DE5"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0.33</w:t>
            </w:r>
          </w:p>
        </w:tc>
        <w:tc>
          <w:tcPr>
            <w:tcW w:w="927" w:type="dxa"/>
            <w:tcBorders>
              <w:top w:val="nil"/>
              <w:left w:val="nil"/>
              <w:bottom w:val="single" w:sz="4" w:space="0" w:color="auto"/>
              <w:right w:val="single" w:sz="4" w:space="0" w:color="auto"/>
            </w:tcBorders>
            <w:vAlign w:val="bottom"/>
            <w:hideMark/>
          </w:tcPr>
          <w:p w:rsidR="00A16FB9" w:rsidRPr="00A16FB9" w:rsidP="00BB2D3D" w14:paraId="68B9D44A"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$35.74</w:t>
            </w:r>
          </w:p>
        </w:tc>
        <w:tc>
          <w:tcPr>
            <w:tcW w:w="1201" w:type="dxa"/>
            <w:tcBorders>
              <w:top w:val="nil"/>
              <w:left w:val="nil"/>
              <w:bottom w:val="single" w:sz="4" w:space="0" w:color="auto"/>
              <w:right w:val="single" w:sz="4" w:space="0" w:color="auto"/>
            </w:tcBorders>
            <w:vAlign w:val="bottom"/>
            <w:hideMark/>
          </w:tcPr>
          <w:p w:rsidR="00A16FB9" w:rsidRPr="00A16FB9" w:rsidP="00BB2D3D" w14:paraId="3C11FC84"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11.91</w:t>
            </w:r>
          </w:p>
        </w:tc>
        <w:tc>
          <w:tcPr>
            <w:tcW w:w="1304" w:type="dxa"/>
            <w:tcBorders>
              <w:top w:val="nil"/>
              <w:left w:val="nil"/>
              <w:bottom w:val="single" w:sz="4" w:space="0" w:color="auto"/>
              <w:right w:val="single" w:sz="4" w:space="0" w:color="auto"/>
            </w:tcBorders>
            <w:vAlign w:val="bottom"/>
            <w:hideMark/>
          </w:tcPr>
          <w:p w:rsidR="00A16FB9" w:rsidRPr="00A16FB9" w:rsidP="00BB2D3D" w14:paraId="1911216F"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w:t>
            </w:r>
            <w:r w:rsidR="00E05EA7">
              <w:rPr>
                <w:rFonts w:eastAsia="Times New Roman" w:asciiTheme="majorHAnsi" w:hAnsiTheme="majorHAnsi" w:cs="Times New Roman"/>
                <w:color w:val="000000"/>
                <w:sz w:val="24"/>
                <w:szCs w:val="24"/>
              </w:rPr>
              <w:t>6</w:t>
            </w:r>
            <w:r w:rsidRPr="00A16FB9">
              <w:rPr>
                <w:rFonts w:eastAsia="Times New Roman" w:asciiTheme="majorHAnsi" w:hAnsiTheme="majorHAnsi" w:cs="Times New Roman"/>
                <w:color w:val="000000"/>
                <w:sz w:val="24"/>
                <w:szCs w:val="24"/>
              </w:rPr>
              <w:t xml:space="preserve">0,000 </w:t>
            </w:r>
          </w:p>
        </w:tc>
        <w:tc>
          <w:tcPr>
            <w:tcW w:w="2031" w:type="dxa"/>
            <w:tcBorders>
              <w:top w:val="nil"/>
              <w:left w:val="nil"/>
              <w:bottom w:val="single" w:sz="4" w:space="0" w:color="auto"/>
              <w:right w:val="single" w:sz="8" w:space="0" w:color="auto"/>
            </w:tcBorders>
            <w:vAlign w:val="bottom"/>
            <w:hideMark/>
          </w:tcPr>
          <w:p w:rsidR="00A16FB9" w:rsidRPr="00A16FB9" w:rsidP="00BB2D3D" w14:paraId="413C4BC2"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E05EA7">
              <w:rPr>
                <w:rFonts w:eastAsia="Times New Roman" w:asciiTheme="majorHAnsi" w:hAnsiTheme="majorHAnsi" w:cs="Times New Roman"/>
                <w:color w:val="000000"/>
                <w:sz w:val="24"/>
                <w:szCs w:val="24"/>
              </w:rPr>
              <w:t>714</w:t>
            </w:r>
            <w:r w:rsidRPr="00A16FB9">
              <w:rPr>
                <w:rFonts w:eastAsia="Times New Roman" w:asciiTheme="majorHAnsi" w:hAnsiTheme="majorHAnsi" w:cs="Times New Roman"/>
                <w:color w:val="000000"/>
                <w:sz w:val="24"/>
                <w:szCs w:val="24"/>
              </w:rPr>
              <w:t>,</w:t>
            </w:r>
            <w:r w:rsidR="00E05EA7">
              <w:rPr>
                <w:rFonts w:eastAsia="Times New Roman" w:asciiTheme="majorHAnsi" w:hAnsiTheme="majorHAnsi" w:cs="Times New Roman"/>
                <w:color w:val="000000"/>
                <w:sz w:val="24"/>
                <w:szCs w:val="24"/>
              </w:rPr>
              <w:t>800.00</w:t>
            </w:r>
            <w:r w:rsidRPr="00A16FB9">
              <w:rPr>
                <w:rFonts w:eastAsia="Times New Roman" w:asciiTheme="majorHAnsi" w:hAnsiTheme="majorHAnsi" w:cs="Times New Roman"/>
                <w:color w:val="000000"/>
                <w:sz w:val="24"/>
                <w:szCs w:val="24"/>
              </w:rPr>
              <w:t xml:space="preserve"> </w:t>
            </w:r>
          </w:p>
        </w:tc>
      </w:tr>
      <w:tr w14:paraId="30F54E60" w14:textId="77777777" w:rsidTr="00A16FB9">
        <w:tblPrEx>
          <w:tblW w:w="9016" w:type="dxa"/>
          <w:tblInd w:w="424" w:type="dxa"/>
          <w:tblLook w:val="04A0"/>
        </w:tblPrEx>
        <w:trPr>
          <w:trHeight w:val="290"/>
        </w:trPr>
        <w:tc>
          <w:tcPr>
            <w:tcW w:w="6985" w:type="dxa"/>
            <w:gridSpan w:val="7"/>
            <w:tcBorders>
              <w:top w:val="single" w:sz="4" w:space="0" w:color="auto"/>
              <w:left w:val="single" w:sz="8" w:space="0" w:color="auto"/>
              <w:bottom w:val="single" w:sz="4" w:space="0" w:color="auto"/>
              <w:right w:val="single" w:sz="4" w:space="0" w:color="000000"/>
            </w:tcBorders>
            <w:vAlign w:val="bottom"/>
            <w:hideMark/>
          </w:tcPr>
          <w:p w:rsidR="00A16FB9" w:rsidRPr="00A16FB9" w:rsidP="00BB2D3D" w14:paraId="616B071B" w14:textId="77777777">
            <w:pPr>
              <w:spacing w:after="0" w:line="240" w:lineRule="auto"/>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Overhead at 100% Salary</w:t>
            </w:r>
          </w:p>
        </w:tc>
        <w:tc>
          <w:tcPr>
            <w:tcW w:w="2031" w:type="dxa"/>
            <w:tcBorders>
              <w:top w:val="nil"/>
              <w:left w:val="nil"/>
              <w:bottom w:val="single" w:sz="4" w:space="0" w:color="auto"/>
              <w:right w:val="single" w:sz="8" w:space="0" w:color="auto"/>
            </w:tcBorders>
            <w:vAlign w:val="bottom"/>
            <w:hideMark/>
          </w:tcPr>
          <w:p w:rsidR="00A16FB9" w:rsidRPr="00A16FB9" w:rsidP="00BB2D3D" w14:paraId="61FC8E8B"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E05EA7">
              <w:rPr>
                <w:rFonts w:eastAsia="Times New Roman" w:asciiTheme="majorHAnsi" w:hAnsiTheme="majorHAnsi" w:cs="Times New Roman"/>
                <w:color w:val="000000"/>
                <w:sz w:val="24"/>
                <w:szCs w:val="24"/>
              </w:rPr>
              <w:t>714,800.00</w:t>
            </w:r>
            <w:r w:rsidRPr="00A16FB9">
              <w:rPr>
                <w:rFonts w:eastAsia="Times New Roman" w:asciiTheme="majorHAnsi" w:hAnsiTheme="majorHAnsi" w:cs="Times New Roman"/>
                <w:color w:val="000000"/>
                <w:sz w:val="24"/>
                <w:szCs w:val="24"/>
              </w:rPr>
              <w:t xml:space="preserve"> </w:t>
            </w:r>
          </w:p>
        </w:tc>
      </w:tr>
      <w:tr w14:paraId="5853A1BE" w14:textId="77777777" w:rsidTr="00A16FB9">
        <w:tblPrEx>
          <w:tblW w:w="9016" w:type="dxa"/>
          <w:tblInd w:w="424" w:type="dxa"/>
          <w:tblLook w:val="04A0"/>
        </w:tblPrEx>
        <w:trPr>
          <w:trHeight w:val="290"/>
        </w:trPr>
        <w:tc>
          <w:tcPr>
            <w:tcW w:w="830" w:type="dxa"/>
            <w:tcBorders>
              <w:top w:val="nil"/>
              <w:left w:val="single" w:sz="8" w:space="0" w:color="auto"/>
              <w:bottom w:val="single" w:sz="4" w:space="0" w:color="auto"/>
              <w:right w:val="single" w:sz="4" w:space="0" w:color="auto"/>
            </w:tcBorders>
            <w:vAlign w:val="bottom"/>
            <w:hideMark/>
          </w:tcPr>
          <w:p w:rsidR="00A16FB9" w:rsidRPr="00A16FB9" w:rsidP="00BB2D3D" w14:paraId="4DCC9795"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12</w:t>
            </w:r>
          </w:p>
        </w:tc>
        <w:tc>
          <w:tcPr>
            <w:tcW w:w="667" w:type="dxa"/>
            <w:tcBorders>
              <w:top w:val="nil"/>
              <w:left w:val="nil"/>
              <w:bottom w:val="single" w:sz="4" w:space="0" w:color="auto"/>
              <w:right w:val="single" w:sz="4" w:space="0" w:color="auto"/>
            </w:tcBorders>
            <w:vAlign w:val="bottom"/>
            <w:hideMark/>
          </w:tcPr>
          <w:p w:rsidR="00A16FB9" w:rsidRPr="00A16FB9" w:rsidP="00BB2D3D" w14:paraId="3CE01FBF"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3</w:t>
            </w:r>
          </w:p>
        </w:tc>
        <w:tc>
          <w:tcPr>
            <w:tcW w:w="979" w:type="dxa"/>
            <w:tcBorders>
              <w:top w:val="nil"/>
              <w:left w:val="nil"/>
              <w:bottom w:val="single" w:sz="4" w:space="0" w:color="auto"/>
              <w:right w:val="single" w:sz="4" w:space="0" w:color="auto"/>
            </w:tcBorders>
            <w:vAlign w:val="bottom"/>
            <w:hideMark/>
          </w:tcPr>
          <w:p w:rsidR="00A16FB9" w:rsidRPr="00A16FB9" w:rsidP="00BB2D3D" w14:paraId="7D2EBC72"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15</w:t>
            </w:r>
          </w:p>
        </w:tc>
        <w:tc>
          <w:tcPr>
            <w:tcW w:w="1077" w:type="dxa"/>
            <w:tcBorders>
              <w:top w:val="nil"/>
              <w:left w:val="nil"/>
              <w:bottom w:val="single" w:sz="4" w:space="0" w:color="auto"/>
              <w:right w:val="single" w:sz="4" w:space="0" w:color="auto"/>
            </w:tcBorders>
            <w:vAlign w:val="bottom"/>
            <w:hideMark/>
          </w:tcPr>
          <w:p w:rsidR="00A16FB9" w:rsidRPr="00A16FB9" w:rsidP="00BB2D3D" w14:paraId="05006E5C"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0.25</w:t>
            </w:r>
          </w:p>
        </w:tc>
        <w:tc>
          <w:tcPr>
            <w:tcW w:w="927" w:type="dxa"/>
            <w:tcBorders>
              <w:top w:val="nil"/>
              <w:left w:val="nil"/>
              <w:bottom w:val="single" w:sz="4" w:space="0" w:color="auto"/>
              <w:right w:val="single" w:sz="4" w:space="0" w:color="auto"/>
            </w:tcBorders>
            <w:vAlign w:val="bottom"/>
            <w:hideMark/>
          </w:tcPr>
          <w:p w:rsidR="00A16FB9" w:rsidRPr="00A16FB9" w:rsidP="00BB2D3D" w14:paraId="7C966628"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$51.83 </w:t>
            </w:r>
          </w:p>
        </w:tc>
        <w:tc>
          <w:tcPr>
            <w:tcW w:w="1201" w:type="dxa"/>
            <w:tcBorders>
              <w:top w:val="nil"/>
              <w:left w:val="nil"/>
              <w:bottom w:val="single" w:sz="4" w:space="0" w:color="auto"/>
              <w:right w:val="single" w:sz="4" w:space="0" w:color="auto"/>
            </w:tcBorders>
            <w:vAlign w:val="bottom"/>
            <w:hideMark/>
          </w:tcPr>
          <w:p w:rsidR="00A16FB9" w:rsidRPr="00A16FB9" w:rsidP="00BB2D3D" w14:paraId="30DA0937"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12.96</w:t>
            </w:r>
          </w:p>
        </w:tc>
        <w:tc>
          <w:tcPr>
            <w:tcW w:w="1304" w:type="dxa"/>
            <w:tcBorders>
              <w:top w:val="nil"/>
              <w:left w:val="nil"/>
              <w:bottom w:val="single" w:sz="4" w:space="0" w:color="auto"/>
              <w:right w:val="single" w:sz="4" w:space="0" w:color="auto"/>
            </w:tcBorders>
            <w:vAlign w:val="bottom"/>
            <w:hideMark/>
          </w:tcPr>
          <w:p w:rsidR="00A16FB9" w:rsidRPr="00A16FB9" w:rsidP="00BB2D3D" w14:paraId="37A0400C"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w:t>
            </w:r>
            <w:r w:rsidR="00E05EA7">
              <w:rPr>
                <w:rFonts w:eastAsia="Times New Roman" w:asciiTheme="majorHAnsi" w:hAnsiTheme="majorHAnsi" w:cs="Times New Roman"/>
                <w:color w:val="000000"/>
                <w:sz w:val="24"/>
                <w:szCs w:val="24"/>
              </w:rPr>
              <w:t>6</w:t>
            </w:r>
            <w:r w:rsidRPr="00A16FB9">
              <w:rPr>
                <w:rFonts w:eastAsia="Times New Roman" w:asciiTheme="majorHAnsi" w:hAnsiTheme="majorHAnsi" w:cs="Times New Roman"/>
                <w:color w:val="000000"/>
                <w:sz w:val="24"/>
                <w:szCs w:val="24"/>
              </w:rPr>
              <w:t xml:space="preserve">0,000 </w:t>
            </w:r>
          </w:p>
        </w:tc>
        <w:tc>
          <w:tcPr>
            <w:tcW w:w="2031" w:type="dxa"/>
            <w:tcBorders>
              <w:top w:val="nil"/>
              <w:left w:val="nil"/>
              <w:bottom w:val="single" w:sz="4" w:space="0" w:color="auto"/>
              <w:right w:val="single" w:sz="8" w:space="0" w:color="auto"/>
            </w:tcBorders>
            <w:vAlign w:val="bottom"/>
            <w:hideMark/>
          </w:tcPr>
          <w:p w:rsidR="00A16FB9" w:rsidRPr="00A16FB9" w:rsidP="00BB2D3D" w14:paraId="19C5E7A0"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E05EA7">
              <w:rPr>
                <w:rFonts w:eastAsia="Times New Roman" w:asciiTheme="majorHAnsi" w:hAnsiTheme="majorHAnsi" w:cs="Times New Roman"/>
                <w:color w:val="000000"/>
                <w:sz w:val="24"/>
                <w:szCs w:val="24"/>
              </w:rPr>
              <w:t>777,450.00</w:t>
            </w:r>
            <w:r w:rsidRPr="00A16FB9">
              <w:rPr>
                <w:rFonts w:eastAsia="Times New Roman" w:asciiTheme="majorHAnsi" w:hAnsiTheme="majorHAnsi" w:cs="Times New Roman"/>
                <w:color w:val="000000"/>
                <w:sz w:val="24"/>
                <w:szCs w:val="24"/>
              </w:rPr>
              <w:t xml:space="preserve"> </w:t>
            </w:r>
          </w:p>
        </w:tc>
      </w:tr>
      <w:tr w14:paraId="7053BF58" w14:textId="77777777" w:rsidTr="00A16FB9">
        <w:tblPrEx>
          <w:tblW w:w="9016" w:type="dxa"/>
          <w:tblInd w:w="424" w:type="dxa"/>
          <w:tblLook w:val="04A0"/>
        </w:tblPrEx>
        <w:trPr>
          <w:trHeight w:val="290"/>
        </w:trPr>
        <w:tc>
          <w:tcPr>
            <w:tcW w:w="6985" w:type="dxa"/>
            <w:gridSpan w:val="7"/>
            <w:tcBorders>
              <w:top w:val="single" w:sz="4" w:space="0" w:color="auto"/>
              <w:left w:val="single" w:sz="8" w:space="0" w:color="auto"/>
              <w:bottom w:val="single" w:sz="4" w:space="0" w:color="auto"/>
              <w:right w:val="single" w:sz="4" w:space="0" w:color="000000"/>
            </w:tcBorders>
            <w:vAlign w:val="bottom"/>
            <w:hideMark/>
          </w:tcPr>
          <w:p w:rsidR="00A16FB9" w:rsidRPr="00A16FB9" w:rsidP="00BB2D3D" w14:paraId="1B70CDD8" w14:textId="77777777">
            <w:pPr>
              <w:spacing w:after="0" w:line="240" w:lineRule="auto"/>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Overhead at 100% Salary</w:t>
            </w:r>
          </w:p>
        </w:tc>
        <w:tc>
          <w:tcPr>
            <w:tcW w:w="2031" w:type="dxa"/>
            <w:tcBorders>
              <w:top w:val="nil"/>
              <w:left w:val="nil"/>
              <w:bottom w:val="single" w:sz="4" w:space="0" w:color="auto"/>
              <w:right w:val="single" w:sz="8" w:space="0" w:color="auto"/>
            </w:tcBorders>
            <w:vAlign w:val="bottom"/>
            <w:hideMark/>
          </w:tcPr>
          <w:p w:rsidR="00A16FB9" w:rsidRPr="00A16FB9" w:rsidP="00BB2D3D" w14:paraId="51958673"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E05EA7">
              <w:rPr>
                <w:rFonts w:eastAsia="Times New Roman" w:asciiTheme="majorHAnsi" w:hAnsiTheme="majorHAnsi" w:cs="Times New Roman"/>
                <w:color w:val="000000"/>
                <w:sz w:val="24"/>
                <w:szCs w:val="24"/>
              </w:rPr>
              <w:t>777,450.00</w:t>
            </w:r>
            <w:r w:rsidRPr="00A16FB9">
              <w:rPr>
                <w:rFonts w:eastAsia="Times New Roman" w:asciiTheme="majorHAnsi" w:hAnsiTheme="majorHAnsi" w:cs="Times New Roman"/>
                <w:color w:val="000000"/>
                <w:sz w:val="24"/>
                <w:szCs w:val="24"/>
              </w:rPr>
              <w:t xml:space="preserve"> </w:t>
            </w:r>
          </w:p>
        </w:tc>
      </w:tr>
      <w:tr w14:paraId="5FE281FF" w14:textId="77777777" w:rsidTr="00A16FB9">
        <w:tblPrEx>
          <w:tblW w:w="9016" w:type="dxa"/>
          <w:tblInd w:w="424" w:type="dxa"/>
          <w:tblLook w:val="04A0"/>
        </w:tblPrEx>
        <w:trPr>
          <w:trHeight w:val="290"/>
        </w:trPr>
        <w:tc>
          <w:tcPr>
            <w:tcW w:w="6985" w:type="dxa"/>
            <w:gridSpan w:val="7"/>
            <w:tcBorders>
              <w:top w:val="single" w:sz="4" w:space="0" w:color="auto"/>
              <w:left w:val="single" w:sz="8" w:space="0" w:color="auto"/>
              <w:bottom w:val="single" w:sz="4" w:space="0" w:color="auto"/>
              <w:right w:val="single" w:sz="4" w:space="0" w:color="000000"/>
            </w:tcBorders>
            <w:vAlign w:val="bottom"/>
            <w:hideMark/>
          </w:tcPr>
          <w:p w:rsidR="00A16FB9" w:rsidRPr="00A16FB9" w:rsidP="00BB2D3D" w14:paraId="57E07D71"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w:t>
            </w:r>
          </w:p>
        </w:tc>
        <w:tc>
          <w:tcPr>
            <w:tcW w:w="2031" w:type="dxa"/>
            <w:tcBorders>
              <w:top w:val="nil"/>
              <w:left w:val="nil"/>
              <w:bottom w:val="single" w:sz="4" w:space="0" w:color="auto"/>
              <w:right w:val="single" w:sz="8" w:space="0" w:color="auto"/>
            </w:tcBorders>
            <w:vAlign w:val="bottom"/>
            <w:hideMark/>
          </w:tcPr>
          <w:p w:rsidR="00A16FB9" w:rsidRPr="00A16FB9" w:rsidP="00BB2D3D" w14:paraId="5A39363C"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w:t>
            </w:r>
          </w:p>
        </w:tc>
      </w:tr>
      <w:tr w14:paraId="5B09913D" w14:textId="77777777" w:rsidTr="00A16FB9">
        <w:tblPrEx>
          <w:tblW w:w="9016" w:type="dxa"/>
          <w:tblInd w:w="424" w:type="dxa"/>
          <w:tblLook w:val="04A0"/>
        </w:tblPrEx>
        <w:trPr>
          <w:trHeight w:val="290"/>
        </w:trPr>
        <w:tc>
          <w:tcPr>
            <w:tcW w:w="6985" w:type="dxa"/>
            <w:gridSpan w:val="7"/>
            <w:tcBorders>
              <w:top w:val="single" w:sz="4" w:space="0" w:color="auto"/>
              <w:left w:val="single" w:sz="8" w:space="0" w:color="auto"/>
              <w:bottom w:val="single" w:sz="4" w:space="0" w:color="auto"/>
              <w:right w:val="single" w:sz="4" w:space="0" w:color="000000"/>
            </w:tcBorders>
            <w:vAlign w:val="bottom"/>
            <w:hideMark/>
          </w:tcPr>
          <w:p w:rsidR="00A16FB9" w:rsidRPr="00A16FB9" w:rsidP="00BB2D3D" w14:paraId="0FA20A8D" w14:textId="77777777">
            <w:pPr>
              <w:spacing w:after="0" w:line="240" w:lineRule="auto"/>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Processing / Analyzing Costs</w:t>
            </w:r>
          </w:p>
        </w:tc>
        <w:tc>
          <w:tcPr>
            <w:tcW w:w="2031" w:type="dxa"/>
            <w:tcBorders>
              <w:top w:val="nil"/>
              <w:left w:val="nil"/>
              <w:bottom w:val="single" w:sz="4" w:space="0" w:color="auto"/>
              <w:right w:val="single" w:sz="8" w:space="0" w:color="auto"/>
            </w:tcBorders>
            <w:vAlign w:val="bottom"/>
            <w:hideMark/>
          </w:tcPr>
          <w:p w:rsidR="00A16FB9" w:rsidRPr="00A16FB9" w:rsidP="00BB2D3D" w14:paraId="567B80D0"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E05EA7">
              <w:rPr>
                <w:rFonts w:eastAsia="Times New Roman" w:asciiTheme="majorHAnsi" w:hAnsiTheme="majorHAnsi" w:cs="Times New Roman"/>
                <w:color w:val="000000"/>
                <w:sz w:val="24"/>
                <w:szCs w:val="24"/>
              </w:rPr>
              <w:t>2,984,500.00</w:t>
            </w:r>
            <w:r w:rsidRPr="00A16FB9">
              <w:rPr>
                <w:rFonts w:eastAsia="Times New Roman" w:asciiTheme="majorHAnsi" w:hAnsiTheme="majorHAnsi" w:cs="Times New Roman"/>
                <w:color w:val="000000"/>
                <w:sz w:val="24"/>
                <w:szCs w:val="24"/>
              </w:rPr>
              <w:t xml:space="preserve"> </w:t>
            </w:r>
          </w:p>
        </w:tc>
      </w:tr>
      <w:tr w14:paraId="5E93CEA6" w14:textId="77777777" w:rsidTr="00A16FB9">
        <w:tblPrEx>
          <w:tblW w:w="9016" w:type="dxa"/>
          <w:tblInd w:w="424" w:type="dxa"/>
          <w:tblLook w:val="04A0"/>
        </w:tblPrEx>
        <w:trPr>
          <w:trHeight w:val="290"/>
        </w:trPr>
        <w:tc>
          <w:tcPr>
            <w:tcW w:w="6985" w:type="dxa"/>
            <w:gridSpan w:val="7"/>
            <w:tcBorders>
              <w:top w:val="single" w:sz="4" w:space="0" w:color="auto"/>
              <w:left w:val="single" w:sz="8" w:space="0" w:color="auto"/>
              <w:bottom w:val="single" w:sz="4" w:space="0" w:color="auto"/>
              <w:right w:val="single" w:sz="4" w:space="0" w:color="000000"/>
            </w:tcBorders>
            <w:vAlign w:val="bottom"/>
            <w:hideMark/>
          </w:tcPr>
          <w:p w:rsidR="00A16FB9" w:rsidRPr="00A16FB9" w:rsidP="00BB2D3D" w14:paraId="1915BDA9" w14:textId="77777777">
            <w:pPr>
              <w:spacing w:after="0" w:line="240" w:lineRule="auto"/>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Printing and Production Cost</w:t>
            </w:r>
          </w:p>
        </w:tc>
        <w:tc>
          <w:tcPr>
            <w:tcW w:w="2031" w:type="dxa"/>
            <w:tcBorders>
              <w:top w:val="nil"/>
              <w:left w:val="nil"/>
              <w:bottom w:val="single" w:sz="4" w:space="0" w:color="auto"/>
              <w:right w:val="single" w:sz="8" w:space="0" w:color="auto"/>
            </w:tcBorders>
            <w:vAlign w:val="bottom"/>
            <w:hideMark/>
          </w:tcPr>
          <w:p w:rsidR="00A16FB9" w:rsidRPr="00A16FB9" w:rsidP="00BB2D3D" w14:paraId="7219B078"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E05EA7">
              <w:rPr>
                <w:rFonts w:eastAsia="Times New Roman" w:asciiTheme="majorHAnsi" w:hAnsiTheme="majorHAnsi" w:cs="Times New Roman"/>
                <w:color w:val="000000"/>
                <w:sz w:val="24"/>
                <w:szCs w:val="24"/>
              </w:rPr>
              <w:t>33,161.11</w:t>
            </w:r>
            <w:r w:rsidRPr="00A16FB9">
              <w:rPr>
                <w:rFonts w:eastAsia="Times New Roman" w:asciiTheme="majorHAnsi" w:hAnsiTheme="majorHAnsi" w:cs="Times New Roman"/>
                <w:color w:val="000000"/>
                <w:sz w:val="24"/>
                <w:szCs w:val="24"/>
              </w:rPr>
              <w:t xml:space="preserve"> </w:t>
            </w:r>
          </w:p>
        </w:tc>
      </w:tr>
      <w:tr w14:paraId="02032B7E" w14:textId="77777777" w:rsidTr="00A16FB9">
        <w:tblPrEx>
          <w:tblW w:w="9016" w:type="dxa"/>
          <w:tblInd w:w="424" w:type="dxa"/>
          <w:tblLook w:val="04A0"/>
        </w:tblPrEx>
        <w:trPr>
          <w:trHeight w:val="300"/>
        </w:trPr>
        <w:tc>
          <w:tcPr>
            <w:tcW w:w="6985" w:type="dxa"/>
            <w:gridSpan w:val="7"/>
            <w:tcBorders>
              <w:top w:val="single" w:sz="4" w:space="0" w:color="auto"/>
              <w:left w:val="single" w:sz="8" w:space="0" w:color="auto"/>
              <w:bottom w:val="single" w:sz="8" w:space="0" w:color="auto"/>
              <w:right w:val="single" w:sz="4" w:space="0" w:color="000000"/>
            </w:tcBorders>
            <w:vAlign w:val="bottom"/>
            <w:hideMark/>
          </w:tcPr>
          <w:p w:rsidR="00A16FB9" w:rsidRPr="00A16FB9" w:rsidP="00BB2D3D" w14:paraId="676B953D" w14:textId="77777777">
            <w:pPr>
              <w:spacing w:after="0" w:line="240" w:lineRule="auto"/>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Total Cost to Government</w:t>
            </w:r>
          </w:p>
        </w:tc>
        <w:tc>
          <w:tcPr>
            <w:tcW w:w="2031" w:type="dxa"/>
            <w:tcBorders>
              <w:top w:val="nil"/>
              <w:left w:val="nil"/>
              <w:bottom w:val="single" w:sz="8" w:space="0" w:color="auto"/>
              <w:right w:val="single" w:sz="8" w:space="0" w:color="auto"/>
            </w:tcBorders>
            <w:vAlign w:val="bottom"/>
            <w:hideMark/>
          </w:tcPr>
          <w:p w:rsidR="00A16FB9" w:rsidRPr="00A16FB9" w:rsidP="00BB2D3D" w14:paraId="25492452"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E05EA7">
              <w:rPr>
                <w:rFonts w:eastAsia="Times New Roman" w:asciiTheme="majorHAnsi" w:hAnsiTheme="majorHAnsi" w:cs="Times New Roman"/>
                <w:color w:val="000000"/>
                <w:sz w:val="24"/>
                <w:szCs w:val="24"/>
              </w:rPr>
              <w:t>3,017,661.11</w:t>
            </w:r>
            <w:r w:rsidRPr="00A16FB9">
              <w:rPr>
                <w:rFonts w:eastAsia="Times New Roman" w:asciiTheme="majorHAnsi" w:hAnsiTheme="majorHAnsi" w:cs="Times New Roman"/>
                <w:color w:val="000000"/>
                <w:sz w:val="24"/>
                <w:szCs w:val="24"/>
              </w:rPr>
              <w:t xml:space="preserve"> </w:t>
            </w:r>
          </w:p>
        </w:tc>
      </w:tr>
    </w:tbl>
    <w:p w:rsidR="00A16FB9" w:rsidRPr="00A16FB9" w:rsidP="00A16FB9" w14:paraId="4EA8421C" w14:textId="77777777">
      <w:pPr>
        <w:tabs>
          <w:tab w:val="right" w:pos="8370"/>
        </w:tabs>
        <w:spacing w:after="0" w:line="240" w:lineRule="auto"/>
        <w:ind w:left="360" w:right="576"/>
        <w:contextualSpacing/>
        <w:jc w:val="both"/>
        <w:rPr>
          <w:rFonts w:eastAsia="Times New Roman" w:asciiTheme="majorHAnsi" w:hAnsiTheme="majorHAnsi" w:cs="Times New Roman"/>
          <w:sz w:val="24"/>
          <w:szCs w:val="24"/>
        </w:rPr>
      </w:pPr>
      <w:r w:rsidRPr="00A16FB9">
        <w:rPr>
          <w:rFonts w:eastAsia="Times New Roman" w:asciiTheme="majorHAnsi" w:hAnsiTheme="majorHAnsi" w:cs="Times New Roman"/>
          <w:sz w:val="24"/>
          <w:szCs w:val="24"/>
        </w:rPr>
        <w:tab/>
      </w:r>
    </w:p>
    <w:p w:rsidR="00A16FB9" w:rsidRPr="00A16FB9" w:rsidP="00A16FB9" w14:paraId="27FD1500" w14:textId="77777777">
      <w:pPr>
        <w:spacing w:after="0" w:line="240" w:lineRule="auto"/>
        <w:ind w:right="576"/>
        <w:contextualSpacing/>
        <w:rPr>
          <w:rFonts w:eastAsia="Times New Roman" w:asciiTheme="majorHAnsi" w:hAnsiTheme="majorHAnsi" w:cs="Times New Roman"/>
          <w:sz w:val="24"/>
          <w:szCs w:val="24"/>
        </w:rPr>
      </w:pPr>
      <w:r w:rsidRPr="00A16FB9">
        <w:rPr>
          <w:rFonts w:eastAsia="Times New Roman" w:asciiTheme="majorHAnsi" w:hAnsiTheme="majorHAnsi" w:cs="Times New Roman"/>
          <w:sz w:val="24"/>
          <w:szCs w:val="24"/>
        </w:rPr>
        <w:t xml:space="preserve">Overhead costs are 100% of salary and are the same as the wage listed above and the amounts are included in the total.  </w:t>
      </w:r>
    </w:p>
    <w:p w:rsidR="00A16FB9" w:rsidRPr="00A16FB9" w:rsidP="00A16FB9" w14:paraId="331B6FE7" w14:textId="77777777">
      <w:pPr>
        <w:spacing w:after="0" w:line="240" w:lineRule="auto"/>
        <w:ind w:right="576"/>
        <w:contextualSpacing/>
        <w:rPr>
          <w:rFonts w:eastAsia="Times New Roman" w:asciiTheme="majorHAnsi" w:hAnsiTheme="majorHAnsi" w:cs="Times New Roman"/>
          <w:sz w:val="24"/>
          <w:szCs w:val="24"/>
        </w:rPr>
      </w:pPr>
    </w:p>
    <w:p w:rsidR="00A16FB9" w:rsidRPr="00A16FB9" w:rsidP="00A16FB9" w14:paraId="3EA0AEA9" w14:textId="77777777">
      <w:pPr>
        <w:spacing w:after="0" w:line="240" w:lineRule="auto"/>
        <w:ind w:right="576"/>
        <w:contextualSpacing/>
        <w:rPr>
          <w:rFonts w:eastAsia="Times New Roman" w:asciiTheme="majorHAnsi" w:hAnsiTheme="majorHAnsi" w:cs="Times New Roman"/>
          <w:sz w:val="24"/>
          <w:szCs w:val="24"/>
        </w:rPr>
      </w:pPr>
      <w:r w:rsidRPr="00A16FB9">
        <w:rPr>
          <w:rFonts w:eastAsia="Times New Roman" w:asciiTheme="majorHAnsi" w:hAnsiTheme="majorHAnsi" w:cs="Times New Roman"/>
          <w:sz w:val="24"/>
          <w:szCs w:val="24"/>
        </w:rPr>
        <w:t xml:space="preserve">Printing and production costs </w:t>
      </w:r>
      <w:r w:rsidRPr="00A16FB9" w:rsidR="00BD2BB1">
        <w:rPr>
          <w:rFonts w:eastAsia="Times New Roman" w:asciiTheme="majorHAnsi" w:hAnsiTheme="majorHAnsi" w:cs="Times New Roman"/>
          <w:sz w:val="24"/>
          <w:szCs w:val="24"/>
        </w:rPr>
        <w:t>approximate</w:t>
      </w:r>
      <w:r w:rsidRPr="00A16FB9">
        <w:rPr>
          <w:rFonts w:eastAsia="Times New Roman" w:asciiTheme="majorHAnsi" w:hAnsiTheme="majorHAnsi" w:cs="Times New Roman"/>
          <w:sz w:val="24"/>
          <w:szCs w:val="24"/>
        </w:rPr>
        <w:t xml:space="preserve"> the cost of printing this information collection per year. (Processing/Analyzing Cost total divided by $90).</w:t>
      </w:r>
    </w:p>
    <w:p w:rsidR="00A16FB9" w:rsidRPr="00A16FB9" w:rsidP="00A16FB9" w14:paraId="355956A6" w14:textId="77777777">
      <w:pPr>
        <w:spacing w:after="0" w:line="240" w:lineRule="auto"/>
        <w:ind w:right="576"/>
        <w:contextualSpacing/>
        <w:jc w:val="both"/>
        <w:rPr>
          <w:rFonts w:eastAsia="Times New Roman" w:asciiTheme="majorHAnsi" w:hAnsiTheme="majorHAnsi" w:cs="Times New Roman"/>
          <w:sz w:val="24"/>
          <w:szCs w:val="24"/>
        </w:rPr>
      </w:pPr>
    </w:p>
    <w:p w:rsidR="00A16FB9" w:rsidRPr="00A16FB9" w:rsidP="00A16FB9" w14:paraId="3F5DDC32" w14:textId="77777777">
      <w:pPr>
        <w:spacing w:after="0" w:line="240" w:lineRule="auto"/>
        <w:rPr>
          <w:rFonts w:eastAsia="Times New Roman" w:asciiTheme="majorHAnsi" w:hAnsiTheme="majorHAnsi" w:cs="Times New Roman"/>
          <w:sz w:val="24"/>
          <w:szCs w:val="24"/>
        </w:rPr>
      </w:pPr>
      <w:bookmarkStart w:id="1" w:name="_Hlk29579534"/>
      <w:r w:rsidRPr="00A16FB9">
        <w:rPr>
          <w:rFonts w:eastAsia="Times New Roman" w:asciiTheme="majorHAnsi" w:hAnsiTheme="majorHAnsi" w:cs="Times New Roman"/>
          <w:sz w:val="24"/>
          <w:szCs w:val="24"/>
        </w:rPr>
        <w:t>Note: The hourly wage information above is based on the hourly 2024 General Schedule (Base) Pay (</w:t>
      </w:r>
      <w:hyperlink r:id="rId9" w:history="1">
        <w:r w:rsidRPr="00A16FB9">
          <w:rPr>
            <w:rFonts w:eastAsia="Times New Roman" w:asciiTheme="majorHAnsi" w:hAnsiTheme="majorHAnsi" w:cs="Times New Roman"/>
            <w:color w:val="0000FF"/>
            <w:sz w:val="24"/>
            <w:szCs w:val="24"/>
            <w:u w:val="single"/>
          </w:rPr>
          <w:t>Pay &amp; Leave : Salaries &amp; Wages - OPM.gov</w:t>
        </w:r>
      </w:hyperlink>
      <w:r w:rsidRPr="00A16FB9">
        <w:rPr>
          <w:rFonts w:eastAsia="Times New Roman" w:asciiTheme="majorHAnsi" w:hAnsiTheme="majorHAnsi" w:cs="Times New Roman"/>
          <w:sz w:val="24"/>
          <w:szCs w:val="24"/>
        </w:rPr>
        <w:t>). This rate does not include any locality adjustment as applicable.</w:t>
      </w:r>
    </w:p>
    <w:bookmarkEnd w:id="1"/>
    <w:p w:rsidR="00A16FB9" w:rsidRPr="00A16FB9" w:rsidP="00A16FB9" w14:paraId="0ED5455B" w14:textId="77777777">
      <w:pPr>
        <w:spacing w:after="0" w:line="240" w:lineRule="auto"/>
        <w:rPr>
          <w:rFonts w:eastAsia="Times New Roman" w:asciiTheme="majorHAnsi" w:hAnsiTheme="majorHAnsi" w:cs="Times New Roman"/>
          <w:sz w:val="24"/>
          <w:szCs w:val="24"/>
        </w:rPr>
      </w:pPr>
    </w:p>
    <w:p w:rsidR="00A16FB9" w:rsidRPr="00A16FB9" w:rsidP="00A16FB9" w14:paraId="26D269B6" w14:textId="77777777">
      <w:pPr>
        <w:spacing w:after="0" w:line="240" w:lineRule="auto"/>
        <w:ind w:right="684"/>
        <w:rPr>
          <w:rFonts w:eastAsia="Times New Roman" w:asciiTheme="majorHAnsi" w:hAnsiTheme="majorHAnsi" w:cs="Times New Roman"/>
          <w:sz w:val="24"/>
          <w:szCs w:val="24"/>
        </w:rPr>
      </w:pPr>
      <w:r w:rsidRPr="00A16FB9">
        <w:rPr>
          <w:rFonts w:eastAsia="Times New Roman" w:asciiTheme="majorHAnsi" w:hAnsiTheme="majorHAnsi" w:cs="Times New Roman"/>
          <w:sz w:val="24"/>
          <w:szCs w:val="24"/>
        </w:rPr>
        <w:t>The processing time estimates above are based on the actual amount of time employees of each grade level spend to process to completion a claim received on this form. The within-grade step (3) of each employee represents the average experience of employees within each grade.</w:t>
      </w:r>
    </w:p>
    <w:p w:rsidR="00486235" w:rsidRPr="00A16FB9" w:rsidP="00486235" w14:paraId="712E20B0" w14:textId="77777777">
      <w:pPr>
        <w:spacing w:after="0" w:line="240" w:lineRule="auto"/>
        <w:rPr>
          <w:rFonts w:asciiTheme="majorHAnsi" w:hAnsiTheme="majorHAnsi"/>
          <w:sz w:val="24"/>
          <w:szCs w:val="24"/>
        </w:rPr>
      </w:pPr>
    </w:p>
    <w:p w:rsidR="00DA2B37" w:rsidRPr="00A16FB9" w:rsidP="00486235" w14:paraId="11A8FB46" w14:textId="77777777">
      <w:pPr>
        <w:spacing w:after="0" w:line="240" w:lineRule="auto"/>
        <w:rPr>
          <w:rFonts w:asciiTheme="majorHAnsi" w:hAnsiTheme="majorHAnsi"/>
          <w:sz w:val="24"/>
          <w:szCs w:val="24"/>
          <w:u w:val="single"/>
        </w:rPr>
      </w:pPr>
      <w:r w:rsidRPr="00A16FB9">
        <w:rPr>
          <w:rFonts w:asciiTheme="majorHAnsi" w:hAnsiTheme="majorHAnsi"/>
          <w:sz w:val="24"/>
          <w:szCs w:val="24"/>
        </w:rPr>
        <w:t xml:space="preserve">15. </w:t>
      </w:r>
      <w:r w:rsidRPr="00A16FB9">
        <w:rPr>
          <w:rFonts w:asciiTheme="majorHAnsi" w:hAnsiTheme="majorHAnsi"/>
          <w:sz w:val="24"/>
          <w:szCs w:val="24"/>
        </w:rPr>
        <w:tab/>
      </w:r>
      <w:r w:rsidRPr="00A16FB9">
        <w:rPr>
          <w:rFonts w:asciiTheme="majorHAnsi" w:hAnsiTheme="majorHAnsi"/>
          <w:sz w:val="24"/>
          <w:szCs w:val="24"/>
          <w:u w:val="single"/>
        </w:rPr>
        <w:t>Reasons for Change in Burden</w:t>
      </w:r>
    </w:p>
    <w:p w:rsidR="00B933B0" w:rsidP="00B55E9F" w14:paraId="1ABC5F4F" w14:textId="77777777">
      <w:pPr>
        <w:spacing w:after="0" w:line="240" w:lineRule="auto"/>
        <w:rPr>
          <w:rFonts w:asciiTheme="majorHAnsi" w:hAnsiTheme="majorHAnsi"/>
          <w:sz w:val="24"/>
        </w:rPr>
      </w:pPr>
      <w:r w:rsidRPr="00EE7DAB">
        <w:rPr>
          <w:rFonts w:asciiTheme="majorHAnsi" w:hAnsiTheme="majorHAnsi"/>
          <w:sz w:val="24"/>
        </w:rPr>
        <w:t>There has been no change in burden since the last approval.</w:t>
      </w:r>
      <w:r>
        <w:rPr>
          <w:rFonts w:asciiTheme="majorHAnsi" w:hAnsiTheme="majorHAnsi"/>
          <w:sz w:val="24"/>
        </w:rPr>
        <w:t xml:space="preserve"> </w:t>
      </w:r>
    </w:p>
    <w:p w:rsidR="00DA2B37" w:rsidP="00486235" w14:paraId="47A119FD" w14:textId="77777777">
      <w:pPr>
        <w:spacing w:after="0" w:line="240" w:lineRule="auto"/>
        <w:rPr>
          <w:rFonts w:asciiTheme="majorHAnsi" w:hAnsiTheme="majorHAnsi"/>
          <w:sz w:val="24"/>
        </w:rPr>
      </w:pPr>
    </w:p>
    <w:p w:rsidR="00DA2B37" w:rsidP="00486235" w14:paraId="0A6ED2E9" w14:textId="77777777">
      <w:pPr>
        <w:spacing w:after="0" w:line="240" w:lineRule="auto"/>
        <w:rPr>
          <w:rFonts w:asciiTheme="majorHAnsi" w:hAnsiTheme="majorHAnsi"/>
          <w:sz w:val="24"/>
        </w:rPr>
      </w:pPr>
      <w:r>
        <w:rPr>
          <w:rFonts w:asciiTheme="majorHAnsi" w:hAnsiTheme="majorHAnsi"/>
          <w:sz w:val="24"/>
        </w:rPr>
        <w:t xml:space="preserve">16. </w:t>
      </w:r>
      <w:r>
        <w:rPr>
          <w:rFonts w:asciiTheme="majorHAnsi" w:hAnsiTheme="majorHAnsi"/>
          <w:sz w:val="24"/>
        </w:rPr>
        <w:tab/>
      </w:r>
      <w:r w:rsidRPr="005C3A95">
        <w:rPr>
          <w:rFonts w:asciiTheme="majorHAnsi" w:hAnsiTheme="majorHAnsi"/>
          <w:sz w:val="24"/>
          <w:u w:val="single"/>
        </w:rPr>
        <w:t>Publication of Results</w:t>
      </w:r>
    </w:p>
    <w:p w:rsidR="00DA2B37" w:rsidP="00486235" w14:paraId="589DD982" w14:textId="77777777">
      <w:pPr>
        <w:spacing w:after="0" w:line="240" w:lineRule="auto"/>
        <w:rPr>
          <w:rFonts w:asciiTheme="majorHAnsi" w:hAnsiTheme="majorHAnsi"/>
          <w:sz w:val="24"/>
        </w:rPr>
      </w:pPr>
      <w:r w:rsidRPr="00EE7DAB">
        <w:rPr>
          <w:rFonts w:asciiTheme="majorHAnsi" w:hAnsiTheme="majorHAnsi"/>
          <w:sz w:val="24"/>
        </w:rPr>
        <w:t>The results of this information collection will not be published.</w:t>
      </w:r>
      <w:r>
        <w:rPr>
          <w:rFonts w:asciiTheme="majorHAnsi" w:hAnsiTheme="majorHAnsi"/>
          <w:sz w:val="24"/>
        </w:rPr>
        <w:t xml:space="preserve"> </w:t>
      </w:r>
    </w:p>
    <w:p w:rsidR="005C3A95" w:rsidP="00486235" w14:paraId="3AAE3827" w14:textId="77777777">
      <w:pPr>
        <w:spacing w:after="0" w:line="240" w:lineRule="auto"/>
        <w:rPr>
          <w:rFonts w:asciiTheme="majorHAnsi" w:hAnsiTheme="majorHAnsi"/>
          <w:sz w:val="24"/>
        </w:rPr>
      </w:pPr>
    </w:p>
    <w:p w:rsidR="005C3A95" w:rsidRPr="0085688C" w:rsidP="00486235" w14:paraId="48AD0789" w14:textId="77777777">
      <w:pPr>
        <w:spacing w:after="0" w:line="240" w:lineRule="auto"/>
        <w:rPr>
          <w:rFonts w:asciiTheme="majorHAnsi" w:hAnsiTheme="majorHAnsi"/>
          <w:sz w:val="24"/>
        </w:rPr>
      </w:pPr>
      <w:r>
        <w:rPr>
          <w:rFonts w:asciiTheme="majorHAnsi" w:hAnsiTheme="majorHAnsi"/>
          <w:sz w:val="24"/>
        </w:rPr>
        <w:t xml:space="preserve">17. </w:t>
      </w:r>
      <w:r w:rsidR="00C62D17">
        <w:rPr>
          <w:rFonts w:asciiTheme="majorHAnsi" w:hAnsiTheme="majorHAnsi"/>
          <w:sz w:val="24"/>
        </w:rPr>
        <w:tab/>
      </w:r>
      <w:r w:rsidRPr="00C62D17" w:rsidR="00C62D17">
        <w:rPr>
          <w:rFonts w:asciiTheme="majorHAnsi" w:hAnsiTheme="majorHAnsi"/>
          <w:sz w:val="24"/>
          <w:u w:val="single"/>
        </w:rPr>
        <w:t>Non-Display of OMB Expiration Date</w:t>
      </w:r>
    </w:p>
    <w:p w:rsidR="00C62D17" w:rsidP="00486235" w14:paraId="3106E4AB" w14:textId="77777777">
      <w:pPr>
        <w:spacing w:after="0" w:line="240" w:lineRule="auto"/>
        <w:rPr>
          <w:rFonts w:asciiTheme="majorHAnsi" w:hAnsiTheme="majorHAnsi"/>
          <w:sz w:val="24"/>
        </w:rPr>
      </w:pPr>
      <w:r w:rsidRPr="00EE7DAB">
        <w:rPr>
          <w:rFonts w:asciiTheme="majorHAnsi" w:hAnsiTheme="majorHAnsi"/>
          <w:sz w:val="24"/>
        </w:rPr>
        <w:t>We are not seeking approval to omit the display of the expiration date of the OMB approval on the collection instrument.</w:t>
      </w:r>
      <w:r>
        <w:rPr>
          <w:rFonts w:asciiTheme="majorHAnsi" w:hAnsiTheme="majorHAnsi"/>
          <w:sz w:val="24"/>
        </w:rPr>
        <w:t xml:space="preserve"> </w:t>
      </w:r>
    </w:p>
    <w:p w:rsidR="00C62D17" w:rsidP="00486235" w14:paraId="707F3C0D" w14:textId="77777777">
      <w:pPr>
        <w:spacing w:after="0" w:line="240" w:lineRule="auto"/>
        <w:rPr>
          <w:rFonts w:asciiTheme="majorHAnsi" w:hAnsiTheme="majorHAnsi"/>
          <w:sz w:val="24"/>
        </w:rPr>
      </w:pPr>
    </w:p>
    <w:p w:rsidR="00C62D17" w:rsidRPr="0085688C" w:rsidP="00486235" w14:paraId="5C2FA6F2" w14:textId="77777777">
      <w:pPr>
        <w:spacing w:after="0" w:line="240" w:lineRule="auto"/>
        <w:rPr>
          <w:rFonts w:asciiTheme="majorHAnsi" w:hAnsiTheme="majorHAnsi"/>
          <w:sz w:val="24"/>
        </w:rPr>
      </w:pPr>
      <w:r>
        <w:rPr>
          <w:rFonts w:asciiTheme="majorHAnsi" w:hAnsiTheme="majorHAnsi"/>
          <w:sz w:val="24"/>
        </w:rPr>
        <w:t xml:space="preserve">18. </w:t>
      </w:r>
      <w:r>
        <w:rPr>
          <w:rFonts w:asciiTheme="majorHAnsi" w:hAnsiTheme="majorHAnsi"/>
          <w:sz w:val="24"/>
        </w:rPr>
        <w:tab/>
      </w:r>
      <w:r w:rsidRPr="00C62D17">
        <w:rPr>
          <w:rFonts w:asciiTheme="majorHAnsi" w:hAnsiTheme="majorHAnsi"/>
          <w:sz w:val="24"/>
          <w:u w:val="single"/>
        </w:rPr>
        <w:t>Exceptions to “Certification for Paperwork Reduction Submissions”</w:t>
      </w:r>
    </w:p>
    <w:p w:rsidR="00A50A0F" w:rsidRPr="00C62D17" w:rsidP="00B55E9F" w14:paraId="2B24853B" w14:textId="77777777">
      <w:pPr>
        <w:spacing w:after="0" w:line="240" w:lineRule="auto"/>
        <w:rPr>
          <w:rFonts w:asciiTheme="majorHAnsi" w:hAnsiTheme="majorHAnsi"/>
          <w:i/>
          <w:sz w:val="24"/>
        </w:rPr>
      </w:pPr>
      <w:r w:rsidRPr="00EE7DAB">
        <w:rPr>
          <w:rFonts w:asciiTheme="majorHAnsi" w:hAnsiTheme="majorHAnsi"/>
          <w:sz w:val="24"/>
        </w:rPr>
        <w:t>We are not requesting an</w:t>
      </w:r>
      <w:r w:rsidRPr="00EE7DAB" w:rsidR="00420AE9">
        <w:rPr>
          <w:rFonts w:asciiTheme="majorHAnsi" w:hAnsiTheme="majorHAnsi"/>
          <w:sz w:val="24"/>
        </w:rPr>
        <w:t>y</w:t>
      </w:r>
      <w:r w:rsidRPr="00EE7DAB">
        <w:rPr>
          <w:rFonts w:asciiTheme="majorHAnsi" w:hAnsiTheme="majorHAnsi"/>
          <w:sz w:val="24"/>
        </w:rPr>
        <w:t xml:space="preserve"> exemption</w:t>
      </w:r>
      <w:r w:rsidRPr="00EE7DAB" w:rsidR="00420AE9">
        <w:rPr>
          <w:rFonts w:asciiTheme="majorHAnsi" w:hAnsiTheme="majorHAnsi"/>
          <w:sz w:val="24"/>
        </w:rPr>
        <w:t>s</w:t>
      </w:r>
      <w:r w:rsidRPr="00EE7DAB">
        <w:rPr>
          <w:rFonts w:asciiTheme="majorHAnsi" w:hAnsiTheme="majorHAnsi"/>
          <w:sz w:val="24"/>
        </w:rPr>
        <w:t xml:space="preserve"> to the provisions </w:t>
      </w:r>
      <w:r w:rsidRPr="00EE7DAB" w:rsidR="00420AE9">
        <w:rPr>
          <w:rFonts w:asciiTheme="majorHAnsi" w:hAnsiTheme="majorHAnsi"/>
          <w:sz w:val="24"/>
        </w:rPr>
        <w:t>stated in 5 CFR 1320.9.</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402"/>
    <w:multiLevelType w:val="multilevel"/>
    <w:tmpl w:val="FFFFFFFF"/>
    <w:lvl w:ilvl="0">
      <w:start w:val="1"/>
      <w:numFmt w:val="decimal"/>
      <w:lvlText w:val="%1."/>
      <w:lvlJc w:val="left"/>
      <w:pPr>
        <w:ind w:left="537" w:hanging="228"/>
      </w:pPr>
      <w:rPr>
        <w:spacing w:val="-1"/>
        <w:w w:val="90"/>
      </w:rPr>
    </w:lvl>
    <w:lvl w:ilvl="1">
      <w:start w:val="0"/>
      <w:numFmt w:val="bullet"/>
      <w:lvlText w:val="•"/>
      <w:lvlJc w:val="left"/>
      <w:pPr>
        <w:ind w:left="1566" w:hanging="228"/>
      </w:pPr>
    </w:lvl>
    <w:lvl w:ilvl="2">
      <w:start w:val="0"/>
      <w:numFmt w:val="bullet"/>
      <w:lvlText w:val="•"/>
      <w:lvlJc w:val="left"/>
      <w:pPr>
        <w:ind w:left="2592" w:hanging="228"/>
      </w:pPr>
    </w:lvl>
    <w:lvl w:ilvl="3">
      <w:start w:val="0"/>
      <w:numFmt w:val="bullet"/>
      <w:lvlText w:val="•"/>
      <w:lvlJc w:val="left"/>
      <w:pPr>
        <w:ind w:left="3618" w:hanging="228"/>
      </w:pPr>
    </w:lvl>
    <w:lvl w:ilvl="4">
      <w:start w:val="0"/>
      <w:numFmt w:val="bullet"/>
      <w:lvlText w:val="•"/>
      <w:lvlJc w:val="left"/>
      <w:pPr>
        <w:ind w:left="4644" w:hanging="228"/>
      </w:pPr>
    </w:lvl>
    <w:lvl w:ilvl="5">
      <w:start w:val="0"/>
      <w:numFmt w:val="bullet"/>
      <w:lvlText w:val="•"/>
      <w:lvlJc w:val="left"/>
      <w:pPr>
        <w:ind w:left="5670" w:hanging="228"/>
      </w:pPr>
    </w:lvl>
    <w:lvl w:ilvl="6">
      <w:start w:val="0"/>
      <w:numFmt w:val="bullet"/>
      <w:lvlText w:val="•"/>
      <w:lvlJc w:val="left"/>
      <w:pPr>
        <w:ind w:left="6696" w:hanging="228"/>
      </w:pPr>
    </w:lvl>
    <w:lvl w:ilvl="7">
      <w:start w:val="0"/>
      <w:numFmt w:val="bullet"/>
      <w:lvlText w:val="•"/>
      <w:lvlJc w:val="left"/>
      <w:pPr>
        <w:ind w:left="7722" w:hanging="228"/>
      </w:pPr>
    </w:lvl>
    <w:lvl w:ilvl="8">
      <w:start w:val="0"/>
      <w:numFmt w:val="bullet"/>
      <w:lvlText w:val="•"/>
      <w:lvlJc w:val="left"/>
      <w:pPr>
        <w:ind w:left="8748" w:hanging="228"/>
      </w:pPr>
    </w:lvl>
  </w:abstractNum>
  <w:abstractNum w:abstractNumId="1">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38E7ED5"/>
    <w:multiLevelType w:val="hybridMultilevel"/>
    <w:tmpl w:val="0C9ADA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3">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0">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41387440">
    <w:abstractNumId w:val="4"/>
  </w:num>
  <w:num w:numId="2" w16cid:durableId="131096987">
    <w:abstractNumId w:val="11"/>
  </w:num>
  <w:num w:numId="3" w16cid:durableId="1482695173">
    <w:abstractNumId w:val="1"/>
  </w:num>
  <w:num w:numId="4" w16cid:durableId="1498229727">
    <w:abstractNumId w:val="19"/>
  </w:num>
  <w:num w:numId="5" w16cid:durableId="1635792953">
    <w:abstractNumId w:val="22"/>
  </w:num>
  <w:num w:numId="6" w16cid:durableId="172232075">
    <w:abstractNumId w:val="16"/>
  </w:num>
  <w:num w:numId="7" w16cid:durableId="1791894794">
    <w:abstractNumId w:val="10"/>
  </w:num>
  <w:num w:numId="8" w16cid:durableId="1955089295">
    <w:abstractNumId w:val="12"/>
  </w:num>
  <w:num w:numId="9" w16cid:durableId="2037191835">
    <w:abstractNumId w:val="9"/>
  </w:num>
  <w:num w:numId="10" w16cid:durableId="204560230">
    <w:abstractNumId w:val="14"/>
  </w:num>
  <w:num w:numId="11" w16cid:durableId="2105303523">
    <w:abstractNumId w:val="18"/>
  </w:num>
  <w:num w:numId="12" w16cid:durableId="21369453">
    <w:abstractNumId w:val="17"/>
  </w:num>
  <w:num w:numId="13" w16cid:durableId="316612182">
    <w:abstractNumId w:val="13"/>
  </w:num>
  <w:num w:numId="14" w16cid:durableId="373308623">
    <w:abstractNumId w:val="5"/>
  </w:num>
  <w:num w:numId="15" w16cid:durableId="449131900">
    <w:abstractNumId w:val="0"/>
  </w:num>
  <w:num w:numId="16" w16cid:durableId="472255321">
    <w:abstractNumId w:val="15"/>
  </w:num>
  <w:num w:numId="17" w16cid:durableId="478309871">
    <w:abstractNumId w:val="21"/>
  </w:num>
  <w:num w:numId="18" w16cid:durableId="566115916">
    <w:abstractNumId w:val="3"/>
  </w:num>
  <w:num w:numId="19" w16cid:durableId="60951939">
    <w:abstractNumId w:val="2"/>
  </w:num>
  <w:num w:numId="20" w16cid:durableId="639655722">
    <w:abstractNumId w:val="23"/>
  </w:num>
  <w:num w:numId="21" w16cid:durableId="665396776">
    <w:abstractNumId w:val="24"/>
  </w:num>
  <w:num w:numId="22" w16cid:durableId="700475658">
    <w:abstractNumId w:val="8"/>
  </w:num>
  <w:num w:numId="23" w16cid:durableId="805969465">
    <w:abstractNumId w:val="7"/>
  </w:num>
  <w:num w:numId="24" w16cid:durableId="817233956">
    <w:abstractNumId w:val="6"/>
  </w:num>
  <w:num w:numId="25" w16cid:durableId="872226322">
    <w:abstractNumId w:val="20"/>
  </w:num>
  <w:num w:numId="26" w16cid:durableId="9321283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B0E70"/>
    <w:rsid w:val="000E20B9"/>
    <w:rsid w:val="00105F45"/>
    <w:rsid w:val="00127B46"/>
    <w:rsid w:val="00131B62"/>
    <w:rsid w:val="0019309D"/>
    <w:rsid w:val="001B761F"/>
    <w:rsid w:val="001C0D41"/>
    <w:rsid w:val="001F526C"/>
    <w:rsid w:val="00200261"/>
    <w:rsid w:val="00203BC2"/>
    <w:rsid w:val="00211832"/>
    <w:rsid w:val="00222D1B"/>
    <w:rsid w:val="00235D71"/>
    <w:rsid w:val="0024335E"/>
    <w:rsid w:val="00254DCF"/>
    <w:rsid w:val="002567F9"/>
    <w:rsid w:val="0027743E"/>
    <w:rsid w:val="00284140"/>
    <w:rsid w:val="00284E68"/>
    <w:rsid w:val="00293BC6"/>
    <w:rsid w:val="00294E92"/>
    <w:rsid w:val="002C0BAE"/>
    <w:rsid w:val="002D7713"/>
    <w:rsid w:val="003132E7"/>
    <w:rsid w:val="00331D7E"/>
    <w:rsid w:val="00333223"/>
    <w:rsid w:val="00333BEB"/>
    <w:rsid w:val="00337EF1"/>
    <w:rsid w:val="00340D9B"/>
    <w:rsid w:val="003552D9"/>
    <w:rsid w:val="00394A8A"/>
    <w:rsid w:val="003B3358"/>
    <w:rsid w:val="003C0540"/>
    <w:rsid w:val="003C4C88"/>
    <w:rsid w:val="00420AE9"/>
    <w:rsid w:val="00470DA3"/>
    <w:rsid w:val="00480AFF"/>
    <w:rsid w:val="00486235"/>
    <w:rsid w:val="00490797"/>
    <w:rsid w:val="004951D0"/>
    <w:rsid w:val="004C74D6"/>
    <w:rsid w:val="004D123D"/>
    <w:rsid w:val="004F4F5D"/>
    <w:rsid w:val="00502FF3"/>
    <w:rsid w:val="00510F0C"/>
    <w:rsid w:val="00520B36"/>
    <w:rsid w:val="00571698"/>
    <w:rsid w:val="00576EDB"/>
    <w:rsid w:val="00594B6B"/>
    <w:rsid w:val="00596BBA"/>
    <w:rsid w:val="005A4AA5"/>
    <w:rsid w:val="005C3A95"/>
    <w:rsid w:val="005C7428"/>
    <w:rsid w:val="005D5C81"/>
    <w:rsid w:val="0062685E"/>
    <w:rsid w:val="00642741"/>
    <w:rsid w:val="0065530D"/>
    <w:rsid w:val="006A13FA"/>
    <w:rsid w:val="006D4924"/>
    <w:rsid w:val="006E563D"/>
    <w:rsid w:val="006F2DF8"/>
    <w:rsid w:val="00722FDB"/>
    <w:rsid w:val="00725BC0"/>
    <w:rsid w:val="0077261C"/>
    <w:rsid w:val="007855AB"/>
    <w:rsid w:val="007A6E58"/>
    <w:rsid w:val="007B4AFE"/>
    <w:rsid w:val="007E0E8E"/>
    <w:rsid w:val="007E4775"/>
    <w:rsid w:val="0081590A"/>
    <w:rsid w:val="00831F49"/>
    <w:rsid w:val="00850B7B"/>
    <w:rsid w:val="0085688C"/>
    <w:rsid w:val="008630B6"/>
    <w:rsid w:val="008635C4"/>
    <w:rsid w:val="00874504"/>
    <w:rsid w:val="008A06EF"/>
    <w:rsid w:val="008B5DF1"/>
    <w:rsid w:val="008C643C"/>
    <w:rsid w:val="008D1294"/>
    <w:rsid w:val="008E3029"/>
    <w:rsid w:val="009062CD"/>
    <w:rsid w:val="0095310D"/>
    <w:rsid w:val="0097717C"/>
    <w:rsid w:val="0098628F"/>
    <w:rsid w:val="00994F2B"/>
    <w:rsid w:val="00996894"/>
    <w:rsid w:val="009A197A"/>
    <w:rsid w:val="009A6246"/>
    <w:rsid w:val="009B71A5"/>
    <w:rsid w:val="009C672C"/>
    <w:rsid w:val="009E7C98"/>
    <w:rsid w:val="009F2544"/>
    <w:rsid w:val="00A16FB9"/>
    <w:rsid w:val="00A50A0F"/>
    <w:rsid w:val="00A55870"/>
    <w:rsid w:val="00A76F7E"/>
    <w:rsid w:val="00A77157"/>
    <w:rsid w:val="00AD0B2E"/>
    <w:rsid w:val="00B52ACA"/>
    <w:rsid w:val="00B52F4E"/>
    <w:rsid w:val="00B55E9F"/>
    <w:rsid w:val="00B764EB"/>
    <w:rsid w:val="00B933B0"/>
    <w:rsid w:val="00BB2D3D"/>
    <w:rsid w:val="00BC7E62"/>
    <w:rsid w:val="00BD2BB1"/>
    <w:rsid w:val="00BD7755"/>
    <w:rsid w:val="00BE535D"/>
    <w:rsid w:val="00C325A8"/>
    <w:rsid w:val="00C33684"/>
    <w:rsid w:val="00C62D17"/>
    <w:rsid w:val="00C808F4"/>
    <w:rsid w:val="00CA15B1"/>
    <w:rsid w:val="00CC24D5"/>
    <w:rsid w:val="00CC2835"/>
    <w:rsid w:val="00CE2517"/>
    <w:rsid w:val="00D12BF7"/>
    <w:rsid w:val="00D21AA6"/>
    <w:rsid w:val="00D462F7"/>
    <w:rsid w:val="00D734A2"/>
    <w:rsid w:val="00D83DC3"/>
    <w:rsid w:val="00DA2B37"/>
    <w:rsid w:val="00DA7C05"/>
    <w:rsid w:val="00E05EA7"/>
    <w:rsid w:val="00E2489B"/>
    <w:rsid w:val="00E5409A"/>
    <w:rsid w:val="00E65D41"/>
    <w:rsid w:val="00E87C81"/>
    <w:rsid w:val="00E95FFB"/>
    <w:rsid w:val="00EA6C04"/>
    <w:rsid w:val="00EB3510"/>
    <w:rsid w:val="00EE7DAB"/>
    <w:rsid w:val="00F25499"/>
    <w:rsid w:val="00F86C35"/>
    <w:rsid w:val="00F97482"/>
    <w:rsid w:val="00FA3C8C"/>
    <w:rsid w:val="00FB569C"/>
    <w:rsid w:val="00FE6DE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7AC3DDA8"/>
  <w15:docId w15:val="{89600A45-0553-4129-BE97-64B824722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1">
    <w:name w:val="heading 1"/>
    <w:basedOn w:val="Normal"/>
    <w:next w:val="Normal"/>
    <w:link w:val="Heading1Char"/>
    <w:uiPriority w:val="9"/>
    <w:qFormat/>
    <w:rsid w:val="009C672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05EA7"/>
    <w:rPr>
      <w:color w:val="605E5C"/>
      <w:shd w:val="clear" w:color="auto" w:fill="E1DFDD"/>
    </w:rPr>
  </w:style>
  <w:style w:type="character" w:customStyle="1" w:styleId="Heading1Char">
    <w:name w:val="Heading 1 Char"/>
    <w:basedOn w:val="DefaultParagraphFont"/>
    <w:link w:val="Heading1"/>
    <w:uiPriority w:val="9"/>
    <w:rsid w:val="009C672C"/>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99"/>
    <w:semiHidden/>
    <w:unhideWhenUsed/>
    <w:rsid w:val="009C672C"/>
    <w:pPr>
      <w:spacing w:after="120"/>
    </w:pPr>
  </w:style>
  <w:style w:type="character" w:customStyle="1" w:styleId="BodyTextChar">
    <w:name w:val="Body Text Char"/>
    <w:basedOn w:val="DefaultParagraphFont"/>
    <w:link w:val="BodyText"/>
    <w:uiPriority w:val="99"/>
    <w:semiHidden/>
    <w:rsid w:val="009C6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ReggieMG@icloud.com" TargetMode="External" /><Relationship Id="rId8" Type="http://schemas.openxmlformats.org/officeDocument/2006/relationships/hyperlink" Target="https://data.bls.gov/oes/" TargetMode="External" /><Relationship Id="rId9" Type="http://schemas.openxmlformats.org/officeDocument/2006/relationships/hyperlink" Target="https://www.opm.gov/policy-data-oversight/pay-leave/salaries-wages/salary-tables/25Tables/html/DCB_h.asp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0E838FB72F014FA2E644620FE0CA4D" ma:contentTypeVersion="22" ma:contentTypeDescription="Create a new document." ma:contentTypeScope="" ma:versionID="dc2a3ed1d0dc54804f2c87925efe6fa6">
  <xsd:schema xmlns:xsd="http://www.w3.org/2001/XMLSchema" xmlns:xs="http://www.w3.org/2001/XMLSchema" xmlns:p="http://schemas.microsoft.com/office/2006/metadata/properties" xmlns:ns1="http://schemas.microsoft.com/sharepoint/v3" xmlns:ns2="ac9663f9-fb17-44e5-9d80-4005cab65db0" xmlns:ns3="a9639fa6-b8cf-4a11-8ed2-c07d7a0c7fed" targetNamespace="http://schemas.microsoft.com/office/2006/metadata/properties" ma:root="true" ma:fieldsID="36122287dd88523ae7b6ca69652fd87d" ns1:_="" ns2:_="" ns3:_="">
    <xsd:import namespace="http://schemas.microsoft.com/sharepoint/v3"/>
    <xsd:import namespace="ac9663f9-fb17-44e5-9d80-4005cab65db0"/>
    <xsd:import namespace="a9639fa6-b8cf-4a11-8ed2-c07d7a0c7f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Location"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9663f9-fb17-44e5-9d80-4005cab65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0ac6538-d41a-4f9a-bd67-5f7ae81a6d7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_ApprovalAssignedTo" ma:index="26"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7"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8"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9"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9639fa6-b8cf-4a11-8ed2-c07d7a0c7fe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c345356-c0d6-4174-934e-558b32cce8aa}" ma:internalName="TaxCatchAll" ma:showField="CatchAllData" ma:web="a9639fa6-b8cf-4a11-8ed2-c07d7a0c7f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9639fa6-b8cf-4a11-8ed2-c07d7a0c7fed" xsi:nil="true"/>
    <lcf76f155ced4ddcb4097134ff3c332f xmlns="ac9663f9-fb17-44e5-9d80-4005cab65db0">
      <Terms xmlns="http://schemas.microsoft.com/office/infopath/2007/PartnerControls"/>
    </lcf76f155ced4ddcb4097134ff3c332f>
    <_ApprovalAssignedTo xmlns="ac9663f9-fb17-44e5-9d80-4005cab65db0">
      <UserInfo>
        <DisplayName/>
        <AccountId xsi:nil="true"/>
        <AccountType/>
      </UserInfo>
    </_ApprovalAssignedTo>
    <_ApprovalRespondedBy xmlns="ac9663f9-fb17-44e5-9d80-4005cab65db0">
      <UserInfo>
        <DisplayName/>
        <AccountId xsi:nil="true"/>
        <AccountType/>
      </UserInfo>
    </_ApprovalRespondedBy>
    <_ApprovalStatus xmlns="ac9663f9-fb17-44e5-9d80-4005cab65db0">0</_ApprovalStatus>
    <_ApprovalSentBy xmlns="ac9663f9-fb17-44e5-9d80-4005cab65db0">
      <UserInfo>
        <DisplayName/>
        <AccountId xsi:nil="true"/>
        <AccountType/>
      </UserInfo>
    </_ApprovalSentBy>
  </documentManagement>
</p:properties>
</file>

<file path=customXml/itemProps1.xml><?xml version="1.0" encoding="utf-8"?>
<ds:datastoreItem xmlns:ds="http://schemas.openxmlformats.org/officeDocument/2006/customXml" ds:itemID="{BEA1CC1C-88FA-4ADB-8328-D9C30D95E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9663f9-fb17-44e5-9d80-4005cab65db0"/>
    <ds:schemaRef ds:uri="a9639fa6-b8cf-4a11-8ed2-c07d7a0c7f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D101EF-4061-4CB3-8B7F-D15364398F16}">
  <ds:schemaRefs>
    <ds:schemaRef ds:uri="http://schemas.microsoft.com/sharepoint/v3/contenttype/forms"/>
  </ds:schemaRefs>
</ds:datastoreItem>
</file>

<file path=customXml/itemProps3.xml><?xml version="1.0" encoding="utf-8"?>
<ds:datastoreItem xmlns:ds="http://schemas.openxmlformats.org/officeDocument/2006/customXml" ds:itemID="{ED70EC2A-C873-4929-A428-39C87890D8BC}">
  <ds:schemaRefs>
    <ds:schemaRef ds:uri="http://schemas.microsoft.com/office/2006/metadata/properties"/>
    <ds:schemaRef ds:uri="http://schemas.microsoft.com/office/infopath/2007/PartnerControls"/>
    <ds:schemaRef ds:uri="http://schemas.microsoft.com/sharepoint/v3"/>
    <ds:schemaRef ds:uri="a9639fa6-b8cf-4a11-8ed2-c07d7a0c7fed"/>
    <ds:schemaRef ds:uri="ac9663f9-fb17-44e5-9d80-4005cab65db0"/>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16</TotalTime>
  <Pages>7</Pages>
  <Words>1774</Words>
  <Characters>10114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11865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McCleave, Kendra</cp:lastModifiedBy>
  <cp:revision>2</cp:revision>
  <cp:lastPrinted>2016-09-20T19:55:00Z</cp:lastPrinted>
  <dcterms:created xsi:type="dcterms:W3CDTF">2026-10-28T13:05:00Z</dcterms:created>
  <dcterms:modified xsi:type="dcterms:W3CDTF">2026-10-28T13:05:00Z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0x010100830E838FB72F014FA2E644620FE0CA4D</vt:lpwstr>
  </property>
  <property fmtid="{D5CDD505-2E9C-101B-9397-08002B2CF9AE}" pid="3" name="GrammarlyDocumentId">
    <vt:lpwstr>dad372bfa3652cf18f833ce4f4a7ba4d10f3b2db73fa540935e8c0e5383f4753</vt:lpwstr>
  </property>
  <property fmtid="{D5CDD505-2E9C-101B-9397-08002B2CF9AE}" pid="4" name="MediaServiceImageTags">
    <vt:lpwstr/>
  </property>
</Properties>
</file>