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EA6C04" w14:paraId="671144FA"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EA6C04" w:rsidP="00EA6C04" w14:paraId="1C900676" w14:textId="78DFB4D7">
      <w:pPr>
        <w:jc w:val="center"/>
        <w:rPr>
          <w:rFonts w:asciiTheme="majorHAnsi" w:hAnsiTheme="majorHAnsi"/>
          <w:sz w:val="24"/>
        </w:rPr>
      </w:pPr>
      <w:r w:rsidRPr="00874BE7">
        <w:rPr>
          <w:rFonts w:asciiTheme="majorHAnsi" w:hAnsiTheme="majorHAnsi"/>
          <w:sz w:val="24"/>
        </w:rPr>
        <w:t>Income and Asset Statement in Support of Claim for Pension or Parent's Dependency and Indemnity Compensation (D.I.C.)</w:t>
      </w:r>
      <w:r w:rsidRPr="00725BC0">
        <w:rPr>
          <w:rFonts w:asciiTheme="majorHAnsi" w:hAnsiTheme="majorHAnsi"/>
          <w:sz w:val="24"/>
        </w:rPr>
        <w:t xml:space="preserve"> – </w:t>
      </w:r>
      <w:r w:rsidR="00725BC0">
        <w:rPr>
          <w:rFonts w:asciiTheme="majorHAnsi" w:hAnsiTheme="majorHAnsi"/>
          <w:sz w:val="24"/>
        </w:rPr>
        <w:t>2900-</w:t>
      </w:r>
      <w:r>
        <w:rPr>
          <w:rFonts w:asciiTheme="majorHAnsi" w:hAnsiTheme="majorHAnsi"/>
          <w:sz w:val="24"/>
        </w:rPr>
        <w:t>0829</w:t>
      </w:r>
    </w:p>
    <w:p w:rsidR="00340D9B" w:rsidP="006E563D" w14:paraId="5C5495F6" w14:textId="77777777">
      <w:pPr>
        <w:spacing w:after="0" w:line="240" w:lineRule="auto"/>
        <w:rPr>
          <w:rFonts w:asciiTheme="majorHAnsi" w:hAnsiTheme="majorHAnsi"/>
          <w:sz w:val="24"/>
        </w:rPr>
      </w:pPr>
    </w:p>
    <w:tbl>
      <w:tblPr>
        <w:tblStyle w:val="TableGrid"/>
        <w:tblW w:w="9515" w:type="dxa"/>
        <w:tblInd w:w="-5" w:type="dxa"/>
        <w:tblLook w:val="04A0"/>
      </w:tblPr>
      <w:tblGrid>
        <w:gridCol w:w="9515"/>
      </w:tblGrid>
      <w:tr w14:paraId="3600C9C2" w14:textId="77777777" w:rsidTr="00594B6B">
        <w:tblPrEx>
          <w:tblW w:w="9515" w:type="dxa"/>
          <w:tblInd w:w="-5" w:type="dxa"/>
          <w:tblLook w:val="04A0"/>
        </w:tblPrEx>
        <w:trPr>
          <w:trHeight w:val="595"/>
        </w:trPr>
        <w:tc>
          <w:tcPr>
            <w:tcW w:w="9515" w:type="dxa"/>
          </w:tcPr>
          <w:p w:rsidR="00594B6B" w:rsidP="00594B6B" w14:paraId="3409E7F1" w14:textId="7BC45979">
            <w:pPr>
              <w:rPr>
                <w:rFonts w:asciiTheme="majorHAnsi" w:hAnsiTheme="majorHAnsi"/>
                <w:sz w:val="24"/>
              </w:rPr>
            </w:pPr>
            <w:r w:rsidRPr="00725BC0">
              <w:rPr>
                <w:rFonts w:asciiTheme="majorHAnsi" w:hAnsiTheme="majorHAnsi"/>
                <w:sz w:val="24"/>
              </w:rPr>
              <w:t>Summary of Changes from Previously Approved Collection</w:t>
            </w:r>
          </w:p>
          <w:p w:rsidR="00725BC0" w:rsidP="00725BC0" w14:paraId="1B0B9726" w14:textId="012B5FFE">
            <w:pPr>
              <w:pStyle w:val="ListParagraph"/>
              <w:numPr>
                <w:ilvl w:val="0"/>
                <w:numId w:val="25"/>
              </w:numPr>
              <w:rPr>
                <w:rFonts w:asciiTheme="majorHAnsi" w:hAnsiTheme="majorHAnsi"/>
                <w:sz w:val="24"/>
              </w:rPr>
            </w:pPr>
            <w:r>
              <w:rPr>
                <w:rFonts w:asciiTheme="majorHAnsi" w:hAnsiTheme="majorHAnsi"/>
                <w:sz w:val="24"/>
              </w:rPr>
              <w:t>Extension of a currently approved collection</w:t>
            </w:r>
          </w:p>
          <w:p w:rsidR="00725BC0" w:rsidP="00725BC0" w14:paraId="63604015" w14:textId="77777777">
            <w:pPr>
              <w:pStyle w:val="ListParagraph"/>
              <w:numPr>
                <w:ilvl w:val="0"/>
                <w:numId w:val="25"/>
              </w:numPr>
              <w:rPr>
                <w:rFonts w:asciiTheme="majorHAnsi" w:hAnsiTheme="majorHAnsi"/>
                <w:sz w:val="24"/>
              </w:rPr>
            </w:pPr>
            <w:r>
              <w:rPr>
                <w:rFonts w:asciiTheme="majorHAnsi" w:hAnsiTheme="majorHAnsi"/>
                <w:sz w:val="24"/>
              </w:rPr>
              <w:t>The respondent burden has remained the same</w:t>
            </w:r>
          </w:p>
          <w:p w:rsidR="00FE4B1B" w:rsidRPr="00725BC0" w:rsidP="00725BC0" w14:paraId="4A54E5CD" w14:textId="2DD53494">
            <w:pPr>
              <w:pStyle w:val="ListParagraph"/>
              <w:numPr>
                <w:ilvl w:val="0"/>
                <w:numId w:val="25"/>
              </w:numPr>
              <w:rPr>
                <w:rFonts w:asciiTheme="majorHAnsi" w:hAnsiTheme="majorHAnsi"/>
                <w:sz w:val="24"/>
              </w:rPr>
            </w:pPr>
            <w:r>
              <w:rPr>
                <w:rFonts w:asciiTheme="majorHAnsi" w:hAnsiTheme="majorHAnsi"/>
                <w:sz w:val="24"/>
              </w:rPr>
              <w:t>3 public comments were received during the 60-Day comment period</w:t>
            </w:r>
          </w:p>
        </w:tc>
      </w:tr>
    </w:tbl>
    <w:p w:rsidR="00340D9B" w:rsidRPr="00340D9B" w:rsidP="002D7713" w14:paraId="5748E613" w14:textId="77777777">
      <w:pPr>
        <w:pStyle w:val="ListParagraph"/>
        <w:spacing w:after="0" w:line="240" w:lineRule="auto"/>
        <w:rPr>
          <w:rFonts w:asciiTheme="majorHAnsi" w:hAnsiTheme="majorHAnsi"/>
          <w:sz w:val="24"/>
        </w:rPr>
      </w:pPr>
    </w:p>
    <w:p w:rsidR="00340D9B" w:rsidP="006E563D" w14:paraId="22AF5580" w14:textId="77777777">
      <w:pPr>
        <w:spacing w:after="0" w:line="240" w:lineRule="auto"/>
        <w:rPr>
          <w:rFonts w:asciiTheme="majorHAnsi" w:hAnsiTheme="majorHAnsi"/>
          <w:sz w:val="24"/>
        </w:rPr>
      </w:pPr>
    </w:p>
    <w:p w:rsidR="005C7428" w:rsidRPr="0085688C" w:rsidP="006E563D" w14:paraId="3B6FC6DF" w14:textId="2D1FC66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sidR="00510F0C">
        <w:rPr>
          <w:rFonts w:asciiTheme="majorHAnsi" w:hAnsiTheme="majorHAnsi"/>
          <w:sz w:val="24"/>
        </w:rPr>
        <w:tab/>
      </w:r>
      <w:r w:rsidRP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p>
    <w:p w:rsidR="00725BC0" w:rsidRPr="00B52ACA" w:rsidP="00725BC0" w14:paraId="452B9312" w14:textId="3F73E324">
      <w:pPr>
        <w:spacing w:after="0" w:line="240" w:lineRule="auto"/>
        <w:rPr>
          <w:rFonts w:asciiTheme="majorHAnsi" w:hAnsiTheme="majorHAnsi"/>
          <w:sz w:val="24"/>
        </w:rPr>
      </w:pPr>
      <w:r>
        <w:rPr>
          <w:rFonts w:asciiTheme="majorHAnsi" w:hAnsiTheme="majorHAnsi"/>
          <w:sz w:val="24"/>
        </w:rPr>
        <w:t>The Department of Veterans Affairs (VA), through its Veterans Benefits Administration (VBA), administers an integrated program of benefits and services, established by law, for Veterans, service personnel, and their dependents and/or beneficiaries. Under the authority of 38 U.S.C. 1163, individual unemployability may be payable to a Veteran with service-connected disability or disabilities that render the Veteran unable to secure or follow a substantially gainful occupation. Regulatory authority is found in</w:t>
      </w:r>
      <w:r>
        <w:rPr>
          <w:rFonts w:asciiTheme="majorHAnsi" w:hAnsiTheme="majorHAnsi"/>
          <w:sz w:val="24"/>
        </w:rPr>
        <w:t xml:space="preserve"> 38 C.F.R. 4.16, 38 C.F.R. 3.340, and 38 C.F.R. 3.341.</w:t>
      </w:r>
    </w:p>
    <w:p w:rsidR="00510F0C" w:rsidP="006E563D" w14:paraId="42F0D1FD" w14:textId="77777777">
      <w:pPr>
        <w:spacing w:after="0" w:line="240" w:lineRule="auto"/>
        <w:rPr>
          <w:rFonts w:asciiTheme="majorHAnsi" w:hAnsiTheme="majorHAnsi"/>
          <w:sz w:val="24"/>
        </w:rPr>
      </w:pPr>
    </w:p>
    <w:p w:rsidR="005C7428" w:rsidRPr="0085688C" w:rsidP="006E563D" w14:paraId="2BB4A596" w14:textId="7219D0F2">
      <w:pPr>
        <w:spacing w:after="0" w:line="240" w:lineRule="auto"/>
        <w:rPr>
          <w:rFonts w:asciiTheme="majorHAnsi" w:hAnsiTheme="majorHAnsi"/>
          <w:sz w:val="24"/>
        </w:rPr>
      </w:pPr>
      <w:r>
        <w:rPr>
          <w:rFonts w:asciiTheme="majorHAnsi" w:hAnsiTheme="majorHAnsi"/>
          <w:sz w:val="24"/>
        </w:rPr>
        <w:t>2.</w:t>
      </w:r>
      <w:r>
        <w:rPr>
          <w:rFonts w:asciiTheme="majorHAnsi" w:hAnsiTheme="majorHAnsi"/>
          <w:sz w:val="24"/>
        </w:rPr>
        <w:tab/>
      </w:r>
      <w:r w:rsidRPr="005C7428">
        <w:rPr>
          <w:rFonts w:asciiTheme="majorHAnsi" w:hAnsiTheme="majorHAnsi"/>
          <w:sz w:val="24"/>
          <w:u w:val="single"/>
        </w:rPr>
        <w:t xml:space="preserve">Use of the </w:t>
      </w:r>
      <w:r w:rsidRPr="005C7428" w:rsidR="0085688C">
        <w:rPr>
          <w:rFonts w:asciiTheme="majorHAnsi" w:hAnsiTheme="majorHAnsi"/>
          <w:sz w:val="24"/>
          <w:u w:val="single"/>
        </w:rPr>
        <w:t>Information</w:t>
      </w:r>
    </w:p>
    <w:p w:rsidR="005C7428" w:rsidP="006E563D" w14:paraId="124A777F" w14:textId="3EF342A0">
      <w:pPr>
        <w:spacing w:after="0" w:line="240" w:lineRule="auto"/>
        <w:rPr>
          <w:rFonts w:asciiTheme="majorHAnsi" w:hAnsiTheme="majorHAnsi"/>
          <w:bCs/>
          <w:sz w:val="24"/>
        </w:rPr>
      </w:pPr>
      <w:r w:rsidRPr="00874BE7">
        <w:rPr>
          <w:rFonts w:asciiTheme="majorHAnsi" w:hAnsiTheme="majorHAnsi"/>
          <w:bCs/>
          <w:sz w:val="24"/>
        </w:rPr>
        <w:t>VA Form 21P-0969 will be used by claimants for VA Pension or Parents' Dependency and Indemnity Compensation (DIC) to provide information pertaining to income and assets to establish entitlement to Pension or Parents' DIC.  This form will be completed only by those claimants who had income other than Social Security benefits during the calendar year before claiming benefits or who disposed of assets or have significant assets which may affect their entitlement to needs-based benefits.</w:t>
      </w:r>
    </w:p>
    <w:p w:rsidR="00874BE7" w:rsidP="006E563D" w14:paraId="2F10CBC3" w14:textId="77777777">
      <w:pPr>
        <w:spacing w:after="0" w:line="240" w:lineRule="auto"/>
        <w:rPr>
          <w:rFonts w:asciiTheme="majorHAnsi" w:hAnsiTheme="majorHAnsi"/>
          <w:i/>
          <w:sz w:val="24"/>
        </w:rPr>
      </w:pPr>
    </w:p>
    <w:p w:rsidR="005C7428" w:rsidRPr="0085688C" w:rsidP="006E563D" w14:paraId="4DD6F62A" w14:textId="3CECF603">
      <w:pPr>
        <w:spacing w:after="0" w:line="240" w:lineRule="auto"/>
        <w:rPr>
          <w:rFonts w:asciiTheme="majorHAnsi" w:hAnsiTheme="majorHAnsi"/>
          <w:sz w:val="24"/>
        </w:rPr>
      </w:pPr>
      <w:r>
        <w:rPr>
          <w:rFonts w:asciiTheme="majorHAnsi" w:hAnsiTheme="majorHAnsi"/>
          <w:sz w:val="24"/>
        </w:rPr>
        <w:t xml:space="preserve">3. </w:t>
      </w:r>
      <w:r>
        <w:rPr>
          <w:rFonts w:asciiTheme="majorHAnsi" w:hAnsiTheme="majorHAnsi"/>
          <w:sz w:val="24"/>
        </w:rPr>
        <w:tab/>
      </w:r>
      <w:r w:rsidRPr="005C7428">
        <w:rPr>
          <w:rFonts w:asciiTheme="majorHAnsi" w:hAnsiTheme="majorHAnsi"/>
          <w:sz w:val="24"/>
          <w:u w:val="single"/>
        </w:rPr>
        <w:t>Use of Information Technology</w:t>
      </w:r>
    </w:p>
    <w:p w:rsidR="00874BE7" w:rsidRPr="00874BE7" w:rsidP="00874BE7" w14:paraId="6D9054E7" w14:textId="77777777">
      <w:pPr>
        <w:spacing w:after="0" w:line="240" w:lineRule="auto"/>
        <w:rPr>
          <w:rFonts w:asciiTheme="majorHAnsi" w:hAnsiTheme="majorHAnsi"/>
          <w:iCs/>
          <w:sz w:val="24"/>
        </w:rPr>
      </w:pPr>
      <w:r w:rsidRPr="00874BE7">
        <w:rPr>
          <w:rFonts w:asciiTheme="majorHAnsi" w:hAnsiTheme="majorHAnsi"/>
          <w:iCs/>
          <w:sz w:val="24"/>
        </w:rPr>
        <w:t>For the information collected on VA Form 21P-0969, VA does not currently use automated, electronic, mechanical, or other technological collection techniques. The form modifications are designed to be inclusive of these types of changes in the future.</w:t>
      </w:r>
    </w:p>
    <w:p w:rsidR="00874BE7" w:rsidRPr="00874BE7" w:rsidP="00874BE7" w14:paraId="551624D1" w14:textId="77777777">
      <w:pPr>
        <w:spacing w:after="0" w:line="240" w:lineRule="auto"/>
        <w:rPr>
          <w:rFonts w:asciiTheme="majorHAnsi" w:hAnsiTheme="majorHAnsi"/>
          <w:iCs/>
          <w:sz w:val="24"/>
        </w:rPr>
      </w:pPr>
    </w:p>
    <w:p w:rsidR="00874BE7" w:rsidRPr="00874BE7" w:rsidP="00874BE7" w14:paraId="4D8F4C5A" w14:textId="77777777">
      <w:pPr>
        <w:spacing w:after="0" w:line="240" w:lineRule="auto"/>
        <w:rPr>
          <w:rFonts w:asciiTheme="majorHAnsi" w:hAnsiTheme="majorHAnsi"/>
          <w:iCs/>
          <w:sz w:val="24"/>
        </w:rPr>
      </w:pPr>
      <w:r w:rsidRPr="00874BE7">
        <w:rPr>
          <w:rFonts w:asciiTheme="majorHAnsi" w:hAnsiTheme="majorHAnsi"/>
          <w:iCs/>
          <w:sz w:val="24"/>
        </w:rPr>
        <w:t xml:space="preserve">VA Form 21P-0969 is available on the benefits.va.gov website in a fillable electronic format. </w:t>
      </w:r>
    </w:p>
    <w:p w:rsidR="00874BE7" w:rsidRPr="00874BE7" w:rsidP="00874BE7" w14:paraId="0D70FE27" w14:textId="77777777">
      <w:pPr>
        <w:spacing w:after="0" w:line="240" w:lineRule="auto"/>
        <w:rPr>
          <w:rFonts w:asciiTheme="majorHAnsi" w:hAnsiTheme="majorHAnsi"/>
          <w:iCs/>
          <w:sz w:val="24"/>
        </w:rPr>
      </w:pPr>
    </w:p>
    <w:p w:rsidR="00874BE7" w:rsidP="00874BE7" w14:paraId="7C21D5BD" w14:textId="77777777">
      <w:pPr>
        <w:spacing w:after="0" w:line="240" w:lineRule="auto"/>
        <w:rPr>
          <w:rFonts w:asciiTheme="majorHAnsi" w:hAnsiTheme="majorHAnsi"/>
          <w:iCs/>
          <w:sz w:val="24"/>
        </w:rPr>
      </w:pPr>
      <w:r w:rsidRPr="00874BE7">
        <w:rPr>
          <w:rFonts w:asciiTheme="majorHAnsi" w:hAnsiTheme="majorHAnsi"/>
          <w:iCs/>
          <w:sz w:val="24"/>
        </w:rPr>
        <w:t>VBA is currently working on putting the technology in place to allow for the electronic submission and processing of the form.  To ease the burden on respondents, VBA plans to develop and deploy functionality enabling electronic submission of this information.  VBA cannot estimate the date this functionality will be deployed.</w:t>
      </w:r>
    </w:p>
    <w:p w:rsidR="008635C4" w:rsidP="00874BE7" w14:paraId="47452CA7" w14:textId="28FC8FB5">
      <w:pPr>
        <w:spacing w:after="0" w:line="240" w:lineRule="auto"/>
        <w:rPr>
          <w:rFonts w:asciiTheme="majorHAnsi" w:hAnsiTheme="majorHAnsi"/>
          <w:i/>
          <w:sz w:val="24"/>
        </w:rPr>
      </w:pPr>
      <w:r w:rsidRPr="005C7428">
        <w:rPr>
          <w:rFonts w:asciiTheme="majorHAnsi" w:hAnsiTheme="majorHAnsi"/>
          <w:i/>
          <w:sz w:val="24"/>
        </w:rPr>
        <w:t xml:space="preserve"> </w:t>
      </w:r>
    </w:p>
    <w:p w:rsidR="008635C4" w:rsidRPr="0085688C" w:rsidP="006E563D" w14:paraId="43CECDBF" w14:textId="7A954422">
      <w:pPr>
        <w:spacing w:after="0" w:line="240" w:lineRule="auto"/>
        <w:rPr>
          <w:rFonts w:asciiTheme="majorHAnsi" w:hAnsiTheme="majorHAnsi"/>
          <w:sz w:val="24"/>
        </w:rPr>
      </w:pPr>
      <w:r>
        <w:rPr>
          <w:rFonts w:asciiTheme="majorHAnsi" w:hAnsiTheme="majorHAnsi"/>
          <w:sz w:val="24"/>
        </w:rPr>
        <w:t xml:space="preserve">4. </w:t>
      </w:r>
      <w:r>
        <w:rPr>
          <w:rFonts w:asciiTheme="majorHAnsi" w:hAnsiTheme="majorHAnsi"/>
          <w:sz w:val="24"/>
        </w:rPr>
        <w:tab/>
      </w:r>
      <w:r w:rsidRPr="008635C4">
        <w:rPr>
          <w:rFonts w:asciiTheme="majorHAnsi" w:hAnsiTheme="majorHAnsi"/>
          <w:sz w:val="24"/>
          <w:u w:val="single"/>
        </w:rPr>
        <w:t>Non-duplication</w:t>
      </w:r>
    </w:p>
    <w:p w:rsidR="00CA15B1" w:rsidP="006E563D" w14:paraId="1E68E737" w14:textId="2F16DEA0">
      <w:pPr>
        <w:spacing w:after="0" w:line="240" w:lineRule="auto"/>
        <w:rPr>
          <w:rFonts w:asciiTheme="majorHAnsi" w:hAnsiTheme="majorHAnsi"/>
          <w:sz w:val="24"/>
        </w:rPr>
      </w:pPr>
      <w:r w:rsidRPr="00333223">
        <w:rPr>
          <w:rFonts w:asciiTheme="majorHAnsi" w:hAnsiTheme="majorHAnsi"/>
          <w:sz w:val="24"/>
        </w:rPr>
        <w:t>The information obtained through this collection is unique and is not already available for use or adaptation from another cleared source.</w:t>
      </w:r>
    </w:p>
    <w:p w:rsidR="00284E68" w:rsidRPr="00874BE7" w:rsidP="006E563D" w14:paraId="6B1DD1A4" w14:textId="77777777">
      <w:pPr>
        <w:spacing w:after="0" w:line="240" w:lineRule="auto"/>
        <w:rPr>
          <w:rFonts w:asciiTheme="majorHAnsi" w:hAnsiTheme="majorHAnsi"/>
          <w:iCs/>
          <w:sz w:val="24"/>
        </w:rPr>
      </w:pPr>
    </w:p>
    <w:p w:rsidR="00CA15B1" w:rsidRPr="00874BE7" w:rsidP="006E563D" w14:paraId="397AF4A9" w14:textId="77777777">
      <w:pPr>
        <w:spacing w:after="0" w:line="240" w:lineRule="auto"/>
        <w:rPr>
          <w:rFonts w:asciiTheme="majorHAnsi" w:hAnsiTheme="majorHAnsi"/>
          <w:iCs/>
          <w:sz w:val="24"/>
        </w:rPr>
      </w:pPr>
    </w:p>
    <w:p w:rsidR="00CA15B1" w:rsidP="006E563D" w14:paraId="3D08BC67" w14:textId="5C635800">
      <w:pPr>
        <w:spacing w:after="0" w:line="240" w:lineRule="auto"/>
        <w:rPr>
          <w:rFonts w:asciiTheme="majorHAnsi" w:hAnsiTheme="majorHAnsi"/>
          <w:sz w:val="24"/>
        </w:rPr>
      </w:pPr>
      <w:r>
        <w:rPr>
          <w:rFonts w:asciiTheme="majorHAnsi" w:hAnsiTheme="majorHAnsi"/>
          <w:sz w:val="24"/>
        </w:rPr>
        <w:t xml:space="preserve">5. </w:t>
      </w:r>
      <w:r>
        <w:rPr>
          <w:rFonts w:asciiTheme="majorHAnsi" w:hAnsiTheme="majorHAnsi"/>
          <w:sz w:val="24"/>
        </w:rPr>
        <w:tab/>
      </w:r>
      <w:r w:rsidRPr="00CA15B1">
        <w:rPr>
          <w:rFonts w:asciiTheme="majorHAnsi" w:hAnsiTheme="majorHAnsi"/>
          <w:sz w:val="24"/>
          <w:u w:val="single"/>
        </w:rPr>
        <w:t>Burden on Small Businesses</w:t>
      </w:r>
    </w:p>
    <w:p w:rsidR="002567F9" w:rsidP="006E563D" w14:paraId="338C641A" w14:textId="4A0A9DCE">
      <w:pPr>
        <w:spacing w:after="0" w:line="240" w:lineRule="auto"/>
        <w:rPr>
          <w:rFonts w:asciiTheme="majorHAnsi" w:hAnsiTheme="majorHAnsi"/>
          <w:sz w:val="24"/>
          <w:szCs w:val="24"/>
        </w:rPr>
      </w:pPr>
      <w:r w:rsidRPr="00874BE7">
        <w:rPr>
          <w:rFonts w:asciiTheme="majorHAnsi" w:hAnsiTheme="majorHAnsi"/>
          <w:sz w:val="24"/>
          <w:szCs w:val="24"/>
        </w:rPr>
        <w:t>This information collection does not impose a significant economic impact on a substantial number of small businesses or entities.</w:t>
      </w:r>
    </w:p>
    <w:p w:rsidR="00874BE7" w:rsidP="006E563D" w14:paraId="10329712" w14:textId="77777777">
      <w:pPr>
        <w:spacing w:after="0" w:line="240" w:lineRule="auto"/>
        <w:rPr>
          <w:rFonts w:asciiTheme="majorHAnsi" w:hAnsiTheme="majorHAnsi"/>
          <w:i/>
          <w:sz w:val="24"/>
        </w:rPr>
      </w:pPr>
    </w:p>
    <w:p w:rsidR="002567F9" w:rsidRPr="0085688C" w:rsidP="006E563D" w14:paraId="2BE91190" w14:textId="2E0D1B57">
      <w:pPr>
        <w:spacing w:after="0" w:line="240" w:lineRule="auto"/>
        <w:rPr>
          <w:rFonts w:asciiTheme="majorHAnsi" w:hAnsiTheme="majorHAnsi"/>
          <w:sz w:val="24"/>
        </w:rPr>
      </w:pPr>
      <w:r w:rsidRPr="002567F9">
        <w:rPr>
          <w:rFonts w:asciiTheme="majorHAnsi" w:hAnsiTheme="majorHAnsi"/>
          <w:sz w:val="24"/>
        </w:rPr>
        <w:t>6.</w:t>
      </w:r>
      <w:r>
        <w:rPr>
          <w:rFonts w:asciiTheme="majorHAnsi" w:hAnsiTheme="majorHAnsi"/>
          <w:sz w:val="24"/>
        </w:rPr>
        <w:tab/>
        <w:t xml:space="preserve"> </w:t>
      </w:r>
      <w:r w:rsidRPr="002567F9">
        <w:rPr>
          <w:rFonts w:asciiTheme="majorHAnsi" w:hAnsiTheme="majorHAnsi"/>
          <w:sz w:val="24"/>
          <w:u w:val="single"/>
        </w:rPr>
        <w:t xml:space="preserve">Less Frequent </w:t>
      </w:r>
      <w:r w:rsidRPr="002567F9" w:rsidR="0085688C">
        <w:rPr>
          <w:rFonts w:asciiTheme="majorHAnsi" w:hAnsiTheme="majorHAnsi"/>
          <w:sz w:val="24"/>
          <w:u w:val="single"/>
        </w:rPr>
        <w:t>Collection</w:t>
      </w:r>
    </w:p>
    <w:p w:rsidR="00470DA3" w:rsidP="00470DA3" w14:paraId="3657FD35" w14:textId="60690760">
      <w:pPr>
        <w:spacing w:after="0" w:line="240" w:lineRule="auto"/>
        <w:rPr>
          <w:rFonts w:asciiTheme="majorHAnsi" w:hAnsiTheme="majorHAnsi"/>
          <w:sz w:val="24"/>
        </w:rPr>
      </w:pPr>
      <w:r>
        <w:rPr>
          <w:rFonts w:asciiTheme="majorHAnsi" w:hAnsiTheme="majorHAnsi"/>
          <w:sz w:val="24"/>
        </w:rPr>
        <w:t>VBA would be unable to properly administer needs-based benefits without this collection of information.  The information is collected on an ad hoc basis and therefore cannot be collected less frequently.  The form is designed to collect the minimum amount of information needed for VBA to properly administer the program.</w:t>
      </w:r>
    </w:p>
    <w:p w:rsidR="00F86C35" w:rsidRPr="00874BE7" w:rsidP="006E563D" w14:paraId="4B3512B4" w14:textId="77777777">
      <w:pPr>
        <w:spacing w:after="0" w:line="240" w:lineRule="auto"/>
        <w:rPr>
          <w:rFonts w:asciiTheme="majorHAnsi" w:hAnsiTheme="majorHAnsi"/>
          <w:iCs/>
          <w:sz w:val="24"/>
        </w:rPr>
      </w:pPr>
    </w:p>
    <w:p w:rsidR="000E20B9" w:rsidP="000E20B9" w14:paraId="2EC41DF9" w14:textId="77777777">
      <w:pPr>
        <w:spacing w:after="0" w:line="240" w:lineRule="auto"/>
        <w:rPr>
          <w:rFonts w:asciiTheme="majorHAnsi" w:hAnsiTheme="majorHAnsi"/>
          <w:sz w:val="24"/>
          <w:u w:val="single"/>
        </w:rPr>
      </w:pPr>
      <w:r>
        <w:rPr>
          <w:rFonts w:asciiTheme="majorHAnsi" w:hAnsiTheme="majorHAnsi"/>
          <w:i/>
          <w:sz w:val="24"/>
        </w:rPr>
        <w:t xml:space="preserve">7. </w:t>
      </w:r>
      <w:r>
        <w:rPr>
          <w:rFonts w:asciiTheme="majorHAnsi" w:hAnsiTheme="majorHAnsi"/>
          <w:i/>
          <w:sz w:val="24"/>
        </w:rPr>
        <w:tab/>
      </w:r>
      <w:r w:rsidRPr="00F86C35">
        <w:rPr>
          <w:rFonts w:asciiTheme="majorHAnsi" w:hAnsiTheme="majorHAnsi"/>
          <w:sz w:val="24"/>
          <w:u w:val="single"/>
        </w:rPr>
        <w:t>Paperwork Reduction Act Guidelines</w:t>
      </w:r>
    </w:p>
    <w:p w:rsidR="00200261" w:rsidRPr="000E20B9" w:rsidP="000E20B9" w14:paraId="7256108C" w14:textId="250AEA1D">
      <w:pPr>
        <w:spacing w:after="0" w:line="240" w:lineRule="auto"/>
        <w:rPr>
          <w:rFonts w:asciiTheme="majorHAnsi" w:hAnsiTheme="majorHAnsi"/>
          <w:sz w:val="24"/>
          <w:u w:val="single"/>
        </w:rPr>
      </w:pPr>
      <w:r w:rsidRPr="000E20B9">
        <w:rPr>
          <w:rFonts w:asciiTheme="majorHAnsi" w:hAnsiTheme="majorHAnsi"/>
        </w:rPr>
        <w:t>This collection of information does not require collection to be conducted in a manner inconsistent with the guidelines delineated in 5 CFR 1320.5(d)(2).</w:t>
      </w:r>
    </w:p>
    <w:p w:rsidR="00200261" w:rsidP="00200261" w14:paraId="6AC5CBA9"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P="00200261" w14:paraId="4122F586"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PUBLIC NOTICE</w:t>
      </w:r>
    </w:p>
    <w:p w:rsidR="00200261" w:rsidP="00200261" w14:paraId="7531FB81" w14:textId="6E16A789">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60-Day Federal Register Notice </w:t>
      </w:r>
      <w:r w:rsidR="00502FF3">
        <w:rPr>
          <w:rFonts w:asciiTheme="majorHAnsi" w:eastAsiaTheme="minorHAnsi" w:hAnsiTheme="majorHAnsi" w:cstheme="minorBidi"/>
          <w:szCs w:val="22"/>
        </w:rPr>
        <w:t xml:space="preserve">(FRN) </w:t>
      </w:r>
      <w:r>
        <w:rPr>
          <w:rFonts w:asciiTheme="majorHAnsi" w:eastAsiaTheme="minorHAnsi" w:hAnsiTheme="majorHAnsi" w:cstheme="minorBidi"/>
          <w:szCs w:val="22"/>
        </w:rPr>
        <w:t>for the collection published on</w:t>
      </w:r>
      <w:r w:rsidR="00310D80">
        <w:rPr>
          <w:rFonts w:asciiTheme="majorHAnsi" w:eastAsiaTheme="minorHAnsi" w:hAnsiTheme="majorHAnsi" w:cstheme="minorBidi"/>
          <w:szCs w:val="22"/>
        </w:rPr>
        <w:t xml:space="preserve"> Friday, July 31, 202</w:t>
      </w:r>
      <w:r w:rsidR="009D4481">
        <w:rPr>
          <w:rFonts w:asciiTheme="majorHAnsi" w:eastAsiaTheme="minorHAnsi" w:hAnsiTheme="majorHAnsi" w:cstheme="minorBidi"/>
          <w:szCs w:val="22"/>
        </w:rPr>
        <w:t>6</w:t>
      </w:r>
      <w:r>
        <w:rPr>
          <w:rFonts w:asciiTheme="majorHAnsi" w:eastAsiaTheme="minorHAnsi" w:hAnsiTheme="majorHAnsi" w:cstheme="minorBidi"/>
          <w:szCs w:val="22"/>
        </w:rPr>
        <w:t xml:space="preserve">.  The 60-Day FRN citation is </w:t>
      </w:r>
      <w:r w:rsidR="009D4481">
        <w:rPr>
          <w:rFonts w:asciiTheme="majorHAnsi" w:eastAsiaTheme="minorHAnsi" w:hAnsiTheme="majorHAnsi" w:cstheme="minorBidi"/>
          <w:szCs w:val="22"/>
        </w:rPr>
        <w:t>91</w:t>
      </w:r>
      <w:r>
        <w:rPr>
          <w:rFonts w:asciiTheme="majorHAnsi" w:eastAsiaTheme="minorHAnsi" w:hAnsiTheme="majorHAnsi" w:cstheme="minorBidi"/>
          <w:szCs w:val="22"/>
        </w:rPr>
        <w:t xml:space="preserve"> FRN </w:t>
      </w:r>
      <w:r w:rsidR="009D4481">
        <w:rPr>
          <w:rFonts w:asciiTheme="majorHAnsi" w:eastAsiaTheme="minorHAnsi" w:hAnsiTheme="majorHAnsi" w:cstheme="minorBidi"/>
          <w:szCs w:val="22"/>
        </w:rPr>
        <w:t>48509</w:t>
      </w:r>
      <w:r>
        <w:rPr>
          <w:rFonts w:asciiTheme="majorHAnsi" w:eastAsiaTheme="minorHAnsi" w:hAnsiTheme="majorHAnsi" w:cstheme="minorBidi"/>
          <w:szCs w:val="22"/>
        </w:rPr>
        <w:t xml:space="preserve">. </w:t>
      </w:r>
    </w:p>
    <w:p w:rsidR="00200261" w:rsidP="00200261" w14:paraId="198A7E4C" w14:textId="7B63EBE4">
      <w:pPr>
        <w:pStyle w:val="NormalWeb"/>
        <w:spacing w:line="288" w:lineRule="atLeast"/>
        <w:rPr>
          <w:rFonts w:asciiTheme="majorHAnsi" w:eastAsiaTheme="minorHAnsi" w:hAnsiTheme="majorHAnsi" w:cstheme="minorBidi"/>
          <w:iCs/>
          <w:szCs w:val="22"/>
        </w:rPr>
      </w:pPr>
      <w:r w:rsidRPr="00C50C79">
        <w:rPr>
          <w:rFonts w:asciiTheme="majorHAnsi" w:eastAsiaTheme="minorHAnsi" w:hAnsiTheme="majorHAnsi" w:cstheme="minorBidi"/>
          <w:iCs/>
          <w:szCs w:val="22"/>
        </w:rPr>
        <w:t xml:space="preserve">3 public comments were received during the </w:t>
      </w:r>
      <w:r w:rsidRPr="00C50C79" w:rsidR="00C50C79">
        <w:rPr>
          <w:rFonts w:asciiTheme="majorHAnsi" w:eastAsiaTheme="minorHAnsi" w:hAnsiTheme="majorHAnsi" w:cstheme="minorBidi"/>
          <w:iCs/>
          <w:szCs w:val="22"/>
        </w:rPr>
        <w:t>60-Day comment period.</w:t>
      </w:r>
    </w:p>
    <w:p w:rsidR="00AB4319" w:rsidRPr="00AB4319" w:rsidP="00AB4319" w14:paraId="702F176E" w14:textId="77777777">
      <w:pPr>
        <w:pStyle w:val="NormalWeb"/>
        <w:spacing w:line="288" w:lineRule="atLeast"/>
        <w:rPr>
          <w:rFonts w:asciiTheme="majorHAnsi" w:hAnsiTheme="majorHAnsi"/>
          <w:b/>
          <w:bCs/>
          <w:iCs/>
        </w:rPr>
      </w:pPr>
      <w:r w:rsidRPr="00AB4319">
        <w:rPr>
          <w:rFonts w:asciiTheme="majorHAnsi" w:hAnsiTheme="majorHAnsi"/>
          <w:b/>
          <w:bCs/>
          <w:iCs/>
        </w:rPr>
        <w:t>General Comment</w:t>
      </w:r>
    </w:p>
    <w:p w:rsidR="00AB4319" w:rsidRPr="00AB4319" w:rsidP="00AB4319" w14:paraId="59A2C63A" w14:textId="77777777">
      <w:pPr>
        <w:pStyle w:val="NormalWeb"/>
        <w:spacing w:line="288" w:lineRule="atLeast"/>
        <w:rPr>
          <w:rFonts w:asciiTheme="majorHAnsi" w:hAnsiTheme="majorHAnsi"/>
          <w:iCs/>
        </w:rPr>
      </w:pPr>
      <w:r w:rsidRPr="00AB4319">
        <w:rPr>
          <w:rFonts w:asciiTheme="majorHAnsi" w:hAnsiTheme="majorHAnsi"/>
          <w:iCs/>
        </w:rPr>
        <w:t>To Whom It May Concern:</w:t>
      </w:r>
    </w:p>
    <w:p w:rsidR="00AB4319" w:rsidRPr="00AB4319" w:rsidP="00AB4319" w14:paraId="549B953B" w14:textId="77777777">
      <w:pPr>
        <w:pStyle w:val="NormalWeb"/>
        <w:spacing w:line="288" w:lineRule="atLeast"/>
        <w:rPr>
          <w:rFonts w:asciiTheme="majorHAnsi" w:hAnsiTheme="majorHAnsi"/>
          <w:iCs/>
        </w:rPr>
      </w:pPr>
      <w:r w:rsidRPr="00AB4319">
        <w:rPr>
          <w:rFonts w:asciiTheme="majorHAnsi" w:hAnsiTheme="majorHAnsi"/>
          <w:iCs/>
        </w:rPr>
        <w:t>I am submitting these comments in response to the Veterans Benefits Administration (VBA) request for public comment regarding the proposed extension of OMB Control Number 2900-0829, which covers VA Form 21P-0969 (Income and Asset Statement in Support of Claim for Pension or Parents' Dependency and Indemnity Compensation).</w:t>
      </w:r>
    </w:p>
    <w:p w:rsidR="00AB4319" w:rsidRPr="00AB4319" w:rsidP="00AB4319" w14:paraId="6FB8E36E" w14:textId="77777777">
      <w:pPr>
        <w:pStyle w:val="NormalWeb"/>
        <w:spacing w:line="288" w:lineRule="atLeast"/>
        <w:rPr>
          <w:rFonts w:asciiTheme="majorHAnsi" w:hAnsiTheme="majorHAnsi"/>
          <w:iCs/>
        </w:rPr>
      </w:pPr>
      <w:r w:rsidRPr="00AB4319">
        <w:rPr>
          <w:rFonts w:asciiTheme="majorHAnsi" w:hAnsiTheme="majorHAnsi"/>
          <w:iCs/>
        </w:rPr>
        <w:t>Please find my feedback regarding the specific evaluation criteria below:</w:t>
      </w:r>
    </w:p>
    <w:p w:rsidR="00AB4319" w:rsidRPr="00AB4319" w:rsidP="00AB4319" w14:paraId="22F9DB7D" w14:textId="77777777">
      <w:pPr>
        <w:pStyle w:val="NormalWeb"/>
        <w:numPr>
          <w:ilvl w:val="0"/>
          <w:numId w:val="27"/>
        </w:numPr>
        <w:spacing w:line="288" w:lineRule="atLeast"/>
        <w:rPr>
          <w:rFonts w:asciiTheme="majorHAnsi" w:hAnsiTheme="majorHAnsi"/>
          <w:iCs/>
        </w:rPr>
      </w:pPr>
      <w:r w:rsidRPr="00AB4319">
        <w:rPr>
          <w:rFonts w:asciiTheme="majorHAnsi" w:hAnsiTheme="majorHAnsi"/>
          <w:iCs/>
        </w:rPr>
        <w:t>Necessity and Practical Utility of the Information</w:t>
      </w:r>
    </w:p>
    <w:p w:rsidR="00AB4319" w:rsidRPr="00AB4319" w:rsidP="00AB4319" w14:paraId="66660CDF" w14:textId="77777777">
      <w:pPr>
        <w:pStyle w:val="NormalWeb"/>
        <w:spacing w:line="288" w:lineRule="atLeast"/>
        <w:rPr>
          <w:rFonts w:asciiTheme="majorHAnsi" w:hAnsiTheme="majorHAnsi"/>
          <w:iCs/>
        </w:rPr>
      </w:pPr>
      <w:r w:rsidRPr="00AB4319">
        <w:rPr>
          <w:rFonts w:asciiTheme="majorHAnsi" w:hAnsiTheme="majorHAnsi"/>
          <w:iCs/>
        </w:rPr>
        <w:t>The collection of this information is absolutely necessary for the proper performance of VBA’s functions. Allowing claimants to accurately report unreimbursed medical expenses is critical to establishing eligibility and calculating correct benefit rates for needs-based programs like VA Pension and Parents' DIC. This form has clear, practical utility for Veteran Service Representatives as they determine income-based benefits.</w:t>
      </w:r>
    </w:p>
    <w:p w:rsidR="00AB4319" w:rsidRPr="00AB4319" w:rsidP="00AB4319" w14:paraId="7408A545" w14:textId="77777777">
      <w:pPr>
        <w:pStyle w:val="NormalWeb"/>
        <w:numPr>
          <w:ilvl w:val="0"/>
          <w:numId w:val="27"/>
        </w:numPr>
        <w:spacing w:line="288" w:lineRule="atLeast"/>
        <w:rPr>
          <w:rFonts w:asciiTheme="majorHAnsi" w:hAnsiTheme="majorHAnsi"/>
          <w:iCs/>
        </w:rPr>
      </w:pPr>
      <w:r w:rsidRPr="00AB4319">
        <w:rPr>
          <w:rFonts w:asciiTheme="majorHAnsi" w:hAnsiTheme="majorHAnsi"/>
          <w:iCs/>
        </w:rPr>
        <w:t>Accuracy of the Burden Estimate</w:t>
      </w:r>
    </w:p>
    <w:p w:rsidR="00AB4319" w:rsidRPr="00AB4319" w:rsidP="00AB4319" w14:paraId="0AB9353E" w14:textId="77777777">
      <w:pPr>
        <w:pStyle w:val="NormalWeb"/>
        <w:spacing w:line="288" w:lineRule="atLeast"/>
        <w:rPr>
          <w:rFonts w:asciiTheme="majorHAnsi" w:hAnsiTheme="majorHAnsi"/>
          <w:iCs/>
        </w:rPr>
      </w:pPr>
      <w:r w:rsidRPr="00AB4319">
        <w:rPr>
          <w:rFonts w:asciiTheme="majorHAnsi" w:hAnsiTheme="majorHAnsi"/>
          <w:iCs/>
        </w:rPr>
        <w:t>The estimate of 30 minutes per respondent appears optimistic given the population served. Claimants or their beneficiaries—often elderly individuals, surviving parents, or disabled veterans—frequently navigate complex medical billing histories. Gathering multiple receipts, tracking unreimbursed out-of-pocket costs, and matching them to financial statements can take significantly longer than 30 minutes, particularly for those without dedicated administrative support.</w:t>
      </w:r>
    </w:p>
    <w:p w:rsidR="00AB4319" w:rsidRPr="00AB4319" w:rsidP="00AB4319" w14:paraId="7E3C31A9" w14:textId="77777777">
      <w:pPr>
        <w:pStyle w:val="NormalWeb"/>
        <w:numPr>
          <w:ilvl w:val="0"/>
          <w:numId w:val="27"/>
        </w:numPr>
        <w:spacing w:line="288" w:lineRule="atLeast"/>
        <w:rPr>
          <w:rFonts w:asciiTheme="majorHAnsi" w:hAnsiTheme="majorHAnsi"/>
          <w:iCs/>
        </w:rPr>
      </w:pPr>
      <w:r w:rsidRPr="00AB4319">
        <w:rPr>
          <w:rFonts w:asciiTheme="majorHAnsi" w:hAnsiTheme="majorHAnsi"/>
          <w:iCs/>
        </w:rPr>
        <w:t>Ways to Enhance Quality, Utility, and Clarity</w:t>
      </w:r>
    </w:p>
    <w:p w:rsidR="00AB4319" w:rsidRPr="00AB4319" w:rsidP="00AB4319" w14:paraId="664A0BB1" w14:textId="77777777">
      <w:pPr>
        <w:pStyle w:val="NormalWeb"/>
        <w:spacing w:line="288" w:lineRule="atLeast"/>
        <w:rPr>
          <w:rFonts w:asciiTheme="majorHAnsi" w:hAnsiTheme="majorHAnsi"/>
          <w:iCs/>
        </w:rPr>
      </w:pPr>
      <w:r w:rsidRPr="00AB4319">
        <w:rPr>
          <w:rFonts w:asciiTheme="majorHAnsi" w:hAnsiTheme="majorHAnsi"/>
          <w:iCs/>
        </w:rPr>
        <w:t>To improve the quality and clarity of the data collected, the VA should:</w:t>
      </w:r>
    </w:p>
    <w:p w:rsidR="00AB4319" w:rsidRPr="00AB4319" w:rsidP="00AB4319" w14:paraId="41AF6356" w14:textId="77777777">
      <w:pPr>
        <w:pStyle w:val="NormalWeb"/>
        <w:numPr>
          <w:ilvl w:val="1"/>
          <w:numId w:val="27"/>
        </w:numPr>
        <w:spacing w:line="288" w:lineRule="atLeast"/>
        <w:rPr>
          <w:rFonts w:asciiTheme="majorHAnsi" w:hAnsiTheme="majorHAnsi"/>
          <w:iCs/>
        </w:rPr>
      </w:pPr>
      <w:r w:rsidRPr="00AB4319">
        <w:rPr>
          <w:rFonts w:asciiTheme="majorHAnsi" w:hAnsiTheme="majorHAnsi"/>
          <w:iCs/>
        </w:rPr>
        <w:t>Provide clear, interactive digital tooltips on the electronic version of the form to explicitly define what qualifies as an "unreimbursed medical expense."</w:t>
      </w:r>
    </w:p>
    <w:p w:rsidR="00AB4319" w:rsidRPr="00AB4319" w:rsidP="00AB4319" w14:paraId="0082B283" w14:textId="77777777">
      <w:pPr>
        <w:pStyle w:val="NormalWeb"/>
        <w:numPr>
          <w:ilvl w:val="1"/>
          <w:numId w:val="27"/>
        </w:numPr>
        <w:spacing w:line="288" w:lineRule="atLeast"/>
        <w:rPr>
          <w:rFonts w:asciiTheme="majorHAnsi" w:hAnsiTheme="majorHAnsi"/>
          <w:iCs/>
        </w:rPr>
      </w:pPr>
      <w:r w:rsidRPr="00AB4319">
        <w:rPr>
          <w:rFonts w:asciiTheme="majorHAnsi" w:hAnsiTheme="majorHAnsi"/>
          <w:iCs/>
        </w:rPr>
        <w:t>Include a simple, plain-language checklist on the first page outlining the exact supporting documentation needed (e.g., insurance explanations of benefits, pharmacy printouts).</w:t>
      </w:r>
    </w:p>
    <w:p w:rsidR="00AB4319" w:rsidRPr="00AB4319" w:rsidP="00AB4319" w14:paraId="3106FE05" w14:textId="77777777">
      <w:pPr>
        <w:pStyle w:val="NormalWeb"/>
        <w:numPr>
          <w:ilvl w:val="1"/>
          <w:numId w:val="27"/>
        </w:numPr>
        <w:spacing w:line="288" w:lineRule="atLeast"/>
        <w:rPr>
          <w:rFonts w:asciiTheme="majorHAnsi" w:hAnsiTheme="majorHAnsi"/>
          <w:iCs/>
        </w:rPr>
      </w:pPr>
      <w:r w:rsidRPr="00AB4319">
        <w:rPr>
          <w:rFonts w:asciiTheme="majorHAnsi" w:hAnsiTheme="majorHAnsi"/>
          <w:iCs/>
        </w:rPr>
        <w:t>Format tables with auto-calculating totals for online submissions to minimize user calculation errors</w:t>
      </w:r>
    </w:p>
    <w:p w:rsidR="00AB4319" w:rsidRPr="00AB4319" w:rsidP="00AB4319" w14:paraId="744BC2A8" w14:textId="77777777">
      <w:pPr>
        <w:pStyle w:val="NormalWeb"/>
        <w:numPr>
          <w:ilvl w:val="1"/>
          <w:numId w:val="27"/>
        </w:numPr>
        <w:spacing w:line="288" w:lineRule="atLeast"/>
        <w:rPr>
          <w:rFonts w:asciiTheme="majorHAnsi" w:hAnsiTheme="majorHAnsi"/>
          <w:iCs/>
        </w:rPr>
        <w:sectPr w:rsidSect="00AB4319">
          <w:pgSz w:w="12240" w:h="15840"/>
          <w:pgMar w:top="1820" w:right="720" w:bottom="280" w:left="720" w:header="720" w:footer="720" w:gutter="0"/>
          <w:cols w:space="720"/>
          <w:noEndnote/>
        </w:sectPr>
      </w:pPr>
    </w:p>
    <w:p w:rsidR="00AB4319" w:rsidRPr="00AB4319" w:rsidP="00AB4319" w14:paraId="19779F42" w14:textId="77777777">
      <w:pPr>
        <w:pStyle w:val="NormalWeb"/>
        <w:spacing w:line="288" w:lineRule="atLeast"/>
        <w:rPr>
          <w:rFonts w:asciiTheme="majorHAnsi" w:hAnsiTheme="majorHAnsi"/>
          <w:iCs/>
        </w:rPr>
      </w:pPr>
    </w:p>
    <w:p w:rsidR="00AB4319" w:rsidRPr="00AB4319" w:rsidP="00AB4319" w14:paraId="1D25585B" w14:textId="77777777">
      <w:pPr>
        <w:pStyle w:val="NormalWeb"/>
        <w:spacing w:line="288" w:lineRule="atLeast"/>
        <w:rPr>
          <w:rFonts w:asciiTheme="majorHAnsi" w:hAnsiTheme="majorHAnsi"/>
          <w:iCs/>
        </w:rPr>
      </w:pPr>
      <w:r w:rsidRPr="00AB4319">
        <w:rPr>
          <w:rFonts w:asciiTheme="majorHAnsi" w:hAnsiTheme="majorHAnsi"/>
          <w:iCs/>
        </w:rPr>
        <w:t>before the form is finalized.</w:t>
      </w:r>
    </w:p>
    <w:p w:rsidR="00AB4319" w:rsidRPr="00AB4319" w:rsidP="00AB4319" w14:paraId="3CBB696F" w14:textId="77777777">
      <w:pPr>
        <w:pStyle w:val="NormalWeb"/>
        <w:numPr>
          <w:ilvl w:val="0"/>
          <w:numId w:val="26"/>
        </w:numPr>
        <w:spacing w:line="288" w:lineRule="atLeast"/>
        <w:rPr>
          <w:rFonts w:asciiTheme="majorHAnsi" w:hAnsiTheme="majorHAnsi"/>
          <w:iCs/>
        </w:rPr>
      </w:pPr>
      <w:r w:rsidRPr="00AB4319">
        <w:rPr>
          <w:rFonts w:asciiTheme="majorHAnsi" w:hAnsiTheme="majorHAnsi"/>
          <w:iCs/>
        </w:rPr>
        <w:t>Ways to Minimize the Burden Through Technology</w:t>
      </w:r>
    </w:p>
    <w:p w:rsidR="00AB4319" w:rsidRPr="00AB4319" w:rsidP="00AB4319" w14:paraId="7CC8A103" w14:textId="77777777">
      <w:pPr>
        <w:pStyle w:val="NormalWeb"/>
        <w:spacing w:line="288" w:lineRule="atLeast"/>
        <w:rPr>
          <w:rFonts w:asciiTheme="majorHAnsi" w:hAnsiTheme="majorHAnsi"/>
          <w:iCs/>
        </w:rPr>
      </w:pPr>
      <w:r w:rsidRPr="00AB4319">
        <w:rPr>
          <w:rFonts w:asciiTheme="majorHAnsi" w:hAnsiTheme="majorHAnsi"/>
          <w:iCs/>
        </w:rPr>
        <w:t>The burden on vulnerable individuals and households can be substantially reduced by:</w:t>
      </w:r>
    </w:p>
    <w:p w:rsidR="00AB4319" w:rsidRPr="00AB4319" w:rsidP="00AB4319" w14:paraId="37D5DA30" w14:textId="77777777">
      <w:pPr>
        <w:pStyle w:val="NormalWeb"/>
        <w:numPr>
          <w:ilvl w:val="1"/>
          <w:numId w:val="26"/>
        </w:numPr>
        <w:spacing w:line="288" w:lineRule="atLeast"/>
        <w:rPr>
          <w:rFonts w:asciiTheme="majorHAnsi" w:hAnsiTheme="majorHAnsi"/>
          <w:iCs/>
        </w:rPr>
      </w:pPr>
      <w:r w:rsidRPr="00AB4319">
        <w:rPr>
          <w:rFonts w:asciiTheme="majorHAnsi" w:hAnsiTheme="majorHAnsi"/>
          <w:iCs/>
        </w:rPr>
        <w:t>Allowing direct digital uploads of medical expense spreadsheets or pharmacy printouts to eliminate the need to manually transcribe every single line item into the form fields.</w:t>
      </w:r>
    </w:p>
    <w:p w:rsidR="00AB4319" w:rsidRPr="00AB4319" w:rsidP="00AB4319" w14:paraId="22204512" w14:textId="77777777">
      <w:pPr>
        <w:pStyle w:val="NormalWeb"/>
        <w:numPr>
          <w:ilvl w:val="1"/>
          <w:numId w:val="26"/>
        </w:numPr>
        <w:spacing w:line="288" w:lineRule="atLeast"/>
        <w:rPr>
          <w:rFonts w:asciiTheme="majorHAnsi" w:hAnsiTheme="majorHAnsi"/>
          <w:iCs/>
        </w:rPr>
      </w:pPr>
      <w:r w:rsidRPr="00AB4319">
        <w:rPr>
          <w:rFonts w:asciiTheme="majorHAnsi" w:hAnsiTheme="majorHAnsi"/>
          <w:iCs/>
        </w:rPr>
        <w:t>Integrating secure data-sharing with Medicare or major healthcare networks (with claimant consent) to automatically populate known out-of-pocket medical expenses.</w:t>
      </w:r>
    </w:p>
    <w:p w:rsidR="00AB4319" w:rsidRPr="00AB4319" w:rsidP="00AB4319" w14:paraId="4B069104" w14:textId="77777777">
      <w:pPr>
        <w:pStyle w:val="NormalWeb"/>
        <w:numPr>
          <w:ilvl w:val="1"/>
          <w:numId w:val="26"/>
        </w:numPr>
        <w:spacing w:line="288" w:lineRule="atLeast"/>
        <w:rPr>
          <w:rFonts w:asciiTheme="majorHAnsi" w:hAnsiTheme="majorHAnsi"/>
          <w:iCs/>
        </w:rPr>
      </w:pPr>
      <w:r w:rsidRPr="00AB4319">
        <w:rPr>
          <w:rFonts w:asciiTheme="majorHAnsi" w:hAnsiTheme="majorHAnsi"/>
          <w:iCs/>
        </w:rPr>
        <w:t>Optimizing the digital form for mobile devices, as many claimants use smartphones rather than desktop computers to manage and photograph document receipts.</w:t>
      </w:r>
    </w:p>
    <w:p w:rsidR="00AB4319" w:rsidRPr="00AB4319" w:rsidP="00AB4319" w14:paraId="55F6193F" w14:textId="77777777">
      <w:pPr>
        <w:pStyle w:val="NormalWeb"/>
        <w:spacing w:line="288" w:lineRule="atLeast"/>
        <w:rPr>
          <w:rFonts w:asciiTheme="majorHAnsi" w:hAnsiTheme="majorHAnsi"/>
          <w:iCs/>
        </w:rPr>
      </w:pPr>
      <w:r w:rsidRPr="00AB4319">
        <w:rPr>
          <w:rFonts w:asciiTheme="majorHAnsi" w:hAnsiTheme="majorHAnsi"/>
          <w:iCs/>
        </w:rPr>
        <w:t>Thank you for the opportunity to comment on this information collection and for your ongoing efforts to streamline benefits for veterans and their families.</w:t>
      </w:r>
    </w:p>
    <w:p w:rsidR="00AB4319" w:rsidRPr="00AB4319" w:rsidP="00AB4319" w14:paraId="5D337B13" w14:textId="77777777">
      <w:pPr>
        <w:pStyle w:val="NormalWeb"/>
        <w:spacing w:line="288" w:lineRule="atLeast"/>
        <w:rPr>
          <w:rFonts w:asciiTheme="majorHAnsi" w:hAnsiTheme="majorHAnsi"/>
          <w:iCs/>
        </w:rPr>
      </w:pPr>
      <w:r w:rsidRPr="00AB4319">
        <w:rPr>
          <w:rFonts w:asciiTheme="majorHAnsi" w:hAnsiTheme="majorHAnsi"/>
          <w:iCs/>
        </w:rPr>
        <w:t>Sincerely, Concerned citizen</w:t>
      </w:r>
    </w:p>
    <w:p w:rsidR="00A75C3C" w:rsidP="00200261" w14:paraId="4495BD8E" w14:textId="08CDFA50">
      <w:pPr>
        <w:pStyle w:val="NormalWeb"/>
        <w:spacing w:line="288" w:lineRule="atLeast"/>
        <w:rPr>
          <w:rFonts w:asciiTheme="majorHAnsi" w:eastAsiaTheme="minorHAnsi" w:hAnsiTheme="majorHAnsi" w:cstheme="minorBidi"/>
          <w:b/>
          <w:bCs/>
          <w:iCs/>
          <w:szCs w:val="22"/>
        </w:rPr>
      </w:pPr>
      <w:r w:rsidRPr="004277B3">
        <w:rPr>
          <w:rFonts w:asciiTheme="majorHAnsi" w:eastAsiaTheme="minorHAnsi" w:hAnsiTheme="majorHAnsi" w:cstheme="minorBidi"/>
          <w:b/>
          <w:bCs/>
          <w:iCs/>
          <w:szCs w:val="22"/>
        </w:rPr>
        <w:t>VA RESPONSE</w:t>
      </w:r>
    </w:p>
    <w:p w:rsidR="004277B3" w:rsidRPr="00774D2D" w:rsidP="004277B3" w14:paraId="7458B1A1" w14:textId="77777777">
      <w:pPr>
        <w:pStyle w:val="NormalWeb"/>
        <w:spacing w:line="288" w:lineRule="atLeast"/>
        <w:rPr>
          <w:rFonts w:asciiTheme="majorHAnsi" w:hAnsiTheme="majorHAnsi"/>
          <w:iCs/>
        </w:rPr>
      </w:pPr>
      <w:r w:rsidRPr="00774D2D">
        <w:rPr>
          <w:rFonts w:asciiTheme="majorHAnsi" w:hAnsiTheme="majorHAnsi"/>
          <w:iCs/>
        </w:rPr>
        <w:t>Thank you for your comments on the 21P-0969 form renewal; we appreciate the time and effort you have put into providing feedback and suggestions.</w:t>
      </w:r>
    </w:p>
    <w:p w:rsidR="004277B3" w:rsidRPr="00774D2D" w:rsidP="004277B3" w14:paraId="5A5877A4" w14:textId="42E9E65A">
      <w:pPr>
        <w:pStyle w:val="NormalWeb"/>
        <w:spacing w:line="288" w:lineRule="atLeast"/>
        <w:rPr>
          <w:rFonts w:asciiTheme="majorHAnsi" w:hAnsiTheme="majorHAnsi"/>
          <w:iCs/>
        </w:rPr>
      </w:pPr>
      <w:r w:rsidRPr="00774D2D">
        <w:rPr>
          <w:rFonts w:asciiTheme="majorHAnsi" w:hAnsiTheme="majorHAnsi"/>
          <w:iCs/>
        </w:rPr>
        <w:t> We are continuing our efforts to simplify the application process and are working on solutions to reduce the burden on Veterans and Survivors seeking VA benefits.</w:t>
      </w:r>
    </w:p>
    <w:p w:rsidR="004277B3" w:rsidRPr="00774D2D" w:rsidP="004277B3" w14:paraId="0ED1FB6F" w14:textId="5CC5FE61">
      <w:pPr>
        <w:pStyle w:val="NormalWeb"/>
        <w:spacing w:line="288" w:lineRule="atLeast"/>
        <w:rPr>
          <w:rFonts w:asciiTheme="majorHAnsi" w:hAnsiTheme="majorHAnsi"/>
          <w:iCs/>
        </w:rPr>
      </w:pPr>
      <w:r w:rsidRPr="00774D2D">
        <w:rPr>
          <w:rFonts w:asciiTheme="majorHAnsi" w:hAnsiTheme="majorHAnsi"/>
          <w:iCs/>
        </w:rPr>
        <w:t> Veterans Benefits Administration will review all public input received during the comment period, and if we need further clarification or information, we may reach out for additional input.</w:t>
      </w:r>
    </w:p>
    <w:p w:rsidR="004277B3" w:rsidRPr="00774D2D" w:rsidP="004277B3" w14:paraId="3E1458D8" w14:textId="60F6918C">
      <w:pPr>
        <w:pStyle w:val="NormalWeb"/>
        <w:spacing w:line="288" w:lineRule="atLeast"/>
        <w:rPr>
          <w:rFonts w:asciiTheme="majorHAnsi" w:hAnsiTheme="majorHAnsi"/>
          <w:iCs/>
        </w:rPr>
      </w:pPr>
      <w:r w:rsidRPr="00774D2D">
        <w:rPr>
          <w:rFonts w:asciiTheme="majorHAnsi" w:hAnsiTheme="majorHAnsi"/>
          <w:iCs/>
        </w:rPr>
        <w:t> Thank you again for your engagement and support in enhancing the form.</w:t>
      </w:r>
    </w:p>
    <w:p w:rsidR="004277B3" w:rsidP="004277B3" w14:paraId="2DA12059" w14:textId="77777777">
      <w:pPr>
        <w:pStyle w:val="NormalWeb"/>
        <w:spacing w:line="288" w:lineRule="atLeast"/>
        <w:rPr>
          <w:rFonts w:asciiTheme="majorHAnsi" w:hAnsiTheme="majorHAnsi"/>
          <w:b/>
          <w:bCs/>
          <w:iCs/>
        </w:rPr>
      </w:pPr>
    </w:p>
    <w:p w:rsidR="001B7C98" w:rsidRPr="00A01274" w:rsidP="001B7C98" w14:paraId="71F7E8D2" w14:textId="77777777">
      <w:pPr>
        <w:pStyle w:val="NormalWeb"/>
        <w:spacing w:line="288" w:lineRule="atLeast"/>
        <w:rPr>
          <w:rFonts w:asciiTheme="majorHAnsi" w:hAnsiTheme="majorHAnsi"/>
          <w:iCs/>
        </w:rPr>
      </w:pPr>
      <w:r w:rsidRPr="00A01274">
        <w:rPr>
          <w:rFonts w:asciiTheme="majorHAnsi" w:hAnsiTheme="majorHAnsi"/>
          <w:iCs/>
        </w:rPr>
        <w:t>General Comment</w:t>
      </w:r>
    </w:p>
    <w:p w:rsidR="001B7C98" w:rsidRPr="00A01274" w:rsidP="001B7C98" w14:paraId="2CC561CD" w14:textId="77777777">
      <w:pPr>
        <w:pStyle w:val="NormalWeb"/>
        <w:spacing w:line="288" w:lineRule="atLeast"/>
        <w:rPr>
          <w:rFonts w:asciiTheme="majorHAnsi" w:hAnsiTheme="majorHAnsi"/>
          <w:iCs/>
        </w:rPr>
      </w:pPr>
      <w:r w:rsidRPr="00A01274">
        <w:rPr>
          <w:rFonts w:asciiTheme="majorHAnsi" w:hAnsiTheme="majorHAnsi"/>
          <w:iCs/>
        </w:rPr>
        <w:t>55,000 x 0.5 = 27,500</w:t>
      </w:r>
    </w:p>
    <w:p w:rsidR="00A01274" w:rsidP="004277B3" w14:paraId="624E0A6D" w14:textId="77777777">
      <w:pPr>
        <w:pStyle w:val="NormalWeb"/>
        <w:spacing w:line="288" w:lineRule="atLeast"/>
        <w:rPr>
          <w:rFonts w:asciiTheme="majorHAnsi" w:hAnsiTheme="majorHAnsi"/>
          <w:b/>
          <w:bCs/>
          <w:iCs/>
        </w:rPr>
      </w:pPr>
    </w:p>
    <w:p w:rsidR="001B7C98" w:rsidP="004277B3" w14:paraId="1A2010F4" w14:textId="27D64627">
      <w:pPr>
        <w:pStyle w:val="NormalWeb"/>
        <w:spacing w:line="288" w:lineRule="atLeast"/>
        <w:rPr>
          <w:rFonts w:asciiTheme="majorHAnsi" w:hAnsiTheme="majorHAnsi"/>
          <w:b/>
          <w:bCs/>
          <w:iCs/>
        </w:rPr>
      </w:pPr>
      <w:r>
        <w:rPr>
          <w:rFonts w:asciiTheme="majorHAnsi" w:hAnsiTheme="majorHAnsi"/>
          <w:b/>
          <w:bCs/>
          <w:iCs/>
        </w:rPr>
        <w:t>VA RESPONSE</w:t>
      </w:r>
    </w:p>
    <w:p w:rsidR="00E01A02" w:rsidRPr="00697EDB" w:rsidP="00E01A02" w14:paraId="72FFCA1C" w14:textId="77777777">
      <w:pPr>
        <w:pStyle w:val="NormalWeb"/>
        <w:spacing w:line="288" w:lineRule="atLeast"/>
        <w:rPr>
          <w:rFonts w:asciiTheme="majorHAnsi" w:hAnsiTheme="majorHAnsi"/>
          <w:iCs/>
        </w:rPr>
      </w:pPr>
      <w:r w:rsidRPr="00697EDB">
        <w:rPr>
          <w:rFonts w:asciiTheme="majorHAnsi" w:hAnsiTheme="majorHAnsi"/>
          <w:iCs/>
        </w:rPr>
        <w:t>Thank you for your comments on the 21P-0969 form renewal.</w:t>
      </w:r>
    </w:p>
    <w:p w:rsidR="00E01A02" w:rsidRPr="00371F5A" w:rsidP="004277B3" w14:paraId="42D1FF1F" w14:textId="44C73E92">
      <w:pPr>
        <w:pStyle w:val="NormalWeb"/>
        <w:spacing w:line="288" w:lineRule="atLeast"/>
        <w:rPr>
          <w:rFonts w:asciiTheme="majorHAnsi" w:hAnsiTheme="majorHAnsi"/>
          <w:iCs/>
        </w:rPr>
      </w:pPr>
      <w:r w:rsidRPr="00697EDB">
        <w:rPr>
          <w:rFonts w:asciiTheme="majorHAnsi" w:hAnsiTheme="majorHAnsi"/>
          <w:iCs/>
        </w:rPr>
        <w:t>Veterans Benefits Administration will review all public input received during the comment period, and if further clarification or information is needed, we may reach out for additional input.</w:t>
      </w:r>
    </w:p>
    <w:p w:rsidR="004277B3" w:rsidRPr="004277B3" w:rsidP="00200261" w14:paraId="1EEC3527" w14:textId="77777777">
      <w:pPr>
        <w:pStyle w:val="NormalWeb"/>
        <w:spacing w:line="288" w:lineRule="atLeast"/>
        <w:rPr>
          <w:rFonts w:asciiTheme="majorHAnsi" w:eastAsiaTheme="minorHAnsi" w:hAnsiTheme="majorHAnsi" w:cstheme="minorBidi"/>
          <w:b/>
          <w:bCs/>
          <w:iCs/>
          <w:szCs w:val="22"/>
        </w:rPr>
      </w:pPr>
    </w:p>
    <w:p w:rsidR="00502FF3" w:rsidP="00200261" w14:paraId="599DB161" w14:textId="66CE7D61">
      <w:pPr>
        <w:pStyle w:val="NormalWeb"/>
        <w:spacing w:line="288" w:lineRule="atLeast"/>
        <w:rPr>
          <w:rFonts w:asciiTheme="majorHAnsi" w:eastAsiaTheme="minorHAnsi" w:hAnsiTheme="majorHAnsi" w:cstheme="minorBidi"/>
          <w:szCs w:val="22"/>
        </w:rPr>
      </w:pPr>
      <w:r w:rsidRPr="006132E7">
        <w:rPr>
          <w:rFonts w:asciiTheme="majorHAnsi" w:eastAsiaTheme="minorHAnsi" w:hAnsiTheme="majorHAnsi" w:cstheme="minorBidi"/>
          <w:szCs w:val="22"/>
        </w:rPr>
        <w:t xml:space="preserve">A 30-Day Federal Register Notice for the collection published on </w:t>
      </w:r>
      <w:r w:rsidR="006C5C7F">
        <w:rPr>
          <w:rFonts w:asciiTheme="majorHAnsi" w:eastAsiaTheme="minorHAnsi" w:hAnsiTheme="majorHAnsi" w:cstheme="minorBidi"/>
          <w:szCs w:val="22"/>
        </w:rPr>
        <w:t>Monday, October 19, 2026</w:t>
      </w:r>
      <w:r w:rsidRPr="006132E7">
        <w:rPr>
          <w:rFonts w:asciiTheme="majorHAnsi" w:eastAsiaTheme="minorHAnsi" w:hAnsiTheme="majorHAnsi" w:cstheme="minorBidi"/>
          <w:szCs w:val="22"/>
        </w:rPr>
        <w:t xml:space="preserve">.  The 30-Day FRN citation is </w:t>
      </w:r>
      <w:r w:rsidR="006C5C7F">
        <w:rPr>
          <w:rFonts w:asciiTheme="majorHAnsi" w:eastAsiaTheme="minorHAnsi" w:hAnsiTheme="majorHAnsi" w:cstheme="minorBidi"/>
          <w:szCs w:val="22"/>
        </w:rPr>
        <w:t>91</w:t>
      </w:r>
      <w:r w:rsidRPr="006132E7">
        <w:rPr>
          <w:rFonts w:asciiTheme="majorHAnsi" w:eastAsiaTheme="minorHAnsi" w:hAnsiTheme="majorHAnsi" w:cstheme="minorBidi"/>
          <w:szCs w:val="22"/>
        </w:rPr>
        <w:t xml:space="preserve"> FRN </w:t>
      </w:r>
      <w:r w:rsidR="006C5C7F">
        <w:rPr>
          <w:rFonts w:asciiTheme="majorHAnsi" w:eastAsiaTheme="minorHAnsi" w:hAnsiTheme="majorHAnsi" w:cstheme="minorBidi"/>
          <w:szCs w:val="22"/>
        </w:rPr>
        <w:t>66202</w:t>
      </w:r>
      <w:r w:rsidRPr="006132E7">
        <w:rPr>
          <w:rFonts w:asciiTheme="majorHAnsi" w:eastAsiaTheme="minorHAnsi" w:hAnsiTheme="majorHAnsi" w:cstheme="minorBidi"/>
          <w:szCs w:val="22"/>
        </w:rPr>
        <w:t>.</w:t>
      </w:r>
    </w:p>
    <w:p w:rsidR="00200261" w:rsidP="00EE7DAB" w14:paraId="11AACC41" w14:textId="02A3C7E9">
      <w:pPr>
        <w:pStyle w:val="NormalWeb"/>
        <w:contextualSpacing/>
        <w:rPr>
          <w:rFonts w:asciiTheme="majorHAnsi" w:eastAsiaTheme="minorHAnsi" w:hAnsiTheme="majorHAnsi" w:cstheme="minorBidi"/>
          <w:szCs w:val="22"/>
        </w:rPr>
      </w:pPr>
      <w:r>
        <w:rPr>
          <w:rFonts w:asciiTheme="majorHAnsi" w:eastAsiaTheme="minorHAnsi" w:hAnsiTheme="majorHAnsi" w:cstheme="minorBidi"/>
          <w:szCs w:val="22"/>
        </w:rPr>
        <w:t>Part B: CONSULTATION</w:t>
      </w:r>
    </w:p>
    <w:p w:rsidR="00571698" w:rsidP="00EE7DAB" w14:paraId="70A4183A" w14:textId="1F310FF9">
      <w:pPr>
        <w:pStyle w:val="NormalWeb"/>
        <w:contextualSpacing/>
        <w:rPr>
          <w:rFonts w:asciiTheme="majorHAnsi" w:hAnsiTheme="majorHAnsi"/>
          <w:i/>
        </w:rPr>
      </w:pPr>
      <w:r w:rsidRPr="00EE7DAB">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62426DC4" w14:textId="733641A6">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Pr="006A13FA">
        <w:rPr>
          <w:rFonts w:asciiTheme="majorHAnsi" w:hAnsiTheme="majorHAnsi"/>
          <w:sz w:val="24"/>
          <w:u w:val="single"/>
        </w:rPr>
        <w:t>Gifts or Payment</w:t>
      </w:r>
    </w:p>
    <w:p w:rsidR="006A13FA" w:rsidRPr="00EE7DAB" w:rsidP="006A13FA" w14:paraId="53A391A2" w14:textId="093D82CB">
      <w:pPr>
        <w:spacing w:after="0" w:line="240" w:lineRule="auto"/>
        <w:rPr>
          <w:rFonts w:asciiTheme="majorHAnsi" w:hAnsiTheme="majorHAnsi"/>
          <w:iCs/>
          <w:sz w:val="24"/>
        </w:rPr>
      </w:pPr>
      <w:r w:rsidRPr="00EE7DAB">
        <w:rPr>
          <w:rFonts w:asciiTheme="majorHAnsi" w:hAnsiTheme="majorHAnsi"/>
          <w:sz w:val="24"/>
        </w:rPr>
        <w:t>No payments or gifts are being offered to respondents as an incentive to participate in the collection.</w:t>
      </w:r>
    </w:p>
    <w:p w:rsidR="003552D9" w:rsidRPr="00874BE7" w:rsidP="006A13FA" w14:paraId="56D4ACB8" w14:textId="77777777">
      <w:pPr>
        <w:spacing w:after="0" w:line="240" w:lineRule="auto"/>
        <w:rPr>
          <w:rFonts w:asciiTheme="majorHAnsi" w:hAnsiTheme="majorHAnsi"/>
          <w:iCs/>
          <w:sz w:val="24"/>
        </w:rPr>
      </w:pPr>
    </w:p>
    <w:p w:rsidR="00F97482" w:rsidP="006A13FA" w14:paraId="1902D846"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996894" w:rsidRPr="00EE7DAB" w:rsidP="00996894" w14:paraId="399AE8B8" w14:textId="53EA0608">
      <w:pPr>
        <w:spacing w:after="0" w:line="240" w:lineRule="auto"/>
        <w:rPr>
          <w:rFonts w:asciiTheme="majorHAnsi" w:hAnsiTheme="majorHAnsi"/>
          <w:iCs/>
          <w:sz w:val="24"/>
        </w:rPr>
      </w:pPr>
      <w:r w:rsidRPr="00EE7DAB">
        <w:rPr>
          <w:rFonts w:asciiTheme="majorHAnsi" w:hAnsiTheme="majorHAnsi"/>
          <w:iCs/>
          <w:sz w:val="24"/>
        </w:rPr>
        <w:t>The records are maintained in the appropriate Privacy Act System of Records identified as “Compensation, Pension, Education, and Veteran Readiness and Employment Records-VA (58VA21/22/28),” published at 74 FR 29275 on June 19, 2009, and last amended at 87 FR 8740 (February 16, 2022).</w:t>
      </w:r>
    </w:p>
    <w:p w:rsidR="00874BE7" w:rsidP="00996894" w14:paraId="723C70C9" w14:textId="77777777">
      <w:pPr>
        <w:spacing w:after="0" w:line="240" w:lineRule="auto"/>
        <w:rPr>
          <w:rFonts w:asciiTheme="majorHAnsi" w:hAnsiTheme="majorHAnsi"/>
          <w:iCs/>
          <w:sz w:val="24"/>
        </w:rPr>
      </w:pPr>
    </w:p>
    <w:p w:rsidR="00874BE7" w:rsidRPr="00EE7DAB" w:rsidP="00996894" w14:paraId="065CEB02" w14:textId="77777777">
      <w:pPr>
        <w:spacing w:after="0" w:line="240" w:lineRule="auto"/>
        <w:rPr>
          <w:rFonts w:asciiTheme="majorHAnsi" w:hAnsiTheme="majorHAnsi"/>
          <w:iCs/>
          <w:sz w:val="24"/>
        </w:rPr>
      </w:pPr>
    </w:p>
    <w:p w:rsidR="00996894" w:rsidP="00996894" w14:paraId="06DEAD58" w14:textId="36813244">
      <w:pPr>
        <w:spacing w:after="0" w:line="240" w:lineRule="auto"/>
        <w:rPr>
          <w:rFonts w:asciiTheme="majorHAnsi" w:hAnsiTheme="majorHAnsi"/>
          <w:sz w:val="24"/>
        </w:rPr>
      </w:pPr>
      <w:r w:rsidRPr="00337EF1">
        <w:rPr>
          <w:rFonts w:asciiTheme="majorHAnsi" w:hAnsiTheme="majorHAnsi"/>
          <w:sz w:val="24"/>
        </w:rPr>
        <w:t xml:space="preserve">11. </w:t>
      </w:r>
      <w:r w:rsidRPr="00337EF1">
        <w:rPr>
          <w:rFonts w:asciiTheme="majorHAnsi" w:hAnsiTheme="majorHAnsi"/>
          <w:sz w:val="24"/>
        </w:rPr>
        <w:tab/>
      </w:r>
      <w:r w:rsidRPr="00337EF1">
        <w:rPr>
          <w:rFonts w:asciiTheme="majorHAnsi" w:hAnsiTheme="majorHAnsi"/>
          <w:sz w:val="24"/>
          <w:u w:val="single"/>
        </w:rPr>
        <w:t>Sensitive Questions</w:t>
      </w:r>
    </w:p>
    <w:p w:rsidR="009A6246" w:rsidP="00337EF1" w14:paraId="406F4486" w14:textId="39F3654A">
      <w:pPr>
        <w:spacing w:after="0" w:line="240" w:lineRule="auto"/>
        <w:rPr>
          <w:rFonts w:asciiTheme="majorHAnsi" w:hAnsiTheme="majorHAnsi"/>
          <w:sz w:val="24"/>
        </w:rPr>
      </w:pPr>
      <w:r w:rsidRPr="00EE7DAB">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07A4B1CF" w14:textId="77777777">
      <w:pPr>
        <w:spacing w:after="0" w:line="240" w:lineRule="auto"/>
        <w:rPr>
          <w:rFonts w:asciiTheme="majorHAnsi" w:hAnsiTheme="majorHAnsi"/>
          <w:sz w:val="24"/>
        </w:rPr>
      </w:pPr>
    </w:p>
    <w:p w:rsidR="00D21AA6" w:rsidRPr="00A16FB9" w:rsidP="00337EF1" w14:paraId="5445FF9B" w14:textId="77777777">
      <w:pPr>
        <w:spacing w:after="0" w:line="240" w:lineRule="auto"/>
        <w:rPr>
          <w:rFonts w:asciiTheme="majorHAnsi" w:hAnsiTheme="majorHAnsi"/>
          <w:sz w:val="24"/>
        </w:rPr>
      </w:pPr>
      <w:r>
        <w:rPr>
          <w:rFonts w:asciiTheme="majorHAnsi" w:hAnsiTheme="majorHAnsi"/>
          <w:sz w:val="24"/>
        </w:rPr>
        <w:t xml:space="preserve">12. </w:t>
      </w:r>
      <w:r w:rsidRPr="00A16FB9" w:rsidR="00A76F7E">
        <w:rPr>
          <w:rFonts w:asciiTheme="majorHAnsi" w:hAnsiTheme="majorHAnsi"/>
          <w:sz w:val="24"/>
        </w:rPr>
        <w:tab/>
      </w:r>
      <w:r w:rsidRPr="00A16FB9" w:rsidR="00A76F7E">
        <w:rPr>
          <w:rFonts w:asciiTheme="majorHAnsi" w:hAnsiTheme="majorHAnsi"/>
          <w:sz w:val="24"/>
          <w:u w:val="single"/>
        </w:rPr>
        <w:t>Respondent Burden and its Labor Costs</w:t>
      </w:r>
    </w:p>
    <w:p w:rsidR="003552D9" w:rsidRPr="00A16FB9" w:rsidP="003552D9" w14:paraId="4E322705" w14:textId="00D4972A">
      <w:pPr>
        <w:spacing w:after="0" w:line="240" w:lineRule="auto"/>
        <w:ind w:left="720"/>
        <w:rPr>
          <w:rFonts w:asciiTheme="majorHAnsi" w:hAnsiTheme="majorHAnsi"/>
          <w:sz w:val="24"/>
        </w:rPr>
      </w:pPr>
      <w:r w:rsidRPr="00A16FB9">
        <w:rPr>
          <w:rFonts w:asciiTheme="majorHAnsi" w:hAnsiTheme="majorHAnsi"/>
          <w:sz w:val="24"/>
        </w:rPr>
        <w:t>a.</w:t>
      </w:r>
      <w:r w:rsidRPr="00A16FB9">
        <w:rPr>
          <w:rFonts w:asciiTheme="majorHAnsi" w:hAnsiTheme="majorHAnsi"/>
          <w:sz w:val="24"/>
        </w:rPr>
        <w:tab/>
        <w:t xml:space="preserve">Number of Respondents is estimated at </w:t>
      </w:r>
      <w:r w:rsidR="00874BE7">
        <w:rPr>
          <w:rFonts w:asciiTheme="majorHAnsi" w:hAnsiTheme="majorHAnsi"/>
          <w:sz w:val="24"/>
        </w:rPr>
        <w:t>55</w:t>
      </w:r>
      <w:r w:rsidR="00E05EA7">
        <w:rPr>
          <w:rFonts w:asciiTheme="majorHAnsi" w:hAnsiTheme="majorHAnsi"/>
          <w:sz w:val="24"/>
        </w:rPr>
        <w:t>,000</w:t>
      </w:r>
      <w:r w:rsidRPr="00A16FB9">
        <w:rPr>
          <w:rFonts w:asciiTheme="majorHAnsi" w:hAnsiTheme="majorHAnsi"/>
          <w:sz w:val="24"/>
        </w:rPr>
        <w:t xml:space="preserve"> per year.</w:t>
      </w:r>
    </w:p>
    <w:p w:rsidR="003552D9" w:rsidRPr="00A16FB9" w:rsidP="003552D9" w14:paraId="750FBBF6" w14:textId="77777777">
      <w:pPr>
        <w:spacing w:after="0" w:line="240" w:lineRule="auto"/>
        <w:ind w:left="720"/>
        <w:rPr>
          <w:rFonts w:asciiTheme="majorHAnsi" w:hAnsiTheme="majorHAnsi"/>
          <w:sz w:val="24"/>
        </w:rPr>
      </w:pPr>
    </w:p>
    <w:p w:rsidR="003552D9" w:rsidRPr="00A16FB9" w:rsidP="003552D9" w14:paraId="77AAC1B4" w14:textId="08145CDC">
      <w:pPr>
        <w:spacing w:after="0" w:line="240" w:lineRule="auto"/>
        <w:ind w:left="720"/>
        <w:rPr>
          <w:rFonts w:asciiTheme="majorHAnsi" w:hAnsiTheme="majorHAnsi"/>
          <w:sz w:val="24"/>
        </w:rPr>
      </w:pPr>
      <w:r w:rsidRPr="00A16FB9">
        <w:rPr>
          <w:rFonts w:asciiTheme="majorHAnsi" w:hAnsiTheme="majorHAnsi"/>
          <w:sz w:val="24"/>
        </w:rPr>
        <w:t>b.</w:t>
      </w:r>
      <w:r w:rsidRPr="00A16FB9">
        <w:rPr>
          <w:rFonts w:asciiTheme="majorHAnsi" w:hAnsiTheme="majorHAnsi"/>
          <w:sz w:val="24"/>
        </w:rPr>
        <w:tab/>
      </w:r>
      <w:r w:rsidRPr="00A16FB9">
        <w:rPr>
          <w:rFonts w:asciiTheme="majorHAnsi" w:hAnsiTheme="majorHAnsi"/>
          <w:sz w:val="24"/>
        </w:rPr>
        <w:t>Frequency of Response is one time.</w:t>
      </w:r>
    </w:p>
    <w:p w:rsidR="003552D9" w:rsidRPr="00A16FB9" w:rsidP="003552D9" w14:paraId="6CD6019C" w14:textId="77777777">
      <w:pPr>
        <w:spacing w:after="0" w:line="240" w:lineRule="auto"/>
        <w:ind w:left="720"/>
        <w:rPr>
          <w:rFonts w:asciiTheme="majorHAnsi" w:hAnsiTheme="majorHAnsi"/>
          <w:sz w:val="24"/>
        </w:rPr>
      </w:pPr>
    </w:p>
    <w:p w:rsidR="003552D9" w:rsidRPr="00A16FB9" w:rsidP="003552D9" w14:paraId="6908BB2D" w14:textId="06984482">
      <w:pPr>
        <w:spacing w:after="0" w:line="240" w:lineRule="auto"/>
        <w:ind w:left="720"/>
        <w:rPr>
          <w:rFonts w:asciiTheme="majorHAnsi" w:hAnsiTheme="majorHAnsi"/>
          <w:sz w:val="24"/>
        </w:rPr>
      </w:pPr>
      <w:r w:rsidRPr="00A16FB9">
        <w:rPr>
          <w:rFonts w:asciiTheme="majorHAnsi" w:hAnsiTheme="majorHAnsi"/>
          <w:sz w:val="24"/>
        </w:rPr>
        <w:t>c.</w:t>
      </w:r>
      <w:r w:rsidRPr="00A16FB9">
        <w:rPr>
          <w:rFonts w:asciiTheme="majorHAnsi" w:hAnsiTheme="majorHAnsi"/>
          <w:sz w:val="24"/>
        </w:rPr>
        <w:tab/>
        <w:t xml:space="preserve">Annual burden hours are </w:t>
      </w:r>
      <w:r w:rsidR="00B70464">
        <w:rPr>
          <w:rFonts w:asciiTheme="majorHAnsi" w:hAnsiTheme="majorHAnsi"/>
          <w:sz w:val="24"/>
        </w:rPr>
        <w:t>2</w:t>
      </w:r>
      <w:r w:rsidR="009C5DD2">
        <w:rPr>
          <w:rFonts w:asciiTheme="majorHAnsi" w:hAnsiTheme="majorHAnsi"/>
          <w:sz w:val="24"/>
        </w:rPr>
        <w:t>7</w:t>
      </w:r>
      <w:r w:rsidR="00B70464">
        <w:rPr>
          <w:rFonts w:asciiTheme="majorHAnsi" w:hAnsiTheme="majorHAnsi"/>
          <w:sz w:val="24"/>
        </w:rPr>
        <w:t>,</w:t>
      </w:r>
      <w:r w:rsidR="009C5DD2">
        <w:rPr>
          <w:rFonts w:asciiTheme="majorHAnsi" w:hAnsiTheme="majorHAnsi"/>
          <w:sz w:val="24"/>
        </w:rPr>
        <w:t>500</w:t>
      </w:r>
      <w:r w:rsidRPr="00A16FB9">
        <w:rPr>
          <w:rFonts w:asciiTheme="majorHAnsi" w:hAnsiTheme="majorHAnsi"/>
          <w:sz w:val="24"/>
        </w:rPr>
        <w:t xml:space="preserve"> hours.</w:t>
      </w:r>
    </w:p>
    <w:p w:rsidR="003552D9" w:rsidRPr="00A16FB9" w:rsidP="003552D9" w14:paraId="0F0190C8" w14:textId="77777777">
      <w:pPr>
        <w:spacing w:after="0" w:line="240" w:lineRule="auto"/>
        <w:ind w:left="720"/>
        <w:rPr>
          <w:rFonts w:asciiTheme="majorHAnsi" w:hAnsiTheme="majorHAnsi"/>
          <w:sz w:val="24"/>
        </w:rPr>
      </w:pPr>
    </w:p>
    <w:p w:rsidR="003552D9" w:rsidRPr="00A16FB9" w:rsidP="003552D9" w14:paraId="4A1BFD8E" w14:textId="5058F1BF">
      <w:pPr>
        <w:spacing w:after="0" w:line="240" w:lineRule="auto"/>
        <w:ind w:left="720"/>
        <w:rPr>
          <w:rFonts w:asciiTheme="majorHAnsi" w:hAnsiTheme="majorHAnsi"/>
          <w:sz w:val="24"/>
        </w:rPr>
      </w:pPr>
      <w:r w:rsidRPr="00A16FB9">
        <w:rPr>
          <w:rFonts w:asciiTheme="majorHAnsi" w:hAnsiTheme="majorHAnsi"/>
          <w:sz w:val="24"/>
        </w:rPr>
        <w:t>d.</w:t>
      </w:r>
      <w:r w:rsidRPr="00A16FB9">
        <w:rPr>
          <w:rFonts w:asciiTheme="majorHAnsi" w:hAnsiTheme="majorHAnsi"/>
          <w:sz w:val="24"/>
        </w:rPr>
        <w:tab/>
        <w:t xml:space="preserve">The estimated completion time for this form is </w:t>
      </w:r>
      <w:r w:rsidR="004874A4">
        <w:rPr>
          <w:rFonts w:asciiTheme="majorHAnsi" w:hAnsiTheme="majorHAnsi"/>
          <w:sz w:val="24"/>
        </w:rPr>
        <w:t>30</w:t>
      </w:r>
      <w:r w:rsidRPr="00A16FB9">
        <w:rPr>
          <w:rFonts w:asciiTheme="majorHAnsi" w:hAnsiTheme="majorHAnsi"/>
          <w:sz w:val="24"/>
        </w:rPr>
        <w:t xml:space="preserve"> minutes</w:t>
      </w:r>
      <w:r w:rsidR="00B70464">
        <w:rPr>
          <w:rFonts w:asciiTheme="majorHAnsi" w:hAnsiTheme="majorHAnsi"/>
          <w:sz w:val="24"/>
        </w:rPr>
        <w:t>.</w:t>
      </w:r>
    </w:p>
    <w:p w:rsidR="003552D9" w:rsidRPr="00A16FB9" w:rsidP="003552D9" w14:paraId="2EDB1391" w14:textId="77777777">
      <w:pPr>
        <w:spacing w:after="0" w:line="240" w:lineRule="auto"/>
        <w:ind w:left="720"/>
        <w:rPr>
          <w:rFonts w:asciiTheme="majorHAnsi" w:hAnsiTheme="majorHAnsi"/>
          <w:sz w:val="24"/>
        </w:rPr>
      </w:pPr>
    </w:p>
    <w:p w:rsidR="003552D9" w:rsidRPr="00A16FB9" w:rsidP="003552D9" w14:paraId="258A797E" w14:textId="77777777">
      <w:pPr>
        <w:spacing w:after="0" w:line="240" w:lineRule="auto"/>
        <w:ind w:left="720"/>
        <w:rPr>
          <w:rFonts w:asciiTheme="majorHAnsi" w:hAnsiTheme="majorHAnsi"/>
          <w:sz w:val="24"/>
        </w:rPr>
      </w:pPr>
      <w:r w:rsidRPr="00A16FB9">
        <w:rPr>
          <w:rFonts w:asciiTheme="majorHAnsi" w:hAnsiTheme="majorHAnsi"/>
          <w:sz w:val="24"/>
        </w:rPr>
        <w:t>e.</w:t>
      </w:r>
      <w:r w:rsidRPr="00A16FB9">
        <w:rPr>
          <w:rFonts w:asciiTheme="majorHAnsi" w:hAnsiTheme="majorHAnsi"/>
          <w:sz w:val="24"/>
        </w:rPr>
        <w:tab/>
        <w:t xml:space="preserve">VA cannot make further assumptions about the population of respondents because of the variability of factors such as the educational background and wage potential of respondents. Therefore, VBA used general wage data to estimate the respondents’ costs associated with completing the information collection. </w:t>
      </w:r>
    </w:p>
    <w:p w:rsidR="003552D9" w:rsidRPr="00A16FB9" w:rsidP="003552D9" w14:paraId="4C63AC1E" w14:textId="77777777">
      <w:pPr>
        <w:spacing w:after="0" w:line="240" w:lineRule="auto"/>
        <w:ind w:left="720"/>
        <w:rPr>
          <w:rFonts w:asciiTheme="majorHAnsi" w:hAnsiTheme="majorHAnsi"/>
          <w:sz w:val="24"/>
        </w:rPr>
      </w:pPr>
    </w:p>
    <w:p w:rsidR="003552D9" w:rsidRPr="00A16FB9" w:rsidP="003552D9" w14:paraId="26CED078" w14:textId="1A11CC1D">
      <w:pPr>
        <w:spacing w:after="0" w:line="240" w:lineRule="auto"/>
        <w:ind w:left="720"/>
        <w:rPr>
          <w:rFonts w:asciiTheme="majorHAnsi" w:hAnsiTheme="majorHAnsi"/>
          <w:sz w:val="24"/>
        </w:rPr>
      </w:pPr>
      <w:r w:rsidRPr="00A16FB9">
        <w:rPr>
          <w:rFonts w:asciiTheme="majorHAnsi" w:hAnsiTheme="majorHAnsi"/>
          <w:sz w:val="24"/>
        </w:rPr>
        <w:t xml:space="preserve">The Bureau of Labor Statistics (BLS) gathers information on full-time wage and salary workers.  According to the latest available BLS data, the mean hourly wage is $32.66 based on the BLS wage code – “00-0000 All Occupations.”  This information </w:t>
      </w:r>
      <w:r w:rsidRPr="00A16FB9">
        <w:rPr>
          <w:rFonts w:asciiTheme="majorHAnsi" w:hAnsiTheme="majorHAnsi"/>
          <w:sz w:val="24"/>
        </w:rPr>
        <w:t>was taken from the following website:</w:t>
      </w:r>
      <w:bookmarkStart w:id="0" w:name="_Hlk194585855"/>
      <w:r w:rsidR="00E05EA7">
        <w:rPr>
          <w:rFonts w:asciiTheme="majorHAnsi" w:hAnsiTheme="majorHAnsi"/>
          <w:sz w:val="24"/>
        </w:rPr>
        <w:t xml:space="preserve"> </w:t>
      </w:r>
      <w:hyperlink r:id="rId7" w:anchor="/industry/000000" w:history="1">
        <w:r w:rsidRPr="007E0E8E" w:rsidR="00E05EA7">
          <w:rPr>
            <w:rStyle w:val="Hyperlink"/>
            <w:rFonts w:eastAsia="Aptos" w:asciiTheme="majorHAnsi" w:hAnsiTheme="majorHAnsi" w:cs="Times New Roman"/>
            <w:sz w:val="24"/>
            <w:szCs w:val="24"/>
          </w:rPr>
          <w:t>https://data.bls.gov/oes/#/industry/000000</w:t>
        </w:r>
      </w:hyperlink>
      <w:bookmarkEnd w:id="0"/>
      <w:r w:rsidRPr="00A16FB9" w:rsidR="00A16FB9">
        <w:rPr>
          <w:rFonts w:eastAsia="Times New Roman" w:asciiTheme="majorHAnsi" w:hAnsiTheme="majorHAnsi" w:cs="Times New Roman"/>
          <w:sz w:val="24"/>
          <w:szCs w:val="24"/>
        </w:rPr>
        <w:t>.</w:t>
      </w:r>
    </w:p>
    <w:p w:rsidR="003552D9" w:rsidRPr="00A16FB9" w:rsidP="003552D9" w14:paraId="67204FB4" w14:textId="77777777">
      <w:pPr>
        <w:spacing w:after="0" w:line="240" w:lineRule="auto"/>
        <w:ind w:left="720"/>
        <w:rPr>
          <w:rFonts w:asciiTheme="majorHAnsi" w:hAnsiTheme="majorHAnsi"/>
          <w:sz w:val="24"/>
        </w:rPr>
      </w:pPr>
    </w:p>
    <w:p w:rsidR="006F2DF8" w:rsidRPr="00A16FB9" w:rsidP="003552D9" w14:paraId="49ECAE60" w14:textId="4656B8F7">
      <w:pPr>
        <w:spacing w:after="0" w:line="240" w:lineRule="auto"/>
        <w:ind w:left="720"/>
        <w:rPr>
          <w:rFonts w:asciiTheme="majorHAnsi" w:hAnsiTheme="majorHAnsi"/>
          <w:sz w:val="24"/>
        </w:rPr>
      </w:pPr>
      <w:r w:rsidRPr="00A16FB9">
        <w:rPr>
          <w:rFonts w:asciiTheme="majorHAnsi" w:hAnsiTheme="majorHAnsi"/>
          <w:sz w:val="24"/>
        </w:rPr>
        <w:t>Legally, respondents may not pay a person or business for assistance in completing the information collection. Therefore, there are no expected overhead costs for completing the information collection. VBA estimates the total cost to all respondents to be $</w:t>
      </w:r>
      <w:r w:rsidR="00EA5499">
        <w:rPr>
          <w:rFonts w:asciiTheme="majorHAnsi" w:hAnsiTheme="majorHAnsi"/>
          <w:sz w:val="24"/>
        </w:rPr>
        <w:t>898</w:t>
      </w:r>
      <w:r w:rsidR="00E05EA7">
        <w:rPr>
          <w:rFonts w:asciiTheme="majorHAnsi" w:hAnsiTheme="majorHAnsi"/>
          <w:sz w:val="24"/>
        </w:rPr>
        <w:t>,</w:t>
      </w:r>
      <w:r w:rsidR="00EA5499">
        <w:rPr>
          <w:rFonts w:asciiTheme="majorHAnsi" w:hAnsiTheme="majorHAnsi"/>
          <w:sz w:val="24"/>
        </w:rPr>
        <w:t>150</w:t>
      </w:r>
      <w:r w:rsidRPr="00A16FB9">
        <w:rPr>
          <w:rFonts w:asciiTheme="majorHAnsi" w:hAnsiTheme="majorHAnsi"/>
          <w:sz w:val="24"/>
        </w:rPr>
        <w:t xml:space="preserve"> (</w:t>
      </w:r>
      <w:r w:rsidR="00896C10">
        <w:rPr>
          <w:rFonts w:asciiTheme="majorHAnsi" w:hAnsiTheme="majorHAnsi"/>
          <w:sz w:val="24"/>
        </w:rPr>
        <w:t>2</w:t>
      </w:r>
      <w:r w:rsidR="00EA5499">
        <w:rPr>
          <w:rFonts w:asciiTheme="majorHAnsi" w:hAnsiTheme="majorHAnsi"/>
          <w:sz w:val="24"/>
        </w:rPr>
        <w:t>7</w:t>
      </w:r>
      <w:r w:rsidRPr="00A16FB9">
        <w:rPr>
          <w:rFonts w:asciiTheme="majorHAnsi" w:hAnsiTheme="majorHAnsi"/>
          <w:sz w:val="24"/>
        </w:rPr>
        <w:t>,</w:t>
      </w:r>
      <w:r w:rsidR="00EA5499">
        <w:rPr>
          <w:rFonts w:asciiTheme="majorHAnsi" w:hAnsiTheme="majorHAnsi"/>
          <w:sz w:val="24"/>
        </w:rPr>
        <w:t>500</w:t>
      </w:r>
      <w:r w:rsidRPr="00A16FB9">
        <w:rPr>
          <w:rFonts w:asciiTheme="majorHAnsi" w:hAnsiTheme="majorHAnsi"/>
          <w:sz w:val="24"/>
        </w:rPr>
        <w:t xml:space="preserve"> burden hours x $32.66 per hour).</w:t>
      </w:r>
    </w:p>
    <w:p w:rsidR="003552D9" w:rsidP="003552D9" w14:paraId="3B1813F7" w14:textId="77777777">
      <w:pPr>
        <w:spacing w:after="0" w:line="240" w:lineRule="auto"/>
        <w:rPr>
          <w:rFonts w:asciiTheme="majorHAnsi" w:hAnsiTheme="majorHAnsi"/>
          <w:sz w:val="24"/>
        </w:rPr>
      </w:pPr>
    </w:p>
    <w:p w:rsidR="0019309D" w:rsidP="00337EF1" w14:paraId="17EA69A7" w14:textId="1585E4E2">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p>
    <w:p w:rsidR="00A16FB9" w:rsidP="0019309D" w14:paraId="25BBAE59" w14:textId="13BFD66B">
      <w:pPr>
        <w:spacing w:after="0" w:line="240" w:lineRule="auto"/>
        <w:rPr>
          <w:rFonts w:asciiTheme="majorHAnsi" w:hAnsiTheme="majorHAnsi"/>
          <w:sz w:val="24"/>
        </w:rPr>
      </w:pPr>
      <w:r w:rsidRPr="00EE7DAB">
        <w:rPr>
          <w:rFonts w:asciiTheme="majorHAnsi" w:hAnsiTheme="majorHAnsi"/>
          <w:sz w:val="24"/>
        </w:rPr>
        <w:t>There are no annualized costs to respondents other than the labor burden costs addressed in Section 12 of this document to complete this collection.</w:t>
      </w:r>
    </w:p>
    <w:p w:rsidR="0019309D" w:rsidP="0019309D" w14:paraId="3F31196D" w14:textId="77777777">
      <w:pPr>
        <w:spacing w:after="0" w:line="240" w:lineRule="auto"/>
        <w:rPr>
          <w:rFonts w:asciiTheme="majorHAnsi" w:hAnsiTheme="majorHAnsi"/>
          <w:sz w:val="24"/>
        </w:rPr>
      </w:pPr>
    </w:p>
    <w:p w:rsidR="00F25499" w:rsidP="0019309D" w14:paraId="59A953B9" w14:textId="77777777">
      <w:pPr>
        <w:spacing w:after="0" w:line="240" w:lineRule="auto"/>
        <w:rPr>
          <w:rFonts w:asciiTheme="majorHAnsi" w:hAnsiTheme="majorHAnsi"/>
          <w:sz w:val="24"/>
        </w:rPr>
      </w:pPr>
      <w:r>
        <w:rPr>
          <w:rFonts w:asciiTheme="majorHAnsi" w:hAnsiTheme="majorHAnsi"/>
          <w:sz w:val="24"/>
        </w:rPr>
        <w:t xml:space="preserve">14. </w:t>
      </w:r>
      <w:r>
        <w:rPr>
          <w:rFonts w:asciiTheme="majorHAnsi" w:hAnsiTheme="majorHAnsi"/>
          <w:sz w:val="24"/>
        </w:rPr>
        <w:tab/>
      </w:r>
      <w:r w:rsidRPr="00722FDB">
        <w:rPr>
          <w:rFonts w:asciiTheme="majorHAnsi" w:hAnsiTheme="majorHAnsi"/>
          <w:sz w:val="24"/>
          <w:u w:val="single"/>
        </w:rPr>
        <w:t>Cost to the Federal Government</w:t>
      </w:r>
    </w:p>
    <w:p w:rsidR="00235D71" w:rsidP="0019309D" w14:paraId="4FFDB3FA" w14:textId="77777777">
      <w:pPr>
        <w:spacing w:after="0" w:line="240" w:lineRule="auto"/>
        <w:rPr>
          <w:rFonts w:asciiTheme="majorHAnsi" w:hAnsiTheme="majorHAnsi"/>
          <w:sz w:val="24"/>
        </w:rPr>
      </w:pPr>
    </w:p>
    <w:tbl>
      <w:tblPr>
        <w:tblW w:w="9016" w:type="dxa"/>
        <w:tblInd w:w="424" w:type="dxa"/>
        <w:tblLook w:val="04A0"/>
      </w:tblPr>
      <w:tblGrid>
        <w:gridCol w:w="830"/>
        <w:gridCol w:w="667"/>
        <w:gridCol w:w="979"/>
        <w:gridCol w:w="1077"/>
        <w:gridCol w:w="927"/>
        <w:gridCol w:w="1201"/>
        <w:gridCol w:w="1304"/>
        <w:gridCol w:w="2031"/>
      </w:tblGrid>
      <w:tr w14:paraId="3D8D8F99" w14:textId="77777777" w:rsidTr="00A16FB9">
        <w:tblPrEx>
          <w:tblW w:w="9016" w:type="dxa"/>
          <w:tblInd w:w="424" w:type="dxa"/>
          <w:tblLook w:val="04A0"/>
        </w:tblPrEx>
        <w:trPr>
          <w:trHeight w:val="570"/>
        </w:trPr>
        <w:tc>
          <w:tcPr>
            <w:tcW w:w="830" w:type="dxa"/>
            <w:tcBorders>
              <w:top w:val="single" w:sz="8" w:space="0" w:color="auto"/>
              <w:left w:val="single" w:sz="8" w:space="0" w:color="auto"/>
              <w:bottom w:val="single" w:sz="8" w:space="0" w:color="auto"/>
              <w:right w:val="single" w:sz="8" w:space="0" w:color="auto"/>
            </w:tcBorders>
            <w:shd w:val="clear" w:color="000000" w:fill="DCE6F1"/>
            <w:vAlign w:val="center"/>
            <w:hideMark/>
          </w:tcPr>
          <w:p w:rsidR="00A16FB9" w:rsidRPr="00A16FB9" w:rsidP="00BB2D3D" w14:paraId="36149973"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Grade</w:t>
            </w:r>
          </w:p>
        </w:tc>
        <w:tc>
          <w:tcPr>
            <w:tcW w:w="66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4F4FA778"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Step</w:t>
            </w:r>
          </w:p>
        </w:tc>
        <w:tc>
          <w:tcPr>
            <w:tcW w:w="979"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3DD88681"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Burden Time</w:t>
            </w:r>
          </w:p>
        </w:tc>
        <w:tc>
          <w:tcPr>
            <w:tcW w:w="107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36ACC986"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Fraction of Hour</w:t>
            </w:r>
          </w:p>
        </w:tc>
        <w:tc>
          <w:tcPr>
            <w:tcW w:w="927"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1DBBD82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Hourly Rate</w:t>
            </w:r>
          </w:p>
        </w:tc>
        <w:tc>
          <w:tcPr>
            <w:tcW w:w="1201"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4A60D631"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Cost Per Response</w:t>
            </w:r>
          </w:p>
        </w:tc>
        <w:tc>
          <w:tcPr>
            <w:tcW w:w="1304"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0005F736"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 Responses</w:t>
            </w:r>
          </w:p>
        </w:tc>
        <w:tc>
          <w:tcPr>
            <w:tcW w:w="2031" w:type="dxa"/>
            <w:tcBorders>
              <w:top w:val="single" w:sz="8" w:space="0" w:color="auto"/>
              <w:left w:val="nil"/>
              <w:bottom w:val="single" w:sz="8" w:space="0" w:color="auto"/>
              <w:right w:val="single" w:sz="8" w:space="0" w:color="auto"/>
            </w:tcBorders>
            <w:shd w:val="clear" w:color="000000" w:fill="DCE6F1"/>
            <w:vAlign w:val="center"/>
            <w:hideMark/>
          </w:tcPr>
          <w:p w:rsidR="00A16FB9" w:rsidRPr="00A16FB9" w:rsidP="00BB2D3D" w14:paraId="7FE98B2F"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w:t>
            </w:r>
          </w:p>
        </w:tc>
      </w:tr>
      <w:tr w14:paraId="6481DC8A" w14:textId="77777777" w:rsidTr="00A16FB9">
        <w:tblPrEx>
          <w:tblW w:w="9016" w:type="dxa"/>
          <w:tblInd w:w="424" w:type="dxa"/>
          <w:tblLook w:val="04A0"/>
        </w:tblPrEx>
        <w:trPr>
          <w:trHeight w:val="290"/>
        </w:trPr>
        <w:tc>
          <w:tcPr>
            <w:tcW w:w="830" w:type="dxa"/>
            <w:tcBorders>
              <w:top w:val="nil"/>
              <w:left w:val="single" w:sz="8" w:space="0" w:color="auto"/>
              <w:bottom w:val="single" w:sz="4" w:space="0" w:color="auto"/>
              <w:right w:val="single" w:sz="4" w:space="0" w:color="auto"/>
            </w:tcBorders>
            <w:vAlign w:val="bottom"/>
            <w:hideMark/>
          </w:tcPr>
          <w:p w:rsidR="00A16FB9" w:rsidRPr="00A16FB9" w:rsidP="00BB2D3D" w14:paraId="7ACABC37"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9</w:t>
            </w:r>
          </w:p>
        </w:tc>
        <w:tc>
          <w:tcPr>
            <w:tcW w:w="667" w:type="dxa"/>
            <w:tcBorders>
              <w:top w:val="nil"/>
              <w:left w:val="nil"/>
              <w:bottom w:val="single" w:sz="4" w:space="0" w:color="auto"/>
              <w:right w:val="single" w:sz="4" w:space="0" w:color="auto"/>
            </w:tcBorders>
            <w:vAlign w:val="bottom"/>
            <w:hideMark/>
          </w:tcPr>
          <w:p w:rsidR="00A16FB9" w:rsidRPr="00A16FB9" w:rsidP="00BB2D3D" w14:paraId="4EA38FCD"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3</w:t>
            </w:r>
          </w:p>
        </w:tc>
        <w:tc>
          <w:tcPr>
            <w:tcW w:w="979" w:type="dxa"/>
            <w:tcBorders>
              <w:top w:val="nil"/>
              <w:left w:val="nil"/>
              <w:bottom w:val="single" w:sz="4" w:space="0" w:color="auto"/>
              <w:right w:val="single" w:sz="4" w:space="0" w:color="auto"/>
            </w:tcBorders>
            <w:vAlign w:val="bottom"/>
            <w:hideMark/>
          </w:tcPr>
          <w:p w:rsidR="00A16FB9" w:rsidRPr="00A16FB9" w:rsidP="00BB2D3D" w14:paraId="73D0953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20</w:t>
            </w:r>
          </w:p>
        </w:tc>
        <w:tc>
          <w:tcPr>
            <w:tcW w:w="1077" w:type="dxa"/>
            <w:tcBorders>
              <w:top w:val="nil"/>
              <w:left w:val="nil"/>
              <w:bottom w:val="single" w:sz="4" w:space="0" w:color="auto"/>
              <w:right w:val="single" w:sz="4" w:space="0" w:color="auto"/>
            </w:tcBorders>
            <w:vAlign w:val="bottom"/>
            <w:hideMark/>
          </w:tcPr>
          <w:p w:rsidR="00A16FB9" w:rsidRPr="00A16FB9" w:rsidP="00BB2D3D" w14:paraId="23F88452"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0.33</w:t>
            </w:r>
          </w:p>
        </w:tc>
        <w:tc>
          <w:tcPr>
            <w:tcW w:w="927" w:type="dxa"/>
            <w:tcBorders>
              <w:top w:val="nil"/>
              <w:left w:val="nil"/>
              <w:bottom w:val="single" w:sz="4" w:space="0" w:color="auto"/>
              <w:right w:val="single" w:sz="4" w:space="0" w:color="auto"/>
            </w:tcBorders>
            <w:vAlign w:val="bottom"/>
            <w:hideMark/>
          </w:tcPr>
          <w:p w:rsidR="00A16FB9" w:rsidRPr="00A16FB9" w:rsidP="00BB2D3D" w14:paraId="0FF8F9A9"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$35.74</w:t>
            </w:r>
          </w:p>
        </w:tc>
        <w:tc>
          <w:tcPr>
            <w:tcW w:w="1201" w:type="dxa"/>
            <w:tcBorders>
              <w:top w:val="nil"/>
              <w:left w:val="nil"/>
              <w:bottom w:val="single" w:sz="4" w:space="0" w:color="auto"/>
              <w:right w:val="single" w:sz="4" w:space="0" w:color="auto"/>
            </w:tcBorders>
            <w:vAlign w:val="bottom"/>
            <w:hideMark/>
          </w:tcPr>
          <w:p w:rsidR="00A16FB9" w:rsidRPr="00A16FB9" w:rsidP="00BB2D3D" w14:paraId="5D8E80E4"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11.91</w:t>
            </w:r>
          </w:p>
        </w:tc>
        <w:tc>
          <w:tcPr>
            <w:tcW w:w="1304" w:type="dxa"/>
            <w:tcBorders>
              <w:top w:val="nil"/>
              <w:left w:val="nil"/>
              <w:bottom w:val="single" w:sz="4" w:space="0" w:color="auto"/>
              <w:right w:val="single" w:sz="4" w:space="0" w:color="auto"/>
            </w:tcBorders>
            <w:vAlign w:val="bottom"/>
            <w:hideMark/>
          </w:tcPr>
          <w:p w:rsidR="00A16FB9" w:rsidRPr="00A16FB9" w:rsidP="00BB2D3D" w14:paraId="3EF38305" w14:textId="6C8774FD">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w:t>
            </w:r>
            <w:r w:rsidR="00896C10">
              <w:rPr>
                <w:rFonts w:eastAsia="Times New Roman" w:asciiTheme="majorHAnsi" w:hAnsiTheme="majorHAnsi" w:cs="Times New Roman"/>
                <w:color w:val="000000"/>
                <w:sz w:val="24"/>
                <w:szCs w:val="24"/>
              </w:rPr>
              <w:t>55</w:t>
            </w:r>
            <w:r w:rsidRPr="00A16FB9">
              <w:rPr>
                <w:rFonts w:eastAsia="Times New Roman" w:asciiTheme="majorHAnsi" w:hAnsiTheme="majorHAnsi" w:cs="Times New Roman"/>
                <w:color w:val="000000"/>
                <w:sz w:val="24"/>
                <w:szCs w:val="24"/>
              </w:rPr>
              <w:t xml:space="preserve">,000 </w:t>
            </w:r>
          </w:p>
        </w:tc>
        <w:tc>
          <w:tcPr>
            <w:tcW w:w="2031" w:type="dxa"/>
            <w:tcBorders>
              <w:top w:val="nil"/>
              <w:left w:val="nil"/>
              <w:bottom w:val="single" w:sz="4" w:space="0" w:color="auto"/>
              <w:right w:val="single" w:sz="8" w:space="0" w:color="auto"/>
            </w:tcBorders>
            <w:vAlign w:val="bottom"/>
            <w:hideMark/>
          </w:tcPr>
          <w:p w:rsidR="00A16FB9" w:rsidRPr="00A16FB9" w:rsidP="00BB2D3D" w14:paraId="1EF628A4" w14:textId="3563A2E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B113C7">
              <w:rPr>
                <w:rFonts w:eastAsia="Times New Roman" w:asciiTheme="majorHAnsi" w:hAnsiTheme="majorHAnsi" w:cs="Times New Roman"/>
                <w:color w:val="000000"/>
                <w:sz w:val="24"/>
                <w:szCs w:val="24"/>
              </w:rPr>
              <w:t>655</w:t>
            </w:r>
            <w:r w:rsidRPr="00A16FB9">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233</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33</w:t>
            </w:r>
            <w:r w:rsidRPr="00A16FB9">
              <w:rPr>
                <w:rFonts w:eastAsia="Times New Roman" w:asciiTheme="majorHAnsi" w:hAnsiTheme="majorHAnsi" w:cs="Times New Roman"/>
                <w:color w:val="000000"/>
                <w:sz w:val="24"/>
                <w:szCs w:val="24"/>
              </w:rPr>
              <w:t xml:space="preserve"> </w:t>
            </w:r>
          </w:p>
        </w:tc>
      </w:tr>
      <w:tr w14:paraId="58AB9B5F"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64F6867A"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Overhead at 100% Salary</w:t>
            </w:r>
          </w:p>
        </w:tc>
        <w:tc>
          <w:tcPr>
            <w:tcW w:w="2031" w:type="dxa"/>
            <w:tcBorders>
              <w:top w:val="nil"/>
              <w:left w:val="nil"/>
              <w:bottom w:val="single" w:sz="4" w:space="0" w:color="auto"/>
              <w:right w:val="single" w:sz="8" w:space="0" w:color="auto"/>
            </w:tcBorders>
            <w:vAlign w:val="bottom"/>
            <w:hideMark/>
          </w:tcPr>
          <w:p w:rsidR="00A16FB9" w:rsidRPr="00A16FB9" w:rsidP="00BB2D3D" w14:paraId="6091E92F" w14:textId="77A15523">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B113C7">
              <w:rPr>
                <w:rFonts w:eastAsia="Times New Roman" w:asciiTheme="majorHAnsi" w:hAnsiTheme="majorHAnsi" w:cs="Times New Roman"/>
                <w:color w:val="000000"/>
                <w:sz w:val="24"/>
                <w:szCs w:val="24"/>
              </w:rPr>
              <w:t>655</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233</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33</w:t>
            </w:r>
            <w:r w:rsidRPr="00A16FB9">
              <w:rPr>
                <w:rFonts w:eastAsia="Times New Roman" w:asciiTheme="majorHAnsi" w:hAnsiTheme="majorHAnsi" w:cs="Times New Roman"/>
                <w:color w:val="000000"/>
                <w:sz w:val="24"/>
                <w:szCs w:val="24"/>
              </w:rPr>
              <w:t xml:space="preserve"> </w:t>
            </w:r>
          </w:p>
        </w:tc>
      </w:tr>
      <w:tr w14:paraId="240B6381" w14:textId="77777777" w:rsidTr="00A16FB9">
        <w:tblPrEx>
          <w:tblW w:w="9016" w:type="dxa"/>
          <w:tblInd w:w="424" w:type="dxa"/>
          <w:tblLook w:val="04A0"/>
        </w:tblPrEx>
        <w:trPr>
          <w:trHeight w:val="290"/>
        </w:trPr>
        <w:tc>
          <w:tcPr>
            <w:tcW w:w="830" w:type="dxa"/>
            <w:tcBorders>
              <w:top w:val="nil"/>
              <w:left w:val="single" w:sz="8" w:space="0" w:color="auto"/>
              <w:bottom w:val="single" w:sz="4" w:space="0" w:color="auto"/>
              <w:right w:val="single" w:sz="4" w:space="0" w:color="auto"/>
            </w:tcBorders>
            <w:vAlign w:val="bottom"/>
            <w:hideMark/>
          </w:tcPr>
          <w:p w:rsidR="00A16FB9" w:rsidRPr="00A16FB9" w:rsidP="00BB2D3D" w14:paraId="4A74698C"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12</w:t>
            </w:r>
          </w:p>
        </w:tc>
        <w:tc>
          <w:tcPr>
            <w:tcW w:w="667" w:type="dxa"/>
            <w:tcBorders>
              <w:top w:val="nil"/>
              <w:left w:val="nil"/>
              <w:bottom w:val="single" w:sz="4" w:space="0" w:color="auto"/>
              <w:right w:val="single" w:sz="4" w:space="0" w:color="auto"/>
            </w:tcBorders>
            <w:vAlign w:val="bottom"/>
            <w:hideMark/>
          </w:tcPr>
          <w:p w:rsidR="00A16FB9" w:rsidRPr="00A16FB9" w:rsidP="00BB2D3D" w14:paraId="6F01F81F"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3</w:t>
            </w:r>
          </w:p>
        </w:tc>
        <w:tc>
          <w:tcPr>
            <w:tcW w:w="979" w:type="dxa"/>
            <w:tcBorders>
              <w:top w:val="nil"/>
              <w:left w:val="nil"/>
              <w:bottom w:val="single" w:sz="4" w:space="0" w:color="auto"/>
              <w:right w:val="single" w:sz="4" w:space="0" w:color="auto"/>
            </w:tcBorders>
            <w:vAlign w:val="bottom"/>
            <w:hideMark/>
          </w:tcPr>
          <w:p w:rsidR="00A16FB9" w:rsidRPr="00A16FB9" w:rsidP="00BB2D3D" w14:paraId="3998BC6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15</w:t>
            </w:r>
          </w:p>
        </w:tc>
        <w:tc>
          <w:tcPr>
            <w:tcW w:w="1077" w:type="dxa"/>
            <w:tcBorders>
              <w:top w:val="nil"/>
              <w:left w:val="nil"/>
              <w:bottom w:val="single" w:sz="4" w:space="0" w:color="auto"/>
              <w:right w:val="single" w:sz="4" w:space="0" w:color="auto"/>
            </w:tcBorders>
            <w:vAlign w:val="bottom"/>
            <w:hideMark/>
          </w:tcPr>
          <w:p w:rsidR="00A16FB9" w:rsidRPr="00A16FB9" w:rsidP="00BB2D3D" w14:paraId="338111C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0.25</w:t>
            </w:r>
          </w:p>
        </w:tc>
        <w:tc>
          <w:tcPr>
            <w:tcW w:w="927" w:type="dxa"/>
            <w:tcBorders>
              <w:top w:val="nil"/>
              <w:left w:val="nil"/>
              <w:bottom w:val="single" w:sz="4" w:space="0" w:color="auto"/>
              <w:right w:val="single" w:sz="4" w:space="0" w:color="auto"/>
            </w:tcBorders>
            <w:vAlign w:val="bottom"/>
            <w:hideMark/>
          </w:tcPr>
          <w:p w:rsidR="00A16FB9" w:rsidRPr="00A16FB9" w:rsidP="00BB2D3D" w14:paraId="79943FB5"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$51.83 </w:t>
            </w:r>
          </w:p>
        </w:tc>
        <w:tc>
          <w:tcPr>
            <w:tcW w:w="1201" w:type="dxa"/>
            <w:tcBorders>
              <w:top w:val="nil"/>
              <w:left w:val="nil"/>
              <w:bottom w:val="single" w:sz="4" w:space="0" w:color="auto"/>
              <w:right w:val="single" w:sz="4" w:space="0" w:color="auto"/>
            </w:tcBorders>
            <w:vAlign w:val="bottom"/>
            <w:hideMark/>
          </w:tcPr>
          <w:p w:rsidR="00A16FB9" w:rsidRPr="00A16FB9" w:rsidP="00BB2D3D" w14:paraId="475CEDF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12.96</w:t>
            </w:r>
          </w:p>
        </w:tc>
        <w:tc>
          <w:tcPr>
            <w:tcW w:w="1304" w:type="dxa"/>
            <w:tcBorders>
              <w:top w:val="nil"/>
              <w:left w:val="nil"/>
              <w:bottom w:val="single" w:sz="4" w:space="0" w:color="auto"/>
              <w:right w:val="single" w:sz="4" w:space="0" w:color="auto"/>
            </w:tcBorders>
            <w:vAlign w:val="bottom"/>
            <w:hideMark/>
          </w:tcPr>
          <w:p w:rsidR="00A16FB9" w:rsidRPr="00A16FB9" w:rsidP="00BB2D3D" w14:paraId="532266F6" w14:textId="491E2576">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w:t>
            </w:r>
            <w:r w:rsidR="00896C10">
              <w:rPr>
                <w:rFonts w:eastAsia="Times New Roman" w:asciiTheme="majorHAnsi" w:hAnsiTheme="majorHAnsi" w:cs="Times New Roman"/>
                <w:color w:val="000000"/>
                <w:sz w:val="24"/>
                <w:szCs w:val="24"/>
              </w:rPr>
              <w:t>55</w:t>
            </w:r>
            <w:r w:rsidRPr="00A16FB9">
              <w:rPr>
                <w:rFonts w:eastAsia="Times New Roman" w:asciiTheme="majorHAnsi" w:hAnsiTheme="majorHAnsi" w:cs="Times New Roman"/>
                <w:color w:val="000000"/>
                <w:sz w:val="24"/>
                <w:szCs w:val="24"/>
              </w:rPr>
              <w:t xml:space="preserve">,000 </w:t>
            </w:r>
          </w:p>
        </w:tc>
        <w:tc>
          <w:tcPr>
            <w:tcW w:w="2031" w:type="dxa"/>
            <w:tcBorders>
              <w:top w:val="nil"/>
              <w:left w:val="nil"/>
              <w:bottom w:val="single" w:sz="4" w:space="0" w:color="auto"/>
              <w:right w:val="single" w:sz="8" w:space="0" w:color="auto"/>
            </w:tcBorders>
            <w:vAlign w:val="bottom"/>
            <w:hideMark/>
          </w:tcPr>
          <w:p w:rsidR="00A16FB9" w:rsidRPr="00A16FB9" w:rsidP="00BB2D3D" w14:paraId="69D4CEB8" w14:textId="4AA82BDF">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w:t>
            </w:r>
            <w:r w:rsidR="00B113C7">
              <w:rPr>
                <w:rFonts w:eastAsia="Times New Roman" w:asciiTheme="majorHAnsi" w:hAnsiTheme="majorHAnsi" w:cs="Times New Roman"/>
                <w:color w:val="000000"/>
                <w:sz w:val="24"/>
                <w:szCs w:val="24"/>
              </w:rPr>
              <w:t>12</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662</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50</w:t>
            </w:r>
            <w:r w:rsidRPr="00A16FB9">
              <w:rPr>
                <w:rFonts w:eastAsia="Times New Roman" w:asciiTheme="majorHAnsi" w:hAnsiTheme="majorHAnsi" w:cs="Times New Roman"/>
                <w:color w:val="000000"/>
                <w:sz w:val="24"/>
                <w:szCs w:val="24"/>
              </w:rPr>
              <w:t xml:space="preserve"> </w:t>
            </w:r>
          </w:p>
        </w:tc>
      </w:tr>
      <w:tr w14:paraId="254C79D5"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63F50C99"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Overhead at 100% Salary</w:t>
            </w:r>
          </w:p>
        </w:tc>
        <w:tc>
          <w:tcPr>
            <w:tcW w:w="2031" w:type="dxa"/>
            <w:tcBorders>
              <w:top w:val="nil"/>
              <w:left w:val="nil"/>
              <w:bottom w:val="single" w:sz="4" w:space="0" w:color="auto"/>
              <w:right w:val="single" w:sz="8" w:space="0" w:color="auto"/>
            </w:tcBorders>
            <w:vAlign w:val="bottom"/>
            <w:hideMark/>
          </w:tcPr>
          <w:p w:rsidR="00A16FB9" w:rsidRPr="00A16FB9" w:rsidP="00BB2D3D" w14:paraId="4AF14763" w14:textId="7C94301A">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7</w:t>
            </w:r>
            <w:r w:rsidR="00B113C7">
              <w:rPr>
                <w:rFonts w:eastAsia="Times New Roman" w:asciiTheme="majorHAnsi" w:hAnsiTheme="majorHAnsi" w:cs="Times New Roman"/>
                <w:color w:val="000000"/>
                <w:sz w:val="24"/>
                <w:szCs w:val="24"/>
              </w:rPr>
              <w:t>12</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662</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50</w:t>
            </w:r>
            <w:r w:rsidRPr="00A16FB9">
              <w:rPr>
                <w:rFonts w:eastAsia="Times New Roman" w:asciiTheme="majorHAnsi" w:hAnsiTheme="majorHAnsi" w:cs="Times New Roman"/>
                <w:color w:val="000000"/>
                <w:sz w:val="24"/>
                <w:szCs w:val="24"/>
              </w:rPr>
              <w:t xml:space="preserve"> </w:t>
            </w:r>
          </w:p>
        </w:tc>
      </w:tr>
      <w:tr w14:paraId="05867EFE"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01EAA431"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w:t>
            </w:r>
          </w:p>
        </w:tc>
        <w:tc>
          <w:tcPr>
            <w:tcW w:w="2031" w:type="dxa"/>
            <w:tcBorders>
              <w:top w:val="nil"/>
              <w:left w:val="nil"/>
              <w:bottom w:val="single" w:sz="4" w:space="0" w:color="auto"/>
              <w:right w:val="single" w:sz="8" w:space="0" w:color="auto"/>
            </w:tcBorders>
            <w:vAlign w:val="bottom"/>
            <w:hideMark/>
          </w:tcPr>
          <w:p w:rsidR="00A16FB9" w:rsidRPr="00A16FB9" w:rsidP="00BB2D3D" w14:paraId="21A9AE0A" w14:textId="77777777">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w:t>
            </w:r>
          </w:p>
        </w:tc>
      </w:tr>
      <w:tr w14:paraId="677BA0C9"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13C29A16"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Processing / Analyzing Costs</w:t>
            </w:r>
          </w:p>
        </w:tc>
        <w:tc>
          <w:tcPr>
            <w:tcW w:w="2031" w:type="dxa"/>
            <w:tcBorders>
              <w:top w:val="nil"/>
              <w:left w:val="nil"/>
              <w:bottom w:val="single" w:sz="4" w:space="0" w:color="auto"/>
              <w:right w:val="single" w:sz="8" w:space="0" w:color="auto"/>
            </w:tcBorders>
            <w:vAlign w:val="bottom"/>
            <w:hideMark/>
          </w:tcPr>
          <w:p w:rsidR="00A16FB9" w:rsidRPr="00A16FB9" w:rsidP="00BB2D3D" w14:paraId="2B9E003B" w14:textId="5CD4CED2">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2,</w:t>
            </w:r>
            <w:r w:rsidR="00B113C7">
              <w:rPr>
                <w:rFonts w:eastAsia="Times New Roman" w:asciiTheme="majorHAnsi" w:hAnsiTheme="majorHAnsi" w:cs="Times New Roman"/>
                <w:color w:val="000000"/>
                <w:sz w:val="24"/>
                <w:szCs w:val="24"/>
              </w:rPr>
              <w:t>735</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791</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67</w:t>
            </w:r>
            <w:r w:rsidRPr="00A16FB9">
              <w:rPr>
                <w:rFonts w:eastAsia="Times New Roman" w:asciiTheme="majorHAnsi" w:hAnsiTheme="majorHAnsi" w:cs="Times New Roman"/>
                <w:color w:val="000000"/>
                <w:sz w:val="24"/>
                <w:szCs w:val="24"/>
              </w:rPr>
              <w:t xml:space="preserve"> </w:t>
            </w:r>
          </w:p>
        </w:tc>
      </w:tr>
      <w:tr w14:paraId="0D33755D" w14:textId="77777777" w:rsidTr="00A16FB9">
        <w:tblPrEx>
          <w:tblW w:w="9016" w:type="dxa"/>
          <w:tblInd w:w="424" w:type="dxa"/>
          <w:tblLook w:val="04A0"/>
        </w:tblPrEx>
        <w:trPr>
          <w:trHeight w:val="290"/>
        </w:trPr>
        <w:tc>
          <w:tcPr>
            <w:tcW w:w="6985" w:type="dxa"/>
            <w:gridSpan w:val="7"/>
            <w:tcBorders>
              <w:top w:val="single" w:sz="4" w:space="0" w:color="auto"/>
              <w:left w:val="single" w:sz="8" w:space="0" w:color="auto"/>
              <w:bottom w:val="single" w:sz="4" w:space="0" w:color="auto"/>
              <w:right w:val="single" w:sz="4" w:space="0" w:color="000000"/>
            </w:tcBorders>
            <w:vAlign w:val="bottom"/>
            <w:hideMark/>
          </w:tcPr>
          <w:p w:rsidR="00A16FB9" w:rsidRPr="00A16FB9" w:rsidP="00BB2D3D" w14:paraId="0CD4388F"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Printing and Production Cost</w:t>
            </w:r>
          </w:p>
        </w:tc>
        <w:tc>
          <w:tcPr>
            <w:tcW w:w="2031" w:type="dxa"/>
            <w:tcBorders>
              <w:top w:val="nil"/>
              <w:left w:val="nil"/>
              <w:bottom w:val="single" w:sz="4" w:space="0" w:color="auto"/>
              <w:right w:val="single" w:sz="8" w:space="0" w:color="auto"/>
            </w:tcBorders>
            <w:vAlign w:val="bottom"/>
            <w:hideMark/>
          </w:tcPr>
          <w:p w:rsidR="00A16FB9" w:rsidRPr="00A16FB9" w:rsidP="00BB2D3D" w14:paraId="448A6AE4" w14:textId="0E0EE9E0">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E05EA7">
              <w:rPr>
                <w:rFonts w:eastAsia="Times New Roman" w:asciiTheme="majorHAnsi" w:hAnsiTheme="majorHAnsi" w:cs="Times New Roman"/>
                <w:color w:val="000000"/>
                <w:sz w:val="24"/>
                <w:szCs w:val="24"/>
              </w:rPr>
              <w:t>3</w:t>
            </w:r>
            <w:r w:rsidR="00B113C7">
              <w:rPr>
                <w:rFonts w:eastAsia="Times New Roman" w:asciiTheme="majorHAnsi" w:hAnsiTheme="majorHAnsi" w:cs="Times New Roman"/>
                <w:color w:val="000000"/>
                <w:sz w:val="24"/>
                <w:szCs w:val="24"/>
              </w:rPr>
              <w:t>0</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397</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69</w:t>
            </w:r>
            <w:r w:rsidRPr="00A16FB9">
              <w:rPr>
                <w:rFonts w:eastAsia="Times New Roman" w:asciiTheme="majorHAnsi" w:hAnsiTheme="majorHAnsi" w:cs="Times New Roman"/>
                <w:color w:val="000000"/>
                <w:sz w:val="24"/>
                <w:szCs w:val="24"/>
              </w:rPr>
              <w:t xml:space="preserve"> </w:t>
            </w:r>
          </w:p>
        </w:tc>
      </w:tr>
      <w:tr w14:paraId="62791619" w14:textId="77777777" w:rsidTr="00A16FB9">
        <w:tblPrEx>
          <w:tblW w:w="9016" w:type="dxa"/>
          <w:tblInd w:w="424" w:type="dxa"/>
          <w:tblLook w:val="04A0"/>
        </w:tblPrEx>
        <w:trPr>
          <w:trHeight w:val="300"/>
        </w:trPr>
        <w:tc>
          <w:tcPr>
            <w:tcW w:w="6985" w:type="dxa"/>
            <w:gridSpan w:val="7"/>
            <w:tcBorders>
              <w:top w:val="single" w:sz="4" w:space="0" w:color="auto"/>
              <w:left w:val="single" w:sz="8" w:space="0" w:color="auto"/>
              <w:bottom w:val="single" w:sz="8" w:space="0" w:color="auto"/>
              <w:right w:val="single" w:sz="4" w:space="0" w:color="000000"/>
            </w:tcBorders>
            <w:vAlign w:val="bottom"/>
            <w:hideMark/>
          </w:tcPr>
          <w:p w:rsidR="00A16FB9" w:rsidRPr="00A16FB9" w:rsidP="00BB2D3D" w14:paraId="0A2A1DAC" w14:textId="77777777">
            <w:pPr>
              <w:spacing w:after="0" w:line="240" w:lineRule="auto"/>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Total Cost to Government</w:t>
            </w:r>
          </w:p>
        </w:tc>
        <w:tc>
          <w:tcPr>
            <w:tcW w:w="2031" w:type="dxa"/>
            <w:tcBorders>
              <w:top w:val="nil"/>
              <w:left w:val="nil"/>
              <w:bottom w:val="single" w:sz="8" w:space="0" w:color="auto"/>
              <w:right w:val="single" w:sz="8" w:space="0" w:color="auto"/>
            </w:tcBorders>
            <w:vAlign w:val="bottom"/>
            <w:hideMark/>
          </w:tcPr>
          <w:p w:rsidR="00A16FB9" w:rsidRPr="00A16FB9" w:rsidP="00BB2D3D" w14:paraId="0CC0FB65" w14:textId="3F0001F2">
            <w:pPr>
              <w:spacing w:after="0" w:line="240" w:lineRule="auto"/>
              <w:jc w:val="center"/>
              <w:rPr>
                <w:rFonts w:eastAsia="Times New Roman" w:asciiTheme="majorHAnsi" w:hAnsiTheme="majorHAnsi" w:cs="Times New Roman"/>
                <w:color w:val="000000"/>
                <w:sz w:val="24"/>
                <w:szCs w:val="24"/>
              </w:rPr>
            </w:pPr>
            <w:r w:rsidRPr="00A16FB9">
              <w:rPr>
                <w:rFonts w:eastAsia="Times New Roman" w:asciiTheme="majorHAnsi" w:hAnsiTheme="majorHAnsi" w:cs="Times New Roman"/>
                <w:color w:val="000000"/>
                <w:sz w:val="24"/>
                <w:szCs w:val="24"/>
              </w:rPr>
              <w:t xml:space="preserve"> $   </w:t>
            </w:r>
            <w:r w:rsidR="00B113C7">
              <w:rPr>
                <w:rFonts w:eastAsia="Times New Roman" w:asciiTheme="majorHAnsi" w:hAnsiTheme="majorHAnsi" w:cs="Times New Roman"/>
                <w:color w:val="000000"/>
                <w:sz w:val="24"/>
                <w:szCs w:val="24"/>
              </w:rPr>
              <w:t>2</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766</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189</w:t>
            </w:r>
            <w:r w:rsidR="00E05EA7">
              <w:rPr>
                <w:rFonts w:eastAsia="Times New Roman" w:asciiTheme="majorHAnsi" w:hAnsiTheme="majorHAnsi" w:cs="Times New Roman"/>
                <w:color w:val="000000"/>
                <w:sz w:val="24"/>
                <w:szCs w:val="24"/>
              </w:rPr>
              <w:t>.</w:t>
            </w:r>
            <w:r w:rsidR="00B113C7">
              <w:rPr>
                <w:rFonts w:eastAsia="Times New Roman" w:asciiTheme="majorHAnsi" w:hAnsiTheme="majorHAnsi" w:cs="Times New Roman"/>
                <w:color w:val="000000"/>
                <w:sz w:val="24"/>
                <w:szCs w:val="24"/>
              </w:rPr>
              <w:t>35</w:t>
            </w:r>
            <w:r w:rsidRPr="00A16FB9">
              <w:rPr>
                <w:rFonts w:eastAsia="Times New Roman" w:asciiTheme="majorHAnsi" w:hAnsiTheme="majorHAnsi" w:cs="Times New Roman"/>
                <w:color w:val="000000"/>
                <w:sz w:val="24"/>
                <w:szCs w:val="24"/>
              </w:rPr>
              <w:t xml:space="preserve"> </w:t>
            </w:r>
          </w:p>
        </w:tc>
      </w:tr>
    </w:tbl>
    <w:p w:rsidR="00A16FB9" w:rsidRPr="00A16FB9" w:rsidP="00A16FB9" w14:paraId="5A51B710" w14:textId="77777777">
      <w:pPr>
        <w:tabs>
          <w:tab w:val="right" w:pos="8370"/>
        </w:tabs>
        <w:spacing w:after="0" w:line="240" w:lineRule="auto"/>
        <w:ind w:left="360" w:right="576"/>
        <w:contextualSpacing/>
        <w:jc w:val="both"/>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ab/>
      </w:r>
    </w:p>
    <w:p w:rsidR="00A16FB9" w:rsidRPr="00A16FB9" w:rsidP="00A16FB9" w14:paraId="0BE8D5EE" w14:textId="77777777">
      <w:pPr>
        <w:spacing w:after="0" w:line="240" w:lineRule="auto"/>
        <w:ind w:right="576"/>
        <w:contextualSpacing/>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 xml:space="preserve">Overhead costs are 100% of salary and are the same as the wage listed above and the amounts are included in the total.  </w:t>
      </w:r>
    </w:p>
    <w:p w:rsidR="00A16FB9" w:rsidRPr="00A16FB9" w:rsidP="00A16FB9" w14:paraId="7E63BB43" w14:textId="77777777">
      <w:pPr>
        <w:spacing w:after="0" w:line="240" w:lineRule="auto"/>
        <w:ind w:right="576"/>
        <w:contextualSpacing/>
        <w:rPr>
          <w:rFonts w:eastAsia="Times New Roman" w:asciiTheme="majorHAnsi" w:hAnsiTheme="majorHAnsi" w:cs="Times New Roman"/>
          <w:sz w:val="24"/>
          <w:szCs w:val="24"/>
        </w:rPr>
      </w:pPr>
    </w:p>
    <w:p w:rsidR="00A16FB9" w:rsidRPr="00A16FB9" w:rsidP="00A16FB9" w14:paraId="5313F532" w14:textId="77777777">
      <w:pPr>
        <w:spacing w:after="0" w:line="240" w:lineRule="auto"/>
        <w:ind w:right="576"/>
        <w:contextualSpacing/>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Printing and production costs approximates the cost of printing this information collection per year. (Processing/Analyzing Cost total divided by $90).</w:t>
      </w:r>
    </w:p>
    <w:p w:rsidR="00A16FB9" w:rsidRPr="00A16FB9" w:rsidP="00A16FB9" w14:paraId="3FB262BE" w14:textId="77777777">
      <w:pPr>
        <w:spacing w:after="0" w:line="240" w:lineRule="auto"/>
        <w:ind w:right="576"/>
        <w:contextualSpacing/>
        <w:jc w:val="both"/>
        <w:rPr>
          <w:rFonts w:eastAsia="Times New Roman" w:asciiTheme="majorHAnsi" w:hAnsiTheme="majorHAnsi" w:cs="Times New Roman"/>
          <w:sz w:val="24"/>
          <w:szCs w:val="24"/>
        </w:rPr>
      </w:pPr>
    </w:p>
    <w:p w:rsidR="00A16FB9" w:rsidRPr="00A16FB9" w:rsidP="00A16FB9" w14:paraId="3982FC39" w14:textId="77777777">
      <w:pPr>
        <w:spacing w:after="0" w:line="240" w:lineRule="auto"/>
        <w:rPr>
          <w:rFonts w:eastAsia="Times New Roman" w:asciiTheme="majorHAnsi" w:hAnsiTheme="majorHAnsi" w:cs="Times New Roman"/>
          <w:sz w:val="24"/>
          <w:szCs w:val="24"/>
        </w:rPr>
      </w:pPr>
      <w:bookmarkStart w:id="1" w:name="_Hlk29579534"/>
      <w:r w:rsidRPr="00A16FB9">
        <w:rPr>
          <w:rFonts w:eastAsia="Times New Roman" w:asciiTheme="majorHAnsi" w:hAnsiTheme="majorHAnsi" w:cs="Times New Roman"/>
          <w:sz w:val="24"/>
          <w:szCs w:val="24"/>
        </w:rPr>
        <w:t>Note: The hourly wage information above is based on the hourly 2024 General Schedule (Base) Pay (</w:t>
      </w:r>
      <w:hyperlink r:id="rId8" w:history="1">
        <w:r w:rsidRPr="00A16FB9">
          <w:rPr>
            <w:rFonts w:eastAsia="Times New Roman" w:asciiTheme="majorHAnsi" w:hAnsiTheme="majorHAnsi" w:cs="Times New Roman"/>
            <w:color w:val="0000FF"/>
            <w:sz w:val="24"/>
            <w:szCs w:val="24"/>
            <w:u w:val="single"/>
          </w:rPr>
          <w:t>Pay &amp; Leave : Salaries &amp; Wages - OPM.gov</w:t>
        </w:r>
      </w:hyperlink>
      <w:r w:rsidRPr="00A16FB9">
        <w:rPr>
          <w:rFonts w:eastAsia="Times New Roman" w:asciiTheme="majorHAnsi" w:hAnsiTheme="majorHAnsi" w:cs="Times New Roman"/>
          <w:sz w:val="24"/>
          <w:szCs w:val="24"/>
        </w:rPr>
        <w:t>). This rate does not include any locality adjustment as applicable.</w:t>
      </w:r>
    </w:p>
    <w:bookmarkEnd w:id="1"/>
    <w:p w:rsidR="00A16FB9" w:rsidRPr="00A16FB9" w:rsidP="00A16FB9" w14:paraId="7112F171" w14:textId="77777777">
      <w:pPr>
        <w:spacing w:after="0" w:line="240" w:lineRule="auto"/>
        <w:rPr>
          <w:rFonts w:eastAsia="Times New Roman" w:asciiTheme="majorHAnsi" w:hAnsiTheme="majorHAnsi" w:cs="Times New Roman"/>
          <w:sz w:val="24"/>
          <w:szCs w:val="24"/>
        </w:rPr>
      </w:pPr>
    </w:p>
    <w:p w:rsidR="00A16FB9" w:rsidRPr="00A16FB9" w:rsidP="00A16FB9" w14:paraId="7EC57AFA" w14:textId="77777777">
      <w:pPr>
        <w:spacing w:after="0" w:line="240" w:lineRule="auto"/>
        <w:ind w:right="684"/>
        <w:rPr>
          <w:rFonts w:eastAsia="Times New Roman" w:asciiTheme="majorHAnsi" w:hAnsiTheme="majorHAnsi" w:cs="Times New Roman"/>
          <w:sz w:val="24"/>
          <w:szCs w:val="24"/>
        </w:rPr>
      </w:pPr>
      <w:r w:rsidRPr="00A16FB9">
        <w:rPr>
          <w:rFonts w:eastAsia="Times New Roman" w:asciiTheme="majorHAnsi" w:hAnsiTheme="majorHAnsi" w:cs="Times New Roman"/>
          <w:sz w:val="24"/>
          <w:szCs w:val="24"/>
        </w:rPr>
        <w:t>The processing time estimates above are based on the actual amount of time employees of each grade level spend to process to completion a claim received on this form. The within-grade step (3) of each employee represents the average experience of employees within each grade.</w:t>
      </w:r>
    </w:p>
    <w:p w:rsidR="00486235" w:rsidRPr="00A16FB9" w:rsidP="00486235" w14:paraId="00E8F084" w14:textId="77777777">
      <w:pPr>
        <w:spacing w:after="0" w:line="240" w:lineRule="auto"/>
        <w:rPr>
          <w:rFonts w:asciiTheme="majorHAnsi" w:hAnsiTheme="majorHAnsi"/>
          <w:sz w:val="24"/>
          <w:szCs w:val="24"/>
        </w:rPr>
      </w:pPr>
    </w:p>
    <w:p w:rsidR="00DA2B37" w:rsidRPr="00A16FB9" w:rsidP="00486235" w14:paraId="035FA49D" w14:textId="37863CD8">
      <w:pPr>
        <w:spacing w:after="0" w:line="240" w:lineRule="auto"/>
        <w:rPr>
          <w:rFonts w:asciiTheme="majorHAnsi" w:hAnsiTheme="majorHAnsi"/>
          <w:sz w:val="24"/>
          <w:szCs w:val="24"/>
          <w:u w:val="single"/>
        </w:rPr>
      </w:pPr>
      <w:r w:rsidRPr="00A16FB9">
        <w:rPr>
          <w:rFonts w:asciiTheme="majorHAnsi" w:hAnsiTheme="majorHAnsi"/>
          <w:sz w:val="24"/>
          <w:szCs w:val="24"/>
        </w:rPr>
        <w:t xml:space="preserve">15. </w:t>
      </w:r>
      <w:r w:rsidRPr="00A16FB9">
        <w:rPr>
          <w:rFonts w:asciiTheme="majorHAnsi" w:hAnsiTheme="majorHAnsi"/>
          <w:sz w:val="24"/>
          <w:szCs w:val="24"/>
        </w:rPr>
        <w:tab/>
      </w:r>
      <w:r w:rsidRPr="00A16FB9">
        <w:rPr>
          <w:rFonts w:asciiTheme="majorHAnsi" w:hAnsiTheme="majorHAnsi"/>
          <w:sz w:val="24"/>
          <w:szCs w:val="24"/>
          <w:u w:val="single"/>
        </w:rPr>
        <w:t>Reasons for Change in Burden</w:t>
      </w:r>
    </w:p>
    <w:p w:rsidR="00B933B0" w:rsidP="00B55E9F" w14:paraId="4E2F1A20" w14:textId="33D902A9">
      <w:pPr>
        <w:spacing w:after="0" w:line="240" w:lineRule="auto"/>
        <w:rPr>
          <w:rFonts w:asciiTheme="majorHAnsi" w:hAnsiTheme="majorHAnsi"/>
          <w:sz w:val="24"/>
        </w:rPr>
      </w:pPr>
      <w:r w:rsidRPr="00EE7DAB">
        <w:rPr>
          <w:rFonts w:asciiTheme="majorHAnsi" w:hAnsiTheme="majorHAnsi"/>
          <w:sz w:val="24"/>
        </w:rPr>
        <w:t>There has been no change in burden since the last approval.</w:t>
      </w:r>
      <w:r>
        <w:rPr>
          <w:rFonts w:asciiTheme="majorHAnsi" w:hAnsiTheme="majorHAnsi"/>
          <w:sz w:val="24"/>
        </w:rPr>
        <w:t xml:space="preserve"> </w:t>
      </w:r>
    </w:p>
    <w:p w:rsidR="00DA2B37" w:rsidP="00486235" w14:paraId="4F64A43C" w14:textId="77777777">
      <w:pPr>
        <w:spacing w:after="0" w:line="240" w:lineRule="auto"/>
        <w:rPr>
          <w:rFonts w:asciiTheme="majorHAnsi" w:hAnsiTheme="majorHAnsi"/>
          <w:sz w:val="24"/>
        </w:rPr>
      </w:pPr>
    </w:p>
    <w:p w:rsidR="00DA2B37" w:rsidP="00486235" w14:paraId="62FD7680" w14:textId="0EF0A092">
      <w:pPr>
        <w:spacing w:after="0" w:line="240" w:lineRule="auto"/>
        <w:rPr>
          <w:rFonts w:asciiTheme="majorHAnsi" w:hAnsiTheme="majorHAnsi"/>
          <w:sz w:val="24"/>
        </w:rPr>
      </w:pPr>
      <w:r>
        <w:rPr>
          <w:rFonts w:asciiTheme="majorHAnsi" w:hAnsiTheme="majorHAnsi"/>
          <w:sz w:val="24"/>
        </w:rPr>
        <w:t xml:space="preserve">16. </w:t>
      </w:r>
      <w:r>
        <w:rPr>
          <w:rFonts w:asciiTheme="majorHAnsi" w:hAnsiTheme="majorHAnsi"/>
          <w:sz w:val="24"/>
        </w:rPr>
        <w:tab/>
      </w:r>
      <w:r w:rsidRPr="005C3A95">
        <w:rPr>
          <w:rFonts w:asciiTheme="majorHAnsi" w:hAnsiTheme="majorHAnsi"/>
          <w:sz w:val="24"/>
          <w:u w:val="single"/>
        </w:rPr>
        <w:t>Publication of Results</w:t>
      </w:r>
    </w:p>
    <w:p w:rsidR="00DA2B37" w:rsidP="00486235" w14:paraId="1D5240A1" w14:textId="2747DF38">
      <w:pPr>
        <w:spacing w:after="0" w:line="240" w:lineRule="auto"/>
        <w:rPr>
          <w:rFonts w:asciiTheme="majorHAnsi" w:hAnsiTheme="majorHAnsi"/>
          <w:sz w:val="24"/>
        </w:rPr>
      </w:pPr>
      <w:r w:rsidRPr="00EE7DAB">
        <w:rPr>
          <w:rFonts w:asciiTheme="majorHAnsi" w:hAnsiTheme="majorHAnsi"/>
          <w:sz w:val="24"/>
        </w:rPr>
        <w:t>The results of this information collection will not be published.</w:t>
      </w:r>
      <w:r>
        <w:rPr>
          <w:rFonts w:asciiTheme="majorHAnsi" w:hAnsiTheme="majorHAnsi"/>
          <w:sz w:val="24"/>
        </w:rPr>
        <w:t xml:space="preserve"> </w:t>
      </w:r>
    </w:p>
    <w:p w:rsidR="005C3A95" w:rsidP="00486235" w14:paraId="7786269E" w14:textId="77777777">
      <w:pPr>
        <w:spacing w:after="0" w:line="240" w:lineRule="auto"/>
        <w:rPr>
          <w:rFonts w:asciiTheme="majorHAnsi" w:hAnsiTheme="majorHAnsi"/>
          <w:sz w:val="24"/>
        </w:rPr>
      </w:pPr>
    </w:p>
    <w:p w:rsidR="005C3A95" w:rsidRPr="0085688C" w:rsidP="00486235" w14:paraId="70847C33" w14:textId="3F3313BA">
      <w:pPr>
        <w:spacing w:after="0" w:line="240" w:lineRule="auto"/>
        <w:rPr>
          <w:rFonts w:asciiTheme="majorHAnsi" w:hAnsiTheme="majorHAnsi"/>
          <w:sz w:val="24"/>
        </w:rPr>
      </w:pPr>
      <w:r>
        <w:rPr>
          <w:rFonts w:asciiTheme="majorHAnsi" w:hAnsiTheme="majorHAnsi"/>
          <w:sz w:val="24"/>
        </w:rPr>
        <w:t xml:space="preserve">17. </w:t>
      </w:r>
      <w:r w:rsidR="00C62D17">
        <w:rPr>
          <w:rFonts w:asciiTheme="majorHAnsi" w:hAnsiTheme="majorHAnsi"/>
          <w:sz w:val="24"/>
        </w:rPr>
        <w:tab/>
      </w:r>
      <w:r w:rsidRPr="00C62D17" w:rsidR="00C62D17">
        <w:rPr>
          <w:rFonts w:asciiTheme="majorHAnsi" w:hAnsiTheme="majorHAnsi"/>
          <w:sz w:val="24"/>
          <w:u w:val="single"/>
        </w:rPr>
        <w:t>Non-Display of OMB Expiration Date</w:t>
      </w:r>
    </w:p>
    <w:p w:rsidR="00C62D17" w:rsidP="00486235" w14:paraId="2111A279" w14:textId="404CC6DF">
      <w:pPr>
        <w:spacing w:after="0" w:line="240" w:lineRule="auto"/>
        <w:rPr>
          <w:rFonts w:asciiTheme="majorHAnsi" w:hAnsiTheme="majorHAnsi"/>
          <w:sz w:val="24"/>
        </w:rPr>
      </w:pPr>
      <w:r w:rsidRPr="00EE7DAB">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3C92B966" w14:textId="77777777">
      <w:pPr>
        <w:spacing w:after="0" w:line="240" w:lineRule="auto"/>
        <w:rPr>
          <w:rFonts w:asciiTheme="majorHAnsi" w:hAnsiTheme="majorHAnsi"/>
          <w:sz w:val="24"/>
        </w:rPr>
      </w:pPr>
    </w:p>
    <w:p w:rsidR="00C62D17" w:rsidRPr="0085688C" w:rsidP="00486235" w14:paraId="63DF55CB" w14:textId="4EFF15B4">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p>
    <w:p w:rsidR="00A50A0F" w:rsidRPr="00C62D17" w:rsidP="00B55E9F" w14:paraId="4F232EA1" w14:textId="2DAB498A">
      <w:pPr>
        <w:spacing w:after="0" w:line="240" w:lineRule="auto"/>
        <w:rPr>
          <w:rFonts w:asciiTheme="majorHAnsi" w:hAnsiTheme="majorHAnsi"/>
          <w:i/>
          <w:sz w:val="24"/>
        </w:rPr>
      </w:pPr>
      <w:r w:rsidRPr="00EE7DAB">
        <w:rPr>
          <w:rFonts w:asciiTheme="majorHAnsi" w:hAnsiTheme="majorHAnsi"/>
          <w:sz w:val="24"/>
        </w:rPr>
        <w:t>We are not requesting an</w:t>
      </w:r>
      <w:r w:rsidRPr="00EE7DAB" w:rsidR="00420AE9">
        <w:rPr>
          <w:rFonts w:asciiTheme="majorHAnsi" w:hAnsiTheme="majorHAnsi"/>
          <w:sz w:val="24"/>
        </w:rPr>
        <w:t>y</w:t>
      </w:r>
      <w:r w:rsidRPr="00EE7DAB">
        <w:rPr>
          <w:rFonts w:asciiTheme="majorHAnsi" w:hAnsiTheme="majorHAnsi"/>
          <w:sz w:val="24"/>
        </w:rPr>
        <w:t xml:space="preserve"> exemption</w:t>
      </w:r>
      <w:r w:rsidRPr="00EE7DAB" w:rsidR="00420AE9">
        <w:rPr>
          <w:rFonts w:asciiTheme="majorHAnsi" w:hAnsiTheme="majorHAnsi"/>
          <w:sz w:val="24"/>
        </w:rPr>
        <w:t>s</w:t>
      </w:r>
      <w:r w:rsidRPr="00EE7DAB">
        <w:rPr>
          <w:rFonts w:asciiTheme="majorHAnsi" w:hAnsiTheme="majorHAnsi"/>
          <w:sz w:val="24"/>
        </w:rPr>
        <w:t xml:space="preserve"> to the provisions </w:t>
      </w:r>
      <w:r w:rsidRPr="00EE7DAB" w:rsidR="00420AE9">
        <w:rPr>
          <w:rFonts w:asciiTheme="majorHAnsi" w:hAnsiTheme="majorHAnsi"/>
          <w:sz w:val="24"/>
        </w:rPr>
        <w:t>stated in 5 CFR 1320.9.</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FFFFFFFF"/>
    <w:lvl w:ilvl="0">
      <w:start w:val="1"/>
      <w:numFmt w:val="decimal"/>
      <w:lvlText w:val="%1."/>
      <w:lvlJc w:val="left"/>
      <w:pPr>
        <w:ind w:left="536" w:hanging="240"/>
      </w:pPr>
      <w:rPr>
        <w:rFonts w:ascii="Times New Roman" w:hAnsi="Times New Roman" w:cs="Times New Roman"/>
        <w:b w:val="0"/>
        <w:bCs w:val="0"/>
        <w:i w:val="0"/>
        <w:iCs w:val="0"/>
        <w:spacing w:val="0"/>
        <w:w w:val="100"/>
        <w:sz w:val="24"/>
        <w:szCs w:val="24"/>
      </w:rPr>
    </w:lvl>
    <w:lvl w:ilvl="1">
      <w:start w:val="0"/>
      <w:numFmt w:val="bullet"/>
      <w:lvlText w:val="•"/>
      <w:lvlJc w:val="left"/>
      <w:pPr>
        <w:ind w:left="296" w:hanging="145"/>
      </w:pPr>
      <w:rPr>
        <w:rFonts w:ascii="Times New Roman" w:hAnsi="Times New Roman" w:cs="Times New Roman"/>
        <w:b w:val="0"/>
        <w:bCs w:val="0"/>
        <w:i w:val="0"/>
        <w:iCs w:val="0"/>
        <w:spacing w:val="0"/>
        <w:w w:val="100"/>
        <w:sz w:val="24"/>
        <w:szCs w:val="24"/>
      </w:rPr>
    </w:lvl>
    <w:lvl w:ilvl="2">
      <w:start w:val="0"/>
      <w:numFmt w:val="bullet"/>
      <w:lvlText w:val="•"/>
      <w:lvlJc w:val="left"/>
      <w:pPr>
        <w:ind w:left="1680" w:hanging="145"/>
      </w:pPr>
    </w:lvl>
    <w:lvl w:ilvl="3">
      <w:start w:val="0"/>
      <w:numFmt w:val="bullet"/>
      <w:lvlText w:val="•"/>
      <w:lvlJc w:val="left"/>
      <w:pPr>
        <w:ind w:left="2820" w:hanging="145"/>
      </w:pPr>
    </w:lvl>
    <w:lvl w:ilvl="4">
      <w:start w:val="0"/>
      <w:numFmt w:val="bullet"/>
      <w:lvlText w:val="•"/>
      <w:lvlJc w:val="left"/>
      <w:pPr>
        <w:ind w:left="3960" w:hanging="145"/>
      </w:pPr>
    </w:lvl>
    <w:lvl w:ilvl="5">
      <w:start w:val="0"/>
      <w:numFmt w:val="bullet"/>
      <w:lvlText w:val="•"/>
      <w:lvlJc w:val="left"/>
      <w:pPr>
        <w:ind w:left="5100" w:hanging="145"/>
      </w:pPr>
    </w:lvl>
    <w:lvl w:ilvl="6">
      <w:start w:val="0"/>
      <w:numFmt w:val="bullet"/>
      <w:lvlText w:val="•"/>
      <w:lvlJc w:val="left"/>
      <w:pPr>
        <w:ind w:left="6240" w:hanging="145"/>
      </w:pPr>
    </w:lvl>
    <w:lvl w:ilvl="7">
      <w:start w:val="0"/>
      <w:numFmt w:val="bullet"/>
      <w:lvlText w:val="•"/>
      <w:lvlJc w:val="left"/>
      <w:pPr>
        <w:ind w:left="7380" w:hanging="145"/>
      </w:pPr>
    </w:lvl>
    <w:lvl w:ilvl="8">
      <w:start w:val="0"/>
      <w:numFmt w:val="bullet"/>
      <w:lvlText w:val="•"/>
      <w:lvlJc w:val="left"/>
      <w:pPr>
        <w:ind w:left="8520" w:hanging="145"/>
      </w:pPr>
    </w:lvl>
  </w:abstractNum>
  <w:abstractNum w:abstractNumId="1">
    <w:nsid w:val="00000403"/>
    <w:multiLevelType w:val="multilevel"/>
    <w:tmpl w:val="FFFFFFFF"/>
    <w:lvl w:ilvl="0">
      <w:start w:val="4"/>
      <w:numFmt w:val="decimal"/>
      <w:lvlText w:val="%1."/>
      <w:lvlJc w:val="left"/>
      <w:pPr>
        <w:ind w:left="531" w:hanging="236"/>
      </w:pPr>
      <w:rPr>
        <w:rFonts w:ascii="Times New Roman" w:hAnsi="Times New Roman" w:cs="Times New Roman"/>
        <w:b w:val="0"/>
        <w:bCs w:val="0"/>
        <w:i w:val="0"/>
        <w:iCs w:val="0"/>
        <w:spacing w:val="0"/>
        <w:w w:val="100"/>
        <w:sz w:val="24"/>
        <w:szCs w:val="24"/>
      </w:rPr>
    </w:lvl>
    <w:lvl w:ilvl="1">
      <w:start w:val="0"/>
      <w:numFmt w:val="bullet"/>
      <w:lvlText w:val="•"/>
      <w:lvlJc w:val="left"/>
      <w:pPr>
        <w:ind w:left="296" w:hanging="131"/>
      </w:pPr>
      <w:rPr>
        <w:rFonts w:ascii="Times New Roman" w:hAnsi="Times New Roman" w:cs="Times New Roman"/>
        <w:b w:val="0"/>
        <w:bCs w:val="0"/>
        <w:i w:val="0"/>
        <w:iCs w:val="0"/>
        <w:spacing w:val="0"/>
        <w:w w:val="100"/>
        <w:sz w:val="24"/>
        <w:szCs w:val="24"/>
      </w:rPr>
    </w:lvl>
    <w:lvl w:ilvl="2">
      <w:start w:val="0"/>
      <w:numFmt w:val="bullet"/>
      <w:lvlText w:val="•"/>
      <w:lvlJc w:val="left"/>
      <w:pPr>
        <w:ind w:left="1680" w:hanging="131"/>
      </w:pPr>
    </w:lvl>
    <w:lvl w:ilvl="3">
      <w:start w:val="0"/>
      <w:numFmt w:val="bullet"/>
      <w:lvlText w:val="•"/>
      <w:lvlJc w:val="left"/>
      <w:pPr>
        <w:ind w:left="2820" w:hanging="131"/>
      </w:pPr>
    </w:lvl>
    <w:lvl w:ilvl="4">
      <w:start w:val="0"/>
      <w:numFmt w:val="bullet"/>
      <w:lvlText w:val="•"/>
      <w:lvlJc w:val="left"/>
      <w:pPr>
        <w:ind w:left="3960" w:hanging="131"/>
      </w:pPr>
    </w:lvl>
    <w:lvl w:ilvl="5">
      <w:start w:val="0"/>
      <w:numFmt w:val="bullet"/>
      <w:lvlText w:val="•"/>
      <w:lvlJc w:val="left"/>
      <w:pPr>
        <w:ind w:left="5100" w:hanging="131"/>
      </w:pPr>
    </w:lvl>
    <w:lvl w:ilvl="6">
      <w:start w:val="0"/>
      <w:numFmt w:val="bullet"/>
      <w:lvlText w:val="•"/>
      <w:lvlJc w:val="left"/>
      <w:pPr>
        <w:ind w:left="6240" w:hanging="131"/>
      </w:pPr>
    </w:lvl>
    <w:lvl w:ilvl="7">
      <w:start w:val="0"/>
      <w:numFmt w:val="bullet"/>
      <w:lvlText w:val="•"/>
      <w:lvlJc w:val="left"/>
      <w:pPr>
        <w:ind w:left="7380" w:hanging="131"/>
      </w:pPr>
    </w:lvl>
    <w:lvl w:ilvl="8">
      <w:start w:val="0"/>
      <w:numFmt w:val="bullet"/>
      <w:lvlText w:val="•"/>
      <w:lvlJc w:val="left"/>
      <w:pPr>
        <w:ind w:left="8520" w:hanging="131"/>
      </w:pPr>
    </w:lvl>
  </w:abstractNum>
  <w:abstractNum w:abstractNumId="2">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38E7ED5"/>
    <w:multiLevelType w:val="hybridMultilevel"/>
    <w:tmpl w:val="0C9AD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4">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1">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2232075">
    <w:abstractNumId w:val="17"/>
  </w:num>
  <w:num w:numId="2" w16cid:durableId="1482695173">
    <w:abstractNumId w:val="2"/>
  </w:num>
  <w:num w:numId="3" w16cid:durableId="316612182">
    <w:abstractNumId w:val="14"/>
  </w:num>
  <w:num w:numId="4" w16cid:durableId="1955089295">
    <w:abstractNumId w:val="13"/>
  </w:num>
  <w:num w:numId="5" w16cid:durableId="872226322">
    <w:abstractNumId w:val="21"/>
  </w:num>
  <w:num w:numId="6" w16cid:durableId="566115916">
    <w:abstractNumId w:val="4"/>
  </w:num>
  <w:num w:numId="7" w16cid:durableId="478309871">
    <w:abstractNumId w:val="22"/>
  </w:num>
  <w:num w:numId="8" w16cid:durableId="2105303523">
    <w:abstractNumId w:val="19"/>
  </w:num>
  <w:num w:numId="9" w16cid:durableId="1635792953">
    <w:abstractNumId w:val="23"/>
  </w:num>
  <w:num w:numId="10" w16cid:durableId="373308623">
    <w:abstractNumId w:val="6"/>
  </w:num>
  <w:num w:numId="11" w16cid:durableId="21369453">
    <w:abstractNumId w:val="18"/>
  </w:num>
  <w:num w:numId="12" w16cid:durableId="1498229727">
    <w:abstractNumId w:val="20"/>
  </w:num>
  <w:num w:numId="13" w16cid:durableId="665396776">
    <w:abstractNumId w:val="25"/>
  </w:num>
  <w:num w:numId="14" w16cid:durableId="932128350">
    <w:abstractNumId w:val="26"/>
  </w:num>
  <w:num w:numId="15" w16cid:durableId="131096987">
    <w:abstractNumId w:val="12"/>
  </w:num>
  <w:num w:numId="16" w16cid:durableId="1791894794">
    <w:abstractNumId w:val="11"/>
  </w:num>
  <w:num w:numId="17" w16cid:durableId="204560230">
    <w:abstractNumId w:val="15"/>
  </w:num>
  <w:num w:numId="18" w16cid:durableId="2037191835">
    <w:abstractNumId w:val="10"/>
  </w:num>
  <w:num w:numId="19" w16cid:durableId="700475658">
    <w:abstractNumId w:val="9"/>
  </w:num>
  <w:num w:numId="20" w16cid:durableId="805969465">
    <w:abstractNumId w:val="8"/>
  </w:num>
  <w:num w:numId="21" w16cid:durableId="472255321">
    <w:abstractNumId w:val="16"/>
  </w:num>
  <w:num w:numId="22" w16cid:durableId="1141387440">
    <w:abstractNumId w:val="5"/>
  </w:num>
  <w:num w:numId="23" w16cid:durableId="817233956">
    <w:abstractNumId w:val="7"/>
  </w:num>
  <w:num w:numId="24" w16cid:durableId="639655722">
    <w:abstractNumId w:val="24"/>
  </w:num>
  <w:num w:numId="25" w16cid:durableId="60951939">
    <w:abstractNumId w:val="3"/>
  </w:num>
  <w:num w:numId="26" w16cid:durableId="334840319">
    <w:abstractNumId w:val="1"/>
  </w:num>
  <w:num w:numId="27" w16cid:durableId="361562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B0E70"/>
    <w:rsid w:val="000E0D3C"/>
    <w:rsid w:val="000E20B9"/>
    <w:rsid w:val="00105F45"/>
    <w:rsid w:val="00127B46"/>
    <w:rsid w:val="0019309D"/>
    <w:rsid w:val="001B761F"/>
    <w:rsid w:val="001B7C98"/>
    <w:rsid w:val="001D126E"/>
    <w:rsid w:val="001F526C"/>
    <w:rsid w:val="00200261"/>
    <w:rsid w:val="00203BC2"/>
    <w:rsid w:val="00211832"/>
    <w:rsid w:val="00222D1B"/>
    <w:rsid w:val="00224041"/>
    <w:rsid w:val="0022748C"/>
    <w:rsid w:val="00235D71"/>
    <w:rsid w:val="0024335E"/>
    <w:rsid w:val="00254DCF"/>
    <w:rsid w:val="002567F9"/>
    <w:rsid w:val="00274CC5"/>
    <w:rsid w:val="0027743E"/>
    <w:rsid w:val="00284E68"/>
    <w:rsid w:val="00293BC6"/>
    <w:rsid w:val="00294E92"/>
    <w:rsid w:val="002C0BAE"/>
    <w:rsid w:val="002D7713"/>
    <w:rsid w:val="00310D80"/>
    <w:rsid w:val="003132E7"/>
    <w:rsid w:val="00331D7E"/>
    <w:rsid w:val="00333223"/>
    <w:rsid w:val="00333BEB"/>
    <w:rsid w:val="00337EF1"/>
    <w:rsid w:val="00340D9B"/>
    <w:rsid w:val="003552D9"/>
    <w:rsid w:val="00371F5A"/>
    <w:rsid w:val="00394A8A"/>
    <w:rsid w:val="003B3358"/>
    <w:rsid w:val="003C0540"/>
    <w:rsid w:val="00401814"/>
    <w:rsid w:val="00420AE9"/>
    <w:rsid w:val="004277B3"/>
    <w:rsid w:val="00470DA3"/>
    <w:rsid w:val="004718B3"/>
    <w:rsid w:val="00480AFF"/>
    <w:rsid w:val="00486235"/>
    <w:rsid w:val="004874A4"/>
    <w:rsid w:val="00490797"/>
    <w:rsid w:val="004A05D4"/>
    <w:rsid w:val="004C74D6"/>
    <w:rsid w:val="004F4F5D"/>
    <w:rsid w:val="00502FF3"/>
    <w:rsid w:val="00510F0C"/>
    <w:rsid w:val="00520B36"/>
    <w:rsid w:val="005657F6"/>
    <w:rsid w:val="00571698"/>
    <w:rsid w:val="00576EDB"/>
    <w:rsid w:val="00594B6B"/>
    <w:rsid w:val="00596BBA"/>
    <w:rsid w:val="005C3A95"/>
    <w:rsid w:val="005C7428"/>
    <w:rsid w:val="005D5C81"/>
    <w:rsid w:val="006132E7"/>
    <w:rsid w:val="00642741"/>
    <w:rsid w:val="00646CA5"/>
    <w:rsid w:val="0065530D"/>
    <w:rsid w:val="00657951"/>
    <w:rsid w:val="00697EDB"/>
    <w:rsid w:val="006A13FA"/>
    <w:rsid w:val="006C5C7F"/>
    <w:rsid w:val="006E563D"/>
    <w:rsid w:val="006F2DF8"/>
    <w:rsid w:val="00722FDB"/>
    <w:rsid w:val="00725BC0"/>
    <w:rsid w:val="0077261C"/>
    <w:rsid w:val="00774D2D"/>
    <w:rsid w:val="007855AB"/>
    <w:rsid w:val="007A6E58"/>
    <w:rsid w:val="007B701A"/>
    <w:rsid w:val="007E0E8E"/>
    <w:rsid w:val="00831F49"/>
    <w:rsid w:val="0085688C"/>
    <w:rsid w:val="008635C4"/>
    <w:rsid w:val="00874BE7"/>
    <w:rsid w:val="00896C10"/>
    <w:rsid w:val="008A06EF"/>
    <w:rsid w:val="008D1294"/>
    <w:rsid w:val="008E3029"/>
    <w:rsid w:val="0095310D"/>
    <w:rsid w:val="00984891"/>
    <w:rsid w:val="0098628F"/>
    <w:rsid w:val="00994F2B"/>
    <w:rsid w:val="00996894"/>
    <w:rsid w:val="009A197A"/>
    <w:rsid w:val="009A6246"/>
    <w:rsid w:val="009B71A5"/>
    <w:rsid w:val="009C5DD2"/>
    <w:rsid w:val="009D4481"/>
    <w:rsid w:val="009F2544"/>
    <w:rsid w:val="00A01274"/>
    <w:rsid w:val="00A16FB9"/>
    <w:rsid w:val="00A50A0F"/>
    <w:rsid w:val="00A534AB"/>
    <w:rsid w:val="00A57892"/>
    <w:rsid w:val="00A75C3C"/>
    <w:rsid w:val="00A76F7E"/>
    <w:rsid w:val="00A77157"/>
    <w:rsid w:val="00AB4319"/>
    <w:rsid w:val="00B113C7"/>
    <w:rsid w:val="00B52ACA"/>
    <w:rsid w:val="00B52F4E"/>
    <w:rsid w:val="00B55E9F"/>
    <w:rsid w:val="00B70464"/>
    <w:rsid w:val="00B72C80"/>
    <w:rsid w:val="00B933B0"/>
    <w:rsid w:val="00BB2D3D"/>
    <w:rsid w:val="00BC7E62"/>
    <w:rsid w:val="00BD7755"/>
    <w:rsid w:val="00BE535D"/>
    <w:rsid w:val="00C33684"/>
    <w:rsid w:val="00C50C79"/>
    <w:rsid w:val="00C62D17"/>
    <w:rsid w:val="00C65209"/>
    <w:rsid w:val="00C779EB"/>
    <w:rsid w:val="00C808F4"/>
    <w:rsid w:val="00CA15B1"/>
    <w:rsid w:val="00CC24D5"/>
    <w:rsid w:val="00CC2835"/>
    <w:rsid w:val="00CE2517"/>
    <w:rsid w:val="00D12BF7"/>
    <w:rsid w:val="00D21AA6"/>
    <w:rsid w:val="00D462F7"/>
    <w:rsid w:val="00D734A2"/>
    <w:rsid w:val="00DA2B37"/>
    <w:rsid w:val="00E01A02"/>
    <w:rsid w:val="00E05EA7"/>
    <w:rsid w:val="00E2489B"/>
    <w:rsid w:val="00E5409A"/>
    <w:rsid w:val="00E65D41"/>
    <w:rsid w:val="00E87C81"/>
    <w:rsid w:val="00E95FFB"/>
    <w:rsid w:val="00EA5499"/>
    <w:rsid w:val="00EA6C04"/>
    <w:rsid w:val="00EE7DAB"/>
    <w:rsid w:val="00F06B06"/>
    <w:rsid w:val="00F25499"/>
    <w:rsid w:val="00F86C35"/>
    <w:rsid w:val="00F97482"/>
    <w:rsid w:val="00FB569C"/>
    <w:rsid w:val="00FE4B1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A832316"/>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AB431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5EA7"/>
    <w:rPr>
      <w:color w:val="605E5C"/>
      <w:shd w:val="clear" w:color="auto" w:fill="E1DFDD"/>
    </w:rPr>
  </w:style>
  <w:style w:type="character" w:customStyle="1" w:styleId="Heading1Char">
    <w:name w:val="Heading 1 Char"/>
    <w:basedOn w:val="DefaultParagraphFont"/>
    <w:link w:val="Heading1"/>
    <w:uiPriority w:val="9"/>
    <w:rsid w:val="00AB431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data.bls.gov/oes/" TargetMode="External" /><Relationship Id="rId8" Type="http://schemas.openxmlformats.org/officeDocument/2006/relationships/hyperlink" Target="https://www.opm.gov/policy-data-oversight/pay-leave/salaries-wages/salary-tables/25Tables/html/DCB_h.aspx"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0E838FB72F014FA2E644620FE0CA4D" ma:contentTypeVersion="22" ma:contentTypeDescription="Create a new document." ma:contentTypeScope="" ma:versionID="dc2a3ed1d0dc54804f2c87925efe6fa6">
  <xsd:schema xmlns:xsd="http://www.w3.org/2001/XMLSchema" xmlns:xs="http://www.w3.org/2001/XMLSchema" xmlns:p="http://schemas.microsoft.com/office/2006/metadata/properties" xmlns:ns1="http://schemas.microsoft.com/sharepoint/v3" xmlns:ns2="ac9663f9-fb17-44e5-9d80-4005cab65db0" xmlns:ns3="a9639fa6-b8cf-4a11-8ed2-c07d7a0c7fed" targetNamespace="http://schemas.microsoft.com/office/2006/metadata/properties" ma:root="true" ma:fieldsID="36122287dd88523ae7b6ca69652fd87d" ns1:_="" ns2:_="" ns3:_="">
    <xsd:import namespace="http://schemas.microsoft.com/sharepoint/v3"/>
    <xsd:import namespace="ac9663f9-fb17-44e5-9d80-4005cab65db0"/>
    <xsd:import namespace="a9639fa6-b8cf-4a11-8ed2-c07d7a0c7f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Loca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9663f9-fb17-44e5-9d80-4005cab65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ac6538-d41a-4f9a-bd67-5f7ae81a6d7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_ApprovalAssignedTo" ma:index="26"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7"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8"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9"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639fa6-b8cf-4a11-8ed2-c07d7a0c7fe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345356-c0d6-4174-934e-558b32cce8aa}" ma:internalName="TaxCatchAll" ma:showField="CatchAllData" ma:web="a9639fa6-b8cf-4a11-8ed2-c07d7a0c7f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9639fa6-b8cf-4a11-8ed2-c07d7a0c7fed" xsi:nil="true"/>
    <lcf76f155ced4ddcb4097134ff3c332f xmlns="ac9663f9-fb17-44e5-9d80-4005cab65db0">
      <Terms xmlns="http://schemas.microsoft.com/office/infopath/2007/PartnerControls"/>
    </lcf76f155ced4ddcb4097134ff3c332f>
    <_ApprovalAssignedTo xmlns="ac9663f9-fb17-44e5-9d80-4005cab65db0">
      <UserInfo>
        <DisplayName/>
        <AccountId xsi:nil="true"/>
        <AccountType/>
      </UserInfo>
    </_ApprovalAssignedTo>
    <_ApprovalRespondedBy xmlns="ac9663f9-fb17-44e5-9d80-4005cab65db0">
      <UserInfo>
        <DisplayName/>
        <AccountId xsi:nil="true"/>
        <AccountType/>
      </UserInfo>
    </_ApprovalRespondedBy>
    <_ApprovalStatus xmlns="ac9663f9-fb17-44e5-9d80-4005cab65db0">0</_ApprovalStatus>
    <_ApprovalSentBy xmlns="ac9663f9-fb17-44e5-9d80-4005cab65db0">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C305AA-2D0E-439E-A2D3-C5859080E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9663f9-fb17-44e5-9d80-4005cab65db0"/>
    <ds:schemaRef ds:uri="a9639fa6-b8cf-4a11-8ed2-c07d7a0c7f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0A4C5D-EFD7-466F-A257-7812DC72ACF5}">
  <ds:schemaRefs>
    <ds:schemaRef ds:uri="http://schemas.microsoft.com/office/2006/metadata/properties"/>
    <ds:schemaRef ds:uri="http://schemas.microsoft.com/office/infopath/2007/PartnerControls"/>
    <ds:schemaRef ds:uri="http://schemas.microsoft.com/sharepoint/v3"/>
    <ds:schemaRef ds:uri="a9639fa6-b8cf-4a11-8ed2-c07d7a0c7fed"/>
    <ds:schemaRef ds:uri="ac9663f9-fb17-44e5-9d80-4005cab65db0"/>
  </ds:schemaRefs>
</ds:datastoreItem>
</file>

<file path=customXml/itemProps3.xml><?xml version="1.0" encoding="utf-8"?>
<ds:datastoreItem xmlns:ds="http://schemas.openxmlformats.org/officeDocument/2006/customXml" ds:itemID="{18310532-D295-4ADB-87C4-D09AD0E04807}">
  <ds:schemaRefs>
    <ds:schemaRef ds:uri="http://schemas.microsoft.com/sharepoint/v3/contenttype/forms"/>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1670</Words>
  <Characters>9520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McCleave, Kendra</cp:lastModifiedBy>
  <cp:revision>2</cp:revision>
  <cp:lastPrinted>2016-09-20T19:55:00Z</cp:lastPrinted>
  <dcterms:created xsi:type="dcterms:W3CDTF">2026-10-20T15:59:00Z</dcterms:created>
  <dcterms:modified xsi:type="dcterms:W3CDTF">2026-10-20T15:59:00Z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0x010100830E838FB72F014FA2E644620FE0CA4D</vt:lpwstr>
  </property>
  <property fmtid="{D5CDD505-2E9C-101B-9397-08002B2CF9AE}" pid="3" name="GrammarlyDocumentId">
    <vt:lpwstr>dad372bfa3652cf18f833ce4f4a7ba4d10f3b2db73fa540935e8c0e5383f4753</vt:lpwstr>
  </property>
  <property fmtid="{D5CDD505-2E9C-101B-9397-08002B2CF9AE}" pid="4" name="MediaServiceImageTags">
    <vt:lpwstr/>
  </property>
</Properties>
</file>