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921D2" w:rsidRPr="008D1962" w:rsidP="007921D2" w14:paraId="1117605E" w14:textId="77777777">
      <w:pPr>
        <w:tabs>
          <w:tab w:val="center" w:pos="4680"/>
        </w:tabs>
        <w:jc w:val="center"/>
        <w:rPr>
          <w:rFonts w:ascii="Times New Roman" w:hAnsi="Times New Roman"/>
          <w:szCs w:val="24"/>
        </w:rPr>
      </w:pPr>
      <w:r w:rsidRPr="008D1962">
        <w:rPr>
          <w:rFonts w:ascii="Times New Roman" w:hAnsi="Times New Roman"/>
          <w:szCs w:val="24"/>
        </w:rPr>
        <w:t>SUPPORTING STATEMENT</w:t>
      </w:r>
    </w:p>
    <w:p w:rsidR="008D1962" w:rsidRPr="008D1962" w:rsidP="008D1962" w14:paraId="4A66A1BF" w14:textId="77777777">
      <w:pPr>
        <w:tabs>
          <w:tab w:val="center" w:pos="4680"/>
        </w:tabs>
        <w:jc w:val="center"/>
        <w:rPr>
          <w:rFonts w:ascii="Times New Roman" w:hAnsi="Times New Roman"/>
        </w:rPr>
      </w:pPr>
      <w:r w:rsidRPr="008D1962">
        <w:rPr>
          <w:rFonts w:ascii="Times New Roman" w:hAnsi="Times New Roman"/>
        </w:rPr>
        <w:t>Assessments Thresholds, Rate Schedules, and Adjustments</w:t>
      </w:r>
    </w:p>
    <w:p w:rsidR="007921D2" w:rsidRPr="008D1962" w:rsidP="007921D2" w14:paraId="3C37E20E" w14:textId="77777777">
      <w:pPr>
        <w:tabs>
          <w:tab w:val="center" w:pos="4680"/>
        </w:tabs>
        <w:jc w:val="center"/>
        <w:rPr>
          <w:rFonts w:ascii="Times New Roman" w:hAnsi="Times New Roman"/>
          <w:szCs w:val="24"/>
        </w:rPr>
      </w:pPr>
      <w:r w:rsidRPr="008D1962">
        <w:rPr>
          <w:rFonts w:ascii="Times New Roman" w:hAnsi="Times New Roman"/>
          <w:szCs w:val="24"/>
        </w:rPr>
        <w:t>(OMB Control No. 3064-NEW)</w:t>
      </w:r>
    </w:p>
    <w:p w:rsidR="007921D2" w:rsidRPr="008D1962" w:rsidP="007921D2" w14:paraId="46E80309"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7921D2" w:rsidRPr="008D1962" w:rsidP="007921D2" w14:paraId="4DC942D7"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u w:val="single"/>
        </w:rPr>
      </w:pPr>
      <w:r w:rsidRPr="008D1962">
        <w:rPr>
          <w:rFonts w:ascii="Times New Roman" w:hAnsi="Times New Roman"/>
          <w:szCs w:val="24"/>
          <w:u w:val="single"/>
        </w:rPr>
        <w:t>INTRODUCTION</w:t>
      </w:r>
    </w:p>
    <w:p w:rsidR="001362D5" w:rsidRPr="008D1962" w:rsidP="007921D2" w14:paraId="1A5AE7D6"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7921D2" w:rsidRPr="008D1962" w:rsidP="00D80E81" w14:paraId="12CC4978" w14:textId="226F4502">
      <w:pPr>
        <w:rPr>
          <w:rFonts w:ascii="Times New Roman" w:eastAsia="Aptos" w:hAnsi="Times New Roman"/>
          <w:b/>
          <w:bCs/>
          <w:snapToGrid/>
          <w:color w:val="FF0000"/>
          <w:szCs w:val="24"/>
        </w:rPr>
      </w:pPr>
      <w:r w:rsidRPr="008D1962">
        <w:rPr>
          <w:rFonts w:ascii="Times New Roman" w:hAnsi="Times New Roman"/>
          <w:szCs w:val="24"/>
        </w:rPr>
        <w:t xml:space="preserve">The Federal Deposit Insurance Corporation (FDIC) is requesting approval from the Office of Management and Budget (OMB) to establish a new information collection contained in a notice of </w:t>
      </w:r>
      <w:r w:rsidRPr="00DF34F6">
        <w:rPr>
          <w:rFonts w:ascii="Times New Roman" w:hAnsi="Times New Roman"/>
          <w:szCs w:val="24"/>
        </w:rPr>
        <w:t>proposed rulemaking on “</w:t>
      </w:r>
      <w:r w:rsidRPr="00DF34F6" w:rsidR="008D1962">
        <w:rPr>
          <w:rFonts w:ascii="Times New Roman" w:eastAsia="Aptos" w:hAnsi="Times New Roman"/>
          <w:snapToGrid/>
          <w:szCs w:val="24"/>
        </w:rPr>
        <w:t>Assessments Thresholds, Rate Schedules, and Adjustments</w:t>
      </w:r>
      <w:r w:rsidRPr="00DF34F6">
        <w:rPr>
          <w:rFonts w:ascii="Times New Roman" w:hAnsi="Times New Roman"/>
          <w:szCs w:val="24"/>
        </w:rPr>
        <w:t>.” The pro</w:t>
      </w:r>
      <w:r w:rsidRPr="00DF34F6" w:rsidR="00A83503">
        <w:rPr>
          <w:rFonts w:ascii="Times New Roman" w:hAnsi="Times New Roman"/>
          <w:szCs w:val="24"/>
        </w:rPr>
        <w:t>posed rule</w:t>
      </w:r>
      <w:r w:rsidRPr="00DF34F6">
        <w:rPr>
          <w:rFonts w:ascii="Times New Roman" w:hAnsi="Times New Roman"/>
          <w:szCs w:val="24"/>
        </w:rPr>
        <w:t xml:space="preserve"> seeks to impose</w:t>
      </w:r>
      <w:r w:rsidRPr="00DF34F6" w:rsidR="00F15AB4">
        <w:rPr>
          <w:rFonts w:ascii="Times New Roman" w:hAnsi="Times New Roman"/>
          <w:szCs w:val="24"/>
        </w:rPr>
        <w:t xml:space="preserve"> </w:t>
      </w:r>
      <w:r w:rsidRPr="00DF34F6" w:rsidR="0063790C">
        <w:rPr>
          <w:rFonts w:ascii="Times New Roman" w:hAnsi="Times New Roman"/>
          <w:szCs w:val="24"/>
        </w:rPr>
        <w:t xml:space="preserve">new </w:t>
      </w:r>
      <w:r w:rsidRPr="00DF34F6" w:rsidR="00DF34F6">
        <w:rPr>
          <w:rFonts w:ascii="Times New Roman" w:hAnsi="Times New Roman"/>
          <w:szCs w:val="24"/>
        </w:rPr>
        <w:t>reporting</w:t>
      </w:r>
      <w:r w:rsidRPr="00DF34F6" w:rsidR="00FD4BDF">
        <w:rPr>
          <w:rFonts w:ascii="Times New Roman" w:hAnsi="Times New Roman"/>
          <w:szCs w:val="24"/>
        </w:rPr>
        <w:t xml:space="preserve"> </w:t>
      </w:r>
      <w:r w:rsidRPr="00DF34F6">
        <w:rPr>
          <w:rFonts w:ascii="Times New Roman" w:hAnsi="Times New Roman"/>
          <w:szCs w:val="24"/>
        </w:rPr>
        <w:t>requirements under the Paperwork Reduction Act (PRA</w:t>
      </w:r>
      <w:r w:rsidRPr="00676962">
        <w:rPr>
          <w:rFonts w:ascii="Times New Roman" w:hAnsi="Times New Roman"/>
          <w:szCs w:val="24"/>
        </w:rPr>
        <w:t>)</w:t>
      </w:r>
      <w:r w:rsidRPr="00676962" w:rsidR="00676962">
        <w:rPr>
          <w:rFonts w:ascii="Times New Roman" w:hAnsi="Times New Roman"/>
          <w:szCs w:val="24"/>
        </w:rPr>
        <w:t>.</w:t>
      </w:r>
      <w:r>
        <w:rPr>
          <w:rFonts w:ascii="Times New Roman" w:hAnsi="Times New Roman"/>
          <w:szCs w:val="24"/>
          <w:vertAlign w:val="superscript"/>
        </w:rPr>
        <w:footnoteReference w:id="2"/>
      </w:r>
      <w:r w:rsidRPr="00676962">
        <w:rPr>
          <w:rFonts w:ascii="Times New Roman" w:hAnsi="Times New Roman"/>
          <w:szCs w:val="24"/>
        </w:rPr>
        <w:t xml:space="preserve"> As a result, the FDIC is requesting approval from the OMB and asks that the OMB assign an OMB control number.</w:t>
      </w:r>
    </w:p>
    <w:p w:rsidR="007921D2" w:rsidRPr="00CA1FEC" w:rsidP="007921D2" w14:paraId="422B2A7B"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7921D2" w:rsidRPr="00CA1FEC" w:rsidP="007921D2" w14:paraId="0D0978C5" w14:textId="77777777">
      <w:pPr>
        <w:pStyle w:val="ListParagraph"/>
        <w:numPr>
          <w:ilvl w:val="0"/>
          <w:numId w:val="1"/>
        </w:numPr>
        <w:rPr>
          <w:rFonts w:ascii="Times New Roman" w:hAnsi="Times New Roman"/>
          <w:szCs w:val="24"/>
        </w:rPr>
      </w:pPr>
      <w:r w:rsidRPr="00CA1FEC">
        <w:rPr>
          <w:rFonts w:ascii="Times New Roman" w:hAnsi="Times New Roman"/>
          <w:szCs w:val="24"/>
          <w:u w:val="single"/>
        </w:rPr>
        <w:t>JUSTIFICATION</w:t>
      </w:r>
    </w:p>
    <w:p w:rsidR="007921D2" w:rsidRPr="00CA1FEC" w:rsidP="007921D2" w14:paraId="3F6AC701" w14:textId="77777777">
      <w:pPr>
        <w:rPr>
          <w:rFonts w:ascii="Times New Roman" w:hAnsi="Times New Roman"/>
          <w:i/>
          <w:szCs w:val="24"/>
        </w:rPr>
      </w:pPr>
    </w:p>
    <w:p w:rsidR="007921D2" w:rsidRPr="00CA1FEC" w:rsidP="007921D2" w14:paraId="7E6135FE"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CA1FEC">
        <w:rPr>
          <w:rFonts w:ascii="Times New Roman" w:hAnsi="Times New Roman"/>
          <w:szCs w:val="24"/>
          <w:u w:val="single"/>
        </w:rPr>
        <w:t>Circumstances that make the collection necessary:</w:t>
      </w:r>
    </w:p>
    <w:p w:rsidR="007921D2" w:rsidRPr="008D1962" w:rsidP="007921D2" w14:paraId="72616029" w14:textId="77777777">
      <w:pPr>
        <w:rPr>
          <w:rFonts w:ascii="Times New Roman" w:hAnsi="Times New Roman"/>
          <w:i/>
          <w:color w:val="FF0000"/>
          <w:szCs w:val="24"/>
        </w:rPr>
      </w:pPr>
    </w:p>
    <w:p w:rsidR="00C942F7" w:rsidRPr="00FE1DDE" w:rsidP="00590A2D" w14:paraId="131BF72D" w14:textId="77E3C143">
      <w:pPr>
        <w:widowControl/>
        <w:ind w:left="1080"/>
        <w:rPr>
          <w:rFonts w:ascii="Times New Roman" w:eastAsia="Aptos" w:hAnsi="Times New Roman"/>
          <w:snapToGrid/>
          <w:szCs w:val="24"/>
        </w:rPr>
      </w:pPr>
      <w:r w:rsidRPr="00FE1DDE">
        <w:rPr>
          <w:rFonts w:ascii="Times New Roman" w:eastAsia="Aptos" w:hAnsi="Times New Roman"/>
          <w:snapToGrid/>
          <w:szCs w:val="24"/>
        </w:rPr>
        <w:t xml:space="preserve">The FDIC is issuing this notice of proposed rulemaking (proposed rule) </w:t>
      </w:r>
      <w:r w:rsidRPr="00FE1DDE" w:rsidR="00340057">
        <w:rPr>
          <w:rFonts w:ascii="Times New Roman" w:eastAsia="Aptos" w:hAnsi="Times New Roman"/>
          <w:snapToGrid/>
          <w:szCs w:val="24"/>
        </w:rPr>
        <w:t>to</w:t>
      </w:r>
      <w:r w:rsidRPr="00FE1DDE" w:rsidR="00177AD0">
        <w:rPr>
          <w:rFonts w:ascii="Times New Roman" w:eastAsia="Aptos" w:hAnsi="Times New Roman"/>
          <w:snapToGrid/>
          <w:szCs w:val="24"/>
        </w:rPr>
        <w:t xml:space="preserve"> </w:t>
      </w:r>
      <w:r w:rsidRPr="00FE1DDE">
        <w:rPr>
          <w:rFonts w:ascii="Times New Roman" w:eastAsia="Aptos" w:hAnsi="Times New Roman"/>
          <w:snapToGrid/>
          <w:szCs w:val="24"/>
        </w:rPr>
        <w:t xml:space="preserve">update the $10 billion asset threshold in the definitions of small and large institutions to $30 billion and adjust the threshold every four years to reflect inflation, pursuant to a pre-determined indexing methodology; decrease initial base deposit insurance assessment rate schedules by 2 basis points for small institutions and by 1 basis point for large and highly complex institutions; provide a downward resolution readiness adjustment to assessment rates for large and highly complex institutions, including 0.5 basis points for passing virtual data room testing and 0.5 basis points for providing prescribed data access; and remove obsolete provisions. </w:t>
      </w:r>
    </w:p>
    <w:p w:rsidR="007921D2" w:rsidRPr="008D1962" w:rsidP="00ED6864" w14:paraId="17568A2E" w14:textId="77777777">
      <w:pPr>
        <w:pStyle w:val="BodyText"/>
        <w:spacing w:after="0"/>
        <w:rPr>
          <w:rFonts w:ascii="Times New Roman" w:hAnsi="Times New Roman"/>
          <w:color w:val="FF0000"/>
          <w:szCs w:val="24"/>
        </w:rPr>
      </w:pPr>
    </w:p>
    <w:p w:rsidR="007921D2" w:rsidRPr="005B0899" w:rsidP="007921D2" w14:paraId="6DFFD47C"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5B0899">
        <w:rPr>
          <w:rFonts w:ascii="Times New Roman" w:hAnsi="Times New Roman"/>
          <w:szCs w:val="24"/>
          <w:u w:val="single"/>
        </w:rPr>
        <w:t xml:space="preserve">Use of the information: </w:t>
      </w:r>
    </w:p>
    <w:p w:rsidR="007921D2" w:rsidRPr="005B0899" w:rsidP="007921D2" w14:paraId="0A8787B8" w14:textId="77777777">
      <w:pPr>
        <w:rPr>
          <w:rFonts w:ascii="Times New Roman" w:hAnsi="Times New Roman"/>
          <w:szCs w:val="24"/>
        </w:rPr>
      </w:pPr>
    </w:p>
    <w:p w:rsidR="00E15E69" w:rsidRPr="005B0899" w:rsidP="00EB4A38" w14:paraId="04F75ED7" w14:textId="77777777">
      <w:pPr>
        <w:ind w:left="1080"/>
        <w:rPr>
          <w:rFonts w:ascii="Times New Roman" w:eastAsia="Aptos" w:hAnsi="Times New Roman"/>
          <w:snapToGrid/>
          <w:szCs w:val="24"/>
        </w:rPr>
      </w:pPr>
      <w:r w:rsidRPr="005B0899">
        <w:rPr>
          <w:rFonts w:ascii="Times New Roman" w:eastAsia="Aptos" w:hAnsi="Times New Roman"/>
          <w:snapToGrid/>
          <w:szCs w:val="24"/>
        </w:rPr>
        <w:t xml:space="preserve">Among other things, the proposal would provide a downward resolution readiness adjustment to assessment rates for large and highly complex institutions, including 0.5 basis points for passing virtual data room testing and 0.5 basis points for providing the prescribed data access. </w:t>
      </w:r>
    </w:p>
    <w:p w:rsidR="006C4A95" w:rsidRPr="005B0899" w:rsidP="006C4A95" w14:paraId="0A52B211" w14:textId="77777777">
      <w:pPr>
        <w:pStyle w:val="BodyText"/>
        <w:ind w:right="374"/>
        <w:rPr>
          <w:rFonts w:ascii="Times New Roman" w:hAnsi="Times New Roman"/>
          <w:szCs w:val="24"/>
        </w:rPr>
      </w:pPr>
    </w:p>
    <w:p w:rsidR="00780C4B" w:rsidRPr="005B0899" w:rsidP="006C4A95" w14:paraId="5C5A213A" w14:textId="093C2FF0">
      <w:pPr>
        <w:pStyle w:val="BodyText"/>
        <w:ind w:left="1080" w:right="374"/>
        <w:rPr>
          <w:rFonts w:ascii="Times New Roman" w:hAnsi="Times New Roman"/>
          <w:szCs w:val="24"/>
        </w:rPr>
      </w:pPr>
      <w:r w:rsidRPr="005B0899">
        <w:rPr>
          <w:rFonts w:ascii="Times New Roman" w:hAnsi="Times New Roman"/>
          <w:szCs w:val="24"/>
        </w:rPr>
        <w:t xml:space="preserve">The FDIC is requesting approval to collect information </w:t>
      </w:r>
      <w:r w:rsidRPr="005B0899" w:rsidR="0028660A">
        <w:rPr>
          <w:rFonts w:ascii="Times New Roman" w:hAnsi="Times New Roman"/>
          <w:szCs w:val="24"/>
        </w:rPr>
        <w:t xml:space="preserve">from </w:t>
      </w:r>
      <w:r w:rsidRPr="005B0899" w:rsidR="0028660A">
        <w:rPr>
          <w:rFonts w:ascii="Times New Roman" w:eastAsia="Aptos" w:hAnsi="Times New Roman"/>
          <w:snapToGrid/>
          <w:szCs w:val="24"/>
        </w:rPr>
        <w:t>entities</w:t>
      </w:r>
      <w:r w:rsidRPr="005B0899" w:rsidR="00DA09A5">
        <w:rPr>
          <w:rFonts w:ascii="Times New Roman" w:eastAsia="Aptos" w:hAnsi="Times New Roman"/>
          <w:snapToGrid/>
          <w:szCs w:val="24"/>
        </w:rPr>
        <w:t xml:space="preserve"> that wish to participate in the </w:t>
      </w:r>
      <w:r w:rsidRPr="005B0899" w:rsidR="009526A9">
        <w:rPr>
          <w:rFonts w:ascii="Times New Roman" w:eastAsia="Aptos" w:hAnsi="Times New Roman"/>
          <w:snapToGrid/>
          <w:szCs w:val="24"/>
        </w:rPr>
        <w:t>resolution readiness adjustment</w:t>
      </w:r>
      <w:r w:rsidRPr="005B0899" w:rsidR="00755209">
        <w:rPr>
          <w:rFonts w:ascii="Times New Roman" w:eastAsia="Aptos" w:hAnsi="Times New Roman"/>
          <w:snapToGrid/>
          <w:szCs w:val="24"/>
        </w:rPr>
        <w:t xml:space="preserve">. </w:t>
      </w:r>
      <w:r w:rsidR="00164C03">
        <w:rPr>
          <w:rFonts w:ascii="Times New Roman" w:eastAsia="Aptos" w:hAnsi="Times New Roman"/>
          <w:snapToGrid/>
          <w:szCs w:val="24"/>
        </w:rPr>
        <w:t xml:space="preserve">This includes </w:t>
      </w:r>
      <w:r w:rsidR="00773D57">
        <w:rPr>
          <w:rFonts w:ascii="Times New Roman" w:eastAsia="Aptos" w:hAnsi="Times New Roman"/>
          <w:snapToGrid/>
          <w:szCs w:val="24"/>
        </w:rPr>
        <w:t xml:space="preserve">information to notify the FDIC </w:t>
      </w:r>
      <w:r w:rsidR="00804872">
        <w:rPr>
          <w:rFonts w:ascii="Times New Roman" w:eastAsia="Aptos" w:hAnsi="Times New Roman"/>
          <w:snapToGrid/>
          <w:szCs w:val="24"/>
        </w:rPr>
        <w:t xml:space="preserve">of </w:t>
      </w:r>
      <w:r w:rsidR="00304624">
        <w:rPr>
          <w:rFonts w:ascii="Times New Roman" w:eastAsia="Aptos" w:hAnsi="Times New Roman"/>
          <w:snapToGrid/>
          <w:szCs w:val="24"/>
        </w:rPr>
        <w:t xml:space="preserve">a </w:t>
      </w:r>
      <w:r w:rsidRPr="00304624" w:rsidR="00304624">
        <w:rPr>
          <w:rFonts w:ascii="Times New Roman" w:eastAsia="Aptos" w:hAnsi="Times New Roman"/>
          <w:snapToGrid/>
          <w:szCs w:val="24"/>
        </w:rPr>
        <w:t>large or highly complex financial institution</w:t>
      </w:r>
      <w:r w:rsidR="00304624">
        <w:rPr>
          <w:rFonts w:ascii="Times New Roman" w:eastAsia="Aptos" w:hAnsi="Times New Roman"/>
          <w:snapToGrid/>
          <w:szCs w:val="24"/>
        </w:rPr>
        <w:t xml:space="preserve">’s </w:t>
      </w:r>
      <w:r w:rsidR="00F05279">
        <w:rPr>
          <w:rFonts w:ascii="Times New Roman" w:eastAsia="Aptos" w:hAnsi="Times New Roman"/>
          <w:snapToGrid/>
          <w:szCs w:val="24"/>
        </w:rPr>
        <w:t>elect</w:t>
      </w:r>
      <w:r w:rsidR="008005F1">
        <w:rPr>
          <w:rFonts w:ascii="Times New Roman" w:eastAsia="Aptos" w:hAnsi="Times New Roman"/>
          <w:snapToGrid/>
          <w:szCs w:val="24"/>
        </w:rPr>
        <w:t>ion</w:t>
      </w:r>
      <w:r w:rsidR="00F05279">
        <w:rPr>
          <w:rFonts w:ascii="Times New Roman" w:eastAsia="Aptos" w:hAnsi="Times New Roman"/>
          <w:snapToGrid/>
          <w:szCs w:val="24"/>
        </w:rPr>
        <w:t xml:space="preserve"> to participate </w:t>
      </w:r>
      <w:r w:rsidR="00F05279">
        <w:rPr>
          <w:rFonts w:ascii="Times New Roman" w:eastAsia="Aptos" w:hAnsi="Times New Roman"/>
          <w:snapToGrid/>
          <w:szCs w:val="24"/>
        </w:rPr>
        <w:t>on</w:t>
      </w:r>
      <w:r w:rsidR="00F05279">
        <w:rPr>
          <w:rFonts w:ascii="Times New Roman" w:eastAsia="Aptos" w:hAnsi="Times New Roman"/>
          <w:snapToGrid/>
          <w:szCs w:val="24"/>
        </w:rPr>
        <w:t xml:space="preserve"> the resolution readiness adjustment, </w:t>
      </w:r>
      <w:r w:rsidR="008005F1">
        <w:rPr>
          <w:rFonts w:ascii="Times New Roman" w:eastAsia="Aptos" w:hAnsi="Times New Roman"/>
          <w:snapToGrid/>
          <w:szCs w:val="24"/>
        </w:rPr>
        <w:t xml:space="preserve">information </w:t>
      </w:r>
      <w:r w:rsidR="00250A77">
        <w:rPr>
          <w:rFonts w:ascii="Times New Roman" w:eastAsia="Aptos" w:hAnsi="Times New Roman"/>
          <w:snapToGrid/>
          <w:szCs w:val="24"/>
        </w:rPr>
        <w:t xml:space="preserve">relating to the virtual data room capabilities test, information relating to the data access </w:t>
      </w:r>
      <w:r w:rsidR="008F1D99">
        <w:rPr>
          <w:rFonts w:ascii="Times New Roman" w:eastAsia="Aptos" w:hAnsi="Times New Roman"/>
          <w:snapToGrid/>
          <w:szCs w:val="24"/>
        </w:rPr>
        <w:t>capabilities</w:t>
      </w:r>
      <w:r w:rsidR="00250A77">
        <w:rPr>
          <w:rFonts w:ascii="Times New Roman" w:eastAsia="Aptos" w:hAnsi="Times New Roman"/>
          <w:snapToGrid/>
          <w:szCs w:val="24"/>
        </w:rPr>
        <w:t xml:space="preserve"> test</w:t>
      </w:r>
      <w:r w:rsidR="00804872">
        <w:rPr>
          <w:rFonts w:ascii="Times New Roman" w:eastAsia="Aptos" w:hAnsi="Times New Roman"/>
          <w:snapToGrid/>
          <w:szCs w:val="24"/>
        </w:rPr>
        <w:t xml:space="preserve">, and a notice of any material change. </w:t>
      </w:r>
    </w:p>
    <w:p w:rsidR="007921D2" w:rsidRPr="003D6EAA" w:rsidP="007921D2" w14:paraId="00D63595" w14:textId="77777777">
      <w:pPr>
        <w:widowControl/>
        <w:numPr>
          <w:ilvl w:val="1"/>
          <w:numId w:val="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6EAA">
        <w:rPr>
          <w:rFonts w:ascii="Times New Roman" w:hAnsi="Times New Roman"/>
          <w:szCs w:val="24"/>
          <w:u w:val="single"/>
        </w:rPr>
        <w:t>Consideration of the use of improved information technology:</w:t>
      </w:r>
    </w:p>
    <w:p w:rsidR="007921D2" w:rsidRPr="003D6EAA" w:rsidP="007921D2" w14:paraId="34D2544B" w14:textId="77777777">
      <w:pPr>
        <w:rPr>
          <w:rFonts w:ascii="Times New Roman" w:hAnsi="Times New Roman"/>
          <w:szCs w:val="24"/>
        </w:rPr>
      </w:pPr>
    </w:p>
    <w:p w:rsidR="007921D2" w:rsidRPr="003D6EAA" w:rsidP="00D80E81" w14:paraId="03F89FD0" w14:textId="48F5266F">
      <w:pPr>
        <w:ind w:left="1080"/>
        <w:rPr>
          <w:rFonts w:ascii="Times New Roman" w:hAnsi="Times New Roman"/>
          <w:szCs w:val="24"/>
        </w:rPr>
      </w:pPr>
      <w:r w:rsidRPr="003D6EAA">
        <w:rPr>
          <w:rFonts w:ascii="Times New Roman" w:hAnsi="Times New Roman"/>
          <w:szCs w:val="24"/>
        </w:rPr>
        <w:t>Respondents</w:t>
      </w:r>
      <w:r w:rsidRPr="003D6EAA" w:rsidR="00630F11">
        <w:rPr>
          <w:rFonts w:ascii="Times New Roman" w:hAnsi="Times New Roman"/>
          <w:szCs w:val="24"/>
        </w:rPr>
        <w:t xml:space="preserve"> </w:t>
      </w:r>
      <w:r w:rsidRPr="003D6EAA">
        <w:rPr>
          <w:rFonts w:ascii="Times New Roman" w:hAnsi="Times New Roman"/>
          <w:szCs w:val="24"/>
        </w:rPr>
        <w:t>may use technology to the extent feasible and/or desirable or appropriate</w:t>
      </w:r>
      <w:r w:rsidRPr="003D6EAA" w:rsidR="007A0684">
        <w:rPr>
          <w:rFonts w:ascii="Times New Roman" w:hAnsi="Times New Roman"/>
          <w:szCs w:val="24"/>
        </w:rPr>
        <w:t>.</w:t>
      </w:r>
    </w:p>
    <w:p w:rsidR="007921D2" w:rsidRPr="003D6EAA" w:rsidP="007921D2" w14:paraId="74179004" w14:textId="77777777">
      <w:pPr>
        <w:ind w:firstLine="720"/>
        <w:rPr>
          <w:rFonts w:ascii="Times New Roman" w:hAnsi="Times New Roman"/>
          <w:szCs w:val="24"/>
        </w:rPr>
      </w:pPr>
    </w:p>
    <w:p w:rsidR="007921D2" w:rsidRPr="003D6EAA" w:rsidP="007921D2" w14:paraId="46FCDA68" w14:textId="77777777">
      <w:pPr>
        <w:pStyle w:val="BodyTextIndent"/>
        <w:numPr>
          <w:ilvl w:val="1"/>
          <w:numId w:val="2"/>
        </w:numPr>
        <w:rPr>
          <w:szCs w:val="24"/>
        </w:rPr>
      </w:pPr>
      <w:r w:rsidRPr="003D6EAA">
        <w:rPr>
          <w:szCs w:val="24"/>
          <w:u w:val="single"/>
        </w:rPr>
        <w:t>Effort to identify duplication:</w:t>
      </w:r>
    </w:p>
    <w:p w:rsidR="007921D2" w:rsidRPr="003D6EAA" w:rsidP="007921D2" w14:paraId="6D53AE0E" w14:textId="77777777">
      <w:pPr>
        <w:pStyle w:val="BodyTextIndent"/>
        <w:rPr>
          <w:szCs w:val="24"/>
        </w:rPr>
      </w:pPr>
    </w:p>
    <w:p w:rsidR="007921D2" w:rsidRPr="003D6EAA" w:rsidP="00D80E81" w14:paraId="3E494CF7" w14:textId="392C1E17">
      <w:pPr>
        <w:pStyle w:val="BodyTextIndent"/>
        <w:ind w:left="1080"/>
        <w:rPr>
          <w:szCs w:val="24"/>
        </w:rPr>
      </w:pPr>
      <w:r w:rsidRPr="003D6EAA">
        <w:rPr>
          <w:szCs w:val="24"/>
        </w:rPr>
        <w:t>No other federal law mandates these requirements and therefore the reporting requirements are not otherwise duplicated.</w:t>
      </w:r>
    </w:p>
    <w:p w:rsidR="007921D2" w:rsidRPr="008D1962" w:rsidP="007921D2" w14:paraId="1D1A7F91" w14:textId="77777777">
      <w:pPr>
        <w:widowControl/>
        <w:ind w:firstLine="720"/>
        <w:rPr>
          <w:rFonts w:ascii="Times New Roman" w:hAnsi="Times New Roman"/>
          <w:color w:val="FF0000"/>
          <w:szCs w:val="24"/>
        </w:rPr>
      </w:pPr>
    </w:p>
    <w:p w:rsidR="007921D2" w:rsidRPr="001D13F4" w:rsidP="007921D2" w14:paraId="1C9C9D5E" w14:textId="77777777">
      <w:pPr>
        <w:pStyle w:val="BodyTextIndent"/>
        <w:numPr>
          <w:ilvl w:val="1"/>
          <w:numId w:val="2"/>
        </w:numPr>
        <w:rPr>
          <w:szCs w:val="24"/>
        </w:rPr>
      </w:pPr>
      <w:r w:rsidRPr="001D13F4">
        <w:rPr>
          <w:szCs w:val="24"/>
          <w:u w:val="single"/>
        </w:rPr>
        <w:t>Methods used to minimize burden if the collection has a significant impact on a substantial number of small entities:</w:t>
      </w:r>
    </w:p>
    <w:p w:rsidR="00F94FA6" w:rsidRPr="001D13F4" w:rsidP="00F94FA6" w14:paraId="430EAC21" w14:textId="77777777">
      <w:pPr>
        <w:pStyle w:val="BodyTextIndent"/>
        <w:rPr>
          <w:szCs w:val="24"/>
          <w:u w:val="single"/>
        </w:rPr>
      </w:pPr>
    </w:p>
    <w:p w:rsidR="00F94FA6" w:rsidRPr="001D13F4" w:rsidP="00D80E81" w14:paraId="668827B1" w14:textId="0DA7BE69">
      <w:pPr>
        <w:pStyle w:val="BodyTextIndent"/>
        <w:ind w:left="1080"/>
      </w:pPr>
      <w:r w:rsidRPr="001D13F4">
        <w:t>The FDIC believes the proposed rule is unlikely to have a significant economic impact on a substantial number of small entities.</w:t>
      </w:r>
    </w:p>
    <w:p w:rsidR="004566B8" w:rsidRPr="008D1962" w:rsidP="00F94FA6" w14:paraId="361147C6" w14:textId="77777777">
      <w:pPr>
        <w:pStyle w:val="BodyTextIndent"/>
        <w:ind w:left="1080"/>
        <w:rPr>
          <w:color w:val="FF0000"/>
        </w:rPr>
      </w:pPr>
    </w:p>
    <w:p w:rsidR="00B95AAF" w:rsidP="00CC455E" w14:paraId="15BD7830" w14:textId="77777777">
      <w:pPr>
        <w:widowControl/>
        <w:ind w:left="1080"/>
        <w:rPr>
          <w:rFonts w:ascii="Times New Roman" w:eastAsia="Aptos" w:hAnsi="Times New Roman"/>
          <w:snapToGrid/>
          <w:szCs w:val="24"/>
        </w:rPr>
      </w:pPr>
      <w:r w:rsidRPr="00837CE1">
        <w:rPr>
          <w:rFonts w:ascii="Times New Roman" w:eastAsia="Aptos" w:hAnsi="Times New Roman"/>
          <w:snapToGrid/>
          <w:szCs w:val="24"/>
        </w:rPr>
        <w:t xml:space="preserve">Generally, the FDIC considers a significant economic impact to be a quantified effect </w:t>
      </w:r>
      <w:r w:rsidRPr="00837CE1">
        <w:rPr>
          <w:rFonts w:ascii="Times New Roman" w:eastAsia="Aptos" w:hAnsi="Times New Roman"/>
          <w:snapToGrid/>
          <w:szCs w:val="24"/>
        </w:rPr>
        <w:t>in excess of</w:t>
      </w:r>
      <w:r w:rsidRPr="00837CE1">
        <w:rPr>
          <w:rFonts w:ascii="Times New Roman" w:eastAsia="Aptos" w:hAnsi="Times New Roman"/>
          <w:snapToGrid/>
          <w:szCs w:val="24"/>
        </w:rPr>
        <w:t xml:space="preserve"> 5 percent of total annual salaries and benefits or 2.5 percent of total noninterest expenses. </w:t>
      </w:r>
    </w:p>
    <w:p w:rsidR="00B95AAF" w:rsidP="00CC455E" w14:paraId="614F26A9" w14:textId="77777777">
      <w:pPr>
        <w:widowControl/>
        <w:ind w:left="1080"/>
        <w:rPr>
          <w:rFonts w:ascii="Times New Roman" w:eastAsia="Aptos" w:hAnsi="Times New Roman"/>
          <w:snapToGrid/>
          <w:szCs w:val="24"/>
        </w:rPr>
      </w:pPr>
    </w:p>
    <w:p w:rsidR="00B95AAF" w:rsidRPr="00883145" w:rsidP="00B95AAF" w14:paraId="718A6B48" w14:textId="3142B559">
      <w:pPr>
        <w:pStyle w:val="BodyTextIndent"/>
        <w:ind w:left="1080"/>
        <w:rPr>
          <w:rFonts w:eastAsia="Aptos"/>
          <w:snapToGrid/>
          <w:szCs w:val="24"/>
        </w:rPr>
      </w:pPr>
      <w:r w:rsidRPr="003C277A">
        <w:rPr>
          <w:rFonts w:eastAsia="Aptos"/>
          <w:snapToGrid/>
          <w:szCs w:val="24"/>
        </w:rPr>
        <w:t xml:space="preserve">Certain types of rules, such as rules relating to rates, corporate or financial structures, or practices relating to such rates or structures, are expressly excluded from the definition of “rule” for purposes of </w:t>
      </w:r>
      <w:r w:rsidRPr="003C277A" w:rsidR="007D15CF">
        <w:t>t</w:t>
      </w:r>
      <w:r w:rsidRPr="003C277A" w:rsidR="00296BB0">
        <w:t xml:space="preserve">he Regulatory Flexibility Act </w:t>
      </w:r>
      <w:r w:rsidRPr="003C277A" w:rsidR="007D15CF">
        <w:t>(</w:t>
      </w:r>
      <w:r w:rsidRPr="003C277A">
        <w:rPr>
          <w:rFonts w:eastAsia="Aptos"/>
          <w:snapToGrid/>
          <w:szCs w:val="24"/>
        </w:rPr>
        <w:t>RFA</w:t>
      </w:r>
      <w:r w:rsidRPr="003C277A" w:rsidR="007D15CF">
        <w:rPr>
          <w:rFonts w:eastAsia="Aptos"/>
          <w:snapToGrid/>
          <w:szCs w:val="24"/>
        </w:rPr>
        <w:t>)</w:t>
      </w:r>
      <w:r w:rsidRPr="003C277A">
        <w:rPr>
          <w:rFonts w:eastAsia="Aptos"/>
          <w:snapToGrid/>
          <w:szCs w:val="24"/>
        </w:rPr>
        <w:t>.</w:t>
      </w:r>
      <w:r>
        <w:rPr>
          <w:rFonts w:eastAsia="Aptos"/>
          <w:snapToGrid/>
          <w:szCs w:val="24"/>
          <w:vertAlign w:val="superscript"/>
        </w:rPr>
        <w:footnoteReference w:id="3"/>
      </w:r>
      <w:r w:rsidRPr="003C277A">
        <w:rPr>
          <w:rFonts w:eastAsia="Aptos"/>
          <w:snapToGrid/>
          <w:szCs w:val="24"/>
        </w:rPr>
        <w:t xml:space="preserve"> Because the proposed rule relates directly to the assessment rates imposed on insured depository institutions for deposit insurance and to the deposit insurance assessment system that determines each bank’s assessment rate, the proposed rule is not subject to RFA. </w:t>
      </w:r>
      <w:r w:rsidRPr="00883145">
        <w:rPr>
          <w:rFonts w:eastAsia="Aptos"/>
          <w:snapToGrid/>
          <w:szCs w:val="24"/>
        </w:rPr>
        <w:t>Nonetheless, the FDIC is voluntarily presenting the following information</w:t>
      </w:r>
      <w:r w:rsidRPr="00883145" w:rsidR="00DF5519">
        <w:rPr>
          <w:rFonts w:eastAsia="Aptos"/>
          <w:snapToGrid/>
          <w:szCs w:val="24"/>
        </w:rPr>
        <w:t>.</w:t>
      </w:r>
    </w:p>
    <w:p w:rsidR="00B95AAF" w:rsidRPr="00883145" w:rsidP="00B95AAF" w14:paraId="6CF4EA45" w14:textId="77777777">
      <w:pPr>
        <w:pStyle w:val="BodyTextIndent"/>
        <w:ind w:left="1080"/>
        <w:rPr>
          <w:rFonts w:eastAsia="Aptos"/>
          <w:snapToGrid/>
          <w:szCs w:val="24"/>
        </w:rPr>
      </w:pPr>
    </w:p>
    <w:p w:rsidR="00B95AAF" w:rsidRPr="00883145" w:rsidP="00B95AAF" w14:paraId="6642961A" w14:textId="18902555">
      <w:pPr>
        <w:pStyle w:val="BodyTextIndent"/>
        <w:ind w:left="1080"/>
        <w:rPr>
          <w:rFonts w:eastAsia="Aptos"/>
          <w:snapToGrid/>
          <w:szCs w:val="24"/>
        </w:rPr>
      </w:pPr>
      <w:r w:rsidRPr="00883145">
        <w:rPr>
          <w:rFonts w:eastAsia="Aptos"/>
          <w:snapToGrid/>
          <w:szCs w:val="24"/>
        </w:rPr>
        <w:t>As noted above, the FDIC is proposing several revisions to its risk-based deposit insurance assessment framework. The FDIC is proposing to: (1) update definitions of small and large institutions;</w:t>
      </w:r>
      <w:r>
        <w:rPr>
          <w:rFonts w:eastAsia="Aptos"/>
          <w:snapToGrid/>
          <w:szCs w:val="24"/>
          <w:vertAlign w:val="superscript"/>
        </w:rPr>
        <w:footnoteReference w:id="4"/>
      </w:r>
      <w:r w:rsidRPr="00883145">
        <w:rPr>
          <w:rFonts w:eastAsia="Aptos"/>
          <w:snapToGrid/>
          <w:szCs w:val="24"/>
        </w:rPr>
        <w:t xml:space="preserve"> (2) decrease initial base assessment rate schedules by 2 basis points for small institutions and by 1 basis point for large and highly complex institutions; (3) and provide a downward adjustment of up to 1 basis point for large and highly complex institutions based on their election to participate in the virtual data room testing and data access exercise. In addition, the FDIC is proposing to make certain technical amendments to the assessment regulations to remove obsolete provisions.</w:t>
      </w:r>
    </w:p>
    <w:p w:rsidR="00B95AAF" w:rsidRPr="00883145" w:rsidP="00B95AAF" w14:paraId="5919E563" w14:textId="77777777">
      <w:pPr>
        <w:pStyle w:val="BodyTextIndent"/>
        <w:ind w:left="1080"/>
        <w:rPr>
          <w:rFonts w:eastAsia="Aptos"/>
          <w:snapToGrid/>
          <w:szCs w:val="24"/>
        </w:rPr>
      </w:pPr>
    </w:p>
    <w:p w:rsidR="00B95AAF" w:rsidRPr="00883145" w:rsidP="00B95AAF" w14:paraId="2385417B" w14:textId="0ACC4258">
      <w:pPr>
        <w:pStyle w:val="BodyTextIndent"/>
        <w:ind w:left="1080"/>
        <w:rPr>
          <w:rFonts w:eastAsia="Aptos"/>
          <w:snapToGrid/>
          <w:szCs w:val="24"/>
        </w:rPr>
      </w:pPr>
      <w:r w:rsidRPr="00883145">
        <w:rPr>
          <w:rFonts w:eastAsia="Aptos"/>
          <w:snapToGrid/>
          <w:szCs w:val="24"/>
        </w:rPr>
        <w:t>As of December 31, 2025, the FDIC insured 4,345 institutions,</w:t>
      </w:r>
      <w:r>
        <w:rPr>
          <w:rFonts w:eastAsia="Aptos"/>
          <w:snapToGrid/>
          <w:szCs w:val="24"/>
          <w:vertAlign w:val="superscript"/>
        </w:rPr>
        <w:footnoteReference w:id="5"/>
      </w:r>
      <w:r w:rsidRPr="00883145">
        <w:rPr>
          <w:rFonts w:eastAsia="Aptos"/>
          <w:snapToGrid/>
          <w:szCs w:val="24"/>
        </w:rPr>
        <w:t xml:space="preserve"> of which 2,996 were “small entities” for purposes of RFA. The proposed 2 basis point reduction in initial base assessment rate schedules for small institutions is the only aspect of the proposed rule that would affect small entities, because no small entities have over $10 billion in assets, and no small entities are large or highly complex institutions. </w:t>
      </w:r>
    </w:p>
    <w:p w:rsidR="00B95AAF" w:rsidRPr="005002FF" w:rsidP="00B95AAF" w14:paraId="4A2DE3F3" w14:textId="3C66F3AE">
      <w:pPr>
        <w:pStyle w:val="BodyTextIndent"/>
        <w:ind w:left="1080"/>
        <w:rPr>
          <w:rFonts w:eastAsia="Aptos"/>
          <w:snapToGrid/>
          <w:szCs w:val="24"/>
        </w:rPr>
      </w:pPr>
      <w:r w:rsidRPr="00883145">
        <w:rPr>
          <w:rFonts w:eastAsia="Aptos"/>
          <w:snapToGrid/>
          <w:szCs w:val="24"/>
        </w:rPr>
        <w:t>A</w:t>
      </w:r>
      <w:r w:rsidRPr="00883145">
        <w:rPr>
          <w:rFonts w:eastAsia="Aptos"/>
          <w:snapToGrid/>
          <w:szCs w:val="24"/>
        </w:rPr>
        <w:t xml:space="preserve">ll small entities would see a </w:t>
      </w:r>
      <w:r w:rsidRPr="00883145">
        <w:rPr>
          <w:rFonts w:eastAsia="Aptos"/>
          <w:snapToGrid/>
          <w:szCs w:val="24"/>
        </w:rPr>
        <w:t>2 basis</w:t>
      </w:r>
      <w:r w:rsidRPr="00883145">
        <w:rPr>
          <w:rFonts w:eastAsia="Aptos"/>
          <w:snapToGrid/>
          <w:szCs w:val="24"/>
        </w:rPr>
        <w:t xml:space="preserve"> point reduction in their initial base assessment rate. Based on Call Report data as of December 31, 2025, the FDIC estimates that </w:t>
      </w:r>
      <w:r w:rsidRPr="00883145">
        <w:rPr>
          <w:rFonts w:eastAsia="Aptos"/>
          <w:snapToGrid/>
          <w:szCs w:val="24"/>
        </w:rPr>
        <w:t xml:space="preserve">only two small entities would experience reduced assessment costs </w:t>
      </w:r>
      <w:r w:rsidRPr="00883145">
        <w:rPr>
          <w:rFonts w:eastAsia="Aptos"/>
          <w:snapToGrid/>
          <w:szCs w:val="24"/>
        </w:rPr>
        <w:t>in excess of</w:t>
      </w:r>
      <w:r w:rsidRPr="00883145">
        <w:rPr>
          <w:rFonts w:eastAsia="Aptos"/>
          <w:snapToGrid/>
          <w:szCs w:val="24"/>
        </w:rPr>
        <w:t xml:space="preserve"> 5 percent of total annual salaries and benefits or 2.5 percent of total noninterest expenses. Thus, the proposed 2 basis point assessment reduction is unlikely to </w:t>
      </w:r>
      <w:r w:rsidRPr="00883145">
        <w:rPr>
          <w:rFonts w:eastAsia="Aptos"/>
          <w:snapToGrid/>
          <w:szCs w:val="24"/>
        </w:rPr>
        <w:t>result in</w:t>
      </w:r>
      <w:r w:rsidRPr="00883145">
        <w:rPr>
          <w:rFonts w:eastAsia="Aptos"/>
          <w:snapToGrid/>
          <w:szCs w:val="24"/>
        </w:rPr>
        <w:t xml:space="preserve"> a significant impact on a substantial number of small entities.</w:t>
      </w:r>
      <w:r w:rsidRPr="005002FF">
        <w:rPr>
          <w:rFonts w:eastAsia="Aptos"/>
          <w:snapToGrid/>
          <w:szCs w:val="24"/>
        </w:rPr>
        <w:t xml:space="preserve"> </w:t>
      </w:r>
    </w:p>
    <w:p w:rsidR="007921D2" w:rsidRPr="008D1962" w:rsidP="007921D2" w14:paraId="3F4DE1C3" w14:textId="77777777">
      <w:pPr>
        <w:pStyle w:val="BodyTextIndent"/>
        <w:ind w:left="1080"/>
        <w:rPr>
          <w:color w:val="FF0000"/>
          <w:szCs w:val="24"/>
        </w:rPr>
      </w:pPr>
    </w:p>
    <w:p w:rsidR="007921D2" w:rsidRPr="00543FDA" w:rsidP="007921D2" w14:paraId="1356A1B0"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543FDA">
        <w:rPr>
          <w:rFonts w:ascii="Times New Roman" w:hAnsi="Times New Roman"/>
          <w:szCs w:val="24"/>
          <w:u w:val="single"/>
        </w:rPr>
        <w:t>Consequences to the Federal program if the collection were conducted less frequently:</w:t>
      </w:r>
    </w:p>
    <w:p w:rsidR="007921D2" w:rsidRPr="008D1962" w:rsidP="007D0E77" w14:paraId="7D8593DB" w14:textId="77777777">
      <w:pPr>
        <w:ind w:left="720"/>
        <w:rPr>
          <w:rFonts w:ascii="Times New Roman" w:hAnsi="Times New Roman"/>
          <w:color w:val="FF0000"/>
          <w:szCs w:val="24"/>
        </w:rPr>
      </w:pPr>
    </w:p>
    <w:p w:rsidR="000316F0" w:rsidRPr="000316F0" w:rsidP="000316F0" w14:paraId="1270CD8E" w14:textId="6E1E831B">
      <w:pPr>
        <w:autoSpaceDE w:val="0"/>
        <w:autoSpaceDN w:val="0"/>
        <w:ind w:left="1080"/>
        <w:rPr>
          <w:rFonts w:ascii="Times New Roman" w:eastAsia="Source Sans Pro" w:hAnsi="Times New Roman"/>
          <w:snapToGrid/>
          <w:color w:val="000000" w:themeColor="text1"/>
          <w:szCs w:val="24"/>
          <w:lang w:bidi="en-US"/>
        </w:rPr>
      </w:pPr>
      <w:r w:rsidRPr="000316F0">
        <w:rPr>
          <w:rFonts w:ascii="Times New Roman" w:eastAsia="Source Sans Pro" w:hAnsi="Times New Roman"/>
          <w:snapToGrid/>
          <w:color w:val="000000" w:themeColor="text1"/>
          <w:szCs w:val="24"/>
          <w:lang w:bidi="en-US"/>
        </w:rPr>
        <w:t>The FDIC, under its general rulemaking authority in section 9 of the FDI Act, and its specific authority under section 7 of the FDI Act to set assessments and establish a risk-based assessment system,</w:t>
      </w:r>
      <w:r>
        <w:rPr>
          <w:rFonts w:ascii="Times New Roman" w:eastAsia="Source Sans Pro" w:hAnsi="Times New Roman"/>
          <w:snapToGrid/>
          <w:color w:val="000000" w:themeColor="text1"/>
          <w:szCs w:val="24"/>
          <w:vertAlign w:val="superscript"/>
          <w:lang w:bidi="en-US"/>
        </w:rPr>
        <w:footnoteReference w:id="6"/>
      </w:r>
      <w:r w:rsidRPr="000316F0">
        <w:rPr>
          <w:rFonts w:ascii="Times New Roman" w:eastAsia="Source Sans Pro" w:hAnsi="Times New Roman"/>
          <w:snapToGrid/>
          <w:color w:val="000000" w:themeColor="text1"/>
          <w:szCs w:val="24"/>
          <w:lang w:bidi="en-US"/>
        </w:rPr>
        <w:t xml:space="preserve"> is proposing to make several revisions to the deposit insurance assessment regulations, including to: </w:t>
      </w:r>
      <w:r w:rsidRPr="000316F0">
        <w:rPr>
          <w:rFonts w:ascii="Times New Roman" w:eastAsia="Calibri" w:hAnsi="Times New Roman"/>
          <w:bCs/>
          <w:snapToGrid/>
          <w:color w:val="000000" w:themeColor="text1"/>
          <w:szCs w:val="24"/>
          <w:lang w:bidi="en-US"/>
        </w:rPr>
        <w:t xml:space="preserve">(1) update the $10 billion asset threshold in the definitions of small and large institutions to $30 billion and adjust the threshold every four years to reflect inflation, pursuant to a pre-determined indexing methodology; (2) decrease initial base assessment rate schedules by 2 basis points for all small institutions, including new small institutions and insured branches of foreign banks, and by 1 basis point for large and highly complex institutions; and (3) provide </w:t>
      </w:r>
      <w:r w:rsidRPr="000316F0">
        <w:rPr>
          <w:rFonts w:ascii="Times New Roman" w:eastAsia="Calibri" w:hAnsi="Times New Roman"/>
          <w:bCs/>
          <w:snapToGrid/>
          <w:color w:val="000000" w:themeColor="text1"/>
          <w:szCs w:val="24"/>
          <w:lang w:bidi="en-US"/>
        </w:rPr>
        <w:t xml:space="preserve">a </w:t>
      </w:r>
      <w:r w:rsidRPr="000316F0">
        <w:rPr>
          <w:rFonts w:ascii="Times New Roman" w:eastAsia="Calibri" w:hAnsi="Times New Roman"/>
          <w:bCs/>
          <w:snapToGrid/>
          <w:color w:val="000000" w:themeColor="text1"/>
          <w:szCs w:val="24"/>
          <w:lang w:bidi="en-US"/>
        </w:rPr>
        <w:t xml:space="preserve">downward resolution readiness adjustment  to assessment rates for large and highly complex institutions electing to participate, including 0.5 </w:t>
      </w:r>
      <w:r w:rsidRPr="000316F0">
        <w:rPr>
          <w:rFonts w:ascii="Times New Roman" w:eastAsia="Source Sans Pro" w:hAnsi="Times New Roman"/>
          <w:bCs/>
          <w:snapToGrid/>
          <w:color w:val="000000" w:themeColor="text1"/>
          <w:szCs w:val="24"/>
          <w:lang w:bidi="en-US"/>
        </w:rPr>
        <w:t>basis points for passing</w:t>
      </w:r>
      <w:r w:rsidRPr="000316F0">
        <w:rPr>
          <w:rFonts w:ascii="Times New Roman" w:eastAsia="Source Sans Pro" w:hAnsi="Times New Roman"/>
          <w:bCs/>
          <w:snapToGrid/>
          <w:color w:val="000000" w:themeColor="text1"/>
          <w:szCs w:val="24"/>
          <w:lang w:bidi="en-US"/>
        </w:rPr>
        <w:t xml:space="preserve"> </w:t>
      </w:r>
      <w:r w:rsidRPr="000316F0">
        <w:rPr>
          <w:rFonts w:ascii="Times New Roman" w:eastAsia="Calibri" w:hAnsi="Times New Roman"/>
          <w:bCs/>
          <w:snapToGrid/>
          <w:color w:val="000000" w:themeColor="text1"/>
          <w:szCs w:val="24"/>
          <w:lang w:bidi="en-US"/>
        </w:rPr>
        <w:t>voluntary virtual data room testing and 0.5 basis points for providing prescribed data access. In addition, the FDIC is proposing to make certain technical amendments to the assessment regulations to remove obsolete provisions</w:t>
      </w:r>
      <w:r w:rsidRPr="000316F0">
        <w:rPr>
          <w:rFonts w:ascii="Times New Roman" w:eastAsia="Source Sans Pro" w:hAnsi="Times New Roman"/>
          <w:snapToGrid/>
          <w:color w:val="000000" w:themeColor="text1"/>
          <w:szCs w:val="24"/>
          <w:lang w:bidi="en-US"/>
        </w:rPr>
        <w:t xml:space="preserve">. </w:t>
      </w:r>
      <w:r w:rsidR="00543FDA">
        <w:rPr>
          <w:rFonts w:ascii="Times New Roman" w:eastAsia="Source Sans Pro" w:hAnsi="Times New Roman"/>
          <w:snapToGrid/>
          <w:color w:val="000000" w:themeColor="text1"/>
          <w:szCs w:val="24"/>
          <w:lang w:bidi="en-US"/>
        </w:rPr>
        <w:t xml:space="preserve">This collection is necessary to </w:t>
      </w:r>
      <w:r w:rsidR="00B21AAA">
        <w:rPr>
          <w:rFonts w:ascii="Times New Roman" w:eastAsia="Source Sans Pro" w:hAnsi="Times New Roman"/>
          <w:snapToGrid/>
          <w:color w:val="000000" w:themeColor="text1"/>
          <w:szCs w:val="24"/>
          <w:lang w:bidi="en-US"/>
        </w:rPr>
        <w:t xml:space="preserve">implement these changes. </w:t>
      </w:r>
      <w:r w:rsidRPr="000316F0">
        <w:rPr>
          <w:rFonts w:ascii="Times New Roman" w:eastAsia="Source Sans Pro" w:hAnsi="Times New Roman"/>
          <w:snapToGrid/>
          <w:color w:val="000000" w:themeColor="text1"/>
          <w:szCs w:val="24"/>
          <w:lang w:bidi="en-US"/>
        </w:rPr>
        <w:tab/>
      </w:r>
    </w:p>
    <w:p w:rsidR="007921D2" w:rsidRPr="008543B1" w:rsidP="00950ECD" w14:paraId="210E3913" w14:textId="77777777">
      <w:pPr>
        <w:pStyle w:val="BodyTextIndent"/>
        <w:ind w:left="0"/>
        <w:rPr>
          <w:szCs w:val="24"/>
        </w:rPr>
      </w:pPr>
    </w:p>
    <w:p w:rsidR="007921D2" w:rsidRPr="008543B1" w:rsidP="007921D2" w14:paraId="39B04700"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8543B1">
        <w:rPr>
          <w:rFonts w:ascii="Times New Roman" w:hAnsi="Times New Roman"/>
          <w:szCs w:val="24"/>
          <w:u w:val="single"/>
        </w:rPr>
        <w:t>Special circumstances necessitating collection inconsistent with 5 CFR 1320.5(d)(2):</w:t>
      </w:r>
    </w:p>
    <w:p w:rsidR="007921D2" w:rsidRPr="008543B1" w:rsidP="007921D2" w14:paraId="3AA08E36" w14:textId="77777777">
      <w:pPr>
        <w:rPr>
          <w:rFonts w:ascii="Times New Roman" w:hAnsi="Times New Roman"/>
          <w:szCs w:val="24"/>
        </w:rPr>
      </w:pPr>
    </w:p>
    <w:p w:rsidR="007921D2" w:rsidRPr="008543B1" w:rsidP="007921D2" w14:paraId="3C7C84D6"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Cs w:val="24"/>
        </w:rPr>
      </w:pPr>
      <w:r w:rsidRPr="008543B1">
        <w:rPr>
          <w:rFonts w:ascii="Times New Roman" w:hAnsi="Times New Roman"/>
          <w:szCs w:val="24"/>
        </w:rPr>
        <w:t>None. This information collection is conducted in accordance with the guidelines in 5 CFR 1320.5(d)(2).</w:t>
      </w:r>
    </w:p>
    <w:p w:rsidR="007921D2" w:rsidRPr="00A72566" w:rsidP="007921D2" w14:paraId="1000C9B5" w14:textId="77777777">
      <w:pPr>
        <w:rPr>
          <w:rFonts w:ascii="Times New Roman" w:hAnsi="Times New Roman"/>
          <w:szCs w:val="24"/>
        </w:rPr>
      </w:pPr>
    </w:p>
    <w:p w:rsidR="007921D2" w:rsidRPr="00A72566" w:rsidP="007921D2" w14:paraId="0946CE91"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A72566">
        <w:rPr>
          <w:rFonts w:ascii="Times New Roman" w:hAnsi="Times New Roman"/>
          <w:szCs w:val="24"/>
          <w:u w:val="single"/>
        </w:rPr>
        <w:t xml:space="preserve">Efforts to consult with </w:t>
      </w:r>
      <w:r w:rsidRPr="00A72566">
        <w:rPr>
          <w:rFonts w:ascii="Times New Roman" w:hAnsi="Times New Roman"/>
          <w:szCs w:val="24"/>
          <w:u w:val="single"/>
        </w:rPr>
        <w:t>persons</w:t>
      </w:r>
      <w:r w:rsidRPr="00A72566">
        <w:rPr>
          <w:rFonts w:ascii="Times New Roman" w:hAnsi="Times New Roman"/>
          <w:szCs w:val="24"/>
          <w:u w:val="single"/>
        </w:rPr>
        <w:t xml:space="preserve"> outside the agency:</w:t>
      </w:r>
    </w:p>
    <w:p w:rsidR="007921D2" w:rsidRPr="00A72566" w:rsidP="007921D2" w14:paraId="7C6F51C9" w14:textId="77777777">
      <w:pPr>
        <w:rPr>
          <w:rFonts w:ascii="Times New Roman" w:hAnsi="Times New Roman"/>
          <w:szCs w:val="24"/>
        </w:rPr>
      </w:pPr>
    </w:p>
    <w:p w:rsidR="007921D2" w:rsidRPr="00A72566" w:rsidP="007921D2" w14:paraId="55A1864D" w14:textId="65D47B91">
      <w:pPr>
        <w:pStyle w:val="BodyTextIndent"/>
        <w:ind w:left="1080"/>
        <w:rPr>
          <w:szCs w:val="24"/>
        </w:rPr>
      </w:pPr>
      <w:r w:rsidRPr="00A72566">
        <w:rPr>
          <w:szCs w:val="24"/>
        </w:rPr>
        <w:t xml:space="preserve">On </w:t>
      </w:r>
      <w:r w:rsidRPr="00A72566" w:rsidR="00D35C22">
        <w:rPr>
          <w:szCs w:val="24"/>
        </w:rPr>
        <w:t>June</w:t>
      </w:r>
      <w:r w:rsidRPr="00A72566" w:rsidR="00700D14">
        <w:rPr>
          <w:szCs w:val="24"/>
        </w:rPr>
        <w:t xml:space="preserve"> </w:t>
      </w:r>
      <w:r w:rsidRPr="00A72566" w:rsidR="008543B1">
        <w:rPr>
          <w:szCs w:val="24"/>
        </w:rPr>
        <w:t>30</w:t>
      </w:r>
      <w:r w:rsidRPr="00A72566" w:rsidR="00291B68">
        <w:rPr>
          <w:szCs w:val="24"/>
        </w:rPr>
        <w:t>,</w:t>
      </w:r>
      <w:r w:rsidRPr="00A72566">
        <w:rPr>
          <w:szCs w:val="24"/>
        </w:rPr>
        <w:t xml:space="preserve"> 202</w:t>
      </w:r>
      <w:r w:rsidRPr="00A72566" w:rsidR="00EB1F46">
        <w:rPr>
          <w:szCs w:val="24"/>
        </w:rPr>
        <w:t>6</w:t>
      </w:r>
      <w:r w:rsidRPr="00A72566">
        <w:rPr>
          <w:szCs w:val="24"/>
        </w:rPr>
        <w:t>, the FDIC issued a Notice of Proposed Rulemaking in the Federal Register (</w:t>
      </w:r>
      <w:r w:rsidRPr="00A72566" w:rsidR="00753228">
        <w:rPr>
          <w:szCs w:val="24"/>
        </w:rPr>
        <w:t>91</w:t>
      </w:r>
      <w:r w:rsidRPr="00A72566">
        <w:rPr>
          <w:szCs w:val="24"/>
        </w:rPr>
        <w:t xml:space="preserve"> FR </w:t>
      </w:r>
      <w:r w:rsidRPr="00A72566" w:rsidR="00A72566">
        <w:rPr>
          <w:szCs w:val="24"/>
        </w:rPr>
        <w:t>39794</w:t>
      </w:r>
      <w:r w:rsidRPr="00A72566">
        <w:rPr>
          <w:szCs w:val="24"/>
        </w:rPr>
        <w:t>) seeking comment on the requirements under the PRA. The FDIC will consider any received during the comment when finalizing the Rule.</w:t>
      </w:r>
    </w:p>
    <w:p w:rsidR="007921D2" w:rsidRPr="00A72566" w:rsidP="007921D2" w14:paraId="30AA2299" w14:textId="77777777">
      <w:pPr>
        <w:ind w:left="1440"/>
        <w:rPr>
          <w:rFonts w:ascii="Times New Roman" w:hAnsi="Times New Roman"/>
          <w:szCs w:val="24"/>
        </w:rPr>
      </w:pPr>
    </w:p>
    <w:p w:rsidR="007921D2" w:rsidRPr="00A72566" w:rsidP="007921D2" w14:paraId="09FE0D45"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A72566">
        <w:rPr>
          <w:rFonts w:ascii="Times New Roman" w:hAnsi="Times New Roman"/>
          <w:szCs w:val="24"/>
          <w:u w:val="single"/>
        </w:rPr>
        <w:t>Payment or gift to respondents:</w:t>
      </w:r>
    </w:p>
    <w:p w:rsidR="007921D2" w:rsidRPr="00A72566" w:rsidP="007921D2" w14:paraId="724FC0B1" w14:textId="77777777">
      <w:pPr>
        <w:rPr>
          <w:rFonts w:ascii="Times New Roman" w:hAnsi="Times New Roman"/>
          <w:szCs w:val="24"/>
        </w:rPr>
      </w:pPr>
    </w:p>
    <w:p w:rsidR="007921D2" w:rsidRPr="00A72566" w:rsidP="007921D2" w14:paraId="78A04214" w14:textId="77777777">
      <w:pPr>
        <w:ind w:left="360" w:firstLine="720"/>
        <w:rPr>
          <w:rFonts w:ascii="Times New Roman" w:hAnsi="Times New Roman"/>
          <w:szCs w:val="24"/>
        </w:rPr>
      </w:pPr>
      <w:r w:rsidRPr="00A72566">
        <w:rPr>
          <w:rFonts w:ascii="Times New Roman" w:hAnsi="Times New Roman"/>
          <w:szCs w:val="24"/>
        </w:rPr>
        <w:t>None.</w:t>
      </w:r>
    </w:p>
    <w:p w:rsidR="007921D2" w:rsidRPr="00A72566" w:rsidP="007921D2" w14:paraId="3713FC2B" w14:textId="77777777">
      <w:pPr>
        <w:rPr>
          <w:rFonts w:ascii="Times New Roman" w:hAnsi="Times New Roman"/>
          <w:szCs w:val="24"/>
        </w:rPr>
      </w:pPr>
    </w:p>
    <w:p w:rsidR="007921D2" w:rsidRPr="00A72566" w:rsidP="007921D2" w14:paraId="14BDBDB0" w14:textId="77777777">
      <w:pPr>
        <w:pStyle w:val="ListParagraph"/>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A72566">
        <w:rPr>
          <w:rFonts w:ascii="Times New Roman" w:hAnsi="Times New Roman"/>
          <w:szCs w:val="24"/>
          <w:u w:val="single"/>
        </w:rPr>
        <w:t>Any assurance of confidentiality:</w:t>
      </w:r>
      <w:r w:rsidRPr="00A72566">
        <w:rPr>
          <w:rFonts w:ascii="Times New Roman" w:hAnsi="Times New Roman"/>
          <w:szCs w:val="24"/>
        </w:rPr>
        <w:tab/>
      </w:r>
    </w:p>
    <w:p w:rsidR="007921D2" w:rsidRPr="00A72566" w:rsidP="007921D2" w14:paraId="4E22C807"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A72566" w:rsidP="007921D2" w14:paraId="27608C23" w14:textId="1BFF1345">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Cs w:val="24"/>
        </w:rPr>
      </w:pPr>
      <w:r w:rsidRPr="00A72566">
        <w:rPr>
          <w:rFonts w:ascii="Times New Roman" w:hAnsi="Times New Roman"/>
          <w:szCs w:val="24"/>
        </w:rPr>
        <w:t>Information collected is kept private to the extent allowed by law. All required records are subject to the confidentiality requirements of the Privacy Act.</w:t>
      </w:r>
      <w:r w:rsidRPr="00A72566" w:rsidR="00606FCF">
        <w:rPr>
          <w:rFonts w:ascii="Times New Roman" w:hAnsi="Times New Roman"/>
          <w:szCs w:val="24"/>
        </w:rPr>
        <w:t xml:space="preserve"> </w:t>
      </w:r>
      <w:r w:rsidRPr="00A72566">
        <w:rPr>
          <w:rFonts w:ascii="Times New Roman" w:hAnsi="Times New Roman"/>
          <w:szCs w:val="24"/>
        </w:rPr>
        <w:t>In addition, any information deemed to be of a confidential nature is exempt from public disclosure in accordance with the provisions of the Freedom of Information Act (5 U.S.C. 552).</w:t>
      </w:r>
    </w:p>
    <w:p w:rsidR="007921D2" w:rsidRPr="00A72566" w:rsidP="007921D2" w14:paraId="3DECDB27" w14:textId="77777777">
      <w:pPr>
        <w:ind w:left="840" w:hanging="120"/>
        <w:rPr>
          <w:rFonts w:ascii="Times New Roman" w:hAnsi="Times New Roman"/>
          <w:szCs w:val="24"/>
        </w:rPr>
      </w:pPr>
    </w:p>
    <w:p w:rsidR="007921D2" w:rsidRPr="00A72566" w:rsidP="007921D2" w14:paraId="42A04919" w14:textId="77777777">
      <w:pPr>
        <w:widowControl/>
        <w:numPr>
          <w:ilvl w:val="1"/>
          <w:numId w:val="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A72566">
        <w:rPr>
          <w:rFonts w:ascii="Times New Roman" w:hAnsi="Times New Roman"/>
          <w:szCs w:val="24"/>
          <w:u w:val="single"/>
        </w:rPr>
        <w:t>Justification for questions of a sensitive nature:</w:t>
      </w:r>
    </w:p>
    <w:p w:rsidR="007921D2" w:rsidRPr="00A72566" w:rsidP="007921D2" w14:paraId="1A212D6F" w14:textId="77777777">
      <w:pPr>
        <w:rPr>
          <w:rFonts w:ascii="Times New Roman" w:hAnsi="Times New Roman"/>
          <w:szCs w:val="24"/>
        </w:rPr>
      </w:pPr>
    </w:p>
    <w:p w:rsidR="007921D2" w:rsidRPr="00A72566" w:rsidP="007921D2" w14:paraId="05D8BDA4" w14:textId="2AE9006A">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080"/>
        <w:jc w:val="both"/>
        <w:rPr>
          <w:rFonts w:ascii="Times New Roman" w:hAnsi="Times New Roman"/>
          <w:szCs w:val="24"/>
        </w:rPr>
      </w:pPr>
      <w:r w:rsidRPr="00A72566">
        <w:rPr>
          <w:rFonts w:ascii="Times New Roman" w:hAnsi="Times New Roman"/>
          <w:szCs w:val="24"/>
        </w:rPr>
        <w:t>No questions of a sensitive nature are included in the collection.</w:t>
      </w:r>
    </w:p>
    <w:p w:rsidR="009D4FC2" w:rsidRPr="008C17EF" w:rsidP="007921D2" w14:paraId="6B9147FA" w14:textId="77777777">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080"/>
        <w:jc w:val="both"/>
        <w:rPr>
          <w:rFonts w:ascii="Times New Roman" w:hAnsi="Times New Roman"/>
          <w:szCs w:val="24"/>
        </w:rPr>
      </w:pPr>
    </w:p>
    <w:p w:rsidR="007921D2" w:rsidRPr="008C17EF" w:rsidP="009D4FC2" w14:paraId="66EFE689" w14:textId="281DB38B">
      <w:pPr>
        <w:pStyle w:val="ListParagraph"/>
        <w:widowControl/>
        <w:numPr>
          <w:ilvl w:val="1"/>
          <w:numId w:val="2"/>
        </w:numPr>
        <w:rPr>
          <w:rFonts w:ascii="Times New Roman" w:hAnsi="Times New Roman"/>
          <w:szCs w:val="24"/>
        </w:rPr>
      </w:pPr>
      <w:r w:rsidRPr="008C17EF">
        <w:rPr>
          <w:rFonts w:ascii="Times New Roman" w:hAnsi="Times New Roman"/>
          <w:szCs w:val="24"/>
          <w:u w:val="single"/>
        </w:rPr>
        <w:t>Estimate of Hour Burden:</w:t>
      </w:r>
      <w:r w:rsidRPr="008C17EF">
        <w:rPr>
          <w:rFonts w:ascii="Times New Roman" w:hAnsi="Times New Roman"/>
          <w:szCs w:val="24"/>
        </w:rPr>
        <w:tab/>
      </w:r>
    </w:p>
    <w:p w:rsidR="007921D2" w:rsidRPr="008C17EF" w:rsidP="007921D2" w14:paraId="1C6C0B2F" w14:textId="77777777">
      <w:pPr>
        <w:rPr>
          <w:rFonts w:ascii="Times New Roman" w:hAnsi="Times New Roman"/>
          <w:szCs w:val="24"/>
        </w:rPr>
      </w:pPr>
      <w:r w:rsidRPr="008C17EF">
        <w:rPr>
          <w:rFonts w:ascii="Times New Roman" w:hAnsi="Times New Roman"/>
          <w:szCs w:val="24"/>
        </w:rPr>
        <w:tab/>
      </w:r>
    </w:p>
    <w:p w:rsidR="008C17EF" w:rsidRPr="008C17EF" w:rsidP="008C17EF" w14:paraId="2093DA86" w14:textId="42E86D2A">
      <w:pPr>
        <w:ind w:left="1080"/>
        <w:rPr>
          <w:rFonts w:ascii="Times New Roman" w:hAnsi="Times New Roman"/>
          <w:szCs w:val="24"/>
        </w:rPr>
      </w:pPr>
      <w:r w:rsidRPr="008C17EF">
        <w:rPr>
          <w:rFonts w:ascii="Times New Roman" w:hAnsi="Times New Roman"/>
          <w:szCs w:val="24"/>
        </w:rPr>
        <w:t>T</w:t>
      </w:r>
      <w:r w:rsidRPr="008C17EF">
        <w:rPr>
          <w:rFonts w:ascii="Times New Roman" w:hAnsi="Times New Roman"/>
          <w:szCs w:val="24"/>
        </w:rPr>
        <w:t xml:space="preserve">he proposal would provide a downward resolution readiness adjustment to assessment rates for large and highly complex institutions, including 0.5 basis points for passing virtual data room testing and 0.5 basis points for providing the prescribed data access. The information collection requirements in the proposed rule are as follows: </w:t>
      </w:r>
    </w:p>
    <w:p w:rsidR="008C17EF" w:rsidRPr="008C17EF" w:rsidP="008C17EF" w14:paraId="39CD7589" w14:textId="77777777">
      <w:pPr>
        <w:ind w:left="1080"/>
        <w:rPr>
          <w:rFonts w:ascii="Times New Roman" w:hAnsi="Times New Roman"/>
          <w:szCs w:val="24"/>
        </w:rPr>
      </w:pPr>
    </w:p>
    <w:p w:rsidR="008C17EF" w:rsidRPr="008C17EF" w:rsidP="008C17EF" w14:paraId="633305EB" w14:textId="69B0AC43">
      <w:pPr>
        <w:ind w:left="1080"/>
        <w:rPr>
          <w:rFonts w:ascii="Times New Roman" w:hAnsi="Times New Roman"/>
          <w:szCs w:val="24"/>
        </w:rPr>
      </w:pPr>
      <w:r w:rsidRPr="008C17EF">
        <w:rPr>
          <w:rFonts w:ascii="Times New Roman" w:hAnsi="Times New Roman"/>
          <w:szCs w:val="24"/>
        </w:rPr>
        <w:t xml:space="preserve">Section 327.18(d) would allow a large or highly complex financial institution to submit to the FDIC a notice of election to participate in the resolution readiness adjustment.   </w:t>
      </w:r>
    </w:p>
    <w:p w:rsidR="008C17EF" w:rsidRPr="008C17EF" w:rsidP="008C17EF" w14:paraId="44CCE9D4" w14:textId="77777777">
      <w:pPr>
        <w:ind w:left="1080"/>
        <w:rPr>
          <w:rFonts w:ascii="Times New Roman" w:hAnsi="Times New Roman"/>
          <w:szCs w:val="24"/>
        </w:rPr>
      </w:pPr>
    </w:p>
    <w:p w:rsidR="008C17EF" w:rsidRPr="008C17EF" w:rsidP="008C17EF" w14:paraId="3776EDE6" w14:textId="1A22D187">
      <w:pPr>
        <w:ind w:left="1080"/>
        <w:rPr>
          <w:rFonts w:ascii="Times New Roman" w:hAnsi="Times New Roman"/>
          <w:szCs w:val="24"/>
        </w:rPr>
      </w:pPr>
      <w:r w:rsidRPr="008C17EF">
        <w:rPr>
          <w:rFonts w:ascii="Times New Roman" w:hAnsi="Times New Roman"/>
          <w:szCs w:val="24"/>
        </w:rPr>
        <w:t xml:space="preserve">Section 327.18(e) would allow a large or highly complex financial institution to submit to the FDIC information relating to the virtual data room capabilities test. </w:t>
      </w:r>
    </w:p>
    <w:p w:rsidR="008C17EF" w:rsidRPr="008C17EF" w:rsidP="008C17EF" w14:paraId="40821A6B" w14:textId="77777777">
      <w:pPr>
        <w:ind w:left="1080"/>
        <w:rPr>
          <w:rFonts w:ascii="Times New Roman" w:hAnsi="Times New Roman"/>
          <w:szCs w:val="24"/>
        </w:rPr>
      </w:pPr>
    </w:p>
    <w:p w:rsidR="008C17EF" w:rsidRPr="008C17EF" w:rsidP="008C17EF" w14:paraId="68916F1D" w14:textId="0433564A">
      <w:pPr>
        <w:ind w:left="1080"/>
        <w:rPr>
          <w:rFonts w:ascii="Times New Roman" w:hAnsi="Times New Roman"/>
          <w:szCs w:val="24"/>
        </w:rPr>
      </w:pPr>
      <w:r w:rsidRPr="008C17EF">
        <w:rPr>
          <w:rFonts w:ascii="Times New Roman" w:hAnsi="Times New Roman"/>
          <w:szCs w:val="24"/>
        </w:rPr>
        <w:t xml:space="preserve">Section 327.18(f) would allow a large or highly complex financial institution to submit to the FDIC information relating to the data access capabilities test. </w:t>
      </w:r>
    </w:p>
    <w:p w:rsidR="008C17EF" w:rsidRPr="008C17EF" w:rsidP="008C17EF" w14:paraId="5506B8C2" w14:textId="77777777">
      <w:pPr>
        <w:ind w:left="1080"/>
        <w:rPr>
          <w:rFonts w:ascii="Times New Roman" w:hAnsi="Times New Roman"/>
          <w:szCs w:val="24"/>
        </w:rPr>
      </w:pPr>
    </w:p>
    <w:p w:rsidR="008C17EF" w:rsidRPr="008C17EF" w:rsidP="008C17EF" w14:paraId="2E608E38" w14:textId="5A3C43ED">
      <w:pPr>
        <w:ind w:left="1080"/>
        <w:rPr>
          <w:rFonts w:ascii="Times New Roman" w:hAnsi="Times New Roman"/>
          <w:szCs w:val="24"/>
        </w:rPr>
      </w:pPr>
      <w:r w:rsidRPr="008C17EF">
        <w:rPr>
          <w:rFonts w:ascii="Times New Roman" w:hAnsi="Times New Roman"/>
          <w:szCs w:val="24"/>
        </w:rPr>
        <w:t xml:space="preserve">Section 327.18(f)(3)(i) would allow a large or highly complex financial institution to submit to the FDIC information relating to a material change notice. </w:t>
      </w:r>
    </w:p>
    <w:p w:rsidR="008C17EF" w:rsidRPr="008C17EF" w:rsidP="00A5353A" w14:paraId="32C4E5BC" w14:textId="77777777">
      <w:pPr>
        <w:ind w:left="1080"/>
        <w:rPr>
          <w:rFonts w:ascii="Times New Roman" w:hAnsi="Times New Roman"/>
          <w:szCs w:val="24"/>
        </w:rPr>
      </w:pPr>
    </w:p>
    <w:p w:rsidR="005D0B6B" w:rsidRPr="008C17EF" w:rsidP="00A5353A" w14:paraId="6F889A78" w14:textId="2788E84F">
      <w:pPr>
        <w:ind w:left="1080"/>
        <w:rPr>
          <w:rFonts w:ascii="Times New Roman" w:eastAsia="Aptos" w:hAnsi="Times New Roman"/>
          <w:snapToGrid/>
          <w:szCs w:val="24"/>
        </w:rPr>
      </w:pPr>
      <w:r w:rsidRPr="008C17EF">
        <w:rPr>
          <w:rFonts w:ascii="Times New Roman" w:hAnsi="Times New Roman"/>
          <w:szCs w:val="24"/>
        </w:rPr>
        <w:t>FDIC’s</w:t>
      </w:r>
      <w:r w:rsidRPr="008C17EF" w:rsidR="00365D18">
        <w:rPr>
          <w:rFonts w:ascii="Times New Roman" w:hAnsi="Times New Roman"/>
          <w:szCs w:val="24"/>
        </w:rPr>
        <w:t xml:space="preserve"> estimated burden for the respondents for complying with the collection of information is </w:t>
      </w:r>
      <w:r w:rsidRPr="008C17EF" w:rsidR="008C17EF">
        <w:rPr>
          <w:rFonts w:ascii="Times New Roman" w:hAnsi="Times New Roman"/>
          <w:szCs w:val="24"/>
        </w:rPr>
        <w:t>3,893</w:t>
      </w:r>
      <w:r w:rsidRPr="008C17EF" w:rsidR="00365D18">
        <w:rPr>
          <w:rFonts w:ascii="Times New Roman" w:hAnsi="Times New Roman"/>
          <w:szCs w:val="24"/>
        </w:rPr>
        <w:t xml:space="preserve"> hours.</w:t>
      </w:r>
    </w:p>
    <w:p w:rsidR="00A5353A" w:rsidRPr="00A5353A" w:rsidP="00A5353A" w14:paraId="5DD8447F" w14:textId="77777777">
      <w:pPr>
        <w:ind w:left="1080"/>
        <w:rPr>
          <w:rFonts w:ascii="Times New Roman" w:eastAsia="Aptos" w:hAnsi="Times New Roman"/>
          <w:snapToGrid/>
          <w:color w:val="FF0000"/>
          <w:szCs w:val="24"/>
        </w:rPr>
      </w:pPr>
    </w:p>
    <w:tbl>
      <w:tblPr>
        <w:tblW w:w="5000" w:type="pct"/>
        <w:tblLook w:val="04A0"/>
      </w:tblPr>
      <w:tblGrid>
        <w:gridCol w:w="1273"/>
        <w:gridCol w:w="1361"/>
        <w:gridCol w:w="2157"/>
        <w:gridCol w:w="1816"/>
        <w:gridCol w:w="1265"/>
        <w:gridCol w:w="1468"/>
      </w:tblGrid>
      <w:tr w14:paraId="5D180584" w14:textId="77777777" w:rsidTr="005F2007">
        <w:tblPrEx>
          <w:tblW w:w="5000" w:type="pct"/>
          <w:tblLook w:val="04A0"/>
        </w:tblPrEx>
        <w:trPr>
          <w:trHeight w:val="840"/>
        </w:trPr>
        <w:tc>
          <w:tcPr>
            <w:tcW w:w="5000" w:type="pct"/>
            <w:gridSpan w:val="6"/>
            <w:tcBorders>
              <w:top w:val="single" w:sz="4"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669AD631" w14:textId="22F93083">
            <w:pPr>
              <w:spacing w:line="276" w:lineRule="auto"/>
              <w:jc w:val="center"/>
              <w:rPr>
                <w:rFonts w:ascii="Times New Roman" w:hAnsi="Times New Roman"/>
                <w:sz w:val="22"/>
                <w:szCs w:val="22"/>
              </w:rPr>
            </w:pPr>
            <w:r>
              <w:rPr>
                <w:rFonts w:ascii="Times New Roman" w:hAnsi="Times New Roman"/>
                <w:sz w:val="22"/>
                <w:szCs w:val="22"/>
              </w:rPr>
              <w:t xml:space="preserve">Table 1. </w:t>
            </w:r>
            <w:r w:rsidRPr="00877257">
              <w:rPr>
                <w:rFonts w:ascii="Times New Roman" w:hAnsi="Times New Roman"/>
                <w:sz w:val="22"/>
                <w:szCs w:val="22"/>
              </w:rPr>
              <w:t>Summary of Estimated Annual Burden (OMB No. 3064-NEW)</w:t>
            </w:r>
          </w:p>
        </w:tc>
      </w:tr>
      <w:tr w14:paraId="1A5F66A6" w14:textId="77777777" w:rsidTr="005F2007">
        <w:tblPrEx>
          <w:tblW w:w="5000" w:type="pct"/>
          <w:tblLook w:val="04A0"/>
        </w:tblPrEx>
        <w:trPr>
          <w:trHeight w:val="840"/>
        </w:trPr>
        <w:tc>
          <w:tcPr>
            <w:tcW w:w="681" w:type="pct"/>
            <w:tcBorders>
              <w:top w:val="single" w:sz="4"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7D98927C" w14:textId="77777777">
            <w:pPr>
              <w:spacing w:line="276" w:lineRule="auto"/>
              <w:rPr>
                <w:rFonts w:ascii="Times New Roman" w:hAnsi="Times New Roman"/>
                <w:sz w:val="22"/>
                <w:szCs w:val="22"/>
              </w:rPr>
            </w:pPr>
            <w:r w:rsidRPr="00877257">
              <w:rPr>
                <w:rFonts w:ascii="Times New Roman" w:hAnsi="Times New Roman"/>
                <w:sz w:val="22"/>
                <w:szCs w:val="22"/>
              </w:rPr>
              <w:t>Information Collection (IC) (Obligation to Respond)</w:t>
            </w:r>
          </w:p>
        </w:tc>
        <w:tc>
          <w:tcPr>
            <w:tcW w:w="729" w:type="pct"/>
            <w:tcBorders>
              <w:top w:val="single" w:sz="4"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613890B6" w14:textId="77777777">
            <w:pPr>
              <w:spacing w:line="276" w:lineRule="auto"/>
              <w:jc w:val="center"/>
              <w:rPr>
                <w:rFonts w:ascii="Times New Roman" w:hAnsi="Times New Roman"/>
                <w:sz w:val="22"/>
                <w:szCs w:val="22"/>
              </w:rPr>
            </w:pPr>
            <w:r w:rsidRPr="00877257">
              <w:rPr>
                <w:rFonts w:ascii="Times New Roman" w:hAnsi="Times New Roman"/>
                <w:sz w:val="22"/>
                <w:szCs w:val="22"/>
              </w:rPr>
              <w:t>Type of Burden</w:t>
            </w:r>
            <w:r w:rsidRPr="00877257">
              <w:rPr>
                <w:rFonts w:ascii="Times New Roman" w:hAnsi="Times New Roman"/>
                <w:sz w:val="22"/>
                <w:szCs w:val="22"/>
              </w:rPr>
              <w:br/>
              <w:t xml:space="preserve"> (Frequency of Response)</w:t>
            </w:r>
          </w:p>
        </w:tc>
        <w:tc>
          <w:tcPr>
            <w:tcW w:w="1155" w:type="pct"/>
            <w:tcBorders>
              <w:top w:val="single" w:sz="4"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52148516" w14:textId="77777777">
            <w:pPr>
              <w:spacing w:line="276" w:lineRule="auto"/>
              <w:jc w:val="center"/>
              <w:rPr>
                <w:rFonts w:ascii="Times New Roman" w:hAnsi="Times New Roman"/>
                <w:sz w:val="22"/>
                <w:szCs w:val="22"/>
              </w:rPr>
            </w:pPr>
            <w:r w:rsidRPr="00877257">
              <w:rPr>
                <w:rFonts w:ascii="Times New Roman" w:hAnsi="Times New Roman"/>
                <w:sz w:val="22"/>
                <w:szCs w:val="22"/>
              </w:rPr>
              <w:t xml:space="preserve"> Number of Respondents</w:t>
            </w:r>
          </w:p>
        </w:tc>
        <w:tc>
          <w:tcPr>
            <w:tcW w:w="972" w:type="pct"/>
            <w:tcBorders>
              <w:top w:val="single" w:sz="4"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78427734" w14:textId="77777777">
            <w:pPr>
              <w:spacing w:line="276" w:lineRule="auto"/>
              <w:jc w:val="center"/>
              <w:rPr>
                <w:rFonts w:ascii="Times New Roman" w:hAnsi="Times New Roman"/>
                <w:sz w:val="22"/>
                <w:szCs w:val="22"/>
              </w:rPr>
            </w:pPr>
            <w:r w:rsidRPr="00877257">
              <w:rPr>
                <w:rFonts w:ascii="Times New Roman" w:hAnsi="Times New Roman"/>
                <w:sz w:val="22"/>
                <w:szCs w:val="22"/>
              </w:rPr>
              <w:t xml:space="preserve"> Annual Number of Responses per Respondent</w:t>
            </w:r>
          </w:p>
        </w:tc>
        <w:tc>
          <w:tcPr>
            <w:tcW w:w="677" w:type="pct"/>
            <w:tcBorders>
              <w:top w:val="single" w:sz="4"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28E3FA68" w14:textId="77777777">
            <w:pPr>
              <w:spacing w:line="276" w:lineRule="auto"/>
              <w:jc w:val="center"/>
              <w:rPr>
                <w:rFonts w:ascii="Times New Roman" w:hAnsi="Times New Roman"/>
                <w:sz w:val="22"/>
                <w:szCs w:val="22"/>
              </w:rPr>
            </w:pPr>
            <w:r w:rsidRPr="00877257">
              <w:rPr>
                <w:rFonts w:ascii="Times New Roman" w:hAnsi="Times New Roman"/>
                <w:sz w:val="22"/>
                <w:szCs w:val="22"/>
              </w:rPr>
              <w:t>Time per Response (HH:MM)</w:t>
            </w:r>
          </w:p>
        </w:tc>
        <w:tc>
          <w:tcPr>
            <w:tcW w:w="786" w:type="pct"/>
            <w:tcBorders>
              <w:top w:val="single" w:sz="4"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4D0A2CA4" w14:textId="77777777">
            <w:pPr>
              <w:spacing w:line="276" w:lineRule="auto"/>
              <w:jc w:val="center"/>
              <w:rPr>
                <w:rFonts w:ascii="Times New Roman" w:hAnsi="Times New Roman"/>
                <w:sz w:val="22"/>
                <w:szCs w:val="22"/>
              </w:rPr>
            </w:pPr>
            <w:r w:rsidRPr="00877257">
              <w:rPr>
                <w:rFonts w:ascii="Times New Roman" w:hAnsi="Times New Roman"/>
                <w:sz w:val="22"/>
                <w:szCs w:val="22"/>
              </w:rPr>
              <w:t>Annual Burden (Hours)</w:t>
            </w:r>
          </w:p>
        </w:tc>
      </w:tr>
      <w:tr w14:paraId="7487E587" w14:textId="77777777" w:rsidTr="005F2007">
        <w:tblPrEx>
          <w:tblW w:w="5000" w:type="pct"/>
          <w:tblLook w:val="04A0"/>
        </w:tblPrEx>
        <w:trPr>
          <w:trHeight w:val="1110"/>
        </w:trPr>
        <w:tc>
          <w:tcPr>
            <w:tcW w:w="68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58F1A454" w14:textId="77777777">
            <w:pPr>
              <w:spacing w:line="276" w:lineRule="auto"/>
              <w:rPr>
                <w:rFonts w:ascii="Times New Roman" w:hAnsi="Times New Roman"/>
                <w:sz w:val="22"/>
                <w:szCs w:val="22"/>
              </w:rPr>
            </w:pPr>
            <w:r w:rsidRPr="00877257">
              <w:rPr>
                <w:rFonts w:ascii="Times New Roman" w:hAnsi="Times New Roman"/>
                <w:sz w:val="22"/>
                <w:szCs w:val="22"/>
              </w:rPr>
              <w:t xml:space="preserve">1. Election for resolution readiness adjustment, 12 CFR 327.18(d) </w:t>
            </w:r>
            <w:r w:rsidRPr="00877257">
              <w:rPr>
                <w:rFonts w:ascii="Times New Roman" w:hAnsi="Times New Roman"/>
                <w:sz w:val="22"/>
                <w:szCs w:val="22"/>
              </w:rPr>
              <w:t>(Required to Obtain or Retain a Benefit)</w:t>
            </w:r>
          </w:p>
        </w:tc>
        <w:tc>
          <w:tcPr>
            <w:tcW w:w="72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493A02EE" w14:textId="77777777">
            <w:pPr>
              <w:spacing w:line="276" w:lineRule="auto"/>
              <w:jc w:val="center"/>
              <w:rPr>
                <w:rFonts w:ascii="Times New Roman" w:hAnsi="Times New Roman"/>
                <w:sz w:val="22"/>
                <w:szCs w:val="22"/>
              </w:rPr>
            </w:pPr>
            <w:r w:rsidRPr="00877257">
              <w:rPr>
                <w:rFonts w:ascii="Times New Roman" w:hAnsi="Times New Roman"/>
                <w:sz w:val="22"/>
                <w:szCs w:val="22"/>
              </w:rPr>
              <w:t>Reporting (On Occasion)</w:t>
            </w:r>
          </w:p>
        </w:tc>
        <w:tc>
          <w:tcPr>
            <w:tcW w:w="1155"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518F4B30" w14:textId="77777777">
            <w:pPr>
              <w:spacing w:line="276" w:lineRule="auto"/>
              <w:jc w:val="center"/>
              <w:rPr>
                <w:rFonts w:ascii="Times New Roman" w:hAnsi="Times New Roman"/>
                <w:sz w:val="22"/>
                <w:szCs w:val="22"/>
              </w:rPr>
            </w:pPr>
            <w:r w:rsidRPr="00877257">
              <w:rPr>
                <w:rFonts w:ascii="Times New Roman" w:hAnsi="Times New Roman"/>
                <w:sz w:val="22"/>
                <w:szCs w:val="22"/>
              </w:rPr>
              <w:t>56</w:t>
            </w:r>
          </w:p>
        </w:tc>
        <w:tc>
          <w:tcPr>
            <w:tcW w:w="972"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01444B68" w14:textId="77777777">
            <w:pPr>
              <w:spacing w:line="276" w:lineRule="auto"/>
              <w:jc w:val="center"/>
              <w:rPr>
                <w:rFonts w:ascii="Times New Roman" w:hAnsi="Times New Roman"/>
                <w:sz w:val="22"/>
                <w:szCs w:val="22"/>
              </w:rPr>
            </w:pPr>
            <w:r w:rsidRPr="00877257">
              <w:rPr>
                <w:rFonts w:ascii="Times New Roman" w:hAnsi="Times New Roman"/>
                <w:sz w:val="22"/>
                <w:szCs w:val="22"/>
              </w:rPr>
              <w:t>.333</w:t>
            </w:r>
          </w:p>
        </w:tc>
        <w:tc>
          <w:tcPr>
            <w:tcW w:w="67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340D7587" w14:textId="77777777">
            <w:pPr>
              <w:spacing w:line="276" w:lineRule="auto"/>
              <w:jc w:val="center"/>
              <w:rPr>
                <w:rFonts w:ascii="Times New Roman" w:hAnsi="Times New Roman"/>
                <w:sz w:val="22"/>
                <w:szCs w:val="22"/>
              </w:rPr>
            </w:pPr>
            <w:r w:rsidRPr="00877257">
              <w:rPr>
                <w:rFonts w:ascii="Times New Roman" w:hAnsi="Times New Roman"/>
                <w:sz w:val="22"/>
                <w:szCs w:val="22"/>
              </w:rPr>
              <w:t>8:00</w:t>
            </w:r>
          </w:p>
        </w:tc>
        <w:tc>
          <w:tcPr>
            <w:tcW w:w="78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03627DFC" w14:textId="77777777">
            <w:pPr>
              <w:spacing w:line="276" w:lineRule="auto"/>
              <w:jc w:val="center"/>
              <w:rPr>
                <w:rFonts w:ascii="Times New Roman" w:hAnsi="Times New Roman"/>
                <w:sz w:val="22"/>
                <w:szCs w:val="22"/>
              </w:rPr>
            </w:pPr>
            <w:r w:rsidRPr="00877257">
              <w:rPr>
                <w:rFonts w:ascii="Times New Roman" w:hAnsi="Times New Roman"/>
                <w:sz w:val="22"/>
                <w:szCs w:val="22"/>
              </w:rPr>
              <w:t>152</w:t>
            </w:r>
          </w:p>
        </w:tc>
      </w:tr>
      <w:tr w14:paraId="416AAF33" w14:textId="77777777" w:rsidTr="005F2007">
        <w:tblPrEx>
          <w:tblW w:w="5000" w:type="pct"/>
          <w:tblLook w:val="04A0"/>
        </w:tblPrEx>
        <w:trPr>
          <w:trHeight w:val="1110"/>
        </w:trPr>
        <w:tc>
          <w:tcPr>
            <w:tcW w:w="68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1C7D5E59" w14:textId="77777777">
            <w:pPr>
              <w:spacing w:line="276" w:lineRule="auto"/>
              <w:rPr>
                <w:rFonts w:ascii="Times New Roman" w:hAnsi="Times New Roman"/>
                <w:sz w:val="22"/>
                <w:szCs w:val="22"/>
              </w:rPr>
            </w:pPr>
            <w:r w:rsidRPr="00877257">
              <w:rPr>
                <w:rFonts w:ascii="Times New Roman" w:hAnsi="Times New Roman"/>
                <w:sz w:val="22"/>
                <w:szCs w:val="22"/>
              </w:rPr>
              <w:t>2. Virtual data room capabilities test, 12 CFR 327.18(e) (Required to Obtain or Retain a Benefit)</w:t>
            </w:r>
          </w:p>
        </w:tc>
        <w:tc>
          <w:tcPr>
            <w:tcW w:w="72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10994697" w14:textId="77777777">
            <w:pPr>
              <w:spacing w:line="276" w:lineRule="auto"/>
              <w:jc w:val="center"/>
              <w:rPr>
                <w:rFonts w:ascii="Times New Roman" w:hAnsi="Times New Roman"/>
                <w:sz w:val="22"/>
                <w:szCs w:val="22"/>
              </w:rPr>
            </w:pPr>
            <w:r w:rsidRPr="00877257">
              <w:rPr>
                <w:rFonts w:ascii="Times New Roman" w:hAnsi="Times New Roman"/>
                <w:sz w:val="22"/>
                <w:szCs w:val="22"/>
              </w:rPr>
              <w:t>Reporting (On Occasion)</w:t>
            </w:r>
          </w:p>
        </w:tc>
        <w:tc>
          <w:tcPr>
            <w:tcW w:w="1155"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6335C28E" w14:textId="77777777">
            <w:pPr>
              <w:spacing w:line="276" w:lineRule="auto"/>
              <w:jc w:val="center"/>
              <w:rPr>
                <w:rFonts w:ascii="Times New Roman" w:hAnsi="Times New Roman"/>
                <w:sz w:val="22"/>
                <w:szCs w:val="22"/>
              </w:rPr>
            </w:pPr>
            <w:r w:rsidRPr="00877257">
              <w:rPr>
                <w:rFonts w:ascii="Times New Roman" w:hAnsi="Times New Roman"/>
                <w:sz w:val="22"/>
                <w:szCs w:val="22"/>
              </w:rPr>
              <w:t>56</w:t>
            </w:r>
          </w:p>
        </w:tc>
        <w:tc>
          <w:tcPr>
            <w:tcW w:w="972"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2075A82A" w14:textId="77777777">
            <w:pPr>
              <w:spacing w:line="276" w:lineRule="auto"/>
              <w:jc w:val="center"/>
              <w:rPr>
                <w:rFonts w:ascii="Times New Roman" w:hAnsi="Times New Roman"/>
                <w:sz w:val="22"/>
                <w:szCs w:val="22"/>
              </w:rPr>
            </w:pPr>
            <w:r w:rsidRPr="00877257">
              <w:rPr>
                <w:rFonts w:ascii="Times New Roman" w:hAnsi="Times New Roman"/>
                <w:sz w:val="22"/>
                <w:szCs w:val="22"/>
              </w:rPr>
              <w:t>.333</w:t>
            </w:r>
          </w:p>
        </w:tc>
        <w:tc>
          <w:tcPr>
            <w:tcW w:w="67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5CC12048" w14:textId="77777777">
            <w:pPr>
              <w:spacing w:line="276" w:lineRule="auto"/>
              <w:jc w:val="center"/>
              <w:rPr>
                <w:rFonts w:ascii="Times New Roman" w:hAnsi="Times New Roman"/>
                <w:sz w:val="22"/>
                <w:szCs w:val="22"/>
              </w:rPr>
            </w:pPr>
            <w:r w:rsidRPr="00877257">
              <w:rPr>
                <w:rFonts w:ascii="Times New Roman" w:hAnsi="Times New Roman"/>
                <w:sz w:val="22"/>
                <w:szCs w:val="22"/>
              </w:rPr>
              <w:t>109:00</w:t>
            </w:r>
          </w:p>
        </w:tc>
        <w:tc>
          <w:tcPr>
            <w:tcW w:w="78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78005FDE" w14:textId="77777777">
            <w:pPr>
              <w:spacing w:line="276" w:lineRule="auto"/>
              <w:jc w:val="center"/>
              <w:rPr>
                <w:rFonts w:ascii="Times New Roman" w:hAnsi="Times New Roman"/>
                <w:sz w:val="22"/>
                <w:szCs w:val="22"/>
              </w:rPr>
            </w:pPr>
            <w:r w:rsidRPr="00877257">
              <w:rPr>
                <w:rFonts w:ascii="Times New Roman" w:hAnsi="Times New Roman"/>
                <w:sz w:val="22"/>
                <w:szCs w:val="22"/>
              </w:rPr>
              <w:t>2,027</w:t>
            </w:r>
          </w:p>
        </w:tc>
      </w:tr>
      <w:tr w14:paraId="01631CE7" w14:textId="77777777" w:rsidTr="005F2007">
        <w:tblPrEx>
          <w:tblW w:w="5000" w:type="pct"/>
          <w:tblLook w:val="04A0"/>
        </w:tblPrEx>
        <w:trPr>
          <w:trHeight w:val="840"/>
        </w:trPr>
        <w:tc>
          <w:tcPr>
            <w:tcW w:w="68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34D01291" w14:textId="77777777">
            <w:pPr>
              <w:spacing w:line="276" w:lineRule="auto"/>
              <w:rPr>
                <w:rFonts w:ascii="Times New Roman" w:hAnsi="Times New Roman"/>
                <w:sz w:val="22"/>
                <w:szCs w:val="22"/>
              </w:rPr>
            </w:pPr>
            <w:r w:rsidRPr="00877257">
              <w:rPr>
                <w:rFonts w:ascii="Times New Roman" w:hAnsi="Times New Roman"/>
                <w:sz w:val="22"/>
                <w:szCs w:val="22"/>
              </w:rPr>
              <w:t xml:space="preserve">3. Data access capabilities, 12 CFR 327.18(f) (Required to Obtain or Retain a Benefit) </w:t>
            </w:r>
          </w:p>
        </w:tc>
        <w:tc>
          <w:tcPr>
            <w:tcW w:w="72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2D6512C1" w14:textId="77777777">
            <w:pPr>
              <w:spacing w:line="276" w:lineRule="auto"/>
              <w:jc w:val="center"/>
              <w:rPr>
                <w:rFonts w:ascii="Times New Roman" w:hAnsi="Times New Roman"/>
                <w:sz w:val="22"/>
                <w:szCs w:val="22"/>
              </w:rPr>
            </w:pPr>
            <w:r w:rsidRPr="00877257">
              <w:rPr>
                <w:rFonts w:ascii="Times New Roman" w:hAnsi="Times New Roman"/>
                <w:sz w:val="22"/>
                <w:szCs w:val="22"/>
              </w:rPr>
              <w:t>Reporting (On Occasion)</w:t>
            </w:r>
          </w:p>
        </w:tc>
        <w:tc>
          <w:tcPr>
            <w:tcW w:w="1155"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198D33EF" w14:textId="77777777">
            <w:pPr>
              <w:spacing w:line="276" w:lineRule="auto"/>
              <w:jc w:val="center"/>
              <w:rPr>
                <w:rFonts w:ascii="Times New Roman" w:hAnsi="Times New Roman"/>
                <w:sz w:val="22"/>
                <w:szCs w:val="22"/>
              </w:rPr>
            </w:pPr>
            <w:r w:rsidRPr="00877257">
              <w:rPr>
                <w:rFonts w:ascii="Times New Roman" w:hAnsi="Times New Roman"/>
                <w:sz w:val="22"/>
                <w:szCs w:val="22"/>
              </w:rPr>
              <w:t>42</w:t>
            </w:r>
          </w:p>
        </w:tc>
        <w:tc>
          <w:tcPr>
            <w:tcW w:w="972"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590E05AE" w14:textId="77777777">
            <w:pPr>
              <w:spacing w:line="276" w:lineRule="auto"/>
              <w:jc w:val="center"/>
              <w:rPr>
                <w:rFonts w:ascii="Times New Roman" w:hAnsi="Times New Roman"/>
                <w:sz w:val="22"/>
                <w:szCs w:val="22"/>
              </w:rPr>
            </w:pPr>
            <w:r w:rsidRPr="00877257">
              <w:rPr>
                <w:rFonts w:ascii="Times New Roman" w:hAnsi="Times New Roman"/>
                <w:sz w:val="22"/>
                <w:szCs w:val="22"/>
              </w:rPr>
              <w:t>.333</w:t>
            </w:r>
          </w:p>
        </w:tc>
        <w:tc>
          <w:tcPr>
            <w:tcW w:w="67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09FCC459" w14:textId="77777777">
            <w:pPr>
              <w:spacing w:line="276" w:lineRule="auto"/>
              <w:jc w:val="center"/>
              <w:rPr>
                <w:rFonts w:ascii="Times New Roman" w:hAnsi="Times New Roman"/>
                <w:sz w:val="22"/>
                <w:szCs w:val="22"/>
              </w:rPr>
            </w:pPr>
            <w:r w:rsidRPr="00877257">
              <w:rPr>
                <w:rFonts w:ascii="Times New Roman" w:hAnsi="Times New Roman"/>
                <w:sz w:val="22"/>
                <w:szCs w:val="22"/>
              </w:rPr>
              <w:t>119:00</w:t>
            </w:r>
          </w:p>
        </w:tc>
        <w:tc>
          <w:tcPr>
            <w:tcW w:w="78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41053F88" w14:textId="77777777">
            <w:pPr>
              <w:spacing w:line="276" w:lineRule="auto"/>
              <w:jc w:val="center"/>
              <w:rPr>
                <w:rFonts w:ascii="Times New Roman" w:hAnsi="Times New Roman"/>
                <w:sz w:val="22"/>
                <w:szCs w:val="22"/>
              </w:rPr>
            </w:pPr>
            <w:r w:rsidRPr="00877257">
              <w:rPr>
                <w:rFonts w:ascii="Times New Roman" w:hAnsi="Times New Roman"/>
                <w:sz w:val="22"/>
                <w:szCs w:val="22"/>
              </w:rPr>
              <w:t>1,666</w:t>
            </w:r>
          </w:p>
        </w:tc>
      </w:tr>
      <w:tr w14:paraId="4F7D5C11" w14:textId="77777777" w:rsidTr="005F2007">
        <w:tblPrEx>
          <w:tblW w:w="5000" w:type="pct"/>
          <w:tblLook w:val="04A0"/>
        </w:tblPrEx>
        <w:trPr>
          <w:trHeight w:val="840"/>
        </w:trPr>
        <w:tc>
          <w:tcPr>
            <w:tcW w:w="68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52586AE3" w14:textId="77777777">
            <w:pPr>
              <w:spacing w:line="276" w:lineRule="auto"/>
              <w:rPr>
                <w:rFonts w:ascii="Times New Roman" w:hAnsi="Times New Roman"/>
                <w:sz w:val="22"/>
                <w:szCs w:val="22"/>
              </w:rPr>
            </w:pPr>
            <w:r w:rsidRPr="00877257">
              <w:rPr>
                <w:rFonts w:ascii="Times New Roman" w:hAnsi="Times New Roman"/>
                <w:sz w:val="22"/>
                <w:szCs w:val="22"/>
              </w:rPr>
              <w:t>4. Material change notice, 12 CFR 327.18 (f)(3)(i) (Required to Obtain or Retain a Benefit)</w:t>
            </w:r>
          </w:p>
        </w:tc>
        <w:tc>
          <w:tcPr>
            <w:tcW w:w="72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25095D4F" w14:textId="77777777">
            <w:pPr>
              <w:spacing w:line="276" w:lineRule="auto"/>
              <w:jc w:val="center"/>
              <w:rPr>
                <w:rFonts w:ascii="Times New Roman" w:hAnsi="Times New Roman"/>
                <w:sz w:val="22"/>
                <w:szCs w:val="22"/>
              </w:rPr>
            </w:pPr>
            <w:r w:rsidRPr="00877257">
              <w:rPr>
                <w:rFonts w:ascii="Times New Roman" w:hAnsi="Times New Roman"/>
                <w:sz w:val="22"/>
                <w:szCs w:val="22"/>
              </w:rPr>
              <w:t>Reporting (On Occasion)</w:t>
            </w:r>
          </w:p>
        </w:tc>
        <w:tc>
          <w:tcPr>
            <w:tcW w:w="1155"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734D72A4" w14:textId="77777777">
            <w:pPr>
              <w:spacing w:line="276" w:lineRule="auto"/>
              <w:jc w:val="center"/>
              <w:rPr>
                <w:rFonts w:ascii="Times New Roman" w:hAnsi="Times New Roman"/>
                <w:sz w:val="22"/>
                <w:szCs w:val="22"/>
              </w:rPr>
            </w:pPr>
            <w:r w:rsidRPr="00877257">
              <w:rPr>
                <w:rFonts w:ascii="Times New Roman" w:hAnsi="Times New Roman"/>
                <w:sz w:val="22"/>
                <w:szCs w:val="22"/>
              </w:rPr>
              <w:t>1</w:t>
            </w:r>
          </w:p>
        </w:tc>
        <w:tc>
          <w:tcPr>
            <w:tcW w:w="972"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7D3400B3" w14:textId="77777777">
            <w:pPr>
              <w:spacing w:line="276" w:lineRule="auto"/>
              <w:jc w:val="center"/>
              <w:rPr>
                <w:rFonts w:ascii="Times New Roman" w:hAnsi="Times New Roman"/>
                <w:sz w:val="22"/>
                <w:szCs w:val="22"/>
              </w:rPr>
            </w:pPr>
            <w:r w:rsidRPr="00877257">
              <w:rPr>
                <w:rFonts w:ascii="Times New Roman" w:hAnsi="Times New Roman"/>
                <w:sz w:val="22"/>
                <w:szCs w:val="22"/>
              </w:rPr>
              <w:t>1</w:t>
            </w:r>
          </w:p>
        </w:tc>
        <w:tc>
          <w:tcPr>
            <w:tcW w:w="67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4F0BCE6F" w14:textId="77777777">
            <w:pPr>
              <w:spacing w:line="276" w:lineRule="auto"/>
              <w:jc w:val="center"/>
              <w:rPr>
                <w:rFonts w:ascii="Times New Roman" w:hAnsi="Times New Roman"/>
                <w:sz w:val="22"/>
                <w:szCs w:val="22"/>
              </w:rPr>
            </w:pPr>
            <w:r w:rsidRPr="00877257">
              <w:rPr>
                <w:rFonts w:ascii="Times New Roman" w:hAnsi="Times New Roman"/>
                <w:sz w:val="22"/>
                <w:szCs w:val="22"/>
              </w:rPr>
              <w:t>4:00</w:t>
            </w:r>
          </w:p>
        </w:tc>
        <w:tc>
          <w:tcPr>
            <w:tcW w:w="78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12FB5876" w14:textId="77777777">
            <w:pPr>
              <w:spacing w:line="276" w:lineRule="auto"/>
              <w:jc w:val="center"/>
              <w:rPr>
                <w:rFonts w:ascii="Times New Roman" w:hAnsi="Times New Roman"/>
                <w:sz w:val="22"/>
                <w:szCs w:val="22"/>
              </w:rPr>
            </w:pPr>
            <w:r w:rsidRPr="00877257">
              <w:rPr>
                <w:rFonts w:ascii="Times New Roman" w:hAnsi="Times New Roman"/>
                <w:sz w:val="22"/>
                <w:szCs w:val="22"/>
              </w:rPr>
              <w:t>4</w:t>
            </w:r>
          </w:p>
        </w:tc>
      </w:tr>
      <w:tr w14:paraId="52EEF774" w14:textId="77777777" w:rsidTr="005F2007">
        <w:tblPrEx>
          <w:tblW w:w="5000" w:type="pct"/>
          <w:tblLook w:val="04A0"/>
        </w:tblPrEx>
        <w:trPr>
          <w:trHeight w:val="570"/>
        </w:trPr>
        <w:tc>
          <w:tcPr>
            <w:tcW w:w="5000" w:type="pct"/>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1741D0AB" w14:textId="77777777">
            <w:pPr>
              <w:spacing w:line="276" w:lineRule="auto"/>
              <w:jc w:val="right"/>
              <w:rPr>
                <w:rFonts w:ascii="Times New Roman" w:hAnsi="Times New Roman"/>
                <w:b/>
                <w:bCs/>
                <w:i/>
                <w:iCs/>
                <w:sz w:val="22"/>
                <w:szCs w:val="22"/>
              </w:rPr>
            </w:pPr>
            <w:r w:rsidRPr="00877257">
              <w:rPr>
                <w:rFonts w:ascii="Times New Roman" w:hAnsi="Times New Roman"/>
                <w:b/>
                <w:bCs/>
                <w:i/>
                <w:iCs/>
                <w:sz w:val="22"/>
                <w:szCs w:val="22"/>
              </w:rPr>
              <w:t xml:space="preserve">Total Annual Burden (Hours): 3,893 </w:t>
            </w:r>
          </w:p>
        </w:tc>
      </w:tr>
      <w:tr w14:paraId="4477D207" w14:textId="77777777" w:rsidTr="005F2007">
        <w:tblPrEx>
          <w:tblW w:w="5000" w:type="pct"/>
          <w:tblLook w:val="04A0"/>
        </w:tblPrEx>
        <w:trPr>
          <w:trHeight w:val="570"/>
        </w:trPr>
        <w:tc>
          <w:tcPr>
            <w:tcW w:w="5000" w:type="pct"/>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D0B6B" w:rsidRPr="00877257" w:rsidP="005F2007" w14:paraId="3497F3FC" w14:textId="77777777">
            <w:pPr>
              <w:spacing w:line="276" w:lineRule="auto"/>
              <w:rPr>
                <w:rFonts w:ascii="Times New Roman" w:hAnsi="Times New Roman"/>
                <w:sz w:val="22"/>
                <w:szCs w:val="22"/>
              </w:rPr>
            </w:pPr>
            <w:r w:rsidRPr="00877257">
              <w:rPr>
                <w:rFonts w:ascii="Times New Roman" w:hAnsi="Times New Roman"/>
                <w:sz w:val="22"/>
                <w:szCs w:val="22"/>
              </w:rPr>
              <w:t>Note: The estimated annual information collection time burden is the product, rounded to the nearest hour, of the estimated annual number of responses and the estimated time per response for a given IC. The estimated annual number of responses is the product, rounded to the nearest whole number, of the estimated annual number of respondents and the estimated annual number of responses per respondent. This methodology ensures the estimated annual burdens in the table are consistent with the values recorded in OMB’s consolidated information system.</w:t>
            </w:r>
          </w:p>
        </w:tc>
      </w:tr>
    </w:tbl>
    <w:p w:rsidR="005D0B6B" w:rsidRPr="00877257" w:rsidP="005D0B6B" w14:paraId="43C13B52" w14:textId="77777777">
      <w:pPr>
        <w:ind w:firstLine="720"/>
        <w:rPr>
          <w:rFonts w:ascii="Times New Roman" w:hAnsi="Times New Roman"/>
          <w:color w:val="FF0000"/>
          <w:sz w:val="22"/>
          <w:szCs w:val="22"/>
        </w:rPr>
      </w:pPr>
    </w:p>
    <w:p w:rsidR="005D0B6B" w:rsidRPr="00877257" w:rsidP="005D0B6B" w14:paraId="108247DC" w14:textId="77777777">
      <w:pPr>
        <w:rPr>
          <w:rFonts w:ascii="Times New Roman" w:hAnsi="Times New Roman"/>
          <w:color w:val="FF0000"/>
          <w:sz w:val="22"/>
          <w:szCs w:val="22"/>
        </w:rPr>
      </w:pPr>
    </w:p>
    <w:p w:rsidR="005D0B6B" w:rsidRPr="00877257" w:rsidP="005D0B6B" w14:paraId="710B7B1E" w14:textId="77777777">
      <w:pPr>
        <w:rPr>
          <w:rFonts w:ascii="Times New Roman" w:hAnsi="Times New Roman"/>
          <w:color w:val="FF0000"/>
          <w:sz w:val="22"/>
          <w:szCs w:val="22"/>
        </w:rPr>
      </w:pPr>
    </w:p>
    <w:tbl>
      <w:tblPr>
        <w:tblW w:w="5000" w:type="pct"/>
        <w:tblCellMar>
          <w:left w:w="0" w:type="dxa"/>
          <w:right w:w="0" w:type="dxa"/>
        </w:tblCellMar>
        <w:tblLook w:val="04A0"/>
      </w:tblPr>
      <w:tblGrid>
        <w:gridCol w:w="982"/>
        <w:gridCol w:w="602"/>
        <w:gridCol w:w="1183"/>
        <w:gridCol w:w="1227"/>
        <w:gridCol w:w="991"/>
        <w:gridCol w:w="984"/>
        <w:gridCol w:w="1176"/>
        <w:gridCol w:w="1208"/>
        <w:gridCol w:w="973"/>
        <w:gridCol w:w="14"/>
      </w:tblGrid>
      <w:tr w14:paraId="05ABE026" w14:textId="77777777" w:rsidTr="005F2007">
        <w:tblPrEx>
          <w:tblW w:w="5000" w:type="pct"/>
          <w:tblCellMar>
            <w:left w:w="0" w:type="dxa"/>
            <w:right w:w="0" w:type="dxa"/>
          </w:tblCellMar>
          <w:tblLook w:val="04A0"/>
        </w:tblPrEx>
        <w:trPr>
          <w:gridAfter w:val="1"/>
          <w:wAfter w:w="7" w:type="dxa"/>
          <w:trHeight w:val="360"/>
        </w:trPr>
        <w:tc>
          <w:tcPr>
            <w:tcW w:w="4993" w:type="pct"/>
            <w:gridSpan w:val="9"/>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D0B6B" w:rsidRPr="00877257" w:rsidP="005F2007" w14:paraId="607F1094" w14:textId="6734821A">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Table 2. Summary of Hourly Burden Cost Estimate (OMB No. 3064-</w:t>
            </w:r>
            <w:r w:rsidR="00D9059A">
              <w:rPr>
                <w:rFonts w:ascii="Times New Roman" w:eastAsia="Aptos" w:hAnsi="Times New Roman"/>
                <w:snapToGrid/>
                <w:color w:val="000000"/>
                <w:sz w:val="22"/>
                <w:szCs w:val="22"/>
              </w:rPr>
              <w:t>NEW</w:t>
            </w:r>
            <w:r w:rsidRPr="00877257">
              <w:rPr>
                <w:rFonts w:ascii="Times New Roman" w:eastAsia="Aptos" w:hAnsi="Times New Roman"/>
                <w:snapToGrid/>
                <w:color w:val="000000"/>
                <w:sz w:val="22"/>
                <w:szCs w:val="22"/>
              </w:rPr>
              <w:t>)</w:t>
            </w:r>
          </w:p>
        </w:tc>
      </w:tr>
      <w:tr w14:paraId="73AC2ED5" w14:textId="77777777" w:rsidTr="005F2007">
        <w:tblPrEx>
          <w:tblW w:w="5000" w:type="pct"/>
          <w:tblCellMar>
            <w:left w:w="0" w:type="dxa"/>
            <w:right w:w="0" w:type="dxa"/>
          </w:tblCellMar>
          <w:tblLook w:val="04A0"/>
        </w:tblPrEx>
        <w:trPr>
          <w:gridAfter w:val="1"/>
          <w:wAfter w:w="7" w:type="dxa"/>
          <w:trHeight w:val="600"/>
        </w:trPr>
        <w:tc>
          <w:tcPr>
            <w:tcW w:w="71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2DC2D83D" w14:textId="77777777">
            <w:pPr>
              <w:widowControl/>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 xml:space="preserve">Information Collection (IC) (Obligation to Respond) </w:t>
            </w:r>
          </w:p>
        </w:tc>
        <w:tc>
          <w:tcPr>
            <w:tcW w:w="13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26EE6C1C"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 xml:space="preserve">Hourly Weight </w:t>
            </w:r>
            <w:r w:rsidRPr="00877257">
              <w:rPr>
                <w:rFonts w:ascii="Times New Roman" w:eastAsia="Aptos" w:hAnsi="Times New Roman"/>
                <w:snapToGrid/>
                <w:color w:val="000000"/>
                <w:sz w:val="22"/>
                <w:szCs w:val="22"/>
              </w:rPr>
              <w:br/>
              <w:t>(%)</w:t>
            </w:r>
          </w:p>
        </w:tc>
        <w:tc>
          <w:tcPr>
            <w:tcW w:w="3624" w:type="pct"/>
            <w:gridSpan w:val="6"/>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23B640BF"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 xml:space="preserve">Percentage Shares of Hours Spent by and </w:t>
            </w:r>
            <w:r w:rsidRPr="00877257">
              <w:rPr>
                <w:rFonts w:ascii="Times New Roman" w:eastAsia="Aptos" w:hAnsi="Times New Roman"/>
                <w:snapToGrid/>
                <w:color w:val="000000"/>
                <w:sz w:val="22"/>
                <w:szCs w:val="22"/>
              </w:rPr>
              <w:br/>
              <w:t xml:space="preserve">Hourly Compensation Rates for each Occupation Group </w:t>
            </w:r>
            <w:r w:rsidRPr="00877257">
              <w:rPr>
                <w:rFonts w:ascii="Times New Roman" w:eastAsia="Aptos" w:hAnsi="Times New Roman"/>
                <w:snapToGrid/>
                <w:color w:val="000000"/>
                <w:sz w:val="22"/>
                <w:szCs w:val="22"/>
              </w:rPr>
              <w:br/>
              <w:t>(by Collection)</w:t>
            </w:r>
          </w:p>
        </w:tc>
        <w:tc>
          <w:tcPr>
            <w:tcW w:w="52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21DE994F"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Estimated Hourly Compensation Rate</w:t>
            </w:r>
          </w:p>
        </w:tc>
      </w:tr>
      <w:tr w14:paraId="61E95B4A" w14:textId="77777777" w:rsidTr="005F2007">
        <w:tblPrEx>
          <w:tblW w:w="5000" w:type="pct"/>
          <w:tblCellMar>
            <w:left w:w="0" w:type="dxa"/>
            <w:right w:w="0" w:type="dxa"/>
          </w:tblCellMar>
          <w:tblLook w:val="04A0"/>
        </w:tblPrEx>
        <w:trPr>
          <w:trHeight w:val="864"/>
        </w:trPr>
        <w:tc>
          <w:tcPr>
            <w:tcW w:w="717" w:type="pct"/>
            <w:vMerge/>
            <w:tcBorders>
              <w:top w:val="nil"/>
              <w:left w:val="single" w:sz="8" w:space="0" w:color="auto"/>
              <w:bottom w:val="single" w:sz="8" w:space="0" w:color="auto"/>
              <w:right w:val="single" w:sz="8" w:space="0" w:color="auto"/>
            </w:tcBorders>
            <w:vAlign w:val="center"/>
            <w:hideMark/>
          </w:tcPr>
          <w:p w:rsidR="005D0B6B" w:rsidRPr="00877257" w:rsidP="005F2007" w14:paraId="2F8D97FE" w14:textId="77777777">
            <w:pPr>
              <w:widowControl/>
              <w:rPr>
                <w:rFonts w:ascii="Times New Roman" w:eastAsia="Aptos" w:hAnsi="Times New Roman"/>
                <w:snapToGrid/>
                <w:color w:val="000000"/>
                <w:sz w:val="22"/>
                <w:szCs w:val="22"/>
              </w:rPr>
            </w:pPr>
          </w:p>
        </w:tc>
        <w:tc>
          <w:tcPr>
            <w:tcW w:w="131" w:type="pct"/>
            <w:vMerge/>
            <w:tcBorders>
              <w:top w:val="nil"/>
              <w:left w:val="nil"/>
              <w:bottom w:val="single" w:sz="8" w:space="0" w:color="auto"/>
              <w:right w:val="single" w:sz="8" w:space="0" w:color="auto"/>
            </w:tcBorders>
            <w:vAlign w:val="center"/>
            <w:hideMark/>
          </w:tcPr>
          <w:p w:rsidR="005D0B6B" w:rsidRPr="00877257" w:rsidP="005F2007" w14:paraId="660CB36D" w14:textId="77777777">
            <w:pPr>
              <w:widowControl/>
              <w:rPr>
                <w:rFonts w:ascii="Times New Roman" w:eastAsia="Aptos" w:hAnsi="Times New Roman"/>
                <w:snapToGrid/>
                <w:color w:val="000000"/>
                <w:sz w:val="22"/>
                <w:szCs w:val="22"/>
              </w:rPr>
            </w:pPr>
          </w:p>
        </w:tc>
        <w:tc>
          <w:tcPr>
            <w:tcW w:w="3624" w:type="pct"/>
            <w:gridSpan w:val="6"/>
            <w:vMerge/>
            <w:tcBorders>
              <w:top w:val="nil"/>
              <w:left w:val="nil"/>
              <w:bottom w:val="single" w:sz="8" w:space="0" w:color="auto"/>
              <w:right w:val="single" w:sz="8" w:space="0" w:color="auto"/>
            </w:tcBorders>
            <w:vAlign w:val="center"/>
            <w:hideMark/>
          </w:tcPr>
          <w:p w:rsidR="005D0B6B" w:rsidRPr="00877257" w:rsidP="005F2007" w14:paraId="104C59BB" w14:textId="77777777">
            <w:pPr>
              <w:widowControl/>
              <w:rPr>
                <w:rFonts w:ascii="Times New Roman" w:eastAsia="Aptos" w:hAnsi="Times New Roman"/>
                <w:snapToGrid/>
                <w:color w:val="000000"/>
                <w:sz w:val="22"/>
                <w:szCs w:val="22"/>
              </w:rPr>
            </w:pPr>
          </w:p>
        </w:tc>
        <w:tc>
          <w:tcPr>
            <w:tcW w:w="521" w:type="pct"/>
            <w:vMerge/>
            <w:tcBorders>
              <w:top w:val="nil"/>
              <w:left w:val="nil"/>
              <w:bottom w:val="single" w:sz="8" w:space="0" w:color="auto"/>
              <w:right w:val="single" w:sz="8" w:space="0" w:color="auto"/>
            </w:tcBorders>
            <w:vAlign w:val="center"/>
            <w:hideMark/>
          </w:tcPr>
          <w:p w:rsidR="005D0B6B" w:rsidRPr="00877257" w:rsidP="005F2007" w14:paraId="5C1B1B72" w14:textId="77777777">
            <w:pPr>
              <w:widowControl/>
              <w:rPr>
                <w:rFonts w:ascii="Times New Roman" w:eastAsia="Aptos" w:hAnsi="Times New Roman"/>
                <w:snapToGrid/>
                <w:color w:val="000000"/>
                <w:sz w:val="22"/>
                <w:szCs w:val="22"/>
              </w:rPr>
            </w:pPr>
          </w:p>
        </w:tc>
        <w:tc>
          <w:tcPr>
            <w:tcW w:w="7" w:type="pct"/>
            <w:vAlign w:val="center"/>
            <w:hideMark/>
          </w:tcPr>
          <w:p w:rsidR="005D0B6B" w:rsidRPr="00877257" w:rsidP="005F2007" w14:paraId="16F8CD51" w14:textId="77777777">
            <w:pPr>
              <w:widowControl/>
              <w:rPr>
                <w:rFonts w:ascii="Times New Roman" w:eastAsia="Aptos" w:hAnsi="Times New Roman"/>
                <w:snapToGrid/>
                <w:color w:val="000000"/>
                <w:sz w:val="22"/>
                <w:szCs w:val="22"/>
              </w:rPr>
            </w:pPr>
          </w:p>
        </w:tc>
      </w:tr>
      <w:tr w14:paraId="35BA42EC" w14:textId="77777777" w:rsidTr="005F2007">
        <w:tblPrEx>
          <w:tblW w:w="5000" w:type="pct"/>
          <w:tblCellMar>
            <w:left w:w="0" w:type="dxa"/>
            <w:right w:w="0" w:type="dxa"/>
          </w:tblCellMar>
          <w:tblLook w:val="04A0"/>
        </w:tblPrEx>
        <w:trPr>
          <w:trHeight w:val="360"/>
        </w:trPr>
        <w:tc>
          <w:tcPr>
            <w:tcW w:w="717" w:type="pct"/>
            <w:vMerge/>
            <w:tcBorders>
              <w:top w:val="nil"/>
              <w:left w:val="single" w:sz="8" w:space="0" w:color="auto"/>
              <w:bottom w:val="single" w:sz="8" w:space="0" w:color="auto"/>
              <w:right w:val="single" w:sz="8" w:space="0" w:color="auto"/>
            </w:tcBorders>
            <w:vAlign w:val="center"/>
            <w:hideMark/>
          </w:tcPr>
          <w:p w:rsidR="005D0B6B" w:rsidRPr="00877257" w:rsidP="005F2007" w14:paraId="50600EEE" w14:textId="77777777">
            <w:pPr>
              <w:widowControl/>
              <w:rPr>
                <w:rFonts w:ascii="Times New Roman" w:eastAsia="Aptos" w:hAnsi="Times New Roman"/>
                <w:snapToGrid/>
                <w:color w:val="000000"/>
                <w:sz w:val="22"/>
                <w:szCs w:val="22"/>
              </w:rPr>
            </w:pPr>
          </w:p>
        </w:tc>
        <w:tc>
          <w:tcPr>
            <w:tcW w:w="131" w:type="pct"/>
            <w:vMerge/>
            <w:tcBorders>
              <w:top w:val="nil"/>
              <w:left w:val="nil"/>
              <w:bottom w:val="single" w:sz="8" w:space="0" w:color="auto"/>
              <w:right w:val="single" w:sz="8" w:space="0" w:color="auto"/>
            </w:tcBorders>
            <w:vAlign w:val="center"/>
            <w:hideMark/>
          </w:tcPr>
          <w:p w:rsidR="005D0B6B" w:rsidRPr="00877257" w:rsidP="005F2007" w14:paraId="1029B3A1" w14:textId="77777777">
            <w:pPr>
              <w:widowControl/>
              <w:rPr>
                <w:rFonts w:ascii="Times New Roman" w:eastAsia="Aptos" w:hAnsi="Times New Roman"/>
                <w:snapToGrid/>
                <w:color w:val="000000"/>
                <w:sz w:val="22"/>
                <w:szCs w:val="22"/>
              </w:rPr>
            </w:pPr>
          </w:p>
        </w:tc>
        <w:tc>
          <w:tcPr>
            <w:tcW w:w="63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2ADCE1EF"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Exec. &amp; Mgr.      ($159.84)</w:t>
            </w:r>
          </w:p>
        </w:tc>
        <w:tc>
          <w:tcPr>
            <w:tcW w:w="65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76D45B5F"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Lawyer</w:t>
            </w:r>
            <w:r w:rsidRPr="00877257">
              <w:rPr>
                <w:rFonts w:ascii="Times New Roman" w:eastAsia="Aptos" w:hAnsi="Times New Roman"/>
                <w:snapToGrid/>
                <w:color w:val="000000"/>
                <w:sz w:val="22"/>
                <w:szCs w:val="22"/>
              </w:rPr>
              <w:t>   (</w:t>
            </w:r>
            <w:r w:rsidRPr="00877257">
              <w:rPr>
                <w:rFonts w:ascii="Times New Roman" w:eastAsia="Aptos" w:hAnsi="Times New Roman"/>
                <w:snapToGrid/>
                <w:color w:val="000000"/>
                <w:sz w:val="22"/>
                <w:szCs w:val="22"/>
              </w:rPr>
              <w:t>$180.27)</w:t>
            </w:r>
          </w:p>
        </w:tc>
        <w:tc>
          <w:tcPr>
            <w:tcW w:w="53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4BC24BA4"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Compl</w:t>
            </w:r>
            <w:r w:rsidRPr="00877257">
              <w:rPr>
                <w:rFonts w:ascii="Times New Roman" w:eastAsia="Aptos" w:hAnsi="Times New Roman"/>
                <w:snapToGrid/>
                <w:color w:val="000000"/>
                <w:sz w:val="22"/>
                <w:szCs w:val="22"/>
              </w:rPr>
              <w:t>. Ofc.   ($81.09)</w:t>
            </w:r>
          </w:p>
        </w:tc>
        <w:tc>
          <w:tcPr>
            <w:tcW w:w="52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77DC9D6E"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IT </w:t>
            </w:r>
            <w:r w:rsidRPr="00877257">
              <w:rPr>
                <w:rFonts w:ascii="Times New Roman" w:eastAsia="Aptos" w:hAnsi="Times New Roman"/>
                <w:snapToGrid/>
                <w:color w:val="000000"/>
                <w:sz w:val="22"/>
                <w:szCs w:val="22"/>
              </w:rPr>
              <w:t>   (</w:t>
            </w:r>
            <w:r w:rsidRPr="00877257">
              <w:rPr>
                <w:rFonts w:ascii="Times New Roman" w:eastAsia="Aptos" w:hAnsi="Times New Roman"/>
                <w:snapToGrid/>
                <w:color w:val="000000"/>
                <w:sz w:val="22"/>
                <w:szCs w:val="22"/>
              </w:rPr>
              <w:t>$116.97)</w:t>
            </w:r>
          </w:p>
        </w:tc>
        <w:tc>
          <w:tcPr>
            <w:tcW w:w="63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65907068"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 xml:space="preserve">Fin. </w:t>
            </w:r>
            <w:r w:rsidRPr="00877257">
              <w:rPr>
                <w:rFonts w:ascii="Times New Roman" w:eastAsia="Aptos" w:hAnsi="Times New Roman"/>
                <w:snapToGrid/>
                <w:color w:val="000000"/>
                <w:sz w:val="22"/>
                <w:szCs w:val="22"/>
              </w:rPr>
              <w:t>Anlst</w:t>
            </w:r>
            <w:r w:rsidRPr="00877257">
              <w:rPr>
                <w:rFonts w:ascii="Times New Roman" w:eastAsia="Aptos" w:hAnsi="Times New Roman"/>
                <w:snapToGrid/>
                <w:color w:val="000000"/>
                <w:sz w:val="22"/>
                <w:szCs w:val="22"/>
              </w:rPr>
              <w:t>.    ($101.69)</w:t>
            </w:r>
          </w:p>
        </w:tc>
        <w:tc>
          <w:tcPr>
            <w:tcW w:w="64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713531E6"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Clerical </w:t>
            </w:r>
            <w:r w:rsidRPr="00877257">
              <w:rPr>
                <w:rFonts w:ascii="Times New Roman" w:eastAsia="Aptos" w:hAnsi="Times New Roman"/>
                <w:snapToGrid/>
                <w:color w:val="000000"/>
                <w:sz w:val="22"/>
                <w:szCs w:val="22"/>
              </w:rPr>
              <w:t>   (</w:t>
            </w:r>
            <w:r w:rsidRPr="00877257">
              <w:rPr>
                <w:rFonts w:ascii="Times New Roman" w:eastAsia="Aptos" w:hAnsi="Times New Roman"/>
                <w:snapToGrid/>
                <w:color w:val="000000"/>
                <w:sz w:val="22"/>
                <w:szCs w:val="22"/>
              </w:rPr>
              <w:t>$42.73)</w:t>
            </w:r>
          </w:p>
        </w:tc>
        <w:tc>
          <w:tcPr>
            <w:tcW w:w="521" w:type="pct"/>
            <w:vMerge/>
            <w:tcBorders>
              <w:top w:val="nil"/>
              <w:left w:val="nil"/>
              <w:bottom w:val="single" w:sz="8" w:space="0" w:color="auto"/>
              <w:right w:val="single" w:sz="8" w:space="0" w:color="auto"/>
            </w:tcBorders>
            <w:vAlign w:val="center"/>
            <w:hideMark/>
          </w:tcPr>
          <w:p w:rsidR="005D0B6B" w:rsidRPr="00877257" w:rsidP="005F2007" w14:paraId="20C848E1" w14:textId="77777777">
            <w:pPr>
              <w:widowControl/>
              <w:rPr>
                <w:rFonts w:ascii="Times New Roman" w:eastAsia="Aptos" w:hAnsi="Times New Roman"/>
                <w:snapToGrid/>
                <w:color w:val="000000"/>
                <w:sz w:val="22"/>
                <w:szCs w:val="22"/>
              </w:rPr>
            </w:pPr>
          </w:p>
        </w:tc>
        <w:tc>
          <w:tcPr>
            <w:tcW w:w="7" w:type="pct"/>
            <w:vAlign w:val="center"/>
            <w:hideMark/>
          </w:tcPr>
          <w:p w:rsidR="005D0B6B" w:rsidRPr="00877257" w:rsidP="005F2007" w14:paraId="3EA0B130" w14:textId="77777777">
            <w:pPr>
              <w:widowControl/>
              <w:rPr>
                <w:rFonts w:ascii="Times New Roman" w:hAnsi="Times New Roman"/>
                <w:snapToGrid/>
                <w:sz w:val="22"/>
                <w:szCs w:val="22"/>
              </w:rPr>
            </w:pPr>
          </w:p>
        </w:tc>
      </w:tr>
      <w:tr w14:paraId="3B25A331" w14:textId="77777777" w:rsidTr="005F2007">
        <w:tblPrEx>
          <w:tblW w:w="5000" w:type="pct"/>
          <w:tblCellMar>
            <w:left w:w="0" w:type="dxa"/>
            <w:right w:w="0" w:type="dxa"/>
          </w:tblCellMar>
          <w:tblLook w:val="04A0"/>
        </w:tblPrEx>
        <w:trPr>
          <w:trHeight w:val="1140"/>
        </w:trPr>
        <w:tc>
          <w:tcPr>
            <w:tcW w:w="717" w:type="pct"/>
            <w:vMerge/>
            <w:tcBorders>
              <w:top w:val="nil"/>
              <w:left w:val="single" w:sz="8" w:space="0" w:color="auto"/>
              <w:bottom w:val="single" w:sz="8" w:space="0" w:color="auto"/>
              <w:right w:val="single" w:sz="8" w:space="0" w:color="auto"/>
            </w:tcBorders>
            <w:vAlign w:val="center"/>
            <w:hideMark/>
          </w:tcPr>
          <w:p w:rsidR="005D0B6B" w:rsidRPr="00877257" w:rsidP="005F2007" w14:paraId="45A63253" w14:textId="77777777">
            <w:pPr>
              <w:widowControl/>
              <w:rPr>
                <w:rFonts w:ascii="Times New Roman" w:eastAsia="Aptos" w:hAnsi="Times New Roman"/>
                <w:snapToGrid/>
                <w:color w:val="000000"/>
                <w:sz w:val="22"/>
                <w:szCs w:val="22"/>
              </w:rPr>
            </w:pPr>
          </w:p>
        </w:tc>
        <w:tc>
          <w:tcPr>
            <w:tcW w:w="131" w:type="pct"/>
            <w:vMerge/>
            <w:tcBorders>
              <w:top w:val="nil"/>
              <w:left w:val="nil"/>
              <w:bottom w:val="single" w:sz="8" w:space="0" w:color="auto"/>
              <w:right w:val="single" w:sz="8" w:space="0" w:color="auto"/>
            </w:tcBorders>
            <w:vAlign w:val="center"/>
            <w:hideMark/>
          </w:tcPr>
          <w:p w:rsidR="005D0B6B" w:rsidRPr="00877257" w:rsidP="005F2007" w14:paraId="13E564C9" w14:textId="77777777">
            <w:pPr>
              <w:widowControl/>
              <w:rPr>
                <w:rFonts w:ascii="Times New Roman" w:eastAsia="Aptos" w:hAnsi="Times New Roman"/>
                <w:snapToGrid/>
                <w:color w:val="000000"/>
                <w:sz w:val="22"/>
                <w:szCs w:val="22"/>
              </w:rPr>
            </w:pPr>
          </w:p>
        </w:tc>
        <w:tc>
          <w:tcPr>
            <w:tcW w:w="633" w:type="pct"/>
            <w:vMerge/>
            <w:tcBorders>
              <w:top w:val="nil"/>
              <w:left w:val="nil"/>
              <w:bottom w:val="single" w:sz="8" w:space="0" w:color="auto"/>
              <w:right w:val="single" w:sz="8" w:space="0" w:color="auto"/>
            </w:tcBorders>
            <w:vAlign w:val="center"/>
            <w:hideMark/>
          </w:tcPr>
          <w:p w:rsidR="005D0B6B" w:rsidRPr="00877257" w:rsidP="005F2007" w14:paraId="62582332" w14:textId="77777777">
            <w:pPr>
              <w:widowControl/>
              <w:rPr>
                <w:rFonts w:ascii="Times New Roman" w:eastAsia="Aptos" w:hAnsi="Times New Roman"/>
                <w:snapToGrid/>
                <w:color w:val="000000"/>
                <w:sz w:val="22"/>
                <w:szCs w:val="22"/>
              </w:rPr>
            </w:pPr>
          </w:p>
        </w:tc>
        <w:tc>
          <w:tcPr>
            <w:tcW w:w="657" w:type="pct"/>
            <w:vMerge/>
            <w:tcBorders>
              <w:top w:val="nil"/>
              <w:left w:val="nil"/>
              <w:bottom w:val="single" w:sz="8" w:space="0" w:color="auto"/>
              <w:right w:val="single" w:sz="8" w:space="0" w:color="auto"/>
            </w:tcBorders>
            <w:vAlign w:val="center"/>
            <w:hideMark/>
          </w:tcPr>
          <w:p w:rsidR="005D0B6B" w:rsidRPr="00877257" w:rsidP="005F2007" w14:paraId="6A4B2D7F" w14:textId="77777777">
            <w:pPr>
              <w:widowControl/>
              <w:rPr>
                <w:rFonts w:ascii="Times New Roman" w:eastAsia="Aptos" w:hAnsi="Times New Roman"/>
                <w:snapToGrid/>
                <w:color w:val="000000"/>
                <w:sz w:val="22"/>
                <w:szCs w:val="22"/>
              </w:rPr>
            </w:pPr>
          </w:p>
        </w:tc>
        <w:tc>
          <w:tcPr>
            <w:tcW w:w="531" w:type="pct"/>
            <w:vMerge/>
            <w:tcBorders>
              <w:top w:val="nil"/>
              <w:left w:val="nil"/>
              <w:bottom w:val="single" w:sz="8" w:space="0" w:color="auto"/>
              <w:right w:val="single" w:sz="8" w:space="0" w:color="auto"/>
            </w:tcBorders>
            <w:vAlign w:val="center"/>
            <w:hideMark/>
          </w:tcPr>
          <w:p w:rsidR="005D0B6B" w:rsidRPr="00877257" w:rsidP="005F2007" w14:paraId="611D5666" w14:textId="77777777">
            <w:pPr>
              <w:widowControl/>
              <w:rPr>
                <w:rFonts w:ascii="Times New Roman" w:eastAsia="Aptos" w:hAnsi="Times New Roman"/>
                <w:snapToGrid/>
                <w:color w:val="000000"/>
                <w:sz w:val="22"/>
                <w:szCs w:val="22"/>
              </w:rPr>
            </w:pPr>
          </w:p>
        </w:tc>
        <w:tc>
          <w:tcPr>
            <w:tcW w:w="527" w:type="pct"/>
            <w:vMerge/>
            <w:tcBorders>
              <w:top w:val="nil"/>
              <w:left w:val="nil"/>
              <w:bottom w:val="single" w:sz="8" w:space="0" w:color="auto"/>
              <w:right w:val="single" w:sz="8" w:space="0" w:color="auto"/>
            </w:tcBorders>
            <w:vAlign w:val="center"/>
            <w:hideMark/>
          </w:tcPr>
          <w:p w:rsidR="005D0B6B" w:rsidRPr="00877257" w:rsidP="005F2007" w14:paraId="3D886B29" w14:textId="77777777">
            <w:pPr>
              <w:widowControl/>
              <w:rPr>
                <w:rFonts w:ascii="Times New Roman" w:eastAsia="Aptos" w:hAnsi="Times New Roman"/>
                <w:snapToGrid/>
                <w:color w:val="000000"/>
                <w:sz w:val="22"/>
                <w:szCs w:val="22"/>
              </w:rPr>
            </w:pPr>
          </w:p>
        </w:tc>
        <w:tc>
          <w:tcPr>
            <w:tcW w:w="630" w:type="pct"/>
            <w:vMerge/>
            <w:tcBorders>
              <w:top w:val="nil"/>
              <w:left w:val="nil"/>
              <w:bottom w:val="single" w:sz="8" w:space="0" w:color="auto"/>
              <w:right w:val="single" w:sz="8" w:space="0" w:color="auto"/>
            </w:tcBorders>
            <w:vAlign w:val="center"/>
            <w:hideMark/>
          </w:tcPr>
          <w:p w:rsidR="005D0B6B" w:rsidRPr="00877257" w:rsidP="005F2007" w14:paraId="3583D126" w14:textId="77777777">
            <w:pPr>
              <w:widowControl/>
              <w:rPr>
                <w:rFonts w:ascii="Times New Roman" w:eastAsia="Aptos" w:hAnsi="Times New Roman"/>
                <w:snapToGrid/>
                <w:color w:val="000000"/>
                <w:sz w:val="22"/>
                <w:szCs w:val="22"/>
              </w:rPr>
            </w:pPr>
          </w:p>
        </w:tc>
        <w:tc>
          <w:tcPr>
            <w:tcW w:w="647" w:type="pct"/>
            <w:vMerge/>
            <w:tcBorders>
              <w:top w:val="nil"/>
              <w:left w:val="nil"/>
              <w:bottom w:val="single" w:sz="8" w:space="0" w:color="auto"/>
              <w:right w:val="single" w:sz="8" w:space="0" w:color="auto"/>
            </w:tcBorders>
            <w:vAlign w:val="center"/>
            <w:hideMark/>
          </w:tcPr>
          <w:p w:rsidR="005D0B6B" w:rsidRPr="00877257" w:rsidP="005F2007" w14:paraId="1CFB5CB3" w14:textId="77777777">
            <w:pPr>
              <w:widowControl/>
              <w:rPr>
                <w:rFonts w:ascii="Times New Roman" w:eastAsia="Aptos" w:hAnsi="Times New Roman"/>
                <w:snapToGrid/>
                <w:color w:val="000000"/>
                <w:sz w:val="22"/>
                <w:szCs w:val="22"/>
              </w:rPr>
            </w:pPr>
          </w:p>
        </w:tc>
        <w:tc>
          <w:tcPr>
            <w:tcW w:w="521" w:type="pct"/>
            <w:vMerge/>
            <w:tcBorders>
              <w:top w:val="nil"/>
              <w:left w:val="nil"/>
              <w:bottom w:val="single" w:sz="8" w:space="0" w:color="auto"/>
              <w:right w:val="single" w:sz="8" w:space="0" w:color="auto"/>
            </w:tcBorders>
            <w:vAlign w:val="center"/>
            <w:hideMark/>
          </w:tcPr>
          <w:p w:rsidR="005D0B6B" w:rsidRPr="00877257" w:rsidP="005F2007" w14:paraId="721FF3D9" w14:textId="77777777">
            <w:pPr>
              <w:widowControl/>
              <w:rPr>
                <w:rFonts w:ascii="Times New Roman" w:eastAsia="Aptos" w:hAnsi="Times New Roman"/>
                <w:snapToGrid/>
                <w:color w:val="000000"/>
                <w:sz w:val="22"/>
                <w:szCs w:val="22"/>
              </w:rPr>
            </w:pPr>
          </w:p>
        </w:tc>
        <w:tc>
          <w:tcPr>
            <w:tcW w:w="7" w:type="pct"/>
            <w:vAlign w:val="center"/>
            <w:hideMark/>
          </w:tcPr>
          <w:p w:rsidR="005D0B6B" w:rsidRPr="00877257" w:rsidP="005F2007" w14:paraId="4EDACE35" w14:textId="77777777">
            <w:pPr>
              <w:widowControl/>
              <w:rPr>
                <w:rFonts w:ascii="Times New Roman" w:eastAsia="Aptos" w:hAnsi="Times New Roman"/>
                <w:snapToGrid/>
                <w:color w:val="000000"/>
                <w:sz w:val="22"/>
                <w:szCs w:val="22"/>
              </w:rPr>
            </w:pPr>
          </w:p>
        </w:tc>
      </w:tr>
      <w:tr w14:paraId="37C00872" w14:textId="77777777" w:rsidTr="005F2007">
        <w:tblPrEx>
          <w:tblW w:w="5000" w:type="pct"/>
          <w:tblCellMar>
            <w:left w:w="0" w:type="dxa"/>
            <w:right w:w="0" w:type="dxa"/>
          </w:tblCellMar>
          <w:tblLook w:val="04A0"/>
        </w:tblPrEx>
        <w:trPr>
          <w:trHeight w:val="1392"/>
        </w:trPr>
        <w:tc>
          <w:tcPr>
            <w:tcW w:w="7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2DF263C5" w14:textId="77777777">
            <w:pPr>
              <w:widowControl/>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1. Election for resolution readiness adjustment</w:t>
            </w:r>
            <w:r w:rsidRPr="00877257">
              <w:rPr>
                <w:rFonts w:ascii="Times New Roman" w:eastAsia="Aptos" w:hAnsi="Times New Roman"/>
                <w:snapToGrid/>
                <w:color w:val="000000"/>
                <w:sz w:val="22"/>
                <w:szCs w:val="22"/>
              </w:rPr>
              <w:br/>
              <w:t>12 CFR 327.18(d)</w:t>
            </w:r>
            <w:r w:rsidRPr="00877257">
              <w:rPr>
                <w:rFonts w:ascii="Times New Roman" w:eastAsia="Aptos" w:hAnsi="Times New Roman"/>
                <w:snapToGrid/>
                <w:color w:val="000000"/>
                <w:sz w:val="22"/>
                <w:szCs w:val="22"/>
              </w:rPr>
              <w:br/>
              <w:t>(Required to Obtain or Retain a Benefit)</w:t>
            </w:r>
          </w:p>
        </w:tc>
        <w:tc>
          <w:tcPr>
            <w:tcW w:w="1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46EA55A8"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3.90</w:t>
            </w:r>
          </w:p>
        </w:tc>
        <w:tc>
          <w:tcPr>
            <w:tcW w:w="6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26E4E6C0"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15</w:t>
            </w:r>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367509A0"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15</w:t>
            </w:r>
          </w:p>
        </w:tc>
        <w:tc>
          <w:tcPr>
            <w:tcW w:w="5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42FF099B"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10</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4D2047EA"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5</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6A73B638"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50</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742276DB"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5</w:t>
            </w: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69369AB4" w14:textId="77777777">
            <w:pPr>
              <w:widowControl/>
              <w:ind w:firstLine="200"/>
              <w:jc w:val="right"/>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 xml:space="preserve">$117.96 </w:t>
            </w:r>
          </w:p>
        </w:tc>
        <w:tc>
          <w:tcPr>
            <w:tcW w:w="7" w:type="pct"/>
            <w:vAlign w:val="center"/>
            <w:hideMark/>
          </w:tcPr>
          <w:p w:rsidR="005D0B6B" w:rsidRPr="00877257" w:rsidP="005F2007" w14:paraId="6ED9E200" w14:textId="77777777">
            <w:pPr>
              <w:widowControl/>
              <w:rPr>
                <w:rFonts w:ascii="Times New Roman" w:hAnsi="Times New Roman"/>
                <w:snapToGrid/>
                <w:sz w:val="22"/>
                <w:szCs w:val="22"/>
              </w:rPr>
            </w:pPr>
          </w:p>
        </w:tc>
      </w:tr>
      <w:tr w14:paraId="13FC62B0" w14:textId="77777777" w:rsidTr="005F2007">
        <w:tblPrEx>
          <w:tblW w:w="5000" w:type="pct"/>
          <w:tblCellMar>
            <w:left w:w="0" w:type="dxa"/>
            <w:right w:w="0" w:type="dxa"/>
          </w:tblCellMar>
          <w:tblLook w:val="04A0"/>
        </w:tblPrEx>
        <w:trPr>
          <w:trHeight w:val="1116"/>
        </w:trPr>
        <w:tc>
          <w:tcPr>
            <w:tcW w:w="7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5D10CD5C" w14:textId="77777777">
            <w:pPr>
              <w:widowControl/>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2. Virtual data room capabilities test, 12 CFR 327.18(e) (Required to Obtain or Retain a Benefit)</w:t>
            </w:r>
          </w:p>
        </w:tc>
        <w:tc>
          <w:tcPr>
            <w:tcW w:w="1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68A33B5B"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53.20</w:t>
            </w:r>
          </w:p>
        </w:tc>
        <w:tc>
          <w:tcPr>
            <w:tcW w:w="6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5928F257"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5</w:t>
            </w:r>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12E5DD1C"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5</w:t>
            </w:r>
          </w:p>
        </w:tc>
        <w:tc>
          <w:tcPr>
            <w:tcW w:w="5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1760250F"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5</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5E7A7887"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40</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1B6EC935"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40</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0429BAE4"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5</w:t>
            </w: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4FF37EFD" w14:textId="77777777">
            <w:pPr>
              <w:widowControl/>
              <w:ind w:firstLine="200"/>
              <w:jc w:val="right"/>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 xml:space="preserve">$110.66 </w:t>
            </w:r>
          </w:p>
        </w:tc>
        <w:tc>
          <w:tcPr>
            <w:tcW w:w="7" w:type="pct"/>
            <w:vAlign w:val="center"/>
            <w:hideMark/>
          </w:tcPr>
          <w:p w:rsidR="005D0B6B" w:rsidRPr="00877257" w:rsidP="005F2007" w14:paraId="4B5B98A9" w14:textId="77777777">
            <w:pPr>
              <w:widowControl/>
              <w:rPr>
                <w:rFonts w:ascii="Times New Roman" w:hAnsi="Times New Roman"/>
                <w:snapToGrid/>
                <w:sz w:val="22"/>
                <w:szCs w:val="22"/>
              </w:rPr>
            </w:pPr>
          </w:p>
        </w:tc>
      </w:tr>
      <w:tr w14:paraId="57717C5D" w14:textId="77777777" w:rsidTr="005F2007">
        <w:tblPrEx>
          <w:tblW w:w="5000" w:type="pct"/>
          <w:tblCellMar>
            <w:left w:w="0" w:type="dxa"/>
            <w:right w:w="0" w:type="dxa"/>
          </w:tblCellMar>
          <w:tblLook w:val="04A0"/>
        </w:tblPrEx>
        <w:trPr>
          <w:trHeight w:val="960"/>
        </w:trPr>
        <w:tc>
          <w:tcPr>
            <w:tcW w:w="7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5462C4DD" w14:textId="77777777">
            <w:pPr>
              <w:widowControl/>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 xml:space="preserve">3. Data access capabilities, 12 </w:t>
            </w:r>
            <w:r w:rsidRPr="00877257">
              <w:rPr>
                <w:rFonts w:ascii="Times New Roman" w:eastAsia="Aptos" w:hAnsi="Times New Roman"/>
                <w:snapToGrid/>
                <w:color w:val="000000"/>
                <w:sz w:val="22"/>
                <w:szCs w:val="22"/>
              </w:rPr>
              <w:t xml:space="preserve">CFR 327.18(f) (Required to Obtain or Retain a Benefit) </w:t>
            </w:r>
          </w:p>
        </w:tc>
        <w:tc>
          <w:tcPr>
            <w:tcW w:w="1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6C2744B3"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42.79</w:t>
            </w:r>
          </w:p>
        </w:tc>
        <w:tc>
          <w:tcPr>
            <w:tcW w:w="6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39836EE1"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5</w:t>
            </w:r>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02417E4A"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5</w:t>
            </w:r>
          </w:p>
        </w:tc>
        <w:tc>
          <w:tcPr>
            <w:tcW w:w="5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25969A7A"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5</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1DB0F9A4"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40</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2965BF5A"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40</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3F6AB111"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5</w:t>
            </w: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7B17BD0D" w14:textId="77777777">
            <w:pPr>
              <w:widowControl/>
              <w:ind w:firstLine="200"/>
              <w:jc w:val="right"/>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 xml:space="preserve">$110.66 </w:t>
            </w:r>
          </w:p>
        </w:tc>
        <w:tc>
          <w:tcPr>
            <w:tcW w:w="7" w:type="pct"/>
            <w:vAlign w:val="center"/>
            <w:hideMark/>
          </w:tcPr>
          <w:p w:rsidR="005D0B6B" w:rsidRPr="00877257" w:rsidP="005F2007" w14:paraId="58BCA0CB" w14:textId="77777777">
            <w:pPr>
              <w:widowControl/>
              <w:rPr>
                <w:rFonts w:ascii="Times New Roman" w:hAnsi="Times New Roman"/>
                <w:snapToGrid/>
                <w:sz w:val="22"/>
                <w:szCs w:val="22"/>
              </w:rPr>
            </w:pPr>
          </w:p>
        </w:tc>
      </w:tr>
      <w:tr w14:paraId="12BE3E60" w14:textId="77777777" w:rsidTr="005F2007">
        <w:tblPrEx>
          <w:tblW w:w="5000" w:type="pct"/>
          <w:tblCellMar>
            <w:left w:w="0" w:type="dxa"/>
            <w:right w:w="0" w:type="dxa"/>
          </w:tblCellMar>
          <w:tblLook w:val="04A0"/>
        </w:tblPrEx>
        <w:trPr>
          <w:trHeight w:val="1116"/>
        </w:trPr>
        <w:tc>
          <w:tcPr>
            <w:tcW w:w="7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37BCD5DA" w14:textId="77777777">
            <w:pPr>
              <w:widowControl/>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4. Material Change Notice,</w:t>
            </w:r>
            <w:r w:rsidRPr="00877257">
              <w:rPr>
                <w:rFonts w:ascii="Times New Roman" w:eastAsia="Aptos" w:hAnsi="Times New Roman"/>
                <w:snapToGrid/>
                <w:color w:val="000000"/>
                <w:sz w:val="22"/>
                <w:szCs w:val="22"/>
              </w:rPr>
              <w:br/>
              <w:t>12 CFR 327.18(f)(3)(i)</w:t>
            </w:r>
            <w:r w:rsidRPr="00877257">
              <w:rPr>
                <w:rFonts w:ascii="Times New Roman" w:eastAsia="Aptos" w:hAnsi="Times New Roman"/>
                <w:snapToGrid/>
                <w:color w:val="000000"/>
                <w:sz w:val="22"/>
                <w:szCs w:val="22"/>
              </w:rPr>
              <w:br/>
              <w:t>(Required to Obtain or Retain a Benefit)</w:t>
            </w:r>
          </w:p>
        </w:tc>
        <w:tc>
          <w:tcPr>
            <w:tcW w:w="1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6264CC68"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0.10</w:t>
            </w:r>
          </w:p>
        </w:tc>
        <w:tc>
          <w:tcPr>
            <w:tcW w:w="6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5002A52C"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15</w:t>
            </w:r>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10875856"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15</w:t>
            </w:r>
          </w:p>
        </w:tc>
        <w:tc>
          <w:tcPr>
            <w:tcW w:w="5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33549C6E"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10</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500202D9"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5</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78342555"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50</w:t>
            </w:r>
          </w:p>
        </w:tc>
        <w:tc>
          <w:tcPr>
            <w:tcW w:w="6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03891A4E"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5</w:t>
            </w: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3DC2CF85" w14:textId="77777777">
            <w:pPr>
              <w:widowControl/>
              <w:ind w:firstLine="200"/>
              <w:jc w:val="right"/>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 xml:space="preserve">$117.96 </w:t>
            </w:r>
          </w:p>
        </w:tc>
        <w:tc>
          <w:tcPr>
            <w:tcW w:w="7" w:type="pct"/>
            <w:vAlign w:val="center"/>
            <w:hideMark/>
          </w:tcPr>
          <w:p w:rsidR="005D0B6B" w:rsidRPr="00877257" w:rsidP="005F2007" w14:paraId="759FE918" w14:textId="77777777">
            <w:pPr>
              <w:widowControl/>
              <w:rPr>
                <w:rFonts w:ascii="Times New Roman" w:hAnsi="Times New Roman"/>
                <w:snapToGrid/>
                <w:sz w:val="22"/>
                <w:szCs w:val="22"/>
              </w:rPr>
            </w:pPr>
          </w:p>
        </w:tc>
      </w:tr>
      <w:tr w14:paraId="77202CC9" w14:textId="77777777" w:rsidTr="005F2007">
        <w:tblPrEx>
          <w:tblW w:w="5000" w:type="pct"/>
          <w:tblCellMar>
            <w:left w:w="0" w:type="dxa"/>
            <w:right w:w="0" w:type="dxa"/>
          </w:tblCellMar>
          <w:tblLook w:val="04A0"/>
        </w:tblPrEx>
        <w:trPr>
          <w:trHeight w:val="300"/>
        </w:trPr>
        <w:tc>
          <w:tcPr>
            <w:tcW w:w="4472" w:type="pct"/>
            <w:gridSpan w:val="8"/>
            <w:tcBorders>
              <w:top w:val="nil"/>
              <w:left w:val="single" w:sz="8" w:space="0" w:color="auto"/>
              <w:bottom w:val="nil"/>
              <w:right w:val="single" w:sz="8" w:space="0" w:color="auto"/>
            </w:tcBorders>
            <w:tcMar>
              <w:top w:w="0" w:type="dxa"/>
              <w:left w:w="108" w:type="dxa"/>
              <w:bottom w:w="0" w:type="dxa"/>
              <w:right w:w="108" w:type="dxa"/>
            </w:tcMar>
            <w:vAlign w:val="center"/>
            <w:hideMark/>
          </w:tcPr>
          <w:p w:rsidR="005D0B6B" w:rsidRPr="00877257" w:rsidP="005F2007" w14:paraId="276B97B5" w14:textId="77777777">
            <w:pPr>
              <w:widowControl/>
              <w:jc w:val="right"/>
              <w:rPr>
                <w:rFonts w:ascii="Times New Roman" w:eastAsia="Aptos" w:hAnsi="Times New Roman"/>
                <w:b/>
                <w:bCs/>
                <w:i/>
                <w:iCs/>
                <w:snapToGrid/>
                <w:color w:val="000000"/>
                <w:sz w:val="22"/>
                <w:szCs w:val="22"/>
              </w:rPr>
            </w:pPr>
            <w:r w:rsidRPr="00877257">
              <w:rPr>
                <w:rFonts w:ascii="Times New Roman" w:eastAsia="Aptos" w:hAnsi="Times New Roman"/>
                <w:b/>
                <w:bCs/>
                <w:i/>
                <w:iCs/>
                <w:snapToGrid/>
                <w:color w:val="000000"/>
                <w:sz w:val="22"/>
                <w:szCs w:val="22"/>
              </w:rPr>
              <w:t>Weighted Average Hourly Compensation Rate:</w:t>
            </w:r>
          </w:p>
        </w:tc>
        <w:tc>
          <w:tcPr>
            <w:tcW w:w="521" w:type="pct"/>
            <w:tcBorders>
              <w:top w:val="nil"/>
              <w:left w:val="nil"/>
              <w:bottom w:val="nil"/>
              <w:right w:val="single" w:sz="8" w:space="0" w:color="auto"/>
            </w:tcBorders>
            <w:tcMar>
              <w:top w:w="0" w:type="dxa"/>
              <w:left w:w="108" w:type="dxa"/>
              <w:bottom w:w="0" w:type="dxa"/>
              <w:right w:w="108" w:type="dxa"/>
            </w:tcMar>
            <w:vAlign w:val="center"/>
            <w:hideMark/>
          </w:tcPr>
          <w:p w:rsidR="005D0B6B" w:rsidRPr="00877257" w:rsidP="005F2007" w14:paraId="65A7C262" w14:textId="77777777">
            <w:pPr>
              <w:widowControl/>
              <w:ind w:firstLine="221"/>
              <w:jc w:val="right"/>
              <w:rPr>
                <w:rFonts w:ascii="Times New Roman" w:eastAsia="Aptos" w:hAnsi="Times New Roman"/>
                <w:b/>
                <w:bCs/>
                <w:i/>
                <w:iCs/>
                <w:snapToGrid/>
                <w:color w:val="000000"/>
                <w:sz w:val="22"/>
                <w:szCs w:val="22"/>
              </w:rPr>
            </w:pPr>
            <w:r w:rsidRPr="00877257">
              <w:rPr>
                <w:rFonts w:ascii="Times New Roman" w:eastAsia="Aptos" w:hAnsi="Times New Roman"/>
                <w:b/>
                <w:bCs/>
                <w:i/>
                <w:iCs/>
                <w:snapToGrid/>
                <w:color w:val="000000"/>
                <w:sz w:val="22"/>
                <w:szCs w:val="22"/>
              </w:rPr>
              <w:t xml:space="preserve">$110.95 </w:t>
            </w:r>
          </w:p>
        </w:tc>
        <w:tc>
          <w:tcPr>
            <w:tcW w:w="7" w:type="pct"/>
            <w:vAlign w:val="center"/>
            <w:hideMark/>
          </w:tcPr>
          <w:p w:rsidR="005D0B6B" w:rsidRPr="00877257" w:rsidP="005F2007" w14:paraId="6FD91C50" w14:textId="77777777">
            <w:pPr>
              <w:widowControl/>
              <w:rPr>
                <w:rFonts w:ascii="Times New Roman" w:hAnsi="Times New Roman"/>
                <w:snapToGrid/>
                <w:sz w:val="22"/>
                <w:szCs w:val="22"/>
              </w:rPr>
            </w:pPr>
          </w:p>
        </w:tc>
      </w:tr>
      <w:tr w14:paraId="74A9971B" w14:textId="77777777" w:rsidTr="005F2007">
        <w:tblPrEx>
          <w:tblW w:w="5000" w:type="pct"/>
          <w:tblCellMar>
            <w:left w:w="0" w:type="dxa"/>
            <w:right w:w="0" w:type="dxa"/>
          </w:tblCellMar>
          <w:tblLook w:val="04A0"/>
        </w:tblPrEx>
        <w:trPr>
          <w:trHeight w:val="252"/>
        </w:trPr>
        <w:tc>
          <w:tcPr>
            <w:tcW w:w="4993" w:type="pct"/>
            <w:gridSpan w:val="9"/>
            <w:vMerge w:val="restart"/>
            <w:tcBorders>
              <w:top w:val="single" w:sz="8" w:space="0" w:color="auto"/>
              <w:left w:val="single" w:sz="8" w:space="0" w:color="auto"/>
              <w:bottom w:val="nil"/>
              <w:right w:val="single" w:sz="8" w:space="0" w:color="000000"/>
            </w:tcBorders>
            <w:tcMar>
              <w:top w:w="0" w:type="dxa"/>
              <w:left w:w="108" w:type="dxa"/>
              <w:bottom w:w="0" w:type="dxa"/>
              <w:right w:w="108" w:type="dxa"/>
            </w:tcMar>
            <w:vAlign w:val="center"/>
            <w:hideMark/>
          </w:tcPr>
          <w:p w:rsidR="005D0B6B" w:rsidRPr="00877257" w:rsidP="005F2007" w14:paraId="28630173" w14:textId="77777777">
            <w:pPr>
              <w:widowControl/>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 xml:space="preserve">Source: Bureau of Labor Statistics: 'National Industry-Specific Occupational Employment and Wage Estimates: Industry: Credit Intermediation and Related Activities (5221 And 5223 only)' (May 2024), Employer Cost of Employee Compensation (March 2024), and Employment Cost Index (March 2024 and December 2025). Standard Occupational Classification (SOC) Codes: Exec. And </w:t>
            </w:r>
            <w:r w:rsidRPr="00877257">
              <w:rPr>
                <w:rFonts w:ascii="Times New Roman" w:eastAsia="Aptos" w:hAnsi="Times New Roman"/>
                <w:snapToGrid/>
                <w:color w:val="000000"/>
                <w:sz w:val="22"/>
                <w:szCs w:val="22"/>
              </w:rPr>
              <w:t>Mgr</w:t>
            </w:r>
            <w:r w:rsidRPr="00877257">
              <w:rPr>
                <w:rFonts w:ascii="Times New Roman" w:eastAsia="Aptos" w:hAnsi="Times New Roman"/>
                <w:snapToGrid/>
                <w:color w:val="000000"/>
                <w:sz w:val="22"/>
                <w:szCs w:val="22"/>
              </w:rPr>
              <w:t xml:space="preserve"> = 11-0000 Management Occupations; Lawyer = 23-0000 Legal Occupations; </w:t>
            </w:r>
            <w:r w:rsidRPr="00877257">
              <w:rPr>
                <w:rFonts w:ascii="Times New Roman" w:eastAsia="Aptos" w:hAnsi="Times New Roman"/>
                <w:snapToGrid/>
                <w:color w:val="000000"/>
                <w:sz w:val="22"/>
                <w:szCs w:val="22"/>
              </w:rPr>
              <w:t>Compl</w:t>
            </w:r>
            <w:r w:rsidRPr="00877257">
              <w:rPr>
                <w:rFonts w:ascii="Times New Roman" w:eastAsia="Aptos" w:hAnsi="Times New Roman"/>
                <w:snapToGrid/>
                <w:color w:val="000000"/>
                <w:sz w:val="22"/>
                <w:szCs w:val="22"/>
              </w:rPr>
              <w:t xml:space="preserve">. Ofc. = 13-1040 Compliance Officers; IT = 15-0000 Computer and Mathematical Occupations; Fin. </w:t>
            </w:r>
            <w:r w:rsidRPr="00877257">
              <w:rPr>
                <w:rFonts w:ascii="Times New Roman" w:eastAsia="Aptos" w:hAnsi="Times New Roman"/>
                <w:snapToGrid/>
                <w:color w:val="000000"/>
                <w:sz w:val="22"/>
                <w:szCs w:val="22"/>
              </w:rPr>
              <w:t>Anlst</w:t>
            </w:r>
            <w:r w:rsidRPr="00877257">
              <w:rPr>
                <w:rFonts w:ascii="Times New Roman" w:eastAsia="Aptos" w:hAnsi="Times New Roman"/>
                <w:snapToGrid/>
                <w:color w:val="000000"/>
                <w:sz w:val="22"/>
                <w:szCs w:val="22"/>
              </w:rPr>
              <w:t xml:space="preserve">. = 13-2051 Financial and Investment Analysts; Clerical = 43-0000 Office and Administrative Support Occupations. </w:t>
            </w:r>
          </w:p>
        </w:tc>
        <w:tc>
          <w:tcPr>
            <w:tcW w:w="7" w:type="pct"/>
            <w:vAlign w:val="center"/>
            <w:hideMark/>
          </w:tcPr>
          <w:p w:rsidR="005D0B6B" w:rsidRPr="00877257" w:rsidP="005F2007" w14:paraId="793B57F0" w14:textId="77777777">
            <w:pPr>
              <w:widowControl/>
              <w:rPr>
                <w:rFonts w:ascii="Times New Roman" w:hAnsi="Times New Roman"/>
                <w:snapToGrid/>
                <w:sz w:val="22"/>
                <w:szCs w:val="22"/>
              </w:rPr>
            </w:pPr>
          </w:p>
        </w:tc>
      </w:tr>
      <w:tr w14:paraId="1C9EA7FB" w14:textId="77777777" w:rsidTr="005F2007">
        <w:tblPrEx>
          <w:tblW w:w="5000" w:type="pct"/>
          <w:tblCellMar>
            <w:left w:w="0" w:type="dxa"/>
            <w:right w:w="0" w:type="dxa"/>
          </w:tblCellMar>
          <w:tblLook w:val="04A0"/>
        </w:tblPrEx>
        <w:trPr>
          <w:trHeight w:val="288"/>
        </w:trPr>
        <w:tc>
          <w:tcPr>
            <w:tcW w:w="4993" w:type="pct"/>
            <w:gridSpan w:val="9"/>
            <w:vMerge/>
            <w:tcBorders>
              <w:top w:val="single" w:sz="8" w:space="0" w:color="auto"/>
              <w:left w:val="single" w:sz="8" w:space="0" w:color="auto"/>
              <w:bottom w:val="nil"/>
              <w:right w:val="single" w:sz="8" w:space="0" w:color="000000"/>
            </w:tcBorders>
            <w:vAlign w:val="center"/>
            <w:hideMark/>
          </w:tcPr>
          <w:p w:rsidR="005D0B6B" w:rsidRPr="00877257" w:rsidP="005F2007" w14:paraId="2916F001" w14:textId="77777777">
            <w:pPr>
              <w:widowControl/>
              <w:rPr>
                <w:rFonts w:ascii="Times New Roman" w:eastAsia="Aptos" w:hAnsi="Times New Roman"/>
                <w:snapToGrid/>
                <w:color w:val="000000"/>
                <w:sz w:val="22"/>
                <w:szCs w:val="22"/>
              </w:rPr>
            </w:pPr>
          </w:p>
        </w:tc>
        <w:tc>
          <w:tcPr>
            <w:tcW w:w="7" w:type="pct"/>
            <w:vAlign w:val="center"/>
            <w:hideMark/>
          </w:tcPr>
          <w:p w:rsidR="005D0B6B" w:rsidRPr="00877257" w:rsidP="005F2007" w14:paraId="70022051" w14:textId="77777777">
            <w:pPr>
              <w:widowControl/>
              <w:rPr>
                <w:rFonts w:ascii="Times New Roman" w:eastAsia="Aptos" w:hAnsi="Times New Roman"/>
                <w:snapToGrid/>
                <w:color w:val="000000"/>
                <w:sz w:val="22"/>
                <w:szCs w:val="22"/>
              </w:rPr>
            </w:pPr>
          </w:p>
        </w:tc>
      </w:tr>
      <w:tr w14:paraId="535D0EB4" w14:textId="77777777" w:rsidTr="005F2007">
        <w:tblPrEx>
          <w:tblW w:w="5000" w:type="pct"/>
          <w:tblCellMar>
            <w:left w:w="0" w:type="dxa"/>
            <w:right w:w="0" w:type="dxa"/>
          </w:tblCellMar>
          <w:tblLook w:val="04A0"/>
        </w:tblPrEx>
        <w:trPr>
          <w:trHeight w:val="288"/>
        </w:trPr>
        <w:tc>
          <w:tcPr>
            <w:tcW w:w="4993" w:type="pct"/>
            <w:gridSpan w:val="9"/>
            <w:vMerge/>
            <w:tcBorders>
              <w:top w:val="single" w:sz="8" w:space="0" w:color="auto"/>
              <w:left w:val="single" w:sz="8" w:space="0" w:color="auto"/>
              <w:bottom w:val="nil"/>
              <w:right w:val="single" w:sz="8" w:space="0" w:color="000000"/>
            </w:tcBorders>
            <w:vAlign w:val="center"/>
            <w:hideMark/>
          </w:tcPr>
          <w:p w:rsidR="005D0B6B" w:rsidRPr="00877257" w:rsidP="005F2007" w14:paraId="0D9F1909" w14:textId="77777777">
            <w:pPr>
              <w:widowControl/>
              <w:rPr>
                <w:rFonts w:ascii="Times New Roman" w:eastAsia="Aptos" w:hAnsi="Times New Roman"/>
                <w:snapToGrid/>
                <w:color w:val="000000"/>
                <w:sz w:val="22"/>
                <w:szCs w:val="22"/>
              </w:rPr>
            </w:pPr>
          </w:p>
        </w:tc>
        <w:tc>
          <w:tcPr>
            <w:tcW w:w="7" w:type="pct"/>
            <w:vAlign w:val="center"/>
            <w:hideMark/>
          </w:tcPr>
          <w:p w:rsidR="005D0B6B" w:rsidRPr="00877257" w:rsidP="005F2007" w14:paraId="2B90215F" w14:textId="77777777">
            <w:pPr>
              <w:widowControl/>
              <w:rPr>
                <w:rFonts w:ascii="Times New Roman" w:hAnsi="Times New Roman"/>
                <w:snapToGrid/>
                <w:sz w:val="22"/>
                <w:szCs w:val="22"/>
              </w:rPr>
            </w:pPr>
          </w:p>
        </w:tc>
      </w:tr>
      <w:tr w14:paraId="0CCF7FCA" w14:textId="77777777" w:rsidTr="005F2007">
        <w:tblPrEx>
          <w:tblW w:w="5000" w:type="pct"/>
          <w:tblCellMar>
            <w:left w:w="0" w:type="dxa"/>
            <w:right w:w="0" w:type="dxa"/>
          </w:tblCellMar>
          <w:tblLook w:val="04A0"/>
        </w:tblPrEx>
        <w:trPr>
          <w:trHeight w:val="312"/>
        </w:trPr>
        <w:tc>
          <w:tcPr>
            <w:tcW w:w="4993" w:type="pct"/>
            <w:gridSpan w:val="9"/>
            <w:vMerge/>
            <w:tcBorders>
              <w:top w:val="single" w:sz="8" w:space="0" w:color="auto"/>
              <w:left w:val="single" w:sz="8" w:space="0" w:color="auto"/>
              <w:bottom w:val="nil"/>
              <w:right w:val="single" w:sz="8" w:space="0" w:color="000000"/>
            </w:tcBorders>
            <w:vAlign w:val="center"/>
            <w:hideMark/>
          </w:tcPr>
          <w:p w:rsidR="005D0B6B" w:rsidRPr="00877257" w:rsidP="005F2007" w14:paraId="3409FD63" w14:textId="77777777">
            <w:pPr>
              <w:widowControl/>
              <w:rPr>
                <w:rFonts w:ascii="Times New Roman" w:eastAsia="Aptos" w:hAnsi="Times New Roman"/>
                <w:snapToGrid/>
                <w:color w:val="000000"/>
                <w:sz w:val="22"/>
                <w:szCs w:val="22"/>
              </w:rPr>
            </w:pPr>
          </w:p>
        </w:tc>
        <w:tc>
          <w:tcPr>
            <w:tcW w:w="7" w:type="pct"/>
            <w:vAlign w:val="center"/>
            <w:hideMark/>
          </w:tcPr>
          <w:p w:rsidR="005D0B6B" w:rsidRPr="00877257" w:rsidP="005F2007" w14:paraId="7E4A8B50" w14:textId="77777777">
            <w:pPr>
              <w:widowControl/>
              <w:rPr>
                <w:rFonts w:ascii="Times New Roman" w:hAnsi="Times New Roman"/>
                <w:snapToGrid/>
                <w:sz w:val="22"/>
                <w:szCs w:val="22"/>
              </w:rPr>
            </w:pPr>
          </w:p>
        </w:tc>
      </w:tr>
      <w:tr w14:paraId="42EB563D" w14:textId="77777777" w:rsidTr="005F2007">
        <w:tblPrEx>
          <w:tblW w:w="5000" w:type="pct"/>
          <w:tblCellMar>
            <w:left w:w="0" w:type="dxa"/>
            <w:right w:w="0" w:type="dxa"/>
          </w:tblCellMar>
          <w:tblLook w:val="04A0"/>
        </w:tblPrEx>
        <w:trPr>
          <w:trHeight w:val="408"/>
        </w:trPr>
        <w:tc>
          <w:tcPr>
            <w:tcW w:w="4993" w:type="pct"/>
            <w:gridSpan w:val="9"/>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0F662873" w14:textId="77777777">
            <w:pPr>
              <w:widowControl/>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7" w:type="pct"/>
            <w:vAlign w:val="center"/>
            <w:hideMark/>
          </w:tcPr>
          <w:p w:rsidR="005D0B6B" w:rsidRPr="00877257" w:rsidP="005F2007" w14:paraId="5D2A82DE" w14:textId="77777777">
            <w:pPr>
              <w:widowControl/>
              <w:rPr>
                <w:rFonts w:ascii="Times New Roman" w:hAnsi="Times New Roman"/>
                <w:snapToGrid/>
                <w:sz w:val="22"/>
                <w:szCs w:val="22"/>
              </w:rPr>
            </w:pPr>
          </w:p>
        </w:tc>
      </w:tr>
      <w:tr w14:paraId="69FD37F5" w14:textId="77777777" w:rsidTr="005F2007">
        <w:tblPrEx>
          <w:tblW w:w="5000" w:type="pct"/>
          <w:tblCellMar>
            <w:left w:w="0" w:type="dxa"/>
            <w:right w:w="0" w:type="dxa"/>
          </w:tblCellMar>
          <w:tblLook w:val="04A0"/>
        </w:tblPrEx>
        <w:trPr>
          <w:trHeight w:val="288"/>
        </w:trPr>
        <w:tc>
          <w:tcPr>
            <w:tcW w:w="4993" w:type="pct"/>
            <w:gridSpan w:val="9"/>
            <w:vMerge/>
            <w:tcBorders>
              <w:top w:val="nil"/>
              <w:left w:val="single" w:sz="8" w:space="0" w:color="auto"/>
              <w:bottom w:val="single" w:sz="8" w:space="0" w:color="auto"/>
              <w:right w:val="single" w:sz="8" w:space="0" w:color="auto"/>
            </w:tcBorders>
            <w:vAlign w:val="center"/>
            <w:hideMark/>
          </w:tcPr>
          <w:p w:rsidR="005D0B6B" w:rsidRPr="00877257" w:rsidP="005F2007" w14:paraId="595848F6" w14:textId="77777777">
            <w:pPr>
              <w:widowControl/>
              <w:rPr>
                <w:rFonts w:ascii="Times New Roman" w:eastAsia="Aptos" w:hAnsi="Times New Roman"/>
                <w:snapToGrid/>
                <w:color w:val="000000"/>
                <w:sz w:val="22"/>
                <w:szCs w:val="22"/>
              </w:rPr>
            </w:pPr>
          </w:p>
        </w:tc>
        <w:tc>
          <w:tcPr>
            <w:tcW w:w="7" w:type="pct"/>
            <w:vAlign w:val="center"/>
            <w:hideMark/>
          </w:tcPr>
          <w:p w:rsidR="005D0B6B" w:rsidRPr="00877257" w:rsidP="005F2007" w14:paraId="2AF3E74D" w14:textId="77777777">
            <w:pPr>
              <w:widowControl/>
              <w:rPr>
                <w:rFonts w:ascii="Times New Roman" w:eastAsia="Aptos" w:hAnsi="Times New Roman"/>
                <w:snapToGrid/>
                <w:color w:val="000000"/>
                <w:sz w:val="22"/>
                <w:szCs w:val="22"/>
              </w:rPr>
            </w:pPr>
          </w:p>
        </w:tc>
      </w:tr>
      <w:tr w14:paraId="1536B7D2" w14:textId="77777777" w:rsidTr="005F2007">
        <w:tblPrEx>
          <w:tblW w:w="5000" w:type="pct"/>
          <w:tblCellMar>
            <w:left w:w="0" w:type="dxa"/>
            <w:right w:w="0" w:type="dxa"/>
          </w:tblCellMar>
          <w:tblLook w:val="04A0"/>
        </w:tblPrEx>
        <w:trPr>
          <w:trHeight w:val="288"/>
        </w:trPr>
        <w:tc>
          <w:tcPr>
            <w:tcW w:w="4993" w:type="pct"/>
            <w:gridSpan w:val="9"/>
            <w:vMerge/>
            <w:tcBorders>
              <w:top w:val="nil"/>
              <w:left w:val="single" w:sz="8" w:space="0" w:color="auto"/>
              <w:bottom w:val="single" w:sz="8" w:space="0" w:color="auto"/>
              <w:right w:val="single" w:sz="8" w:space="0" w:color="auto"/>
            </w:tcBorders>
            <w:vAlign w:val="center"/>
            <w:hideMark/>
          </w:tcPr>
          <w:p w:rsidR="005D0B6B" w:rsidRPr="00877257" w:rsidP="005F2007" w14:paraId="32589AAE" w14:textId="77777777">
            <w:pPr>
              <w:widowControl/>
              <w:rPr>
                <w:rFonts w:ascii="Times New Roman" w:eastAsia="Aptos" w:hAnsi="Times New Roman"/>
                <w:snapToGrid/>
                <w:color w:val="000000"/>
                <w:sz w:val="22"/>
                <w:szCs w:val="22"/>
              </w:rPr>
            </w:pPr>
          </w:p>
        </w:tc>
        <w:tc>
          <w:tcPr>
            <w:tcW w:w="7" w:type="pct"/>
            <w:vAlign w:val="center"/>
            <w:hideMark/>
          </w:tcPr>
          <w:p w:rsidR="005D0B6B" w:rsidRPr="00877257" w:rsidP="005F2007" w14:paraId="0C32D58A" w14:textId="77777777">
            <w:pPr>
              <w:widowControl/>
              <w:rPr>
                <w:rFonts w:ascii="Times New Roman" w:hAnsi="Times New Roman"/>
                <w:snapToGrid/>
                <w:sz w:val="22"/>
                <w:szCs w:val="22"/>
              </w:rPr>
            </w:pPr>
          </w:p>
        </w:tc>
      </w:tr>
      <w:tr w14:paraId="63EFCB86" w14:textId="77777777" w:rsidTr="005F2007">
        <w:tblPrEx>
          <w:tblW w:w="5000" w:type="pct"/>
          <w:tblCellMar>
            <w:left w:w="0" w:type="dxa"/>
            <w:right w:w="0" w:type="dxa"/>
          </w:tblCellMar>
          <w:tblLook w:val="04A0"/>
        </w:tblPrEx>
        <w:trPr>
          <w:trHeight w:val="300"/>
        </w:trPr>
        <w:tc>
          <w:tcPr>
            <w:tcW w:w="4993" w:type="pct"/>
            <w:gridSpan w:val="9"/>
            <w:vMerge/>
            <w:tcBorders>
              <w:top w:val="nil"/>
              <w:left w:val="single" w:sz="8" w:space="0" w:color="auto"/>
              <w:bottom w:val="single" w:sz="8" w:space="0" w:color="auto"/>
              <w:right w:val="single" w:sz="8" w:space="0" w:color="auto"/>
            </w:tcBorders>
            <w:vAlign w:val="center"/>
            <w:hideMark/>
          </w:tcPr>
          <w:p w:rsidR="005D0B6B" w:rsidRPr="00877257" w:rsidP="005F2007" w14:paraId="6F36BEF7" w14:textId="77777777">
            <w:pPr>
              <w:widowControl/>
              <w:rPr>
                <w:rFonts w:ascii="Times New Roman" w:eastAsia="Aptos" w:hAnsi="Times New Roman"/>
                <w:snapToGrid/>
                <w:color w:val="000000"/>
                <w:sz w:val="22"/>
                <w:szCs w:val="22"/>
              </w:rPr>
            </w:pPr>
          </w:p>
        </w:tc>
        <w:tc>
          <w:tcPr>
            <w:tcW w:w="7" w:type="pct"/>
            <w:vAlign w:val="center"/>
            <w:hideMark/>
          </w:tcPr>
          <w:p w:rsidR="005D0B6B" w:rsidRPr="00877257" w:rsidP="005F2007" w14:paraId="2248F51B" w14:textId="77777777">
            <w:pPr>
              <w:widowControl/>
              <w:rPr>
                <w:rFonts w:ascii="Times New Roman" w:hAnsi="Times New Roman"/>
                <w:snapToGrid/>
                <w:sz w:val="22"/>
                <w:szCs w:val="22"/>
              </w:rPr>
            </w:pPr>
          </w:p>
        </w:tc>
      </w:tr>
    </w:tbl>
    <w:p w:rsidR="005D0B6B" w:rsidRPr="00877257" w:rsidP="005D0B6B" w14:paraId="015FAECC" w14:textId="77777777">
      <w:pPr>
        <w:rPr>
          <w:rFonts w:ascii="Times New Roman" w:hAnsi="Times New Roman"/>
          <w:color w:val="FF0000"/>
          <w:sz w:val="22"/>
          <w:szCs w:val="22"/>
        </w:rPr>
      </w:pPr>
    </w:p>
    <w:p w:rsidR="005D0B6B" w:rsidRPr="00877257" w:rsidP="005D0B6B" w14:paraId="1BC794EB" w14:textId="77777777">
      <w:pPr>
        <w:widowControl/>
        <w:rPr>
          <w:rFonts w:ascii="Times New Roman" w:eastAsia="Aptos" w:hAnsi="Times New Roman"/>
          <w:snapToGrid/>
          <w:sz w:val="22"/>
          <w:szCs w:val="22"/>
          <w14:ligatures w14:val="standardContextual"/>
        </w:rPr>
      </w:pPr>
    </w:p>
    <w:tbl>
      <w:tblPr>
        <w:tblW w:w="5000" w:type="pct"/>
        <w:tblCellMar>
          <w:left w:w="0" w:type="dxa"/>
          <w:right w:w="0" w:type="dxa"/>
        </w:tblCellMar>
        <w:tblLook w:val="04A0"/>
      </w:tblPr>
      <w:tblGrid>
        <w:gridCol w:w="2079"/>
        <w:gridCol w:w="3641"/>
        <w:gridCol w:w="1739"/>
        <w:gridCol w:w="1881"/>
      </w:tblGrid>
      <w:tr w14:paraId="2EC98FAA" w14:textId="77777777" w:rsidTr="005F2007">
        <w:tblPrEx>
          <w:tblW w:w="5000" w:type="pct"/>
          <w:tblCellMar>
            <w:left w:w="0" w:type="dxa"/>
            <w:right w:w="0" w:type="dxa"/>
          </w:tblCellMar>
          <w:tblLook w:val="04A0"/>
        </w:tblPrEx>
        <w:trPr>
          <w:trHeight w:val="360"/>
        </w:trPr>
        <w:tc>
          <w:tcPr>
            <w:tcW w:w="5000" w:type="pct"/>
            <w:gridSpan w:val="4"/>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5D0B6B" w:rsidRPr="00877257" w:rsidP="005F2007" w14:paraId="52A8BF8E" w14:textId="6054D6AE">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Table 3. Total Estimated Cost Burden (OMB No. 3064-</w:t>
            </w:r>
            <w:r w:rsidR="00D9059A">
              <w:rPr>
                <w:rFonts w:ascii="Times New Roman" w:eastAsia="Aptos" w:hAnsi="Times New Roman"/>
                <w:snapToGrid/>
                <w:color w:val="000000"/>
                <w:sz w:val="22"/>
                <w:szCs w:val="22"/>
              </w:rPr>
              <w:t>NEW</w:t>
            </w:r>
            <w:r w:rsidRPr="00877257">
              <w:rPr>
                <w:rFonts w:ascii="Times New Roman" w:eastAsia="Aptos" w:hAnsi="Times New Roman"/>
                <w:snapToGrid/>
                <w:color w:val="000000"/>
                <w:sz w:val="22"/>
                <w:szCs w:val="22"/>
              </w:rPr>
              <w:t>)</w:t>
            </w:r>
          </w:p>
        </w:tc>
      </w:tr>
      <w:tr w14:paraId="462CCDE1" w14:textId="77777777" w:rsidTr="005F2007">
        <w:tblPrEx>
          <w:tblW w:w="5000" w:type="pct"/>
          <w:tblCellMar>
            <w:left w:w="0" w:type="dxa"/>
            <w:right w:w="0" w:type="dxa"/>
          </w:tblCellMar>
          <w:tblLook w:val="04A0"/>
        </w:tblPrEx>
        <w:trPr>
          <w:trHeight w:val="600"/>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059947E0" w14:textId="77777777">
            <w:pPr>
              <w:widowControl/>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Information Collection Request</w:t>
            </w:r>
          </w:p>
        </w:tc>
        <w:tc>
          <w:tcPr>
            <w:tcW w:w="11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64670B0E"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Annual Burden (Hours)</w:t>
            </w:r>
          </w:p>
        </w:tc>
        <w:tc>
          <w:tcPr>
            <w:tcW w:w="11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601FF824"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Weighted Average Hourly Compensation Rate</w:t>
            </w:r>
          </w:p>
        </w:tc>
        <w:tc>
          <w:tcPr>
            <w:tcW w:w="12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457F7809" w14:textId="77777777">
            <w:pPr>
              <w:widowControl/>
              <w:jc w:val="center"/>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Annual Respondent Cost</w:t>
            </w:r>
          </w:p>
        </w:tc>
      </w:tr>
      <w:tr w14:paraId="59CC3977" w14:textId="77777777" w:rsidTr="005F2007">
        <w:tblPrEx>
          <w:tblW w:w="5000" w:type="pct"/>
          <w:tblCellMar>
            <w:left w:w="0" w:type="dxa"/>
            <w:right w:w="0" w:type="dxa"/>
          </w:tblCellMar>
          <w:tblLook w:val="04A0"/>
        </w:tblPrEx>
        <w:trPr>
          <w:trHeight w:val="864"/>
        </w:trPr>
        <w:tc>
          <w:tcPr>
            <w:tcW w:w="13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0B6B" w:rsidRPr="00877257" w:rsidP="005F2007" w14:paraId="3FE31E0F" w14:textId="17280A58">
            <w:pPr>
              <w:widowControl/>
              <w:rPr>
                <w:rFonts w:ascii="Times New Roman" w:eastAsia="Aptos" w:hAnsi="Times New Roman"/>
                <w:snapToGrid/>
                <w:color w:val="000000"/>
                <w:sz w:val="22"/>
                <w:szCs w:val="22"/>
              </w:rPr>
            </w:pPr>
            <w:r w:rsidRPr="534556B1">
              <w:rPr>
                <w:rFonts w:ascii="Times New Roman" w:hAnsi="Times New Roman"/>
              </w:rPr>
              <w:t>Resolution Readiness Adjustments</w:t>
            </w:r>
          </w:p>
        </w:tc>
        <w:tc>
          <w:tcPr>
            <w:tcW w:w="11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D0B6B" w:rsidRPr="00877257" w:rsidP="005F2007" w14:paraId="0704FFD1" w14:textId="77777777">
            <w:pPr>
              <w:widowControl/>
              <w:ind w:firstLine="400"/>
              <w:jc w:val="right"/>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 xml:space="preserve">                                              3,893 </w:t>
            </w:r>
          </w:p>
        </w:tc>
        <w:tc>
          <w:tcPr>
            <w:tcW w:w="118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D0B6B" w:rsidRPr="00877257" w:rsidP="005F2007" w14:paraId="65D6AAA6" w14:textId="77777777">
            <w:pPr>
              <w:widowControl/>
              <w:ind w:firstLine="200"/>
              <w:jc w:val="right"/>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$110.95</w:t>
            </w:r>
          </w:p>
        </w:tc>
        <w:tc>
          <w:tcPr>
            <w:tcW w:w="126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D0B6B" w:rsidRPr="00877257" w:rsidP="005F2007" w14:paraId="775D8535" w14:textId="77777777">
            <w:pPr>
              <w:widowControl/>
              <w:ind w:firstLine="200"/>
              <w:jc w:val="right"/>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$431,928</w:t>
            </w:r>
          </w:p>
        </w:tc>
      </w:tr>
      <w:tr w14:paraId="5005C171" w14:textId="77777777" w:rsidTr="005F2007">
        <w:tblPrEx>
          <w:tblW w:w="5000" w:type="pct"/>
          <w:tblCellMar>
            <w:left w:w="0" w:type="dxa"/>
            <w:right w:w="0" w:type="dxa"/>
          </w:tblCellMar>
          <w:tblLook w:val="04A0"/>
        </w:tblPrEx>
        <w:trPr>
          <w:trHeight w:val="360"/>
        </w:trPr>
        <w:tc>
          <w:tcPr>
            <w:tcW w:w="3738" w:type="pct"/>
            <w:gridSpan w:val="3"/>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rsidR="005D0B6B" w:rsidRPr="00877257" w:rsidP="005F2007" w14:paraId="0AC563C6" w14:textId="77777777">
            <w:pPr>
              <w:widowControl/>
              <w:jc w:val="right"/>
              <w:rPr>
                <w:rFonts w:ascii="Times New Roman" w:eastAsia="Aptos" w:hAnsi="Times New Roman"/>
                <w:b/>
                <w:bCs/>
                <w:i/>
                <w:iCs/>
                <w:snapToGrid/>
                <w:color w:val="000000"/>
                <w:sz w:val="22"/>
                <w:szCs w:val="22"/>
              </w:rPr>
            </w:pPr>
            <w:r w:rsidRPr="00877257">
              <w:rPr>
                <w:rFonts w:ascii="Times New Roman" w:eastAsia="Aptos" w:hAnsi="Times New Roman"/>
                <w:b/>
                <w:bCs/>
                <w:i/>
                <w:iCs/>
                <w:snapToGrid/>
                <w:color w:val="000000"/>
                <w:sz w:val="22"/>
                <w:szCs w:val="22"/>
              </w:rPr>
              <w:t>Total Annual Respondent Cost:</w:t>
            </w:r>
          </w:p>
        </w:tc>
        <w:tc>
          <w:tcPr>
            <w:tcW w:w="12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D0B6B" w:rsidRPr="00877257" w:rsidP="005F2007" w14:paraId="519158BA" w14:textId="77777777">
            <w:pPr>
              <w:widowControl/>
              <w:ind w:firstLine="221"/>
              <w:jc w:val="right"/>
              <w:rPr>
                <w:rFonts w:ascii="Times New Roman" w:eastAsia="Aptos" w:hAnsi="Times New Roman"/>
                <w:b/>
                <w:bCs/>
                <w:i/>
                <w:iCs/>
                <w:snapToGrid/>
                <w:color w:val="000000"/>
                <w:sz w:val="22"/>
                <w:szCs w:val="22"/>
              </w:rPr>
            </w:pPr>
            <w:r w:rsidRPr="00877257">
              <w:rPr>
                <w:rFonts w:ascii="Times New Roman" w:eastAsia="Aptos" w:hAnsi="Times New Roman"/>
                <w:b/>
                <w:bCs/>
                <w:i/>
                <w:iCs/>
                <w:snapToGrid/>
                <w:color w:val="000000"/>
                <w:sz w:val="22"/>
                <w:szCs w:val="22"/>
              </w:rPr>
              <w:t xml:space="preserve">$431,928 </w:t>
            </w:r>
          </w:p>
        </w:tc>
      </w:tr>
      <w:tr w14:paraId="777AE1EA" w14:textId="77777777" w:rsidTr="005F2007">
        <w:tblPrEx>
          <w:tblW w:w="5000" w:type="pct"/>
          <w:tblCellMar>
            <w:left w:w="0" w:type="dxa"/>
            <w:right w:w="0" w:type="dxa"/>
          </w:tblCellMar>
          <w:tblLook w:val="04A0"/>
        </w:tblPrEx>
        <w:trPr>
          <w:trHeight w:val="1140"/>
        </w:trPr>
        <w:tc>
          <w:tcPr>
            <w:tcW w:w="5000" w:type="pct"/>
            <w:gridSpan w:val="4"/>
            <w:tcBorders>
              <w:top w:val="nil"/>
              <w:left w:val="single" w:sz="8" w:space="0" w:color="auto"/>
              <w:bottom w:val="single" w:sz="8" w:space="0" w:color="auto"/>
              <w:right w:val="single" w:sz="8" w:space="0" w:color="000000"/>
            </w:tcBorders>
            <w:noWrap/>
            <w:tcMar>
              <w:top w:w="0" w:type="dxa"/>
              <w:left w:w="108" w:type="dxa"/>
              <w:bottom w:w="0" w:type="dxa"/>
              <w:right w:w="108" w:type="dxa"/>
            </w:tcMar>
            <w:hideMark/>
          </w:tcPr>
          <w:p w:rsidR="005D0B6B" w:rsidRPr="00877257" w:rsidP="005F2007" w14:paraId="07DAFF25" w14:textId="77777777">
            <w:pPr>
              <w:widowControl/>
              <w:rPr>
                <w:rFonts w:ascii="Times New Roman" w:eastAsia="Aptos" w:hAnsi="Times New Roman"/>
                <w:snapToGrid/>
                <w:color w:val="000000"/>
                <w:sz w:val="22"/>
                <w:szCs w:val="22"/>
              </w:rPr>
            </w:pPr>
            <w:r w:rsidRPr="00877257">
              <w:rPr>
                <w:rFonts w:ascii="Times New Roman" w:eastAsia="Aptos" w:hAnsi="Times New Roman"/>
                <w:snapToGrid/>
                <w:color w:val="000000"/>
                <w:sz w:val="22"/>
                <w:szCs w:val="22"/>
              </w:rPr>
              <w:t>Source: FDIC.</w:t>
            </w:r>
          </w:p>
        </w:tc>
      </w:tr>
    </w:tbl>
    <w:p w:rsidR="007921D2" w:rsidRPr="008D1962" w:rsidP="007921D2" w14:paraId="55ED6218" w14:textId="77777777">
      <w:pPr>
        <w:rPr>
          <w:rFonts w:ascii="Times New Roman" w:hAnsi="Times New Roman"/>
          <w:color w:val="FF0000"/>
          <w:szCs w:val="24"/>
        </w:rPr>
      </w:pPr>
    </w:p>
    <w:p w:rsidR="007921D2" w:rsidRPr="00076135" w:rsidP="007921D2" w14:paraId="0ED919C0" w14:textId="77777777">
      <w:pPr>
        <w:numPr>
          <w:ilvl w:val="1"/>
          <w:numId w:val="2"/>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076135">
        <w:rPr>
          <w:rFonts w:ascii="Times New Roman" w:hAnsi="Times New Roman"/>
          <w:szCs w:val="24"/>
          <w:u w:val="single"/>
        </w:rPr>
        <w:t>Estimate of Start-up Costs to Respondents:</w:t>
      </w:r>
    </w:p>
    <w:p w:rsidR="007921D2" w:rsidRPr="00076135" w:rsidP="007921D2" w14:paraId="39BD84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076135" w:rsidP="007921D2" w14:paraId="369EC8E9" w14:textId="573A80E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076135">
        <w:rPr>
          <w:rFonts w:ascii="Times New Roman" w:hAnsi="Times New Roman"/>
          <w:szCs w:val="24"/>
        </w:rPr>
        <w:t xml:space="preserve">See the analysis in </w:t>
      </w:r>
      <w:r w:rsidRPr="00076135" w:rsidR="007110B8">
        <w:rPr>
          <w:rFonts w:ascii="Times New Roman" w:hAnsi="Times New Roman"/>
          <w:szCs w:val="24"/>
        </w:rPr>
        <w:t>section 12 above</w:t>
      </w:r>
      <w:r w:rsidRPr="00076135">
        <w:rPr>
          <w:rFonts w:ascii="Times New Roman" w:hAnsi="Times New Roman"/>
          <w:szCs w:val="24"/>
        </w:rPr>
        <w:t>.</w:t>
      </w:r>
    </w:p>
    <w:p w:rsidR="007921D2" w:rsidRPr="00076135" w:rsidP="007921D2" w14:paraId="048E56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076135" w:rsidP="007921D2" w14:paraId="63892963" w14:textId="77777777">
      <w:pPr>
        <w:numPr>
          <w:ilvl w:val="1"/>
          <w:numId w:val="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076135">
        <w:rPr>
          <w:rFonts w:ascii="Times New Roman" w:hAnsi="Times New Roman"/>
          <w:snapToGrid/>
          <w:szCs w:val="24"/>
          <w:u w:val="single"/>
        </w:rPr>
        <w:t>Estimate of annualized costs to the government:</w:t>
      </w:r>
    </w:p>
    <w:p w:rsidR="007921D2" w:rsidRPr="00076135" w:rsidP="007921D2" w14:paraId="200598ED"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Cs w:val="24"/>
        </w:rPr>
      </w:pPr>
    </w:p>
    <w:p w:rsidR="007921D2" w:rsidRPr="00076135" w:rsidP="007921D2" w14:paraId="11C88D66"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076135">
        <w:rPr>
          <w:rFonts w:ascii="Times New Roman" w:hAnsi="Times New Roman"/>
          <w:szCs w:val="24"/>
        </w:rPr>
        <w:t>None.</w:t>
      </w:r>
    </w:p>
    <w:p w:rsidR="007921D2" w:rsidRPr="00076135" w:rsidP="007921D2" w14:paraId="55E5389A" w14:textId="77777777">
      <w:pPr>
        <w:outlineLvl w:val="0"/>
        <w:rPr>
          <w:rFonts w:ascii="Times New Roman" w:hAnsi="Times New Roman"/>
          <w:szCs w:val="24"/>
        </w:rPr>
      </w:pPr>
      <w:r w:rsidRPr="00076135">
        <w:rPr>
          <w:rFonts w:ascii="Times New Roman" w:hAnsi="Times New Roman"/>
          <w:szCs w:val="24"/>
        </w:rPr>
        <w:tab/>
      </w:r>
    </w:p>
    <w:p w:rsidR="007921D2" w:rsidRPr="00076135" w:rsidP="007921D2" w14:paraId="55B94EC6" w14:textId="77777777">
      <w:pPr>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076135">
        <w:rPr>
          <w:rFonts w:ascii="Times New Roman" w:hAnsi="Times New Roman"/>
          <w:snapToGrid/>
          <w:szCs w:val="24"/>
          <w:u w:val="single"/>
        </w:rPr>
        <w:t>Analysis of change in burden:</w:t>
      </w:r>
      <w:r w:rsidRPr="00076135">
        <w:rPr>
          <w:rFonts w:ascii="Times New Roman" w:hAnsi="Times New Roman"/>
          <w:szCs w:val="24"/>
        </w:rPr>
        <w:tab/>
      </w:r>
    </w:p>
    <w:p w:rsidR="007921D2" w:rsidRPr="00076135" w:rsidP="007921D2" w14:paraId="410FF22C" w14:textId="77777777">
      <w:pPr>
        <w:ind w:left="360" w:firstLine="720"/>
        <w:rPr>
          <w:rFonts w:ascii="Times New Roman" w:hAnsi="Times New Roman"/>
          <w:szCs w:val="24"/>
        </w:rPr>
      </w:pPr>
    </w:p>
    <w:p w:rsidR="007921D2" w:rsidRPr="008D1962" w:rsidP="007921D2" w14:paraId="1BCA5F93" w14:textId="5F1DCFD4">
      <w:pPr>
        <w:ind w:left="1080"/>
        <w:rPr>
          <w:rFonts w:ascii="Times New Roman" w:hAnsi="Times New Roman"/>
          <w:color w:val="FF0000"/>
          <w:szCs w:val="24"/>
        </w:rPr>
      </w:pPr>
      <w:r w:rsidRPr="00076135">
        <w:rPr>
          <w:rFonts w:ascii="Times New Roman" w:hAnsi="Times New Roman"/>
          <w:szCs w:val="24"/>
        </w:rPr>
        <w:t xml:space="preserve">Since this is the first time the FDIC will be submitting an information collection in connection with the proposed rule, there is no change in burden. However, the burden associated with this new information collection is </w:t>
      </w:r>
      <w:r w:rsidRPr="00076135" w:rsidR="00076135">
        <w:rPr>
          <w:rFonts w:ascii="Times New Roman" w:hAnsi="Times New Roman"/>
          <w:szCs w:val="24"/>
        </w:rPr>
        <w:t>3,893</w:t>
      </w:r>
      <w:r w:rsidRPr="00076135">
        <w:rPr>
          <w:rFonts w:ascii="Times New Roman" w:hAnsi="Times New Roman"/>
          <w:szCs w:val="24"/>
        </w:rPr>
        <w:t xml:space="preserve"> hours.</w:t>
      </w:r>
    </w:p>
    <w:p w:rsidR="007921D2" w:rsidRPr="00076135" w:rsidP="007921D2" w14:paraId="3DC138DC" w14:textId="77777777">
      <w:pPr>
        <w:ind w:left="1440"/>
        <w:rPr>
          <w:rFonts w:ascii="Times New Roman" w:hAnsi="Times New Roman"/>
          <w:szCs w:val="24"/>
        </w:rPr>
      </w:pPr>
    </w:p>
    <w:p w:rsidR="007921D2" w:rsidRPr="00076135" w:rsidP="007921D2" w14:paraId="38AF1B13" w14:textId="77777777">
      <w:pPr>
        <w:numPr>
          <w:ilvl w:val="1"/>
          <w:numId w:val="2"/>
        </w:numPr>
        <w:tabs>
          <w:tab w:val="left" w:pos="1170"/>
        </w:tabs>
        <w:autoSpaceDE w:val="0"/>
        <w:autoSpaceDN w:val="0"/>
        <w:adjustRightInd w:val="0"/>
        <w:rPr>
          <w:rFonts w:ascii="Times New Roman" w:hAnsi="Times New Roman"/>
          <w:snapToGrid/>
          <w:szCs w:val="24"/>
        </w:rPr>
      </w:pPr>
      <w:r w:rsidRPr="00076135">
        <w:rPr>
          <w:rFonts w:ascii="Times New Roman" w:hAnsi="Times New Roman"/>
          <w:szCs w:val="24"/>
          <w:u w:val="single"/>
        </w:rPr>
        <w:t>Information regarding collections whose results are planned to be published for statistical use:</w:t>
      </w:r>
    </w:p>
    <w:p w:rsidR="007921D2" w:rsidRPr="00076135" w:rsidP="007921D2" w14:paraId="30AE88DC"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076135" w:rsidP="007921D2" w14:paraId="32C53B6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076135">
        <w:rPr>
          <w:rFonts w:ascii="Times New Roman" w:hAnsi="Times New Roman"/>
          <w:szCs w:val="24"/>
        </w:rPr>
        <w:t>The results of this collection will not be published for statistical use.</w:t>
      </w:r>
    </w:p>
    <w:p w:rsidR="007921D2" w:rsidRPr="00076135" w:rsidP="007921D2" w14:paraId="5384FCAA"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076135" w:rsidP="007921D2" w14:paraId="2FDDF793" w14:textId="77777777">
      <w:pPr>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076135">
        <w:rPr>
          <w:rFonts w:ascii="Times New Roman" w:hAnsi="Times New Roman"/>
          <w:szCs w:val="24"/>
          <w:u w:val="single"/>
        </w:rPr>
        <w:t>Display of Expiration Date</w:t>
      </w:r>
    </w:p>
    <w:p w:rsidR="007921D2" w:rsidRPr="00076135" w:rsidP="007921D2" w14:paraId="716F98DE"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076135" w:rsidP="007921D2" w14:paraId="61486E03" w14:textId="77777777">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306"/>
        <w:jc w:val="both"/>
        <w:rPr>
          <w:rFonts w:ascii="Times New Roman" w:hAnsi="Times New Roman"/>
          <w:szCs w:val="24"/>
        </w:rPr>
      </w:pPr>
      <w:r w:rsidRPr="00076135">
        <w:rPr>
          <w:rFonts w:ascii="Times New Roman" w:hAnsi="Times New Roman"/>
          <w:szCs w:val="24"/>
        </w:rPr>
        <w:t>This information collection is contained in a regulation.</w:t>
      </w:r>
    </w:p>
    <w:p w:rsidR="007921D2" w:rsidRPr="00076135" w:rsidP="007921D2" w14:paraId="32B1628D"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076135" w:rsidP="007921D2" w14:paraId="5A1E7F8E" w14:textId="77777777">
      <w:pPr>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076135">
        <w:rPr>
          <w:rFonts w:ascii="Times New Roman" w:hAnsi="Times New Roman"/>
          <w:szCs w:val="24"/>
          <w:u w:val="single"/>
        </w:rPr>
        <w:t>Exceptions to Certification Statement</w:t>
      </w:r>
    </w:p>
    <w:p w:rsidR="007921D2" w:rsidRPr="00076135" w:rsidP="007921D2" w14:paraId="5F105D9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076135" w:rsidP="007921D2" w14:paraId="11E3AFD2"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076135">
        <w:rPr>
          <w:rFonts w:ascii="Times New Roman" w:hAnsi="Times New Roman"/>
          <w:szCs w:val="24"/>
        </w:rPr>
        <w:t>None.</w:t>
      </w:r>
    </w:p>
    <w:p w:rsidR="007921D2" w:rsidRPr="00076135" w:rsidP="007921D2" w14:paraId="66DCBAB7"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076135" w:rsidP="007921D2" w14:paraId="3CF3FDDC" w14:textId="77777777">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076135">
        <w:rPr>
          <w:rFonts w:ascii="Times New Roman" w:hAnsi="Times New Roman"/>
          <w:szCs w:val="24"/>
          <w:u w:val="single"/>
        </w:rPr>
        <w:t>STATISTICAL METHODS</w:t>
      </w:r>
    </w:p>
    <w:p w:rsidR="007921D2" w:rsidRPr="00076135" w:rsidP="007921D2" w14:paraId="775EB2AA" w14:textId="77777777">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imes New Roman" w:hAnsi="Times New Roman"/>
          <w:szCs w:val="24"/>
        </w:rPr>
      </w:pPr>
    </w:p>
    <w:p w:rsidR="007921D2" w:rsidRPr="00076135" w:rsidP="007921D2" w14:paraId="06F92A7C" w14:textId="77777777">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720"/>
        <w:jc w:val="both"/>
        <w:rPr>
          <w:rFonts w:ascii="Times New Roman" w:hAnsi="Times New Roman"/>
          <w:szCs w:val="24"/>
        </w:rPr>
      </w:pPr>
      <w:r w:rsidRPr="00076135">
        <w:rPr>
          <w:rFonts w:ascii="Times New Roman" w:hAnsi="Times New Roman"/>
          <w:szCs w:val="24"/>
        </w:rPr>
        <w:t>Statistical methods are not employed in these collections.</w:t>
      </w:r>
    </w:p>
    <w:p w:rsidR="007921D2" w:rsidRPr="008D1962" w:rsidP="007921D2" w14:paraId="1FDF7AF1" w14:textId="77777777">
      <w:pPr>
        <w:rPr>
          <w:rFonts w:ascii="Times New Roman" w:hAnsi="Times New Roman"/>
          <w:color w:val="FF0000"/>
          <w:szCs w:val="24"/>
        </w:rPr>
      </w:pPr>
    </w:p>
    <w:p w:rsidR="004008FE" w:rsidRPr="008D1962" w14:paraId="2E0B142B" w14:textId="77777777">
      <w:pPr>
        <w:rPr>
          <w:color w:val="FF0000"/>
        </w:rPr>
      </w:pPr>
    </w:p>
    <w:sectPr w:rsidSect="005D0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2C29" w:rsidP="007921D2" w14:paraId="5311A0AA" w14:textId="77777777">
      <w:r>
        <w:separator/>
      </w:r>
    </w:p>
  </w:footnote>
  <w:footnote w:type="continuationSeparator" w:id="1">
    <w:p w:rsidR="00E62C29" w:rsidP="007921D2" w14:paraId="45C2B5F5" w14:textId="77777777">
      <w:r>
        <w:continuationSeparator/>
      </w:r>
    </w:p>
  </w:footnote>
  <w:footnote w:id="2">
    <w:p w:rsidR="007921D2" w:rsidRPr="00590A2D" w:rsidP="007921D2" w14:paraId="5B7C2340" w14:textId="77777777">
      <w:pPr>
        <w:pStyle w:val="FootnoteText"/>
        <w:tabs>
          <w:tab w:val="left" w:pos="8640"/>
        </w:tabs>
        <w:rPr>
          <w:rFonts w:ascii="Times New Roman" w:hAnsi="Times New Roman"/>
        </w:rPr>
      </w:pPr>
      <w:r w:rsidRPr="00590A2D">
        <w:rPr>
          <w:rStyle w:val="FootnoteReference"/>
          <w:vertAlign w:val="superscript"/>
        </w:rPr>
        <w:footnoteRef/>
      </w:r>
      <w:r w:rsidRPr="00590A2D">
        <w:rPr>
          <w:rFonts w:ascii="Times New Roman" w:hAnsi="Times New Roman"/>
        </w:rPr>
        <w:t xml:space="preserve"> 44 U.S.C. 3501 </w:t>
      </w:r>
      <w:r w:rsidRPr="00590A2D">
        <w:rPr>
          <w:rFonts w:ascii="Times New Roman" w:hAnsi="Times New Roman"/>
          <w:i/>
        </w:rPr>
        <w:t>et seq.</w:t>
      </w:r>
    </w:p>
  </w:footnote>
  <w:footnote w:id="3">
    <w:p w:rsidR="00B95AAF" w:rsidRPr="00B95AAF" w:rsidP="00B95AAF" w14:paraId="5D8EBA11" w14:textId="4F29FC9F">
      <w:pPr>
        <w:pStyle w:val="FootnoteText"/>
        <w:spacing w:after="60"/>
        <w:rPr>
          <w:rFonts w:ascii="Times New Roman" w:hAnsi="Times New Roman"/>
        </w:rPr>
      </w:pPr>
      <w:r w:rsidRPr="00DE1D03">
        <w:rPr>
          <w:rStyle w:val="FootnoteReference"/>
          <w:vertAlign w:val="superscript"/>
        </w:rPr>
        <w:footnoteRef/>
      </w:r>
      <w:r w:rsidR="00DE1D03">
        <w:t xml:space="preserve"> </w:t>
      </w:r>
      <w:r w:rsidRPr="00B95AAF">
        <w:rPr>
          <w:rFonts w:ascii="Times New Roman" w:hAnsi="Times New Roman"/>
        </w:rPr>
        <w:t>5 U.S.C. 601.</w:t>
      </w:r>
    </w:p>
  </w:footnote>
  <w:footnote w:id="4">
    <w:p w:rsidR="00B95AAF" w:rsidRPr="00B95AAF" w:rsidP="00B95AAF" w14:paraId="47850161" w14:textId="1771D4BA">
      <w:pPr>
        <w:pStyle w:val="FootnoteText"/>
        <w:spacing w:after="60"/>
        <w:rPr>
          <w:rFonts w:ascii="Times New Roman" w:hAnsi="Times New Roman"/>
        </w:rPr>
      </w:pPr>
      <w:r w:rsidRPr="00DE1D03">
        <w:rPr>
          <w:rStyle w:val="FootnoteReference"/>
          <w:vertAlign w:val="superscript"/>
        </w:rPr>
        <w:footnoteRef/>
      </w:r>
      <w:r w:rsidR="00DE1D03">
        <w:rPr>
          <w:rFonts w:ascii="Times New Roman" w:hAnsi="Times New Roman"/>
        </w:rPr>
        <w:t xml:space="preserve"> </w:t>
      </w:r>
      <w:r w:rsidRPr="00B95AAF">
        <w:rPr>
          <w:rFonts w:ascii="Times New Roman" w:hAnsi="Times New Roman"/>
        </w:rPr>
        <w:t xml:space="preserve">Note that the definition of small institution at 12 CFR 327.8(e) encompasses all “small entities”, as defined by the RFA.  </w:t>
      </w:r>
    </w:p>
  </w:footnote>
  <w:footnote w:id="5">
    <w:p w:rsidR="00B95AAF" w:rsidRPr="00E24D6C" w:rsidP="00B95AAF" w14:paraId="5492D2F5" w14:textId="1F757705">
      <w:pPr>
        <w:pStyle w:val="FootnoteText"/>
        <w:spacing w:after="60"/>
      </w:pPr>
      <w:r w:rsidRPr="00DE1D03">
        <w:rPr>
          <w:rStyle w:val="FootnoteReference"/>
          <w:vertAlign w:val="superscript"/>
        </w:rPr>
        <w:footnoteRef/>
      </w:r>
      <w:r w:rsidR="00DE1D03">
        <w:rPr>
          <w:rFonts w:ascii="Times New Roman" w:hAnsi="Times New Roman"/>
          <w:vertAlign w:val="superscript"/>
        </w:rPr>
        <w:t xml:space="preserve"> </w:t>
      </w:r>
      <w:r w:rsidRPr="00B95AAF">
        <w:rPr>
          <w:rFonts w:ascii="Times New Roman" w:hAnsi="Times New Roman"/>
        </w:rPr>
        <w:t>Analysis is based on data from the Call Report for the reporting period that ended December 31, 2025, reported as of February 16, 2026.</w:t>
      </w:r>
    </w:p>
  </w:footnote>
  <w:footnote w:id="6">
    <w:p w:rsidR="000316F0" w:rsidRPr="00B21AAA" w:rsidP="000316F0" w14:paraId="0C8A6CDF" w14:textId="77777777">
      <w:pPr>
        <w:pStyle w:val="FootnoteText"/>
        <w:spacing w:after="60"/>
        <w:rPr>
          <w:rFonts w:ascii="Times New Roman" w:hAnsi="Times New Roman"/>
        </w:rPr>
      </w:pPr>
      <w:r w:rsidRPr="00B21AAA">
        <w:rPr>
          <w:rStyle w:val="FootnoteReference"/>
          <w:vertAlign w:val="superscript"/>
        </w:rPr>
        <w:footnoteRef/>
      </w:r>
      <w:r w:rsidRPr="00B21AAA">
        <w:rPr>
          <w:rFonts w:ascii="Times New Roman" w:hAnsi="Times New Roman"/>
        </w:rPr>
        <w:t xml:space="preserve"> </w:t>
      </w:r>
      <w:r w:rsidRPr="00B21AAA">
        <w:rPr>
          <w:rFonts w:ascii="Times New Roman" w:hAnsi="Times New Roman"/>
          <w:i/>
        </w:rPr>
        <w:t>See</w:t>
      </w:r>
      <w:r w:rsidRPr="00B21AAA">
        <w:rPr>
          <w:rFonts w:ascii="Times New Roman" w:hAnsi="Times New Roman"/>
        </w:rPr>
        <w:t xml:space="preserve"> 12 U.S.C. 1817 and 1819 (Tenth).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074D21"/>
    <w:multiLevelType w:val="hybridMultilevel"/>
    <w:tmpl w:val="3670C79C"/>
    <w:lvl w:ilvl="0">
      <w:start w:val="1"/>
      <w:numFmt w:val="upperLetter"/>
      <w:lvlText w:val="%1."/>
      <w:lvlJc w:val="left"/>
      <w:pPr>
        <w:ind w:left="720" w:hanging="72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6936611"/>
    <w:multiLevelType w:val="hybridMultilevel"/>
    <w:tmpl w:val="90CE913C"/>
    <w:lvl w:ilvl="0">
      <w:start w:val="1"/>
      <w:numFmt w:val="upperLetter"/>
      <w:lvlText w:val="%1."/>
      <w:lvlJc w:val="left"/>
      <w:pPr>
        <w:ind w:left="720" w:hanging="720"/>
      </w:pPr>
      <w:rPr>
        <w:rFonts w:hint="default"/>
      </w:rPr>
    </w:lvl>
    <w:lvl w:ilvl="1">
      <w:start w:val="1"/>
      <w:numFmt w:val="decimal"/>
      <w:lvlText w:val="%2."/>
      <w:lvlJc w:val="left"/>
      <w:pPr>
        <w:ind w:left="1080" w:hanging="360"/>
      </w:pPr>
      <w:rPr>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4781029">
    <w:abstractNumId w:val="0"/>
  </w:num>
  <w:num w:numId="2" w16cid:durableId="1397704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D2"/>
    <w:rsid w:val="000043EA"/>
    <w:rsid w:val="00011076"/>
    <w:rsid w:val="000316F0"/>
    <w:rsid w:val="00042364"/>
    <w:rsid w:val="00053517"/>
    <w:rsid w:val="0005612F"/>
    <w:rsid w:val="00060824"/>
    <w:rsid w:val="00071ABE"/>
    <w:rsid w:val="000724DD"/>
    <w:rsid w:val="00076135"/>
    <w:rsid w:val="00096418"/>
    <w:rsid w:val="000B518C"/>
    <w:rsid w:val="000C278B"/>
    <w:rsid w:val="000C77E3"/>
    <w:rsid w:val="000D1A4D"/>
    <w:rsid w:val="000D2161"/>
    <w:rsid w:val="000D7CD4"/>
    <w:rsid w:val="000E0A6D"/>
    <w:rsid w:val="000E2BC4"/>
    <w:rsid w:val="000F5FDC"/>
    <w:rsid w:val="00102D7D"/>
    <w:rsid w:val="001039AB"/>
    <w:rsid w:val="001125F5"/>
    <w:rsid w:val="001126B4"/>
    <w:rsid w:val="0011526A"/>
    <w:rsid w:val="001362D5"/>
    <w:rsid w:val="001410A1"/>
    <w:rsid w:val="00151E67"/>
    <w:rsid w:val="00156642"/>
    <w:rsid w:val="00157E2B"/>
    <w:rsid w:val="00164C03"/>
    <w:rsid w:val="00172EF0"/>
    <w:rsid w:val="0017356E"/>
    <w:rsid w:val="0017494E"/>
    <w:rsid w:val="00177AD0"/>
    <w:rsid w:val="0019364E"/>
    <w:rsid w:val="00195966"/>
    <w:rsid w:val="001C6926"/>
    <w:rsid w:val="001C7A96"/>
    <w:rsid w:val="001D13F4"/>
    <w:rsid w:val="001E7190"/>
    <w:rsid w:val="0020444B"/>
    <w:rsid w:val="00215465"/>
    <w:rsid w:val="002165FF"/>
    <w:rsid w:val="00233F7B"/>
    <w:rsid w:val="002462F0"/>
    <w:rsid w:val="00247885"/>
    <w:rsid w:val="00250A77"/>
    <w:rsid w:val="00257106"/>
    <w:rsid w:val="0026081D"/>
    <w:rsid w:val="00267E4F"/>
    <w:rsid w:val="00276111"/>
    <w:rsid w:val="0028660A"/>
    <w:rsid w:val="00291B68"/>
    <w:rsid w:val="00296BB0"/>
    <w:rsid w:val="002A1B1C"/>
    <w:rsid w:val="002B0BE9"/>
    <w:rsid w:val="002B7315"/>
    <w:rsid w:val="002C1B1B"/>
    <w:rsid w:val="002C7490"/>
    <w:rsid w:val="002D3482"/>
    <w:rsid w:val="002E35BD"/>
    <w:rsid w:val="002E7DB1"/>
    <w:rsid w:val="002F63D4"/>
    <w:rsid w:val="00304624"/>
    <w:rsid w:val="00317689"/>
    <w:rsid w:val="003217E4"/>
    <w:rsid w:val="00340057"/>
    <w:rsid w:val="00353117"/>
    <w:rsid w:val="00353DEE"/>
    <w:rsid w:val="00356F52"/>
    <w:rsid w:val="00365D18"/>
    <w:rsid w:val="00372B19"/>
    <w:rsid w:val="00377DE2"/>
    <w:rsid w:val="0038051F"/>
    <w:rsid w:val="00386121"/>
    <w:rsid w:val="00390C82"/>
    <w:rsid w:val="0039344B"/>
    <w:rsid w:val="00395E37"/>
    <w:rsid w:val="003C1FB8"/>
    <w:rsid w:val="003C277A"/>
    <w:rsid w:val="003C6341"/>
    <w:rsid w:val="003D55B5"/>
    <w:rsid w:val="003D6EAA"/>
    <w:rsid w:val="003F34E5"/>
    <w:rsid w:val="004008FE"/>
    <w:rsid w:val="00403578"/>
    <w:rsid w:val="004128B7"/>
    <w:rsid w:val="0042650E"/>
    <w:rsid w:val="004272D4"/>
    <w:rsid w:val="00440336"/>
    <w:rsid w:val="00443C81"/>
    <w:rsid w:val="00451948"/>
    <w:rsid w:val="00452172"/>
    <w:rsid w:val="004566B8"/>
    <w:rsid w:val="00466278"/>
    <w:rsid w:val="004779DF"/>
    <w:rsid w:val="004857A3"/>
    <w:rsid w:val="00495A4B"/>
    <w:rsid w:val="00497AF3"/>
    <w:rsid w:val="004A1237"/>
    <w:rsid w:val="004C1CBA"/>
    <w:rsid w:val="004D7448"/>
    <w:rsid w:val="004E7F53"/>
    <w:rsid w:val="004F34E9"/>
    <w:rsid w:val="004F6390"/>
    <w:rsid w:val="005002FF"/>
    <w:rsid w:val="00502855"/>
    <w:rsid w:val="005118E4"/>
    <w:rsid w:val="00523E44"/>
    <w:rsid w:val="00527BBD"/>
    <w:rsid w:val="00527FE0"/>
    <w:rsid w:val="0053447E"/>
    <w:rsid w:val="00543FDA"/>
    <w:rsid w:val="00544F43"/>
    <w:rsid w:val="00565804"/>
    <w:rsid w:val="00590A2D"/>
    <w:rsid w:val="005A4F04"/>
    <w:rsid w:val="005B0899"/>
    <w:rsid w:val="005D0B6B"/>
    <w:rsid w:val="005E388B"/>
    <w:rsid w:val="005F2007"/>
    <w:rsid w:val="00606FCF"/>
    <w:rsid w:val="00607414"/>
    <w:rsid w:val="00630F11"/>
    <w:rsid w:val="006310C2"/>
    <w:rsid w:val="00631A2F"/>
    <w:rsid w:val="006356D2"/>
    <w:rsid w:val="0063790C"/>
    <w:rsid w:val="0064007D"/>
    <w:rsid w:val="006447EC"/>
    <w:rsid w:val="006526DB"/>
    <w:rsid w:val="0067465D"/>
    <w:rsid w:val="006750FD"/>
    <w:rsid w:val="00676962"/>
    <w:rsid w:val="00676F6B"/>
    <w:rsid w:val="00683157"/>
    <w:rsid w:val="006A30A0"/>
    <w:rsid w:val="006B7F36"/>
    <w:rsid w:val="006C08DA"/>
    <w:rsid w:val="006C4A95"/>
    <w:rsid w:val="006D04F6"/>
    <w:rsid w:val="006D0D8D"/>
    <w:rsid w:val="006E0653"/>
    <w:rsid w:val="006F1A88"/>
    <w:rsid w:val="006F2B5D"/>
    <w:rsid w:val="00700D14"/>
    <w:rsid w:val="00701C82"/>
    <w:rsid w:val="00702266"/>
    <w:rsid w:val="007110B8"/>
    <w:rsid w:val="00715072"/>
    <w:rsid w:val="00730E2E"/>
    <w:rsid w:val="00735943"/>
    <w:rsid w:val="00753228"/>
    <w:rsid w:val="00755209"/>
    <w:rsid w:val="00760010"/>
    <w:rsid w:val="00766E88"/>
    <w:rsid w:val="00773D57"/>
    <w:rsid w:val="00780C4B"/>
    <w:rsid w:val="007862B8"/>
    <w:rsid w:val="007921D2"/>
    <w:rsid w:val="00794B17"/>
    <w:rsid w:val="007A0684"/>
    <w:rsid w:val="007A5082"/>
    <w:rsid w:val="007B2781"/>
    <w:rsid w:val="007D0E77"/>
    <w:rsid w:val="007D15CF"/>
    <w:rsid w:val="007D3AE3"/>
    <w:rsid w:val="007D5D65"/>
    <w:rsid w:val="007D7539"/>
    <w:rsid w:val="007F4B89"/>
    <w:rsid w:val="008005F1"/>
    <w:rsid w:val="00801911"/>
    <w:rsid w:val="00802256"/>
    <w:rsid w:val="0080351A"/>
    <w:rsid w:val="00803FF0"/>
    <w:rsid w:val="00804872"/>
    <w:rsid w:val="008130DE"/>
    <w:rsid w:val="008177EC"/>
    <w:rsid w:val="00820329"/>
    <w:rsid w:val="00837CE1"/>
    <w:rsid w:val="008410D4"/>
    <w:rsid w:val="00842A9E"/>
    <w:rsid w:val="008543B1"/>
    <w:rsid w:val="00877257"/>
    <w:rsid w:val="0088305A"/>
    <w:rsid w:val="00883145"/>
    <w:rsid w:val="008852C1"/>
    <w:rsid w:val="00897132"/>
    <w:rsid w:val="008A21F8"/>
    <w:rsid w:val="008C17EF"/>
    <w:rsid w:val="008C2CA6"/>
    <w:rsid w:val="008D014E"/>
    <w:rsid w:val="008D1962"/>
    <w:rsid w:val="008D24F3"/>
    <w:rsid w:val="008F1D99"/>
    <w:rsid w:val="008F3A63"/>
    <w:rsid w:val="009254FC"/>
    <w:rsid w:val="00940599"/>
    <w:rsid w:val="00941EE6"/>
    <w:rsid w:val="00941FBA"/>
    <w:rsid w:val="00950ECD"/>
    <w:rsid w:val="009526A9"/>
    <w:rsid w:val="009530BB"/>
    <w:rsid w:val="009539EB"/>
    <w:rsid w:val="00960863"/>
    <w:rsid w:val="009753DE"/>
    <w:rsid w:val="00977BA8"/>
    <w:rsid w:val="00985FEB"/>
    <w:rsid w:val="009967C2"/>
    <w:rsid w:val="00996940"/>
    <w:rsid w:val="009B39ED"/>
    <w:rsid w:val="009D016E"/>
    <w:rsid w:val="009D4E48"/>
    <w:rsid w:val="009D4FC2"/>
    <w:rsid w:val="009E44ED"/>
    <w:rsid w:val="009F5D71"/>
    <w:rsid w:val="009F6E11"/>
    <w:rsid w:val="00A04F12"/>
    <w:rsid w:val="00A056C3"/>
    <w:rsid w:val="00A17E64"/>
    <w:rsid w:val="00A32D8E"/>
    <w:rsid w:val="00A35659"/>
    <w:rsid w:val="00A41D32"/>
    <w:rsid w:val="00A5353A"/>
    <w:rsid w:val="00A5491A"/>
    <w:rsid w:val="00A646E6"/>
    <w:rsid w:val="00A67117"/>
    <w:rsid w:val="00A72566"/>
    <w:rsid w:val="00A73E68"/>
    <w:rsid w:val="00A83503"/>
    <w:rsid w:val="00A96D68"/>
    <w:rsid w:val="00A96E30"/>
    <w:rsid w:val="00A97BC2"/>
    <w:rsid w:val="00AA7BE8"/>
    <w:rsid w:val="00AB2AB8"/>
    <w:rsid w:val="00AB2EB8"/>
    <w:rsid w:val="00AB2F03"/>
    <w:rsid w:val="00AC2AB8"/>
    <w:rsid w:val="00AC3E0F"/>
    <w:rsid w:val="00AD775B"/>
    <w:rsid w:val="00AE065C"/>
    <w:rsid w:val="00AE4778"/>
    <w:rsid w:val="00B02F43"/>
    <w:rsid w:val="00B13573"/>
    <w:rsid w:val="00B21AAA"/>
    <w:rsid w:val="00B34B61"/>
    <w:rsid w:val="00B56572"/>
    <w:rsid w:val="00B66F79"/>
    <w:rsid w:val="00B7104C"/>
    <w:rsid w:val="00B736CF"/>
    <w:rsid w:val="00B76BDC"/>
    <w:rsid w:val="00B82D25"/>
    <w:rsid w:val="00B8480D"/>
    <w:rsid w:val="00B84FF9"/>
    <w:rsid w:val="00B87777"/>
    <w:rsid w:val="00B95AAF"/>
    <w:rsid w:val="00BA378E"/>
    <w:rsid w:val="00BA4401"/>
    <w:rsid w:val="00BC26C8"/>
    <w:rsid w:val="00BD759B"/>
    <w:rsid w:val="00BD7659"/>
    <w:rsid w:val="00BE25D4"/>
    <w:rsid w:val="00BF3671"/>
    <w:rsid w:val="00BF41E4"/>
    <w:rsid w:val="00C05101"/>
    <w:rsid w:val="00C2346E"/>
    <w:rsid w:val="00C62693"/>
    <w:rsid w:val="00C6518A"/>
    <w:rsid w:val="00C942F7"/>
    <w:rsid w:val="00C94EFA"/>
    <w:rsid w:val="00C95C1A"/>
    <w:rsid w:val="00CA1FEC"/>
    <w:rsid w:val="00CA6647"/>
    <w:rsid w:val="00CB1BFE"/>
    <w:rsid w:val="00CC014E"/>
    <w:rsid w:val="00CC455E"/>
    <w:rsid w:val="00CC627B"/>
    <w:rsid w:val="00CD38CC"/>
    <w:rsid w:val="00CD5E80"/>
    <w:rsid w:val="00CD70B4"/>
    <w:rsid w:val="00CE5414"/>
    <w:rsid w:val="00CF4330"/>
    <w:rsid w:val="00CF4FDE"/>
    <w:rsid w:val="00D01C4D"/>
    <w:rsid w:val="00D064AD"/>
    <w:rsid w:val="00D13EB0"/>
    <w:rsid w:val="00D149B8"/>
    <w:rsid w:val="00D22E15"/>
    <w:rsid w:val="00D24943"/>
    <w:rsid w:val="00D35C22"/>
    <w:rsid w:val="00D60C58"/>
    <w:rsid w:val="00D62D09"/>
    <w:rsid w:val="00D8046D"/>
    <w:rsid w:val="00D80E81"/>
    <w:rsid w:val="00D9059A"/>
    <w:rsid w:val="00DA09A5"/>
    <w:rsid w:val="00DA1A39"/>
    <w:rsid w:val="00DA3CEB"/>
    <w:rsid w:val="00DB22D7"/>
    <w:rsid w:val="00DC5A84"/>
    <w:rsid w:val="00DD0181"/>
    <w:rsid w:val="00DE166E"/>
    <w:rsid w:val="00DE1D03"/>
    <w:rsid w:val="00DE5ED0"/>
    <w:rsid w:val="00DE63E7"/>
    <w:rsid w:val="00DE6F69"/>
    <w:rsid w:val="00DF2D49"/>
    <w:rsid w:val="00DF34F6"/>
    <w:rsid w:val="00DF5519"/>
    <w:rsid w:val="00DF7762"/>
    <w:rsid w:val="00E05D7E"/>
    <w:rsid w:val="00E14716"/>
    <w:rsid w:val="00E15E69"/>
    <w:rsid w:val="00E24521"/>
    <w:rsid w:val="00E24D6C"/>
    <w:rsid w:val="00E3112B"/>
    <w:rsid w:val="00E464AD"/>
    <w:rsid w:val="00E570F6"/>
    <w:rsid w:val="00E62C29"/>
    <w:rsid w:val="00E65628"/>
    <w:rsid w:val="00E77330"/>
    <w:rsid w:val="00E84673"/>
    <w:rsid w:val="00EA1710"/>
    <w:rsid w:val="00EB1F46"/>
    <w:rsid w:val="00EB4A38"/>
    <w:rsid w:val="00EC5778"/>
    <w:rsid w:val="00EC79F5"/>
    <w:rsid w:val="00ED2068"/>
    <w:rsid w:val="00ED6864"/>
    <w:rsid w:val="00EF31B2"/>
    <w:rsid w:val="00F05279"/>
    <w:rsid w:val="00F15AB4"/>
    <w:rsid w:val="00F2302F"/>
    <w:rsid w:val="00F4356E"/>
    <w:rsid w:val="00F54F3A"/>
    <w:rsid w:val="00F702D2"/>
    <w:rsid w:val="00F94FA6"/>
    <w:rsid w:val="00F97674"/>
    <w:rsid w:val="00FC30BE"/>
    <w:rsid w:val="00FC4D41"/>
    <w:rsid w:val="00FC7169"/>
    <w:rsid w:val="00FD4BDF"/>
    <w:rsid w:val="00FE1DDE"/>
    <w:rsid w:val="534556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4125EA"/>
  <w15:chartTrackingRefBased/>
  <w15:docId w15:val="{6E272448-2213-4A33-9D57-23FFDEF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1D2"/>
    <w:pPr>
      <w:widowControl w:val="0"/>
      <w:spacing w:after="0" w:line="240" w:lineRule="auto"/>
    </w:pPr>
    <w:rPr>
      <w:rFonts w:ascii="Courier" w:eastAsia="Times New Roman" w:hAnsi="Courier" w:cs="Times New Roman"/>
      <w:snapToGrid w:val="0"/>
      <w:kern w:val="0"/>
      <w:szCs w:val="20"/>
      <w14:ligatures w14:val="none"/>
    </w:rPr>
  </w:style>
  <w:style w:type="paragraph" w:styleId="Heading1">
    <w:name w:val="heading 1"/>
    <w:basedOn w:val="Normal"/>
    <w:next w:val="Normal"/>
    <w:link w:val="Heading1Char"/>
    <w:uiPriority w:val="9"/>
    <w:qFormat/>
    <w:rsid w:val="00792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1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1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1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1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1D2"/>
    <w:rPr>
      <w:rFonts w:eastAsiaTheme="majorEastAsia" w:cstheme="majorBidi"/>
      <w:color w:val="272727" w:themeColor="text1" w:themeTint="D8"/>
    </w:rPr>
  </w:style>
  <w:style w:type="paragraph" w:styleId="Title">
    <w:name w:val="Title"/>
    <w:basedOn w:val="Normal"/>
    <w:next w:val="Normal"/>
    <w:link w:val="TitleChar"/>
    <w:uiPriority w:val="10"/>
    <w:qFormat/>
    <w:rsid w:val="007921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1D2"/>
    <w:pPr>
      <w:spacing w:before="160"/>
      <w:jc w:val="center"/>
    </w:pPr>
    <w:rPr>
      <w:i/>
      <w:iCs/>
      <w:color w:val="404040" w:themeColor="text1" w:themeTint="BF"/>
    </w:rPr>
  </w:style>
  <w:style w:type="character" w:customStyle="1" w:styleId="QuoteChar">
    <w:name w:val="Quote Char"/>
    <w:basedOn w:val="DefaultParagraphFont"/>
    <w:link w:val="Quote"/>
    <w:uiPriority w:val="29"/>
    <w:rsid w:val="007921D2"/>
    <w:rPr>
      <w:i/>
      <w:iCs/>
      <w:color w:val="404040" w:themeColor="text1" w:themeTint="BF"/>
    </w:rPr>
  </w:style>
  <w:style w:type="paragraph" w:styleId="ListParagraph">
    <w:name w:val="List Paragraph"/>
    <w:basedOn w:val="Normal"/>
    <w:uiPriority w:val="34"/>
    <w:qFormat/>
    <w:rsid w:val="007921D2"/>
    <w:pPr>
      <w:ind w:left="720"/>
      <w:contextualSpacing/>
    </w:pPr>
  </w:style>
  <w:style w:type="character" w:styleId="IntenseEmphasis">
    <w:name w:val="Intense Emphasis"/>
    <w:basedOn w:val="DefaultParagraphFont"/>
    <w:uiPriority w:val="21"/>
    <w:qFormat/>
    <w:rsid w:val="007921D2"/>
    <w:rPr>
      <w:i/>
      <w:iCs/>
      <w:color w:val="0F4761" w:themeColor="accent1" w:themeShade="BF"/>
    </w:rPr>
  </w:style>
  <w:style w:type="paragraph" w:styleId="IntenseQuote">
    <w:name w:val="Intense Quote"/>
    <w:basedOn w:val="Normal"/>
    <w:next w:val="Normal"/>
    <w:link w:val="IntenseQuoteChar"/>
    <w:uiPriority w:val="30"/>
    <w:qFormat/>
    <w:rsid w:val="00792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1D2"/>
    <w:rPr>
      <w:i/>
      <w:iCs/>
      <w:color w:val="0F4761" w:themeColor="accent1" w:themeShade="BF"/>
    </w:rPr>
  </w:style>
  <w:style w:type="character" w:styleId="IntenseReference">
    <w:name w:val="Intense Reference"/>
    <w:basedOn w:val="DefaultParagraphFont"/>
    <w:uiPriority w:val="32"/>
    <w:qFormat/>
    <w:rsid w:val="007921D2"/>
    <w:rPr>
      <w:b/>
      <w:bCs/>
      <w:smallCaps/>
      <w:color w:val="0F4761" w:themeColor="accent1" w:themeShade="BF"/>
      <w:spacing w:val="5"/>
    </w:rPr>
  </w:style>
  <w:style w:type="paragraph" w:styleId="BodyTextIndent">
    <w:name w:val="Body Text Indent"/>
    <w:basedOn w:val="Normal"/>
    <w:link w:val="BodyTextIndentChar"/>
    <w:rsid w:val="007921D2"/>
    <w:pPr>
      <w:ind w:left="720"/>
    </w:pPr>
    <w:rPr>
      <w:rFonts w:ascii="Times New Roman" w:hAnsi="Times New Roman"/>
    </w:rPr>
  </w:style>
  <w:style w:type="character" w:customStyle="1" w:styleId="BodyTextIndentChar">
    <w:name w:val="Body Text Indent Char"/>
    <w:basedOn w:val="DefaultParagraphFont"/>
    <w:link w:val="BodyTextIndent"/>
    <w:rsid w:val="007921D2"/>
    <w:rPr>
      <w:rFonts w:ascii="Times New Roman" w:eastAsia="Times New Roman" w:hAnsi="Times New Roman" w:cs="Times New Roman"/>
      <w:snapToGrid w:val="0"/>
      <w:kern w:val="0"/>
      <w:szCs w:val="20"/>
      <w14:ligatures w14:val="none"/>
    </w:rPr>
  </w:style>
  <w:style w:type="character" w:styleId="FootnoteReference">
    <w:name w:val="footnote reference"/>
    <w:aliases w:val=" BVI fnr,(Footnote Reference),12,Appel note de bas de p,BVI fnr,EN Footnote Reference,Footnote,Footnote Reference Superscript,Footnote reference number,Footnote symbol,Nota,Ref,SUPERS,Style 16,Style 19,Voetnootverwijzing,fr,note TESI"/>
    <w:uiPriority w:val="99"/>
    <w:qFormat/>
    <w:rsid w:val="007921D2"/>
    <w:rPr>
      <w:rFonts w:ascii="Times New Roman" w:hAnsi="Times New Roman"/>
    </w:rPr>
  </w:style>
  <w:style w:type="paragraph" w:styleId="FootnoteText">
    <w:name w:val="footnote text"/>
    <w:aliases w:val=" Char,ALTS FOOTNOTE,Car,Ch,Char,Footnote Text Char Char,Footnote Text Char Char Char,Footnote Text Char Char Char Char Char Char Char Char Char Char Char Char Char Char Char Char Char,Fußnote,Style 15,Style 40 Char,Style 40 Char Char,fn,ft"/>
    <w:basedOn w:val="Normal"/>
    <w:link w:val="FootnoteTextChar"/>
    <w:uiPriority w:val="99"/>
    <w:qFormat/>
    <w:rsid w:val="007921D2"/>
    <w:rPr>
      <w:sz w:val="20"/>
    </w:rPr>
  </w:style>
  <w:style w:type="character" w:customStyle="1" w:styleId="FootnoteTextChar">
    <w:name w:val="Footnote Text Char"/>
    <w:aliases w:val=" Char Char,ALTS FOOTNOTE Char,Car Char,Ch Char,Char Char,Footnote Text Char Char Char Char,Footnote Text Char Char Char1,Fußnote Char,Style 15 Char,Style 40 Char Char Char,Style 40 Char Char1,fn Char,ft Char"/>
    <w:basedOn w:val="DefaultParagraphFont"/>
    <w:link w:val="FootnoteText"/>
    <w:uiPriority w:val="99"/>
    <w:rsid w:val="007921D2"/>
    <w:rPr>
      <w:rFonts w:ascii="Courier" w:eastAsia="Times New Roman" w:hAnsi="Courier" w:cs="Times New Roman"/>
      <w:snapToGrid w:val="0"/>
      <w:kern w:val="0"/>
      <w:sz w:val="20"/>
      <w:szCs w:val="20"/>
      <w14:ligatures w14:val="none"/>
    </w:rPr>
  </w:style>
  <w:style w:type="paragraph" w:styleId="BodyText">
    <w:name w:val="Body Text"/>
    <w:basedOn w:val="Normal"/>
    <w:link w:val="BodyTextChar"/>
    <w:uiPriority w:val="99"/>
    <w:unhideWhenUsed/>
    <w:rsid w:val="007921D2"/>
    <w:pPr>
      <w:spacing w:after="120"/>
    </w:pPr>
  </w:style>
  <w:style w:type="character" w:customStyle="1" w:styleId="BodyTextChar">
    <w:name w:val="Body Text Char"/>
    <w:basedOn w:val="DefaultParagraphFont"/>
    <w:link w:val="BodyText"/>
    <w:uiPriority w:val="99"/>
    <w:rsid w:val="007921D2"/>
    <w:rPr>
      <w:rFonts w:ascii="Courier" w:eastAsia="Times New Roman" w:hAnsi="Courier" w:cs="Times New Roman"/>
      <w:snapToGrid w:val="0"/>
      <w:kern w:val="0"/>
      <w:szCs w:val="20"/>
      <w14:ligatures w14:val="none"/>
    </w:rPr>
  </w:style>
  <w:style w:type="paragraph" w:styleId="NoSpacing">
    <w:name w:val="No Spacing"/>
    <w:uiPriority w:val="1"/>
    <w:qFormat/>
    <w:rsid w:val="00941FBA"/>
    <w:pPr>
      <w:widowControl w:val="0"/>
      <w:spacing w:after="0" w:line="240" w:lineRule="auto"/>
    </w:pPr>
    <w:rPr>
      <w:rFonts w:ascii="Courier" w:eastAsia="Times New Roman" w:hAnsi="Courier" w:cs="Times New Roman"/>
      <w:snapToGrid w:val="0"/>
      <w:kern w:val="0"/>
      <w:szCs w:val="20"/>
      <w14:ligatures w14:val="none"/>
    </w:rPr>
  </w:style>
  <w:style w:type="character" w:styleId="CommentReference">
    <w:name w:val="annotation reference"/>
    <w:basedOn w:val="DefaultParagraphFont"/>
    <w:uiPriority w:val="99"/>
    <w:unhideWhenUsed/>
    <w:rsid w:val="00D064AD"/>
    <w:rPr>
      <w:sz w:val="16"/>
      <w:szCs w:val="16"/>
    </w:rPr>
  </w:style>
  <w:style w:type="paragraph" w:styleId="CommentText">
    <w:name w:val="annotation text"/>
    <w:basedOn w:val="Normal"/>
    <w:link w:val="CommentTextChar"/>
    <w:uiPriority w:val="99"/>
    <w:unhideWhenUsed/>
    <w:rsid w:val="00D064AD"/>
    <w:pPr>
      <w:widowControl/>
      <w:spacing w:after="160"/>
    </w:pPr>
    <w:rPr>
      <w:rFonts w:ascii="Times New Roman" w:eastAsia="Aptos" w:hAnsi="Times New Roman"/>
      <w:snapToGrid/>
      <w:sz w:val="20"/>
    </w:rPr>
  </w:style>
  <w:style w:type="character" w:customStyle="1" w:styleId="CommentTextChar">
    <w:name w:val="Comment Text Char"/>
    <w:basedOn w:val="DefaultParagraphFont"/>
    <w:link w:val="CommentText"/>
    <w:uiPriority w:val="99"/>
    <w:rsid w:val="00D064AD"/>
    <w:rPr>
      <w:rFonts w:ascii="Times New Roman" w:eastAsia="Aptos" w:hAnsi="Times New Roman" w:cs="Times New Roman"/>
      <w:kern w:val="0"/>
      <w:sz w:val="20"/>
      <w:szCs w:val="20"/>
      <w14:ligatures w14:val="none"/>
    </w:rPr>
  </w:style>
  <w:style w:type="paragraph" w:styleId="Header">
    <w:name w:val="header"/>
    <w:basedOn w:val="Normal"/>
    <w:link w:val="HeaderChar"/>
    <w:uiPriority w:val="99"/>
    <w:unhideWhenUsed/>
    <w:rsid w:val="004566B8"/>
    <w:pPr>
      <w:widowControl/>
      <w:tabs>
        <w:tab w:val="center" w:pos="4680"/>
        <w:tab w:val="right" w:pos="9360"/>
      </w:tabs>
    </w:pPr>
    <w:rPr>
      <w:rFonts w:ascii="Times New Roman" w:eastAsia="Aptos" w:hAnsi="Times New Roman"/>
      <w:snapToGrid/>
      <w:szCs w:val="24"/>
    </w:rPr>
  </w:style>
  <w:style w:type="character" w:customStyle="1" w:styleId="HeaderChar">
    <w:name w:val="Header Char"/>
    <w:basedOn w:val="DefaultParagraphFont"/>
    <w:link w:val="Header"/>
    <w:uiPriority w:val="99"/>
    <w:rsid w:val="004566B8"/>
    <w:rPr>
      <w:rFonts w:ascii="Times New Roman" w:eastAsia="Aptos"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267E4F"/>
    <w:pPr>
      <w:widowControl w:val="0"/>
      <w:spacing w:after="0"/>
    </w:pPr>
    <w:rPr>
      <w:rFonts w:ascii="Courier" w:eastAsia="Times New Roman" w:hAnsi="Courier"/>
      <w:b/>
      <w:bCs/>
      <w:snapToGrid w:val="0"/>
    </w:rPr>
  </w:style>
  <w:style w:type="character" w:customStyle="1" w:styleId="CommentSubjectChar">
    <w:name w:val="Comment Subject Char"/>
    <w:basedOn w:val="CommentTextChar"/>
    <w:link w:val="CommentSubject"/>
    <w:uiPriority w:val="99"/>
    <w:semiHidden/>
    <w:rsid w:val="00267E4F"/>
    <w:rPr>
      <w:rFonts w:ascii="Courier" w:eastAsia="Times New Roman" w:hAnsi="Courier" w:cs="Times New Roman"/>
      <w:b/>
      <w:bCs/>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6D20F-E8CE-4822-8E1B-A6258BB30B03}">
  <ds:schemaRefs>
    <ds:schemaRef ds:uri="http://schemas.openxmlformats.org/officeDocument/2006/bibliography"/>
  </ds:schemaRefs>
</ds:datastoreItem>
</file>

<file path=docMetadata/LabelInfo.xml><?xml version="1.0" encoding="utf-8"?>
<clbl:labelList xmlns:clbl="http://schemas.microsoft.com/office/2020/mipLabelMetadata">
  <clbl:label id="{3be8ab8c-433c-4394-a4fb-cd2d5c4d0a5e}"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52</TotalTime>
  <Pages>8</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 Michelle</dc:creator>
  <cp:lastModifiedBy>Mire, Michelle</cp:lastModifiedBy>
  <cp:revision>59</cp:revision>
  <dcterms:created xsi:type="dcterms:W3CDTF">2026-06-30T13:22:00Z</dcterms:created>
  <dcterms:modified xsi:type="dcterms:W3CDTF">2026-06-30T15:52:00Z</dcterms:modified>
</cp:coreProperties>
</file>