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F402E" w14:paraId="297AD7DA" w14:textId="77777777"/>
    <w:p w:rsidR="00EF4558" w:rsidRPr="00EF4558" w:rsidP="00EF4558" w14:paraId="68B7911F" w14:textId="1E7375E7">
      <w:pPr>
        <w:tabs>
          <w:tab w:val="left" w:pos="5040"/>
        </w:tabs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ab/>
      </w:r>
      <w:r w:rsidRPr="00EF4558">
        <w:rPr>
          <w:rFonts w:eastAsia="Times New Roman"/>
          <w:color w:val="auto"/>
          <w:szCs w:val="20"/>
        </w:rPr>
        <w:tab/>
      </w:r>
      <w:r w:rsidR="00905F4B">
        <w:rPr>
          <w:rFonts w:eastAsia="Times New Roman"/>
          <w:color w:val="auto"/>
          <w:szCs w:val="20"/>
        </w:rPr>
        <w:t>October 4</w:t>
      </w:r>
      <w:r w:rsidR="0076219B">
        <w:rPr>
          <w:rFonts w:eastAsia="Times New Roman"/>
          <w:color w:val="auto"/>
          <w:szCs w:val="20"/>
        </w:rPr>
        <w:t>, 2023</w:t>
      </w:r>
    </w:p>
    <w:p w:rsidR="00EF4558" w:rsidRPr="00EF4558" w:rsidP="00EF4558" w14:paraId="654744AD" w14:textId="77777777">
      <w:pPr>
        <w:tabs>
          <w:tab w:val="left" w:pos="5040"/>
        </w:tabs>
        <w:rPr>
          <w:rFonts w:eastAsia="Times New Roman"/>
          <w:color w:val="auto"/>
          <w:szCs w:val="20"/>
        </w:rPr>
      </w:pPr>
    </w:p>
    <w:p w:rsidR="00EF4558" w:rsidRPr="00EF4558" w:rsidP="00EF4558" w14:paraId="7A2288B2" w14:textId="77777777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</w:t>
      </w:r>
    </w:p>
    <w:p w:rsidR="000556A7" w:rsidRPr="00F60117" w:rsidP="000556A7" w14:paraId="2D815728" w14:textId="77777777">
      <w:pPr>
        <w:rPr>
          <w:rFonts w:eastAsia="Times New Roman"/>
          <w:color w:val="auto"/>
          <w:szCs w:val="20"/>
        </w:rPr>
      </w:pPr>
      <w:r w:rsidRPr="00F60117">
        <w:rPr>
          <w:rFonts w:eastAsia="Times New Roman"/>
          <w:color w:val="auto"/>
          <w:szCs w:val="20"/>
        </w:rPr>
        <w:t>Memorandum to:</w:t>
      </w:r>
      <w:r w:rsidRPr="00F60117">
        <w:rPr>
          <w:rFonts w:eastAsia="Times New Roman"/>
          <w:color w:val="auto"/>
          <w:szCs w:val="20"/>
        </w:rPr>
        <w:tab/>
      </w:r>
      <w:r>
        <w:rPr>
          <w:rFonts w:eastAsia="Times New Roman"/>
          <w:color w:val="auto"/>
          <w:szCs w:val="20"/>
        </w:rPr>
        <w:t>William E. Bestani</w:t>
      </w:r>
    </w:p>
    <w:p w:rsidR="000556A7" w:rsidRPr="00F60117" w:rsidP="000556A7" w14:paraId="55F95F10" w14:textId="7B0EDCA2">
      <w:pPr>
        <w:rPr>
          <w:rFonts w:eastAsia="Times New Roman"/>
          <w:color w:val="auto"/>
          <w:szCs w:val="20"/>
        </w:rPr>
      </w:pPr>
      <w:r w:rsidRPr="00F60117">
        <w:rPr>
          <w:rFonts w:eastAsia="Times New Roman"/>
          <w:color w:val="auto"/>
          <w:szCs w:val="20"/>
        </w:rPr>
        <w:tab/>
      </w:r>
      <w:r w:rsidRPr="00F60117">
        <w:rPr>
          <w:rFonts w:eastAsia="Times New Roman"/>
          <w:color w:val="auto"/>
          <w:szCs w:val="20"/>
        </w:rPr>
        <w:tab/>
      </w:r>
      <w:r w:rsidRPr="00F60117">
        <w:rPr>
          <w:rFonts w:eastAsia="Times New Roman"/>
          <w:color w:val="auto"/>
          <w:szCs w:val="20"/>
        </w:rPr>
        <w:tab/>
      </w:r>
      <w:r w:rsidR="007464E6">
        <w:rPr>
          <w:rFonts w:eastAsia="Times New Roman"/>
          <w:color w:val="auto"/>
          <w:szCs w:val="20"/>
        </w:rPr>
        <w:t xml:space="preserve">Senior </w:t>
      </w:r>
      <w:r>
        <w:rPr>
          <w:rFonts w:eastAsia="Times New Roman"/>
          <w:color w:val="auto"/>
          <w:szCs w:val="20"/>
        </w:rPr>
        <w:t>Policy Analyst</w:t>
      </w:r>
    </w:p>
    <w:p w:rsidR="000556A7" w:rsidP="000556A7" w14:paraId="5AC0D83B" w14:textId="77777777">
      <w:pPr>
        <w:rPr>
          <w:rFonts w:eastAsia="Times New Roman"/>
          <w:color w:val="auto"/>
          <w:szCs w:val="20"/>
        </w:rPr>
      </w:pPr>
      <w:r w:rsidRPr="00F60117">
        <w:rPr>
          <w:rFonts w:eastAsia="Times New Roman"/>
          <w:color w:val="auto"/>
          <w:szCs w:val="20"/>
        </w:rPr>
        <w:tab/>
      </w:r>
      <w:r w:rsidRPr="00F60117">
        <w:rPr>
          <w:rFonts w:eastAsia="Times New Roman"/>
          <w:color w:val="auto"/>
          <w:szCs w:val="20"/>
        </w:rPr>
        <w:tab/>
      </w:r>
      <w:r w:rsidRPr="00F60117">
        <w:rPr>
          <w:rFonts w:eastAsia="Times New Roman"/>
          <w:color w:val="auto"/>
          <w:szCs w:val="20"/>
        </w:rPr>
        <w:tab/>
      </w:r>
      <w:r>
        <w:rPr>
          <w:rFonts w:eastAsia="Times New Roman"/>
          <w:color w:val="auto"/>
          <w:szCs w:val="20"/>
        </w:rPr>
        <w:t>Office of Information and Regulatory Affairs</w:t>
      </w:r>
    </w:p>
    <w:p w:rsidR="000556A7" w:rsidP="000556A7" w14:paraId="33342D18" w14:textId="2FE57E23">
      <w:pPr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ab/>
      </w:r>
      <w:r>
        <w:rPr>
          <w:rFonts w:eastAsia="Times New Roman"/>
          <w:color w:val="auto"/>
          <w:szCs w:val="20"/>
        </w:rPr>
        <w:tab/>
      </w:r>
      <w:r>
        <w:rPr>
          <w:rFonts w:eastAsia="Times New Roman"/>
          <w:color w:val="auto"/>
          <w:szCs w:val="20"/>
        </w:rPr>
        <w:tab/>
        <w:t>Office of Management and Budget</w:t>
      </w:r>
      <w:r w:rsidR="007464E6">
        <w:rPr>
          <w:rFonts w:eastAsia="Times New Roman"/>
          <w:color w:val="auto"/>
          <w:szCs w:val="20"/>
        </w:rPr>
        <w:t xml:space="preserve"> (OMB)</w:t>
      </w:r>
    </w:p>
    <w:p w:rsidR="000556A7" w:rsidRPr="00F60117" w:rsidP="000556A7" w14:paraId="73B2CD81" w14:textId="432A08A2">
      <w:pPr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ab/>
      </w:r>
      <w:r>
        <w:rPr>
          <w:rFonts w:eastAsia="Times New Roman"/>
          <w:color w:val="auto"/>
          <w:szCs w:val="20"/>
        </w:rPr>
        <w:tab/>
      </w:r>
      <w:r>
        <w:rPr>
          <w:rFonts w:eastAsia="Times New Roman"/>
          <w:color w:val="auto"/>
          <w:szCs w:val="20"/>
        </w:rPr>
        <w:tab/>
        <w:t>Executive Office of the President</w:t>
      </w:r>
      <w:r w:rsidR="00790F21">
        <w:rPr>
          <w:rFonts w:eastAsia="Times New Roman"/>
          <w:color w:val="auto"/>
          <w:szCs w:val="20"/>
        </w:rPr>
        <w:t xml:space="preserve"> of the United States</w:t>
      </w:r>
      <w:r w:rsidRPr="00F60117">
        <w:rPr>
          <w:rFonts w:eastAsia="Times New Roman"/>
          <w:color w:val="auto"/>
          <w:szCs w:val="20"/>
        </w:rPr>
        <w:t>                          </w:t>
      </w:r>
      <w:r w:rsidRPr="00F60117">
        <w:rPr>
          <w:rFonts w:eastAsia="Times New Roman"/>
          <w:color w:val="auto"/>
          <w:szCs w:val="20"/>
        </w:rPr>
        <w:tab/>
      </w:r>
    </w:p>
    <w:p w:rsidR="000556A7" w:rsidRPr="00F60117" w:rsidP="000556A7" w14:paraId="2D82BB43" w14:textId="77777777">
      <w:pPr>
        <w:rPr>
          <w:rFonts w:eastAsia="Times New Roman"/>
          <w:color w:val="auto"/>
          <w:szCs w:val="20"/>
        </w:rPr>
      </w:pPr>
      <w:r w:rsidRPr="00F60117">
        <w:rPr>
          <w:rFonts w:eastAsia="Times New Roman"/>
          <w:color w:val="auto"/>
          <w:szCs w:val="20"/>
        </w:rPr>
        <w:t>                                    </w:t>
      </w:r>
    </w:p>
    <w:p w:rsidR="000556A7" w:rsidP="000556A7" w14:paraId="0B56B450" w14:textId="77777777">
      <w:pPr>
        <w:rPr>
          <w:rFonts w:eastAsia="Times New Roman"/>
          <w:color w:val="auto"/>
          <w:szCs w:val="20"/>
        </w:rPr>
      </w:pPr>
      <w:r w:rsidRPr="00F60117">
        <w:rPr>
          <w:rFonts w:eastAsia="Times New Roman"/>
          <w:color w:val="auto"/>
          <w:szCs w:val="20"/>
        </w:rPr>
        <w:t>From:</w:t>
      </w:r>
      <w:r w:rsidRPr="00F60117">
        <w:rPr>
          <w:rFonts w:eastAsia="Times New Roman"/>
          <w:color w:val="auto"/>
          <w:szCs w:val="20"/>
        </w:rPr>
        <w:tab/>
      </w:r>
      <w:r w:rsidRPr="00F60117">
        <w:rPr>
          <w:rFonts w:eastAsia="Times New Roman"/>
          <w:color w:val="auto"/>
          <w:szCs w:val="20"/>
        </w:rPr>
        <w:tab/>
      </w:r>
      <w:r w:rsidRPr="00F60117">
        <w:rPr>
          <w:rFonts w:eastAsia="Times New Roman"/>
          <w:color w:val="auto"/>
          <w:szCs w:val="20"/>
        </w:rPr>
        <w:tab/>
      </w:r>
      <w:r>
        <w:rPr>
          <w:rFonts w:eastAsia="Times New Roman"/>
          <w:color w:val="auto"/>
          <w:szCs w:val="20"/>
        </w:rPr>
        <w:t>Manny Cabeza</w:t>
      </w:r>
    </w:p>
    <w:p w:rsidR="000556A7" w:rsidRPr="00F60117" w:rsidP="000556A7" w14:paraId="185012AB" w14:textId="77777777">
      <w:pPr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ab/>
      </w:r>
      <w:r>
        <w:rPr>
          <w:rFonts w:eastAsia="Times New Roman"/>
          <w:color w:val="auto"/>
          <w:szCs w:val="20"/>
        </w:rPr>
        <w:tab/>
      </w:r>
      <w:r>
        <w:rPr>
          <w:rFonts w:eastAsia="Times New Roman"/>
          <w:color w:val="auto"/>
          <w:szCs w:val="20"/>
        </w:rPr>
        <w:tab/>
        <w:t>Regulatory Counsel</w:t>
      </w:r>
    </w:p>
    <w:p w:rsidR="000556A7" w:rsidP="000556A7" w14:paraId="52E8E709" w14:textId="77777777">
      <w:pPr>
        <w:rPr>
          <w:rFonts w:eastAsia="Times New Roman"/>
          <w:color w:val="auto"/>
          <w:szCs w:val="20"/>
        </w:rPr>
      </w:pPr>
      <w:r w:rsidRPr="00F60117">
        <w:rPr>
          <w:rFonts w:eastAsia="Times New Roman"/>
          <w:color w:val="auto"/>
          <w:szCs w:val="20"/>
        </w:rPr>
        <w:tab/>
      </w:r>
      <w:r w:rsidRPr="00F60117">
        <w:rPr>
          <w:rFonts w:eastAsia="Times New Roman"/>
          <w:color w:val="auto"/>
          <w:szCs w:val="20"/>
        </w:rPr>
        <w:tab/>
      </w:r>
      <w:r w:rsidRPr="00F60117">
        <w:rPr>
          <w:rFonts w:eastAsia="Times New Roman"/>
          <w:color w:val="auto"/>
          <w:szCs w:val="20"/>
        </w:rPr>
        <w:tab/>
      </w:r>
      <w:r>
        <w:rPr>
          <w:rFonts w:eastAsia="Times New Roman"/>
          <w:color w:val="auto"/>
          <w:szCs w:val="20"/>
        </w:rPr>
        <w:t>Assessments and Legislation Group</w:t>
      </w:r>
    </w:p>
    <w:p w:rsidR="000556A7" w:rsidP="000556A7" w14:paraId="4BF437F5" w14:textId="77777777">
      <w:pPr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ab/>
      </w:r>
      <w:r>
        <w:rPr>
          <w:rFonts w:eastAsia="Times New Roman"/>
          <w:color w:val="auto"/>
          <w:szCs w:val="20"/>
        </w:rPr>
        <w:tab/>
      </w:r>
      <w:r>
        <w:rPr>
          <w:rFonts w:eastAsia="Times New Roman"/>
          <w:color w:val="auto"/>
          <w:szCs w:val="20"/>
        </w:rPr>
        <w:tab/>
        <w:t>Legal Division</w:t>
      </w:r>
    </w:p>
    <w:p w:rsidR="00EF4558" w:rsidRPr="00EF4558" w:rsidP="0051769D" w14:paraId="469B9DCF" w14:textId="13980772">
      <w:pPr>
        <w:ind w:left="1440" w:firstLine="72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Federal Deposit Insurance Corporation</w:t>
      </w:r>
      <w:r w:rsidRPr="00EF4558">
        <w:rPr>
          <w:rFonts w:eastAsia="Times New Roman"/>
          <w:color w:val="auto"/>
          <w:szCs w:val="20"/>
        </w:rPr>
        <w:t> </w:t>
      </w:r>
    </w:p>
    <w:p w:rsidR="008D19B9" w:rsidP="00EF4558" w14:paraId="5B01D9E0" w14:textId="6DEB8D58">
      <w:pPr>
        <w:spacing w:before="240"/>
        <w:rPr>
          <w:rFonts w:eastAsia="Calibri"/>
          <w:color w:val="auto"/>
        </w:rPr>
      </w:pPr>
      <w:r w:rsidRPr="00EF4558">
        <w:rPr>
          <w:rFonts w:eastAsia="Calibri"/>
          <w:color w:val="auto"/>
        </w:rPr>
        <w:t xml:space="preserve">RE:  </w:t>
      </w:r>
      <w:r w:rsidR="00CB4B0E">
        <w:rPr>
          <w:rFonts w:eastAsia="Calibri"/>
          <w:color w:val="auto"/>
        </w:rPr>
        <w:t xml:space="preserve">FDIC Consumer Response Unit (CRU) - </w:t>
      </w:r>
      <w:r w:rsidR="0051769D">
        <w:rPr>
          <w:rFonts w:eastAsia="Calibri"/>
          <w:color w:val="auto"/>
        </w:rPr>
        <w:t>C</w:t>
      </w:r>
      <w:r w:rsidR="00380E8C">
        <w:rPr>
          <w:rFonts w:eastAsia="Calibri"/>
          <w:color w:val="auto"/>
        </w:rPr>
        <w:t>onsumer Direct Response</w:t>
      </w:r>
      <w:r w:rsidR="0051769D">
        <w:rPr>
          <w:rFonts w:eastAsia="Calibri"/>
          <w:color w:val="auto"/>
        </w:rPr>
        <w:t xml:space="preserve"> </w:t>
      </w:r>
      <w:r w:rsidR="002151CA">
        <w:rPr>
          <w:rFonts w:eastAsia="Calibri"/>
          <w:color w:val="auto"/>
        </w:rPr>
        <w:t>Survey</w:t>
      </w:r>
    </w:p>
    <w:p w:rsidR="003A31E1" w:rsidP="00EF4558" w14:paraId="711051BF" w14:textId="40DBEDF9">
      <w:pPr>
        <w:spacing w:before="240"/>
        <w:rPr>
          <w:rFonts w:eastAsia="Calibri"/>
          <w:color w:val="auto"/>
        </w:rPr>
      </w:pPr>
      <w:r w:rsidRPr="00264B72">
        <w:t xml:space="preserve">Under </w:t>
      </w:r>
      <w:r>
        <w:t>its “fast-track”</w:t>
      </w:r>
      <w:r w:rsidRPr="00264B72">
        <w:t xml:space="preserve"> generic clearance entitled “Occasional Qualitative Surveys” (3064-0127), the </w:t>
      </w:r>
      <w:r>
        <w:t>Federal Depo</w:t>
      </w:r>
      <w:r w:rsidR="007464E6">
        <w:t>sit Insurance Corporation (</w:t>
      </w:r>
      <w:r w:rsidRPr="00264B72">
        <w:t>FDIC</w:t>
      </w:r>
      <w:r w:rsidR="00FA6447">
        <w:t xml:space="preserve">) </w:t>
      </w:r>
      <w:r w:rsidRPr="00EF4558" w:rsidR="00FA6447">
        <w:rPr>
          <w:rFonts w:eastAsia="Calibri"/>
          <w:color w:val="auto"/>
        </w:rPr>
        <w:t>hereby</w:t>
      </w:r>
      <w:r w:rsidRPr="00EF4558" w:rsidR="00EF4558">
        <w:rPr>
          <w:rFonts w:eastAsia="Calibri"/>
          <w:color w:val="auto"/>
        </w:rPr>
        <w:t xml:space="preserve"> submits for OMB review the </w:t>
      </w:r>
      <w:r>
        <w:rPr>
          <w:rFonts w:eastAsia="Calibri"/>
          <w:color w:val="auto"/>
        </w:rPr>
        <w:t xml:space="preserve">survey </w:t>
      </w:r>
      <w:r w:rsidR="00D24551">
        <w:rPr>
          <w:rFonts w:eastAsia="Calibri"/>
          <w:color w:val="auto"/>
        </w:rPr>
        <w:t>“</w:t>
      </w:r>
      <w:r w:rsidR="0051769D">
        <w:rPr>
          <w:rFonts w:eastAsia="Calibri"/>
          <w:color w:val="auto"/>
        </w:rPr>
        <w:t>CRU Survey –</w:t>
      </w:r>
      <w:r w:rsidR="00747C38">
        <w:rPr>
          <w:rFonts w:eastAsia="Calibri"/>
          <w:color w:val="auto"/>
        </w:rPr>
        <w:t xml:space="preserve"> Direct Response Survey and Cover Letter</w:t>
      </w:r>
      <w:r w:rsidR="0051769D">
        <w:rPr>
          <w:rFonts w:eastAsia="Calibri"/>
          <w:color w:val="auto"/>
        </w:rPr>
        <w:t>.”</w:t>
      </w:r>
      <w:r w:rsidR="00294C85">
        <w:rPr>
          <w:rFonts w:eastAsia="Calibri"/>
          <w:color w:val="auto"/>
        </w:rPr>
        <w:t xml:space="preserve"> </w:t>
      </w:r>
      <w:r>
        <w:rPr>
          <w:rFonts w:eastAsia="Calibri"/>
          <w:color w:val="auto"/>
        </w:rPr>
        <w:t>Th</w:t>
      </w:r>
      <w:r w:rsidR="000B53DE">
        <w:rPr>
          <w:rFonts w:eastAsia="Calibri"/>
          <w:color w:val="auto"/>
        </w:rPr>
        <w:t xml:space="preserve">is survey </w:t>
      </w:r>
      <w:r>
        <w:rPr>
          <w:rFonts w:eastAsia="Calibri"/>
          <w:color w:val="auto"/>
        </w:rPr>
        <w:t>will</w:t>
      </w:r>
      <w:r w:rsidR="0051769D">
        <w:rPr>
          <w:rFonts w:eastAsia="Calibri"/>
          <w:color w:val="auto"/>
        </w:rPr>
        <w:t xml:space="preserve"> replace the </w:t>
      </w:r>
      <w:r w:rsidR="00790F21">
        <w:rPr>
          <w:rFonts w:eastAsia="Calibri"/>
          <w:color w:val="auto"/>
        </w:rPr>
        <w:t xml:space="preserve">current survey. The survey is sent electronically, </w:t>
      </w:r>
      <w:r w:rsidR="0051769D">
        <w:rPr>
          <w:rFonts w:eastAsia="Calibri"/>
          <w:color w:val="auto"/>
        </w:rPr>
        <w:t>after</w:t>
      </w:r>
      <w:r w:rsidR="00790F21">
        <w:rPr>
          <w:rFonts w:eastAsia="Calibri"/>
          <w:color w:val="auto"/>
        </w:rPr>
        <w:t xml:space="preserve"> the FDIC has responded to the consumer</w:t>
      </w:r>
      <w:r w:rsidR="00547132">
        <w:rPr>
          <w:rFonts w:eastAsia="Calibri"/>
          <w:color w:val="auto"/>
        </w:rPr>
        <w:t>’s specific concerns.</w:t>
      </w:r>
    </w:p>
    <w:p w:rsidR="002F3AB7" w:rsidP="00FC1FBC" w14:paraId="65562811" w14:textId="6C12F85A">
      <w:pPr>
        <w:spacing w:before="240"/>
        <w:rPr>
          <w:rFonts w:eastAsia="Times New Roman"/>
          <w:color w:val="auto"/>
          <w:szCs w:val="20"/>
        </w:rPr>
      </w:pPr>
      <w:r w:rsidRPr="00997D46">
        <w:rPr>
          <w:rFonts w:eastAsia="Times New Roman"/>
          <w:color w:val="auto"/>
          <w:szCs w:val="20"/>
        </w:rPr>
        <w:t>The</w:t>
      </w:r>
      <w:r w:rsidRPr="00EF4558">
        <w:rPr>
          <w:rFonts w:eastAsia="Times New Roman"/>
          <w:color w:val="auto"/>
          <w:szCs w:val="20"/>
        </w:rPr>
        <w:t xml:space="preserve"> FDIC recognize</w:t>
      </w:r>
      <w:r>
        <w:rPr>
          <w:rFonts w:eastAsia="Times New Roman"/>
          <w:color w:val="auto"/>
          <w:szCs w:val="20"/>
        </w:rPr>
        <w:t>s</w:t>
      </w:r>
      <w:r w:rsidRPr="00EF4558">
        <w:rPr>
          <w:rFonts w:eastAsia="Times New Roman"/>
          <w:color w:val="auto"/>
          <w:szCs w:val="20"/>
        </w:rPr>
        <w:t xml:space="preserve"> that public confidence in the bank</w:t>
      </w:r>
      <w:r>
        <w:rPr>
          <w:rFonts w:eastAsia="Times New Roman"/>
          <w:color w:val="auto"/>
          <w:szCs w:val="20"/>
        </w:rPr>
        <w:t>ing system is strengthened through t</w:t>
      </w:r>
      <w:r w:rsidR="00547132">
        <w:rPr>
          <w:rFonts w:eastAsia="Times New Roman"/>
          <w:color w:val="auto"/>
          <w:szCs w:val="20"/>
        </w:rPr>
        <w:t xml:space="preserve">he FDIC responses to the public’s questions related to the FDIC, banking laws or their specific banking concerns. </w:t>
      </w:r>
      <w:r>
        <w:rPr>
          <w:rFonts w:eastAsia="Times New Roman"/>
          <w:color w:val="auto"/>
          <w:szCs w:val="20"/>
        </w:rPr>
        <w:t xml:space="preserve">In these cases, consumers have contacted a banking regulator with a complaint or inquiry. </w:t>
      </w:r>
      <w:r w:rsidR="00747C38">
        <w:rPr>
          <w:rFonts w:eastAsia="Times New Roman"/>
          <w:color w:val="auto"/>
          <w:szCs w:val="20"/>
        </w:rPr>
        <w:t>The FDIC has responded directly to the consumer to answer their question or provide educational information.</w:t>
      </w:r>
    </w:p>
    <w:p w:rsidR="002F3AB7" w:rsidRPr="00905F4B" w:rsidP="00EF4558" w14:paraId="7D517FD1" w14:textId="4A54A9F7">
      <w:pPr>
        <w:spacing w:before="240"/>
        <w:rPr>
          <w:rFonts w:eastAsia="Calibri"/>
          <w:color w:val="auto"/>
        </w:rPr>
      </w:pPr>
      <w:r>
        <w:rPr>
          <w:rFonts w:eastAsia="Calibri"/>
          <w:color w:val="auto"/>
        </w:rPr>
        <w:t>This survey will help determine</w:t>
      </w:r>
      <w:r w:rsidR="003108A6">
        <w:rPr>
          <w:rFonts w:eastAsia="Calibri"/>
          <w:color w:val="auto"/>
        </w:rPr>
        <w:t xml:space="preserve"> why the consumer contacted the FDIC and if the FDIC response was helpful through asking separate que</w:t>
      </w:r>
      <w:r w:rsidR="00905F4B">
        <w:rPr>
          <w:rFonts w:eastAsia="Calibri"/>
          <w:color w:val="auto"/>
        </w:rPr>
        <w:t xml:space="preserve">stions. </w:t>
      </w:r>
      <w:r>
        <w:rPr>
          <w:rFonts w:eastAsia="Calibri"/>
          <w:color w:val="auto"/>
        </w:rPr>
        <w:t>After the consumer has re</w:t>
      </w:r>
      <w:r w:rsidR="003108A6">
        <w:rPr>
          <w:rFonts w:eastAsia="Calibri"/>
          <w:color w:val="auto"/>
        </w:rPr>
        <w:t xml:space="preserve">ceived their </w:t>
      </w:r>
      <w:r>
        <w:rPr>
          <w:rFonts w:eastAsia="Calibri"/>
          <w:color w:val="auto"/>
        </w:rPr>
        <w:t xml:space="preserve">response letter from the FDIC, the consumer </w:t>
      </w:r>
      <w:r w:rsidR="00061DA6">
        <w:rPr>
          <w:rFonts w:eastAsia="Calibri"/>
          <w:color w:val="auto"/>
        </w:rPr>
        <w:t xml:space="preserve">will be asked </w:t>
      </w:r>
      <w:r w:rsidR="00C07715">
        <w:rPr>
          <w:rFonts w:eastAsia="Calibri"/>
          <w:color w:val="auto"/>
        </w:rPr>
        <w:t>to voluntarily take the att</w:t>
      </w:r>
      <w:r w:rsidR="00957AB2">
        <w:rPr>
          <w:rFonts w:eastAsia="Calibri"/>
          <w:color w:val="auto"/>
        </w:rPr>
        <w:t>ached survey consisting of six</w:t>
      </w:r>
      <w:r w:rsidR="00C07715">
        <w:rPr>
          <w:rFonts w:eastAsia="Calibri"/>
          <w:color w:val="auto"/>
        </w:rPr>
        <w:t xml:space="preserve"> questions</w:t>
      </w:r>
      <w:r>
        <w:rPr>
          <w:rFonts w:eastAsia="Calibri"/>
          <w:color w:val="auto"/>
        </w:rPr>
        <w:t xml:space="preserve"> and room for comments at the end</w:t>
      </w:r>
      <w:r w:rsidR="00C07715">
        <w:rPr>
          <w:rFonts w:eastAsia="Calibri"/>
          <w:color w:val="auto"/>
        </w:rPr>
        <w:t xml:space="preserve">. </w:t>
      </w:r>
      <w:r w:rsidR="003108A6">
        <w:t xml:space="preserve">The </w:t>
      </w:r>
      <w:r>
        <w:t>reference number/closed date will automatically populate from the closed complaint EPIC/Salesforce record.</w:t>
      </w:r>
    </w:p>
    <w:p w:rsidR="006135A6" w:rsidP="00EF4558" w14:paraId="42BFC41F" w14:textId="2D093396">
      <w:pPr>
        <w:spacing w:before="240"/>
        <w:rPr>
          <w:rFonts w:eastAsia="Calibri"/>
          <w:color w:val="auto"/>
        </w:rPr>
      </w:pPr>
      <w:r>
        <w:t>Based on past experience collecting customer satisfaction metrics, the FDIC estimates that th</w:t>
      </w:r>
      <w:r w:rsidR="003108A6">
        <w:t>ere will be approximately 2</w:t>
      </w:r>
      <w:r w:rsidR="002F3AB7">
        <w:t xml:space="preserve">00 </w:t>
      </w:r>
      <w:r>
        <w:t>responses in total. FDIC estimates it will take each r</w:t>
      </w:r>
      <w:r w:rsidR="002F3AB7">
        <w:t xml:space="preserve">espondent approximately 2 </w:t>
      </w:r>
      <w:r>
        <w:t>minutes to respond to the survey.</w:t>
      </w:r>
    </w:p>
    <w:p w:rsidR="00EF4558" w:rsidP="00EF4558" w14:paraId="1C20A1C3" w14:textId="45067922"/>
    <w:p w:rsidR="000A36C5" w:rsidP="00EF4558" w14:paraId="2AEA7AED" w14:textId="77777777">
      <w:r>
        <w:t>Estimated burden:</w:t>
      </w:r>
    </w:p>
    <w:p w:rsidR="000A36C5" w:rsidP="00EF4558" w14:paraId="007A9BB6" w14:textId="77777777"/>
    <w:p w:rsidR="00FC1FBC" w:rsidRPr="006D7A10" w:rsidP="004A2C97" w14:paraId="7AB43EC6" w14:textId="662AE15F">
      <w:pPr>
        <w:rPr>
          <w:i/>
        </w:rPr>
      </w:pPr>
      <w:r>
        <w:tab/>
      </w:r>
      <w:r w:rsidR="004A2C97">
        <w:tab/>
      </w:r>
      <w:r w:rsidR="00D24551">
        <w:t xml:space="preserve">Annual </w:t>
      </w:r>
      <w:r w:rsidRPr="006D7A10">
        <w:rPr>
          <w:rFonts w:ascii="Times New Roman Italic" w:hAnsi="Times New Roman Italic"/>
          <w:i/>
        </w:rPr>
        <w:t xml:space="preserve">Estimated Number of </w:t>
      </w:r>
      <w:r>
        <w:rPr>
          <w:rFonts w:ascii="Times New Roman Italic" w:hAnsi="Times New Roman Italic"/>
          <w:i/>
        </w:rPr>
        <w:t>respondents</w:t>
      </w:r>
      <w:r w:rsidRPr="006D7A10">
        <w:rPr>
          <w:rFonts w:ascii="Times New Roman Italic" w:hAnsi="Times New Roman Italic"/>
          <w:i/>
        </w:rPr>
        <w:t>:</w:t>
      </w:r>
      <w:r w:rsidRPr="006D7A10">
        <w:rPr>
          <w:i/>
        </w:rPr>
        <w:t xml:space="preserve">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905F4B">
        <w:rPr>
          <w:i/>
        </w:rPr>
        <w:t>200</w:t>
      </w:r>
    </w:p>
    <w:p w:rsidR="00FC1FBC" w:rsidRPr="006D7A10" w:rsidP="00FC1FBC" w14:paraId="6FD931D5" w14:textId="271C9AFE">
      <w:pPr>
        <w:rPr>
          <w:i/>
        </w:rPr>
      </w:pPr>
      <w:r w:rsidRPr="006D7A10">
        <w:rPr>
          <w:rFonts w:ascii="Times New Roman Italic" w:hAnsi="Times New Roman Italic"/>
          <w:i/>
        </w:rPr>
        <w:tab/>
      </w:r>
      <w:r>
        <w:rPr>
          <w:rFonts w:ascii="Times New Roman Italic" w:hAnsi="Times New Roman Italic"/>
          <w:i/>
        </w:rPr>
        <w:tab/>
      </w:r>
      <w:r w:rsidRPr="006D7A10">
        <w:rPr>
          <w:rFonts w:ascii="Times New Roman Italic" w:hAnsi="Times New Roman Italic"/>
          <w:i/>
        </w:rPr>
        <w:t xml:space="preserve">Estimated Time per </w:t>
      </w:r>
      <w:r>
        <w:rPr>
          <w:rFonts w:ascii="Times New Roman Italic" w:hAnsi="Times New Roman Italic"/>
          <w:i/>
        </w:rPr>
        <w:t>response</w:t>
      </w:r>
      <w:r w:rsidRPr="006D7A10">
        <w:rPr>
          <w:rFonts w:ascii="Times New Roman Italic" w:hAnsi="Times New Roman Italic"/>
          <w:i/>
        </w:rPr>
        <w:t>:</w:t>
      </w:r>
      <w:r w:rsidRPr="006D7A10"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4424D8">
        <w:rPr>
          <w:i/>
          <w:u w:val="single"/>
        </w:rPr>
        <w:t xml:space="preserve">2 </w:t>
      </w:r>
      <w:r w:rsidRPr="005B4878">
        <w:rPr>
          <w:i/>
          <w:u w:val="single"/>
        </w:rPr>
        <w:t>minutes</w:t>
      </w:r>
    </w:p>
    <w:p w:rsidR="00FC1FBC" w:rsidRPr="006D7A10" w:rsidP="00FC1FBC" w14:paraId="7A59A027" w14:textId="2ABC41E2">
      <w:pPr>
        <w:rPr>
          <w:rFonts w:eastAsia="Times New Roman"/>
          <w:i/>
          <w:color w:val="auto"/>
          <w:szCs w:val="20"/>
        </w:rPr>
      </w:pPr>
      <w:r w:rsidRPr="006D7A10">
        <w:rPr>
          <w:rFonts w:ascii="Times New Roman Italic" w:hAnsi="Times New Roman Italic"/>
          <w:i/>
        </w:rPr>
        <w:tab/>
      </w:r>
      <w:r>
        <w:rPr>
          <w:rFonts w:ascii="Times New Roman Italic" w:hAnsi="Times New Roman Italic"/>
          <w:i/>
        </w:rPr>
        <w:tab/>
      </w:r>
      <w:r w:rsidRPr="006D7A10">
        <w:rPr>
          <w:rFonts w:ascii="Times New Roman Italic" w:hAnsi="Times New Roman Italic"/>
          <w:i/>
        </w:rPr>
        <w:t>Total Estimated Annual Burden:</w:t>
      </w:r>
      <w:r w:rsidRPr="006D7A10">
        <w:rPr>
          <w:i/>
        </w:rPr>
        <w:t xml:space="preserve">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4424D8">
        <w:rPr>
          <w:i/>
        </w:rPr>
        <w:t>7</w:t>
      </w:r>
      <w:r w:rsidRPr="006D7A10" w:rsidR="00816815">
        <w:rPr>
          <w:i/>
        </w:rPr>
        <w:t xml:space="preserve"> </w:t>
      </w:r>
      <w:r w:rsidRPr="006D7A10">
        <w:rPr>
          <w:i/>
        </w:rPr>
        <w:t>hours</w:t>
      </w:r>
    </w:p>
    <w:p w:rsidR="00FC1FBC" w:rsidP="00EF4558" w14:paraId="5B61E809" w14:textId="77777777"/>
    <w:p w:rsidR="009E4BF9" w:rsidP="00EF4558" w14:paraId="560F8273" w14:textId="4E47B02B">
      <w:pPr>
        <w:spacing w:before="20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T</w:t>
      </w:r>
      <w:r w:rsidR="005712A5">
        <w:rPr>
          <w:rFonts w:eastAsia="Times New Roman"/>
          <w:color w:val="auto"/>
          <w:szCs w:val="20"/>
        </w:rPr>
        <w:t xml:space="preserve">otal estimated </w:t>
      </w:r>
      <w:r w:rsidR="000A36C5">
        <w:rPr>
          <w:rFonts w:eastAsia="Times New Roman"/>
          <w:color w:val="auto"/>
          <w:szCs w:val="20"/>
        </w:rPr>
        <w:t xml:space="preserve">annual </w:t>
      </w:r>
      <w:r w:rsidR="005712A5">
        <w:rPr>
          <w:rFonts w:eastAsia="Times New Roman"/>
          <w:color w:val="auto"/>
          <w:szCs w:val="20"/>
        </w:rPr>
        <w:t xml:space="preserve">burden for </w:t>
      </w:r>
      <w:r w:rsidR="000A36C5">
        <w:rPr>
          <w:rFonts w:eastAsia="Times New Roman"/>
          <w:color w:val="auto"/>
          <w:szCs w:val="20"/>
        </w:rPr>
        <w:t>this</w:t>
      </w:r>
      <w:r>
        <w:rPr>
          <w:rFonts w:eastAsia="Times New Roman"/>
          <w:color w:val="auto"/>
          <w:szCs w:val="20"/>
        </w:rPr>
        <w:t xml:space="preserve"> collection of this information is </w:t>
      </w:r>
      <w:r w:rsidR="004424D8">
        <w:rPr>
          <w:rFonts w:eastAsia="Times New Roman"/>
          <w:color w:val="auto"/>
          <w:szCs w:val="20"/>
        </w:rPr>
        <w:t>7</w:t>
      </w:r>
      <w:r w:rsidR="00816815">
        <w:rPr>
          <w:rFonts w:eastAsia="Times New Roman"/>
          <w:color w:val="auto"/>
          <w:szCs w:val="20"/>
        </w:rPr>
        <w:t xml:space="preserve"> </w:t>
      </w:r>
      <w:r w:rsidR="005712A5">
        <w:rPr>
          <w:rFonts w:eastAsia="Times New Roman"/>
          <w:color w:val="auto"/>
          <w:szCs w:val="20"/>
        </w:rPr>
        <w:t>hours.</w:t>
      </w:r>
    </w:p>
    <w:p w:rsidR="004424D8" w:rsidRPr="00905F4B" w:rsidP="004424D8" w14:paraId="660FDB98" w14:textId="6DFE98C2">
      <w:pPr>
        <w:spacing w:before="200"/>
        <w:rPr>
          <w:rFonts w:eastAsia="Times New Roman"/>
          <w:color w:val="auto"/>
        </w:rPr>
      </w:pPr>
      <w:r w:rsidRPr="00EF4558">
        <w:rPr>
          <w:rFonts w:eastAsia="Times New Roman"/>
          <w:color w:val="auto"/>
          <w:szCs w:val="20"/>
        </w:rPr>
        <w:t>If you have any questions, please let me know.  Thank you for your consideration</w:t>
      </w:r>
      <w:r w:rsidRPr="00EF4558">
        <w:rPr>
          <w:rFonts w:eastAsia="Times New Roman"/>
          <w:color w:val="auto"/>
          <w:szCs w:val="20"/>
        </w:rPr>
        <w:t>.</w:t>
      </w:r>
      <w:bookmarkStart w:id="0" w:name="_GoBack"/>
      <w:bookmarkEnd w:id="0"/>
      <w:r>
        <w:t>.</w:t>
      </w:r>
    </w:p>
    <w:p w:rsidR="00BF402E" w14:paraId="72B86B24" w14:textId="77777777">
      <w:pPr>
        <w:spacing w:after="200"/>
        <w:rPr>
          <w:rFonts w:eastAsia="Times New Roman"/>
          <w:color w:val="auto"/>
          <w:sz w:val="20"/>
          <w:lang w:bidi="x-none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872" w:right="1440" w:bottom="1440" w:left="1440" w:header="432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Italic">
    <w:panose1 w:val="02020503050405090304"/>
    <w:charset w:val="00"/>
    <w:family w:val="auto"/>
    <w:pitch w:val="variable"/>
    <w:sig w:usb0="A00002EF" w:usb1="4000207B" w:usb2="00000000" w:usb3="00000000" w:csb0="FFFFFF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4918" w14:paraId="4E2E889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4918" w14:paraId="46A5D5A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4918" w14:paraId="0DDC5CA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402E" w14:paraId="70D85739" w14:textId="232EC9E7">
    <w:pPr>
      <w:pStyle w:val="Header1"/>
    </w:pPr>
  </w:p>
  <w:p w:rsidR="00BF402E" w14:paraId="3697278F" w14:textId="77777777">
    <w:pPr>
      <w:pStyle w:val="Header1"/>
    </w:pPr>
  </w:p>
  <w:p w:rsidR="00BF402E" w14:paraId="5FD56A8B" w14:textId="77777777">
    <w:pPr>
      <w:pStyle w:val="Header1"/>
    </w:pPr>
  </w:p>
  <w:p w:rsidR="00BF402E" w14:paraId="19654F48" w14:textId="77777777">
    <w:pPr>
      <w:pStyle w:val="Header1"/>
    </w:pPr>
  </w:p>
  <w:p w:rsidR="00BF402E" w14:paraId="5E9F4F80" w14:textId="77777777">
    <w:pPr>
      <w:pStyle w:val="Header1"/>
    </w:pPr>
  </w:p>
  <w:p w:rsidR="00BF402E" w14:paraId="20B9D33E" w14:textId="77777777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9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77777777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2049" style="width:196pt;height:21.6pt;margin-top:1in;margin-left:64.7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3120" filled="f" stroked="f">
              <v:stroke joinstyle="round"/>
              <v:path arrowok="t"/>
              <v:textbox inset="3pt,3pt,3pt,3pt">
                <w:txbxContent>
                  <w:p w:rsidR="00BF402E" w14:paraId="3F332B85" w14:textId="77777777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8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77777777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2050" style="width:116pt;height:20pt;margin-top:1in;margin-left:417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1072" filled="f" stroked="f">
              <v:stroke joinstyle="round"/>
              <v:path arrowok="t"/>
              <v:textbox inset="3pt,3pt,3pt,3pt">
                <w:txbxContent>
                  <w:p w:rsidR="00BF402E" w14:paraId="4C77F3A5" w14:textId="77777777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402E" w14:paraId="099ED24F" w14:textId="2686A36B">
    <w:pPr>
      <w:pStyle w:val="Header1"/>
    </w:pPr>
  </w:p>
  <w:p w:rsidR="00BF402E" w14:paraId="2CF6CCFC" w14:textId="77777777">
    <w:pPr>
      <w:pStyle w:val="Header1"/>
    </w:pPr>
  </w:p>
  <w:p w:rsidR="00BF402E" w14:paraId="1322A070" w14:textId="77777777">
    <w:pPr>
      <w:pStyle w:val="Header1"/>
    </w:pPr>
  </w:p>
  <w:p w:rsidR="00BF402E" w14:paraId="3271A7B4" w14:textId="77777777">
    <w:pPr>
      <w:pStyle w:val="Header1"/>
    </w:pPr>
  </w:p>
  <w:p w:rsidR="00BF402E" w14:paraId="4D3B7503" w14:textId="77777777">
    <w:pPr>
      <w:pStyle w:val="Header1"/>
    </w:pPr>
  </w:p>
  <w:p w:rsidR="00BF402E" w14:paraId="7D04DF02" w14:textId="77777777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77777777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2051" style="width:196pt;height:21.6pt;margin-top:1in;margin-left:64.7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stroke joinstyle="round"/>
              <v:path arrowok="t"/>
              <v:textbox inset="3pt,3pt,3pt,3pt">
                <w:txbxContent>
                  <w:p w:rsidR="00BF402E" w14:paraId="72E4490E" w14:textId="77777777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01412C22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2052" style="width:116pt;height:20pt;margin-top:1in;margin-left:417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stroke joinstyle="round"/>
              <v:path arrowok="t"/>
              <v:textbox inset="3pt,3pt,3pt,3pt">
                <w:txbxContent>
                  <w:p w:rsidR="00BF402E" w14:paraId="63526FDE" w14:textId="01412C22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402E" w14:paraId="18FF5672" w14:textId="55047197">
    <w:pPr>
      <w:spacing w:line="203" w:lineRule="auto"/>
    </w:pPr>
  </w:p>
  <w:p w:rsidR="00BF402E" w14:paraId="16A40C36" w14:textId="77777777">
    <w:pPr>
      <w:spacing w:line="203" w:lineRule="auto"/>
    </w:pPr>
  </w:p>
  <w:p w:rsidR="00BF402E" w14:paraId="2E754152" w14:textId="77777777">
    <w:pPr>
      <w:pStyle w:val="Header1"/>
      <w:rPr>
        <w:rFonts w:ascii="Arial Bold" w:hAnsi="Arial Bold"/>
      </w:rPr>
    </w:pPr>
  </w:p>
  <w:p w:rsidR="00BF402E" w14:paraId="6357A820" w14:textId="77777777">
    <w:pPr>
      <w:pStyle w:val="Header1"/>
      <w:rPr>
        <w:rFonts w:ascii="Arial Bold" w:hAnsi="Arial Bold"/>
      </w:rPr>
    </w:pPr>
  </w:p>
  <w:p w:rsidR="00BF402E" w14:paraId="34D9BC73" w14:textId="77777777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822960</wp:posOffset>
              </wp:positionH>
              <wp:positionV relativeFrom="page">
                <wp:posOffset>676910</wp:posOffset>
              </wp:positionV>
              <wp:extent cx="3187700" cy="139700"/>
              <wp:effectExtent l="3810" t="635" r="0" b="2540"/>
              <wp:wrapNone/>
              <wp:docPr id="4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31877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77777777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Bold" w:hAnsi="Arial Bold"/>
                              <w:sz w:val="20"/>
                            </w:rPr>
                            <w:t>Federal Deposit Insurance Corporation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2053" style="width:251pt;height:11pt;margin-top:53.3pt;margin-left:64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9024" filled="f" stroked="f">
              <v:stroke joinstyle="round"/>
              <v:path arrowok="t"/>
              <v:textbox inset="0,0,0,0">
                <w:txbxContent>
                  <w:p w:rsidR="00BF402E" w14:paraId="7DD52500" w14:textId="77777777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Bold" w:hAnsi="Arial Bold"/>
                        <w:sz w:val="20"/>
                      </w:rPr>
                      <w:t>Federal Deposit Insurance Corporation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895985</wp:posOffset>
              </wp:positionH>
              <wp:positionV relativeFrom="page">
                <wp:posOffset>1005840</wp:posOffset>
              </wp:positionV>
              <wp:extent cx="5897880" cy="0"/>
              <wp:effectExtent l="10160" t="5715" r="6985" b="13335"/>
              <wp:wrapNone/>
              <wp:docPr id="3" name="Line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7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2054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-251646976" from="70.55pt,79.2pt" to="534.95pt,79.2pt"/>
          </w:pict>
        </mc:Fallback>
      </mc:AlternateContent>
    </w:r>
    <w:r>
      <w:rPr>
        <w:noProof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266700</wp:posOffset>
          </wp:positionV>
          <wp:extent cx="914400" cy="368300"/>
          <wp:effectExtent l="19050" t="19050" r="19050" b="12700"/>
          <wp:wrapNone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>
                    <a:picLocks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683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round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822960</wp:posOffset>
              </wp:positionH>
              <wp:positionV relativeFrom="page">
                <wp:posOffset>822325</wp:posOffset>
              </wp:positionV>
              <wp:extent cx="3578860" cy="137160"/>
              <wp:effectExtent l="3810" t="3175" r="0" b="2540"/>
              <wp:wrapNone/>
              <wp:docPr id="2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357886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77777777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2055" style="width:281.8pt;height:10.8pt;margin-top:64.75pt;margin-left:64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3904" stroked="f">
              <v:stroke joinstyle="round"/>
              <v:path arrowok="t"/>
              <v:textbox inset="0,0,0,0">
                <w:txbxContent>
                  <w:p w:rsidR="00BF402E" w14:paraId="1D7C0C0A" w14:textId="77777777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4297680</wp:posOffset>
              </wp:positionH>
              <wp:positionV relativeFrom="page">
                <wp:posOffset>840740</wp:posOffset>
              </wp:positionV>
              <wp:extent cx="2573020" cy="137160"/>
              <wp:effectExtent l="1905" t="2540" r="0" b="3175"/>
              <wp:wrapNone/>
              <wp:docPr id="1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257302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77777777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2056" style="width:202.6pt;height:10.8pt;margin-top:66.2pt;margin-left:338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1856" stroked="f">
              <v:stroke joinstyle="round"/>
              <v:path arrowok="t"/>
              <v:textbox inset="0,0,0,0">
                <w:txbxContent>
                  <w:p w:rsidR="00BF402E" w14:paraId="3E570571" w14:textId="77777777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AD6F3D"/>
    <w:multiLevelType w:val="hybridMultilevel"/>
    <w:tmpl w:val="D66EECFA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embedSystemFonts/>
  <w:bordersDoNotSurroundHeader/>
  <w:bordersDoNotSurroundFooter/>
  <w:proofState w:spelling="clean" w:grammar="clean"/>
  <w:stylePaneFormatFilter w:val="2801" w:allStyles="1" w:alternateStyleNames="0" w:clearFormatting="0" w:customStyles="0" w:directFormattingOnNumbering="0" w:directFormattingOnParagraphs="0" w:directFormattingOnRuns="0" w:directFormattingOnTables="1" w:headingStyles="0" w:latentStyles="0" w:numberingStyles="0" w:stylesInUse="0" w:tableStyles="0" w:top3HeadingStyles="1" w:visibleStyl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EmbedSmartTags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EF"/>
    <w:rsid w:val="00041821"/>
    <w:rsid w:val="000556A7"/>
    <w:rsid w:val="00061DA6"/>
    <w:rsid w:val="00091AAF"/>
    <w:rsid w:val="000A1EA8"/>
    <w:rsid w:val="000A36C5"/>
    <w:rsid w:val="000B53DE"/>
    <w:rsid w:val="000B59D1"/>
    <w:rsid w:val="001011DA"/>
    <w:rsid w:val="0012079F"/>
    <w:rsid w:val="00124D94"/>
    <w:rsid w:val="0018506F"/>
    <w:rsid w:val="001A2298"/>
    <w:rsid w:val="001B770C"/>
    <w:rsid w:val="001C77DF"/>
    <w:rsid w:val="002151CA"/>
    <w:rsid w:val="00217C61"/>
    <w:rsid w:val="00234034"/>
    <w:rsid w:val="00264B72"/>
    <w:rsid w:val="00270E22"/>
    <w:rsid w:val="00294C85"/>
    <w:rsid w:val="002969EF"/>
    <w:rsid w:val="002A06D5"/>
    <w:rsid w:val="002F3AB7"/>
    <w:rsid w:val="003108A6"/>
    <w:rsid w:val="00360D9B"/>
    <w:rsid w:val="00380E8C"/>
    <w:rsid w:val="003A31E1"/>
    <w:rsid w:val="003D321B"/>
    <w:rsid w:val="003E0A8A"/>
    <w:rsid w:val="00423511"/>
    <w:rsid w:val="004424D8"/>
    <w:rsid w:val="00471558"/>
    <w:rsid w:val="004A2C97"/>
    <w:rsid w:val="004A3101"/>
    <w:rsid w:val="004A49E7"/>
    <w:rsid w:val="004B00C8"/>
    <w:rsid w:val="004D08A6"/>
    <w:rsid w:val="0051769D"/>
    <w:rsid w:val="00547132"/>
    <w:rsid w:val="005523B4"/>
    <w:rsid w:val="005712A5"/>
    <w:rsid w:val="00572D23"/>
    <w:rsid w:val="00592AE6"/>
    <w:rsid w:val="005B4878"/>
    <w:rsid w:val="005D207B"/>
    <w:rsid w:val="005E7621"/>
    <w:rsid w:val="006135A6"/>
    <w:rsid w:val="006150BA"/>
    <w:rsid w:val="0062607F"/>
    <w:rsid w:val="00632F3C"/>
    <w:rsid w:val="00634775"/>
    <w:rsid w:val="006A3CDA"/>
    <w:rsid w:val="006D7A10"/>
    <w:rsid w:val="00737C13"/>
    <w:rsid w:val="00744169"/>
    <w:rsid w:val="00745BC5"/>
    <w:rsid w:val="007464E6"/>
    <w:rsid w:val="00747C38"/>
    <w:rsid w:val="00752659"/>
    <w:rsid w:val="0076219B"/>
    <w:rsid w:val="007668E0"/>
    <w:rsid w:val="00790F21"/>
    <w:rsid w:val="007C7CD8"/>
    <w:rsid w:val="007D3106"/>
    <w:rsid w:val="007E6ADD"/>
    <w:rsid w:val="00807BE8"/>
    <w:rsid w:val="00816815"/>
    <w:rsid w:val="008231A1"/>
    <w:rsid w:val="008237A1"/>
    <w:rsid w:val="00823B25"/>
    <w:rsid w:val="0084705D"/>
    <w:rsid w:val="008C32FF"/>
    <w:rsid w:val="008D19B9"/>
    <w:rsid w:val="008D23B2"/>
    <w:rsid w:val="008D303D"/>
    <w:rsid w:val="00905F4B"/>
    <w:rsid w:val="00914AC6"/>
    <w:rsid w:val="009318CA"/>
    <w:rsid w:val="00936FDF"/>
    <w:rsid w:val="00957AB2"/>
    <w:rsid w:val="00977F67"/>
    <w:rsid w:val="00995B1D"/>
    <w:rsid w:val="00997D46"/>
    <w:rsid w:val="009A28D8"/>
    <w:rsid w:val="009B2F12"/>
    <w:rsid w:val="009B321B"/>
    <w:rsid w:val="009E4BF9"/>
    <w:rsid w:val="009F7DE9"/>
    <w:rsid w:val="00A1338E"/>
    <w:rsid w:val="00A21AFE"/>
    <w:rsid w:val="00A34542"/>
    <w:rsid w:val="00A926A1"/>
    <w:rsid w:val="00AA3AA0"/>
    <w:rsid w:val="00B61B73"/>
    <w:rsid w:val="00B947CC"/>
    <w:rsid w:val="00BA4D29"/>
    <w:rsid w:val="00BC7FFB"/>
    <w:rsid w:val="00BF402E"/>
    <w:rsid w:val="00C07715"/>
    <w:rsid w:val="00C33312"/>
    <w:rsid w:val="00C44918"/>
    <w:rsid w:val="00CB4B0E"/>
    <w:rsid w:val="00D2432A"/>
    <w:rsid w:val="00D24551"/>
    <w:rsid w:val="00D43735"/>
    <w:rsid w:val="00D91F61"/>
    <w:rsid w:val="00DC6037"/>
    <w:rsid w:val="00DD719C"/>
    <w:rsid w:val="00DF0133"/>
    <w:rsid w:val="00E07CD5"/>
    <w:rsid w:val="00E21631"/>
    <w:rsid w:val="00E64FC7"/>
    <w:rsid w:val="00EA3165"/>
    <w:rsid w:val="00EA4629"/>
    <w:rsid w:val="00EC7D3E"/>
    <w:rsid w:val="00ED2B9D"/>
    <w:rsid w:val="00EF4558"/>
    <w:rsid w:val="00F06A97"/>
    <w:rsid w:val="00F21751"/>
    <w:rsid w:val="00F36314"/>
    <w:rsid w:val="00F46D50"/>
    <w:rsid w:val="00F529DB"/>
    <w:rsid w:val="00F60117"/>
    <w:rsid w:val="00F62A6F"/>
    <w:rsid w:val="00FA6447"/>
    <w:rsid w:val="00FB42CE"/>
    <w:rsid w:val="00FC1FBC"/>
    <w:rsid w:val="00FE0332"/>
    <w:rsid w:val="00FF6C5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14:docId w14:val="1F86D8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592A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FreeForm">
    <w:name w:val="Free Form"/>
    <w:rPr>
      <w:rFonts w:eastAsia="ヒラギノ角ゴ Pro W3"/>
      <w:color w:val="000000"/>
    </w:rPr>
  </w:style>
  <w:style w:type="character" w:customStyle="1" w:styleId="Heading1Char">
    <w:name w:val="Heading 1 Char"/>
    <w:link w:val="Heading1"/>
    <w:rsid w:val="00592AE6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locked/>
    <w:rsid w:val="00E64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4FC7"/>
    <w:rPr>
      <w:rFonts w:ascii="Tahoma" w:eastAsia="ヒラギノ角ゴ Pro W3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locked/>
    <w:rsid w:val="001011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011DA"/>
    <w:rPr>
      <w:rFonts w:eastAsia="ヒラギノ角ゴ Pro W3"/>
      <w:color w:val="000000"/>
      <w:sz w:val="24"/>
      <w:szCs w:val="24"/>
    </w:rPr>
  </w:style>
  <w:style w:type="character" w:styleId="CommentReference">
    <w:name w:val="annotation reference"/>
    <w:basedOn w:val="DefaultParagraphFont"/>
    <w:locked/>
    <w:rsid w:val="00FC1FB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FC1F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1FBC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FC1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1FBC"/>
    <w:rPr>
      <w:rFonts w:eastAsia="ヒラギノ角ゴ Pro W3"/>
      <w:b/>
      <w:bCs/>
      <w:color w:val="000000"/>
    </w:rPr>
  </w:style>
  <w:style w:type="paragraph" w:styleId="Revision">
    <w:name w:val="Revision"/>
    <w:hidden/>
    <w:uiPriority w:val="99"/>
    <w:semiHidden/>
    <w:rsid w:val="00ED2B9D"/>
    <w:rPr>
      <w:rFonts w:eastAsia="ヒラギノ角ゴ Pro W3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42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pixelsPerInch w:val="72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2023-10-04T18:24:00Z</dcterms:created>
  <dcterms:modified xsi:type="dcterms:W3CDTF">2023-10-04T18:24:00Z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e8ab8c-433c-4394-a4fb-cd2d5c4d0a5e_ActionId">
    <vt:lpwstr>92c9fd74-a822-43ab-b26d-12d254b262bb</vt:lpwstr>
  </property>
  <property fmtid="{D5CDD505-2E9C-101B-9397-08002B2CF9AE}" pid="3" name="MSIP_Label_3be8ab8c-433c-4394-a4fb-cd2d5c4d0a5e_ContentBits">
    <vt:lpwstr>0</vt:lpwstr>
  </property>
  <property fmtid="{D5CDD505-2E9C-101B-9397-08002B2CF9AE}" pid="4" name="MSIP_Label_3be8ab8c-433c-4394-a4fb-cd2d5c4d0a5e_Enabled">
    <vt:lpwstr>true</vt:lpwstr>
  </property>
  <property fmtid="{D5CDD505-2E9C-101B-9397-08002B2CF9AE}" pid="5" name="MSIP_Label_3be8ab8c-433c-4394-a4fb-cd2d5c4d0a5e_Method">
    <vt:lpwstr>Privileged</vt:lpwstr>
  </property>
  <property fmtid="{D5CDD505-2E9C-101B-9397-08002B2CF9AE}" pid="6" name="MSIP_Label_3be8ab8c-433c-4394-a4fb-cd2d5c4d0a5e_Name">
    <vt:lpwstr>None</vt:lpwstr>
  </property>
  <property fmtid="{D5CDD505-2E9C-101B-9397-08002B2CF9AE}" pid="7" name="MSIP_Label_3be8ab8c-433c-4394-a4fb-cd2d5c4d0a5e_SetDate">
    <vt:lpwstr>2023-10-04T18:24:43Z</vt:lpwstr>
  </property>
  <property fmtid="{D5CDD505-2E9C-101B-9397-08002B2CF9AE}" pid="8" name="MSIP_Label_3be8ab8c-433c-4394-a4fb-cd2d5c4d0a5e_SiteId">
    <vt:lpwstr>26c83bc9-31c1-4d77-a523-0816095aba31</vt:lpwstr>
  </property>
</Properties>
</file>