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F402E" w14:paraId="297AD7DA" w14:textId="77777777"/>
    <w:p w:rsidR="00EF4558" w:rsidRPr="00EF4558" w:rsidP="00EF4558" w14:paraId="68B7911F" w14:textId="4B2D97A5">
      <w:pPr>
        <w:tabs>
          <w:tab w:val="left" w:pos="5040"/>
        </w:tabs>
        <w:rPr>
          <w:rFonts w:eastAsia="Times New Roman"/>
          <w:color w:val="auto"/>
          <w:szCs w:val="20"/>
        </w:rPr>
      </w:pPr>
      <w:r w:rsidRPr="00EF4558">
        <w:rPr>
          <w:rFonts w:eastAsia="Times New Roman"/>
          <w:color w:val="auto"/>
          <w:szCs w:val="20"/>
        </w:rPr>
        <w:tab/>
      </w:r>
      <w:r w:rsidRPr="00EF4558">
        <w:rPr>
          <w:rFonts w:eastAsia="Times New Roman"/>
          <w:color w:val="auto"/>
          <w:szCs w:val="20"/>
        </w:rPr>
        <w:tab/>
      </w:r>
      <w:r w:rsidR="00BA09E2">
        <w:rPr>
          <w:rFonts w:eastAsia="Times New Roman"/>
          <w:color w:val="auto"/>
          <w:szCs w:val="20"/>
        </w:rPr>
        <w:t>August 19, 2024</w:t>
      </w:r>
    </w:p>
    <w:p w:rsidR="00EF4558" w:rsidRPr="00EF4558" w:rsidP="00EF4558" w14:paraId="654744AD" w14:textId="77777777">
      <w:pPr>
        <w:tabs>
          <w:tab w:val="left" w:pos="5040"/>
        </w:tabs>
        <w:rPr>
          <w:rFonts w:eastAsia="Times New Roman"/>
          <w:color w:val="auto"/>
          <w:szCs w:val="20"/>
        </w:rPr>
      </w:pPr>
    </w:p>
    <w:p w:rsidR="00EF4558" w:rsidRPr="00EF4558" w:rsidP="00EF4558" w14:paraId="7A2288B2" w14:textId="77777777">
      <w:pPr>
        <w:rPr>
          <w:rFonts w:eastAsia="Times New Roman"/>
          <w:color w:val="auto"/>
          <w:szCs w:val="20"/>
        </w:rPr>
      </w:pPr>
      <w:r w:rsidRPr="00EF4558">
        <w:rPr>
          <w:rFonts w:eastAsia="Times New Roman"/>
          <w:color w:val="auto"/>
          <w:szCs w:val="20"/>
        </w:rPr>
        <w:t> </w:t>
      </w:r>
    </w:p>
    <w:p w:rsidR="000556A7" w:rsidRPr="00F60117" w:rsidP="000556A7" w14:paraId="2D815728" w14:textId="77777777">
      <w:pPr>
        <w:rPr>
          <w:rFonts w:eastAsia="Times New Roman"/>
          <w:color w:val="auto"/>
          <w:szCs w:val="20"/>
        </w:rPr>
      </w:pPr>
      <w:r w:rsidRPr="00F60117">
        <w:rPr>
          <w:rFonts w:eastAsia="Times New Roman"/>
          <w:color w:val="auto"/>
          <w:szCs w:val="20"/>
        </w:rPr>
        <w:t>Memorandum to:</w:t>
      </w:r>
      <w:r w:rsidRPr="00F60117">
        <w:rPr>
          <w:rFonts w:eastAsia="Times New Roman"/>
          <w:color w:val="auto"/>
          <w:szCs w:val="20"/>
        </w:rPr>
        <w:tab/>
      </w:r>
      <w:r w:rsidRPr="00BA09E2">
        <w:rPr>
          <w:rFonts w:eastAsia="Times New Roman"/>
          <w:color w:val="auto"/>
          <w:szCs w:val="20"/>
        </w:rPr>
        <w:t>William E. Bestani</w:t>
      </w:r>
    </w:p>
    <w:p w:rsidR="000556A7" w:rsidRPr="00F60117" w:rsidP="000556A7" w14:paraId="55F95F10" w14:textId="77777777">
      <w:pPr>
        <w:rPr>
          <w:rFonts w:eastAsia="Times New Roman"/>
          <w:color w:val="auto"/>
          <w:szCs w:val="20"/>
        </w:rPr>
      </w:pPr>
      <w:r w:rsidRPr="00F60117">
        <w:rPr>
          <w:rFonts w:eastAsia="Times New Roman"/>
          <w:color w:val="auto"/>
          <w:szCs w:val="20"/>
        </w:rPr>
        <w:tab/>
      </w:r>
      <w:r w:rsidRPr="00F60117">
        <w:rPr>
          <w:rFonts w:eastAsia="Times New Roman"/>
          <w:color w:val="auto"/>
          <w:szCs w:val="20"/>
        </w:rPr>
        <w:tab/>
      </w:r>
      <w:r w:rsidRPr="00F60117">
        <w:rPr>
          <w:rFonts w:eastAsia="Times New Roman"/>
          <w:color w:val="auto"/>
          <w:szCs w:val="20"/>
        </w:rPr>
        <w:tab/>
      </w:r>
      <w:r>
        <w:rPr>
          <w:rFonts w:eastAsia="Times New Roman"/>
          <w:color w:val="auto"/>
          <w:szCs w:val="20"/>
        </w:rPr>
        <w:t>Policy Analyst</w:t>
      </w:r>
    </w:p>
    <w:p w:rsidR="000556A7" w:rsidP="000556A7" w14:paraId="5AC0D83B" w14:textId="77777777">
      <w:pPr>
        <w:rPr>
          <w:rFonts w:eastAsia="Times New Roman"/>
          <w:color w:val="auto"/>
          <w:szCs w:val="20"/>
        </w:rPr>
      </w:pPr>
      <w:r w:rsidRPr="00F60117">
        <w:rPr>
          <w:rFonts w:eastAsia="Times New Roman"/>
          <w:color w:val="auto"/>
          <w:szCs w:val="20"/>
        </w:rPr>
        <w:tab/>
      </w:r>
      <w:r w:rsidRPr="00F60117">
        <w:rPr>
          <w:rFonts w:eastAsia="Times New Roman"/>
          <w:color w:val="auto"/>
          <w:szCs w:val="20"/>
        </w:rPr>
        <w:tab/>
      </w:r>
      <w:r w:rsidRPr="00F60117">
        <w:rPr>
          <w:rFonts w:eastAsia="Times New Roman"/>
          <w:color w:val="auto"/>
          <w:szCs w:val="20"/>
        </w:rPr>
        <w:tab/>
      </w:r>
      <w:r>
        <w:rPr>
          <w:rFonts w:eastAsia="Times New Roman"/>
          <w:color w:val="auto"/>
          <w:szCs w:val="20"/>
        </w:rPr>
        <w:t>Office of Information and Regulatory Affairs</w:t>
      </w:r>
    </w:p>
    <w:p w:rsidR="000556A7" w:rsidP="000556A7" w14:paraId="33342D18" w14:textId="77777777">
      <w:pPr>
        <w:rPr>
          <w:rFonts w:eastAsia="Times New Roman"/>
          <w:color w:val="auto"/>
          <w:szCs w:val="20"/>
        </w:rPr>
      </w:pPr>
      <w:r>
        <w:rPr>
          <w:rFonts w:eastAsia="Times New Roman"/>
          <w:color w:val="auto"/>
          <w:szCs w:val="20"/>
        </w:rPr>
        <w:tab/>
      </w:r>
      <w:r>
        <w:rPr>
          <w:rFonts w:eastAsia="Times New Roman"/>
          <w:color w:val="auto"/>
          <w:szCs w:val="20"/>
        </w:rPr>
        <w:tab/>
      </w:r>
      <w:r>
        <w:rPr>
          <w:rFonts w:eastAsia="Times New Roman"/>
          <w:color w:val="auto"/>
          <w:szCs w:val="20"/>
        </w:rPr>
        <w:tab/>
        <w:t>Office of Management and Budget</w:t>
      </w:r>
    </w:p>
    <w:p w:rsidR="000556A7" w:rsidRPr="00F60117" w:rsidP="000556A7" w14:paraId="73B2CD81" w14:textId="77777777">
      <w:pPr>
        <w:rPr>
          <w:rFonts w:eastAsia="Times New Roman"/>
          <w:color w:val="auto"/>
          <w:szCs w:val="20"/>
        </w:rPr>
      </w:pPr>
      <w:r>
        <w:rPr>
          <w:rFonts w:eastAsia="Times New Roman"/>
          <w:color w:val="auto"/>
          <w:szCs w:val="20"/>
        </w:rPr>
        <w:tab/>
      </w:r>
      <w:r>
        <w:rPr>
          <w:rFonts w:eastAsia="Times New Roman"/>
          <w:color w:val="auto"/>
          <w:szCs w:val="20"/>
        </w:rPr>
        <w:tab/>
      </w:r>
      <w:r>
        <w:rPr>
          <w:rFonts w:eastAsia="Times New Roman"/>
          <w:color w:val="auto"/>
          <w:szCs w:val="20"/>
        </w:rPr>
        <w:tab/>
        <w:t>Executive Office of the President</w:t>
      </w:r>
      <w:r w:rsidRPr="00F60117">
        <w:rPr>
          <w:rFonts w:eastAsia="Times New Roman"/>
          <w:color w:val="auto"/>
          <w:szCs w:val="20"/>
        </w:rPr>
        <w:t>                            </w:t>
      </w:r>
      <w:r w:rsidRPr="00F60117">
        <w:rPr>
          <w:rFonts w:eastAsia="Times New Roman"/>
          <w:color w:val="auto"/>
          <w:szCs w:val="20"/>
        </w:rPr>
        <w:tab/>
      </w:r>
    </w:p>
    <w:p w:rsidR="000556A7" w:rsidRPr="00F60117" w:rsidP="000556A7" w14:paraId="2D82BB43" w14:textId="77777777">
      <w:pPr>
        <w:rPr>
          <w:rFonts w:eastAsia="Times New Roman"/>
          <w:color w:val="auto"/>
          <w:szCs w:val="20"/>
        </w:rPr>
      </w:pPr>
      <w:r w:rsidRPr="00F60117">
        <w:rPr>
          <w:rFonts w:eastAsia="Times New Roman"/>
          <w:color w:val="auto"/>
          <w:szCs w:val="20"/>
        </w:rPr>
        <w:t>                                    </w:t>
      </w:r>
    </w:p>
    <w:p w:rsidR="000556A7" w:rsidP="000556A7" w14:paraId="0B56B450" w14:textId="77777777">
      <w:pPr>
        <w:rPr>
          <w:rFonts w:eastAsia="Times New Roman"/>
          <w:color w:val="auto"/>
          <w:szCs w:val="20"/>
        </w:rPr>
      </w:pPr>
      <w:r w:rsidRPr="00F60117">
        <w:rPr>
          <w:rFonts w:eastAsia="Times New Roman"/>
          <w:color w:val="auto"/>
          <w:szCs w:val="20"/>
        </w:rPr>
        <w:t>From:</w:t>
      </w:r>
      <w:r w:rsidRPr="00F60117">
        <w:rPr>
          <w:rFonts w:eastAsia="Times New Roman"/>
          <w:color w:val="auto"/>
          <w:szCs w:val="20"/>
        </w:rPr>
        <w:tab/>
      </w:r>
      <w:r w:rsidRPr="00F60117">
        <w:rPr>
          <w:rFonts w:eastAsia="Times New Roman"/>
          <w:color w:val="auto"/>
          <w:szCs w:val="20"/>
        </w:rPr>
        <w:tab/>
      </w:r>
      <w:r w:rsidRPr="00F60117">
        <w:rPr>
          <w:rFonts w:eastAsia="Times New Roman"/>
          <w:color w:val="auto"/>
          <w:szCs w:val="20"/>
        </w:rPr>
        <w:tab/>
      </w:r>
      <w:r>
        <w:rPr>
          <w:rFonts w:eastAsia="Times New Roman"/>
          <w:color w:val="auto"/>
          <w:szCs w:val="20"/>
        </w:rPr>
        <w:t>Manny Cabeza</w:t>
      </w:r>
    </w:p>
    <w:p w:rsidR="000556A7" w:rsidRPr="00F60117" w:rsidP="000556A7" w14:paraId="185012AB" w14:textId="77777777">
      <w:pPr>
        <w:rPr>
          <w:rFonts w:eastAsia="Times New Roman"/>
          <w:color w:val="auto"/>
          <w:szCs w:val="20"/>
        </w:rPr>
      </w:pPr>
      <w:r>
        <w:rPr>
          <w:rFonts w:eastAsia="Times New Roman"/>
          <w:color w:val="auto"/>
          <w:szCs w:val="20"/>
        </w:rPr>
        <w:tab/>
      </w:r>
      <w:r>
        <w:rPr>
          <w:rFonts w:eastAsia="Times New Roman"/>
          <w:color w:val="auto"/>
          <w:szCs w:val="20"/>
        </w:rPr>
        <w:tab/>
      </w:r>
      <w:r>
        <w:rPr>
          <w:rFonts w:eastAsia="Times New Roman"/>
          <w:color w:val="auto"/>
          <w:szCs w:val="20"/>
        </w:rPr>
        <w:tab/>
        <w:t>Regulatory Counsel</w:t>
      </w:r>
    </w:p>
    <w:p w:rsidR="000556A7" w:rsidP="000556A7" w14:paraId="52E8E709" w14:textId="77777777">
      <w:pPr>
        <w:rPr>
          <w:rFonts w:eastAsia="Times New Roman"/>
          <w:color w:val="auto"/>
          <w:szCs w:val="20"/>
        </w:rPr>
      </w:pPr>
      <w:r w:rsidRPr="00F60117">
        <w:rPr>
          <w:rFonts w:eastAsia="Times New Roman"/>
          <w:color w:val="auto"/>
          <w:szCs w:val="20"/>
        </w:rPr>
        <w:tab/>
      </w:r>
      <w:r w:rsidRPr="00F60117">
        <w:rPr>
          <w:rFonts w:eastAsia="Times New Roman"/>
          <w:color w:val="auto"/>
          <w:szCs w:val="20"/>
        </w:rPr>
        <w:tab/>
      </w:r>
      <w:r w:rsidRPr="00F60117">
        <w:rPr>
          <w:rFonts w:eastAsia="Times New Roman"/>
          <w:color w:val="auto"/>
          <w:szCs w:val="20"/>
        </w:rPr>
        <w:tab/>
      </w:r>
      <w:r>
        <w:rPr>
          <w:rFonts w:eastAsia="Times New Roman"/>
          <w:color w:val="auto"/>
          <w:szCs w:val="20"/>
        </w:rPr>
        <w:t>Assessments and Legislation Group</w:t>
      </w:r>
    </w:p>
    <w:p w:rsidR="000556A7" w:rsidP="000556A7" w14:paraId="4BF437F5" w14:textId="77777777">
      <w:pPr>
        <w:rPr>
          <w:rFonts w:eastAsia="Times New Roman"/>
          <w:color w:val="auto"/>
          <w:szCs w:val="20"/>
        </w:rPr>
      </w:pPr>
      <w:r>
        <w:rPr>
          <w:rFonts w:eastAsia="Times New Roman"/>
          <w:color w:val="auto"/>
          <w:szCs w:val="20"/>
        </w:rPr>
        <w:tab/>
      </w:r>
      <w:r>
        <w:rPr>
          <w:rFonts w:eastAsia="Times New Roman"/>
          <w:color w:val="auto"/>
          <w:szCs w:val="20"/>
        </w:rPr>
        <w:tab/>
      </w:r>
      <w:r>
        <w:rPr>
          <w:rFonts w:eastAsia="Times New Roman"/>
          <w:color w:val="auto"/>
          <w:szCs w:val="20"/>
        </w:rPr>
        <w:tab/>
        <w:t>Legal Division</w:t>
      </w:r>
    </w:p>
    <w:p w:rsidR="00EF4558" w:rsidRPr="00EF4558" w:rsidP="007516F0" w14:paraId="469B9DCF" w14:textId="13980772">
      <w:pPr>
        <w:ind w:left="1440" w:firstLine="720"/>
        <w:rPr>
          <w:rFonts w:eastAsia="Times New Roman"/>
          <w:color w:val="auto"/>
          <w:szCs w:val="20"/>
        </w:rPr>
      </w:pPr>
      <w:r>
        <w:rPr>
          <w:rFonts w:eastAsia="Times New Roman"/>
          <w:color w:val="auto"/>
          <w:szCs w:val="20"/>
        </w:rPr>
        <w:t>Federal Deposit Insurance Corporation</w:t>
      </w:r>
      <w:r w:rsidRPr="00EF4558">
        <w:rPr>
          <w:rFonts w:eastAsia="Times New Roman"/>
          <w:color w:val="auto"/>
          <w:szCs w:val="20"/>
        </w:rPr>
        <w:t> </w:t>
      </w:r>
    </w:p>
    <w:p w:rsidR="008D19B9" w:rsidP="00EF4558" w14:paraId="5B01D9E0" w14:textId="1F7BE925">
      <w:pPr>
        <w:spacing w:before="240"/>
        <w:rPr>
          <w:rFonts w:eastAsia="Calibri"/>
          <w:color w:val="auto"/>
        </w:rPr>
      </w:pPr>
      <w:r w:rsidRPr="00EF4558">
        <w:rPr>
          <w:rFonts w:eastAsia="Calibri"/>
          <w:color w:val="auto"/>
        </w:rPr>
        <w:t xml:space="preserve">RE:  </w:t>
      </w:r>
      <w:r w:rsidR="00DF0FE7">
        <w:rPr>
          <w:rFonts w:eastAsia="Calibri"/>
          <w:color w:val="auto"/>
        </w:rPr>
        <w:t>Banker Engagement Site Feedback</w:t>
      </w:r>
    </w:p>
    <w:p w:rsidR="003A31E1" w:rsidP="00EF4558" w14:paraId="711051BF" w14:textId="05314201">
      <w:pPr>
        <w:spacing w:before="240"/>
        <w:rPr>
          <w:rFonts w:eastAsia="Calibri"/>
          <w:color w:val="auto"/>
        </w:rPr>
      </w:pPr>
      <w:r w:rsidRPr="00264B72">
        <w:t xml:space="preserve">Under </w:t>
      </w:r>
      <w:r>
        <w:t>its “fast-track”</w:t>
      </w:r>
      <w:r w:rsidRPr="00264B72">
        <w:t xml:space="preserve"> generic clearance entitled “Occasional Qualitative Surveys” (3064-0127), the </w:t>
      </w:r>
      <w:r>
        <w:t>Federal Deposit Insurance Corporation (the “</w:t>
      </w:r>
      <w:r w:rsidRPr="00264B72">
        <w:t>FDIC</w:t>
      </w:r>
      <w:r>
        <w:t>”</w:t>
      </w:r>
      <w:r w:rsidR="00FA6447">
        <w:t xml:space="preserve">) </w:t>
      </w:r>
      <w:r w:rsidRPr="00EF4558" w:rsidR="00FA6447">
        <w:rPr>
          <w:rFonts w:eastAsia="Calibri"/>
          <w:color w:val="auto"/>
        </w:rPr>
        <w:t>hereby</w:t>
      </w:r>
      <w:r w:rsidRPr="00EF4558" w:rsidR="00EF4558">
        <w:rPr>
          <w:rFonts w:eastAsia="Calibri"/>
          <w:color w:val="auto"/>
        </w:rPr>
        <w:t xml:space="preserve"> submits for OMB review the </w:t>
      </w:r>
      <w:r>
        <w:rPr>
          <w:rFonts w:eastAsia="Calibri"/>
          <w:color w:val="auto"/>
        </w:rPr>
        <w:t xml:space="preserve">generic </w:t>
      </w:r>
      <w:r w:rsidR="00D24551">
        <w:rPr>
          <w:rFonts w:eastAsia="Calibri"/>
          <w:color w:val="auto"/>
        </w:rPr>
        <w:t>“</w:t>
      </w:r>
      <w:r w:rsidR="00DF0FE7">
        <w:rPr>
          <w:rFonts w:eastAsia="Calibri"/>
          <w:color w:val="auto"/>
        </w:rPr>
        <w:t>Feedback</w:t>
      </w:r>
      <w:r w:rsidR="00D24551">
        <w:rPr>
          <w:rFonts w:eastAsia="Calibri"/>
          <w:color w:val="auto"/>
        </w:rPr>
        <w:t>”</w:t>
      </w:r>
      <w:r w:rsidR="00C220FC">
        <w:rPr>
          <w:rFonts w:eastAsia="Calibri"/>
          <w:color w:val="auto"/>
        </w:rPr>
        <w:t xml:space="preserve"> feature.</w:t>
      </w:r>
      <w:r w:rsidR="00294C85">
        <w:rPr>
          <w:rFonts w:eastAsia="Calibri"/>
          <w:color w:val="auto"/>
        </w:rPr>
        <w:t xml:space="preserve">  </w:t>
      </w:r>
      <w:r>
        <w:rPr>
          <w:rFonts w:eastAsia="Calibri"/>
          <w:color w:val="auto"/>
        </w:rPr>
        <w:t>Th</w:t>
      </w:r>
      <w:r w:rsidR="000B53DE">
        <w:rPr>
          <w:rFonts w:eastAsia="Calibri"/>
          <w:color w:val="auto"/>
        </w:rPr>
        <w:t xml:space="preserve">is </w:t>
      </w:r>
      <w:r w:rsidR="00DF0FE7">
        <w:rPr>
          <w:rFonts w:eastAsia="Calibri"/>
          <w:color w:val="auto"/>
        </w:rPr>
        <w:t xml:space="preserve">feedback feature </w:t>
      </w:r>
      <w:r>
        <w:rPr>
          <w:rFonts w:eastAsia="Calibri"/>
          <w:color w:val="auto"/>
        </w:rPr>
        <w:t xml:space="preserve">will be </w:t>
      </w:r>
      <w:r w:rsidR="00DF0FE7">
        <w:rPr>
          <w:rFonts w:eastAsia="Calibri"/>
          <w:color w:val="auto"/>
        </w:rPr>
        <w:t xml:space="preserve">a persistent opportunity for external users </w:t>
      </w:r>
      <w:r w:rsidR="00C24488">
        <w:rPr>
          <w:rFonts w:eastAsia="Calibri"/>
          <w:color w:val="auto"/>
        </w:rPr>
        <w:t xml:space="preserve">(stakeholders) </w:t>
      </w:r>
      <w:r w:rsidR="00DF0FE7">
        <w:rPr>
          <w:rFonts w:eastAsia="Calibri"/>
          <w:color w:val="auto"/>
        </w:rPr>
        <w:t>to provide feedback on their user experience</w:t>
      </w:r>
      <w:r w:rsidR="00C220FC">
        <w:rPr>
          <w:rFonts w:eastAsia="Calibri"/>
          <w:color w:val="auto"/>
        </w:rPr>
        <w:t xml:space="preserve"> with the Banker Engagement Site (BES) or Banker Engagement Site </w:t>
      </w:r>
      <w:r w:rsidR="003D2648">
        <w:rPr>
          <w:rFonts w:eastAsia="Calibri"/>
          <w:color w:val="auto"/>
        </w:rPr>
        <w:t>-</w:t>
      </w:r>
      <w:r w:rsidR="00C220FC">
        <w:rPr>
          <w:rFonts w:eastAsia="Calibri"/>
          <w:color w:val="auto"/>
        </w:rPr>
        <w:t xml:space="preserve"> External Regulator Access (BES ERA)</w:t>
      </w:r>
      <w:r w:rsidR="00DF0FE7">
        <w:rPr>
          <w:rFonts w:eastAsia="Calibri"/>
          <w:color w:val="auto"/>
        </w:rPr>
        <w:t xml:space="preserve">.  The feedback will be used to identify potential enhancements to </w:t>
      </w:r>
      <w:r w:rsidR="00C220FC">
        <w:rPr>
          <w:rFonts w:eastAsia="Calibri"/>
          <w:color w:val="auto"/>
        </w:rPr>
        <w:t>BES and BES ERA</w:t>
      </w:r>
      <w:r w:rsidRPr="00EF4558" w:rsidR="00FC1FBC">
        <w:rPr>
          <w:rFonts w:eastAsia="Times New Roman"/>
          <w:color w:val="auto"/>
          <w:szCs w:val="20"/>
        </w:rPr>
        <w:t>.</w:t>
      </w:r>
    </w:p>
    <w:p w:rsidR="00C220FC" w:rsidP="4B013D76" w14:paraId="5D9A217A" w14:textId="498AC33A">
      <w:pPr>
        <w:spacing w:before="240"/>
        <w:rPr>
          <w:rFonts w:eastAsia="Times New Roman"/>
          <w:color w:val="auto"/>
        </w:rPr>
      </w:pPr>
      <w:r w:rsidRPr="4B013D76">
        <w:rPr>
          <w:rFonts w:eastAsia="Times New Roman"/>
          <w:color w:val="auto"/>
        </w:rPr>
        <w:t xml:space="preserve">BES is </w:t>
      </w:r>
      <w:r w:rsidRPr="4B013D76">
        <w:rPr>
          <w:rFonts w:eastAsia="Times New Roman"/>
          <w:color w:val="auto"/>
        </w:rPr>
        <w:t xml:space="preserve">a site </w:t>
      </w:r>
      <w:r w:rsidRPr="4B013D76">
        <w:rPr>
          <w:rFonts w:eastAsia="Times New Roman"/>
          <w:color w:val="auto"/>
        </w:rPr>
        <w:t xml:space="preserve">used to facilitate the pre-examination planning </w:t>
      </w:r>
      <w:r w:rsidRPr="4B013D76">
        <w:rPr>
          <w:rFonts w:eastAsia="Times New Roman"/>
          <w:color w:val="auto"/>
        </w:rPr>
        <w:t xml:space="preserve">process </w:t>
      </w:r>
      <w:r w:rsidRPr="4B013D76">
        <w:rPr>
          <w:rFonts w:eastAsia="Times New Roman"/>
          <w:color w:val="auto"/>
        </w:rPr>
        <w:t xml:space="preserve">with supervised institutions for </w:t>
      </w:r>
      <w:r w:rsidRPr="4B013D76" w:rsidR="7D9CCD9F">
        <w:rPr>
          <w:rFonts w:eastAsia="Times New Roman"/>
          <w:color w:val="auto"/>
        </w:rPr>
        <w:t xml:space="preserve">DCP </w:t>
      </w:r>
      <w:r w:rsidRPr="4B013D76">
        <w:rPr>
          <w:rFonts w:eastAsia="Times New Roman"/>
          <w:color w:val="auto"/>
        </w:rPr>
        <w:t xml:space="preserve">consumer compliance and Community Reinvestment Act activities.  </w:t>
      </w:r>
      <w:r w:rsidRPr="4B013D76" w:rsidR="003D2648">
        <w:rPr>
          <w:rFonts w:eastAsia="Times New Roman"/>
          <w:color w:val="auto"/>
        </w:rPr>
        <w:t>The external stakeholders for BES are authorized bank users.  B</w:t>
      </w:r>
      <w:r w:rsidRPr="4B013D76">
        <w:rPr>
          <w:rFonts w:eastAsia="Times New Roman"/>
          <w:color w:val="auto"/>
        </w:rPr>
        <w:t xml:space="preserve">ES ERA </w:t>
      </w:r>
      <w:r w:rsidRPr="4B013D76" w:rsidR="00B35355">
        <w:rPr>
          <w:rFonts w:eastAsia="Times New Roman"/>
          <w:color w:val="auto"/>
        </w:rPr>
        <w:t xml:space="preserve">facilitates the </w:t>
      </w:r>
      <w:r w:rsidRPr="4B013D76">
        <w:rPr>
          <w:rFonts w:eastAsia="Times New Roman"/>
          <w:color w:val="auto"/>
        </w:rPr>
        <w:t xml:space="preserve">coordination </w:t>
      </w:r>
      <w:r w:rsidRPr="4B013D76" w:rsidR="14787242">
        <w:rPr>
          <w:rFonts w:eastAsia="Times New Roman"/>
          <w:color w:val="auto"/>
        </w:rPr>
        <w:t>of</w:t>
      </w:r>
      <w:r w:rsidRPr="4B013D76">
        <w:rPr>
          <w:rFonts w:eastAsia="Times New Roman"/>
          <w:color w:val="auto"/>
        </w:rPr>
        <w:t xml:space="preserve"> the pre-examination planning process between FDIC staff and applicable state examiners.  </w:t>
      </w:r>
      <w:r w:rsidRPr="4B013D76" w:rsidR="003D2648">
        <w:rPr>
          <w:rFonts w:eastAsia="Times New Roman"/>
          <w:color w:val="auto"/>
        </w:rPr>
        <w:t xml:space="preserve">The external stakeholders for BES ERA are applicable state examiners.  </w:t>
      </w:r>
    </w:p>
    <w:p w:rsidR="0089054F" w:rsidP="00604B12" w14:paraId="499F4C50" w14:textId="615AC6DF">
      <w:pPr>
        <w:spacing w:before="240"/>
        <w:rPr>
          <w:rFonts w:eastAsia="Calibri"/>
          <w:color w:val="auto"/>
        </w:rPr>
      </w:pPr>
      <w:r w:rsidRPr="4B013D76">
        <w:rPr>
          <w:rFonts w:eastAsia="Times New Roman"/>
          <w:color w:val="auto"/>
        </w:rPr>
        <w:t xml:space="preserve">The FDIC recognizes that </w:t>
      </w:r>
      <w:r w:rsidRPr="4B013D76" w:rsidR="0064694F">
        <w:rPr>
          <w:rFonts w:eastAsia="Times New Roman"/>
          <w:color w:val="auto"/>
        </w:rPr>
        <w:t xml:space="preserve">stakeholder satisfaction </w:t>
      </w:r>
      <w:r w:rsidRPr="4B013D76" w:rsidR="00152DF5">
        <w:rPr>
          <w:rFonts w:eastAsia="Times New Roman"/>
          <w:color w:val="auto"/>
        </w:rPr>
        <w:t xml:space="preserve">with the application </w:t>
      </w:r>
      <w:r w:rsidRPr="4B013D76" w:rsidR="0064694F">
        <w:rPr>
          <w:rFonts w:eastAsia="Times New Roman"/>
          <w:color w:val="auto"/>
        </w:rPr>
        <w:t>i</w:t>
      </w:r>
      <w:r w:rsidRPr="4B013D76" w:rsidR="003D2648">
        <w:rPr>
          <w:rFonts w:eastAsia="Times New Roman"/>
          <w:color w:val="auto"/>
        </w:rPr>
        <w:t xml:space="preserve">s important </w:t>
      </w:r>
      <w:r w:rsidRPr="4B013D76" w:rsidR="00152DF5">
        <w:rPr>
          <w:rFonts w:eastAsia="Times New Roman"/>
          <w:color w:val="auto"/>
        </w:rPr>
        <w:t>to ensure an effective partnership</w:t>
      </w:r>
      <w:r w:rsidRPr="4B013D76" w:rsidR="003D2648">
        <w:rPr>
          <w:rFonts w:eastAsia="Times New Roman"/>
          <w:color w:val="auto"/>
        </w:rPr>
        <w:t xml:space="preserve">.  The feedback </w:t>
      </w:r>
      <w:r w:rsidRPr="4B013D76">
        <w:rPr>
          <w:rFonts w:eastAsia="Times New Roman"/>
          <w:color w:val="auto"/>
        </w:rPr>
        <w:t xml:space="preserve">will </w:t>
      </w:r>
      <w:r w:rsidRPr="4B013D76" w:rsidR="00997D46">
        <w:rPr>
          <w:rFonts w:eastAsia="Times New Roman"/>
          <w:color w:val="auto"/>
        </w:rPr>
        <w:t xml:space="preserve">be used to </w:t>
      </w:r>
      <w:r w:rsidRPr="4B013D76" w:rsidR="003D2648">
        <w:rPr>
          <w:rFonts w:eastAsia="Times New Roman"/>
          <w:color w:val="auto"/>
        </w:rPr>
        <w:t xml:space="preserve">identify enhancement opportunities and address any defects.  </w:t>
      </w:r>
    </w:p>
    <w:p w:rsidR="00604B12" w:rsidP="00604B12" w14:paraId="7A977B3B" w14:textId="3B21559B">
      <w:pPr>
        <w:spacing w:before="240"/>
        <w:rPr>
          <w:rFonts w:eastAsia="Calibri"/>
          <w:color w:val="auto"/>
        </w:rPr>
      </w:pPr>
      <w:r>
        <w:t>The attached Survey Summary</w:t>
      </w:r>
      <w:r>
        <w:t xml:space="preserve"> provides </w:t>
      </w:r>
      <w:r w:rsidR="0089054F">
        <w:t>descriptions of access to the feedback feature, burden statement, and content of the feedback feature.</w:t>
      </w:r>
      <w:r>
        <w:t xml:space="preserve">  </w:t>
      </w:r>
      <w:r>
        <w:t>Currently, there are appro</w:t>
      </w:r>
      <w:r>
        <w:t>ximately 2,700 active users.  FDIC</w:t>
      </w:r>
      <w:r>
        <w:t xml:space="preserve"> anticipate</w:t>
      </w:r>
      <w:r>
        <w:t>s</w:t>
      </w:r>
      <w:r>
        <w:t xml:space="preserve"> there will be 5,000 unique users each year.  BES users will cycle in and out of the application based on their examination activities.  Generally, banks have an examination activity every two to three years.  It is expected that feedback will be received from</w:t>
      </w:r>
      <w:r>
        <w:t xml:space="preserve"> approximately </w:t>
      </w:r>
      <w:r>
        <w:t>10 percent of the unique users ea</w:t>
      </w:r>
      <w:r>
        <w:t>ch year.  Therefore, FDIC</w:t>
      </w:r>
      <w:r>
        <w:t xml:space="preserve"> </w:t>
      </w:r>
      <w:r>
        <w:t xml:space="preserve">estimates there will be </w:t>
      </w:r>
      <w:r>
        <w:t xml:space="preserve">500 </w:t>
      </w:r>
      <w:r>
        <w:t>respondents.  The estimated time per response is two (2) minutes.</w:t>
      </w:r>
      <w:r>
        <w:t xml:space="preserve"> </w:t>
      </w:r>
      <w:r>
        <w:t>T</w:t>
      </w:r>
      <w:r>
        <w:t xml:space="preserve">he </w:t>
      </w:r>
      <w:r>
        <w:t xml:space="preserve">total estimated </w:t>
      </w:r>
      <w:r>
        <w:t xml:space="preserve">annual </w:t>
      </w:r>
      <w:r>
        <w:t>burden is approximately 17 hours.</w:t>
      </w:r>
    </w:p>
    <w:p w:rsidR="00EF4558" w:rsidRPr="00EF4558" w:rsidP="00EF4558" w14:paraId="2C0C662C" w14:textId="43BC9F60">
      <w:pPr>
        <w:spacing w:before="200"/>
        <w:rPr>
          <w:rFonts w:eastAsia="Times New Roman"/>
          <w:color w:val="auto"/>
          <w:szCs w:val="20"/>
        </w:rPr>
      </w:pPr>
      <w:bookmarkStart w:id="0" w:name="_GoBack"/>
      <w:bookmarkEnd w:id="0"/>
      <w:r w:rsidRPr="00EF4558">
        <w:rPr>
          <w:rFonts w:eastAsia="Times New Roman"/>
          <w:color w:val="auto"/>
          <w:szCs w:val="20"/>
        </w:rPr>
        <w:t>If you have any questions, please let me know.  Thank you for your consideration.</w:t>
      </w:r>
      <w:r w:rsidRPr="00EF4558" w:rsidR="00E64FC7">
        <w:rPr>
          <w:rFonts w:eastAsia="Times New Roman"/>
          <w:color w:val="auto"/>
        </w:rPr>
        <w:t xml:space="preserve"> </w:t>
      </w:r>
    </w:p>
    <w:p w:rsidR="00BF402E" w14:paraId="72B86B24" w14:textId="77777777">
      <w:pPr>
        <w:spacing w:after="200"/>
        <w:rPr>
          <w:rFonts w:eastAsia="Times New Roman"/>
          <w:color w:val="auto"/>
          <w:sz w:val="20"/>
          <w:lang w:bidi="x-none"/>
        </w:rPr>
      </w:pPr>
    </w:p>
    <w:sectPr>
      <w:headerReference w:type="even" r:id="rId4"/>
      <w:headerReference w:type="default" r:id="rId5"/>
      <w:footerReference w:type="even" r:id="rId6"/>
      <w:footerReference w:type="default" r:id="rId7"/>
      <w:headerReference w:type="first" r:id="rId8"/>
      <w:footerReference w:type="first" r:id="rId9"/>
      <w:pgSz w:w="12240" w:h="15840"/>
      <w:pgMar w:top="1872" w:right="1440" w:bottom="144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ource Sans Pro Semibold">
    <w:panose1 w:val="020B0603030403020204"/>
    <w:charset w:val="00"/>
    <w:family w:val="swiss"/>
    <w:notTrueType/>
    <w:pitch w:val="variable"/>
    <w:sig w:usb0="600002F7" w:usb1="02000001" w:usb2="00000000" w:usb3="00000000" w:csb0="0000019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88" w14:paraId="2ACD85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88" w14:paraId="0FBD201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88" w14:paraId="22B45A3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402E" w14:paraId="70D85739" w14:textId="096500F1">
    <w:pPr>
      <w:pStyle w:val="Header1"/>
    </w:pPr>
    <w:r>
      <w:rPr>
        <w:noProof/>
      </w:rPr>
      <mc:AlternateContent>
        <mc:Choice Requires="wps">
          <w:drawing>
            <wp:anchor distT="0" distB="0" distL="114300" distR="114300" simplePos="0" relativeHeight="251679744"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2" name="MSIPCMb77549fa917e8f55f06e1446" descr="{&quot;HashCode&quot;:474619262,&quot;Height&quot;:792.0,&quot;Width&quot;:612.0,&quot;Placement&quot;:&quot;Header&quot;,&quot;Index&quot;:&quot;OddAndEven&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6447" w:rsidRPr="00FA6447" w:rsidP="00FA6447" w14:textId="12FF0CBF">
                          <w:pPr>
                            <w:jc w:val="center"/>
                            <w:rPr>
                              <w:rFonts w:ascii="Source Sans Pro Semibold" w:hAnsi="Source Sans Pro Semibold"/>
                            </w:rPr>
                          </w:pPr>
                          <w:r w:rsidRPr="00FA6447">
                            <w:rPr>
                              <w:rFonts w:ascii="Source Sans Pro Semibold" w:hAnsi="Source Sans Pro Semibold"/>
                            </w:rPr>
                            <w:t>NONPUBLIC//FDIC INTERNAL ONLY</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b77549fa917e8f55f06e1446" o:spid="_x0000_s2049" type="#_x0000_t202" alt="{&quot;HashCode&quot;:474619262,&quot;Height&quot;:792.0,&quot;Width&quot;:612.0,&quot;Placement&quot;:&quot;Header&quot;,&quot;Index&quot;:&quot;OddAndEven&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80768" o:allowincell="f" filled="f" stroked="f" strokeweight="0.5pt">
              <v:textbox inset=",0,,0">
                <w:txbxContent>
                  <w:p w:rsidR="00FA6447" w:rsidRPr="00FA6447" w:rsidP="00FA6447" w14:paraId="47C1359A" w14:textId="12FF0CBF">
                    <w:pPr>
                      <w:jc w:val="center"/>
                      <w:rPr>
                        <w:rFonts w:ascii="Source Sans Pro Semibold" w:hAnsi="Source Sans Pro Semibold"/>
                      </w:rPr>
                    </w:pPr>
                    <w:r w:rsidRPr="00FA6447">
                      <w:rPr>
                        <w:rFonts w:ascii="Source Sans Pro Semibold" w:hAnsi="Source Sans Pro Semibold"/>
                      </w:rPr>
                      <w:t>NONPUBLIC//FDIC INTERNAL ONLY</w:t>
                    </w:r>
                  </w:p>
                </w:txbxContent>
              </v:textbox>
            </v:shape>
          </w:pict>
        </mc:Fallback>
      </mc:AlternateContent>
    </w:r>
  </w:p>
  <w:p w:rsidR="00BF402E" w14:paraId="3697278F" w14:textId="77777777">
    <w:pPr>
      <w:pStyle w:val="Header1"/>
    </w:pPr>
  </w:p>
  <w:p w:rsidR="00BF402E" w14:paraId="5FD56A8B" w14:textId="77777777">
    <w:pPr>
      <w:pStyle w:val="Header1"/>
    </w:pPr>
  </w:p>
  <w:p w:rsidR="00BF402E" w14:paraId="19654F48" w14:textId="77777777">
    <w:pPr>
      <w:pStyle w:val="Header1"/>
    </w:pPr>
  </w:p>
  <w:p w:rsidR="00BF402E" w14:paraId="5E9F4F80" w14:textId="77777777">
    <w:pPr>
      <w:pStyle w:val="Header1"/>
    </w:pPr>
  </w:p>
  <w:p w:rsidR="00BF402E" w14:paraId="20B9D33E"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2336"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stroke joinstyle="round"/>
              <v:path arrowok="t"/>
              <v:textbox inset="3pt,3pt,3pt,3pt">
                <w:txbxContent>
                  <w:p w:rsidR="00BF402E" w14:paraId="3F332B85"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4" o:spid="_x0000_s2051"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stroke joinstyle="round"/>
              <v:path arrowok="t"/>
              <v:textbox inset="3pt,3pt,3pt,3pt">
                <w:txbxContent>
                  <w:p w:rsidR="00BF402E" w14:paraId="4C77F3A5" w14:textId="77777777">
                    <w:pPr>
                      <w:jc w:val="right"/>
                      <w:rPr>
                        <w:rFonts w:eastAsia="Times New Roman"/>
                        <w:color w:val="auto"/>
                        <w:sz w:val="20"/>
                        <w:lang w:bidi="x-none"/>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402E" w14:paraId="099ED24F" w14:textId="5C02EC25">
    <w:pPr>
      <w:pStyle w:val="Header1"/>
    </w:pPr>
    <w:r>
      <w:rPr>
        <w:noProof/>
      </w:rPr>
      <mc:AlternateContent>
        <mc:Choice Requires="wps">
          <w:drawing>
            <wp:anchor distT="0" distB="0" distL="114300" distR="114300" simplePos="0" relativeHeight="251675648"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0" name="MSIPCMf07c49598af6522ec8d925d9" descr="{&quot;HashCode&quot;:474619262,&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6447" w:rsidRPr="00FA6447" w:rsidP="00FA6447" w14:textId="3A96EF03">
                          <w:pPr>
                            <w:jc w:val="center"/>
                            <w:rPr>
                              <w:rFonts w:ascii="Source Sans Pro Semibold" w:hAnsi="Source Sans Pro Semibold"/>
                            </w:rPr>
                          </w:pPr>
                          <w:r w:rsidRPr="00FA6447">
                            <w:rPr>
                              <w:rFonts w:ascii="Source Sans Pro Semibold" w:hAnsi="Source Sans Pro Semibold"/>
                            </w:rPr>
                            <w:t>NONPUBLIC//FDIC INTERNAL ONLY</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f07c49598af6522ec8d925d9" o:spid="_x0000_s2052" type="#_x0000_t202" alt="{&quot;HashCode&quot;:474619262,&quot;Height&quot;:792.0,&quot;Width&quot;:612.0,&quot;Placement&quot;:&quot;Header&quot;,&quot;Index&quot;:&quot;Primary&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6672" o:allowincell="f" filled="f" stroked="f" strokeweight="0.5pt">
              <v:textbox inset=",0,,0">
                <w:txbxContent>
                  <w:p w:rsidR="00FA6447" w:rsidRPr="00FA6447" w:rsidP="00FA6447" w14:paraId="28B2CD4A" w14:textId="3A96EF03">
                    <w:pPr>
                      <w:jc w:val="center"/>
                      <w:rPr>
                        <w:rFonts w:ascii="Source Sans Pro Semibold" w:hAnsi="Source Sans Pro Semibold"/>
                      </w:rPr>
                    </w:pPr>
                    <w:r w:rsidRPr="00FA6447">
                      <w:rPr>
                        <w:rFonts w:ascii="Source Sans Pro Semibold" w:hAnsi="Source Sans Pro Semibold"/>
                      </w:rPr>
                      <w:t>NONPUBLIC//FDIC INTERNAL ONLY</w:t>
                    </w:r>
                  </w:p>
                </w:txbxContent>
              </v:textbox>
            </v:shape>
          </w:pict>
        </mc:Fallback>
      </mc:AlternateContent>
    </w:r>
  </w:p>
  <w:p w:rsidR="00BF402E" w14:paraId="2CF6CCFC" w14:textId="77777777">
    <w:pPr>
      <w:pStyle w:val="Header1"/>
    </w:pPr>
  </w:p>
  <w:p w:rsidR="00BF402E" w14:paraId="1322A070" w14:textId="77777777">
    <w:pPr>
      <w:pStyle w:val="Header1"/>
    </w:pPr>
  </w:p>
  <w:p w:rsidR="00BF402E" w14:paraId="3271A7B4" w14:textId="77777777">
    <w:pPr>
      <w:pStyle w:val="Header1"/>
    </w:pPr>
  </w:p>
  <w:p w:rsidR="00BF402E" w14:paraId="4D3B7503" w14:textId="77777777">
    <w:pPr>
      <w:pStyle w:val="Header1"/>
    </w:pPr>
  </w:p>
  <w:p w:rsidR="00BF402E" w14:paraId="7D04DF02"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5824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1" o:spid="_x0000_s2053"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stroke joinstyle="round"/>
              <v:path arrowok="t"/>
              <v:textbox inset="3pt,3pt,3pt,3pt">
                <w:txbxContent>
                  <w:p w:rsidR="00BF402E" w14:paraId="72E4490E"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01412C22">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2" o:spid="_x0000_s2054"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stroke joinstyle="round"/>
              <v:path arrowok="t"/>
              <v:textbox inset="3pt,3pt,3pt,3pt">
                <w:txbxContent>
                  <w:p w:rsidR="00BF402E" w14:paraId="63526FDE" w14:textId="01412C22">
                    <w:pPr>
                      <w:jc w:val="right"/>
                      <w:rPr>
                        <w:rFonts w:eastAsia="Times New Roman"/>
                        <w:color w:val="auto"/>
                        <w:sz w:val="20"/>
                        <w:lang w:bidi="x-none"/>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402E" w14:paraId="18FF5672" w14:textId="78336798">
    <w:pPr>
      <w:spacing w:line="203" w:lineRule="auto"/>
    </w:pPr>
    <w:r>
      <w:rPr>
        <w:noProof/>
      </w:rPr>
      <mc:AlternateContent>
        <mc:Choice Requires="wps">
          <w:drawing>
            <wp:anchor distT="0" distB="0" distL="114300" distR="114300" simplePos="0" relativeHeight="251677696"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1" name="MSIPCM437a474b96e9af815e2fc727" descr="{&quot;HashCode&quot;:474619262,&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6447" w:rsidRPr="00FA6447" w:rsidP="00FA6447" w14:textId="5D64AFD5">
                          <w:pPr>
                            <w:jc w:val="center"/>
                            <w:rPr>
                              <w:rFonts w:ascii="Source Sans Pro Semibold" w:hAnsi="Source Sans Pro Semibold"/>
                            </w:rPr>
                          </w:pPr>
                          <w:r w:rsidRPr="00FA6447">
                            <w:rPr>
                              <w:rFonts w:ascii="Source Sans Pro Semibold" w:hAnsi="Source Sans Pro Semibold"/>
                            </w:rPr>
                            <w:t>NONPUBLIC//FDIC INTERNAL ONLY</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437a474b96e9af815e2fc727" o:spid="_x0000_s2055" type="#_x0000_t202" alt="{&quot;HashCode&quot;:474619262,&quot;Height&quot;:792.0,&quot;Width&quot;:612.0,&quot;Placement&quot;:&quot;Header&quot;,&quot;Index&quot;:&quot;FirstPage&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8720" o:allowincell="f" filled="f" stroked="f" strokeweight="0.5pt">
              <v:textbox inset=",0,,0">
                <w:txbxContent>
                  <w:p w:rsidR="00FA6447" w:rsidRPr="00FA6447" w:rsidP="00FA6447" w14:paraId="2EEDC460" w14:textId="5D64AFD5">
                    <w:pPr>
                      <w:jc w:val="center"/>
                      <w:rPr>
                        <w:rFonts w:ascii="Source Sans Pro Semibold" w:hAnsi="Source Sans Pro Semibold"/>
                      </w:rPr>
                    </w:pPr>
                    <w:r w:rsidRPr="00FA6447">
                      <w:rPr>
                        <w:rFonts w:ascii="Source Sans Pro Semibold" w:hAnsi="Source Sans Pro Semibold"/>
                      </w:rPr>
                      <w:t>NONPUBLIC//FDIC INTERNAL ONLY</w:t>
                    </w:r>
                  </w:p>
                </w:txbxContent>
              </v:textbox>
            </v:shape>
          </w:pict>
        </mc:Fallback>
      </mc:AlternateContent>
    </w:r>
  </w:p>
  <w:p w:rsidR="00BF402E" w14:paraId="16A40C36" w14:textId="77777777">
    <w:pPr>
      <w:spacing w:line="203" w:lineRule="auto"/>
    </w:pPr>
  </w:p>
  <w:p w:rsidR="00BF402E" w14:paraId="2E754152" w14:textId="77777777">
    <w:pPr>
      <w:pStyle w:val="Header1"/>
      <w:rPr>
        <w:rFonts w:ascii="Arial Bold" w:hAnsi="Arial Bold"/>
      </w:rPr>
    </w:pPr>
  </w:p>
  <w:p w:rsidR="00BF402E" w14:paraId="6357A820" w14:textId="77777777">
    <w:pPr>
      <w:pStyle w:val="Header1"/>
      <w:rPr>
        <w:rFonts w:ascii="Arial Bold" w:hAnsi="Arial Bold"/>
      </w:rPr>
    </w:pPr>
  </w:p>
  <w:p w:rsidR="00BF402E" w14:paraId="34D9BC73"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6432"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770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 o:spid="_x0000_s2056" style="width:251pt;height:11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stroke joinstyle="round"/>
              <v:path arrowok="t"/>
              <v:textbox inset="0,0,0,0">
                <w:txbxContent>
                  <w:p w:rsidR="00BF402E" w14:paraId="7DD52500" w14:textId="77777777">
                    <w:pPr>
                      <w:rPr>
                        <w:rFonts w:eastAsia="Times New Roman"/>
                        <w:color w:val="auto"/>
                        <w:sz w:val="20"/>
                        <w:lang w:bidi="x-none"/>
                      </w:rPr>
                    </w:pPr>
                    <w:r>
                      <w:rPr>
                        <w:rFonts w:ascii="Arial Bold" w:hAnsi="Arial Bold"/>
                        <w:sz w:val="20"/>
                      </w:rPr>
                      <w:t>Federal Deposit Insurance Corporation</w:t>
                    </w:r>
                  </w:p>
                </w:txbxContent>
              </v:textbox>
            </v:rec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205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6976" from="70.55pt,79.2pt" to="534.95pt,79.2pt"/>
          </w:pict>
        </mc:Fallback>
      </mc:AlternateContent>
    </w:r>
    <w:r>
      <w:rPr>
        <w:noProof/>
      </w:rPr>
      <w:drawing>
        <wp:anchor distT="0" distB="0" distL="114300" distR="114300" simplePos="0" relativeHeight="251670528"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788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 o:spid="_x0000_s2058" style="width:281.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3904" stroked="f">
              <v:stroke joinstyle="round"/>
              <v:path arrowok="t"/>
              <v:textbox inset="0,0,0,0">
                <w:txbxContent>
                  <w:p w:rsidR="00BF402E" w14:paraId="1D7C0C0A"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30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 o:spid="_x0000_s2059" style="width:202.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1856" stroked="f">
              <v:stroke joinstyle="round"/>
              <v:path arrowok="t"/>
              <v:textbox inset="0,0,0,0">
                <w:txbxContent>
                  <w:p w:rsidR="00BF402E" w14:paraId="3E570571"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removePersonalInformation/>
  <w:removeDateAndTime/>
  <w:embedSystemFonts/>
  <w:bordersDoNotSurroundHeader/>
  <w:bordersDoNotSurroundFooter/>
  <w:proofState w:spelling="clean" w:grammar="clean"/>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EmbedSmartTag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EF"/>
    <w:rsid w:val="00017978"/>
    <w:rsid w:val="00041821"/>
    <w:rsid w:val="000556A7"/>
    <w:rsid w:val="00061DA6"/>
    <w:rsid w:val="00091AAF"/>
    <w:rsid w:val="000A1EA8"/>
    <w:rsid w:val="000A36C5"/>
    <w:rsid w:val="000B53DE"/>
    <w:rsid w:val="000B59D1"/>
    <w:rsid w:val="001011DA"/>
    <w:rsid w:val="0012079F"/>
    <w:rsid w:val="00124D94"/>
    <w:rsid w:val="00152DF5"/>
    <w:rsid w:val="0018506F"/>
    <w:rsid w:val="001A2298"/>
    <w:rsid w:val="001B770C"/>
    <w:rsid w:val="001C77DF"/>
    <w:rsid w:val="002137F4"/>
    <w:rsid w:val="002151CA"/>
    <w:rsid w:val="00217C61"/>
    <w:rsid w:val="00234034"/>
    <w:rsid w:val="00264B72"/>
    <w:rsid w:val="00294C85"/>
    <w:rsid w:val="002969EF"/>
    <w:rsid w:val="002A06D5"/>
    <w:rsid w:val="002D3E9E"/>
    <w:rsid w:val="00360D9B"/>
    <w:rsid w:val="003A31E1"/>
    <w:rsid w:val="003D2648"/>
    <w:rsid w:val="003D321B"/>
    <w:rsid w:val="003E0A8A"/>
    <w:rsid w:val="003E5D35"/>
    <w:rsid w:val="0042134F"/>
    <w:rsid w:val="00423511"/>
    <w:rsid w:val="00471558"/>
    <w:rsid w:val="004A2C97"/>
    <w:rsid w:val="004A3101"/>
    <w:rsid w:val="004A49E7"/>
    <w:rsid w:val="004B00C8"/>
    <w:rsid w:val="004D08A6"/>
    <w:rsid w:val="0054358D"/>
    <w:rsid w:val="005523B4"/>
    <w:rsid w:val="005712A5"/>
    <w:rsid w:val="00572D23"/>
    <w:rsid w:val="00592AE6"/>
    <w:rsid w:val="005B4878"/>
    <w:rsid w:val="005D207B"/>
    <w:rsid w:val="00604B12"/>
    <w:rsid w:val="006135A6"/>
    <w:rsid w:val="006150BA"/>
    <w:rsid w:val="0062607F"/>
    <w:rsid w:val="00627549"/>
    <w:rsid w:val="00634775"/>
    <w:rsid w:val="0064694F"/>
    <w:rsid w:val="006A3CDA"/>
    <w:rsid w:val="006D7A10"/>
    <w:rsid w:val="006F713C"/>
    <w:rsid w:val="00737C13"/>
    <w:rsid w:val="00744169"/>
    <w:rsid w:val="00745BC5"/>
    <w:rsid w:val="007516F0"/>
    <w:rsid w:val="00752659"/>
    <w:rsid w:val="0076219B"/>
    <w:rsid w:val="007668E0"/>
    <w:rsid w:val="007C7CD8"/>
    <w:rsid w:val="007D3106"/>
    <w:rsid w:val="007E6ADD"/>
    <w:rsid w:val="007F7686"/>
    <w:rsid w:val="00807BE8"/>
    <w:rsid w:val="00816815"/>
    <w:rsid w:val="008231A1"/>
    <w:rsid w:val="008237A1"/>
    <w:rsid w:val="0089054F"/>
    <w:rsid w:val="008C32FF"/>
    <w:rsid w:val="008D19B9"/>
    <w:rsid w:val="008D23B2"/>
    <w:rsid w:val="008D303D"/>
    <w:rsid w:val="00914AC6"/>
    <w:rsid w:val="009318CA"/>
    <w:rsid w:val="00936FDF"/>
    <w:rsid w:val="00977F67"/>
    <w:rsid w:val="00995B1D"/>
    <w:rsid w:val="00997D46"/>
    <w:rsid w:val="009A28D8"/>
    <w:rsid w:val="009A551E"/>
    <w:rsid w:val="009B2F12"/>
    <w:rsid w:val="009B321B"/>
    <w:rsid w:val="009E4BF9"/>
    <w:rsid w:val="009F7DE9"/>
    <w:rsid w:val="00A1338E"/>
    <w:rsid w:val="00A21AFE"/>
    <w:rsid w:val="00A34542"/>
    <w:rsid w:val="00A926A1"/>
    <w:rsid w:val="00B35355"/>
    <w:rsid w:val="00B61B73"/>
    <w:rsid w:val="00BA09E2"/>
    <w:rsid w:val="00BA4D29"/>
    <w:rsid w:val="00BC7FFB"/>
    <w:rsid w:val="00BF402E"/>
    <w:rsid w:val="00C07715"/>
    <w:rsid w:val="00C220FC"/>
    <w:rsid w:val="00C24488"/>
    <w:rsid w:val="00C33312"/>
    <w:rsid w:val="00D2432A"/>
    <w:rsid w:val="00D24551"/>
    <w:rsid w:val="00D43735"/>
    <w:rsid w:val="00D91F61"/>
    <w:rsid w:val="00DD719C"/>
    <w:rsid w:val="00DF0133"/>
    <w:rsid w:val="00DF0FE7"/>
    <w:rsid w:val="00DF2B34"/>
    <w:rsid w:val="00E03C88"/>
    <w:rsid w:val="00E07CD5"/>
    <w:rsid w:val="00E21631"/>
    <w:rsid w:val="00E64FC7"/>
    <w:rsid w:val="00EA3165"/>
    <w:rsid w:val="00EA4629"/>
    <w:rsid w:val="00EC6805"/>
    <w:rsid w:val="00EC7D3E"/>
    <w:rsid w:val="00ED2B9D"/>
    <w:rsid w:val="00EF4558"/>
    <w:rsid w:val="00F06A97"/>
    <w:rsid w:val="00F21751"/>
    <w:rsid w:val="00F36314"/>
    <w:rsid w:val="00F45AB0"/>
    <w:rsid w:val="00F46D50"/>
    <w:rsid w:val="00F529DB"/>
    <w:rsid w:val="00F60117"/>
    <w:rsid w:val="00F62A6F"/>
    <w:rsid w:val="00FA6447"/>
    <w:rsid w:val="00FA65F2"/>
    <w:rsid w:val="00FC1FBC"/>
    <w:rsid w:val="00FE0332"/>
    <w:rsid w:val="10702858"/>
    <w:rsid w:val="14787242"/>
    <w:rsid w:val="1FF0F54A"/>
    <w:rsid w:val="2EE58005"/>
    <w:rsid w:val="4B013D76"/>
    <w:rsid w:val="7D9CCD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F86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ixelsPerInch w:val="7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2024-08-19T13:26:00Z</dcterms:created>
  <dcterms:modified xsi:type="dcterms:W3CDTF">2024-08-19T13:31:00Z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3712f0-ae86-44bd-82ca-deb0d0369377_ActionId">
    <vt:lpwstr>f46e7a0c-09fb-494e-814e-313e403680d0</vt:lpwstr>
  </property>
  <property fmtid="{D5CDD505-2E9C-101B-9397-08002B2CF9AE}" pid="3" name="MSIP_Label_e03712f0-ae86-44bd-82ca-deb0d0369377_ContentBits">
    <vt:lpwstr>1</vt:lpwstr>
  </property>
  <property fmtid="{D5CDD505-2E9C-101B-9397-08002B2CF9AE}" pid="4" name="MSIP_Label_e03712f0-ae86-44bd-82ca-deb0d0369377_Enabled">
    <vt:lpwstr>true</vt:lpwstr>
  </property>
  <property fmtid="{D5CDD505-2E9C-101B-9397-08002B2CF9AE}" pid="5" name="MSIP_Label_e03712f0-ae86-44bd-82ca-deb0d0369377_Method">
    <vt:lpwstr>Privileged</vt:lpwstr>
  </property>
  <property fmtid="{D5CDD505-2E9C-101B-9397-08002B2CF9AE}" pid="6" name="MSIP_Label_e03712f0-ae86-44bd-82ca-deb0d0369377_Name">
    <vt:lpwstr>e03712f0-ae86-44bd-82ca-deb0d0369377</vt:lpwstr>
  </property>
  <property fmtid="{D5CDD505-2E9C-101B-9397-08002B2CF9AE}" pid="7" name="MSIP_Label_e03712f0-ae86-44bd-82ca-deb0d0369377_SetDate">
    <vt:lpwstr>2024-07-24T01:11:35Z</vt:lpwstr>
  </property>
  <property fmtid="{D5CDD505-2E9C-101B-9397-08002B2CF9AE}" pid="8" name="MSIP_Label_e03712f0-ae86-44bd-82ca-deb0d0369377_SiteId">
    <vt:lpwstr>26c83bc9-31c1-4d77-a523-0816095aba31</vt:lpwstr>
  </property>
</Properties>
</file>