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3CD" w:rsidRPr="00846D01" w:rsidP="00BC5298" w14:paraId="1B76B9A5" w14:textId="77777777">
      <w:pPr>
        <w:jc w:val="center"/>
        <w:rPr>
          <w:sz w:val="28"/>
          <w:szCs w:val="28"/>
          <w:u w:val="single"/>
        </w:rPr>
      </w:pPr>
    </w:p>
    <w:p w:rsidR="009A4D6A" w:rsidRPr="00846D01" w:rsidP="00BC5298" w14:paraId="34BCC110" w14:textId="735970FF">
      <w:pPr>
        <w:jc w:val="center"/>
        <w:rPr>
          <w:b/>
          <w:bCs/>
          <w:sz w:val="28"/>
          <w:szCs w:val="28"/>
          <w:u w:val="single"/>
        </w:rPr>
      </w:pPr>
      <w:r w:rsidRPr="00846D01">
        <w:rPr>
          <w:b/>
          <w:bCs/>
          <w:sz w:val="28"/>
          <w:szCs w:val="28"/>
          <w:u w:val="single"/>
        </w:rPr>
        <w:t>S</w:t>
      </w:r>
      <w:r w:rsidRPr="00846D01" w:rsidR="003D03B5">
        <w:rPr>
          <w:b/>
          <w:bCs/>
          <w:sz w:val="28"/>
          <w:szCs w:val="28"/>
          <w:u w:val="single"/>
        </w:rPr>
        <w:t>upporting</w:t>
      </w:r>
      <w:r w:rsidRPr="00846D01">
        <w:rPr>
          <w:b/>
          <w:bCs/>
          <w:sz w:val="28"/>
          <w:szCs w:val="28"/>
          <w:u w:val="single"/>
        </w:rPr>
        <w:t xml:space="preserve"> S</w:t>
      </w:r>
      <w:r w:rsidRPr="00846D01" w:rsidR="003D03B5">
        <w:rPr>
          <w:b/>
          <w:bCs/>
          <w:sz w:val="28"/>
          <w:szCs w:val="28"/>
          <w:u w:val="single"/>
        </w:rPr>
        <w:t>tatement for Paperwork Reduction Act Submissions</w:t>
      </w:r>
    </w:p>
    <w:p w:rsidR="00BC5298" w14:paraId="48475FA6" w14:textId="77777777"/>
    <w:p w:rsidR="00A354FF" w:rsidP="00A354FF" w14:paraId="75C9CDC2" w14:textId="77777777">
      <w:r>
        <w:t>OMB Control Number: 3206-01</w:t>
      </w:r>
      <w:r>
        <w:t>34</w:t>
      </w:r>
      <w:r>
        <w:t xml:space="preserve">, </w:t>
      </w:r>
      <w:r w:rsidRPr="00BD1BA6">
        <w:t>Application to Make Deposit or Redeposit (CSRS)</w:t>
      </w:r>
      <w:r>
        <w:t xml:space="preserve"> – </w:t>
      </w:r>
    </w:p>
    <w:p w:rsidR="00A354FF" w:rsidP="00A354FF" w14:paraId="3C07616C" w14:textId="3A5D3971">
      <w:pPr>
        <w:ind w:left="1440" w:firstLine="720"/>
      </w:pPr>
      <w:r>
        <w:t xml:space="preserve">  SF 2103, </w:t>
      </w:r>
      <w:r w:rsidRPr="00BD1BA6">
        <w:t xml:space="preserve">Application to Make Service Credit Payment for Civilian </w:t>
      </w:r>
      <w:r>
        <w:t xml:space="preserve">  </w:t>
      </w:r>
    </w:p>
    <w:p w:rsidR="00A354FF" w:rsidRPr="00BD1BA6" w:rsidP="00A354FF" w14:paraId="3D5F7011" w14:textId="257173DA">
      <w:pPr>
        <w:ind w:left="1440" w:firstLine="720"/>
      </w:pPr>
      <w:r>
        <w:t xml:space="preserve">  </w:t>
      </w:r>
      <w:r w:rsidRPr="00BD1BA6">
        <w:t>Service (FERS)</w:t>
      </w:r>
      <w:r>
        <w:t xml:space="preserve"> – SF 3108</w:t>
      </w:r>
    </w:p>
    <w:p w:rsidR="00F65DB5" w:rsidP="00F65DB5" w14:paraId="0DD5F9C2" w14:textId="115B0D2D"/>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846D01" w:rsidP="00846D01" w14:paraId="1F49F407" w14:textId="77777777">
      <w:pPr>
        <w:numPr>
          <w:ilvl w:val="0"/>
          <w:numId w:val="10"/>
        </w:numPr>
        <w:shd w:val="clear" w:color="auto" w:fill="BFBFBF" w:themeFill="background1" w:themeFillShade="BF"/>
      </w:pPr>
      <w:r w:rsidRPr="00BB4D6D">
        <w:rPr>
          <w:i/>
          <w:iCs/>
        </w:rPr>
        <w:t>Explain the circumstances of this collection, why this collection is necessary. and the legal statutes that allow it.</w:t>
      </w:r>
      <w:r w:rsidRPr="00BB4D6D">
        <w:t> </w:t>
      </w:r>
    </w:p>
    <w:p w:rsidR="00BC5298" w14:paraId="0D58862A" w14:textId="77777777"/>
    <w:p w:rsidR="00A354FF" w:rsidRPr="00BD1BA6" w:rsidP="2846962D" w14:paraId="3AE67DEC" w14:textId="7976C2A3">
      <w:pPr>
        <w:ind w:left="720"/>
      </w:pPr>
      <w:r>
        <w:t xml:space="preserve">The provisions under </w:t>
      </w:r>
      <w:r>
        <w:t>5 U.S.C</w:t>
      </w:r>
      <w:r w:rsidR="49C879AF">
        <w:t>.</w:t>
      </w:r>
      <w:r>
        <w:t xml:space="preserve"> </w:t>
      </w:r>
      <w:r w:rsidRPr="342273BE" w:rsidR="024517A3">
        <w:rPr>
          <w:rFonts w:ascii="Aptos" w:eastAsia="Aptos" w:hAnsi="Aptos" w:cs="Aptos"/>
          <w:sz w:val="22"/>
          <w:szCs w:val="22"/>
        </w:rPr>
        <w:t>§§</w:t>
      </w:r>
      <w:r w:rsidR="024517A3">
        <w:t xml:space="preserve"> </w:t>
      </w:r>
      <w:r>
        <w:t>8334 and 8411 provide that eligible employees and former employees may make payments</w:t>
      </w:r>
      <w:r w:rsidR="78FD5941">
        <w:t xml:space="preserve"> </w:t>
      </w:r>
      <w:r>
        <w:t>t</w:t>
      </w:r>
      <w:r>
        <w:t xml:space="preserve"> receive credit in their annuity computations for certain periods of service.  These </w:t>
      </w:r>
      <w:r w:rsidR="2A3FCAA1">
        <w:t>periods of service</w:t>
      </w:r>
      <w:r w:rsidR="2A3FCAA1">
        <w:t xml:space="preserve"> </w:t>
      </w:r>
      <w:r>
        <w:t xml:space="preserve">include service that was not subject to retirement deductions when </w:t>
      </w:r>
      <w:r w:rsidR="667A747A">
        <w:t>the service</w:t>
      </w:r>
      <w:r w:rsidR="48582961">
        <w:t xml:space="preserve"> </w:t>
      </w:r>
      <w:r>
        <w:t>was performed (</w:t>
      </w:r>
      <w:r w:rsidR="5F3925C8">
        <w:t>non-deduction</w:t>
      </w:r>
      <w:r>
        <w:t xml:space="preserve"> service) and service that was subject to retirement deductions </w:t>
      </w:r>
      <w:r w:rsidR="65538266">
        <w:t>that</w:t>
      </w:r>
      <w:r>
        <w:t xml:space="preserve"> the employee or former employee later withdrew from the </w:t>
      </w:r>
      <w:r w:rsidR="0E0D814D">
        <w:t>R</w:t>
      </w:r>
      <w:r>
        <w:t xml:space="preserve">etirement </w:t>
      </w:r>
      <w:r w:rsidR="7B612511">
        <w:t>F</w:t>
      </w:r>
      <w:r>
        <w:t>und</w:t>
      </w:r>
      <w:r w:rsidR="4C726B65">
        <w:t xml:space="preserve"> in a lump-sum</w:t>
      </w:r>
      <w:r>
        <w:t xml:space="preserve"> </w:t>
      </w:r>
      <w:r w:rsidR="597D41AA">
        <w:t xml:space="preserve">credit </w:t>
      </w:r>
      <w:r>
        <w:t>(</w:t>
      </w:r>
      <w:r w:rsidR="295F5A98">
        <w:t>refunded</w:t>
      </w:r>
      <w:r>
        <w:t xml:space="preserve"> service).</w:t>
      </w:r>
    </w:p>
    <w:p w:rsidR="00F65DB5" w:rsidRPr="00DF085B" w:rsidP="00F65DB5" w14:paraId="16B93FE0" w14:textId="77777777">
      <w:pPr>
        <w:pStyle w:val="ListParagraph"/>
      </w:pPr>
    </w:p>
    <w:p w:rsidR="00846D01" w:rsidRPr="001461A3" w:rsidP="00846D01" w14:paraId="7BCCAD6D" w14:textId="46801F39">
      <w:pPr>
        <w:numPr>
          <w:ilvl w:val="0"/>
          <w:numId w:val="10"/>
        </w:numPr>
        <w:shd w:val="clear" w:color="auto" w:fill="BFBFBF" w:themeFill="background1" w:themeFillShade="BF"/>
      </w:pPr>
      <w:r>
        <w:rPr>
          <w:i/>
          <w:iCs/>
          <w:szCs w:val="20"/>
        </w:rPr>
        <w:t>T</w:t>
      </w:r>
      <w:r w:rsidRPr="00BB4D6D">
        <w:rPr>
          <w:i/>
          <w:iCs/>
          <w:szCs w:val="20"/>
        </w:rPr>
        <w:t>he information is to be used.  Except for a new collection, describe how the agency has made use of the information received from the current collection. </w:t>
      </w:r>
      <w:r w:rsidRPr="00BB4D6D">
        <w:rPr>
          <w:szCs w:val="20"/>
        </w:rPr>
        <w:t> </w:t>
      </w:r>
    </w:p>
    <w:p w:rsidR="00846D01" w:rsidP="00AC590D" w14:paraId="29F6F566" w14:textId="77777777">
      <w:pPr>
        <w:ind w:left="720"/>
      </w:pPr>
    </w:p>
    <w:p w:rsidR="00A354FF" w:rsidP="00A354FF" w14:paraId="34CBDEC3" w14:textId="221AF044">
      <w:pPr>
        <w:ind w:left="720"/>
      </w:pPr>
      <w:r>
        <w:t xml:space="preserve">This Information Collection Request (ICR) has two forms: SF 2803 </w:t>
      </w:r>
      <w:r w:rsidRPr="59D4E63D">
        <w:rPr>
          <w:i/>
          <w:iCs/>
        </w:rPr>
        <w:t>(Application to Make Deposit or Redeposit: CSRS)</w:t>
      </w:r>
      <w:r>
        <w:t xml:space="preserve"> and SF 3108 </w:t>
      </w:r>
      <w:r w:rsidRPr="59D4E63D">
        <w:rPr>
          <w:i/>
          <w:iCs/>
        </w:rPr>
        <w:t>(Application to Make Service Credit Payment for Civilian Service: FERS)</w:t>
      </w:r>
      <w:r>
        <w:t>. The first form, SF 2803, is used for the Civil Service Retirement System</w:t>
      </w:r>
      <w:r w:rsidR="1C1B780D">
        <w:t xml:space="preserve"> (CSRS)</w:t>
      </w:r>
      <w:r>
        <w:t>. The second form, SF 3108, is used for the Federal Employees</w:t>
      </w:r>
      <w:r w:rsidR="22AD47F4">
        <w:t>’</w:t>
      </w:r>
      <w:r>
        <w:t xml:space="preserve"> Retirement System</w:t>
      </w:r>
      <w:r w:rsidR="1EEE78E4">
        <w:t xml:space="preserve"> (FERS)</w:t>
      </w:r>
      <w:r>
        <w:t>.</w:t>
      </w:r>
    </w:p>
    <w:p w:rsidR="00A354FF" w:rsidP="00A354FF" w14:paraId="0C2DA341" w14:textId="77777777">
      <w:pPr>
        <w:ind w:left="720"/>
      </w:pPr>
    </w:p>
    <w:p w:rsidR="00A354FF" w:rsidP="00A354FF" w14:paraId="4DDCA1DF" w14:textId="77777777">
      <w:pPr>
        <w:ind w:left="720"/>
      </w:pPr>
      <w:r>
        <w:t>SF 2803A is a sub-form of SF 2803 and SF 3108A is a sub-form of SF 3108. Both sub-forms are applications to pay military deposits for military service.</w:t>
      </w:r>
    </w:p>
    <w:p w:rsidR="00A354FF" w:rsidP="00A354FF" w14:paraId="243AB6C3" w14:textId="77777777">
      <w:pPr>
        <w:ind w:left="720"/>
      </w:pPr>
    </w:p>
    <w:p w:rsidR="00966CA9" w:rsidP="00A354FF" w14:paraId="22535840" w14:textId="4354E2A8">
      <w:pPr>
        <w:pStyle w:val="ListParagraph"/>
      </w:pPr>
      <w:r>
        <w:t xml:space="preserve">This information is collected by OPM from eligible employees and former employees who wish to make a deposit/redeposit before retirement. The information collected is necessary to identify the individual’s </w:t>
      </w:r>
      <w:r>
        <w:t>employing</w:t>
      </w:r>
      <w:r>
        <w:t xml:space="preserve"> agency and the periods of service for which deposit/redeposit is to be made. The OPM Retirement Services Program </w:t>
      </w:r>
      <w:r w:rsidR="7F863980">
        <w:t>O</w:t>
      </w:r>
      <w:r>
        <w:t xml:space="preserve">ffice determines whether all conditions for deposit or redeposit are met and credits the proper account upon receipt of payment. Not collecting this information would violate entitlement rights provided </w:t>
      </w:r>
      <w:r w:rsidR="14995F6D">
        <w:t xml:space="preserve">under </w:t>
      </w:r>
      <w:r w:rsidR="60A07270">
        <w:t>c</w:t>
      </w:r>
      <w:r>
        <w:t>hapters 83 and 84</w:t>
      </w:r>
      <w:r w:rsidR="4ACFD607">
        <w:t xml:space="preserve"> of title 5, United States Code</w:t>
      </w:r>
      <w:r>
        <w:t>.</w:t>
      </w:r>
    </w:p>
    <w:p w:rsidR="00A354FF" w:rsidP="00A354FF" w14:paraId="108F5E0C" w14:textId="77777777">
      <w:pPr>
        <w:pStyle w:val="ListParagraph"/>
      </w:pPr>
    </w:p>
    <w:p w:rsidR="00F56859" w:rsidP="4396FFAB" w14:paraId="0DA13866" w14:textId="1A9251E8">
      <w:pPr>
        <w:pStyle w:val="ListParagraph"/>
        <w:numPr>
          <w:ilvl w:val="0"/>
          <w:numId w:val="10"/>
        </w:numPr>
        <w:shd w:val="clear" w:color="auto" w:fill="BFBFBF" w:themeFill="background1" w:themeFillShade="BF"/>
        <w:suppressAutoHyphens/>
        <w:ind w:hanging="420"/>
        <w:contextualSpacing/>
      </w:pPr>
      <w:r w:rsidRPr="4396FFAB">
        <w:rPr>
          <w:i/>
          <w:iCs/>
        </w:rPr>
        <w:t>How are the respondents expected to complete the collection? Can this collection be completed electronically (e.g., through a website or application</w:t>
      </w:r>
      <w:r w:rsidRPr="4396FFAB" w:rsidR="003C93AF">
        <w:rPr>
          <w:i/>
          <w:iCs/>
        </w:rPr>
        <w:t>?)</w:t>
      </w:r>
      <w:r w:rsidRPr="4396FFAB">
        <w:rPr>
          <w:i/>
          <w:iCs/>
        </w:rPr>
        <w:t>.</w:t>
      </w:r>
      <w:r>
        <w:t xml:space="preserve"> </w:t>
      </w:r>
    </w:p>
    <w:p w:rsidR="00846D01" w:rsidP="00E141C6" w14:paraId="6A07A271" w14:textId="77777777">
      <w:pPr>
        <w:ind w:left="720"/>
      </w:pPr>
    </w:p>
    <w:p w:rsidR="00A354FF" w:rsidP="00AD6980" w14:paraId="5235FFE6" w14:textId="1A6FBF35">
      <w:pPr>
        <w:ind w:left="720"/>
      </w:pPr>
      <w:r>
        <w:t>SF</w:t>
      </w:r>
      <w:r w:rsidR="00AD6980">
        <w:t xml:space="preserve"> 2803</w:t>
      </w:r>
      <w:r>
        <w:t xml:space="preserve"> may be </w:t>
      </w:r>
      <w:r w:rsidR="00A836FB">
        <w:t xml:space="preserve">accessed </w:t>
      </w:r>
      <w:r w:rsidR="00AD6980">
        <w:t xml:space="preserve">online, </w:t>
      </w:r>
      <w:r w:rsidR="00A836FB">
        <w:t xml:space="preserve">printed, </w:t>
      </w:r>
      <w:r w:rsidR="00AD6980">
        <w:t>completed a</w:t>
      </w:r>
      <w:r>
        <w:t xml:space="preserve">nd </w:t>
      </w:r>
      <w:r w:rsidR="00AD6980">
        <w:t xml:space="preserve">mailed </w:t>
      </w:r>
      <w:r>
        <w:t>to</w:t>
      </w:r>
      <w:r w:rsidR="00AD6980">
        <w:t>:</w:t>
      </w:r>
      <w:r>
        <w:t xml:space="preserve"> </w:t>
      </w:r>
      <w:r w:rsidRPr="00AD6980" w:rsidR="00AD6980">
        <w:t>Office of Personnel Management, Retirement Operations Center,</w:t>
      </w:r>
      <w:r w:rsidR="00AD6980">
        <w:t xml:space="preserve"> </w:t>
      </w:r>
      <w:r w:rsidRPr="00AD6980" w:rsidR="00AD6980">
        <w:t>Deposit Section, P.O. Box 45, Boyers, PA 16017-0045.</w:t>
      </w:r>
    </w:p>
    <w:p w:rsidR="00AD6980" w:rsidP="00AD6980" w14:paraId="45CA89E1" w14:textId="77777777">
      <w:pPr>
        <w:ind w:left="720"/>
      </w:pPr>
    </w:p>
    <w:p w:rsidR="00AD6980" w:rsidP="00AD6980" w14:paraId="6E2E83E7" w14:textId="44A3A3E6">
      <w:pPr>
        <w:ind w:left="720"/>
      </w:pPr>
      <w:r>
        <w:t>SF</w:t>
      </w:r>
      <w:r>
        <w:t xml:space="preserve"> 3108 may be </w:t>
      </w:r>
      <w:r w:rsidR="00A836FB">
        <w:t>accessed online, printed</w:t>
      </w:r>
      <w:r>
        <w:t xml:space="preserve">, completed and mailed to: </w:t>
      </w:r>
      <w:r w:rsidRPr="00AD6980">
        <w:t>Office of Personnel Management, Retirement Operations Center,</w:t>
      </w:r>
      <w:r>
        <w:t xml:space="preserve"> </w:t>
      </w:r>
      <w:r w:rsidRPr="00AD6980">
        <w:t>P.O. Box 45, Boyers, PA 16017-0045.</w:t>
      </w:r>
    </w:p>
    <w:p w:rsidR="00AD6980" w:rsidP="00AD6980" w14:paraId="76EC3A3A" w14:textId="77777777">
      <w:pPr>
        <w:ind w:left="720"/>
      </w:pPr>
    </w:p>
    <w:p w:rsidR="007A7330" w:rsidP="007A7330" w14:paraId="025840A3" w14:textId="77777777">
      <w:pPr>
        <w:ind w:left="720"/>
      </w:pPr>
    </w:p>
    <w:p w:rsidR="007A7330" w:rsidRPr="00727CF2" w:rsidP="007A7330" w14:paraId="592C1A1D" w14:textId="77777777">
      <w:pPr>
        <w:pStyle w:val="ListParagraph"/>
        <w:numPr>
          <w:ilvl w:val="0"/>
          <w:numId w:val="10"/>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7A7330" w:rsidP="00783A70" w14:paraId="7DEE530B" w14:textId="77777777">
      <w:pPr>
        <w:ind w:left="720"/>
      </w:pPr>
    </w:p>
    <w:p w:rsidR="00976574" w:rsidRPr="00DF085B" w:rsidP="00976574" w14:paraId="3345F462" w14:textId="77777777">
      <w:pPr>
        <w:ind w:left="720"/>
      </w:pPr>
      <w:r>
        <w:t>Applications are filed individually. There is no duplication because the respondents initiate the collection.</w:t>
      </w:r>
      <w:r w:rsidRPr="00DF085B">
        <w:t xml:space="preserve"> </w:t>
      </w:r>
    </w:p>
    <w:p w:rsidR="00966CA9" w:rsidP="00966CA9" w14:paraId="10086ACA" w14:textId="77777777"/>
    <w:p w:rsidR="00F40DFB" w:rsidP="00F40DFB" w14:paraId="28C8615B" w14:textId="77777777">
      <w:pPr>
        <w:numPr>
          <w:ilvl w:val="0"/>
          <w:numId w:val="10"/>
        </w:numPr>
        <w:shd w:val="clear" w:color="auto" w:fill="BFBFBF" w:themeFill="background1" w:themeFillShade="BF"/>
      </w:pPr>
      <w:r w:rsidRPr="00092BE2">
        <w:rPr>
          <w:i/>
          <w:iCs/>
          <w:szCs w:val="20"/>
        </w:rPr>
        <w:t>Describe any impacts on small business. If applicable, describe any methods used to minimize those impacts.</w:t>
      </w:r>
      <w:r>
        <w:rPr>
          <w:i/>
          <w:iCs/>
          <w:szCs w:val="20"/>
          <w:shd w:val="clear" w:color="auto" w:fill="BFBFBF" w:themeFill="background1" w:themeFillShade="BF"/>
        </w:rPr>
        <w:t xml:space="preserve"> </w:t>
      </w:r>
    </w:p>
    <w:p w:rsidR="00014433" w:rsidP="00BC5298" w14:paraId="653DE786" w14:textId="77777777">
      <w:pPr>
        <w:ind w:left="720" w:hanging="420"/>
      </w:pPr>
    </w:p>
    <w:p w:rsidR="00F40DFB" w:rsidP="00F40DFB" w14:paraId="7646861D" w14:textId="77777777">
      <w:pPr>
        <w:ind w:left="720"/>
      </w:pPr>
      <w:r>
        <w:t>Information is not collected from nor has any impact on small businesses or organizations.</w:t>
      </w:r>
    </w:p>
    <w:p w:rsidR="00783A70" w:rsidP="00BC5298" w14:paraId="64260E43" w14:textId="77777777">
      <w:pPr>
        <w:ind w:left="720" w:hanging="420"/>
      </w:pPr>
    </w:p>
    <w:p w:rsidR="003738C5" w:rsidRPr="00092BE2" w:rsidP="003738C5" w14:paraId="7EFB14EE" w14:textId="77777777">
      <w:pPr>
        <w:numPr>
          <w:ilvl w:val="0"/>
          <w:numId w:val="10"/>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783A70" w:rsidP="00BC5298" w14:paraId="12A62E72" w14:textId="77777777">
      <w:pPr>
        <w:ind w:left="720" w:hanging="420"/>
      </w:pPr>
    </w:p>
    <w:p w:rsidR="00966CA9" w:rsidP="00783A70" w14:paraId="7AA37DF1" w14:textId="455C71F9">
      <w:pPr>
        <w:ind w:left="720"/>
      </w:pPr>
      <w:r>
        <w:t xml:space="preserve">Information is collected as needed to permit the respondents to pay for </w:t>
      </w:r>
      <w:r w:rsidR="4C6E27E6">
        <w:t xml:space="preserve">non-deduction or refunded </w:t>
      </w:r>
      <w:r w:rsidR="4A06497D">
        <w:t>s</w:t>
      </w:r>
      <w:r>
        <w:t>ervice</w:t>
      </w:r>
      <w:r w:rsidR="4490F0BF">
        <w:t xml:space="preserve"> or for purposes of paying a military service deposit</w:t>
      </w:r>
      <w:r>
        <w:t>. Less frequent collection would cause the applicant to pay more interest due to delayed billing. This information collection is consistent with the guidelines in 5 CFR 1320.6.</w:t>
      </w:r>
    </w:p>
    <w:p w:rsidR="000973FF" w:rsidP="00783A70" w14:paraId="6F096521" w14:textId="77777777">
      <w:pPr>
        <w:ind w:left="720"/>
      </w:pPr>
    </w:p>
    <w:p w:rsidR="003738C5" w:rsidRPr="00401B4E" w:rsidP="003738C5" w14:paraId="32ACBFF4" w14:textId="77777777">
      <w:pPr>
        <w:numPr>
          <w:ilvl w:val="0"/>
          <w:numId w:val="11"/>
        </w:numPr>
        <w:shd w:val="clear" w:color="auto" w:fill="BFBFBF" w:themeFill="background1" w:themeFillShade="BF"/>
        <w:rPr>
          <w:szCs w:val="20"/>
        </w:rPr>
      </w:pPr>
      <w:r w:rsidRPr="00401B4E">
        <w:rPr>
          <w:i/>
          <w:iCs/>
          <w:szCs w:val="20"/>
        </w:rPr>
        <w:t>Do any of the following special circumstances apply?</w:t>
      </w:r>
      <w:r w:rsidRPr="00401B4E">
        <w:rPr>
          <w:szCs w:val="20"/>
        </w:rPr>
        <w:t>  </w:t>
      </w:r>
    </w:p>
    <w:p w:rsidR="003738C5" w:rsidRPr="00401B4E" w:rsidP="003738C5" w14:paraId="284CD25A" w14:textId="77777777">
      <w:pPr>
        <w:shd w:val="clear" w:color="auto" w:fill="BFBFBF" w:themeFill="background1" w:themeFillShade="BF"/>
        <w:ind w:left="660"/>
        <w:rPr>
          <w:szCs w:val="20"/>
        </w:rPr>
      </w:pPr>
      <w:r w:rsidRPr="00401B4E">
        <w:rPr>
          <w:i/>
          <w:iCs/>
          <w:szCs w:val="20"/>
        </w:rPr>
        <w:t>• requiring respondents to report information to the agency more often than quarterly; </w:t>
      </w:r>
      <w:r w:rsidRPr="00401B4E">
        <w:rPr>
          <w:szCs w:val="20"/>
        </w:rPr>
        <w:t> </w:t>
      </w:r>
    </w:p>
    <w:p w:rsidR="003738C5" w:rsidRPr="00401B4E" w:rsidP="003738C5" w14:paraId="262E90F3" w14:textId="77777777">
      <w:pPr>
        <w:shd w:val="clear" w:color="auto" w:fill="BFBFBF" w:themeFill="background1" w:themeFillShade="BF"/>
        <w:ind w:left="660"/>
        <w:rPr>
          <w:szCs w:val="20"/>
        </w:rPr>
      </w:pPr>
      <w:r w:rsidRPr="00401B4E">
        <w:rPr>
          <w:i/>
          <w:iCs/>
          <w:szCs w:val="20"/>
        </w:rPr>
        <w:t>•requiring respondents to prepare a written response to a collection of information in fewer than 30 days after receipt of it;  </w:t>
      </w:r>
      <w:r w:rsidRPr="00401B4E">
        <w:rPr>
          <w:szCs w:val="20"/>
        </w:rPr>
        <w:t> </w:t>
      </w:r>
    </w:p>
    <w:p w:rsidR="003738C5" w:rsidRPr="00401B4E" w:rsidP="003738C5" w14:paraId="637B9457" w14:textId="77777777">
      <w:pPr>
        <w:shd w:val="clear" w:color="auto" w:fill="BFBFBF" w:themeFill="background1" w:themeFillShade="BF"/>
        <w:ind w:left="660"/>
        <w:rPr>
          <w:szCs w:val="20"/>
        </w:rPr>
      </w:pPr>
      <w:r w:rsidRPr="00401B4E">
        <w:rPr>
          <w:i/>
          <w:iCs/>
          <w:szCs w:val="20"/>
        </w:rPr>
        <w:t>•requiring respondents to submit more than an original and two copies of any document; </w:t>
      </w:r>
      <w:r w:rsidRPr="00401B4E">
        <w:rPr>
          <w:szCs w:val="20"/>
        </w:rPr>
        <w:t> </w:t>
      </w:r>
    </w:p>
    <w:p w:rsidR="003738C5" w:rsidRPr="00401B4E" w:rsidP="003738C5" w14:paraId="16F6B42F" w14:textId="77777777">
      <w:pPr>
        <w:shd w:val="clear" w:color="auto" w:fill="BFBFBF" w:themeFill="background1" w:themeFillShade="BF"/>
        <w:ind w:left="660"/>
        <w:rPr>
          <w:szCs w:val="20"/>
        </w:rPr>
      </w:pPr>
      <w:r w:rsidRPr="00401B4E">
        <w:rPr>
          <w:i/>
          <w:iCs/>
          <w:szCs w:val="20"/>
        </w:rPr>
        <w:t>• requiring respondents to retain records, other than health, medical, government contract, grant-in-aid, or tax records, for more than three years; </w:t>
      </w:r>
      <w:r w:rsidRPr="00401B4E">
        <w:rPr>
          <w:szCs w:val="20"/>
        </w:rPr>
        <w:t> </w:t>
      </w:r>
    </w:p>
    <w:p w:rsidR="003738C5" w:rsidRPr="00401B4E" w:rsidP="003738C5" w14:paraId="116B3C1B" w14:textId="77777777">
      <w:pPr>
        <w:shd w:val="clear" w:color="auto" w:fill="BFBFBF" w:themeFill="background1" w:themeFillShade="BF"/>
        <w:ind w:left="660"/>
        <w:rPr>
          <w:szCs w:val="20"/>
        </w:rPr>
      </w:pPr>
      <w:r w:rsidRPr="00401B4E">
        <w:rPr>
          <w:i/>
          <w:iCs/>
          <w:szCs w:val="20"/>
        </w:rPr>
        <w:t xml:space="preserve">• in connection with a statistical </w:t>
      </w:r>
      <w:r w:rsidRPr="00401B4E">
        <w:rPr>
          <w:i/>
          <w:iCs/>
          <w:szCs w:val="20"/>
        </w:rPr>
        <w:t>survey,</w:t>
      </w:r>
      <w:r w:rsidRPr="00401B4E">
        <w:rPr>
          <w:i/>
          <w:iCs/>
          <w:szCs w:val="20"/>
        </w:rPr>
        <w:t xml:space="preserve"> that is not designed to produce valid and reliable results that can be generalized to the universe of study; </w:t>
      </w:r>
      <w:r w:rsidRPr="00401B4E">
        <w:rPr>
          <w:szCs w:val="20"/>
        </w:rPr>
        <w:t> </w:t>
      </w:r>
    </w:p>
    <w:p w:rsidR="003738C5" w:rsidRPr="00401B4E" w:rsidP="003738C5" w14:paraId="59ED80CB" w14:textId="77777777">
      <w:pPr>
        <w:shd w:val="clear" w:color="auto" w:fill="BFBFBF" w:themeFill="background1" w:themeFillShade="BF"/>
        <w:ind w:left="660"/>
        <w:rPr>
          <w:szCs w:val="20"/>
        </w:rPr>
      </w:pPr>
      <w:r w:rsidRPr="00401B4E">
        <w:rPr>
          <w:i/>
          <w:iCs/>
          <w:szCs w:val="20"/>
        </w:rPr>
        <w:t>• requiring the use of a statistical data classification that has not been reviewed and approved by OMB; </w:t>
      </w:r>
      <w:r w:rsidRPr="00401B4E">
        <w:rPr>
          <w:szCs w:val="20"/>
        </w:rPr>
        <w:t> </w:t>
      </w:r>
    </w:p>
    <w:p w:rsidR="003738C5" w:rsidRPr="00401B4E" w:rsidP="003738C5" w14:paraId="0772D34D" w14:textId="77777777">
      <w:pPr>
        <w:shd w:val="clear" w:color="auto" w:fill="BFBFBF" w:themeFill="background1" w:themeFillShade="BF"/>
        <w:ind w:left="660"/>
        <w:rPr>
          <w:szCs w:val="20"/>
        </w:rPr>
      </w:pPr>
      <w:r w:rsidRPr="00401B4E">
        <w:rPr>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szCs w:val="20"/>
        </w:rPr>
        <w:t> </w:t>
      </w:r>
    </w:p>
    <w:p w:rsidR="003738C5" w:rsidRPr="00401B4E" w:rsidP="003738C5" w14:paraId="5B20E57F" w14:textId="77777777">
      <w:pPr>
        <w:shd w:val="clear" w:color="auto" w:fill="BFBFBF" w:themeFill="background1" w:themeFillShade="BF"/>
        <w:ind w:left="660"/>
        <w:rPr>
          <w:szCs w:val="20"/>
        </w:rPr>
      </w:pPr>
      <w:r w:rsidRPr="00401B4E">
        <w:rPr>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szCs w:val="20"/>
        </w:rPr>
        <w:t> </w:t>
      </w:r>
    </w:p>
    <w:p w:rsidR="00783A70" w:rsidP="00783A70" w14:paraId="57FBC83F" w14:textId="77777777">
      <w:pPr>
        <w:ind w:left="720"/>
      </w:pPr>
    </w:p>
    <w:p w:rsidR="003738C5" w:rsidP="003738C5" w14:paraId="15535A42" w14:textId="77777777">
      <w:pPr>
        <w:ind w:left="660"/>
        <w:rPr>
          <w:szCs w:val="20"/>
        </w:rPr>
      </w:pPr>
      <w:r w:rsidRPr="00401B4E">
        <w:rPr>
          <w:szCs w:val="20"/>
        </w:rPr>
        <w:t>There are no special circumstances involved in the collection of this information. </w:t>
      </w:r>
    </w:p>
    <w:p w:rsidR="00B86858" w:rsidP="00783A70" w14:paraId="715072D5" w14:textId="77777777">
      <w:pPr>
        <w:ind w:left="720"/>
      </w:pPr>
    </w:p>
    <w:p w:rsidR="003738C5" w:rsidRPr="00092BE2" w:rsidP="003738C5" w14:paraId="74124C8A" w14:textId="77777777">
      <w:pPr>
        <w:numPr>
          <w:ilvl w:val="0"/>
          <w:numId w:val="12"/>
        </w:numPr>
        <w:shd w:val="clear" w:color="auto" w:fill="BFBFBF" w:themeFill="background1" w:themeFillShade="BF"/>
        <w:rPr>
          <w:szCs w:val="20"/>
        </w:rPr>
      </w:pPr>
      <w:r w:rsidRPr="00092BE2">
        <w:rPr>
          <w:i/>
          <w:iCs/>
          <w:szCs w:val="20"/>
        </w:rPr>
        <w:t>Cite the Federal Register publication for a request for public comments and address any comments received.</w:t>
      </w:r>
      <w:r w:rsidRPr="00092BE2">
        <w:rPr>
          <w:szCs w:val="20"/>
        </w:rPr>
        <w:t> </w:t>
      </w:r>
    </w:p>
    <w:p w:rsidR="00B86858" w:rsidP="00783A70" w14:paraId="0FB5865D" w14:textId="77777777">
      <w:pPr>
        <w:ind w:left="720"/>
      </w:pPr>
    </w:p>
    <w:p w:rsidR="003738C5" w:rsidP="003738C5" w14:paraId="6338A89A" w14:textId="73B85961">
      <w:pPr>
        <w:ind w:left="720"/>
      </w:pPr>
      <w:r>
        <w:t xml:space="preserve">On </w:t>
      </w:r>
      <w:r w:rsidR="00976574">
        <w:t>March 9</w:t>
      </w:r>
      <w:r>
        <w:t>, 2026</w:t>
      </w:r>
      <w:r w:rsidR="03A5D8F1">
        <w:t>,</w:t>
      </w:r>
      <w:r>
        <w:t xml:space="preserve"> a 60</w:t>
      </w:r>
      <w:r w:rsidR="1684E6C9">
        <w:t>-d</w:t>
      </w:r>
      <w:r>
        <w:t>ay Federal Register Notice was published at 91 F</w:t>
      </w:r>
      <w:r w:rsidR="79ECC882">
        <w:t xml:space="preserve">ed. </w:t>
      </w:r>
      <w:r>
        <w:t>R</w:t>
      </w:r>
      <w:r w:rsidR="5EA220EA">
        <w:t>eg.</w:t>
      </w:r>
      <w:r>
        <w:t xml:space="preserve"> </w:t>
      </w:r>
      <w:r w:rsidR="007F2120">
        <w:t xml:space="preserve">11347 </w:t>
      </w:r>
      <w:r>
        <w:t>requesting comments. No comments were received.</w:t>
      </w:r>
    </w:p>
    <w:p w:rsidR="000973FF" w:rsidP="003738C5" w14:paraId="0F4350EB" w14:textId="77777777">
      <w:pPr>
        <w:ind w:left="720"/>
      </w:pPr>
    </w:p>
    <w:p w:rsidR="003738C5" w:rsidP="00783A70" w14:paraId="71D3BE4E" w14:textId="77777777">
      <w:pPr>
        <w:ind w:left="720"/>
      </w:pPr>
    </w:p>
    <w:p w:rsidR="003738C5" w:rsidRPr="00092BE2" w:rsidP="003738C5" w14:paraId="37830229" w14:textId="41477CEB">
      <w:pPr>
        <w:numPr>
          <w:ilvl w:val="0"/>
          <w:numId w:val="12"/>
        </w:numPr>
        <w:shd w:val="clear" w:color="auto" w:fill="BFBFBF" w:themeFill="background1" w:themeFillShade="BF"/>
        <w:rPr>
          <w:szCs w:val="20"/>
        </w:rPr>
      </w:pPr>
      <w:r>
        <w:rPr>
          <w:i/>
          <w:iCs/>
          <w:szCs w:val="20"/>
        </w:rPr>
        <w:t>Are payments or gifts given to the respondent?</w:t>
      </w:r>
    </w:p>
    <w:p w:rsidR="00F93381" w:rsidP="00F93381" w14:paraId="46EE7EF1" w14:textId="77777777">
      <w:pPr>
        <w:ind w:left="720"/>
      </w:pPr>
    </w:p>
    <w:p w:rsidR="00E9789D" w:rsidRPr="00741061" w:rsidP="00E9789D" w14:paraId="66A56D46" w14:textId="77777777">
      <w:pPr>
        <w:tabs>
          <w:tab w:val="left" w:pos="-720"/>
        </w:tabs>
        <w:suppressAutoHyphens/>
        <w:ind w:left="720" w:right="-576"/>
      </w:pPr>
      <w:r w:rsidRPr="00741061">
        <w:t>No gifts or payments of any kind have been provided to any individuals who are connected to this collection.</w:t>
      </w:r>
    </w:p>
    <w:p w:rsidR="00F33BE8" w:rsidP="001C1EA7" w14:paraId="0CB9CF8C" w14:textId="77777777">
      <w:pPr>
        <w:ind w:left="720"/>
      </w:pPr>
    </w:p>
    <w:p w:rsidR="00F33BE8" w:rsidRPr="00092BE2" w:rsidP="00F33BE8" w14:paraId="2817CD86"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Describe any assurances of privacy/confidentiality. Cite specific privacy laws, relevant OPM regulations, and SORNs. </w:t>
      </w:r>
    </w:p>
    <w:p w:rsidR="001C1EA7" w:rsidP="00F93381" w14:paraId="4E918FFA" w14:textId="77777777">
      <w:pPr>
        <w:ind w:left="720"/>
      </w:pPr>
    </w:p>
    <w:p w:rsidR="00F33BE8" w:rsidRPr="00401B4E" w:rsidP="2FE92372" w14:paraId="0293FB6E" w14:textId="1FB04278">
      <w:pPr>
        <w:pStyle w:val="ListParagraph"/>
        <w:suppressAutoHyphens/>
      </w:pPr>
      <w:r>
        <w:t xml:space="preserve">This information collection is protected by the Privacy Act of 1974 and OPM regulations (5 CFR </w:t>
      </w:r>
      <w:r w:rsidRPr="342273BE" w:rsidR="213DD303">
        <w:rPr>
          <w:rFonts w:ascii="Aptos" w:eastAsia="Aptos" w:hAnsi="Aptos" w:cs="Aptos"/>
          <w:sz w:val="22"/>
          <w:szCs w:val="22"/>
        </w:rPr>
        <w:t>§</w:t>
      </w:r>
      <w:r w:rsidR="213DD303">
        <w:t xml:space="preserve"> </w:t>
      </w:r>
      <w:r>
        <w:t xml:space="preserve">831.106). </w:t>
      </w:r>
      <w:r w:rsidRPr="342273BE" w:rsidR="518E3379">
        <w:rPr>
          <w:color w:val="000000" w:themeColor="text1"/>
          <w:szCs w:val="24"/>
        </w:rPr>
        <w:t xml:space="preserve"> The routine uses of disclosure appear in the Federal Register for OPM/Central-1 (87 FR 5874, published February 2, 2022; revised 88 FR 56058 August 17, 2023).  </w:t>
      </w:r>
    </w:p>
    <w:p w:rsidR="00F33BE8" w:rsidRPr="00401B4E" w:rsidP="2846962D" w14:paraId="02F0C44B" w14:textId="0CEBC402">
      <w:pPr>
        <w:pStyle w:val="ListParagraph"/>
        <w:suppressAutoHyphens/>
      </w:pPr>
    </w:p>
    <w:p w:rsidR="00AA7E4B" w:rsidP="00F93381" w14:paraId="05EDA17B" w14:textId="77777777">
      <w:pPr>
        <w:ind w:left="720"/>
      </w:pPr>
    </w:p>
    <w:p w:rsidR="00F33BE8" w:rsidRPr="00092BE2" w:rsidP="00F33BE8" w14:paraId="37DA4D12"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7F2120" w:rsidRPr="008A0DCF" w:rsidP="007F2120" w14:paraId="4AFE4C5C" w14:textId="77777777">
      <w:pPr>
        <w:pStyle w:val="ListParagraph"/>
        <w:spacing w:before="240"/>
      </w:pPr>
      <w:r>
        <w:t xml:space="preserve">The information collection does not include questions regarding sexual behavior and attitudes or religious beliefs, </w:t>
      </w:r>
      <w:r>
        <w:t>and</w:t>
      </w:r>
      <w:r>
        <w:t xml:space="preserve"> other matters that are commonly considered private.  However, the collection does include questions about the health and physical condition of the applicant because these matters are fundamental to the decision as to whether to allow the insurable interest survivor election.</w:t>
      </w:r>
      <w:r w:rsidRPr="008A0DCF">
        <w:t xml:space="preserve"> </w:t>
      </w:r>
    </w:p>
    <w:p w:rsidR="00AA7E4B" w:rsidP="00AA7E4B" w14:paraId="4AA58F29" w14:textId="77777777">
      <w:pPr>
        <w:ind w:left="630"/>
      </w:pPr>
    </w:p>
    <w:p w:rsidR="00F33BE8" w:rsidRPr="00092BE2" w:rsidP="00F33BE8" w14:paraId="7D5F2A17" w14:textId="45DBB226">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4"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0973FF" w:rsidP="000973FF" w14:paraId="153CECE7" w14:textId="645C0E9B">
      <w:pPr>
        <w:pStyle w:val="ListParagraph"/>
        <w:spacing w:before="240"/>
      </w:pPr>
      <w:r>
        <w:t xml:space="preserve">Approximately 150 responses from separated applicants are processed annually.  Of the 150 respondents, 75 are </w:t>
      </w:r>
      <w:r w:rsidR="282C0612">
        <w:t xml:space="preserve">covered under </w:t>
      </w:r>
      <w:r w:rsidR="56D91D93">
        <w:t>t</w:t>
      </w:r>
      <w:r w:rsidR="282C0612">
        <w:t xml:space="preserve">he </w:t>
      </w:r>
      <w:r>
        <w:t xml:space="preserve">Civil Service Retirement System (SF 2803) and 75 are </w:t>
      </w:r>
      <w:r w:rsidR="5F8214E2">
        <w:t xml:space="preserve">covered under the </w:t>
      </w:r>
      <w:r>
        <w:t>Federal Employees</w:t>
      </w:r>
      <w:r w:rsidR="61DB5588">
        <w:t>’</w:t>
      </w:r>
      <w:r>
        <w:t xml:space="preserve"> Retirement System (SF 3108). This information collection requires approximately 30 minutes </w:t>
      </w:r>
      <w:r w:rsidR="07ACAFC0">
        <w:t xml:space="preserve">to </w:t>
      </w:r>
      <w:r>
        <w:t>fill out</w:t>
      </w:r>
      <w:r w:rsidR="15363C9E">
        <w:t xml:space="preserve"> and complete the form</w:t>
      </w:r>
      <w:r>
        <w:t xml:space="preserve">. An estimated burden of 75 hours is required to complete this information collection. </w:t>
      </w:r>
    </w:p>
    <w:p w:rsidR="00871D47" w:rsidP="00E9789D" w14:paraId="66599F89" w14:textId="77777777">
      <w:pPr>
        <w:pStyle w:val="ListParagraph"/>
        <w:spacing w:before="240"/>
      </w:pPr>
    </w:p>
    <w:tbl>
      <w:tblPr>
        <w:tblStyle w:val="TableGrid"/>
        <w:tblW w:w="9085" w:type="dxa"/>
        <w:tblInd w:w="720" w:type="dxa"/>
        <w:tblLayout w:type="fixed"/>
        <w:tblLook w:val="04A0"/>
      </w:tblPr>
      <w:tblGrid>
        <w:gridCol w:w="1255"/>
        <w:gridCol w:w="1080"/>
        <w:gridCol w:w="1260"/>
        <w:gridCol w:w="1170"/>
        <w:gridCol w:w="1170"/>
        <w:gridCol w:w="990"/>
        <w:gridCol w:w="990"/>
        <w:gridCol w:w="1170"/>
      </w:tblGrid>
      <w:tr w14:paraId="648DB78C" w14:textId="3D4A7D79" w:rsidTr="59D4E63D">
        <w:tblPrEx>
          <w:tblW w:w="9085" w:type="dxa"/>
          <w:tblInd w:w="720" w:type="dxa"/>
          <w:tblLayout w:type="fixed"/>
          <w:tblLook w:val="04A0"/>
        </w:tblPrEx>
        <w:tc>
          <w:tcPr>
            <w:tcW w:w="1255" w:type="dxa"/>
            <w:shd w:val="clear" w:color="auto" w:fill="D9D9D9" w:themeFill="background1" w:themeFillShade="D9"/>
          </w:tcPr>
          <w:p w:rsidR="00F039EC" w:rsidRPr="008869F8" w14:paraId="4B48AA53" w14:textId="7F60004F">
            <w:pPr>
              <w:spacing w:before="240"/>
              <w:rPr>
                <w:rFonts w:ascii="Arial" w:hAnsi="Arial" w:cs="Arial"/>
                <w:b/>
                <w:sz w:val="16"/>
                <w:szCs w:val="16"/>
              </w:rPr>
            </w:pPr>
            <w:r>
              <w:rPr>
                <w:rFonts w:ascii="Arial" w:hAnsi="Arial" w:cs="Arial"/>
                <w:b/>
                <w:sz w:val="16"/>
                <w:szCs w:val="16"/>
              </w:rPr>
              <w:t>Form Name</w:t>
            </w:r>
          </w:p>
        </w:tc>
        <w:tc>
          <w:tcPr>
            <w:tcW w:w="1080" w:type="dxa"/>
            <w:shd w:val="clear" w:color="auto" w:fill="D9D9D9" w:themeFill="background1" w:themeFillShade="D9"/>
          </w:tcPr>
          <w:p w:rsidR="00F039EC" w:rsidRPr="008869F8" w14:paraId="3DBB07CC" w14:textId="797DD66F">
            <w:pPr>
              <w:spacing w:before="240"/>
              <w:rPr>
                <w:rFonts w:ascii="Arial" w:hAnsi="Arial" w:cs="Arial"/>
                <w:b/>
                <w:sz w:val="16"/>
                <w:szCs w:val="16"/>
              </w:rPr>
            </w:pPr>
            <w:r>
              <w:rPr>
                <w:rFonts w:ascii="Arial" w:hAnsi="Arial" w:cs="Arial"/>
                <w:b/>
                <w:sz w:val="16"/>
                <w:szCs w:val="16"/>
              </w:rPr>
              <w:t>Form Number</w:t>
            </w:r>
          </w:p>
        </w:tc>
        <w:tc>
          <w:tcPr>
            <w:tcW w:w="1260" w:type="dxa"/>
            <w:shd w:val="clear" w:color="auto" w:fill="D9D9D9" w:themeFill="background1" w:themeFillShade="D9"/>
          </w:tcPr>
          <w:p w:rsidR="00F039EC" w:rsidRPr="008869F8"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F039EC" w:rsidRPr="008869F8"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70" w:type="dxa"/>
            <w:shd w:val="clear" w:color="auto" w:fill="D9D9D9" w:themeFill="background1" w:themeFillShade="D9"/>
          </w:tcPr>
          <w:p w:rsidR="00F039EC" w:rsidRPr="008869F8"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90" w:type="dxa"/>
            <w:shd w:val="clear" w:color="auto" w:fill="D9D9D9" w:themeFill="background1" w:themeFillShade="D9"/>
          </w:tcPr>
          <w:p w:rsidR="00F039EC" w:rsidRPr="008869F8" w14:paraId="236D2E6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F039EC" w:rsidRPr="00F039EC" w14:paraId="0BE0AF54" w14:textId="0FDABE7F">
            <w:pPr>
              <w:spacing w:before="240"/>
              <w:rPr>
                <w:rFonts w:ascii="Arial" w:hAnsi="Arial" w:cs="Arial"/>
                <w:b/>
                <w:sz w:val="16"/>
                <w:szCs w:val="16"/>
              </w:rPr>
            </w:pPr>
            <w:r w:rsidRPr="00F039EC">
              <w:rPr>
                <w:rFonts w:ascii="Arial" w:hAnsi="Arial" w:cs="Arial"/>
                <w:b/>
                <w:sz w:val="16"/>
                <w:szCs w:val="16"/>
              </w:rPr>
              <w:t>Average Hourly Wage Rate</w:t>
            </w:r>
          </w:p>
        </w:tc>
        <w:tc>
          <w:tcPr>
            <w:tcW w:w="1170" w:type="dxa"/>
            <w:shd w:val="clear" w:color="auto" w:fill="D9D9D9" w:themeFill="background1" w:themeFillShade="D9"/>
          </w:tcPr>
          <w:p w:rsidR="00F039EC" w:rsidRPr="008869F8" w14:paraId="6DBC6A90" w14:textId="1643BD47">
            <w:pPr>
              <w:spacing w:before="240"/>
              <w:rPr>
                <w:rFonts w:ascii="Arial" w:hAnsi="Arial" w:cs="Arial"/>
                <w:b/>
                <w:sz w:val="16"/>
                <w:szCs w:val="16"/>
              </w:rPr>
            </w:pPr>
            <w:r w:rsidRPr="00F039EC">
              <w:rPr>
                <w:rFonts w:ascii="Arial" w:hAnsi="Arial" w:cs="Arial"/>
                <w:b/>
                <w:sz w:val="16"/>
                <w:szCs w:val="16"/>
              </w:rPr>
              <w:t>Total Annual Respondent Cost</w:t>
            </w:r>
          </w:p>
        </w:tc>
      </w:tr>
      <w:tr w14:paraId="381F2EE3" w14:textId="70510DD2" w:rsidTr="59D4E63D">
        <w:tblPrEx>
          <w:tblW w:w="9085" w:type="dxa"/>
          <w:tblInd w:w="720" w:type="dxa"/>
          <w:tblLayout w:type="fixed"/>
          <w:tblLook w:val="04A0"/>
        </w:tblPrEx>
        <w:trPr>
          <w:trHeight w:val="782"/>
        </w:trPr>
        <w:tc>
          <w:tcPr>
            <w:tcW w:w="1255" w:type="dxa"/>
          </w:tcPr>
          <w:p w:rsidR="000973FF" w:rsidRPr="000973FF" w:rsidP="000973FF" w14:paraId="19D384B2" w14:textId="15BCEC00">
            <w:pPr>
              <w:pStyle w:val="TableParagraph"/>
              <w:rPr>
                <w:sz w:val="16"/>
                <w:szCs w:val="16"/>
              </w:rPr>
            </w:pPr>
            <w:r w:rsidRPr="000973FF">
              <w:rPr>
                <w:sz w:val="16"/>
                <w:szCs w:val="16"/>
              </w:rPr>
              <w:t xml:space="preserve">Application to Make Deposit or Redeposit (CSRS) </w:t>
            </w:r>
          </w:p>
          <w:p w:rsidR="00F039EC" w:rsidRPr="008869F8" w:rsidP="000973FF" w14:paraId="2BC75A7D" w14:textId="02D5E361">
            <w:pPr>
              <w:pStyle w:val="TableParagraph"/>
              <w:rPr>
                <w:sz w:val="18"/>
                <w:szCs w:val="18"/>
              </w:rPr>
            </w:pPr>
            <w:r w:rsidRPr="000973FF">
              <w:rPr>
                <w:sz w:val="16"/>
                <w:szCs w:val="16"/>
              </w:rPr>
              <w:t xml:space="preserve">  </w:t>
            </w:r>
          </w:p>
        </w:tc>
        <w:tc>
          <w:tcPr>
            <w:tcW w:w="1080" w:type="dxa"/>
          </w:tcPr>
          <w:p w:rsidR="00F039EC" w:rsidRPr="008869F8" w14:paraId="19E74514" w14:textId="7F869920">
            <w:pPr>
              <w:spacing w:before="240"/>
              <w:rPr>
                <w:sz w:val="18"/>
                <w:szCs w:val="18"/>
              </w:rPr>
            </w:pPr>
            <w:r w:rsidRPr="000973FF">
              <w:rPr>
                <w:sz w:val="16"/>
                <w:szCs w:val="16"/>
              </w:rPr>
              <w:t>SF 2103</w:t>
            </w:r>
          </w:p>
        </w:tc>
        <w:tc>
          <w:tcPr>
            <w:tcW w:w="1260" w:type="dxa"/>
          </w:tcPr>
          <w:p w:rsidR="00F039EC" w:rsidRPr="008869F8" w14:paraId="5851D7AC" w14:textId="67F16DD1">
            <w:pPr>
              <w:spacing w:before="240"/>
              <w:jc w:val="right"/>
              <w:rPr>
                <w:sz w:val="18"/>
                <w:szCs w:val="18"/>
              </w:rPr>
            </w:pPr>
            <w:r>
              <w:rPr>
                <w:sz w:val="18"/>
                <w:szCs w:val="18"/>
              </w:rPr>
              <w:t>75</w:t>
            </w:r>
          </w:p>
        </w:tc>
        <w:tc>
          <w:tcPr>
            <w:tcW w:w="1170" w:type="dxa"/>
          </w:tcPr>
          <w:p w:rsidR="00F039EC" w:rsidRPr="008869F8" w14:paraId="56CBBF4B" w14:textId="77777777">
            <w:pPr>
              <w:spacing w:before="240"/>
              <w:jc w:val="right"/>
              <w:rPr>
                <w:sz w:val="18"/>
                <w:szCs w:val="18"/>
              </w:rPr>
            </w:pPr>
            <w:r>
              <w:rPr>
                <w:sz w:val="18"/>
                <w:szCs w:val="18"/>
              </w:rPr>
              <w:t>1</w:t>
            </w:r>
          </w:p>
        </w:tc>
        <w:tc>
          <w:tcPr>
            <w:tcW w:w="1170" w:type="dxa"/>
          </w:tcPr>
          <w:p w:rsidR="00F039EC" w:rsidRPr="008869F8" w14:paraId="617689F8" w14:textId="23BF37BD">
            <w:pPr>
              <w:spacing w:before="240"/>
              <w:jc w:val="right"/>
              <w:rPr>
                <w:sz w:val="18"/>
                <w:szCs w:val="18"/>
              </w:rPr>
            </w:pPr>
            <w:r>
              <w:rPr>
                <w:sz w:val="18"/>
                <w:szCs w:val="18"/>
              </w:rPr>
              <w:t>.5</w:t>
            </w:r>
          </w:p>
        </w:tc>
        <w:tc>
          <w:tcPr>
            <w:tcW w:w="990" w:type="dxa"/>
          </w:tcPr>
          <w:p w:rsidR="00F039EC" w:rsidRPr="008869F8" w:rsidP="0DDB2DEF" w14:paraId="1B97D440" w14:textId="742126A4">
            <w:pPr>
              <w:spacing w:before="240" w:line="259" w:lineRule="auto"/>
              <w:jc w:val="right"/>
              <w:rPr>
                <w:sz w:val="18"/>
                <w:szCs w:val="18"/>
              </w:rPr>
            </w:pPr>
            <w:r w:rsidRPr="59D4E63D">
              <w:rPr>
                <w:sz w:val="18"/>
                <w:szCs w:val="18"/>
              </w:rPr>
              <w:t>37.5</w:t>
            </w:r>
          </w:p>
        </w:tc>
        <w:tc>
          <w:tcPr>
            <w:tcW w:w="990" w:type="dxa"/>
          </w:tcPr>
          <w:p w:rsidR="00F039EC" w14:paraId="7BAF189A" w14:textId="72DEB43B">
            <w:pPr>
              <w:spacing w:before="240"/>
              <w:jc w:val="right"/>
              <w:rPr>
                <w:sz w:val="18"/>
                <w:szCs w:val="18"/>
              </w:rPr>
            </w:pPr>
            <w:r>
              <w:rPr>
                <w:sz w:val="18"/>
                <w:szCs w:val="18"/>
              </w:rPr>
              <w:t>$32.66</w:t>
            </w:r>
          </w:p>
        </w:tc>
        <w:tc>
          <w:tcPr>
            <w:tcW w:w="1170" w:type="dxa"/>
          </w:tcPr>
          <w:p w:rsidR="00F039EC" w14:paraId="708C26B3" w14:textId="74A9298A">
            <w:pPr>
              <w:spacing w:before="240"/>
              <w:jc w:val="right"/>
              <w:rPr>
                <w:sz w:val="18"/>
                <w:szCs w:val="18"/>
              </w:rPr>
            </w:pPr>
            <w:r>
              <w:rPr>
                <w:sz w:val="18"/>
                <w:szCs w:val="18"/>
              </w:rPr>
              <w:t>$</w:t>
            </w:r>
            <w:r w:rsidR="00B64BE6">
              <w:rPr>
                <w:sz w:val="18"/>
                <w:szCs w:val="18"/>
              </w:rPr>
              <w:t>1,225</w:t>
            </w:r>
          </w:p>
        </w:tc>
      </w:tr>
      <w:tr w14:paraId="4ED70C6A" w14:textId="77777777" w:rsidTr="59D4E63D">
        <w:tblPrEx>
          <w:tblW w:w="9085" w:type="dxa"/>
          <w:tblInd w:w="720" w:type="dxa"/>
          <w:tblLayout w:type="fixed"/>
          <w:tblLook w:val="04A0"/>
        </w:tblPrEx>
        <w:tc>
          <w:tcPr>
            <w:tcW w:w="1255" w:type="dxa"/>
          </w:tcPr>
          <w:p w:rsidR="00A836FB" w:rsidRPr="00A836FB" w:rsidP="00A836FB" w14:paraId="1424F69E" w14:textId="77777777">
            <w:pPr>
              <w:pStyle w:val="TableParagraph"/>
              <w:rPr>
                <w:sz w:val="16"/>
                <w:szCs w:val="16"/>
              </w:rPr>
            </w:pPr>
            <w:r w:rsidRPr="00A836FB">
              <w:rPr>
                <w:sz w:val="16"/>
                <w:szCs w:val="16"/>
              </w:rPr>
              <w:t xml:space="preserve">Application to Make Service </w:t>
            </w:r>
            <w:r w:rsidRPr="00A836FB">
              <w:rPr>
                <w:sz w:val="16"/>
                <w:szCs w:val="16"/>
              </w:rPr>
              <w:t xml:space="preserve">Credit Payment for Civilian   </w:t>
            </w:r>
          </w:p>
          <w:p w:rsidR="00A836FB" w:rsidRPr="000973FF" w:rsidP="00A836FB" w14:paraId="4F35632D" w14:textId="26BBA8F6">
            <w:pPr>
              <w:pStyle w:val="TableParagraph"/>
              <w:rPr>
                <w:sz w:val="16"/>
                <w:szCs w:val="16"/>
              </w:rPr>
            </w:pPr>
            <w:r w:rsidRPr="00A836FB">
              <w:rPr>
                <w:sz w:val="16"/>
                <w:szCs w:val="16"/>
              </w:rPr>
              <w:t>Service (FERS)</w:t>
            </w:r>
          </w:p>
        </w:tc>
        <w:tc>
          <w:tcPr>
            <w:tcW w:w="1080" w:type="dxa"/>
          </w:tcPr>
          <w:p w:rsidR="00A836FB" w:rsidRPr="000973FF" w:rsidP="00A836FB" w14:paraId="4E2A8957" w14:textId="59A5EDE1">
            <w:pPr>
              <w:spacing w:before="240"/>
              <w:rPr>
                <w:sz w:val="16"/>
                <w:szCs w:val="16"/>
              </w:rPr>
            </w:pPr>
            <w:r>
              <w:rPr>
                <w:sz w:val="16"/>
                <w:szCs w:val="16"/>
              </w:rPr>
              <w:t>SF 3108</w:t>
            </w:r>
          </w:p>
        </w:tc>
        <w:tc>
          <w:tcPr>
            <w:tcW w:w="1260" w:type="dxa"/>
          </w:tcPr>
          <w:p w:rsidR="00A836FB" w:rsidP="00A836FB" w14:paraId="50E3C032" w14:textId="43823984">
            <w:pPr>
              <w:spacing w:before="240"/>
              <w:jc w:val="right"/>
              <w:rPr>
                <w:sz w:val="18"/>
                <w:szCs w:val="18"/>
              </w:rPr>
            </w:pPr>
            <w:r>
              <w:rPr>
                <w:sz w:val="18"/>
                <w:szCs w:val="18"/>
              </w:rPr>
              <w:t>75</w:t>
            </w:r>
          </w:p>
        </w:tc>
        <w:tc>
          <w:tcPr>
            <w:tcW w:w="1170" w:type="dxa"/>
          </w:tcPr>
          <w:p w:rsidR="00A836FB" w:rsidP="00A836FB" w14:paraId="4C512617" w14:textId="75E542A2">
            <w:pPr>
              <w:spacing w:before="240"/>
              <w:jc w:val="right"/>
              <w:rPr>
                <w:sz w:val="18"/>
                <w:szCs w:val="18"/>
              </w:rPr>
            </w:pPr>
            <w:r>
              <w:rPr>
                <w:sz w:val="18"/>
                <w:szCs w:val="18"/>
              </w:rPr>
              <w:t>1</w:t>
            </w:r>
          </w:p>
        </w:tc>
        <w:tc>
          <w:tcPr>
            <w:tcW w:w="1170" w:type="dxa"/>
          </w:tcPr>
          <w:p w:rsidR="00A836FB" w:rsidP="00A836FB" w14:paraId="602F17B8" w14:textId="773A3E34">
            <w:pPr>
              <w:spacing w:before="240"/>
              <w:jc w:val="right"/>
              <w:rPr>
                <w:sz w:val="18"/>
                <w:szCs w:val="18"/>
              </w:rPr>
            </w:pPr>
            <w:r>
              <w:rPr>
                <w:sz w:val="18"/>
                <w:szCs w:val="18"/>
              </w:rPr>
              <w:t>.5</w:t>
            </w:r>
          </w:p>
        </w:tc>
        <w:tc>
          <w:tcPr>
            <w:tcW w:w="990" w:type="dxa"/>
          </w:tcPr>
          <w:p w:rsidR="00A836FB" w:rsidP="00A836FB" w14:paraId="09ADE61B" w14:textId="42724EA5">
            <w:pPr>
              <w:spacing w:before="240"/>
              <w:jc w:val="right"/>
              <w:rPr>
                <w:sz w:val="18"/>
                <w:szCs w:val="18"/>
              </w:rPr>
            </w:pPr>
            <w:r w:rsidRPr="59D4E63D">
              <w:rPr>
                <w:sz w:val="18"/>
                <w:szCs w:val="18"/>
              </w:rPr>
              <w:t>3</w:t>
            </w:r>
            <w:r w:rsidRPr="59D4E63D">
              <w:rPr>
                <w:sz w:val="18"/>
                <w:szCs w:val="18"/>
              </w:rPr>
              <w:t>7</w:t>
            </w:r>
            <w:r w:rsidRPr="59D4E63D">
              <w:rPr>
                <w:sz w:val="18"/>
                <w:szCs w:val="18"/>
              </w:rPr>
              <w:t>.</w:t>
            </w:r>
            <w:r w:rsidRPr="59D4E63D">
              <w:rPr>
                <w:sz w:val="18"/>
                <w:szCs w:val="18"/>
              </w:rPr>
              <w:t>5</w:t>
            </w:r>
          </w:p>
        </w:tc>
        <w:tc>
          <w:tcPr>
            <w:tcW w:w="990" w:type="dxa"/>
          </w:tcPr>
          <w:p w:rsidR="00A836FB" w:rsidP="00A836FB" w14:paraId="6F6161BD" w14:textId="659A1EF7">
            <w:pPr>
              <w:spacing w:before="240"/>
              <w:jc w:val="right"/>
              <w:rPr>
                <w:sz w:val="18"/>
                <w:szCs w:val="18"/>
              </w:rPr>
            </w:pPr>
            <w:r>
              <w:rPr>
                <w:sz w:val="18"/>
                <w:szCs w:val="18"/>
              </w:rPr>
              <w:t>$32.66</w:t>
            </w:r>
          </w:p>
        </w:tc>
        <w:tc>
          <w:tcPr>
            <w:tcW w:w="1170" w:type="dxa"/>
          </w:tcPr>
          <w:p w:rsidR="00A836FB" w:rsidP="00A836FB" w14:paraId="05EF77E4" w14:textId="64A2D2EE">
            <w:pPr>
              <w:spacing w:before="240"/>
              <w:jc w:val="right"/>
              <w:rPr>
                <w:sz w:val="18"/>
                <w:szCs w:val="18"/>
              </w:rPr>
            </w:pPr>
            <w:r>
              <w:rPr>
                <w:sz w:val="18"/>
                <w:szCs w:val="18"/>
              </w:rPr>
              <w:t>$1,225</w:t>
            </w:r>
          </w:p>
        </w:tc>
      </w:tr>
    </w:tbl>
    <w:p w:rsidR="00681423" w:rsidP="00681423" w14:paraId="1F568B8A" w14:textId="77777777">
      <w:pPr>
        <w:ind w:left="720"/>
      </w:pPr>
    </w:p>
    <w:p w:rsidR="005C1816" w:rsidP="00681423" w14:paraId="52460994" w14:textId="3C1A3CF7">
      <w:pPr>
        <w:ind w:left="720"/>
      </w:pPr>
      <w:r>
        <w:t>The total Annual Respondent Cost is $</w:t>
      </w:r>
      <w:r w:rsidR="00A836FB">
        <w:t>2,450.</w:t>
      </w:r>
    </w:p>
    <w:p w:rsidR="00653D71" w:rsidP="002514CE" w14:paraId="178679D0" w14:textId="224F09C7">
      <w:r>
        <w:t xml:space="preserve">            </w:t>
      </w:r>
    </w:p>
    <w:p w:rsidR="008614CE" w:rsidP="4396FFAB" w14:paraId="64248EF0" w14:textId="698C6F44">
      <w:pPr>
        <w:pStyle w:val="ListParagraph"/>
        <w:numPr>
          <w:ilvl w:val="0"/>
          <w:numId w:val="12"/>
        </w:numPr>
        <w:shd w:val="clear" w:color="auto" w:fill="BFBFBF" w:themeFill="background1" w:themeFillShade="BF"/>
        <w:suppressAutoHyphens/>
        <w:rPr>
          <w:i/>
          <w:iCs/>
        </w:rPr>
      </w:pPr>
      <w:r w:rsidRPr="4396FFAB">
        <w:rPr>
          <w:i/>
          <w:iCs/>
        </w:rPr>
        <w:t>Describe the non-hourly monetary burden to respondents needed to complete this</w:t>
      </w:r>
      <w:r>
        <w:tab/>
      </w:r>
      <w:r w:rsidRPr="4396FFAB">
        <w:rPr>
          <w:i/>
          <w:iCs/>
        </w:rPr>
        <w:t xml:space="preserve"> </w:t>
      </w:r>
    </w:p>
    <w:p w:rsidR="00390F60" w:rsidP="4396FFAB" w14:paraId="4379D4DB" w14:textId="45E1025D">
      <w:pPr>
        <w:pStyle w:val="ListParagraph"/>
        <w:shd w:val="clear" w:color="auto" w:fill="BFBFBF" w:themeFill="background1" w:themeFillShade="BF"/>
        <w:suppressAutoHyphens/>
      </w:pPr>
      <w:r w:rsidRPr="4396FFAB">
        <w:rPr>
          <w:i/>
          <w:iCs/>
        </w:rPr>
        <w:t>collection. This is defined as out-of-pocket costs such as application fees for the collection, document fees (</w:t>
      </w:r>
      <w:hyperlink r:id="rId5">
        <w:r w:rsidRPr="4396FFAB">
          <w:rPr>
            <w:rStyle w:val="Hyperlink"/>
            <w:i/>
            <w:iCs/>
          </w:rPr>
          <w:t>birth/death certificates</w:t>
        </w:r>
      </w:hyperlink>
      <w:r w:rsidRPr="4396FFAB">
        <w:rPr>
          <w:i/>
          <w:iCs/>
        </w:rPr>
        <w:t>, school transcripts), mailing costs (</w:t>
      </w:r>
      <w:hyperlink r:id="rId6">
        <w:r w:rsidRPr="4396FFAB">
          <w:rPr>
            <w:rStyle w:val="Hyperlink"/>
            <w:i/>
            <w:iCs/>
          </w:rPr>
          <w:t>printing</w:t>
        </w:r>
      </w:hyperlink>
      <w:r w:rsidRPr="4396FFAB">
        <w:rPr>
          <w:i/>
          <w:iCs/>
        </w:rPr>
        <w:t xml:space="preserve">, </w:t>
      </w:r>
      <w:hyperlink r:id="rId7">
        <w:r w:rsidRPr="4396FFAB">
          <w:rPr>
            <w:rStyle w:val="Hyperlink"/>
            <w:i/>
            <w:iCs/>
          </w:rPr>
          <w:t>postage</w:t>
        </w:r>
      </w:hyperlink>
      <w:r w:rsidRPr="4396FFAB">
        <w:rPr>
          <w:i/>
          <w:iCs/>
        </w:rPr>
        <w:t xml:space="preserve">, and/or </w:t>
      </w:r>
      <w:hyperlink r:id="rId8">
        <w:r w:rsidRPr="4396FFAB">
          <w:rPr>
            <w:rStyle w:val="Hyperlink"/>
            <w:i/>
            <w:iCs/>
          </w:rPr>
          <w:t>mileage</w:t>
        </w:r>
      </w:hyperlink>
      <w:r w:rsidRPr="4396FFAB">
        <w:rPr>
          <w:i/>
          <w:iCs/>
        </w:rPr>
        <w:t>), or anything else respondents may need to pay to complete and/or implement the collection</w:t>
      </w:r>
      <w:r>
        <w:t>.</w:t>
      </w:r>
    </w:p>
    <w:p w:rsidR="00FB7A15" w:rsidP="00653D71" w14:paraId="03639295" w14:textId="77777777">
      <w:pPr>
        <w:ind w:left="720"/>
      </w:pPr>
    </w:p>
    <w:p w:rsidR="008614CE" w:rsidP="008614CE" w14:paraId="6D3B7EF5" w14:textId="77777777">
      <w:pPr>
        <w:ind w:left="720"/>
        <w:rPr>
          <w:szCs w:val="20"/>
        </w:rPr>
      </w:pPr>
      <w:r>
        <w:rPr>
          <w:szCs w:val="20"/>
        </w:rPr>
        <w:t>T</w:t>
      </w:r>
      <w:r w:rsidRPr="00727CF2">
        <w:rPr>
          <w:szCs w:val="20"/>
        </w:rPr>
        <w:t>here</w:t>
      </w:r>
      <w:r>
        <w:rPr>
          <w:szCs w:val="20"/>
        </w:rPr>
        <w:t xml:space="preserve"> i</w:t>
      </w:r>
      <w:r w:rsidRPr="00727CF2">
        <w:rPr>
          <w:szCs w:val="20"/>
        </w:rPr>
        <w:t>s no general cost associated with</w:t>
      </w:r>
      <w:r>
        <w:rPr>
          <w:szCs w:val="20"/>
        </w:rPr>
        <w:t xml:space="preserve"> this information collection.</w:t>
      </w:r>
    </w:p>
    <w:p w:rsidR="008877D7" w:rsidP="00653D71" w14:paraId="57EAC8A0" w14:textId="77777777">
      <w:pPr>
        <w:ind w:left="720"/>
      </w:pPr>
    </w:p>
    <w:p w:rsidR="000C53CD" w:rsidP="008614CE" w14:paraId="27558AC5" w14:textId="70F81776">
      <w:pPr>
        <w:shd w:val="clear" w:color="auto" w:fill="BFBFBF" w:themeFill="background1" w:themeFillShade="BF"/>
        <w:tabs>
          <w:tab w:val="left" w:pos="-720"/>
        </w:tabs>
        <w:suppressAutoHyphens/>
        <w:contextualSpacing/>
      </w:pPr>
      <w:r w:rsidRPr="00741061">
        <w:t xml:space="preserve">14. </w:t>
      </w:r>
      <w:r w:rsidRPr="008614CE" w:rsidR="008614CE">
        <w:rPr>
          <w:i/>
          <w:iCs/>
        </w:rPr>
        <w:t>Describe the cost incurred by the Federal Government to complete this collection table.</w:t>
      </w:r>
    </w:p>
    <w:p w:rsidR="008614CE" w:rsidP="00844F03" w14:paraId="2EE4C701" w14:textId="77777777">
      <w:pPr>
        <w:ind w:left="720"/>
      </w:pPr>
    </w:p>
    <w:p w:rsidR="008614CE" w:rsidP="00844F03" w14:paraId="409C1C58" w14:textId="647B5201">
      <w:pPr>
        <w:ind w:left="720"/>
      </w:pPr>
      <w:r>
        <w:t>The estimated cost to the Federal government is $</w:t>
      </w:r>
      <w:r w:rsidR="00B64BE6">
        <w:t>2,800</w:t>
      </w:r>
      <w:r>
        <w:t xml:space="preserve">.  </w:t>
      </w:r>
    </w:p>
    <w:p w:rsidR="007F2120" w:rsidP="00844F03" w14:paraId="6F837916" w14:textId="77777777">
      <w:pPr>
        <w:ind w:left="720"/>
      </w:pPr>
    </w:p>
    <w:p w:rsidR="008614CE" w:rsidP="4396FFAB" w14:paraId="08EA6A08" w14:textId="77777777">
      <w:pPr>
        <w:shd w:val="clear" w:color="auto" w:fill="BFBFBF" w:themeFill="background1" w:themeFillShade="BF"/>
        <w:suppressAutoHyphens/>
        <w:contextualSpacing/>
        <w:rPr>
          <w:i/>
          <w:iCs/>
        </w:rPr>
      </w:pPr>
      <w:r w:rsidRPr="4396FFAB">
        <w:rPr>
          <w:i/>
          <w:iCs/>
        </w:rPr>
        <w:t xml:space="preserve">15. Explain any changes/adjustments to this collection since the previous submission, if  </w:t>
      </w:r>
    </w:p>
    <w:p w:rsidR="008614CE" w:rsidP="4396FFAB" w14:paraId="18F902D4" w14:textId="77777777">
      <w:pPr>
        <w:shd w:val="clear" w:color="auto" w:fill="BFBFBF" w:themeFill="background1" w:themeFillShade="BF"/>
        <w:suppressAutoHyphens/>
        <w:contextualSpacing/>
        <w:rPr>
          <w:i/>
          <w:iCs/>
        </w:rPr>
      </w:pPr>
      <w:r w:rsidRPr="4396FFAB">
        <w:rPr>
          <w:i/>
          <w:iCs/>
        </w:rPr>
        <w:t xml:space="preserve">      applicable. Describe whether these changes impact the hour or cost burden. If yes, describe </w:t>
      </w:r>
    </w:p>
    <w:p w:rsidR="008614CE" w:rsidP="4396FFAB" w14:paraId="705B33CA" w14:textId="77777777">
      <w:pPr>
        <w:shd w:val="clear" w:color="auto" w:fill="BFBFBF" w:themeFill="background1" w:themeFillShade="BF"/>
        <w:suppressAutoHyphens/>
        <w:contextualSpacing/>
        <w:rPr>
          <w:i/>
          <w:iCs/>
        </w:rPr>
      </w:pPr>
      <w:r w:rsidRPr="4396FFAB">
        <w:rPr>
          <w:i/>
          <w:iCs/>
        </w:rPr>
        <w:t xml:space="preserve">      if the impact is the result of deliberate Federal government action (“program change”) or </w:t>
      </w:r>
    </w:p>
    <w:p w:rsidR="000C53CD" w:rsidP="4396FFAB" w14:paraId="39EE076E" w14:textId="128798D3">
      <w:pPr>
        <w:shd w:val="clear" w:color="auto" w:fill="BFBFBF" w:themeFill="background1" w:themeFillShade="BF"/>
        <w:suppressAutoHyphens/>
        <w:contextualSpacing/>
      </w:pPr>
      <w:r w:rsidRPr="4396FFAB">
        <w:rPr>
          <w:i/>
          <w:iCs/>
        </w:rPr>
        <w:t xml:space="preserve">      something else (“adjustment”).</w:t>
      </w:r>
      <w:r>
        <w:t> </w:t>
      </w:r>
    </w:p>
    <w:p w:rsidR="008614CE" w:rsidP="008877D7" w14:paraId="21C31A99" w14:textId="77777777">
      <w:pPr>
        <w:ind w:left="720"/>
      </w:pPr>
    </w:p>
    <w:p w:rsidR="008614CE" w:rsidP="008877D7" w14:paraId="5567277D" w14:textId="068D3BCC">
      <w:pPr>
        <w:ind w:left="720"/>
      </w:pPr>
      <w:r>
        <w:t xml:space="preserve"> Updates to the Privacy Act and Public Burden Statements have been made to the form since it was last submitted for renewal, which are listed below. However, there is no change in the hour or cost burden that is not based on updates on economic data. Therefore, any changes noted would be categorized as “adjustments.”</w:t>
      </w:r>
    </w:p>
    <w:p w:rsidR="008614CE" w:rsidP="008877D7" w14:paraId="3489E9A3" w14:textId="7FFACD3E">
      <w:pPr>
        <w:ind w:left="720"/>
      </w:pPr>
      <w:r>
        <w:t>.</w:t>
      </w:r>
    </w:p>
    <w:p w:rsidR="00100567" w:rsidP="008877D7" w14:paraId="7B461D17" w14:textId="77777777">
      <w:pPr>
        <w:ind w:left="720"/>
      </w:pPr>
    </w:p>
    <w:p w:rsidR="00846251" w:rsidP="00846251" w14:paraId="27F70269" w14:textId="69CD79E1">
      <w:pPr>
        <w:shd w:val="clear" w:color="auto" w:fill="BFBFBF" w:themeFill="background1" w:themeFillShade="BF"/>
        <w:contextualSpacing/>
        <w:rPr>
          <w:i/>
          <w:iCs/>
        </w:rPr>
      </w:pPr>
      <w:r w:rsidRPr="00741061">
        <w:t>16</w:t>
      </w:r>
      <w:r>
        <w:t xml:space="preserve">. </w:t>
      </w:r>
      <w:r w:rsidRPr="00846251">
        <w:rPr>
          <w:i/>
          <w:iCs/>
        </w:rPr>
        <w:t xml:space="preserve"> Specify</w:t>
      </w:r>
      <w:r w:rsidRPr="00846251">
        <w:rPr>
          <w:i/>
          <w:iCs/>
        </w:rPr>
        <w:t xml:space="preserve"> if the data gathered by this collection will be published. This could include </w:t>
      </w:r>
    </w:p>
    <w:p w:rsidR="00846251" w:rsidP="00846251" w14:paraId="26A7173E"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9E2BE8" w:rsidP="00846251" w14:paraId="2F7718AB" w14:textId="669F9477">
      <w:pPr>
        <w:shd w:val="clear" w:color="auto" w:fill="BFBFBF" w:themeFill="background1" w:themeFillShade="BF"/>
        <w:contextualSpacing/>
      </w:pPr>
      <w:r>
        <w:rPr>
          <w:i/>
          <w:iCs/>
        </w:rPr>
        <w:t xml:space="preserve">      </w:t>
      </w:r>
      <w:r w:rsidRPr="00846251">
        <w:rPr>
          <w:i/>
          <w:iCs/>
        </w:rPr>
        <w:t>reporting.</w:t>
      </w:r>
    </w:p>
    <w:p w:rsidR="00846251" w:rsidP="008877D7" w14:paraId="52E0C9A8" w14:textId="77777777">
      <w:pPr>
        <w:ind w:left="720"/>
      </w:pPr>
    </w:p>
    <w:p w:rsidR="00846251" w:rsidP="00846251" w14:paraId="1ECA4D63" w14:textId="05946010">
      <w:pPr>
        <w:ind w:left="660"/>
      </w:pPr>
      <w:r w:rsidRPr="00741061">
        <w:t>No information collected from the form will be published</w:t>
      </w:r>
      <w:r>
        <w:t>.</w:t>
      </w:r>
      <w:r w:rsidRPr="001461A3">
        <w:br/>
      </w:r>
    </w:p>
    <w:p w:rsidR="009B6DA1" w:rsidP="4396FFAB" w14:paraId="1A6C3B1C" w14:textId="77777777">
      <w:pPr>
        <w:pStyle w:val="ListParagraph"/>
        <w:shd w:val="clear" w:color="auto" w:fill="BFBFBF" w:themeFill="background1" w:themeFillShade="BF"/>
        <w:suppressAutoHyphens/>
        <w:ind w:left="0"/>
        <w:contextualSpacing/>
        <w:rPr>
          <w:i/>
          <w:iCs/>
        </w:rPr>
      </w:pPr>
      <w:r w:rsidRPr="4396FFAB">
        <w:rPr>
          <w:i/>
          <w:iCs/>
        </w:rPr>
        <w:t xml:space="preserve">17. </w:t>
      </w:r>
      <w:r w:rsidRPr="4396FFAB" w:rsidR="00846251">
        <w:rPr>
          <w:i/>
          <w:iCs/>
        </w:rPr>
        <w:t xml:space="preserve">If applicable, explain the reason(s) for seeking approval to not display the OMB expiration </w:t>
      </w:r>
    </w:p>
    <w:p w:rsidR="000C53CD" w:rsidP="4396FFAB" w14:paraId="566BDE1E" w14:textId="7DC8B6D4">
      <w:pPr>
        <w:pStyle w:val="ListParagraph"/>
        <w:shd w:val="clear" w:color="auto" w:fill="BFBFBF" w:themeFill="background1" w:themeFillShade="BF"/>
        <w:suppressAutoHyphens/>
        <w:ind w:left="0"/>
        <w:contextualSpacing/>
      </w:pPr>
      <w:r w:rsidRPr="4396FFAB">
        <w:rPr>
          <w:i/>
          <w:iCs/>
        </w:rPr>
        <w:t xml:space="preserve">     </w:t>
      </w:r>
      <w:r w:rsidRPr="4396FFAB" w:rsidR="00846251">
        <w:rPr>
          <w:i/>
          <w:iCs/>
        </w:rPr>
        <w:t>date.</w:t>
      </w:r>
      <w:r w:rsidR="00846251">
        <w:t> </w:t>
      </w:r>
    </w:p>
    <w:p w:rsidR="009B6DA1" w:rsidP="00B90B5E" w14:paraId="7194AE6E" w14:textId="77777777">
      <w:pPr>
        <w:ind w:left="720"/>
      </w:pPr>
    </w:p>
    <w:p w:rsidR="00B90B5E" w:rsidP="00B90B5E" w14:paraId="24ACF85C" w14:textId="57F75823">
      <w:pPr>
        <w:ind w:left="720"/>
      </w:pPr>
      <w:r>
        <w:t>W</w:t>
      </w:r>
      <w:r>
        <w:t>e seek approval to not display the OMB clearance expiration date on the forms and</w:t>
      </w:r>
      <w:r w:rsidR="002514CE">
        <w:br/>
      </w:r>
      <w:r>
        <w:t>to communicate version changes to the public via the revision date. The results of this collection are not published.</w:t>
      </w:r>
    </w:p>
    <w:p w:rsidR="00B90B5E" w:rsidP="00B90B5E" w14:paraId="1AC09713" w14:textId="77777777"/>
    <w:p w:rsidR="00B90B5E" w:rsidRPr="009B6DA1" w:rsidP="4396FFAB" w14:paraId="1BFDBA97" w14:textId="33A97C54">
      <w:pPr>
        <w:suppressAutoHyphens/>
        <w:ind w:left="288"/>
        <w:rPr>
          <w:i/>
          <w:iCs/>
          <w:shd w:val="clear" w:color="auto" w:fill="BFBFBF" w:themeFill="background1" w:themeFillShade="BF"/>
        </w:rPr>
      </w:pPr>
      <w:bookmarkStart w:id="0" w:name="_Hlk71715172"/>
      <w:r w:rsidRPr="4396FFAB">
        <w:rPr>
          <w:i/>
          <w:iCs/>
          <w:shd w:val="clear" w:color="auto" w:fill="BFBFBF" w:themeFill="background1" w:themeFillShade="BF"/>
        </w:rPr>
        <w:t>18</w:t>
      </w:r>
      <w:bookmarkEnd w:id="0"/>
      <w:r w:rsidRPr="4396FFAB">
        <w:rPr>
          <w:i/>
          <w:iCs/>
          <w:shd w:val="clear" w:color="auto" w:fill="BFBFBF" w:themeFill="background1" w:themeFillShade="BF"/>
        </w:rPr>
        <w:t>.</w:t>
      </w:r>
      <w:r w:rsidRPr="4396FFAB">
        <w:rPr>
          <w:i/>
          <w:iCs/>
          <w:color w:val="000000"/>
          <w:shd w:val="clear" w:color="auto" w:fill="BFBFBF" w:themeFill="background1" w:themeFillShade="BF"/>
        </w:rPr>
        <w:t xml:space="preserve"> </w:t>
      </w:r>
      <w:r w:rsidRPr="4396FFAB">
        <w:rPr>
          <w:i/>
          <w:iCs/>
          <w:shd w:val="clear" w:color="auto" w:fill="BFBFBF" w:themeFill="background1" w:themeFillShade="BF"/>
        </w:rPr>
        <w:t>Explain each exception to the topics of the certification statement identified in</w:t>
      </w:r>
      <w:r>
        <w:rPr>
          <w:i/>
          <w:iCs/>
          <w:shd w:val="clear" w:color="auto" w:fill="BFBFBF" w:themeFill="background1" w:themeFillShade="BF"/>
        </w:rPr>
        <w:tab/>
      </w:r>
      <w:r w:rsidRPr="4396FFAB" w:rsidR="7EC9A41C">
        <w:rPr>
          <w:i/>
          <w:iCs/>
          <w:shd w:val="clear" w:color="auto" w:fill="BFBFBF" w:themeFill="background1" w:themeFillShade="BF"/>
        </w:rPr>
        <w:t xml:space="preserve"> </w:t>
      </w:r>
      <w:r w:rsidRPr="4396FFAB">
        <w:rPr>
          <w:i/>
          <w:iCs/>
        </w:rPr>
        <w:t>“</w:t>
      </w:r>
      <w:hyperlink r:id="rId9">
        <w:r w:rsidRPr="4396FFAB">
          <w:rPr>
            <w:rStyle w:val="Hyperlink"/>
            <w:i/>
            <w:iCs/>
          </w:rPr>
          <w:t>Certification for Paperwork Reduction Act Submissions</w:t>
        </w:r>
      </w:hyperlink>
      <w:r w:rsidRPr="4396FFAB">
        <w:rPr>
          <w:i/>
          <w:iCs/>
        </w:rPr>
        <w:t>.”</w:t>
      </w:r>
      <w:r>
        <w:tab/>
      </w:r>
      <w:r>
        <w:tab/>
      </w:r>
      <w:r>
        <w:tab/>
      </w:r>
      <w:r>
        <w:tab/>
      </w:r>
      <w:r w:rsidRPr="4396FFAB">
        <w:rPr>
          <w:i/>
          <w:iCs/>
        </w:rPr>
        <w:t xml:space="preserve">                               </w:t>
      </w:r>
    </w:p>
    <w:p w:rsidR="009B6DA1" w:rsidP="001F291C" w14:paraId="507D5203" w14:textId="77777777">
      <w:pPr>
        <w:ind w:left="720"/>
      </w:pPr>
    </w:p>
    <w:p w:rsidR="000C53CD" w:rsidP="001F291C" w14:paraId="47F2FC6C" w14:textId="7096490C">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3C1382B"/>
    <w:multiLevelType w:val="hybridMultilevel"/>
    <w:tmpl w:val="9090890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722229">
    <w:abstractNumId w:val="1"/>
  </w:num>
  <w:num w:numId="2" w16cid:durableId="44910160">
    <w:abstractNumId w:val="9"/>
  </w:num>
  <w:num w:numId="3" w16cid:durableId="1382630827">
    <w:abstractNumId w:val="12"/>
  </w:num>
  <w:num w:numId="4" w16cid:durableId="1672756028">
    <w:abstractNumId w:val="5"/>
  </w:num>
  <w:num w:numId="5" w16cid:durableId="2010063504">
    <w:abstractNumId w:val="13"/>
  </w:num>
  <w:num w:numId="6" w16cid:durableId="227107973">
    <w:abstractNumId w:val="3"/>
  </w:num>
  <w:num w:numId="7" w16cid:durableId="640579379">
    <w:abstractNumId w:val="10"/>
  </w:num>
  <w:num w:numId="8" w16cid:durableId="452791379">
    <w:abstractNumId w:val="8"/>
  </w:num>
  <w:num w:numId="9"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601836959">
    <w:abstractNumId w:val="2"/>
  </w:num>
  <w:num w:numId="11" w16cid:durableId="932400870">
    <w:abstractNumId w:val="4"/>
  </w:num>
  <w:num w:numId="12" w16cid:durableId="548285">
    <w:abstractNumId w:val="7"/>
  </w:num>
  <w:num w:numId="13" w16cid:durableId="56513709">
    <w:abstractNumId w:val="11"/>
  </w:num>
  <w:num w:numId="14" w16cid:durableId="1668054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4433"/>
    <w:rsid w:val="0003069F"/>
    <w:rsid w:val="00051DF0"/>
    <w:rsid w:val="00053431"/>
    <w:rsid w:val="000677E5"/>
    <w:rsid w:val="00080AB5"/>
    <w:rsid w:val="00092BE2"/>
    <w:rsid w:val="000973FF"/>
    <w:rsid w:val="000A0311"/>
    <w:rsid w:val="000B37E1"/>
    <w:rsid w:val="000C53CD"/>
    <w:rsid w:val="000F7EB0"/>
    <w:rsid w:val="00100567"/>
    <w:rsid w:val="00103667"/>
    <w:rsid w:val="00105DDA"/>
    <w:rsid w:val="00113102"/>
    <w:rsid w:val="00131FCC"/>
    <w:rsid w:val="001461A3"/>
    <w:rsid w:val="001913DA"/>
    <w:rsid w:val="001A5672"/>
    <w:rsid w:val="001B68A2"/>
    <w:rsid w:val="001C1EA7"/>
    <w:rsid w:val="001F291C"/>
    <w:rsid w:val="002514CE"/>
    <w:rsid w:val="00263F91"/>
    <w:rsid w:val="0028370D"/>
    <w:rsid w:val="002A44B6"/>
    <w:rsid w:val="002B0098"/>
    <w:rsid w:val="002B33E3"/>
    <w:rsid w:val="002E2CD8"/>
    <w:rsid w:val="002E7F35"/>
    <w:rsid w:val="002F3670"/>
    <w:rsid w:val="002F481F"/>
    <w:rsid w:val="00303C8C"/>
    <w:rsid w:val="0031504C"/>
    <w:rsid w:val="00317609"/>
    <w:rsid w:val="00320A94"/>
    <w:rsid w:val="0033701D"/>
    <w:rsid w:val="003738C5"/>
    <w:rsid w:val="00375F79"/>
    <w:rsid w:val="003778B8"/>
    <w:rsid w:val="00380CAD"/>
    <w:rsid w:val="00384DE7"/>
    <w:rsid w:val="00390F60"/>
    <w:rsid w:val="003C4436"/>
    <w:rsid w:val="003C5839"/>
    <w:rsid w:val="003C93AF"/>
    <w:rsid w:val="003D03B5"/>
    <w:rsid w:val="003F0B13"/>
    <w:rsid w:val="00401B4E"/>
    <w:rsid w:val="00425537"/>
    <w:rsid w:val="0044001C"/>
    <w:rsid w:val="00454138"/>
    <w:rsid w:val="00461327"/>
    <w:rsid w:val="004638BD"/>
    <w:rsid w:val="00470779"/>
    <w:rsid w:val="004C4F71"/>
    <w:rsid w:val="004E43F1"/>
    <w:rsid w:val="00501A60"/>
    <w:rsid w:val="005142D0"/>
    <w:rsid w:val="00532372"/>
    <w:rsid w:val="00554330"/>
    <w:rsid w:val="00556117"/>
    <w:rsid w:val="00566233"/>
    <w:rsid w:val="00567CDD"/>
    <w:rsid w:val="005B2044"/>
    <w:rsid w:val="005C1816"/>
    <w:rsid w:val="005D507F"/>
    <w:rsid w:val="005D6917"/>
    <w:rsid w:val="005E0A4D"/>
    <w:rsid w:val="005F61D0"/>
    <w:rsid w:val="00610D60"/>
    <w:rsid w:val="006241EC"/>
    <w:rsid w:val="00630662"/>
    <w:rsid w:val="00631F97"/>
    <w:rsid w:val="006362AB"/>
    <w:rsid w:val="00653D71"/>
    <w:rsid w:val="006645C2"/>
    <w:rsid w:val="00681423"/>
    <w:rsid w:val="006C07F2"/>
    <w:rsid w:val="006C6920"/>
    <w:rsid w:val="006F256C"/>
    <w:rsid w:val="00702129"/>
    <w:rsid w:val="007071BD"/>
    <w:rsid w:val="00727CD5"/>
    <w:rsid w:val="00727CF2"/>
    <w:rsid w:val="00741061"/>
    <w:rsid w:val="007411D9"/>
    <w:rsid w:val="00754AEF"/>
    <w:rsid w:val="00783A70"/>
    <w:rsid w:val="00787785"/>
    <w:rsid w:val="00797796"/>
    <w:rsid w:val="007A35EF"/>
    <w:rsid w:val="007A7330"/>
    <w:rsid w:val="007C6686"/>
    <w:rsid w:val="007D028B"/>
    <w:rsid w:val="007F2120"/>
    <w:rsid w:val="008027EB"/>
    <w:rsid w:val="008100F6"/>
    <w:rsid w:val="00811930"/>
    <w:rsid w:val="0081713D"/>
    <w:rsid w:val="0082217E"/>
    <w:rsid w:val="00836802"/>
    <w:rsid w:val="00844F03"/>
    <w:rsid w:val="0084549E"/>
    <w:rsid w:val="00846251"/>
    <w:rsid w:val="00846D01"/>
    <w:rsid w:val="008614CE"/>
    <w:rsid w:val="00871D47"/>
    <w:rsid w:val="008869F8"/>
    <w:rsid w:val="008877D7"/>
    <w:rsid w:val="008972BA"/>
    <w:rsid w:val="008A0DCF"/>
    <w:rsid w:val="008C33B5"/>
    <w:rsid w:val="008D5541"/>
    <w:rsid w:val="008E0E55"/>
    <w:rsid w:val="008E24F9"/>
    <w:rsid w:val="008F7BA7"/>
    <w:rsid w:val="009272E5"/>
    <w:rsid w:val="00927F7A"/>
    <w:rsid w:val="009338F9"/>
    <w:rsid w:val="00942A40"/>
    <w:rsid w:val="00946704"/>
    <w:rsid w:val="00966CA9"/>
    <w:rsid w:val="0097431D"/>
    <w:rsid w:val="00975AE7"/>
    <w:rsid w:val="00976574"/>
    <w:rsid w:val="009A4D6A"/>
    <w:rsid w:val="009B6DA1"/>
    <w:rsid w:val="009D44D2"/>
    <w:rsid w:val="009E2BE8"/>
    <w:rsid w:val="009F2F5D"/>
    <w:rsid w:val="00A063EE"/>
    <w:rsid w:val="00A1570B"/>
    <w:rsid w:val="00A2361A"/>
    <w:rsid w:val="00A354FF"/>
    <w:rsid w:val="00A36DB6"/>
    <w:rsid w:val="00A466AA"/>
    <w:rsid w:val="00A542CE"/>
    <w:rsid w:val="00A71D62"/>
    <w:rsid w:val="00A749D2"/>
    <w:rsid w:val="00A836FB"/>
    <w:rsid w:val="00A83B3C"/>
    <w:rsid w:val="00AA041B"/>
    <w:rsid w:val="00AA7E4B"/>
    <w:rsid w:val="00AB1A90"/>
    <w:rsid w:val="00AB1CA2"/>
    <w:rsid w:val="00AC590D"/>
    <w:rsid w:val="00AC730E"/>
    <w:rsid w:val="00AD6980"/>
    <w:rsid w:val="00B066B9"/>
    <w:rsid w:val="00B068A2"/>
    <w:rsid w:val="00B10E0B"/>
    <w:rsid w:val="00B11CF6"/>
    <w:rsid w:val="00B1776A"/>
    <w:rsid w:val="00B20F63"/>
    <w:rsid w:val="00B64BE6"/>
    <w:rsid w:val="00B77550"/>
    <w:rsid w:val="00B86858"/>
    <w:rsid w:val="00B90B5E"/>
    <w:rsid w:val="00BB4D6D"/>
    <w:rsid w:val="00BC5298"/>
    <w:rsid w:val="00BD1BA6"/>
    <w:rsid w:val="00BE0BB9"/>
    <w:rsid w:val="00BF028B"/>
    <w:rsid w:val="00BF441A"/>
    <w:rsid w:val="00C03DBD"/>
    <w:rsid w:val="00C1016F"/>
    <w:rsid w:val="00C320A1"/>
    <w:rsid w:val="00C35991"/>
    <w:rsid w:val="00C41FD5"/>
    <w:rsid w:val="00CA53EA"/>
    <w:rsid w:val="00CC64B9"/>
    <w:rsid w:val="00CE19D6"/>
    <w:rsid w:val="00D02B46"/>
    <w:rsid w:val="00D11327"/>
    <w:rsid w:val="00D47D39"/>
    <w:rsid w:val="00D507D1"/>
    <w:rsid w:val="00D72D66"/>
    <w:rsid w:val="00D76937"/>
    <w:rsid w:val="00D818DB"/>
    <w:rsid w:val="00D975AB"/>
    <w:rsid w:val="00DA6723"/>
    <w:rsid w:val="00DB3F09"/>
    <w:rsid w:val="00DD4E3F"/>
    <w:rsid w:val="00DF085B"/>
    <w:rsid w:val="00E07ECD"/>
    <w:rsid w:val="00E141C6"/>
    <w:rsid w:val="00E4355F"/>
    <w:rsid w:val="00E436A0"/>
    <w:rsid w:val="00E75676"/>
    <w:rsid w:val="00E76B9D"/>
    <w:rsid w:val="00E93972"/>
    <w:rsid w:val="00E9789D"/>
    <w:rsid w:val="00EF676F"/>
    <w:rsid w:val="00F039EC"/>
    <w:rsid w:val="00F10BCA"/>
    <w:rsid w:val="00F33BE8"/>
    <w:rsid w:val="00F357FB"/>
    <w:rsid w:val="00F3596B"/>
    <w:rsid w:val="00F405D8"/>
    <w:rsid w:val="00F40DFB"/>
    <w:rsid w:val="00F450F7"/>
    <w:rsid w:val="00F46506"/>
    <w:rsid w:val="00F56859"/>
    <w:rsid w:val="00F65DB5"/>
    <w:rsid w:val="00F93381"/>
    <w:rsid w:val="00FB0BFD"/>
    <w:rsid w:val="00FB7A15"/>
    <w:rsid w:val="00FC2BFD"/>
    <w:rsid w:val="00FD3C82"/>
    <w:rsid w:val="00FF2C26"/>
    <w:rsid w:val="024517A3"/>
    <w:rsid w:val="03A5D8F1"/>
    <w:rsid w:val="07ACAFC0"/>
    <w:rsid w:val="095EA514"/>
    <w:rsid w:val="0DDB2DEF"/>
    <w:rsid w:val="0E0D814D"/>
    <w:rsid w:val="0F998E05"/>
    <w:rsid w:val="0FB9D691"/>
    <w:rsid w:val="101BABA1"/>
    <w:rsid w:val="102DB2E0"/>
    <w:rsid w:val="10925DFB"/>
    <w:rsid w:val="14995F6D"/>
    <w:rsid w:val="15363C9E"/>
    <w:rsid w:val="1684E6C9"/>
    <w:rsid w:val="19E8FC3B"/>
    <w:rsid w:val="1BA12CB8"/>
    <w:rsid w:val="1C1B780D"/>
    <w:rsid w:val="1EEE78E4"/>
    <w:rsid w:val="213DD303"/>
    <w:rsid w:val="22AD47F4"/>
    <w:rsid w:val="27760B0B"/>
    <w:rsid w:val="282C0612"/>
    <w:rsid w:val="2846962D"/>
    <w:rsid w:val="295F5A98"/>
    <w:rsid w:val="29AC1FF1"/>
    <w:rsid w:val="2A3FCAA1"/>
    <w:rsid w:val="2C49730C"/>
    <w:rsid w:val="2DBFC4EC"/>
    <w:rsid w:val="2FE92372"/>
    <w:rsid w:val="30D70F02"/>
    <w:rsid w:val="342273BE"/>
    <w:rsid w:val="34357F32"/>
    <w:rsid w:val="34B32421"/>
    <w:rsid w:val="36C653BA"/>
    <w:rsid w:val="3DED52A1"/>
    <w:rsid w:val="3E5D3D3F"/>
    <w:rsid w:val="4086D22E"/>
    <w:rsid w:val="428A5C86"/>
    <w:rsid w:val="42B32081"/>
    <w:rsid w:val="4396FFAB"/>
    <w:rsid w:val="4490F0BF"/>
    <w:rsid w:val="44FB57F7"/>
    <w:rsid w:val="4795EB0E"/>
    <w:rsid w:val="48582961"/>
    <w:rsid w:val="49C879AF"/>
    <w:rsid w:val="4A06497D"/>
    <w:rsid w:val="4ACFD607"/>
    <w:rsid w:val="4B8DEC1C"/>
    <w:rsid w:val="4C6E27E6"/>
    <w:rsid w:val="4C726B65"/>
    <w:rsid w:val="518E3379"/>
    <w:rsid w:val="520B936C"/>
    <w:rsid w:val="524A3A6D"/>
    <w:rsid w:val="56D91D93"/>
    <w:rsid w:val="597D41AA"/>
    <w:rsid w:val="599260A9"/>
    <w:rsid w:val="59D4E63D"/>
    <w:rsid w:val="5A4E59E6"/>
    <w:rsid w:val="5EA220EA"/>
    <w:rsid w:val="5F3925C8"/>
    <w:rsid w:val="5F8214E2"/>
    <w:rsid w:val="60A07270"/>
    <w:rsid w:val="61DB5588"/>
    <w:rsid w:val="62B6A427"/>
    <w:rsid w:val="64D8A87D"/>
    <w:rsid w:val="65538266"/>
    <w:rsid w:val="667A747A"/>
    <w:rsid w:val="68BF9F65"/>
    <w:rsid w:val="6AEE6A90"/>
    <w:rsid w:val="6C1FEAA5"/>
    <w:rsid w:val="7490B426"/>
    <w:rsid w:val="78FD5941"/>
    <w:rsid w:val="79ECC882"/>
    <w:rsid w:val="7ACB4DA1"/>
    <w:rsid w:val="7B612511"/>
    <w:rsid w:val="7D5A1C30"/>
    <w:rsid w:val="7EC9A41C"/>
    <w:rsid w:val="7F8639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styleId="CommentReference">
    <w:name w:val="annotation reference"/>
    <w:basedOn w:val="DefaultParagraphFont"/>
    <w:uiPriority w:val="99"/>
    <w:semiHidden/>
    <w:unhideWhenUsed/>
    <w:rsid w:val="00566233"/>
    <w:rPr>
      <w:sz w:val="16"/>
      <w:szCs w:val="16"/>
    </w:rPr>
  </w:style>
  <w:style w:type="paragraph" w:styleId="CommentText">
    <w:name w:val="annotation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styleId="CommentSubject">
    <w:name w:val="annotation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 w:type="paragraph" w:customStyle="1" w:styleId="TableParagraph">
    <w:name w:val="Table Paragraph"/>
    <w:basedOn w:val="Normal"/>
    <w:uiPriority w:val="1"/>
    <w:qFormat/>
    <w:rsid w:val="00871D47"/>
    <w:pPr>
      <w:widowControl w:val="0"/>
      <w:autoSpaceDE w:val="0"/>
      <w:autoSpaceDN w:val="0"/>
    </w:pPr>
    <w:rPr>
      <w:sz w:val="22"/>
      <w:szCs w:val="22"/>
    </w:rPr>
  </w:style>
  <w:style w:type="paragraph" w:styleId="Header">
    <w:name w:val="header"/>
    <w:basedOn w:val="Normal"/>
    <w:link w:val="HeaderChar"/>
    <w:uiPriority w:val="99"/>
    <w:unhideWhenUsed/>
    <w:rsid w:val="009D44D2"/>
    <w:pPr>
      <w:tabs>
        <w:tab w:val="center" w:pos="4680"/>
        <w:tab w:val="right" w:pos="9360"/>
      </w:tabs>
    </w:pPr>
  </w:style>
  <w:style w:type="character" w:customStyle="1" w:styleId="HeaderChar">
    <w:name w:val="Header Char"/>
    <w:basedOn w:val="DefaultParagraphFont"/>
    <w:link w:val="Header"/>
    <w:uiPriority w:val="99"/>
    <w:rsid w:val="009D44D2"/>
    <w:rPr>
      <w:sz w:val="24"/>
      <w:szCs w:val="24"/>
    </w:rPr>
  </w:style>
  <w:style w:type="paragraph" w:styleId="Footer">
    <w:name w:val="footer"/>
    <w:basedOn w:val="Normal"/>
    <w:link w:val="FooterChar"/>
    <w:uiPriority w:val="99"/>
    <w:unhideWhenUsed/>
    <w:rsid w:val="009D44D2"/>
    <w:pPr>
      <w:tabs>
        <w:tab w:val="center" w:pos="4680"/>
        <w:tab w:val="right" w:pos="9360"/>
      </w:tabs>
    </w:pPr>
  </w:style>
  <w:style w:type="character" w:customStyle="1" w:styleId="FooterChar">
    <w:name w:val="Footer Char"/>
    <w:basedOn w:val="DefaultParagraphFont"/>
    <w:link w:val="Footer"/>
    <w:uiPriority w:val="99"/>
    <w:rsid w:val="009D44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vitalchek.com/v/timing-and-pricing" TargetMode="External" /><Relationship Id="rId6" Type="http://schemas.openxmlformats.org/officeDocument/2006/relationships/hyperlink" Target="https://www.office.fedex.com/default/copy-and-print-services" TargetMode="External" /><Relationship Id="rId7" Type="http://schemas.openxmlformats.org/officeDocument/2006/relationships/hyperlink" Target="https://www.usps.com/business/prices.htm" TargetMode="External" /><Relationship Id="rId8" Type="http://schemas.openxmlformats.org/officeDocument/2006/relationships/hyperlink" Target="https://www.irs.gov/tax-professionals/standard-mileage-rates" TargetMode="External" /><Relationship Id="rId9" Type="http://schemas.openxmlformats.org/officeDocument/2006/relationships/hyperlink" Target="https://www.ecfr.gov/current/title-5/chapter-III/subchapter-B/part-1320/section-132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8836</Characters>
  <Application>Microsoft Office Word</Application>
  <DocSecurity>0</DocSecurity>
  <Lines>226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2026-07-23T21:41:00Z</dcterms:created>
  <dcterms:modified xsi:type="dcterms:W3CDTF">2026-07-23T21:41:00Z</dcterms:modified>
</cp:coreProperties>
</file>