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414E6" w14:paraId="61073305" w14:textId="77777777">
      <w:pPr>
        <w:jc w:val="center"/>
      </w:pPr>
    </w:p>
    <w:p w:rsidR="003414E6" w14:paraId="6C3D303D" w14:textId="77777777">
      <w:pPr>
        <w:jc w:val="center"/>
      </w:pPr>
    </w:p>
    <w:p w:rsidR="00F120E1" w:rsidP="00F120E1" w14:paraId="227F86D4" w14:textId="77777777">
      <w:pPr>
        <w:spacing w:before="80"/>
        <w:ind w:left="2426" w:right="2846"/>
        <w:jc w:val="center"/>
        <w:rPr>
          <w:b/>
        </w:rPr>
      </w:pPr>
      <w:r>
        <w:rPr>
          <w:b/>
        </w:rPr>
        <w:t>Supporting</w:t>
      </w:r>
      <w:r>
        <w:rPr>
          <w:b/>
          <w:spacing w:val="-9"/>
        </w:rPr>
        <w:t xml:space="preserve"> </w:t>
      </w:r>
      <w:r>
        <w:rPr>
          <w:b/>
        </w:rPr>
        <w:t>Statement</w:t>
      </w:r>
      <w:r>
        <w:rPr>
          <w:b/>
          <w:spacing w:val="-7"/>
        </w:rPr>
        <w:t xml:space="preserve"> </w:t>
      </w:r>
      <w:r>
        <w:rPr>
          <w:b/>
        </w:rPr>
        <w:t>for</w:t>
      </w:r>
      <w:r>
        <w:rPr>
          <w:b/>
          <w:spacing w:val="-8"/>
        </w:rPr>
        <w:t xml:space="preserve"> </w:t>
      </w:r>
      <w:r>
        <w:rPr>
          <w:b/>
        </w:rPr>
        <w:t>Paperwork</w:t>
      </w:r>
      <w:r>
        <w:rPr>
          <w:b/>
          <w:spacing w:val="-7"/>
        </w:rPr>
        <w:t xml:space="preserve"> </w:t>
      </w:r>
      <w:r>
        <w:rPr>
          <w:b/>
        </w:rPr>
        <w:t>Reduction</w:t>
      </w:r>
      <w:r>
        <w:rPr>
          <w:b/>
          <w:spacing w:val="-7"/>
        </w:rPr>
        <w:t xml:space="preserve"> </w:t>
      </w:r>
      <w:r>
        <w:rPr>
          <w:b/>
        </w:rPr>
        <w:t>Act</w:t>
      </w:r>
      <w:r>
        <w:rPr>
          <w:b/>
          <w:spacing w:val="-8"/>
        </w:rPr>
        <w:t xml:space="preserve"> </w:t>
      </w:r>
      <w:r>
        <w:rPr>
          <w:b/>
          <w:spacing w:val="-2"/>
        </w:rPr>
        <w:t>Submissions</w:t>
      </w:r>
    </w:p>
    <w:p w:rsidR="0067719F" w14:paraId="317D4230" w14:textId="77777777"/>
    <w:p w:rsidR="0067719F" w14:paraId="2D6108CD" w14:textId="5E088436">
      <w:r w:rsidRPr="0E84E851">
        <w:rPr>
          <w:b/>
          <w:bCs/>
        </w:rPr>
        <w:t>OMB</w:t>
      </w:r>
      <w:r w:rsidRPr="0E84E851">
        <w:rPr>
          <w:b/>
          <w:bCs/>
          <w:spacing w:val="-10"/>
        </w:rPr>
        <w:t xml:space="preserve"> </w:t>
      </w:r>
      <w:r w:rsidRPr="0E84E851">
        <w:rPr>
          <w:b/>
          <w:bCs/>
        </w:rPr>
        <w:t>Control</w:t>
      </w:r>
      <w:r w:rsidRPr="0E84E851">
        <w:rPr>
          <w:b/>
          <w:bCs/>
          <w:spacing w:val="-9"/>
        </w:rPr>
        <w:t xml:space="preserve"> </w:t>
      </w:r>
      <w:r w:rsidRPr="0E84E851">
        <w:rPr>
          <w:b/>
          <w:bCs/>
        </w:rPr>
        <w:t>Number:</w:t>
      </w:r>
      <w:r w:rsidRPr="0E84E851">
        <w:rPr>
          <w:b/>
          <w:bCs/>
          <w:spacing w:val="-8"/>
        </w:rPr>
        <w:t xml:space="preserve"> </w:t>
      </w:r>
      <w:r w:rsidRPr="0E84E851">
        <w:t>3206-</w:t>
      </w:r>
      <w:r w:rsidRPr="0E84E851">
        <w:rPr>
          <w:spacing w:val="-5"/>
        </w:rPr>
        <w:t>0237</w:t>
      </w:r>
      <w:r w:rsidRPr="0E84E851">
        <w:rPr>
          <w:b/>
          <w:bCs/>
          <w:spacing w:val="-5"/>
        </w:rPr>
        <w:t xml:space="preserve">, </w:t>
      </w:r>
      <w:r w:rsidR="00EB30C0">
        <w:t>RI 38-47</w:t>
      </w:r>
      <w:r w:rsidR="00C535AD">
        <w:t xml:space="preserve"> – </w:t>
      </w:r>
      <w:r w:rsidR="006F09FE">
        <w:t>Information and Instructions on Your Reconsideration Rights</w:t>
      </w:r>
    </w:p>
    <w:p w:rsidR="00F4428E" w:rsidP="00F4428E" w14:paraId="7CF471E0" w14:textId="77777777">
      <w:pPr>
        <w:pStyle w:val="BodyText"/>
        <w:rPr>
          <w:b/>
        </w:rPr>
      </w:pPr>
    </w:p>
    <w:p w:rsidR="00A86050" w:rsidP="00A86050" w14:paraId="0C2A8407" w14:textId="77777777">
      <w:pPr>
        <w:numPr>
          <w:ilvl w:val="0"/>
          <w:numId w:val="4"/>
        </w:numPr>
      </w:pPr>
      <w:r>
        <w:t>Justification</w:t>
      </w:r>
    </w:p>
    <w:p w:rsidR="00A86050" w:rsidP="00A86050" w14:paraId="5617C720" w14:textId="77777777"/>
    <w:p w:rsidR="00A86050" w:rsidRPr="00713D7A" w:rsidP="00713D7A" w14:paraId="693EF482" w14:textId="2A6B9A39">
      <w:pPr>
        <w:numPr>
          <w:ilvl w:val="0"/>
          <w:numId w:val="7"/>
        </w:numPr>
        <w:shd w:val="clear" w:color="auto" w:fill="BFBFBF" w:themeFill="background1" w:themeFillShade="BF"/>
        <w:rPr>
          <w:i/>
          <w:iCs/>
        </w:rPr>
      </w:pPr>
      <w:r w:rsidRPr="00741061">
        <w:fldChar w:fldCharType="begin"/>
      </w:r>
      <w:r w:rsidRPr="00741061">
        <w:instrText>ADVANCE \R 0.95</w:instrText>
      </w:r>
      <w:r w:rsidRPr="00741061">
        <w:fldChar w:fldCharType="end"/>
      </w:r>
      <w:r w:rsidRPr="004332DA" w:rsidR="004332DA">
        <w:rPr>
          <w:i/>
          <w:iCs/>
        </w:rPr>
        <w:t>Explain the circumstances of this collection, why this collection is necessary. and the legal statutes that allow it.</w:t>
      </w:r>
      <w:r w:rsidRPr="00BB4D6D" w:rsidR="004332DA">
        <w:t> </w:t>
      </w:r>
    </w:p>
    <w:p w:rsidR="00A86050" w14:paraId="2F370FEC" w14:textId="77777777"/>
    <w:p w:rsidR="00A86050" w:rsidRPr="00DF085B" w:rsidP="00A86050" w14:paraId="6E6A8B67" w14:textId="7003E3B2">
      <w:pPr>
        <w:ind w:left="720"/>
      </w:pPr>
      <w:r>
        <w:t xml:space="preserve">RI 38-47 </w:t>
      </w:r>
      <w:r w:rsidRPr="004332DA" w:rsidR="004332DA">
        <w:t xml:space="preserve">accompanies certain </w:t>
      </w:r>
      <w:r w:rsidRPr="000E7E8F" w:rsidR="004332DA">
        <w:t>adverse initial decisions</w:t>
      </w:r>
      <w:r w:rsidRPr="004332DA" w:rsidR="004332DA">
        <w:t xml:space="preserve"> affecting retirement, health benefits, and life insurance matters. Its purpose is not to collect substantive benefit information itself, but to inform affected individuals of their right to request reconsideration and provide the information needed to exercise that right.</w:t>
      </w:r>
      <w:r w:rsidR="001F5515">
        <w:t xml:space="preserve"> [5 CFR 831.109]</w:t>
      </w:r>
      <w:r w:rsidRPr="00DF085B" w:rsidR="00F049D0">
        <w:t xml:space="preserve">.  </w:t>
      </w:r>
      <w:r w:rsidRPr="00DF085B" w:rsidR="0067719F">
        <w:t xml:space="preserve"> </w:t>
      </w:r>
    </w:p>
    <w:p w:rsidR="00A86050" w:rsidRPr="00DF085B" w:rsidP="00A86050" w14:paraId="0872D0E1" w14:textId="77777777">
      <w:pPr>
        <w:ind w:left="360"/>
      </w:pPr>
    </w:p>
    <w:p w:rsidR="00A86050" w:rsidRPr="00DF085B" w:rsidP="4D5CCDAB" w14:paraId="72B1D3DC" w14:textId="40B5CAA9">
      <w:pPr>
        <w:numPr>
          <w:ilvl w:val="0"/>
          <w:numId w:val="7"/>
        </w:numPr>
        <w:shd w:val="clear" w:color="auto" w:fill="BFBFBF" w:themeFill="background1" w:themeFillShade="BF"/>
        <w:suppressAutoHyphens/>
        <w:contextualSpacing/>
      </w:pPr>
      <w:r>
        <w:fldChar w:fldCharType="begin"/>
      </w:r>
      <w:r>
        <w:instrText>ADVANCE \R 0.95</w:instrText>
      </w:r>
      <w:r>
        <w:fldChar w:fldCharType="end"/>
      </w:r>
      <w:r w:rsidRPr="4D5CCDAB" w:rsidR="000E7E8F">
        <w:rPr>
          <w:i/>
          <w:iCs/>
        </w:rPr>
        <w:t>Describe how, by whom, and for what purpose the information is to be used.  Except for a new collection, describe how the agency has made use of the information received from the current collection. </w:t>
      </w:r>
      <w:r w:rsidR="000E7E8F">
        <w:t> </w:t>
      </w:r>
    </w:p>
    <w:p w:rsidR="006A3B17" w:rsidP="00392238" w14:paraId="5F8AEAEE" w14:textId="77777777">
      <w:pPr>
        <w:ind w:left="720"/>
      </w:pPr>
    </w:p>
    <w:p w:rsidR="0067719F" w:rsidP="00392238" w14:paraId="6CC06EF4" w14:textId="25FF2440">
      <w:pPr>
        <w:ind w:left="720"/>
      </w:pPr>
      <w:r>
        <w:t xml:space="preserve">RI 38-47 is mailed with </w:t>
      </w:r>
      <w:r w:rsidR="00FA462C">
        <w:t xml:space="preserve">an initial </w:t>
      </w:r>
      <w:r>
        <w:t xml:space="preserve">adverse decision </w:t>
      </w:r>
      <w:r w:rsidR="00FA462C">
        <w:t>and provides information for an individual to</w:t>
      </w:r>
      <w:r>
        <w:t xml:space="preserve"> request reconsideration. If this information were not provided, </w:t>
      </w:r>
      <w:r w:rsidR="00FA462C">
        <w:t>an</w:t>
      </w:r>
      <w:r>
        <w:t xml:space="preserve"> individual </w:t>
      </w:r>
      <w:r w:rsidR="00FA462C">
        <w:t>may not have enough information</w:t>
      </w:r>
      <w:r>
        <w:t xml:space="preserve"> to ask for a review</w:t>
      </w:r>
      <w:r w:rsidR="000E7E8F">
        <w:t xml:space="preserve"> </w:t>
      </w:r>
      <w:r>
        <w:t>of the initial decision.</w:t>
      </w:r>
      <w:r w:rsidR="00B670D3">
        <w:t xml:space="preserve"> </w:t>
      </w:r>
    </w:p>
    <w:p w:rsidR="006A3B17" w:rsidRPr="00DF085B" w:rsidP="00392238" w14:paraId="5AA7ECAD" w14:textId="77777777">
      <w:pPr>
        <w:ind w:left="720"/>
      </w:pPr>
    </w:p>
    <w:p w:rsidR="006B37C6" w:rsidRPr="00DF085B" w:rsidP="6A894500" w14:paraId="5BA77790" w14:textId="699E6536">
      <w:pPr>
        <w:pStyle w:val="ListParagraph"/>
        <w:numPr>
          <w:ilvl w:val="0"/>
          <w:numId w:val="7"/>
        </w:numPr>
        <w:shd w:val="clear" w:color="auto" w:fill="BFBFBF" w:themeFill="background1" w:themeFillShade="BF"/>
        <w:suppressAutoHyphens/>
        <w:ind w:hanging="420"/>
        <w:contextualSpacing/>
      </w:pPr>
      <w:r w:rsidRPr="6A894500">
        <w:rPr>
          <w:i/>
          <w:iCs/>
        </w:rPr>
        <w:t>How are the respondents expected to complete the collection? Can this collection be completed electronically (e.g., through a website or application.</w:t>
      </w:r>
      <w:r>
        <w:t xml:space="preserve"> </w:t>
      </w:r>
      <w:r>
        <w:tab/>
      </w:r>
    </w:p>
    <w:p w:rsidR="006B37C6" w:rsidRPr="00DF085B" w:rsidP="006B37C6" w14:paraId="42A2B1C5" w14:textId="77777777">
      <w:pPr>
        <w:ind w:left="720"/>
      </w:pPr>
    </w:p>
    <w:p w:rsidR="0067719F" w:rsidP="002B1643" w14:paraId="768A9FF7" w14:textId="0B650A5F">
      <w:pPr>
        <w:ind w:left="720"/>
      </w:pPr>
      <w:r>
        <w:t xml:space="preserve">This form is available in a PDF format on our website at: </w:t>
      </w:r>
      <w:hyperlink w:history="1">
        <w:r w:rsidRPr="0E84E851" w:rsidR="004A44E7">
          <w:rPr>
            <w:rStyle w:val="Hyperlink"/>
          </w:rPr>
          <w:t>https://www.opm.gov/retirement-center/publications-forms/pamphlets/ri38-47</w:t>
        </w:r>
      </w:hyperlink>
      <w:r>
        <w:t xml:space="preserve"> to print, complete and mail to: OPM, Legal Reconsideration Branch, 1900 E ST NW., Washington, DC 20415. </w:t>
      </w:r>
      <w:r w:rsidR="00FA462C">
        <w:t xml:space="preserve"> </w:t>
      </w:r>
    </w:p>
    <w:p w:rsidR="00F05CF4" w:rsidP="002B1643" w14:paraId="31F4C902" w14:textId="77777777">
      <w:pPr>
        <w:ind w:left="720"/>
      </w:pPr>
    </w:p>
    <w:p w:rsidR="00F05CF4" w:rsidRPr="00DF085B" w:rsidP="002B1643" w14:paraId="4758970F" w14:textId="0EAC98FA">
      <w:pPr>
        <w:ind w:left="720"/>
      </w:pPr>
      <w:r>
        <w:t xml:space="preserve">The form is also </w:t>
      </w:r>
      <w:r w:rsidRPr="00F05CF4">
        <w:t>mailed out to the respondent population</w:t>
      </w:r>
      <w:r>
        <w:t xml:space="preserve"> with an initial adverse decision to complete and return with</w:t>
      </w:r>
      <w:r w:rsidR="00713D7A">
        <w:t xml:space="preserve"> all applicable items to the address above</w:t>
      </w:r>
      <w:r>
        <w:t xml:space="preserve">. </w:t>
      </w:r>
    </w:p>
    <w:p w:rsidR="002B1643" w:rsidRPr="00DF085B" w:rsidP="002B1643" w14:paraId="3F27B8EC" w14:textId="77777777">
      <w:pPr>
        <w:ind w:left="720"/>
      </w:pPr>
    </w:p>
    <w:p w:rsidR="00713D7A" w:rsidP="00713D7A" w14:paraId="713C68EE" w14:textId="77777777">
      <w:pPr>
        <w:pStyle w:val="ListParagraph"/>
        <w:numPr>
          <w:ilvl w:val="0"/>
          <w:numId w:val="7"/>
        </w:numPr>
        <w:shd w:val="clear" w:color="auto" w:fill="BFBFBF" w:themeFill="background1" w:themeFillShade="BF"/>
        <w:rPr>
          <w:i/>
          <w:iCs/>
        </w:rPr>
      </w:pPr>
      <w:r w:rsidRPr="1D8C8F99">
        <w:rPr>
          <w:i/>
          <w:iCs/>
        </w:rPr>
        <w:t xml:space="preserve">Describe efforts to identify duplication.  Show specifically why any similar information already available cannot be used or modified for use for the purposes described in Item 2 above. </w:t>
      </w:r>
    </w:p>
    <w:p w:rsidR="006B37C6" w:rsidRPr="00DF085B" w:rsidP="006B37C6" w14:paraId="53CFD7F9" w14:textId="77777777">
      <w:pPr>
        <w:ind w:firstLine="720"/>
      </w:pPr>
    </w:p>
    <w:p w:rsidR="002B1643" w:rsidRPr="00DF085B" w:rsidP="0047295A" w14:paraId="679D4080" w14:textId="0FCBE9FD">
      <w:pPr>
        <w:ind w:left="720"/>
      </w:pPr>
      <w:r>
        <w:t>R</w:t>
      </w:r>
      <w:r w:rsidRPr="00DF085B">
        <w:t>espondents initiate the collection</w:t>
      </w:r>
      <w:r>
        <w:t>.</w:t>
      </w:r>
      <w:r w:rsidR="00B670D3">
        <w:t xml:space="preserve"> </w:t>
      </w:r>
      <w:r w:rsidRPr="00DF085B">
        <w:t xml:space="preserve">There is no other way to obtain this information. </w:t>
      </w:r>
    </w:p>
    <w:p w:rsidR="006B37C6" w:rsidRPr="00DF085B" w:rsidP="006B37C6" w14:paraId="16C04E90" w14:textId="77777777">
      <w:pPr>
        <w:ind w:firstLine="720"/>
      </w:pPr>
    </w:p>
    <w:p w:rsidR="00713D7A" w:rsidRPr="00727CF2" w:rsidP="00713D7A" w14:paraId="4BF064A1" w14:textId="77777777">
      <w:pPr>
        <w:pStyle w:val="ListParagraph"/>
        <w:numPr>
          <w:ilvl w:val="0"/>
          <w:numId w:val="7"/>
        </w:numPr>
        <w:shd w:val="clear" w:color="auto" w:fill="BFBFBF" w:themeFill="background1" w:themeFillShade="BF"/>
        <w:contextualSpacing/>
        <w:rPr>
          <w:i/>
          <w:iCs/>
        </w:rPr>
      </w:pPr>
      <w:r w:rsidRPr="00727CF2">
        <w:rPr>
          <w:i/>
          <w:iCs/>
        </w:rPr>
        <w:t>Does this collection duplicate any other collection of information? Describe why the agency doesn’t already have this information within their systems.</w:t>
      </w:r>
    </w:p>
    <w:p w:rsidR="006B37C6" w:rsidRPr="00DF085B" w:rsidP="006B37C6" w14:paraId="14F2E91C" w14:textId="77777777">
      <w:pPr>
        <w:ind w:left="720"/>
      </w:pPr>
    </w:p>
    <w:p w:rsidR="0067719F" w:rsidRPr="00DF085B" w:rsidP="006B37C6" w14:paraId="45E59E21" w14:textId="77777777">
      <w:pPr>
        <w:ind w:left="720"/>
      </w:pPr>
      <w:r w:rsidRPr="00DF085B">
        <w:t>This information collection request has no impact on small businesses and organizations.</w:t>
      </w:r>
    </w:p>
    <w:p w:rsidR="00713D7A" w:rsidP="00713D7A" w14:paraId="66D24898" w14:textId="77777777"/>
    <w:p w:rsidR="00713D7A" w:rsidP="00713D7A" w14:paraId="2C37DC47" w14:textId="77777777">
      <w:pPr>
        <w:numPr>
          <w:ilvl w:val="0"/>
          <w:numId w:val="7"/>
        </w:numPr>
        <w:shd w:val="clear" w:color="auto" w:fill="BFBFBF" w:themeFill="background1" w:themeFillShade="BF"/>
      </w:pPr>
      <w:r w:rsidRPr="00092BE2">
        <w:rPr>
          <w:i/>
          <w:iCs/>
        </w:rPr>
        <w:t>Describe any impacts on small business. If applicable, describe any methods used to minimize those impacts.</w:t>
      </w:r>
      <w:r>
        <w:rPr>
          <w:i/>
          <w:iCs/>
          <w:shd w:val="clear" w:color="auto" w:fill="BFBFBF" w:themeFill="background1" w:themeFillShade="BF"/>
        </w:rPr>
        <w:t xml:space="preserve"> </w:t>
      </w:r>
    </w:p>
    <w:p w:rsidR="0067719F" w:rsidRPr="00DF085B" w14:paraId="704E158F" w14:textId="77777777"/>
    <w:p w:rsidR="006B37C6" w:rsidRPr="00DF085B" w:rsidP="00E00A7D" w14:paraId="7E9E0628" w14:textId="77777777">
      <w:pPr>
        <w:ind w:left="720"/>
      </w:pPr>
      <w:r w:rsidRPr="00DF085B">
        <w:t xml:space="preserve">The information collection is initiated by </w:t>
      </w:r>
      <w:r w:rsidR="004E72D6">
        <w:t>persons</w:t>
      </w:r>
      <w:r w:rsidR="004E72D6">
        <w:t xml:space="preserve"> who have received a decision they consider wrong or adverse to their interests</w:t>
      </w:r>
      <w:r w:rsidRPr="00DF085B">
        <w:t xml:space="preserve">.  Less frequent collection would deny </w:t>
      </w:r>
      <w:r w:rsidR="004E72D6">
        <w:t>them the opportunity to seek redress</w:t>
      </w:r>
      <w:r w:rsidRPr="00DF085B">
        <w:t xml:space="preserve">.  </w:t>
      </w:r>
    </w:p>
    <w:p w:rsidR="00CB0B42" w:rsidRPr="00DF085B" w:rsidP="006B37C6" w14:paraId="0F5F2C70" w14:textId="77777777">
      <w:pPr>
        <w:ind w:left="720"/>
      </w:pPr>
    </w:p>
    <w:p w:rsidR="00713D7A" w:rsidRPr="00092BE2" w:rsidP="00713D7A" w14:paraId="35A89B33" w14:textId="5EC79186">
      <w:pPr>
        <w:numPr>
          <w:ilvl w:val="0"/>
          <w:numId w:val="7"/>
        </w:numPr>
        <w:shd w:val="clear" w:color="auto" w:fill="BFBFBF" w:themeFill="background1" w:themeFillShade="BF"/>
      </w:pPr>
      <w:r w:rsidRPr="00092BE2">
        <w:rPr>
          <w:i/>
          <w:iCs/>
        </w:rPr>
        <w:t>What are</w:t>
      </w:r>
      <w:r>
        <w:rPr>
          <w:i/>
          <w:iCs/>
        </w:rPr>
        <w:t xml:space="preserve"> the</w:t>
      </w:r>
      <w:r w:rsidRPr="00092BE2">
        <w:rPr>
          <w:i/>
          <w:iCs/>
        </w:rPr>
        <w:t xml:space="preserve"> consequences </w:t>
      </w:r>
      <w:r w:rsidRPr="00092BE2">
        <w:rPr>
          <w:i/>
          <w:iCs/>
        </w:rPr>
        <w:t>to</w:t>
      </w:r>
      <w:r w:rsidRPr="00092BE2">
        <w:rPr>
          <w:i/>
          <w:iCs/>
        </w:rPr>
        <w:t xml:space="preserve"> the Federal program or policy goals if this collection is not done or </w:t>
      </w:r>
      <w:r w:rsidRPr="00092BE2">
        <w:rPr>
          <w:i/>
          <w:iCs/>
        </w:rPr>
        <w:t>the information is</w:t>
      </w:r>
      <w:r w:rsidRPr="00092BE2">
        <w:rPr>
          <w:i/>
          <w:iCs/>
        </w:rPr>
        <w:t xml:space="preserve"> collected less frequently? Describe any technical or legal obstacles to reducing burden.</w:t>
      </w:r>
      <w:r w:rsidRPr="00092BE2">
        <w:rPr>
          <w:i/>
          <w:iCs/>
        </w:rPr>
        <w:tab/>
      </w:r>
    </w:p>
    <w:p w:rsidR="00CB0B42" w:rsidRPr="00DF085B" w:rsidP="00CB0B42" w14:paraId="77E6408C" w14:textId="1047CD0C">
      <w:pPr>
        <w:ind w:left="720"/>
      </w:pPr>
      <w:r w:rsidRPr="00DF085B">
        <w:br/>
        <w:t>There are no special circumstances involved in the collection of this information</w:t>
      </w:r>
    </w:p>
    <w:p w:rsidR="00CB0B42" w:rsidRPr="00DF085B" w:rsidP="00CB0B42" w14:paraId="57473F2F" w14:textId="77777777">
      <w:pPr>
        <w:ind w:left="720"/>
      </w:pPr>
    </w:p>
    <w:p w:rsidR="00713D7A" w:rsidRPr="00401B4E" w:rsidP="00713D7A" w14:paraId="1320ECBF" w14:textId="38091E7F">
      <w:pPr>
        <w:pStyle w:val="ListParagraph"/>
        <w:numPr>
          <w:ilvl w:val="0"/>
          <w:numId w:val="7"/>
        </w:numPr>
        <w:shd w:val="clear" w:color="auto" w:fill="BFBFBF" w:themeFill="background1" w:themeFillShade="BF"/>
      </w:pPr>
      <w:r w:rsidRPr="00713D7A">
        <w:rPr>
          <w:i/>
          <w:iCs/>
        </w:rPr>
        <w:t>Do any of the following special circumstances apply?</w:t>
      </w:r>
      <w:r w:rsidRPr="00401B4E">
        <w:t>  </w:t>
      </w:r>
    </w:p>
    <w:p w:rsidR="00713D7A" w:rsidRPr="00401B4E" w:rsidP="00713D7A" w14:paraId="71270E8F" w14:textId="77777777">
      <w:pPr>
        <w:shd w:val="clear" w:color="auto" w:fill="BFBFBF" w:themeFill="background1" w:themeFillShade="BF"/>
        <w:ind w:left="660"/>
      </w:pPr>
      <w:r w:rsidRPr="00401B4E">
        <w:rPr>
          <w:i/>
          <w:iCs/>
        </w:rPr>
        <w:t>• requiring respondents to report information to the agency more often than quarterly; </w:t>
      </w:r>
      <w:r w:rsidRPr="00401B4E">
        <w:t> </w:t>
      </w:r>
    </w:p>
    <w:p w:rsidR="00713D7A" w:rsidRPr="00401B4E" w:rsidP="00713D7A" w14:paraId="0266867A" w14:textId="77777777">
      <w:pPr>
        <w:shd w:val="clear" w:color="auto" w:fill="BFBFBF" w:themeFill="background1" w:themeFillShade="BF"/>
        <w:ind w:left="660"/>
      </w:pPr>
      <w:r w:rsidRPr="00401B4E">
        <w:rPr>
          <w:i/>
          <w:iCs/>
        </w:rPr>
        <w:t>•requiring respondents to prepare a written response to a collection of information in fewer than 30 days after receipt of it;  </w:t>
      </w:r>
      <w:r w:rsidRPr="00401B4E">
        <w:t> </w:t>
      </w:r>
    </w:p>
    <w:p w:rsidR="00713D7A" w:rsidRPr="00401B4E" w:rsidP="00713D7A" w14:paraId="3241B9FB" w14:textId="77777777">
      <w:pPr>
        <w:shd w:val="clear" w:color="auto" w:fill="BFBFBF" w:themeFill="background1" w:themeFillShade="BF"/>
        <w:ind w:left="660"/>
      </w:pPr>
      <w:r w:rsidRPr="00401B4E">
        <w:rPr>
          <w:i/>
          <w:iCs/>
        </w:rPr>
        <w:t>•requiring respondents to submit more than an original and two copies of any document; </w:t>
      </w:r>
      <w:r w:rsidRPr="00401B4E">
        <w:t> </w:t>
      </w:r>
    </w:p>
    <w:p w:rsidR="00713D7A" w:rsidRPr="00401B4E" w:rsidP="00713D7A" w14:paraId="1E88ACDA" w14:textId="77777777">
      <w:pPr>
        <w:shd w:val="clear" w:color="auto" w:fill="BFBFBF" w:themeFill="background1" w:themeFillShade="BF"/>
        <w:ind w:left="660"/>
      </w:pPr>
      <w:r w:rsidRPr="00401B4E">
        <w:rPr>
          <w:i/>
          <w:iCs/>
        </w:rPr>
        <w:t>• requiring respondents to retain records, other than health, medical, government contract, grant-in-aid, or tax records, for more than three years; </w:t>
      </w:r>
      <w:r w:rsidRPr="00401B4E">
        <w:t> </w:t>
      </w:r>
    </w:p>
    <w:p w:rsidR="00713D7A" w:rsidRPr="00401B4E" w:rsidP="00713D7A" w14:paraId="7C5BE96E" w14:textId="77777777">
      <w:pPr>
        <w:shd w:val="clear" w:color="auto" w:fill="BFBFBF" w:themeFill="background1" w:themeFillShade="BF"/>
        <w:ind w:left="660"/>
      </w:pPr>
      <w:r w:rsidRPr="00401B4E">
        <w:rPr>
          <w:i/>
          <w:iCs/>
        </w:rPr>
        <w:t xml:space="preserve">• in connection with a statistical </w:t>
      </w:r>
      <w:r w:rsidRPr="00401B4E">
        <w:rPr>
          <w:i/>
          <w:iCs/>
        </w:rPr>
        <w:t>survey,</w:t>
      </w:r>
      <w:r w:rsidRPr="00401B4E">
        <w:rPr>
          <w:i/>
          <w:iCs/>
        </w:rPr>
        <w:t xml:space="preserve"> that is not designed to produce valid and reliable results that can be generalized to the universe of study; </w:t>
      </w:r>
      <w:r w:rsidRPr="00401B4E">
        <w:t> </w:t>
      </w:r>
    </w:p>
    <w:p w:rsidR="00713D7A" w:rsidRPr="00401B4E" w:rsidP="00713D7A" w14:paraId="6D1710AD" w14:textId="77777777">
      <w:pPr>
        <w:shd w:val="clear" w:color="auto" w:fill="BFBFBF" w:themeFill="background1" w:themeFillShade="BF"/>
        <w:ind w:left="660"/>
      </w:pPr>
      <w:r w:rsidRPr="00401B4E">
        <w:rPr>
          <w:i/>
          <w:iCs/>
        </w:rPr>
        <w:t>• requiring the use of a statistical data classification that has not been reviewed and approved by OMB; </w:t>
      </w:r>
      <w:r w:rsidRPr="00401B4E">
        <w:t> </w:t>
      </w:r>
    </w:p>
    <w:p w:rsidR="00713D7A" w:rsidRPr="00401B4E" w:rsidP="00713D7A" w14:paraId="28E7B675" w14:textId="77777777">
      <w:pPr>
        <w:shd w:val="clear" w:color="auto" w:fill="BFBFBF" w:themeFill="background1" w:themeFillShade="BF"/>
        <w:ind w:left="660"/>
      </w:pPr>
      <w:r w:rsidRPr="00401B4E">
        <w:rPr>
          <w:i/>
          <w:iCs/>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401B4E">
        <w:t> </w:t>
      </w:r>
    </w:p>
    <w:p w:rsidR="00713D7A" w:rsidRPr="00401B4E" w:rsidP="00713D7A" w14:paraId="5C4F78D9" w14:textId="77777777">
      <w:pPr>
        <w:shd w:val="clear" w:color="auto" w:fill="BFBFBF" w:themeFill="background1" w:themeFillShade="BF"/>
        <w:ind w:left="660"/>
      </w:pPr>
      <w:r w:rsidRPr="00401B4E">
        <w:rPr>
          <w:i/>
          <w:iCs/>
        </w:rPr>
        <w:t>• requiring respondents to submit proprietary trade secrets, or other confidential information unless the agency can demonstrate that it has instituted procedures to protect the information's confidentiality to the extent permitted by law.</w:t>
      </w:r>
      <w:r w:rsidRPr="00401B4E">
        <w:t> </w:t>
      </w:r>
    </w:p>
    <w:p w:rsidR="00713D7A" w:rsidP="00713D7A" w14:paraId="21538BE2" w14:textId="77777777">
      <w:pPr>
        <w:ind w:left="660"/>
      </w:pPr>
      <w:r w:rsidRPr="00DF085B">
        <w:br/>
      </w:r>
      <w:r w:rsidRPr="00401B4E">
        <w:t>There are no special circumstances involved in the collection of this information. </w:t>
      </w:r>
    </w:p>
    <w:p w:rsidR="00CB0B42" w:rsidRPr="008A0DCF" w:rsidP="00CB0B42" w14:paraId="6765DC75" w14:textId="77777777">
      <w:pPr>
        <w:ind w:left="720"/>
      </w:pPr>
    </w:p>
    <w:p w:rsidR="00713D7A" w:rsidRPr="00092BE2" w:rsidP="00713D7A" w14:paraId="6898422C" w14:textId="7E73B722">
      <w:pPr>
        <w:pStyle w:val="ListParagraph"/>
        <w:numPr>
          <w:ilvl w:val="0"/>
          <w:numId w:val="7"/>
        </w:numPr>
        <w:shd w:val="clear" w:color="auto" w:fill="BFBFBF" w:themeFill="background1" w:themeFillShade="BF"/>
      </w:pPr>
      <w:r w:rsidRPr="00713D7A">
        <w:rPr>
          <w:i/>
          <w:iCs/>
        </w:rPr>
        <w:t>Cite the Federal Register publication for a request for public comments and address any comments received.</w:t>
      </w:r>
      <w:r w:rsidRPr="00092BE2">
        <w:t> </w:t>
      </w:r>
    </w:p>
    <w:p w:rsidR="00713D7A" w:rsidP="00713D7A" w14:paraId="78F38339" w14:textId="77777777">
      <w:pPr>
        <w:pStyle w:val="ListParagraph"/>
      </w:pPr>
    </w:p>
    <w:p w:rsidR="00713D7A" w:rsidRPr="008A0DCF" w:rsidP="00713D7A" w14:paraId="1336D4FD" w14:textId="5632DCFC">
      <w:pPr>
        <w:pStyle w:val="ListParagraph"/>
      </w:pPr>
      <w:r>
        <w:t xml:space="preserve">A 60-day notice of proposed information collection was published in the </w:t>
      </w:r>
      <w:r w:rsidRPr="0E84E851">
        <w:rPr>
          <w:i/>
          <w:iCs/>
        </w:rPr>
        <w:t>Federal Register</w:t>
      </w:r>
      <w:r>
        <w:t xml:space="preserve"> on February 27, 2026, 91 FR 9896, giving </w:t>
      </w:r>
      <w:r>
        <w:t>persons</w:t>
      </w:r>
      <w:r>
        <w:t xml:space="preserve"> outside the agency an opportunity to comment. No comments were received.</w:t>
      </w:r>
    </w:p>
    <w:p w:rsidR="00713D7A" w:rsidP="00111C1C" w14:paraId="3995A19D" w14:textId="77777777"/>
    <w:p w:rsidR="7EBC26CB" w:rsidP="6883977B" w14:paraId="3BE7BFA6" w14:textId="134B1814">
      <w:pPr>
        <w:pStyle w:val="ListParagraph"/>
        <w:numPr>
          <w:ilvl w:val="0"/>
          <w:numId w:val="7"/>
        </w:numPr>
        <w:shd w:val="clear" w:color="auto" w:fill="BFBFBF" w:themeFill="background1" w:themeFillShade="BF"/>
        <w:rPr>
          <w:color w:val="000000" w:themeColor="text1"/>
          <w:szCs w:val="24"/>
        </w:rPr>
      </w:pPr>
      <w:r w:rsidRPr="6883977B">
        <w:rPr>
          <w:i/>
          <w:iCs/>
          <w:color w:val="000000" w:themeColor="text1"/>
          <w:szCs w:val="24"/>
        </w:rPr>
        <w:t>Are payments or gifts given to the respondent?</w:t>
      </w:r>
    </w:p>
    <w:p w:rsidR="6883977B" w:rsidP="6883977B" w14:paraId="770BAF95" w14:textId="727A6F9A">
      <w:pPr>
        <w:ind w:left="720"/>
        <w:rPr>
          <w:color w:val="000000" w:themeColor="text1"/>
          <w:szCs w:val="24"/>
        </w:rPr>
      </w:pPr>
    </w:p>
    <w:p w:rsidR="7EBC26CB" w:rsidP="6883977B" w14:paraId="5671BAB1" w14:textId="017F7757">
      <w:pPr>
        <w:ind w:left="720" w:right="-576"/>
        <w:rPr>
          <w:color w:val="000000" w:themeColor="text1"/>
          <w:szCs w:val="24"/>
        </w:rPr>
      </w:pPr>
      <w:r w:rsidRPr="6883977B">
        <w:rPr>
          <w:color w:val="000000" w:themeColor="text1"/>
          <w:szCs w:val="24"/>
        </w:rPr>
        <w:t>No gifts or payments of any kind have been provided to any individuals who are connected to this collection.</w:t>
      </w:r>
    </w:p>
    <w:p w:rsidR="6883977B" w:rsidP="6883977B" w14:paraId="1C7320AA" w14:textId="6FCD5ED9">
      <w:pPr>
        <w:pStyle w:val="ListParagraph"/>
      </w:pPr>
    </w:p>
    <w:p w:rsidR="002B1643" w:rsidRPr="008A0DCF" w:rsidP="006B37C6" w14:paraId="36512237" w14:textId="77777777">
      <w:pPr>
        <w:ind w:left="720"/>
      </w:pPr>
    </w:p>
    <w:p w:rsidR="00111C1C" w:rsidRPr="00111C1C" w:rsidP="00111C1C" w14:paraId="02216C02" w14:textId="191CC2EA">
      <w:pPr>
        <w:pStyle w:val="ListParagraph"/>
        <w:numPr>
          <w:ilvl w:val="0"/>
          <w:numId w:val="7"/>
        </w:numPr>
        <w:shd w:val="clear" w:color="auto" w:fill="BFBFBF" w:themeFill="background1" w:themeFillShade="BF"/>
        <w:tabs>
          <w:tab w:val="left" w:pos="-720"/>
        </w:tabs>
        <w:suppressAutoHyphens/>
        <w:contextualSpacing/>
        <w:rPr>
          <w:i/>
          <w:iCs/>
        </w:rPr>
      </w:pPr>
      <w:r w:rsidRPr="00111C1C">
        <w:rPr>
          <w:i/>
          <w:iCs/>
        </w:rPr>
        <w:t>Describe any assurances of privacy/confidentiality. Cite specific privacy laws, relevant OPM regulations, and SORNs. </w:t>
      </w:r>
    </w:p>
    <w:p w:rsidR="00CB0B42" w:rsidRPr="008A0DCF" w:rsidP="00CB0B42" w14:paraId="7B2A6CAF" w14:textId="77777777">
      <w:pPr>
        <w:pStyle w:val="ListParagraph"/>
        <w:ind w:right="-288"/>
      </w:pPr>
    </w:p>
    <w:p w:rsidR="00BA0C4F" w:rsidP="00BA0C4F" w14:paraId="7834C441" w14:textId="26FDD461">
      <w:pPr>
        <w:ind w:left="630"/>
        <w:rPr>
          <w:sz w:val="22"/>
        </w:rPr>
      </w:pPr>
      <w:r w:rsidRPr="008A0DCF">
        <w:t>This information collection is protected by the Privacy</w:t>
      </w:r>
      <w:r w:rsidRPr="008A0DCF" w:rsidR="00DF085B">
        <w:t xml:space="preserve"> Act of 1974 and OPM regulation </w:t>
      </w:r>
      <w:r w:rsidRPr="008A0DCF">
        <w:br/>
        <w:t xml:space="preserve">(5 CFR 831.106).  </w:t>
      </w:r>
      <w:r>
        <w:t xml:space="preserve">The routine uses of disclosure appear in the </w:t>
      </w:r>
      <w:r>
        <w:rPr>
          <w:i/>
          <w:iCs/>
        </w:rPr>
        <w:t>Federal Register</w:t>
      </w:r>
      <w:r>
        <w:t xml:space="preserve"> for OPM/Central-1 (87 FR 5874, </w:t>
      </w:r>
      <w:r>
        <w:rPr>
          <w:i/>
          <w:iCs/>
        </w:rPr>
        <w:t>et seq</w:t>
      </w:r>
      <w:r>
        <w:t>. February 2, 2022).</w:t>
      </w:r>
    </w:p>
    <w:p w:rsidR="00CB0B42" w:rsidRPr="008A0DCF" w:rsidP="00BA0C4F" w14:paraId="6CEC4305" w14:textId="1B59F6D7">
      <w:pPr>
        <w:ind w:left="720" w:right="-288"/>
      </w:pPr>
    </w:p>
    <w:p w:rsidR="00111C1C" w:rsidRPr="00111C1C" w:rsidP="00111C1C" w14:paraId="702B74BF" w14:textId="2A820089">
      <w:pPr>
        <w:pStyle w:val="ListParagraph"/>
        <w:numPr>
          <w:ilvl w:val="0"/>
          <w:numId w:val="7"/>
        </w:numPr>
        <w:shd w:val="clear" w:color="auto" w:fill="BFBFBF" w:themeFill="background1" w:themeFillShade="BF"/>
        <w:tabs>
          <w:tab w:val="left" w:pos="-720"/>
        </w:tabs>
        <w:suppressAutoHyphens/>
        <w:contextualSpacing/>
        <w:rPr>
          <w:i/>
          <w:iCs/>
        </w:rPr>
      </w:pPr>
      <w:r w:rsidRPr="00111C1C">
        <w:rPr>
          <w:i/>
          <w:iCs/>
        </w:rPr>
        <w:t xml:space="preserve">Are any questions of a sensitive nature asked, such as sexual behavior and attitudes, religious beliefs, and other matters that are commonly considered private? If yes, provide justification. This justification should include the reasons why the agency considers the questions necessary, the specific uses to be made of the information, the explanation to be given to </w:t>
      </w:r>
      <w:r w:rsidRPr="00111C1C">
        <w:rPr>
          <w:i/>
          <w:iCs/>
        </w:rPr>
        <w:t>persons</w:t>
      </w:r>
      <w:r w:rsidRPr="00111C1C">
        <w:rPr>
          <w:i/>
          <w:iCs/>
        </w:rPr>
        <w:t xml:space="preserve"> from whom the information is requested, and any steps to be taken to obtain their consent. </w:t>
      </w:r>
    </w:p>
    <w:p w:rsidR="00111C1C" w:rsidP="00111C1C" w14:paraId="4E2ABC65" w14:textId="77777777">
      <w:pPr>
        <w:ind w:left="630"/>
      </w:pPr>
    </w:p>
    <w:p w:rsidR="00111C1C" w:rsidP="00111C1C" w14:paraId="588A5604" w14:textId="77777777">
      <w:pPr>
        <w:ind w:left="630"/>
      </w:pPr>
      <w:r>
        <w:t>This information collection does not include questions of a sensitive nature, such as sexual behavior and attitudes, religious beliefs, and other matters that are commonly considered private.</w:t>
      </w:r>
    </w:p>
    <w:p w:rsidR="00CB0B42" w:rsidRPr="008A0DCF" w:rsidP="00CB0B42" w14:paraId="54158DCA" w14:textId="77777777">
      <w:pPr>
        <w:ind w:right="-288" w:firstLine="720"/>
      </w:pPr>
    </w:p>
    <w:p w:rsidR="00111C1C" w:rsidRPr="00111C1C" w:rsidP="00111C1C" w14:paraId="753280EF" w14:textId="5F44BF32">
      <w:pPr>
        <w:pStyle w:val="ListParagraph"/>
        <w:numPr>
          <w:ilvl w:val="0"/>
          <w:numId w:val="7"/>
        </w:numPr>
        <w:shd w:val="clear" w:color="auto" w:fill="BFBFBF" w:themeFill="background1" w:themeFillShade="BF"/>
        <w:tabs>
          <w:tab w:val="left" w:pos="-720"/>
        </w:tabs>
        <w:suppressAutoHyphens/>
        <w:contextualSpacing/>
        <w:rPr>
          <w:i/>
          <w:iCs/>
        </w:rPr>
      </w:pPr>
      <w:r w:rsidRPr="00111C1C">
        <w:rPr>
          <w:i/>
          <w:iCs/>
          <w:shd w:val="clear" w:color="auto" w:fill="BFBFBF" w:themeFill="background1" w:themeFillShade="BF"/>
        </w:rPr>
        <w:t xml:space="preserve">Describe the hour time burden and the hour cost burden on the respondent needed to complete this collection. Please specify hourly salary for your respondent audience by referencing </w:t>
      </w:r>
      <w:hyperlink r:id="rId4" w:tgtFrame="_blank" w:history="1">
        <w:r w:rsidRPr="00111C1C">
          <w:rPr>
            <w:rStyle w:val="Hyperlink"/>
            <w:i/>
            <w:iCs/>
            <w:shd w:val="clear" w:color="auto" w:fill="BFBFBF" w:themeFill="background1" w:themeFillShade="BF"/>
          </w:rPr>
          <w:t>Bureau of Labor Statistics Occupational Employment and Wage Estimates</w:t>
        </w:r>
      </w:hyperlink>
      <w:r w:rsidRPr="00111C1C">
        <w:rPr>
          <w:rStyle w:val="Hyperlink"/>
          <w:i/>
          <w:iCs/>
          <w:shd w:val="clear" w:color="auto" w:fill="BFBFBF" w:themeFill="background1" w:themeFillShade="BF"/>
        </w:rPr>
        <w:br/>
      </w:r>
      <w:r w:rsidRPr="00111C1C">
        <w:rPr>
          <w:i/>
          <w:iCs/>
          <w:shd w:val="clear" w:color="auto" w:fill="BFBFBF" w:themeFill="background1" w:themeFillShade="BF"/>
        </w:rPr>
        <w:t>or other alternative wage site, when applicable.</w:t>
      </w:r>
      <w:r w:rsidRPr="00111C1C">
        <w:rPr>
          <w:i/>
          <w:iCs/>
        </w:rPr>
        <w:t>  </w:t>
      </w:r>
    </w:p>
    <w:p w:rsidR="00C11A92" w:rsidP="0047295A" w14:paraId="601A6BC0" w14:textId="6B6C678C">
      <w:pPr>
        <w:ind w:left="720"/>
      </w:pPr>
      <w:r w:rsidRPr="008A0DCF">
        <w:br/>
      </w:r>
      <w:r w:rsidR="002479B6">
        <w:t>The number of respondents is approximately 3,100. The annual burden is 2,325 hours. It is estimated to take 45 minutes to complete the form</w:t>
      </w:r>
      <w:r w:rsidRPr="008A0DCF" w:rsidR="009E45C1">
        <w:t>.</w:t>
      </w:r>
    </w:p>
    <w:p w:rsidR="00111C1C" w:rsidP="0047295A" w14:paraId="1EF22E61" w14:textId="77777777">
      <w:pPr>
        <w:ind w:left="720"/>
      </w:pPr>
    </w:p>
    <w:tbl>
      <w:tblPr>
        <w:tblStyle w:val="TableGrid"/>
        <w:tblW w:w="9085" w:type="dxa"/>
        <w:tblInd w:w="720" w:type="dxa"/>
        <w:tblLayout w:type="fixed"/>
        <w:tblLook w:val="04A0"/>
      </w:tblPr>
      <w:tblGrid>
        <w:gridCol w:w="1440"/>
        <w:gridCol w:w="1165"/>
        <w:gridCol w:w="1260"/>
        <w:gridCol w:w="990"/>
        <w:gridCol w:w="1080"/>
        <w:gridCol w:w="990"/>
        <w:gridCol w:w="990"/>
        <w:gridCol w:w="1170"/>
      </w:tblGrid>
      <w:tr w14:paraId="61EA8707" w14:textId="77777777" w:rsidTr="6883977B">
        <w:tblPrEx>
          <w:tblW w:w="9085" w:type="dxa"/>
          <w:tblInd w:w="720" w:type="dxa"/>
          <w:tblLayout w:type="fixed"/>
          <w:tblLook w:val="04A0"/>
        </w:tblPrEx>
        <w:tc>
          <w:tcPr>
            <w:tcW w:w="1440" w:type="dxa"/>
            <w:shd w:val="clear" w:color="auto" w:fill="D9D9D9" w:themeFill="background1" w:themeFillShade="D9"/>
          </w:tcPr>
          <w:p w:rsidR="00111C1C" w:rsidRPr="008869F8" w:rsidP="00A00445" w14:paraId="301D6264" w14:textId="77777777">
            <w:pPr>
              <w:spacing w:before="240"/>
              <w:rPr>
                <w:rFonts w:ascii="Arial" w:hAnsi="Arial" w:cs="Arial"/>
                <w:b/>
                <w:sz w:val="16"/>
                <w:szCs w:val="16"/>
              </w:rPr>
            </w:pPr>
            <w:r>
              <w:rPr>
                <w:rFonts w:ascii="Arial" w:hAnsi="Arial" w:cs="Arial"/>
                <w:b/>
                <w:sz w:val="16"/>
                <w:szCs w:val="16"/>
              </w:rPr>
              <w:t>Form Name</w:t>
            </w:r>
          </w:p>
        </w:tc>
        <w:tc>
          <w:tcPr>
            <w:tcW w:w="1165" w:type="dxa"/>
            <w:shd w:val="clear" w:color="auto" w:fill="D9D9D9" w:themeFill="background1" w:themeFillShade="D9"/>
          </w:tcPr>
          <w:p w:rsidR="00111C1C" w:rsidRPr="008869F8" w:rsidP="00A00445" w14:paraId="72545591" w14:textId="77777777">
            <w:pPr>
              <w:spacing w:before="240"/>
              <w:rPr>
                <w:rFonts w:ascii="Arial" w:hAnsi="Arial" w:cs="Arial"/>
                <w:b/>
                <w:sz w:val="16"/>
                <w:szCs w:val="16"/>
              </w:rPr>
            </w:pPr>
            <w:r>
              <w:rPr>
                <w:rFonts w:ascii="Arial" w:hAnsi="Arial" w:cs="Arial"/>
                <w:b/>
                <w:sz w:val="16"/>
                <w:szCs w:val="16"/>
              </w:rPr>
              <w:t>Form Number</w:t>
            </w:r>
          </w:p>
        </w:tc>
        <w:tc>
          <w:tcPr>
            <w:tcW w:w="1260" w:type="dxa"/>
            <w:shd w:val="clear" w:color="auto" w:fill="D9D9D9" w:themeFill="background1" w:themeFillShade="D9"/>
          </w:tcPr>
          <w:p w:rsidR="00111C1C" w:rsidRPr="008869F8" w:rsidP="00A00445" w14:paraId="28638135" w14:textId="77777777">
            <w:pPr>
              <w:spacing w:before="240"/>
              <w:rPr>
                <w:rFonts w:ascii="Arial" w:hAnsi="Arial" w:cs="Arial"/>
                <w:b/>
                <w:sz w:val="16"/>
                <w:szCs w:val="16"/>
              </w:rPr>
            </w:pPr>
            <w:r w:rsidRPr="008869F8">
              <w:rPr>
                <w:rFonts w:ascii="Arial" w:hAnsi="Arial" w:cs="Arial"/>
                <w:b/>
                <w:sz w:val="16"/>
                <w:szCs w:val="16"/>
              </w:rPr>
              <w:t>No. of Respondents</w:t>
            </w:r>
          </w:p>
        </w:tc>
        <w:tc>
          <w:tcPr>
            <w:tcW w:w="990" w:type="dxa"/>
            <w:shd w:val="clear" w:color="auto" w:fill="D9D9D9" w:themeFill="background1" w:themeFillShade="D9"/>
          </w:tcPr>
          <w:p w:rsidR="00111C1C" w:rsidRPr="008869F8" w:rsidP="00A00445" w14:paraId="0C608687"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1080" w:type="dxa"/>
            <w:shd w:val="clear" w:color="auto" w:fill="D9D9D9" w:themeFill="background1" w:themeFillShade="D9"/>
          </w:tcPr>
          <w:p w:rsidR="00111C1C" w:rsidRPr="008869F8" w:rsidP="00A00445" w14:paraId="6E15AC53" w14:textId="77777777">
            <w:pPr>
              <w:spacing w:before="240"/>
              <w:rPr>
                <w:rFonts w:ascii="Arial" w:hAnsi="Arial" w:cs="Arial"/>
                <w:b/>
                <w:sz w:val="16"/>
                <w:szCs w:val="16"/>
              </w:rPr>
            </w:pPr>
            <w:r w:rsidRPr="008869F8">
              <w:rPr>
                <w:rFonts w:ascii="Arial" w:hAnsi="Arial" w:cs="Arial"/>
                <w:b/>
                <w:sz w:val="16"/>
                <w:szCs w:val="16"/>
              </w:rPr>
              <w:t>Average Burden per</w:t>
            </w:r>
            <w:r>
              <w:rPr>
                <w:rFonts w:ascii="Arial" w:hAnsi="Arial" w:cs="Arial"/>
                <w:b/>
                <w:sz w:val="16"/>
                <w:szCs w:val="16"/>
              </w:rPr>
              <w:t xml:space="preserve"> Response (in hours)</w:t>
            </w:r>
          </w:p>
        </w:tc>
        <w:tc>
          <w:tcPr>
            <w:tcW w:w="990" w:type="dxa"/>
            <w:shd w:val="clear" w:color="auto" w:fill="D9D9D9" w:themeFill="background1" w:themeFillShade="D9"/>
          </w:tcPr>
          <w:p w:rsidR="00111C1C" w:rsidRPr="008869F8" w:rsidP="00A00445" w14:paraId="5080F0B3" w14:textId="77777777">
            <w:pPr>
              <w:spacing w:before="240"/>
              <w:rPr>
                <w:rFonts w:ascii="Arial" w:hAnsi="Arial" w:cs="Arial"/>
                <w:b/>
                <w:sz w:val="16"/>
                <w:szCs w:val="16"/>
              </w:rPr>
            </w:pPr>
            <w:r w:rsidRPr="008869F8">
              <w:rPr>
                <w:rFonts w:ascii="Arial" w:hAnsi="Arial" w:cs="Arial"/>
                <w:b/>
                <w:sz w:val="16"/>
                <w:szCs w:val="16"/>
              </w:rPr>
              <w:t>Total Annual Burden</w:t>
            </w:r>
            <w:r>
              <w:rPr>
                <w:rFonts w:ascii="Arial" w:hAnsi="Arial" w:cs="Arial"/>
                <w:b/>
                <w:sz w:val="16"/>
                <w:szCs w:val="16"/>
              </w:rPr>
              <w:t xml:space="preserve"> (in hours)</w:t>
            </w:r>
          </w:p>
        </w:tc>
        <w:tc>
          <w:tcPr>
            <w:tcW w:w="990" w:type="dxa"/>
            <w:shd w:val="clear" w:color="auto" w:fill="D9D9D9" w:themeFill="background1" w:themeFillShade="D9"/>
          </w:tcPr>
          <w:p w:rsidR="00111C1C" w:rsidRPr="00F039EC" w:rsidP="00A00445" w14:paraId="7D9EE94D" w14:textId="77777777">
            <w:pPr>
              <w:spacing w:before="240"/>
              <w:rPr>
                <w:rFonts w:ascii="Arial" w:hAnsi="Arial" w:cs="Arial"/>
                <w:b/>
                <w:sz w:val="16"/>
                <w:szCs w:val="16"/>
              </w:rPr>
            </w:pPr>
            <w:r w:rsidRPr="00F039EC">
              <w:rPr>
                <w:rFonts w:ascii="Arial" w:hAnsi="Arial" w:cs="Arial"/>
                <w:b/>
                <w:sz w:val="16"/>
                <w:szCs w:val="16"/>
              </w:rPr>
              <w:t>Average Hourly Wage Rate</w:t>
            </w:r>
          </w:p>
        </w:tc>
        <w:tc>
          <w:tcPr>
            <w:tcW w:w="1170" w:type="dxa"/>
            <w:shd w:val="clear" w:color="auto" w:fill="D9D9D9" w:themeFill="background1" w:themeFillShade="D9"/>
          </w:tcPr>
          <w:p w:rsidR="00111C1C" w:rsidRPr="008869F8" w:rsidP="00A00445" w14:paraId="54692CDA" w14:textId="77777777">
            <w:pPr>
              <w:spacing w:before="240"/>
              <w:rPr>
                <w:rFonts w:ascii="Arial" w:hAnsi="Arial" w:cs="Arial"/>
                <w:b/>
                <w:sz w:val="16"/>
                <w:szCs w:val="16"/>
              </w:rPr>
            </w:pPr>
            <w:r w:rsidRPr="00F039EC">
              <w:rPr>
                <w:rFonts w:ascii="Arial" w:hAnsi="Arial" w:cs="Arial"/>
                <w:b/>
                <w:sz w:val="16"/>
                <w:szCs w:val="16"/>
              </w:rPr>
              <w:t>Total Annual Respondent Cost</w:t>
            </w:r>
          </w:p>
        </w:tc>
      </w:tr>
      <w:tr w14:paraId="40766434" w14:textId="77777777" w:rsidTr="6883977B">
        <w:tblPrEx>
          <w:tblW w:w="9085" w:type="dxa"/>
          <w:tblInd w:w="720" w:type="dxa"/>
          <w:tblLayout w:type="fixed"/>
          <w:tblLook w:val="04A0"/>
        </w:tblPrEx>
        <w:tc>
          <w:tcPr>
            <w:tcW w:w="1440" w:type="dxa"/>
          </w:tcPr>
          <w:p w:rsidR="00111C1C" w:rsidRPr="008869F8" w:rsidP="00A00445" w14:paraId="7D4AFD98" w14:textId="4F2B4F55">
            <w:pPr>
              <w:spacing w:before="240"/>
              <w:rPr>
                <w:sz w:val="18"/>
                <w:szCs w:val="18"/>
              </w:rPr>
            </w:pPr>
            <w:r w:rsidRPr="00111C1C">
              <w:rPr>
                <w:sz w:val="18"/>
                <w:szCs w:val="18"/>
              </w:rPr>
              <w:t>Information and Instructions on Your Reconsideration Rights</w:t>
            </w:r>
          </w:p>
        </w:tc>
        <w:tc>
          <w:tcPr>
            <w:tcW w:w="1165" w:type="dxa"/>
          </w:tcPr>
          <w:p w:rsidR="00111C1C" w:rsidRPr="008869F8" w:rsidP="00A00445" w14:paraId="40EF9932" w14:textId="24103F20">
            <w:pPr>
              <w:spacing w:before="240"/>
              <w:rPr>
                <w:sz w:val="18"/>
                <w:szCs w:val="18"/>
              </w:rPr>
            </w:pPr>
            <w:r>
              <w:rPr>
                <w:sz w:val="18"/>
                <w:szCs w:val="18"/>
              </w:rPr>
              <w:t>RI 38-47</w:t>
            </w:r>
          </w:p>
        </w:tc>
        <w:tc>
          <w:tcPr>
            <w:tcW w:w="1260" w:type="dxa"/>
          </w:tcPr>
          <w:p w:rsidR="00111C1C" w:rsidRPr="008869F8" w:rsidP="00A00445" w14:paraId="42D4D913" w14:textId="5E25165B">
            <w:pPr>
              <w:spacing w:before="240"/>
              <w:jc w:val="right"/>
              <w:rPr>
                <w:sz w:val="18"/>
                <w:szCs w:val="18"/>
              </w:rPr>
            </w:pPr>
            <w:r>
              <w:rPr>
                <w:sz w:val="18"/>
                <w:szCs w:val="18"/>
              </w:rPr>
              <w:t>3,100</w:t>
            </w:r>
          </w:p>
        </w:tc>
        <w:tc>
          <w:tcPr>
            <w:tcW w:w="990" w:type="dxa"/>
          </w:tcPr>
          <w:p w:rsidR="00111C1C" w:rsidRPr="008869F8" w:rsidP="00A00445" w14:paraId="7A98736F" w14:textId="77777777">
            <w:pPr>
              <w:spacing w:before="240"/>
              <w:jc w:val="right"/>
              <w:rPr>
                <w:sz w:val="18"/>
                <w:szCs w:val="18"/>
              </w:rPr>
            </w:pPr>
            <w:r>
              <w:rPr>
                <w:sz w:val="18"/>
                <w:szCs w:val="18"/>
              </w:rPr>
              <w:t>1</w:t>
            </w:r>
          </w:p>
        </w:tc>
        <w:tc>
          <w:tcPr>
            <w:tcW w:w="1080" w:type="dxa"/>
          </w:tcPr>
          <w:p w:rsidR="00111C1C" w:rsidRPr="008869F8" w:rsidP="00A00445" w14:paraId="459158BE" w14:textId="0244F261">
            <w:pPr>
              <w:spacing w:before="240"/>
              <w:jc w:val="right"/>
              <w:rPr>
                <w:sz w:val="18"/>
                <w:szCs w:val="18"/>
              </w:rPr>
            </w:pPr>
            <w:r w:rsidRPr="6883977B">
              <w:rPr>
                <w:sz w:val="18"/>
                <w:szCs w:val="18"/>
              </w:rPr>
              <w:t>.</w:t>
            </w:r>
            <w:r w:rsidRPr="6883977B" w:rsidR="04DF2C76">
              <w:rPr>
                <w:sz w:val="18"/>
                <w:szCs w:val="18"/>
              </w:rPr>
              <w:t>7</w:t>
            </w:r>
            <w:r w:rsidRPr="6883977B">
              <w:rPr>
                <w:sz w:val="18"/>
                <w:szCs w:val="18"/>
              </w:rPr>
              <w:t>5</w:t>
            </w:r>
          </w:p>
        </w:tc>
        <w:tc>
          <w:tcPr>
            <w:tcW w:w="990" w:type="dxa"/>
          </w:tcPr>
          <w:p w:rsidR="00111C1C" w:rsidRPr="008869F8" w:rsidP="00A00445" w14:paraId="74064EC2" w14:textId="44006204">
            <w:pPr>
              <w:spacing w:before="240"/>
              <w:jc w:val="right"/>
              <w:rPr>
                <w:sz w:val="18"/>
                <w:szCs w:val="18"/>
              </w:rPr>
            </w:pPr>
            <w:r>
              <w:rPr>
                <w:sz w:val="18"/>
                <w:szCs w:val="18"/>
              </w:rPr>
              <w:t>2,325</w:t>
            </w:r>
          </w:p>
        </w:tc>
        <w:tc>
          <w:tcPr>
            <w:tcW w:w="990" w:type="dxa"/>
          </w:tcPr>
          <w:p w:rsidR="00111C1C" w:rsidP="00A00445" w14:paraId="31084B3C" w14:textId="77777777">
            <w:pPr>
              <w:spacing w:before="240"/>
              <w:jc w:val="right"/>
              <w:rPr>
                <w:sz w:val="18"/>
                <w:szCs w:val="18"/>
              </w:rPr>
            </w:pPr>
            <w:r>
              <w:rPr>
                <w:sz w:val="18"/>
                <w:szCs w:val="18"/>
              </w:rPr>
              <w:t>$32.66</w:t>
            </w:r>
          </w:p>
        </w:tc>
        <w:tc>
          <w:tcPr>
            <w:tcW w:w="1170" w:type="dxa"/>
          </w:tcPr>
          <w:p w:rsidR="00111C1C" w:rsidP="00A00445" w14:paraId="263AFFDC" w14:textId="14EBA9D4">
            <w:pPr>
              <w:spacing w:before="240"/>
              <w:jc w:val="right"/>
              <w:rPr>
                <w:sz w:val="18"/>
                <w:szCs w:val="18"/>
              </w:rPr>
            </w:pPr>
            <w:r w:rsidRPr="6883977B">
              <w:rPr>
                <w:sz w:val="18"/>
                <w:szCs w:val="18"/>
              </w:rPr>
              <w:t>$</w:t>
            </w:r>
            <w:r w:rsidRPr="6883977B" w:rsidR="2F9A9496">
              <w:rPr>
                <w:sz w:val="18"/>
                <w:szCs w:val="18"/>
              </w:rPr>
              <w:t>75,934.50</w:t>
            </w:r>
          </w:p>
        </w:tc>
      </w:tr>
    </w:tbl>
    <w:p w:rsidR="00733560" w:rsidP="0047295A" w14:paraId="38CD68E9" w14:textId="3B3E80A5">
      <w:pPr>
        <w:ind w:left="720"/>
      </w:pPr>
    </w:p>
    <w:p w:rsidR="0047295A" w:rsidP="0045292B" w14:paraId="52A33BCB" w14:textId="5B9C2149">
      <w:pPr>
        <w:ind w:left="720"/>
      </w:pPr>
      <w:r>
        <w:t>The Total Respondent Cost is $</w:t>
      </w:r>
      <w:r w:rsidR="19FF63B7">
        <w:t>7</w:t>
      </w:r>
      <w:r w:rsidR="0045292B">
        <w:t>5</w:t>
      </w:r>
      <w:r w:rsidR="2666860E">
        <w:t>,934.5</w:t>
      </w:r>
      <w:r w:rsidR="0045292B">
        <w:t>0.</w:t>
      </w:r>
      <w:r w:rsidR="001F5515">
        <w:t xml:space="preserve">            </w:t>
      </w:r>
    </w:p>
    <w:p w:rsidR="00900E7C" w:rsidP="00CB0B42" w14:paraId="531ECA24" w14:textId="77777777">
      <w:pPr>
        <w:ind w:right="-288" w:firstLine="720"/>
      </w:pPr>
    </w:p>
    <w:p w:rsidR="0045292B" w:rsidRPr="0045292B" w:rsidP="0045292B" w14:paraId="5EC6E318" w14:textId="39CB575C">
      <w:pPr>
        <w:pStyle w:val="ListParagraph"/>
        <w:numPr>
          <w:ilvl w:val="0"/>
          <w:numId w:val="7"/>
        </w:numPr>
        <w:shd w:val="clear" w:color="auto" w:fill="BFBFBF" w:themeFill="background1" w:themeFillShade="BF"/>
        <w:suppressAutoHyphens/>
        <w:rPr>
          <w:i/>
          <w:iCs/>
        </w:rPr>
      </w:pPr>
      <w:r w:rsidRPr="0045292B">
        <w:rPr>
          <w:i/>
          <w:iCs/>
        </w:rPr>
        <w:t>Describe the non-hourly monetary burden to respondents needed to complete this</w:t>
      </w:r>
      <w:r>
        <w:tab/>
      </w:r>
      <w:r w:rsidRPr="0045292B">
        <w:rPr>
          <w:i/>
          <w:iCs/>
        </w:rPr>
        <w:t xml:space="preserve"> </w:t>
      </w:r>
    </w:p>
    <w:p w:rsidR="00C11A92" w:rsidRPr="00741061" w:rsidP="0045292B" w14:paraId="6A89CF52" w14:textId="1AC83A31">
      <w:pPr>
        <w:pStyle w:val="ListParagraph"/>
        <w:shd w:val="clear" w:color="auto" w:fill="BFBFBF" w:themeFill="background1" w:themeFillShade="BF"/>
        <w:suppressAutoHyphens/>
      </w:pPr>
      <w:r w:rsidRPr="1D8C8F99">
        <w:rPr>
          <w:i/>
          <w:iCs/>
        </w:rPr>
        <w:t>collection. This is defined as out-of-pocket costs such as application fees for the collection, document fees (</w:t>
      </w:r>
      <w:hyperlink r:id="rId5">
        <w:r w:rsidRPr="1D8C8F99">
          <w:rPr>
            <w:rStyle w:val="Hyperlink"/>
            <w:i/>
            <w:iCs/>
          </w:rPr>
          <w:t>birth/death certificates</w:t>
        </w:r>
      </w:hyperlink>
      <w:r w:rsidRPr="1D8C8F99">
        <w:rPr>
          <w:i/>
          <w:iCs/>
        </w:rPr>
        <w:t>, school transcripts), mailing costs (</w:t>
      </w:r>
      <w:hyperlink r:id="rId6">
        <w:r w:rsidRPr="1D8C8F99">
          <w:rPr>
            <w:rStyle w:val="Hyperlink"/>
            <w:i/>
            <w:iCs/>
          </w:rPr>
          <w:t>printing</w:t>
        </w:r>
      </w:hyperlink>
      <w:r w:rsidRPr="1D8C8F99">
        <w:rPr>
          <w:i/>
          <w:iCs/>
        </w:rPr>
        <w:t xml:space="preserve">, </w:t>
      </w:r>
      <w:hyperlink r:id="rId7">
        <w:r w:rsidRPr="1D8C8F99">
          <w:rPr>
            <w:rStyle w:val="Hyperlink"/>
            <w:i/>
            <w:iCs/>
          </w:rPr>
          <w:t>postage</w:t>
        </w:r>
      </w:hyperlink>
      <w:r w:rsidRPr="1D8C8F99">
        <w:rPr>
          <w:i/>
          <w:iCs/>
        </w:rPr>
        <w:t xml:space="preserve">, and/or </w:t>
      </w:r>
      <w:hyperlink r:id="rId8">
        <w:r w:rsidRPr="1D8C8F99">
          <w:rPr>
            <w:rStyle w:val="Hyperlink"/>
            <w:i/>
            <w:iCs/>
          </w:rPr>
          <w:t>mileage</w:t>
        </w:r>
      </w:hyperlink>
      <w:r w:rsidRPr="1D8C8F99">
        <w:rPr>
          <w:i/>
          <w:iCs/>
        </w:rPr>
        <w:t>), or anything else respondents may need to pay to complete and/or implement the collection</w:t>
      </w:r>
      <w:r>
        <w:t>.</w:t>
      </w:r>
    </w:p>
    <w:p w:rsidR="00F94D72" w:rsidP="0045292B" w14:paraId="6B92B68B" w14:textId="77777777">
      <w:pPr>
        <w:pStyle w:val="BodyTextIndent"/>
        <w:tabs>
          <w:tab w:val="left" w:pos="720"/>
        </w:tabs>
        <w:spacing w:after="0"/>
        <w:ind w:left="720"/>
        <w:rPr>
          <w:color w:val="000000" w:themeColor="text1"/>
        </w:rPr>
      </w:pPr>
    </w:p>
    <w:p w:rsidR="0045292B" w:rsidP="0045292B" w14:paraId="4C864A3D" w14:textId="1813E2BE">
      <w:pPr>
        <w:pStyle w:val="BodyTextIndent"/>
        <w:tabs>
          <w:tab w:val="left" w:pos="720"/>
        </w:tabs>
        <w:spacing w:after="0"/>
        <w:ind w:left="720"/>
        <w:rPr>
          <w:color w:val="000000" w:themeColor="text1"/>
        </w:rPr>
      </w:pPr>
      <w:r w:rsidRPr="0E84E851">
        <w:rPr>
          <w:color w:val="000000" w:themeColor="text1"/>
        </w:rPr>
        <w:t>While OPM provides a courtesy reply envelope for the return of the form, there is a postage and mileage cost to return the form to OPM. USPS estimates that the average driving distance between post offices is around 9 miles. The cost for first class postage in 2026 is $</w:t>
      </w:r>
      <w:r w:rsidRPr="0E84E851" w:rsidR="00F928DF">
        <w:rPr>
          <w:color w:val="000000" w:themeColor="text1"/>
        </w:rPr>
        <w:t>0</w:t>
      </w:r>
      <w:r w:rsidRPr="0E84E851">
        <w:rPr>
          <w:color w:val="000000" w:themeColor="text1"/>
        </w:rPr>
        <w:t>.73 totaling a cost of $2</w:t>
      </w:r>
      <w:r w:rsidRPr="0E84E851" w:rsidR="0910ADC7">
        <w:rPr>
          <w:color w:val="000000" w:themeColor="text1"/>
        </w:rPr>
        <w:t>,2</w:t>
      </w:r>
      <w:r w:rsidRPr="0E84E851">
        <w:rPr>
          <w:color w:val="000000" w:themeColor="text1"/>
        </w:rPr>
        <w:t>63. Mileage cost in 2026 at a rate of $0</w:t>
      </w:r>
      <w:r w:rsidRPr="0E84E851" w:rsidR="1CB6C2CB">
        <w:rPr>
          <w:color w:val="000000" w:themeColor="text1"/>
        </w:rPr>
        <w:t>.</w:t>
      </w:r>
      <w:r w:rsidRPr="0E84E851">
        <w:rPr>
          <w:color w:val="000000" w:themeColor="text1"/>
        </w:rPr>
        <w:t>725 totals $20</w:t>
      </w:r>
      <w:r w:rsidRPr="0E84E851" w:rsidR="5D39E4BC">
        <w:rPr>
          <w:color w:val="000000" w:themeColor="text1"/>
        </w:rPr>
        <w:t>,</w:t>
      </w:r>
      <w:r w:rsidRPr="0E84E851">
        <w:rPr>
          <w:color w:val="000000" w:themeColor="text1"/>
        </w:rPr>
        <w:t>227</w:t>
      </w:r>
      <w:r w:rsidRPr="0E84E851" w:rsidR="021B6437">
        <w:rPr>
          <w:color w:val="000000" w:themeColor="text1"/>
        </w:rPr>
        <w:t>.</w:t>
      </w:r>
      <w:r w:rsidRPr="0E84E851">
        <w:rPr>
          <w:color w:val="000000" w:themeColor="text1"/>
        </w:rPr>
        <w:t>5</w:t>
      </w:r>
      <w:r w:rsidRPr="0E84E851" w:rsidR="021B6437">
        <w:rPr>
          <w:color w:val="000000" w:themeColor="text1"/>
        </w:rPr>
        <w:t>0</w:t>
      </w:r>
      <w:r w:rsidRPr="0E84E851">
        <w:rPr>
          <w:color w:val="000000" w:themeColor="text1"/>
        </w:rPr>
        <w:t>.</w:t>
      </w:r>
    </w:p>
    <w:p w:rsidR="00B46883" w:rsidP="0045292B" w14:paraId="16F0FF3B" w14:textId="77777777">
      <w:pPr>
        <w:pStyle w:val="BodyTextIndent"/>
        <w:tabs>
          <w:tab w:val="left" w:pos="720"/>
        </w:tabs>
        <w:spacing w:after="0"/>
        <w:ind w:left="720"/>
        <w:rPr>
          <w:color w:val="000000" w:themeColor="text1"/>
        </w:rPr>
      </w:pPr>
    </w:p>
    <w:p w:rsidR="00B46883" w:rsidP="00B46883" w14:paraId="6C5957A7" w14:textId="6054C866">
      <w:pPr>
        <w:shd w:val="clear" w:color="auto" w:fill="BFBFBF" w:themeFill="background1" w:themeFillShade="BF"/>
        <w:tabs>
          <w:tab w:val="left" w:pos="-720"/>
        </w:tabs>
        <w:suppressAutoHyphens/>
        <w:contextualSpacing/>
      </w:pPr>
      <w:r w:rsidRPr="00741061">
        <w:t>1</w:t>
      </w:r>
      <w:r>
        <w:t>5</w:t>
      </w:r>
      <w:r w:rsidRPr="00741061">
        <w:t xml:space="preserve">. </w:t>
      </w:r>
      <w:r w:rsidRPr="008614CE">
        <w:rPr>
          <w:i/>
          <w:iCs/>
        </w:rPr>
        <w:t>Describe the cost incurred by the Federal Government to complete this collection table.</w:t>
      </w:r>
    </w:p>
    <w:p w:rsidR="0045292B" w:rsidP="0045292B" w14:paraId="375BBA5A" w14:textId="64033F59">
      <w:pPr>
        <w:spacing w:before="240"/>
        <w:ind w:left="720"/>
      </w:pPr>
      <w:r>
        <w:t xml:space="preserve">The estimated cost to the Federal government is $182,300. The cost includes employee salary hours devoted to the collection, forms cost, and overhead. </w:t>
      </w:r>
      <w:r w:rsidR="000B7C45">
        <w:br/>
      </w:r>
      <w:r>
        <w:t xml:space="preserve"> </w:t>
      </w:r>
    </w:p>
    <w:p w:rsidR="00B46883" w:rsidP="00B46883" w14:paraId="5A65997A" w14:textId="3214D384">
      <w:pPr>
        <w:shd w:val="clear" w:color="auto" w:fill="BFBFBF" w:themeFill="background1" w:themeFillShade="BF"/>
        <w:contextualSpacing/>
        <w:rPr>
          <w:i/>
          <w:iCs/>
        </w:rPr>
      </w:pPr>
      <w:r w:rsidRPr="00741061">
        <w:fldChar w:fldCharType="begin"/>
      </w:r>
      <w:r w:rsidRPr="00741061">
        <w:instrText>ADVANCE \R 0.95</w:instrText>
      </w:r>
      <w:r w:rsidRPr="00741061">
        <w:fldChar w:fldCharType="end"/>
      </w:r>
      <w:r w:rsidRPr="00741061">
        <w:t>16</w:t>
      </w:r>
      <w:r>
        <w:t xml:space="preserve">. </w:t>
      </w:r>
      <w:r w:rsidRPr="00846251">
        <w:rPr>
          <w:i/>
          <w:iCs/>
        </w:rPr>
        <w:t xml:space="preserve">Specify if the data gathered by this collection will be published. This could include </w:t>
      </w:r>
    </w:p>
    <w:p w:rsidR="00B46883" w:rsidP="00B46883" w14:paraId="06BDBC68" w14:textId="77777777">
      <w:pPr>
        <w:shd w:val="clear" w:color="auto" w:fill="BFBFBF" w:themeFill="background1" w:themeFillShade="BF"/>
        <w:contextualSpacing/>
        <w:rPr>
          <w:i/>
          <w:iCs/>
        </w:rPr>
      </w:pPr>
      <w:r>
        <w:rPr>
          <w:i/>
          <w:iCs/>
        </w:rPr>
        <w:t xml:space="preserve">      </w:t>
      </w:r>
      <w:r w:rsidRPr="00846251">
        <w:rPr>
          <w:i/>
          <w:iCs/>
        </w:rPr>
        <w:t xml:space="preserve">Congressional reporting, using respondent numbers in budget justification, or other broad </w:t>
      </w:r>
      <w:r>
        <w:rPr>
          <w:i/>
          <w:iCs/>
        </w:rPr>
        <w:t xml:space="preserve">  </w:t>
      </w:r>
    </w:p>
    <w:p w:rsidR="00B46883" w:rsidP="00B46883" w14:paraId="37F1A884" w14:textId="77777777">
      <w:pPr>
        <w:shd w:val="clear" w:color="auto" w:fill="BFBFBF" w:themeFill="background1" w:themeFillShade="BF"/>
        <w:contextualSpacing/>
      </w:pPr>
      <w:r>
        <w:rPr>
          <w:i/>
          <w:iCs/>
        </w:rPr>
        <w:t xml:space="preserve">      </w:t>
      </w:r>
      <w:r w:rsidRPr="00846251">
        <w:rPr>
          <w:i/>
          <w:iCs/>
        </w:rPr>
        <w:t>reporting.</w:t>
      </w:r>
    </w:p>
    <w:p w:rsidR="00B46883" w:rsidP="00B46883" w14:paraId="4CDA9569" w14:textId="77777777">
      <w:pPr>
        <w:ind w:left="720"/>
      </w:pPr>
    </w:p>
    <w:p w:rsidR="00B46883" w:rsidP="00B46883" w14:paraId="78A2C597" w14:textId="77777777">
      <w:pPr>
        <w:ind w:left="660"/>
      </w:pPr>
      <w:r w:rsidRPr="001461A3">
        <w:t xml:space="preserve">The </w:t>
      </w:r>
      <w:r>
        <w:t>details of this ICR are not published. However, there may occasionally be aggregate data reported, as needed, including in Congressional reporting, budget justifications, or other broad reporting.</w:t>
      </w:r>
      <w:r w:rsidRPr="001461A3">
        <w:br/>
      </w:r>
    </w:p>
    <w:p w:rsidR="00B46883" w:rsidP="00B46883" w14:paraId="17833A01" w14:textId="77777777">
      <w:pPr>
        <w:pStyle w:val="ListParagraph"/>
        <w:shd w:val="clear" w:color="auto" w:fill="BFBFBF" w:themeFill="background1" w:themeFillShade="BF"/>
        <w:suppressAutoHyphens/>
        <w:ind w:left="0"/>
        <w:contextualSpacing/>
        <w:rPr>
          <w:i/>
          <w:iCs/>
        </w:rPr>
      </w:pPr>
      <w:r w:rsidRPr="1D8C8F99">
        <w:rPr>
          <w:i/>
          <w:iCs/>
        </w:rPr>
        <w:t xml:space="preserve">17. If applicable, explain the reason(s) for seeking approval to not display the OMB expiration </w:t>
      </w:r>
    </w:p>
    <w:p w:rsidR="00B46883" w:rsidP="00B46883" w14:paraId="2054ED7D" w14:textId="77777777">
      <w:pPr>
        <w:pStyle w:val="ListParagraph"/>
        <w:shd w:val="clear" w:color="auto" w:fill="BFBFBF" w:themeFill="background1" w:themeFillShade="BF"/>
        <w:suppressAutoHyphens/>
        <w:ind w:left="0"/>
        <w:contextualSpacing/>
      </w:pPr>
      <w:r w:rsidRPr="1D8C8F99">
        <w:rPr>
          <w:i/>
          <w:iCs/>
        </w:rPr>
        <w:t xml:space="preserve">     date.</w:t>
      </w:r>
      <w:r>
        <w:t> </w:t>
      </w:r>
    </w:p>
    <w:p w:rsidR="00B46883" w:rsidP="00B46883" w14:paraId="7527A5EE" w14:textId="77777777">
      <w:pPr>
        <w:ind w:left="720"/>
      </w:pPr>
    </w:p>
    <w:p w:rsidR="00B46883" w:rsidP="00B46883" w14:paraId="0D158D48" w14:textId="77777777">
      <w:pPr>
        <w:ind w:left="720"/>
      </w:pPr>
      <w:r>
        <w:t xml:space="preserve">We seek approval to not display the OMB clearance expiration date on the forms and </w:t>
      </w:r>
      <w:r>
        <w:t>to communicate</w:t>
      </w:r>
      <w:r>
        <w:t xml:space="preserve"> version changes to the public via the revision date. The results of this collection are not published.</w:t>
      </w:r>
    </w:p>
    <w:p w:rsidR="00B46883" w:rsidP="00B46883" w14:paraId="0ED9B357" w14:textId="77777777"/>
    <w:p w:rsidR="00B46883" w:rsidP="00B46883" w14:paraId="50C1BC37" w14:textId="091BFE10">
      <w:pPr>
        <w:tabs>
          <w:tab w:val="left" w:pos="-720"/>
        </w:tabs>
        <w:suppressAutoHyphens/>
        <w:ind w:left="288"/>
        <w:rPr>
          <w:i/>
          <w:iCs/>
          <w:shd w:val="clear" w:color="auto" w:fill="BFBFBF" w:themeFill="background1" w:themeFillShade="BF"/>
        </w:rPr>
      </w:pPr>
      <w:bookmarkStart w:id="0" w:name="_Hlk71715172"/>
      <w:r w:rsidRPr="00A415BF">
        <w:rPr>
          <w:i/>
          <w:iCs/>
          <w:shd w:val="clear" w:color="auto" w:fill="BFBFBF" w:themeFill="background1" w:themeFillShade="BF"/>
        </w:rPr>
        <w:t>18</w:t>
      </w:r>
      <w:bookmarkEnd w:id="0"/>
      <w:r w:rsidRPr="00A415BF">
        <w:rPr>
          <w:i/>
          <w:iCs/>
          <w:shd w:val="clear" w:color="auto" w:fill="BFBFBF" w:themeFill="background1" w:themeFillShade="BF"/>
        </w:rPr>
        <w:t>.</w:t>
      </w:r>
      <w:r w:rsidRPr="00A415BF">
        <w:rPr>
          <w:i/>
          <w:iCs/>
          <w:color w:val="000000"/>
          <w:shd w:val="clear" w:color="auto" w:fill="BFBFBF" w:themeFill="background1" w:themeFillShade="BF"/>
        </w:rPr>
        <w:t xml:space="preserve"> </w:t>
      </w:r>
      <w:r w:rsidRPr="00A415BF">
        <w:rPr>
          <w:i/>
          <w:iCs/>
          <w:shd w:val="clear" w:color="auto" w:fill="BFBFBF" w:themeFill="background1" w:themeFillShade="BF"/>
        </w:rPr>
        <w:t>Explain each exception to the topics of the certification statement identified in</w:t>
      </w:r>
      <w:r w:rsidR="00882A04">
        <w:rPr>
          <w:i/>
          <w:iCs/>
          <w:shd w:val="clear" w:color="auto" w:fill="BFBFBF" w:themeFill="background1" w:themeFillShade="BF"/>
        </w:rPr>
        <w:tab/>
      </w:r>
      <w:r w:rsidR="00882A04">
        <w:rPr>
          <w:i/>
          <w:iCs/>
          <w:shd w:val="clear" w:color="auto" w:fill="BFBFBF" w:themeFill="background1" w:themeFillShade="BF"/>
        </w:rPr>
        <w:tab/>
      </w:r>
    </w:p>
    <w:p w:rsidR="00B46883" w:rsidRPr="009B6DA1" w:rsidP="72906C12" w14:paraId="5137882B" w14:textId="36B9C396">
      <w:pPr>
        <w:suppressAutoHyphens/>
        <w:ind w:left="288"/>
        <w:rPr>
          <w:i/>
          <w:iCs/>
        </w:rPr>
      </w:pPr>
      <w:r>
        <w:rPr>
          <w:i/>
          <w:iCs/>
          <w:shd w:val="clear" w:color="auto" w:fill="BFBFBF" w:themeFill="background1" w:themeFillShade="BF"/>
        </w:rPr>
        <w:tab/>
      </w:r>
      <w:r w:rsidRPr="72906C12">
        <w:rPr>
          <w:i/>
          <w:iCs/>
          <w:shd w:val="clear" w:color="auto" w:fill="BFBFBF" w:themeFill="background1" w:themeFillShade="BF"/>
        </w:rPr>
        <w:t>“</w:t>
      </w:r>
      <w:hyperlink r:id="rId9" w:history="1">
        <w:r w:rsidRPr="72906C12">
          <w:rPr>
            <w:rStyle w:val="Hyperlink"/>
            <w:i/>
            <w:iCs/>
            <w:shd w:val="clear" w:color="auto" w:fill="BFBFBF" w:themeFill="background1" w:themeFillShade="BF"/>
          </w:rPr>
          <w:t>Certification for Paperwork Reduction Act Submissions</w:t>
        </w:r>
      </w:hyperlink>
      <w:r w:rsidRPr="72906C12">
        <w:rPr>
          <w:i/>
          <w:iCs/>
          <w:shd w:val="clear" w:color="auto" w:fill="BFBFBF" w:themeFill="background1" w:themeFillShade="BF"/>
        </w:rPr>
        <w:t>.</w:t>
      </w:r>
    </w:p>
    <w:p w:rsidR="00B46883" w:rsidRPr="009B6DA1" w:rsidP="0E84E851" w14:paraId="49103122" w14:textId="22304E3C">
      <w:pPr>
        <w:suppressAutoHyphens/>
        <w:ind w:left="288"/>
      </w:pPr>
    </w:p>
    <w:p w:rsidR="00B46883" w:rsidRPr="009B6DA1" w:rsidP="00D1621E" w14:paraId="0A2892B9" w14:textId="517BF11D">
      <w:pPr>
        <w:suppressAutoHyphens/>
        <w:ind w:left="288" w:firstLine="720"/>
        <w:rPr>
          <w:i/>
          <w:iCs/>
          <w:shd w:val="clear" w:color="auto" w:fill="BFBFBF" w:themeFill="background1" w:themeFillShade="BF"/>
        </w:rPr>
      </w:pPr>
      <w:r>
        <w:t>There are no exceptions to the certification statement.</w:t>
      </w:r>
    </w:p>
    <w:p w:rsidR="00C11A92" w:rsidRPr="00741061" w:rsidP="00C11A92" w14:paraId="08651C03" w14:textId="031A73DD">
      <w:pPr>
        <w:pStyle w:val="ListParagraph"/>
        <w:tabs>
          <w:tab w:val="left" w:pos="-720"/>
        </w:tabs>
        <w:suppressAutoHyphens/>
        <w:ind w:left="0"/>
      </w:pPr>
    </w:p>
    <w:sectPr>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B3705B"/>
    <w:multiLevelType w:val="multilevel"/>
    <w:tmpl w:val="6FDE2816"/>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C36312"/>
    <w:multiLevelType w:val="multilevel"/>
    <w:tmpl w:val="D89EC5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965375"/>
    <w:multiLevelType w:val="singleLevel"/>
    <w:tmpl w:val="D9C604C8"/>
    <w:lvl w:ilvl="0">
      <w:start w:val="1"/>
      <w:numFmt w:val="decimal"/>
      <w:lvlText w:val="%1."/>
      <w:lvlJc w:val="left"/>
      <w:pPr>
        <w:tabs>
          <w:tab w:val="num" w:pos="720"/>
        </w:tabs>
        <w:ind w:left="720" w:hanging="360"/>
      </w:pPr>
      <w:rPr>
        <w:rFonts w:hint="default"/>
      </w:rPr>
    </w:lvl>
  </w:abstractNum>
  <w:abstractNum w:abstractNumId="3">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411D2FA3"/>
    <w:multiLevelType w:val="multilevel"/>
    <w:tmpl w:val="94AC24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FC42B7"/>
    <w:multiLevelType w:val="singleLevel"/>
    <w:tmpl w:val="04090015"/>
    <w:lvl w:ilvl="0">
      <w:start w:val="1"/>
      <w:numFmt w:val="upperLetter"/>
      <w:lvlText w:val="%1."/>
      <w:lvlJc w:val="left"/>
      <w:pPr>
        <w:tabs>
          <w:tab w:val="num" w:pos="9720"/>
        </w:tabs>
        <w:ind w:left="9720" w:hanging="360"/>
      </w:pPr>
      <w:rPr>
        <w:rFonts w:hint="default"/>
      </w:rPr>
    </w:lvl>
  </w:abstractNum>
  <w:abstractNum w:abstractNumId="6">
    <w:nsid w:val="664D74BB"/>
    <w:multiLevelType w:val="singleLevel"/>
    <w:tmpl w:val="57722588"/>
    <w:lvl w:ilvl="0">
      <w:start w:val="1"/>
      <w:numFmt w:val="decimal"/>
      <w:lvlText w:val="%1."/>
      <w:lvlJc w:val="left"/>
      <w:pPr>
        <w:tabs>
          <w:tab w:val="num" w:pos="720"/>
        </w:tabs>
        <w:ind w:left="720" w:hanging="360"/>
      </w:pPr>
      <w:rPr>
        <w:rFonts w:hint="default"/>
      </w:rPr>
    </w:lvl>
  </w:abstractNum>
  <w:abstractNum w:abstractNumId="7">
    <w:nsid w:val="74536BC5"/>
    <w:multiLevelType w:val="singleLevel"/>
    <w:tmpl w:val="57722588"/>
    <w:lvl w:ilvl="0">
      <w:start w:val="1"/>
      <w:numFmt w:val="decimal"/>
      <w:lvlText w:val="%1."/>
      <w:lvlJc w:val="left"/>
      <w:pPr>
        <w:tabs>
          <w:tab w:val="num" w:pos="720"/>
        </w:tabs>
        <w:ind w:left="720" w:hanging="360"/>
      </w:pPr>
      <w:rPr>
        <w:rFonts w:hint="default"/>
      </w:rPr>
    </w:lvl>
  </w:abstractNum>
  <w:abstractNum w:abstractNumId="8">
    <w:nsid w:val="75617FA9"/>
    <w:multiLevelType w:val="multilevel"/>
    <w:tmpl w:val="BA70CB2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1452887">
    <w:abstractNumId w:val="8"/>
  </w:num>
  <w:num w:numId="2" w16cid:durableId="1397630694">
    <w:abstractNumId w:val="5"/>
  </w:num>
  <w:num w:numId="3" w16cid:durableId="1203784831">
    <w:abstractNumId w:val="2"/>
  </w:num>
  <w:num w:numId="4" w16cid:durableId="351226119">
    <w:abstractNumId w:val="3"/>
  </w:num>
  <w:num w:numId="5" w16cid:durableId="1826583129">
    <w:abstractNumId w:val="7"/>
  </w:num>
  <w:num w:numId="6" w16cid:durableId="1569607799">
    <w:abstractNumId w:val="6"/>
  </w:num>
  <w:num w:numId="7" w16cid:durableId="601836959">
    <w:abstractNumId w:val="0"/>
  </w:num>
  <w:num w:numId="8" w16cid:durableId="932400870">
    <w:abstractNumId w:val="1"/>
  </w:num>
  <w:num w:numId="9" w16cid:durableId="548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F3"/>
    <w:rsid w:val="00010A18"/>
    <w:rsid w:val="00015DF7"/>
    <w:rsid w:val="00045911"/>
    <w:rsid w:val="00047B41"/>
    <w:rsid w:val="000809A2"/>
    <w:rsid w:val="00092BE2"/>
    <w:rsid w:val="000B1F23"/>
    <w:rsid w:val="000B7C45"/>
    <w:rsid w:val="000C76FA"/>
    <w:rsid w:val="000E7E8F"/>
    <w:rsid w:val="00111C1C"/>
    <w:rsid w:val="00123BB6"/>
    <w:rsid w:val="001461A3"/>
    <w:rsid w:val="001753D1"/>
    <w:rsid w:val="001F5515"/>
    <w:rsid w:val="001F7B17"/>
    <w:rsid w:val="00200EC5"/>
    <w:rsid w:val="0021279C"/>
    <w:rsid w:val="00237649"/>
    <w:rsid w:val="00243687"/>
    <w:rsid w:val="002459DD"/>
    <w:rsid w:val="00246051"/>
    <w:rsid w:val="002464C2"/>
    <w:rsid w:val="002479B6"/>
    <w:rsid w:val="00250221"/>
    <w:rsid w:val="00250A65"/>
    <w:rsid w:val="00272AD1"/>
    <w:rsid w:val="002B1643"/>
    <w:rsid w:val="002C5306"/>
    <w:rsid w:val="002E15C4"/>
    <w:rsid w:val="002F1DA6"/>
    <w:rsid w:val="00300EE8"/>
    <w:rsid w:val="003120F3"/>
    <w:rsid w:val="00321CD3"/>
    <w:rsid w:val="0032674C"/>
    <w:rsid w:val="003414E6"/>
    <w:rsid w:val="0034372F"/>
    <w:rsid w:val="00392238"/>
    <w:rsid w:val="003A4EDB"/>
    <w:rsid w:val="003C6F4C"/>
    <w:rsid w:val="00401B4E"/>
    <w:rsid w:val="004136CC"/>
    <w:rsid w:val="004332DA"/>
    <w:rsid w:val="00436C4D"/>
    <w:rsid w:val="00441A57"/>
    <w:rsid w:val="00444680"/>
    <w:rsid w:val="0045292B"/>
    <w:rsid w:val="0047295A"/>
    <w:rsid w:val="004A44E7"/>
    <w:rsid w:val="004A59B6"/>
    <w:rsid w:val="004E65F1"/>
    <w:rsid w:val="004E72D6"/>
    <w:rsid w:val="005332E6"/>
    <w:rsid w:val="00570270"/>
    <w:rsid w:val="00591F3F"/>
    <w:rsid w:val="0059618D"/>
    <w:rsid w:val="005E399C"/>
    <w:rsid w:val="00611CDB"/>
    <w:rsid w:val="00641B55"/>
    <w:rsid w:val="006632C4"/>
    <w:rsid w:val="00666B4F"/>
    <w:rsid w:val="0067719F"/>
    <w:rsid w:val="006A3B17"/>
    <w:rsid w:val="006B37C6"/>
    <w:rsid w:val="006F09FE"/>
    <w:rsid w:val="00700A67"/>
    <w:rsid w:val="00705008"/>
    <w:rsid w:val="0070688D"/>
    <w:rsid w:val="00713D7A"/>
    <w:rsid w:val="00727CF2"/>
    <w:rsid w:val="00733560"/>
    <w:rsid w:val="00741061"/>
    <w:rsid w:val="007438A8"/>
    <w:rsid w:val="007848B8"/>
    <w:rsid w:val="007A5BD0"/>
    <w:rsid w:val="007C16CD"/>
    <w:rsid w:val="00810C0A"/>
    <w:rsid w:val="008114ED"/>
    <w:rsid w:val="008315EF"/>
    <w:rsid w:val="00846251"/>
    <w:rsid w:val="008614CE"/>
    <w:rsid w:val="008819AA"/>
    <w:rsid w:val="00882A04"/>
    <w:rsid w:val="0088417A"/>
    <w:rsid w:val="00885297"/>
    <w:rsid w:val="008869F8"/>
    <w:rsid w:val="008A0DCF"/>
    <w:rsid w:val="008B6B31"/>
    <w:rsid w:val="008C2BD2"/>
    <w:rsid w:val="00900E7C"/>
    <w:rsid w:val="00960BCA"/>
    <w:rsid w:val="0099225B"/>
    <w:rsid w:val="009A269F"/>
    <w:rsid w:val="009A69F3"/>
    <w:rsid w:val="009A6C84"/>
    <w:rsid w:val="009B6DA1"/>
    <w:rsid w:val="009C7AD5"/>
    <w:rsid w:val="009E45C1"/>
    <w:rsid w:val="00A00445"/>
    <w:rsid w:val="00A02CBE"/>
    <w:rsid w:val="00A10BE7"/>
    <w:rsid w:val="00A1229D"/>
    <w:rsid w:val="00A14624"/>
    <w:rsid w:val="00A3690D"/>
    <w:rsid w:val="00A415BF"/>
    <w:rsid w:val="00A46551"/>
    <w:rsid w:val="00A726A0"/>
    <w:rsid w:val="00A86050"/>
    <w:rsid w:val="00AB084A"/>
    <w:rsid w:val="00AD79F2"/>
    <w:rsid w:val="00AF45C0"/>
    <w:rsid w:val="00B30C98"/>
    <w:rsid w:val="00B40963"/>
    <w:rsid w:val="00B46883"/>
    <w:rsid w:val="00B670D3"/>
    <w:rsid w:val="00B721CC"/>
    <w:rsid w:val="00BA0C4F"/>
    <w:rsid w:val="00BB4D6D"/>
    <w:rsid w:val="00BC5044"/>
    <w:rsid w:val="00C041DA"/>
    <w:rsid w:val="00C11A92"/>
    <w:rsid w:val="00C1773B"/>
    <w:rsid w:val="00C535AD"/>
    <w:rsid w:val="00C615EB"/>
    <w:rsid w:val="00C669AE"/>
    <w:rsid w:val="00CA5D3C"/>
    <w:rsid w:val="00CB0B42"/>
    <w:rsid w:val="00CB69A5"/>
    <w:rsid w:val="00CF07C4"/>
    <w:rsid w:val="00D11327"/>
    <w:rsid w:val="00D1542F"/>
    <w:rsid w:val="00D1621E"/>
    <w:rsid w:val="00D20B8A"/>
    <w:rsid w:val="00D4209F"/>
    <w:rsid w:val="00D607C7"/>
    <w:rsid w:val="00D82F63"/>
    <w:rsid w:val="00D84850"/>
    <w:rsid w:val="00DC512E"/>
    <w:rsid w:val="00DF085B"/>
    <w:rsid w:val="00E00A7D"/>
    <w:rsid w:val="00E0156A"/>
    <w:rsid w:val="00E26880"/>
    <w:rsid w:val="00E6566C"/>
    <w:rsid w:val="00EB0FB2"/>
    <w:rsid w:val="00EB30C0"/>
    <w:rsid w:val="00ED158B"/>
    <w:rsid w:val="00ED7B30"/>
    <w:rsid w:val="00F039EC"/>
    <w:rsid w:val="00F049D0"/>
    <w:rsid w:val="00F05065"/>
    <w:rsid w:val="00F05CF4"/>
    <w:rsid w:val="00F120E1"/>
    <w:rsid w:val="00F22436"/>
    <w:rsid w:val="00F4428E"/>
    <w:rsid w:val="00F53E27"/>
    <w:rsid w:val="00F72F25"/>
    <w:rsid w:val="00F86978"/>
    <w:rsid w:val="00F928DF"/>
    <w:rsid w:val="00F94D72"/>
    <w:rsid w:val="00FA462C"/>
    <w:rsid w:val="00FC4360"/>
    <w:rsid w:val="00FF5C00"/>
    <w:rsid w:val="01B7688D"/>
    <w:rsid w:val="021B6437"/>
    <w:rsid w:val="04DF2C76"/>
    <w:rsid w:val="0910ADC7"/>
    <w:rsid w:val="09A499C5"/>
    <w:rsid w:val="0D9C5B5A"/>
    <w:rsid w:val="0E84E851"/>
    <w:rsid w:val="19FF63B7"/>
    <w:rsid w:val="1CB6C2CB"/>
    <w:rsid w:val="1D8C8F99"/>
    <w:rsid w:val="234B41FA"/>
    <w:rsid w:val="2666860E"/>
    <w:rsid w:val="2C6947EE"/>
    <w:rsid w:val="2F9A9496"/>
    <w:rsid w:val="3BF00067"/>
    <w:rsid w:val="4D5CCDAB"/>
    <w:rsid w:val="58266318"/>
    <w:rsid w:val="5D39E4BC"/>
    <w:rsid w:val="5FB5B03B"/>
    <w:rsid w:val="65819BE1"/>
    <w:rsid w:val="6883977B"/>
    <w:rsid w:val="6A894500"/>
    <w:rsid w:val="72906C12"/>
    <w:rsid w:val="7EBC26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0902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9B6"/>
    <w:pPr>
      <w:ind w:left="720"/>
    </w:pPr>
  </w:style>
  <w:style w:type="table" w:styleId="TableGrid">
    <w:name w:val="Table Grid"/>
    <w:basedOn w:val="TableNormal"/>
    <w:uiPriority w:val="59"/>
    <w:rsid w:val="00C11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15EB"/>
    <w:pPr>
      <w:tabs>
        <w:tab w:val="center" w:pos="4680"/>
        <w:tab w:val="right" w:pos="9360"/>
      </w:tabs>
    </w:pPr>
  </w:style>
  <w:style w:type="character" w:customStyle="1" w:styleId="HeaderChar">
    <w:name w:val="Header Char"/>
    <w:basedOn w:val="DefaultParagraphFont"/>
    <w:link w:val="Header"/>
    <w:uiPriority w:val="99"/>
    <w:rsid w:val="00C615EB"/>
    <w:rPr>
      <w:sz w:val="24"/>
    </w:rPr>
  </w:style>
  <w:style w:type="paragraph" w:styleId="Footer">
    <w:name w:val="footer"/>
    <w:basedOn w:val="Normal"/>
    <w:link w:val="FooterChar"/>
    <w:uiPriority w:val="99"/>
    <w:unhideWhenUsed/>
    <w:rsid w:val="00C615EB"/>
    <w:pPr>
      <w:tabs>
        <w:tab w:val="center" w:pos="4680"/>
        <w:tab w:val="right" w:pos="9360"/>
      </w:tabs>
    </w:pPr>
  </w:style>
  <w:style w:type="character" w:customStyle="1" w:styleId="FooterChar">
    <w:name w:val="Footer Char"/>
    <w:basedOn w:val="DefaultParagraphFont"/>
    <w:link w:val="Footer"/>
    <w:uiPriority w:val="99"/>
    <w:rsid w:val="00C615EB"/>
    <w:rPr>
      <w:sz w:val="24"/>
    </w:rPr>
  </w:style>
  <w:style w:type="paragraph" w:styleId="BodyText">
    <w:name w:val="Body Text"/>
    <w:basedOn w:val="Normal"/>
    <w:link w:val="BodyTextChar"/>
    <w:uiPriority w:val="1"/>
    <w:qFormat/>
    <w:rsid w:val="00F4428E"/>
    <w:pPr>
      <w:widowControl w:val="0"/>
      <w:autoSpaceDE w:val="0"/>
      <w:autoSpaceDN w:val="0"/>
    </w:pPr>
    <w:rPr>
      <w:sz w:val="22"/>
      <w:szCs w:val="22"/>
    </w:rPr>
  </w:style>
  <w:style w:type="character" w:customStyle="1" w:styleId="BodyTextChar">
    <w:name w:val="Body Text Char"/>
    <w:basedOn w:val="DefaultParagraphFont"/>
    <w:link w:val="BodyText"/>
    <w:uiPriority w:val="1"/>
    <w:rsid w:val="00F4428E"/>
    <w:rPr>
      <w:sz w:val="22"/>
      <w:szCs w:val="22"/>
    </w:rPr>
  </w:style>
  <w:style w:type="paragraph" w:customStyle="1" w:styleId="TableParagraph">
    <w:name w:val="Table Paragraph"/>
    <w:basedOn w:val="Normal"/>
    <w:uiPriority w:val="1"/>
    <w:qFormat/>
    <w:rsid w:val="00733560"/>
    <w:pPr>
      <w:widowControl w:val="0"/>
      <w:autoSpaceDE w:val="0"/>
      <w:autoSpaceDN w:val="0"/>
    </w:pPr>
    <w:rPr>
      <w:sz w:val="22"/>
      <w:szCs w:val="22"/>
    </w:rPr>
  </w:style>
  <w:style w:type="character" w:styleId="CommentReference">
    <w:name w:val="annotation reference"/>
    <w:basedOn w:val="DefaultParagraphFont"/>
    <w:uiPriority w:val="99"/>
    <w:semiHidden/>
    <w:unhideWhenUsed/>
    <w:rsid w:val="00FA462C"/>
    <w:rPr>
      <w:sz w:val="16"/>
      <w:szCs w:val="16"/>
    </w:rPr>
  </w:style>
  <w:style w:type="paragraph" w:styleId="CommentText">
    <w:name w:val="annotation text"/>
    <w:basedOn w:val="Normal"/>
    <w:link w:val="CommentTextChar"/>
    <w:uiPriority w:val="99"/>
    <w:semiHidden/>
    <w:unhideWhenUsed/>
    <w:rsid w:val="00FA462C"/>
    <w:rPr>
      <w:sz w:val="20"/>
    </w:rPr>
  </w:style>
  <w:style w:type="character" w:customStyle="1" w:styleId="CommentTextChar">
    <w:name w:val="Comment Text Char"/>
    <w:basedOn w:val="DefaultParagraphFont"/>
    <w:link w:val="CommentText"/>
    <w:uiPriority w:val="99"/>
    <w:semiHidden/>
    <w:rsid w:val="00FA462C"/>
  </w:style>
  <w:style w:type="paragraph" w:styleId="CommentSubject">
    <w:name w:val="annotation subject"/>
    <w:basedOn w:val="CommentText"/>
    <w:next w:val="CommentText"/>
    <w:link w:val="CommentSubjectChar"/>
    <w:uiPriority w:val="99"/>
    <w:semiHidden/>
    <w:unhideWhenUsed/>
    <w:rsid w:val="00FA462C"/>
    <w:rPr>
      <w:b/>
      <w:bCs/>
    </w:rPr>
  </w:style>
  <w:style w:type="character" w:customStyle="1" w:styleId="CommentSubjectChar">
    <w:name w:val="Comment Subject Char"/>
    <w:basedOn w:val="CommentTextChar"/>
    <w:link w:val="CommentSubject"/>
    <w:uiPriority w:val="99"/>
    <w:semiHidden/>
    <w:rsid w:val="00FA462C"/>
    <w:rPr>
      <w:b/>
      <w:bCs/>
    </w:rPr>
  </w:style>
  <w:style w:type="paragraph" w:styleId="Revision">
    <w:name w:val="Revision"/>
    <w:hidden/>
    <w:uiPriority w:val="99"/>
    <w:semiHidden/>
    <w:rsid w:val="008315EF"/>
    <w:rPr>
      <w:sz w:val="24"/>
    </w:rPr>
  </w:style>
  <w:style w:type="character" w:styleId="Hyperlink">
    <w:name w:val="Hyperlink"/>
    <w:basedOn w:val="DefaultParagraphFont"/>
    <w:uiPriority w:val="99"/>
    <w:unhideWhenUsed/>
    <w:rsid w:val="006A3B17"/>
    <w:rPr>
      <w:color w:val="0563C1" w:themeColor="hyperlink"/>
      <w:u w:val="single"/>
    </w:rPr>
  </w:style>
  <w:style w:type="character" w:styleId="UnresolvedMention">
    <w:name w:val="Unresolved Mention"/>
    <w:basedOn w:val="DefaultParagraphFont"/>
    <w:uiPriority w:val="99"/>
    <w:semiHidden/>
    <w:unhideWhenUsed/>
    <w:rsid w:val="006A3B17"/>
    <w:rPr>
      <w:color w:val="605E5C"/>
      <w:shd w:val="clear" w:color="auto" w:fill="E1DFDD"/>
    </w:rPr>
  </w:style>
  <w:style w:type="paragraph" w:styleId="BodyTextIndent">
    <w:name w:val="Body Text Indent"/>
    <w:basedOn w:val="Normal"/>
    <w:link w:val="BodyTextIndentChar"/>
    <w:uiPriority w:val="99"/>
    <w:semiHidden/>
    <w:unhideWhenUsed/>
    <w:rsid w:val="0045292B"/>
    <w:pPr>
      <w:spacing w:after="120"/>
      <w:ind w:left="360"/>
    </w:pPr>
  </w:style>
  <w:style w:type="character" w:customStyle="1" w:styleId="BodyTextIndentChar">
    <w:name w:val="Body Text Indent Char"/>
    <w:basedOn w:val="DefaultParagraphFont"/>
    <w:link w:val="BodyTextIndent"/>
    <w:uiPriority w:val="99"/>
    <w:semiHidden/>
    <w:rsid w:val="0045292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vitalchek.com/v/timing-and-pricing" TargetMode="External" /><Relationship Id="rId6" Type="http://schemas.openxmlformats.org/officeDocument/2006/relationships/hyperlink" Target="https://www.office.fedex.com/default/copy-and-print-services" TargetMode="External" /><Relationship Id="rId7" Type="http://schemas.openxmlformats.org/officeDocument/2006/relationships/hyperlink" Target="https://www.usps.com/business/prices.htm" TargetMode="External" /><Relationship Id="rId8" Type="http://schemas.openxmlformats.org/officeDocument/2006/relationships/hyperlink" Target="https://www.irs.gov/tax-professionals/standard-mileage-rates" TargetMode="External" /><Relationship Id="rId9" Type="http://schemas.openxmlformats.org/officeDocument/2006/relationships/hyperlink" Target="https://www.ecfr.gov/current/title-5/chapter-III/subchapter-B/part-1320/section-132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4ef997-7b63-48f0-882a-7dc8162e363b}" enabled="0" method="" siteId="{844ef997-7b63-48f0-882a-7dc8162e363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7578</Characters>
  <Application>Microsoft Office Word</Application>
  <DocSecurity>0</DocSecurity>
  <Lines>184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2026-07-23T22:51:00Z</dcterms:created>
  <dcterms:modified xsi:type="dcterms:W3CDTF">2026-07-23T22:51:00Z</dcterms:modified>
</cp:coreProperties>
</file>