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07A1E" w:rsidRPr="001D67D9" w:rsidP="00B07A1E" w14:paraId="46C8A0DB" w14:textId="1760F94A">
      <w:pPr>
        <w:pStyle w:val="Title"/>
        <w:rPr>
          <w:rStyle w:val="Hyperlink"/>
          <w:sz w:val="32"/>
          <w:szCs w:val="32"/>
        </w:rPr>
      </w:pPr>
      <w:r>
        <w:rPr>
          <w:sz w:val="32"/>
          <w:szCs w:val="32"/>
        </w:rPr>
        <w:fldChar w:fldCharType="begin"/>
      </w:r>
      <w:r>
        <w:rPr>
          <w:sz w:val="32"/>
          <w:szCs w:val="32"/>
        </w:rPr>
        <w:instrText>HYPERLINK "https://pra.digital.gov/uploads/supporting-statement-a-instructions.pdf"</w:instrText>
      </w:r>
      <w:r>
        <w:rPr>
          <w:sz w:val="32"/>
          <w:szCs w:val="32"/>
        </w:rPr>
        <w:fldChar w:fldCharType="separate"/>
      </w:r>
      <w:r w:rsidRPr="001D67D9">
        <w:rPr>
          <w:rStyle w:val="Hyperlink"/>
          <w:sz w:val="32"/>
          <w:szCs w:val="32"/>
        </w:rPr>
        <w:t>SUPPORTING STATEMENT</w:t>
      </w:r>
    </w:p>
    <w:p w:rsidR="00B07A1E" w:rsidRPr="004C78D5" w:rsidP="00B07A1E" w14:paraId="46C8A0DC" w14:textId="5E47A407">
      <w:pPr>
        <w:jc w:val="center"/>
        <w:rPr>
          <w:b/>
          <w:bCs/>
          <w:sz w:val="32"/>
          <w:szCs w:val="32"/>
        </w:rPr>
      </w:pPr>
      <w:r w:rsidRPr="001D67D9">
        <w:rPr>
          <w:rStyle w:val="Hyperlink"/>
          <w:b/>
          <w:bCs/>
          <w:sz w:val="32"/>
          <w:szCs w:val="32"/>
        </w:rPr>
        <w:t>FOR PAPERWORK REDUCTION ACT SUBMISSION</w:t>
      </w:r>
      <w:r w:rsidR="001D67D9">
        <w:rPr>
          <w:b/>
          <w:bCs/>
          <w:sz w:val="32"/>
          <w:szCs w:val="32"/>
        </w:rPr>
        <w:fldChar w:fldCharType="end"/>
      </w:r>
    </w:p>
    <w:p w:rsidR="00B07A1E" w:rsidRPr="004C78D5" w:rsidP="00B07A1E" w14:paraId="46C8A0DD" w14:textId="165A5187">
      <w:pPr>
        <w:jc w:val="center"/>
        <w:rPr>
          <w:b/>
          <w:bCs/>
          <w:sz w:val="32"/>
          <w:szCs w:val="32"/>
        </w:rPr>
      </w:pPr>
      <w:r>
        <w:rPr>
          <w:b/>
          <w:sz w:val="32"/>
          <w:szCs w:val="32"/>
        </w:rPr>
        <w:t xml:space="preserve">OPM </w:t>
      </w:r>
      <w:r w:rsidR="0004192C">
        <w:rPr>
          <w:b/>
          <w:sz w:val="32"/>
          <w:szCs w:val="32"/>
        </w:rPr>
        <w:t>E-File</w:t>
      </w:r>
    </w:p>
    <w:p w:rsidR="00B07A1E" w:rsidRPr="004C78D5" w:rsidP="00B07A1E" w14:paraId="46C8A0DE" w14:textId="537F6B86">
      <w:pPr>
        <w:jc w:val="center"/>
        <w:rPr>
          <w:b/>
          <w:bCs/>
          <w:sz w:val="32"/>
          <w:szCs w:val="32"/>
        </w:rPr>
      </w:pPr>
      <w:r w:rsidRPr="004C78D5">
        <w:rPr>
          <w:b/>
          <w:bCs/>
          <w:sz w:val="32"/>
          <w:szCs w:val="32"/>
        </w:rPr>
        <w:t>OMB #</w:t>
      </w:r>
      <w:r w:rsidR="00F5139C">
        <w:rPr>
          <w:b/>
          <w:bCs/>
          <w:sz w:val="32"/>
          <w:szCs w:val="32"/>
        </w:rPr>
        <w:t>3206</w:t>
      </w:r>
      <w:r w:rsidRPr="004C78D5">
        <w:rPr>
          <w:b/>
          <w:bCs/>
          <w:sz w:val="32"/>
          <w:szCs w:val="32"/>
        </w:rPr>
        <w:t>-</w:t>
      </w:r>
      <w:r w:rsidRPr="002B4D8E" w:rsidR="00F5139C">
        <w:rPr>
          <w:b/>
          <w:bCs/>
          <w:sz w:val="32"/>
          <w:szCs w:val="32"/>
          <w:highlight w:val="yellow"/>
        </w:rPr>
        <w:t>XXXX</w:t>
      </w:r>
      <w:r>
        <w:rPr>
          <w:b/>
          <w:bCs/>
          <w:sz w:val="32"/>
          <w:szCs w:val="32"/>
        </w:rPr>
        <w:t xml:space="preserve"> (</w:t>
      </w:r>
      <w:r w:rsidRPr="002B4D8E" w:rsidR="00E12E9B">
        <w:rPr>
          <w:b/>
          <w:bCs/>
          <w:sz w:val="32"/>
          <w:szCs w:val="32"/>
          <w:highlight w:val="yellow"/>
        </w:rPr>
        <w:t>SF/OF/OPM</w:t>
      </w:r>
      <w:r w:rsidRPr="002B4D8E">
        <w:rPr>
          <w:b/>
          <w:bCs/>
          <w:sz w:val="32"/>
          <w:szCs w:val="32"/>
          <w:highlight w:val="yellow"/>
        </w:rPr>
        <w:t>-</w:t>
      </w:r>
      <w:r w:rsidRPr="002B4D8E" w:rsidR="00D042F2">
        <w:rPr>
          <w:b/>
          <w:bCs/>
          <w:sz w:val="32"/>
          <w:szCs w:val="32"/>
          <w:highlight w:val="yellow"/>
        </w:rPr>
        <w:t>XX</w:t>
      </w:r>
      <w:r>
        <w:rPr>
          <w:b/>
          <w:bCs/>
          <w:sz w:val="32"/>
          <w:szCs w:val="32"/>
        </w:rPr>
        <w:t>)</w:t>
      </w:r>
    </w:p>
    <w:p w:rsidR="00B07A1E" w:rsidP="00B07A1E" w14:paraId="46C8A0DF" w14:textId="77777777"/>
    <w:p w:rsidR="00B07A1E" w:rsidP="00B07A1E" w14:paraId="46C8A0E0" w14:textId="77777777">
      <w:pPr>
        <w:pStyle w:val="Heading1"/>
      </w:pPr>
      <w:r>
        <w:t>A.  JUSTIFICATION</w:t>
      </w:r>
    </w:p>
    <w:p w:rsidR="00164D2D" w:rsidP="00164D2D" w14:paraId="44F92DE3" w14:textId="4F43C5DB">
      <w:pPr>
        <w:numPr>
          <w:ilvl w:val="0"/>
          <w:numId w:val="3"/>
        </w:numPr>
        <w:rPr>
          <w:i/>
          <w:color w:val="000000" w:themeColor="text1"/>
          <w:szCs w:val="24"/>
          <w:highlight w:val="lightGray"/>
        </w:rPr>
      </w:pPr>
      <w:r>
        <w:rPr>
          <w:i/>
          <w:color w:val="000000" w:themeColor="text1"/>
          <w:szCs w:val="24"/>
          <w:highlight w:val="lightGray"/>
        </w:rPr>
        <w:t>Explain the circumstances of this collection</w:t>
      </w:r>
      <w:r w:rsidR="003A6568">
        <w:rPr>
          <w:i/>
          <w:color w:val="000000" w:themeColor="text1"/>
          <w:szCs w:val="24"/>
          <w:highlight w:val="lightGray"/>
        </w:rPr>
        <w:t xml:space="preserve">, </w:t>
      </w:r>
      <w:r>
        <w:rPr>
          <w:i/>
          <w:color w:val="000000" w:themeColor="text1"/>
          <w:szCs w:val="24"/>
          <w:highlight w:val="lightGray"/>
        </w:rPr>
        <w:t>why</w:t>
      </w:r>
      <w:r w:rsidRPr="000E7D65">
        <w:rPr>
          <w:i/>
          <w:color w:val="000000" w:themeColor="text1"/>
          <w:szCs w:val="24"/>
          <w:highlight w:val="lightGray"/>
        </w:rPr>
        <w:t xml:space="preserve"> this collection </w:t>
      </w:r>
      <w:r w:rsidR="003A6568">
        <w:rPr>
          <w:i/>
          <w:color w:val="000000" w:themeColor="text1"/>
          <w:szCs w:val="24"/>
          <w:highlight w:val="lightGray"/>
        </w:rPr>
        <w:t xml:space="preserve">is </w:t>
      </w:r>
      <w:r w:rsidRPr="000E7D65">
        <w:rPr>
          <w:i/>
          <w:color w:val="000000" w:themeColor="text1"/>
          <w:szCs w:val="24"/>
          <w:highlight w:val="lightGray"/>
        </w:rPr>
        <w:t>necessary</w:t>
      </w:r>
      <w:r w:rsidR="003A6568">
        <w:rPr>
          <w:i/>
          <w:color w:val="000000" w:themeColor="text1"/>
          <w:szCs w:val="24"/>
          <w:highlight w:val="lightGray"/>
        </w:rPr>
        <w:t>.</w:t>
      </w:r>
      <w:r w:rsidRPr="000E7D65">
        <w:rPr>
          <w:i/>
          <w:color w:val="000000" w:themeColor="text1"/>
          <w:szCs w:val="24"/>
          <w:highlight w:val="lightGray"/>
        </w:rPr>
        <w:t xml:space="preserve"> and the legal statutes that allow </w:t>
      </w:r>
      <w:r w:rsidR="003A6568">
        <w:rPr>
          <w:i/>
          <w:color w:val="000000" w:themeColor="text1"/>
          <w:szCs w:val="24"/>
          <w:highlight w:val="lightGray"/>
        </w:rPr>
        <w:t>it.</w:t>
      </w:r>
    </w:p>
    <w:p w:rsidR="000530AA" w:rsidP="001E1012" w14:paraId="3CF8D990" w14:textId="34192328">
      <w:pPr>
        <w:spacing w:line="300" w:lineRule="atLeast"/>
        <w:ind w:left="360"/>
      </w:pPr>
      <w:r>
        <w:t xml:space="preserve">OPM </w:t>
      </w:r>
      <w:r w:rsidR="0004192C">
        <w:t>E-File</w:t>
      </w:r>
      <w:r>
        <w:t xml:space="preserve"> collects information from appellants, agency representatives, and designated representatives to process suitability, probationer, and reduction</w:t>
      </w:r>
      <w:r w:rsidR="429E3926">
        <w:t xml:space="preserve"> </w:t>
      </w:r>
      <w:r>
        <w:t>in</w:t>
      </w:r>
      <w:r w:rsidR="7E3BC4DB">
        <w:t xml:space="preserve"> </w:t>
      </w:r>
      <w:r>
        <w:t>force appeals as required under 5 CFR 731</w:t>
      </w:r>
      <w:r w:rsidR="009F788E">
        <w:t>, 315, and 351, respectively</w:t>
      </w:r>
      <w:r>
        <w:t xml:space="preserve">. </w:t>
      </w:r>
      <w:r w:rsidR="0030657D">
        <w:t>The system also collects information from claimants</w:t>
      </w:r>
      <w:r w:rsidR="00FB5D9A">
        <w:t xml:space="preserve">, agency representatives, and designated representatives </w:t>
      </w:r>
      <w:r w:rsidR="00514542">
        <w:t xml:space="preserve">for FLSA and assorted compensation and leave claims. </w:t>
      </w:r>
      <w:r>
        <w:t xml:space="preserve"> The information is necessary for OPM to review, adjudicate, and track </w:t>
      </w:r>
      <w:r w:rsidR="00507E2B">
        <w:t xml:space="preserve">claims and </w:t>
      </w:r>
      <w:r>
        <w:t>appeals and to meet statutory and regulatory obligations</w:t>
      </w:r>
      <w:r w:rsidR="00844D53">
        <w:t xml:space="preserve">. </w:t>
      </w:r>
    </w:p>
    <w:p w:rsidR="00D17BFA" w:rsidRPr="00546543" w:rsidP="000530AA" w14:paraId="21D52CF0" w14:textId="77777777">
      <w:pPr>
        <w:pStyle w:val="ListParagraph"/>
        <w:numPr>
          <w:ilvl w:val="0"/>
          <w:numId w:val="23"/>
        </w:numPr>
        <w:spacing w:line="300" w:lineRule="atLeast"/>
        <w:rPr>
          <w:rFonts w:ascii="Times New Roman" w:hAnsi="Times New Roman"/>
        </w:rPr>
      </w:pPr>
      <w:r w:rsidRPr="00546543">
        <w:rPr>
          <w:rFonts w:ascii="Times New Roman" w:hAnsi="Times New Roman"/>
        </w:rPr>
        <w:t xml:space="preserve">The </w:t>
      </w:r>
      <w:r w:rsidRPr="00546543" w:rsidR="00487797">
        <w:rPr>
          <w:rFonts w:ascii="Times New Roman" w:hAnsi="Times New Roman"/>
        </w:rPr>
        <w:t>statutory</w:t>
      </w:r>
      <w:r w:rsidRPr="00546543" w:rsidR="006105DF">
        <w:rPr>
          <w:rFonts w:ascii="Times New Roman" w:hAnsi="Times New Roman"/>
        </w:rPr>
        <w:t xml:space="preserve"> authority of </w:t>
      </w:r>
      <w:r w:rsidRPr="00546543">
        <w:rPr>
          <w:rFonts w:ascii="Times New Roman" w:hAnsi="Times New Roman"/>
        </w:rPr>
        <w:t>R</w:t>
      </w:r>
      <w:r w:rsidRPr="00546543" w:rsidR="0085374D">
        <w:rPr>
          <w:rFonts w:ascii="Times New Roman" w:hAnsi="Times New Roman"/>
        </w:rPr>
        <w:t xml:space="preserve">eduction in Force (RIF) </w:t>
      </w:r>
      <w:r w:rsidRPr="00546543" w:rsidR="00835306">
        <w:rPr>
          <w:rFonts w:ascii="Times New Roman" w:hAnsi="Times New Roman"/>
        </w:rPr>
        <w:t>is</w:t>
      </w:r>
      <w:r w:rsidRPr="00546543" w:rsidR="003108A2">
        <w:rPr>
          <w:rFonts w:ascii="Times New Roman" w:hAnsi="Times New Roman"/>
        </w:rPr>
        <w:t xml:space="preserve"> vested in </w:t>
      </w:r>
      <w:r w:rsidRPr="00546543" w:rsidR="00A46674">
        <w:rPr>
          <w:rFonts w:ascii="Times New Roman" w:hAnsi="Times New Roman"/>
        </w:rPr>
        <w:t>OPM</w:t>
      </w:r>
      <w:r w:rsidRPr="00546543" w:rsidR="003108A2">
        <w:rPr>
          <w:rFonts w:ascii="Times New Roman" w:hAnsi="Times New Roman"/>
        </w:rPr>
        <w:t xml:space="preserve"> by Congress in 5 U.S.C. 1103 and 3502</w:t>
      </w:r>
      <w:r w:rsidRPr="00546543" w:rsidR="00487797">
        <w:rPr>
          <w:rFonts w:ascii="Times New Roman" w:hAnsi="Times New Roman"/>
        </w:rPr>
        <w:t xml:space="preserve">. RIF </w:t>
      </w:r>
      <w:r w:rsidRPr="00546543" w:rsidR="0085374D">
        <w:rPr>
          <w:rFonts w:ascii="Times New Roman" w:hAnsi="Times New Roman"/>
        </w:rPr>
        <w:t>procedures</w:t>
      </w:r>
      <w:r w:rsidRPr="00546543" w:rsidR="00DD5BB1">
        <w:rPr>
          <w:rFonts w:ascii="Times New Roman" w:hAnsi="Times New Roman"/>
        </w:rPr>
        <w:t xml:space="preserve"> a</w:t>
      </w:r>
      <w:r w:rsidRPr="00546543" w:rsidR="00292307">
        <w:rPr>
          <w:rFonts w:ascii="Times New Roman" w:hAnsi="Times New Roman"/>
        </w:rPr>
        <w:t>re</w:t>
      </w:r>
      <w:r w:rsidRPr="00546543" w:rsidR="00DD5BB1">
        <w:rPr>
          <w:rFonts w:ascii="Times New Roman" w:hAnsi="Times New Roman"/>
        </w:rPr>
        <w:t xml:space="preserve"> </w:t>
      </w:r>
      <w:r w:rsidRPr="00546543" w:rsidR="00D705DD">
        <w:rPr>
          <w:rFonts w:ascii="Times New Roman" w:hAnsi="Times New Roman"/>
        </w:rPr>
        <w:t>governed</w:t>
      </w:r>
      <w:r w:rsidRPr="00546543" w:rsidR="004A3A7D">
        <w:rPr>
          <w:rFonts w:ascii="Times New Roman" w:hAnsi="Times New Roman"/>
        </w:rPr>
        <w:t xml:space="preserve"> and/or authorized</w:t>
      </w:r>
      <w:r w:rsidRPr="00546543" w:rsidR="00D705DD">
        <w:rPr>
          <w:rFonts w:ascii="Times New Roman" w:hAnsi="Times New Roman"/>
        </w:rPr>
        <w:t xml:space="preserve"> by </w:t>
      </w:r>
      <w:r w:rsidRPr="00546543" w:rsidR="004A3A7D">
        <w:rPr>
          <w:rFonts w:ascii="Times New Roman" w:hAnsi="Times New Roman"/>
        </w:rPr>
        <w:t xml:space="preserve">5 U.S.C. 1103, </w:t>
      </w:r>
      <w:r w:rsidRPr="00546543" w:rsidR="00D705DD">
        <w:rPr>
          <w:rFonts w:ascii="Times New Roman" w:hAnsi="Times New Roman"/>
        </w:rPr>
        <w:t>5 U.S.C. 3501-3504</w:t>
      </w:r>
      <w:r w:rsidRPr="00546543" w:rsidR="008D064C">
        <w:rPr>
          <w:rFonts w:ascii="Times New Roman" w:hAnsi="Times New Roman"/>
        </w:rPr>
        <w:t xml:space="preserve">. </w:t>
      </w:r>
    </w:p>
    <w:p w:rsidR="00897F34" w:rsidRPr="00546543" w:rsidP="000530AA" w14:paraId="7B0E70D1" w14:textId="77777777">
      <w:pPr>
        <w:pStyle w:val="ListParagraph"/>
        <w:numPr>
          <w:ilvl w:val="0"/>
          <w:numId w:val="23"/>
        </w:numPr>
        <w:spacing w:line="300" w:lineRule="atLeast"/>
        <w:rPr>
          <w:rFonts w:ascii="Times New Roman" w:hAnsi="Times New Roman"/>
        </w:rPr>
      </w:pPr>
      <w:r w:rsidRPr="00546543">
        <w:rPr>
          <w:rFonts w:ascii="Times New Roman" w:hAnsi="Times New Roman"/>
        </w:rPr>
        <w:t>S</w:t>
      </w:r>
      <w:r w:rsidRPr="00546543" w:rsidR="002E2A1B">
        <w:rPr>
          <w:rFonts w:ascii="Times New Roman" w:hAnsi="Times New Roman"/>
        </w:rPr>
        <w:t>uitability standards and procedures are implemented under the authority of 5 U.S.C. 3301, 3302, and 7301. Historically, the President delegated to OPM and its predecessor, the Civil Service Commission, the authority to prescribe both qualification standards and suitability standards, and to conduct both examinations of applicants' qualifications and investigations of their suitability for appointment and continuing employment. See 5 U.S.C. 1104(a)(1). </w:t>
      </w:r>
    </w:p>
    <w:p w:rsidR="00966797" w:rsidRPr="00546543" w:rsidP="000530AA" w14:paraId="02205A59" w14:textId="77777777">
      <w:pPr>
        <w:pStyle w:val="ListParagraph"/>
        <w:numPr>
          <w:ilvl w:val="0"/>
          <w:numId w:val="23"/>
        </w:numPr>
        <w:spacing w:line="300" w:lineRule="atLeast"/>
        <w:rPr>
          <w:rFonts w:ascii="Times New Roman" w:hAnsi="Times New Roman"/>
        </w:rPr>
      </w:pPr>
      <w:r w:rsidRPr="00546543">
        <w:rPr>
          <w:rFonts w:ascii="Times New Roman" w:hAnsi="Times New Roman"/>
        </w:rPr>
        <w:t>Executive Order (</w:t>
      </w:r>
      <w:r w:rsidRPr="00546543" w:rsidR="00835306">
        <w:rPr>
          <w:rFonts w:ascii="Times New Roman" w:hAnsi="Times New Roman"/>
        </w:rPr>
        <w:t>E.O.</w:t>
      </w:r>
      <w:r w:rsidRPr="00546543">
        <w:rPr>
          <w:rFonts w:ascii="Times New Roman" w:hAnsi="Times New Roman"/>
        </w:rPr>
        <w:t>)</w:t>
      </w:r>
      <w:r w:rsidRPr="00546543" w:rsidR="00835306">
        <w:rPr>
          <w:rFonts w:ascii="Times New Roman" w:hAnsi="Times New Roman"/>
        </w:rPr>
        <w:t xml:space="preserve"> 14284 delegated authority to OPM to establish procedures</w:t>
      </w:r>
      <w:r w:rsidRPr="00546543" w:rsidR="008E34DA">
        <w:rPr>
          <w:rFonts w:ascii="Times New Roman" w:hAnsi="Times New Roman"/>
        </w:rPr>
        <w:t xml:space="preserve"> for</w:t>
      </w:r>
      <w:r w:rsidRPr="00546543" w:rsidR="00835306">
        <w:rPr>
          <w:rFonts w:ascii="Times New Roman" w:hAnsi="Times New Roman"/>
        </w:rPr>
        <w:t xml:space="preserve"> </w:t>
      </w:r>
      <w:r w:rsidRPr="00546543" w:rsidR="002D7936">
        <w:rPr>
          <w:rFonts w:ascii="Times New Roman" w:hAnsi="Times New Roman"/>
        </w:rPr>
        <w:t>OPM to adjudicate</w:t>
      </w:r>
      <w:r w:rsidRPr="00546543" w:rsidR="00617927">
        <w:rPr>
          <w:rFonts w:ascii="Times New Roman" w:hAnsi="Times New Roman"/>
        </w:rPr>
        <w:t xml:space="preserve"> probationary and trial</w:t>
      </w:r>
      <w:r w:rsidRPr="00546543" w:rsidR="002D7936">
        <w:rPr>
          <w:rFonts w:ascii="Times New Roman" w:hAnsi="Times New Roman"/>
        </w:rPr>
        <w:t xml:space="preserve"> appeals </w:t>
      </w:r>
      <w:r w:rsidRPr="00546543" w:rsidR="00835306">
        <w:rPr>
          <w:rFonts w:ascii="Times New Roman" w:hAnsi="Times New Roman"/>
        </w:rPr>
        <w:t xml:space="preserve">by regulation. </w:t>
      </w:r>
    </w:p>
    <w:p w:rsidR="0093794A" w:rsidRPr="008775C1" w:rsidP="008775C1" w14:paraId="4CD8BC1B" w14:textId="3C15DB2C">
      <w:pPr>
        <w:pStyle w:val="paragraph"/>
        <w:numPr>
          <w:ilvl w:val="0"/>
          <w:numId w:val="23"/>
        </w:numPr>
        <w:textAlignment w:val="baseline"/>
      </w:pPr>
      <w:r>
        <w:t xml:space="preserve">OPM's authority to receive and decide FLSA claims </w:t>
      </w:r>
      <w:r w:rsidR="62981F92">
        <w:t xml:space="preserve">are </w:t>
      </w:r>
      <w:r>
        <w:t>derive</w:t>
      </w:r>
      <w:r w:rsidR="0FC02E1B">
        <w:t>d</w:t>
      </w:r>
      <w:r>
        <w:t xml:space="preserve"> from 29 U.S.C. 204(f), which authorizes OPM to administer the Act's provisions for most Federal civilian employees, including exemption status determinations, minimum wage and overtime pay claims, and complaints under the child labor provisions. See 29 U.S.C. 201 et seq.  </w:t>
      </w:r>
    </w:p>
    <w:p w:rsidR="002F47D8" w:rsidP="002F47D8" w14:paraId="7815A835" w14:textId="77777777">
      <w:pPr>
        <w:pStyle w:val="font-claude-response-body"/>
        <w:numPr>
          <w:ilvl w:val="0"/>
          <w:numId w:val="23"/>
        </w:numPr>
      </w:pPr>
      <w:r>
        <w:t>Under 31 U.S.C. 3702(a)(2), current or former Federal civilian employees may file a claim with OPM disputing their compensation or leave, including backpay, unpaid overtime, unused annual leave upon separation, or denied allowances. Under 5 U.S.C. 5583, OPM adjudicates claims for unpaid compensation — including final salary and unused leave — owed to a deceased Federal employee when the employing agency has not paid the employee's designated beneficiary, widow, or widower. See 5 U.S.C. 5581(2). Finally, under 38 U.S.C. 5121 and 5122, a deceased veteran's eligible survivors — including a spouse, children, or dependent parents — may file a claim with OPM to receive accrued benefits due to the veteran.</w:t>
      </w:r>
    </w:p>
    <w:p w:rsidR="0199806C" w:rsidP="60BBECFF" w14:paraId="1A87C916" w14:textId="3FA4F513">
      <w:pPr>
        <w:pStyle w:val="paragraph"/>
        <w:numPr>
          <w:ilvl w:val="0"/>
          <w:numId w:val="23"/>
        </w:numPr>
        <w:spacing w:before="0" w:beforeAutospacing="0" w:after="0" w:afterAutospacing="0"/>
      </w:pPr>
      <w:r w:rsidRPr="00887D72">
        <w:t>Authority for Position Classification Appeals is established under 5 U.S.C. 5112 and implemented through 5 CFR Part 511.</w:t>
      </w:r>
    </w:p>
    <w:p w:rsidR="00556FD7" w:rsidRPr="00393C18" w:rsidP="60BBECFF" w14:paraId="2AE9E2AE" w14:textId="508FE122">
      <w:pPr>
        <w:pStyle w:val="paragraph"/>
        <w:numPr>
          <w:ilvl w:val="0"/>
          <w:numId w:val="23"/>
        </w:numPr>
        <w:spacing w:before="0" w:beforeAutospacing="0" w:after="0" w:afterAutospacing="0"/>
      </w:pPr>
      <w:r w:rsidRPr="00556FD7">
        <w:t xml:space="preserve">Authority for Declination of Reasonable Offer Appeals </w:t>
      </w:r>
      <w:r w:rsidRPr="00556FD7">
        <w:t>is</w:t>
      </w:r>
      <w:r w:rsidRPr="00556FD7">
        <w:t xml:space="preserve"> established under 5 CFR 351.803.</w:t>
      </w:r>
    </w:p>
    <w:p w:rsidR="00546543" w:rsidRPr="00393C18" w:rsidP="00BE7A00" w14:paraId="5DD4E1BC" w14:textId="708FBFA2">
      <w:pPr>
        <w:pStyle w:val="ListParagraph"/>
        <w:spacing w:line="300" w:lineRule="atLeast"/>
        <w:ind w:left="1080"/>
        <w:rPr>
          <w:rFonts w:ascii="Times New Roman" w:hAnsi="Times New Roman"/>
        </w:rPr>
      </w:pPr>
    </w:p>
    <w:p w:rsidR="00851085" w:rsidP="00851085" w14:paraId="6BAF31E2" w14:textId="15E2DBA0">
      <w:pPr>
        <w:pStyle w:val="ListParagraph"/>
        <w:numPr>
          <w:ilvl w:val="0"/>
          <w:numId w:val="2"/>
        </w:numPr>
        <w:rPr>
          <w:rFonts w:ascii="Times New Roman" w:hAnsi="Times New Roman"/>
          <w:i/>
          <w:color w:val="000000" w:themeColor="text1"/>
          <w:highlight w:val="lightGray"/>
        </w:rPr>
      </w:pPr>
      <w:r w:rsidRPr="00C1464C">
        <w:rPr>
          <w:rFonts w:ascii="Times New Roman" w:hAnsi="Times New Roman"/>
          <w:i/>
          <w:color w:val="000000" w:themeColor="text1"/>
          <w:highlight w:val="lightGray"/>
        </w:rPr>
        <w:t xml:space="preserve">Describe how, by whom, and for what purpose the information is to be used.  Except for a new collection, </w:t>
      </w:r>
      <w:r w:rsidRPr="00C1464C" w:rsidR="00C1464C">
        <w:rPr>
          <w:rFonts w:ascii="Times New Roman" w:hAnsi="Times New Roman"/>
          <w:i/>
          <w:color w:val="000000" w:themeColor="text1"/>
          <w:highlight w:val="lightGray"/>
        </w:rPr>
        <w:t>describe how</w:t>
      </w:r>
      <w:r w:rsidRPr="00C1464C">
        <w:rPr>
          <w:rFonts w:ascii="Times New Roman" w:hAnsi="Times New Roman"/>
          <w:i/>
          <w:color w:val="000000" w:themeColor="text1"/>
          <w:highlight w:val="lightGray"/>
        </w:rPr>
        <w:t xml:space="preserve"> the agency has made </w:t>
      </w:r>
      <w:r w:rsidRPr="00C1464C" w:rsidR="00C1464C">
        <w:rPr>
          <w:rFonts w:ascii="Times New Roman" w:hAnsi="Times New Roman"/>
          <w:i/>
          <w:color w:val="000000" w:themeColor="text1"/>
          <w:highlight w:val="lightGray"/>
        </w:rPr>
        <w:t xml:space="preserve">use </w:t>
      </w:r>
      <w:r w:rsidRPr="00C1464C">
        <w:rPr>
          <w:rFonts w:ascii="Times New Roman" w:hAnsi="Times New Roman"/>
          <w:i/>
          <w:color w:val="000000" w:themeColor="text1"/>
          <w:highlight w:val="lightGray"/>
        </w:rPr>
        <w:t xml:space="preserve">of the information received from the current collection. </w:t>
      </w:r>
    </w:p>
    <w:p w:rsidR="008D064C" w:rsidRPr="001F0C25" w:rsidP="008D064C" w14:paraId="12A916C1" w14:textId="21798476">
      <w:pPr>
        <w:spacing w:line="300" w:lineRule="atLeast"/>
        <w:ind w:left="360"/>
        <w:rPr>
          <w:szCs w:val="24"/>
        </w:rPr>
      </w:pPr>
      <w:r w:rsidRPr="001F0C25">
        <w:rPr>
          <w:szCs w:val="24"/>
        </w:rPr>
        <w:t xml:space="preserve">Information is used by OPM’s SuitEA and MSAC teams to verify </w:t>
      </w:r>
      <w:r w:rsidR="00796BA4">
        <w:rPr>
          <w:szCs w:val="24"/>
        </w:rPr>
        <w:t>claim</w:t>
      </w:r>
      <w:r w:rsidR="002F5A65">
        <w:rPr>
          <w:szCs w:val="24"/>
        </w:rPr>
        <w:t xml:space="preserve"> or </w:t>
      </w:r>
      <w:r w:rsidRPr="001F0C25">
        <w:rPr>
          <w:szCs w:val="24"/>
        </w:rPr>
        <w:t xml:space="preserve">appeal eligibility, assign case numbers, assess issues raised, manage workflows, evaluate supporting evidence, and communicate with </w:t>
      </w:r>
      <w:r w:rsidR="002F5A65">
        <w:rPr>
          <w:szCs w:val="24"/>
        </w:rPr>
        <w:t xml:space="preserve">claimants, </w:t>
      </w:r>
      <w:r w:rsidRPr="001F0C25">
        <w:rPr>
          <w:szCs w:val="24"/>
        </w:rPr>
        <w:t xml:space="preserve">appellants and agencies, as reflected in internal documentation such as automatic notifications and case workflows. Historically, OPM has used this information to adjudicate </w:t>
      </w:r>
      <w:r w:rsidR="002F5A65">
        <w:rPr>
          <w:szCs w:val="24"/>
        </w:rPr>
        <w:t xml:space="preserve">claims and </w:t>
      </w:r>
      <w:r w:rsidRPr="001F0C25">
        <w:rPr>
          <w:szCs w:val="24"/>
        </w:rPr>
        <w:t>appeals, provide timely decisions, and maintain official case records.</w:t>
      </w:r>
    </w:p>
    <w:p w:rsidR="00B07A1E" w:rsidRPr="00BE5FAD" w:rsidP="00B07A1E" w14:paraId="46C8A0ED" w14:textId="4A648F34">
      <w:pPr>
        <w:pStyle w:val="BodyTextIndent2"/>
        <w:tabs>
          <w:tab w:val="clear" w:pos="360"/>
          <w:tab w:val="left" w:pos="720"/>
        </w:tabs>
        <w:ind w:left="720"/>
        <w:jc w:val="left"/>
      </w:pPr>
    </w:p>
    <w:p w:rsidR="00164D2D" w:rsidRPr="000E7D65" w:rsidP="00164D2D" w14:paraId="29F6DEE9" w14:textId="4F516EB4">
      <w:pPr>
        <w:numPr>
          <w:ilvl w:val="0"/>
          <w:numId w:val="1"/>
        </w:numPr>
        <w:rPr>
          <w:i/>
          <w:color w:val="000000" w:themeColor="text1"/>
          <w:szCs w:val="24"/>
          <w:highlight w:val="lightGray"/>
        </w:rPr>
      </w:pPr>
      <w:r w:rsidRPr="000E7D65">
        <w:rPr>
          <w:i/>
          <w:color w:val="000000" w:themeColor="text1"/>
          <w:szCs w:val="24"/>
          <w:highlight w:val="lightGray"/>
        </w:rPr>
        <w:t xml:space="preserve">How are the respondents expected to complete the collection? </w:t>
      </w:r>
      <w:r w:rsidRPr="000E7D65" w:rsidR="00511B68">
        <w:rPr>
          <w:i/>
          <w:color w:val="000000" w:themeColor="text1"/>
          <w:szCs w:val="24"/>
          <w:highlight w:val="lightGray"/>
        </w:rPr>
        <w:t>Can</w:t>
      </w:r>
      <w:r w:rsidRPr="000E7D65">
        <w:rPr>
          <w:i/>
          <w:color w:val="000000" w:themeColor="text1"/>
          <w:szCs w:val="24"/>
          <w:highlight w:val="lightGray"/>
        </w:rPr>
        <w:t xml:space="preserve"> this collection </w:t>
      </w:r>
      <w:r w:rsidRPr="000E7D65" w:rsidR="00511B68">
        <w:rPr>
          <w:i/>
          <w:color w:val="000000" w:themeColor="text1"/>
          <w:szCs w:val="24"/>
          <w:highlight w:val="lightGray"/>
        </w:rPr>
        <w:t>b</w:t>
      </w:r>
      <w:r w:rsidRPr="000E7D65">
        <w:rPr>
          <w:i/>
          <w:color w:val="000000" w:themeColor="text1"/>
          <w:szCs w:val="24"/>
          <w:highlight w:val="lightGray"/>
        </w:rPr>
        <w:t>e completed electronically (</w:t>
      </w:r>
      <w:r w:rsidRPr="000E7D65" w:rsidR="00F904E9">
        <w:rPr>
          <w:i/>
          <w:color w:val="000000" w:themeColor="text1"/>
          <w:szCs w:val="24"/>
          <w:highlight w:val="lightGray"/>
        </w:rPr>
        <w:t>e.g.,</w:t>
      </w:r>
      <w:r w:rsidRPr="000E7D65">
        <w:rPr>
          <w:i/>
          <w:color w:val="000000" w:themeColor="text1"/>
          <w:szCs w:val="24"/>
          <w:highlight w:val="lightGray"/>
        </w:rPr>
        <w:t xml:space="preserve"> through a website or application)?</w:t>
      </w:r>
    </w:p>
    <w:p w:rsidR="00B07A1E" w:rsidRPr="001F0C25" w:rsidP="008D064C" w14:paraId="46C8A0EF" w14:textId="0A4A8791">
      <w:pPr>
        <w:spacing w:line="300" w:lineRule="atLeast"/>
        <w:ind w:left="360"/>
        <w:rPr>
          <w:szCs w:val="24"/>
        </w:rPr>
      </w:pPr>
      <w:r w:rsidRPr="001F0C25">
        <w:rPr>
          <w:szCs w:val="24"/>
        </w:rPr>
        <w:t xml:space="preserve">Respondents complete the forms electronically through the OPM </w:t>
      </w:r>
      <w:r w:rsidR="0004192C">
        <w:rPr>
          <w:szCs w:val="24"/>
        </w:rPr>
        <w:t>E-</w:t>
      </w:r>
      <w:r w:rsidRPr="001F0C25">
        <w:rPr>
          <w:szCs w:val="24"/>
        </w:rPr>
        <w:t>File Zendesk portal. They submit required fields, attach documents, and track their case online; submitting electronically is the standard and preferred method.</w:t>
      </w:r>
    </w:p>
    <w:p w:rsidR="008D064C" w:rsidRPr="00E83D12" w:rsidP="00B07A1E" w14:paraId="402FF020" w14:textId="77777777">
      <w:pPr>
        <w:pStyle w:val="BodyTextIndent"/>
        <w:jc w:val="left"/>
      </w:pPr>
    </w:p>
    <w:p w:rsidR="00164D2D" w:rsidRPr="000E7D65" w:rsidP="00164D2D" w14:paraId="561BD116" w14:textId="497AA6CD">
      <w:pPr>
        <w:numPr>
          <w:ilvl w:val="0"/>
          <w:numId w:val="1"/>
        </w:numPr>
        <w:rPr>
          <w:i/>
          <w:color w:val="000000" w:themeColor="text1"/>
          <w:szCs w:val="24"/>
          <w:highlight w:val="lightGray"/>
        </w:rPr>
      </w:pPr>
      <w:r w:rsidRPr="000E7D65">
        <w:rPr>
          <w:i/>
          <w:color w:val="000000" w:themeColor="text1"/>
          <w:szCs w:val="24"/>
          <w:highlight w:val="lightGray"/>
        </w:rPr>
        <w:t>Does this collection duplicate any other collection of information?</w:t>
      </w:r>
      <w:r w:rsidRPr="000E7D65" w:rsidR="00576D87">
        <w:rPr>
          <w:i/>
          <w:color w:val="000000" w:themeColor="text1"/>
          <w:szCs w:val="24"/>
          <w:highlight w:val="lightGray"/>
        </w:rPr>
        <w:t xml:space="preserve"> Describe why</w:t>
      </w:r>
      <w:r w:rsidRPr="000E7D65" w:rsidR="006F0024">
        <w:rPr>
          <w:i/>
          <w:color w:val="000000" w:themeColor="text1"/>
          <w:szCs w:val="24"/>
          <w:highlight w:val="lightGray"/>
        </w:rPr>
        <w:t xml:space="preserve"> the </w:t>
      </w:r>
      <w:r w:rsidR="00827465">
        <w:rPr>
          <w:i/>
          <w:color w:val="000000" w:themeColor="text1"/>
          <w:szCs w:val="24"/>
          <w:highlight w:val="lightGray"/>
        </w:rPr>
        <w:t xml:space="preserve">federal government or </w:t>
      </w:r>
      <w:r w:rsidRPr="000E7D65" w:rsidR="006F0024">
        <w:rPr>
          <w:i/>
          <w:color w:val="000000" w:themeColor="text1"/>
          <w:szCs w:val="24"/>
          <w:highlight w:val="lightGray"/>
        </w:rPr>
        <w:t>agency doesn’t already have this information within their systems.</w:t>
      </w:r>
    </w:p>
    <w:p w:rsidR="008D064C" w:rsidRPr="001F0C25" w:rsidP="7B0CA740" w14:paraId="40D85B06" w14:textId="1A940C16">
      <w:pPr>
        <w:spacing w:line="300" w:lineRule="atLeast"/>
        <w:ind w:left="360"/>
        <w:rPr>
          <w:rFonts w:ascii="Segoe UI" w:hAnsi="Segoe UI" w:cs="Segoe UI"/>
        </w:rPr>
      </w:pPr>
      <w:r>
        <w:t xml:space="preserve">No duplication exists. OPM requires </w:t>
      </w:r>
      <w:r w:rsidR="1C4072D0">
        <w:t>claims</w:t>
      </w:r>
      <w:r w:rsidR="4CD46513">
        <w:t>,</w:t>
      </w:r>
      <w:r w:rsidR="1C4072D0">
        <w:t xml:space="preserve"> or</w:t>
      </w:r>
      <w:r>
        <w:t xml:space="preserve"> appeal</w:t>
      </w:r>
      <w:r w:rsidR="76A0481F">
        <w:t xml:space="preserve"> </w:t>
      </w:r>
      <w:r>
        <w:t>specific information</w:t>
      </w:r>
      <w:r w:rsidR="745DE3D1">
        <w:t xml:space="preserve">, </w:t>
      </w:r>
      <w:r>
        <w:t>including case details, evidence, agency responses, and identity verification</w:t>
      </w:r>
      <w:r w:rsidR="745DE3D1">
        <w:t xml:space="preserve">, </w:t>
      </w:r>
      <w:r>
        <w:t xml:space="preserve">that </w:t>
      </w:r>
      <w:r w:rsidR="745DE3D1">
        <w:t>will</w:t>
      </w:r>
      <w:r>
        <w:t xml:space="preserve"> not </w:t>
      </w:r>
      <w:r w:rsidR="745DE3D1">
        <w:t xml:space="preserve">be </w:t>
      </w:r>
      <w:r>
        <w:t>captured by other systems or agency processes</w:t>
      </w:r>
      <w:r w:rsidRPr="7B0CA740">
        <w:rPr>
          <w:rFonts w:ascii="Segoe UI" w:hAnsi="Segoe UI" w:cs="Segoe UI"/>
        </w:rPr>
        <w:t>.</w:t>
      </w:r>
    </w:p>
    <w:p w:rsidR="00B07A1E" w:rsidP="00EC7055" w14:paraId="46C8A0F1" w14:textId="10715439">
      <w:pPr>
        <w:pStyle w:val="BodyTextIndent"/>
        <w:tabs>
          <w:tab w:val="clear" w:pos="720"/>
        </w:tabs>
        <w:jc w:val="left"/>
      </w:pPr>
    </w:p>
    <w:p w:rsidR="00164D2D" w:rsidP="00164D2D" w14:paraId="62FCDFB0" w14:textId="6D41F80B">
      <w:pPr>
        <w:numPr>
          <w:ilvl w:val="0"/>
          <w:numId w:val="1"/>
        </w:numPr>
        <w:rPr>
          <w:i/>
          <w:color w:val="000000" w:themeColor="text1"/>
          <w:szCs w:val="24"/>
          <w:highlight w:val="lightGray"/>
        </w:rPr>
      </w:pPr>
      <w:r w:rsidRPr="00EC7055">
        <w:rPr>
          <w:i/>
          <w:color w:val="000000" w:themeColor="text1"/>
          <w:szCs w:val="24"/>
          <w:highlight w:val="lightGray"/>
        </w:rPr>
        <w:t>Describe any impacts on small business.</w:t>
      </w:r>
      <w:r w:rsidR="00CF3959">
        <w:rPr>
          <w:i/>
          <w:color w:val="000000" w:themeColor="text1"/>
          <w:szCs w:val="24"/>
          <w:highlight w:val="lightGray"/>
        </w:rPr>
        <w:t xml:space="preserve">  If applicable, describe any methods used to minimize those impacts.</w:t>
      </w:r>
    </w:p>
    <w:p w:rsidR="008D064C" w:rsidRPr="001F0C25" w:rsidP="008D064C" w14:paraId="03CBAC02" w14:textId="77777777">
      <w:pPr>
        <w:spacing w:line="300" w:lineRule="atLeast"/>
        <w:ind w:left="360"/>
        <w:rPr>
          <w:szCs w:val="24"/>
        </w:rPr>
      </w:pPr>
      <w:r w:rsidRPr="001F0C25">
        <w:rPr>
          <w:szCs w:val="24"/>
        </w:rPr>
        <w:t>There is no impact on small businesses. Respondents are individuals filing appeals or federal agencies responding to appeals, not commercial entities.</w:t>
      </w:r>
    </w:p>
    <w:p w:rsidR="00B07A1E" w:rsidP="00A273D2" w14:paraId="46C8A0F3" w14:textId="2105B49F">
      <w:pPr>
        <w:spacing w:after="0"/>
        <w:ind w:left="720"/>
      </w:pPr>
    </w:p>
    <w:p w:rsidR="00164D2D" w:rsidRPr="002B4D8E" w14:paraId="79506829" w14:textId="59721050">
      <w:pPr>
        <w:numPr>
          <w:ilvl w:val="0"/>
          <w:numId w:val="1"/>
        </w:numPr>
        <w:rPr>
          <w:i/>
          <w:color w:val="000000" w:themeColor="text1"/>
          <w:szCs w:val="24"/>
          <w:highlight w:val="lightGray"/>
        </w:rPr>
      </w:pPr>
      <w:r w:rsidRPr="002B4D8E">
        <w:rPr>
          <w:i/>
          <w:color w:val="000000" w:themeColor="text1"/>
          <w:szCs w:val="24"/>
          <w:highlight w:val="lightGray"/>
        </w:rPr>
        <w:t>What are consequences</w:t>
      </w:r>
      <w:r w:rsidRPr="002B4D8E" w:rsidR="00CF3959">
        <w:rPr>
          <w:i/>
          <w:color w:val="000000" w:themeColor="text1"/>
          <w:szCs w:val="24"/>
          <w:highlight w:val="lightGray"/>
        </w:rPr>
        <w:t xml:space="preserve"> to the Federal program or policy goals</w:t>
      </w:r>
      <w:r w:rsidRPr="002B4D8E">
        <w:rPr>
          <w:i/>
          <w:color w:val="000000" w:themeColor="text1"/>
          <w:szCs w:val="24"/>
          <w:highlight w:val="lightGray"/>
        </w:rPr>
        <w:t xml:space="preserve"> if this collection is not done</w:t>
      </w:r>
      <w:r w:rsidRPr="002B4D8E" w:rsidR="00CF3959">
        <w:rPr>
          <w:i/>
          <w:color w:val="000000" w:themeColor="text1"/>
          <w:szCs w:val="24"/>
          <w:highlight w:val="lightGray"/>
        </w:rPr>
        <w:t xml:space="preserve"> or the information is collected less frequently</w:t>
      </w:r>
      <w:r w:rsidRPr="002B4D8E">
        <w:rPr>
          <w:i/>
          <w:color w:val="000000" w:themeColor="text1"/>
          <w:szCs w:val="24"/>
          <w:highlight w:val="lightGray"/>
        </w:rPr>
        <w:t>?</w:t>
      </w:r>
      <w:r w:rsidRPr="002B4D8E" w:rsidR="002B4D8E">
        <w:rPr>
          <w:i/>
          <w:color w:val="000000" w:themeColor="text1"/>
          <w:szCs w:val="24"/>
          <w:highlight w:val="lightGray"/>
        </w:rPr>
        <w:t xml:space="preserve"> Describe any technical or legal obstacles to reducing burden</w:t>
      </w:r>
      <w:r w:rsidR="002B4D8E">
        <w:rPr>
          <w:i/>
          <w:color w:val="000000" w:themeColor="text1"/>
          <w:szCs w:val="24"/>
          <w:highlight w:val="lightGray"/>
        </w:rPr>
        <w:t>.</w:t>
      </w:r>
    </w:p>
    <w:p w:rsidR="008D064C" w:rsidRPr="001F0C25" w:rsidP="008D064C" w14:paraId="2589A140" w14:textId="7910CE86">
      <w:pPr>
        <w:spacing w:line="300" w:lineRule="atLeast"/>
        <w:ind w:left="360"/>
      </w:pPr>
      <w:r>
        <w:t>Claims or a</w:t>
      </w:r>
      <w:r w:rsidR="24A8B29E">
        <w:t xml:space="preserve">ppeals could not be processed timely or in compliance with </w:t>
      </w:r>
      <w:r>
        <w:t>the relevant regulatory provisions</w:t>
      </w:r>
      <w:r w:rsidR="24A8B29E">
        <w:t>. Without this collection, OPM would lack the necessary information to evaluate cases, issue decisions, or provide due process. Reducing frequency is not feasible because information is case</w:t>
      </w:r>
      <w:r w:rsidR="00E0B5E0">
        <w:t xml:space="preserve"> </w:t>
      </w:r>
      <w:r w:rsidR="24A8B29E">
        <w:t>specific and event</w:t>
      </w:r>
      <w:r w:rsidR="542E9C99">
        <w:t xml:space="preserve"> </w:t>
      </w:r>
      <w:r w:rsidR="24A8B29E">
        <w:t>driven.</w:t>
      </w:r>
    </w:p>
    <w:p w:rsidR="00B07A1E" w:rsidP="00A273D2" w14:paraId="46C8A0F5" w14:textId="356F8FD9">
      <w:pPr>
        <w:pStyle w:val="BodyTextIndent"/>
        <w:tabs>
          <w:tab w:val="clear" w:pos="720"/>
        </w:tabs>
        <w:jc w:val="left"/>
      </w:pPr>
    </w:p>
    <w:p w:rsidR="005F66DC" w:rsidRPr="000E7D65" w:rsidP="005F66DC" w14:paraId="3821D067" w14:textId="2EF712DD">
      <w:pPr>
        <w:numPr>
          <w:ilvl w:val="0"/>
          <w:numId w:val="1"/>
        </w:numPr>
        <w:rPr>
          <w:i/>
          <w:color w:val="000000" w:themeColor="text1"/>
          <w:szCs w:val="24"/>
          <w:highlight w:val="lightGray"/>
        </w:rPr>
      </w:pPr>
      <w:r w:rsidRPr="000E7D65">
        <w:rPr>
          <w:i/>
          <w:color w:val="000000" w:themeColor="text1"/>
          <w:szCs w:val="24"/>
          <w:highlight w:val="lightGray"/>
        </w:rPr>
        <w:t>Do</w:t>
      </w:r>
      <w:r w:rsidRPr="000E7D65" w:rsidR="00164D2D">
        <w:rPr>
          <w:i/>
          <w:color w:val="000000" w:themeColor="text1"/>
          <w:szCs w:val="24"/>
          <w:highlight w:val="lightGray"/>
        </w:rPr>
        <w:t xml:space="preserve"> any </w:t>
      </w:r>
      <w:r w:rsidRPr="000E7D65">
        <w:rPr>
          <w:i/>
          <w:color w:val="000000" w:themeColor="text1"/>
          <w:szCs w:val="24"/>
          <w:highlight w:val="lightGray"/>
        </w:rPr>
        <w:t xml:space="preserve">of the following </w:t>
      </w:r>
      <w:r w:rsidRPr="000E7D65" w:rsidR="00164D2D">
        <w:rPr>
          <w:i/>
          <w:color w:val="000000" w:themeColor="text1"/>
          <w:szCs w:val="24"/>
          <w:highlight w:val="lightGray"/>
        </w:rPr>
        <w:t>special circumstances</w:t>
      </w:r>
      <w:r w:rsidRPr="000E7D65" w:rsidR="00AD5D02">
        <w:rPr>
          <w:i/>
          <w:color w:val="000000" w:themeColor="text1"/>
          <w:szCs w:val="24"/>
          <w:highlight w:val="lightGray"/>
        </w:rPr>
        <w:t xml:space="preserve"> apply</w:t>
      </w:r>
      <w:r w:rsidRPr="000E7D65" w:rsidR="00164D2D">
        <w:rPr>
          <w:i/>
          <w:color w:val="000000" w:themeColor="text1"/>
          <w:szCs w:val="24"/>
          <w:highlight w:val="lightGray"/>
        </w:rPr>
        <w:t>?</w:t>
      </w:r>
      <w:r w:rsidRPr="000E7D65" w:rsidR="00AD5D02">
        <w:rPr>
          <w:highlight w:val="lightGray"/>
        </w:rPr>
        <w:t xml:space="preserve"> </w:t>
      </w:r>
    </w:p>
    <w:p w:rsidR="00AD5D02" w:rsidRPr="000E7D65" w:rsidP="005F66DC" w14:paraId="5796A477" w14:textId="0A855530">
      <w:pPr>
        <w:ind w:left="720"/>
        <w:rPr>
          <w:i/>
          <w:color w:val="000000" w:themeColor="text1"/>
          <w:szCs w:val="24"/>
          <w:highlight w:val="lightGray"/>
        </w:rPr>
      </w:pPr>
      <w:r w:rsidRPr="000E7D65">
        <w:rPr>
          <w:i/>
          <w:color w:val="000000" w:themeColor="text1"/>
          <w:szCs w:val="24"/>
          <w:highlight w:val="lightGray"/>
        </w:rPr>
        <w:t xml:space="preserve">• requiring respondents to report information to the agency more often than quarterly; </w:t>
      </w:r>
    </w:p>
    <w:p w:rsidR="00AD5D02" w:rsidRPr="000E7D65" w:rsidP="005F66DC" w14:paraId="4930531B" w14:textId="77777777">
      <w:pPr>
        <w:ind w:left="720"/>
        <w:rPr>
          <w:i/>
          <w:color w:val="000000" w:themeColor="text1"/>
          <w:szCs w:val="24"/>
          <w:highlight w:val="lightGray"/>
        </w:rPr>
      </w:pPr>
      <w:r w:rsidRPr="000E7D65">
        <w:rPr>
          <w:i/>
          <w:color w:val="000000" w:themeColor="text1"/>
          <w:szCs w:val="24"/>
          <w:highlight w:val="lightGray"/>
        </w:rPr>
        <w:t xml:space="preserve">•requiring respondents to prepare a written response to a collection of information in fewer than 30 days after receipt of it; </w:t>
      </w:r>
    </w:p>
    <w:p w:rsidR="00AD5D02" w:rsidRPr="000E7D65" w:rsidP="00AD5D02" w14:paraId="5DF0FF89" w14:textId="77777777">
      <w:pPr>
        <w:ind w:left="720"/>
        <w:rPr>
          <w:i/>
          <w:color w:val="000000" w:themeColor="text1"/>
          <w:szCs w:val="24"/>
          <w:highlight w:val="lightGray"/>
        </w:rPr>
      </w:pPr>
      <w:r w:rsidRPr="000E7D65">
        <w:rPr>
          <w:i/>
          <w:color w:val="000000" w:themeColor="text1"/>
          <w:szCs w:val="24"/>
          <w:highlight w:val="lightGray"/>
        </w:rPr>
        <w:t xml:space="preserve">•requiring respondents to submit more than an original and two copies of any document; </w:t>
      </w:r>
    </w:p>
    <w:p w:rsidR="00AD5D02" w:rsidRPr="000E7D65" w:rsidP="00AD5D02" w14:paraId="0188049D" w14:textId="77777777">
      <w:pPr>
        <w:ind w:left="720"/>
        <w:rPr>
          <w:i/>
          <w:color w:val="000000" w:themeColor="text1"/>
          <w:szCs w:val="24"/>
          <w:highlight w:val="lightGray"/>
        </w:rPr>
      </w:pPr>
      <w:r w:rsidRPr="000E7D65">
        <w:rPr>
          <w:i/>
          <w:color w:val="000000" w:themeColor="text1"/>
          <w:szCs w:val="24"/>
          <w:highlight w:val="lightGray"/>
        </w:rPr>
        <w:t xml:space="preserve">• requiring respondents to retain records, other than health, medical, government contract, grant-in-aid, or tax records, for more than three years; </w:t>
      </w:r>
    </w:p>
    <w:p w:rsidR="00AD5D02" w:rsidRPr="000E7D65" w:rsidP="00AD5D02" w14:paraId="5A25A658" w14:textId="77777777">
      <w:pPr>
        <w:ind w:left="720"/>
        <w:rPr>
          <w:i/>
          <w:color w:val="000000" w:themeColor="text1"/>
          <w:szCs w:val="24"/>
          <w:highlight w:val="lightGray"/>
        </w:rPr>
      </w:pPr>
      <w:r w:rsidRPr="000E7D65">
        <w:rPr>
          <w:i/>
          <w:color w:val="000000" w:themeColor="text1"/>
          <w:szCs w:val="24"/>
          <w:highlight w:val="lightGray"/>
        </w:rPr>
        <w:t xml:space="preserve">• in connection with a statistical </w:t>
      </w:r>
      <w:r w:rsidRPr="000E7D65">
        <w:rPr>
          <w:i/>
          <w:color w:val="000000" w:themeColor="text1"/>
          <w:szCs w:val="24"/>
          <w:highlight w:val="lightGray"/>
        </w:rPr>
        <w:t>survey,</w:t>
      </w:r>
      <w:r w:rsidRPr="000E7D65">
        <w:rPr>
          <w:i/>
          <w:color w:val="000000" w:themeColor="text1"/>
          <w:szCs w:val="24"/>
          <w:highlight w:val="lightGray"/>
        </w:rPr>
        <w:t xml:space="preserve"> that is not designed to produce valid and reliable results that can be generalized to the universe of study; </w:t>
      </w:r>
    </w:p>
    <w:p w:rsidR="00AD5D02" w:rsidRPr="000E7D65" w:rsidP="00AD5D02" w14:paraId="716B575B" w14:textId="77777777">
      <w:pPr>
        <w:ind w:left="720"/>
        <w:rPr>
          <w:i/>
          <w:color w:val="000000" w:themeColor="text1"/>
          <w:szCs w:val="24"/>
          <w:highlight w:val="lightGray"/>
        </w:rPr>
      </w:pPr>
      <w:r w:rsidRPr="000E7D65">
        <w:rPr>
          <w:i/>
          <w:color w:val="000000" w:themeColor="text1"/>
          <w:szCs w:val="24"/>
          <w:highlight w:val="lightGray"/>
        </w:rPr>
        <w:t xml:space="preserve">• requiring the use of a statistical data classification that has not been reviewed and approved by OMB; </w:t>
      </w:r>
    </w:p>
    <w:p w:rsidR="00AD5D02" w:rsidRPr="000E7D65" w:rsidP="00AD5D02" w14:paraId="3E033E1D" w14:textId="77777777">
      <w:pPr>
        <w:ind w:left="720"/>
        <w:rPr>
          <w:i/>
          <w:color w:val="000000" w:themeColor="text1"/>
          <w:szCs w:val="24"/>
          <w:highlight w:val="lightGray"/>
        </w:rPr>
      </w:pPr>
      <w:r w:rsidRPr="000E7D65">
        <w:rPr>
          <w:i/>
          <w:color w:val="000000" w:themeColor="text1"/>
          <w:szCs w:val="24"/>
          <w:highlight w:val="lightGray"/>
        </w:rPr>
        <w:t xml:space="preserve">•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164D2D" w:rsidRPr="006007AB" w:rsidP="00AD5D02" w14:paraId="5098DE09" w14:textId="1D72A259">
      <w:pPr>
        <w:ind w:left="720"/>
        <w:rPr>
          <w:i/>
          <w:color w:val="000000" w:themeColor="text1"/>
          <w:szCs w:val="24"/>
        </w:rPr>
      </w:pPr>
      <w:r w:rsidRPr="000E7D65">
        <w:rPr>
          <w:i/>
          <w:color w:val="000000" w:themeColor="text1"/>
          <w:szCs w:val="24"/>
          <w:highlight w:val="lightGray"/>
        </w:rPr>
        <w:t>• requiring respondents to submit proprietary trade secrets, or other confidential information unless the agency can demonstrate that it has instituted procedures to protect the information's confidentiality to the extent permitted by law.</w:t>
      </w:r>
    </w:p>
    <w:p w:rsidR="008D064C" w:rsidRPr="001F0C25" w:rsidP="008D064C" w14:paraId="232B380A" w14:textId="77777777">
      <w:pPr>
        <w:spacing w:line="300" w:lineRule="atLeast"/>
        <w:ind w:left="360"/>
        <w:rPr>
          <w:szCs w:val="24"/>
        </w:rPr>
      </w:pPr>
      <w:r w:rsidRPr="001F0C25">
        <w:rPr>
          <w:szCs w:val="24"/>
        </w:rPr>
        <w:t>No. Respondents are not required to respond more often than quarterly, provide excessive copies, retain records beyond standard requirements, submit unreviewed statistical data, or provide trade secrets. No unsupported pledges of confidentiality are given, and no proprietary or sensitive commercial data is required.</w:t>
      </w:r>
    </w:p>
    <w:p w:rsidR="0071103E" w:rsidP="008D064C" w14:paraId="730F60D1" w14:textId="77777777">
      <w:pPr>
        <w:pStyle w:val="BodyTextIndent"/>
        <w:tabs>
          <w:tab w:val="clear" w:pos="720"/>
        </w:tabs>
        <w:ind w:left="0"/>
        <w:jc w:val="left"/>
      </w:pPr>
    </w:p>
    <w:p w:rsidR="00164D2D" w:rsidRPr="00EC7055" w:rsidP="70E4D15B" w14:paraId="2A720E9D" w14:textId="1D606A4A">
      <w:pPr>
        <w:numPr>
          <w:ilvl w:val="0"/>
          <w:numId w:val="1"/>
        </w:numPr>
        <w:rPr>
          <w:i/>
          <w:iCs/>
          <w:color w:val="000000" w:themeColor="text1"/>
          <w:highlight w:val="lightGray"/>
        </w:rPr>
      </w:pPr>
      <w:bookmarkStart w:id="0" w:name="_Hlk95989229"/>
      <w:r w:rsidRPr="00EC7055">
        <w:rPr>
          <w:i/>
          <w:iCs/>
          <w:color w:val="000000" w:themeColor="text1"/>
          <w:highlight w:val="lightGray"/>
        </w:rPr>
        <w:t xml:space="preserve">Cite the </w:t>
      </w:r>
      <w:r w:rsidRPr="00EC7055" w:rsidR="0082620A">
        <w:rPr>
          <w:i/>
          <w:iCs/>
          <w:color w:val="000000" w:themeColor="text1"/>
          <w:highlight w:val="lightGray"/>
        </w:rPr>
        <w:t>Federal Register</w:t>
      </w:r>
      <w:r w:rsidRPr="00EC7055">
        <w:rPr>
          <w:i/>
          <w:iCs/>
          <w:color w:val="000000" w:themeColor="text1"/>
          <w:highlight w:val="lightGray"/>
        </w:rPr>
        <w:t xml:space="preserve"> publication </w:t>
      </w:r>
      <w:r w:rsidRPr="00EC7055">
        <w:rPr>
          <w:i/>
          <w:iCs/>
          <w:color w:val="000000" w:themeColor="text1"/>
          <w:highlight w:val="lightGray"/>
        </w:rPr>
        <w:t xml:space="preserve">for </w:t>
      </w:r>
      <w:r w:rsidRPr="00EC7055">
        <w:rPr>
          <w:i/>
          <w:iCs/>
          <w:color w:val="000000" w:themeColor="text1"/>
          <w:highlight w:val="lightGray"/>
        </w:rPr>
        <w:t xml:space="preserve">a request for public comments </w:t>
      </w:r>
      <w:r w:rsidRPr="00EC7055" w:rsidR="0082620A">
        <w:rPr>
          <w:i/>
          <w:iCs/>
          <w:color w:val="000000" w:themeColor="text1"/>
          <w:highlight w:val="lightGray"/>
        </w:rPr>
        <w:t>and address any comments received</w:t>
      </w:r>
      <w:r w:rsidRPr="00EC7055">
        <w:rPr>
          <w:i/>
          <w:iCs/>
          <w:color w:val="000000" w:themeColor="text1"/>
          <w:highlight w:val="lightGray"/>
        </w:rPr>
        <w:t>.</w:t>
      </w:r>
    </w:p>
    <w:p w:rsidR="008D064C" w:rsidRPr="0071215E" w:rsidP="002420B8" w14:paraId="6C65537E" w14:textId="0CB736BF">
      <w:pPr>
        <w:spacing w:line="300" w:lineRule="atLeast"/>
        <w:ind w:left="360"/>
        <w:rPr>
          <w:i/>
          <w:iCs/>
          <w:szCs w:val="24"/>
        </w:rPr>
      </w:pPr>
      <w:r w:rsidRPr="002420B8">
        <w:rPr>
          <w:szCs w:val="24"/>
        </w:rPr>
        <w:t xml:space="preserve">On February 6, 2026, OPM published a 60-Day Notice at 91 FR 5526. </w:t>
      </w:r>
      <w:r>
        <w:rPr>
          <w:szCs w:val="24"/>
        </w:rPr>
        <w:t>One</w:t>
      </w:r>
      <w:r w:rsidRPr="002420B8">
        <w:rPr>
          <w:szCs w:val="24"/>
        </w:rPr>
        <w:t xml:space="preserve"> </w:t>
      </w:r>
      <w:r w:rsidRPr="002420B8">
        <w:rPr>
          <w:szCs w:val="24"/>
        </w:rPr>
        <w:t xml:space="preserve">comment </w:t>
      </w:r>
      <w:r>
        <w:rPr>
          <w:szCs w:val="24"/>
        </w:rPr>
        <w:t>was</w:t>
      </w:r>
      <w:r w:rsidRPr="002420B8">
        <w:rPr>
          <w:szCs w:val="24"/>
        </w:rPr>
        <w:t xml:space="preserve"> receive</w:t>
      </w:r>
      <w:r>
        <w:rPr>
          <w:szCs w:val="24"/>
        </w:rPr>
        <w:t xml:space="preserve">d stating </w:t>
      </w:r>
      <w:r w:rsidRPr="0071215E">
        <w:rPr>
          <w:i/>
          <w:iCs/>
          <w:szCs w:val="24"/>
        </w:rPr>
        <w:t>“This digital infrastructure is ostensibly designed to execute the reclassification of career civil service positions under the newly reconstituted "Schedule F" framework (Docket ID: OPM-2026-0012). The proposed digital infrastructure, the associated Information Collection Request (ICR), and the underlying substantive policy it serves are fundamentally flawed, procedurally defective, and entirely ultra vires. The agency’s submission violates the Administrative Procedure Act (APA) (5 U.S.C. § 706(2)(A)), the Paperwork Reduction Act of 1995 (PRA) (44 U.S.C. § 3501 et seq.), the Federal Information Security Modernization Act (FISMA), the E-Government Act of 2002, and the foundational requirements of the Chenery Doctrine.”</w:t>
      </w:r>
    </w:p>
    <w:p w:rsidR="002420B8" w:rsidP="002420B8" w14:paraId="5E9807C0" w14:textId="69FFFA13">
      <w:pPr>
        <w:spacing w:line="300" w:lineRule="atLeast"/>
        <w:ind w:left="360"/>
        <w:rPr>
          <w:szCs w:val="24"/>
        </w:rPr>
      </w:pPr>
    </w:p>
    <w:p w:rsidR="000F1CA2" w:rsidP="002420B8" w14:paraId="508F9AFA" w14:textId="365ABE03">
      <w:pPr>
        <w:spacing w:line="300" w:lineRule="atLeast"/>
        <w:ind w:left="360"/>
        <w:rPr>
          <w:szCs w:val="24"/>
        </w:rPr>
      </w:pPr>
      <w:r>
        <w:rPr>
          <w:szCs w:val="24"/>
        </w:rPr>
        <w:t xml:space="preserve">OPM thanks this commenter for their submission but object to the categorization that this ICR is designed </w:t>
      </w:r>
      <w:r w:rsidR="00C1720A">
        <w:rPr>
          <w:szCs w:val="24"/>
        </w:rPr>
        <w:t>for “the newly reconstituted ‘Schedule F’ framework.” OPM discussed the myriad uses for the E-File System in the Federal Register Notice</w:t>
      </w:r>
      <w:r w:rsidR="005A6276">
        <w:rPr>
          <w:szCs w:val="24"/>
        </w:rPr>
        <w:t xml:space="preserve">, none of which are related to </w:t>
      </w:r>
      <w:r w:rsidR="00717A79">
        <w:rPr>
          <w:szCs w:val="24"/>
        </w:rPr>
        <w:t>Schedule Policy/Career</w:t>
      </w:r>
      <w:r w:rsidR="009F35C1">
        <w:rPr>
          <w:szCs w:val="24"/>
        </w:rPr>
        <w:t>.</w:t>
      </w:r>
      <w:r w:rsidR="00C1720A">
        <w:rPr>
          <w:szCs w:val="24"/>
        </w:rPr>
        <w:t xml:space="preserve"> </w:t>
      </w:r>
      <w:r w:rsidR="009F35C1">
        <w:rPr>
          <w:szCs w:val="24"/>
        </w:rPr>
        <w:t>Additionally,</w:t>
      </w:r>
      <w:r w:rsidR="00C1720A">
        <w:rPr>
          <w:szCs w:val="24"/>
        </w:rPr>
        <w:t xml:space="preserve"> we invite the commenter to further cross reference the </w:t>
      </w:r>
      <w:r w:rsidR="00FF53EA">
        <w:rPr>
          <w:szCs w:val="24"/>
        </w:rPr>
        <w:t>following</w:t>
      </w:r>
      <w:r w:rsidR="0071215E">
        <w:rPr>
          <w:szCs w:val="24"/>
        </w:rPr>
        <w:t xml:space="preserve"> </w:t>
      </w:r>
      <w:r w:rsidR="00C1720A">
        <w:rPr>
          <w:szCs w:val="24"/>
        </w:rPr>
        <w:t>additional Federal Register postings</w:t>
      </w:r>
      <w:r w:rsidR="0071215E">
        <w:rPr>
          <w:szCs w:val="24"/>
        </w:rPr>
        <w:t>:</w:t>
      </w:r>
      <w:r w:rsidR="00C1720A">
        <w:rPr>
          <w:szCs w:val="24"/>
        </w:rPr>
        <w:t xml:space="preserve"> </w:t>
      </w:r>
    </w:p>
    <w:p w:rsidR="000F1CA2" w:rsidRPr="000F1CA2" w:rsidP="000F1CA2" w14:paraId="5C9CF6DC" w14:textId="4F19EE07">
      <w:pPr>
        <w:pStyle w:val="ListParagraph"/>
        <w:numPr>
          <w:ilvl w:val="0"/>
          <w:numId w:val="21"/>
        </w:numPr>
        <w:spacing w:line="300" w:lineRule="atLeast"/>
        <w:rPr>
          <w:rFonts w:ascii="Times New Roman" w:hAnsi="Times New Roman"/>
          <w:sz w:val="21"/>
          <w:szCs w:val="21"/>
        </w:rPr>
      </w:pPr>
      <w:r w:rsidRPr="000F1CA2">
        <w:rPr>
          <w:rFonts w:ascii="Times New Roman" w:hAnsi="Times New Roman"/>
          <w:i/>
          <w:iCs/>
        </w:rPr>
        <w:t>Streamlining Probationary and Trial Period Appeals</w:t>
      </w:r>
      <w:r>
        <w:rPr>
          <w:rFonts w:ascii="Times New Roman" w:hAnsi="Times New Roman"/>
          <w:i/>
          <w:iCs/>
        </w:rPr>
        <w:t>,</w:t>
      </w:r>
      <w:r w:rsidRPr="000F1CA2">
        <w:rPr>
          <w:rFonts w:ascii="Times New Roman" w:hAnsi="Times New Roman"/>
          <w:i/>
          <w:iCs/>
        </w:rPr>
        <w:t xml:space="preserve"> </w:t>
      </w:r>
      <w:r>
        <w:rPr>
          <w:rFonts w:ascii="Times New Roman" w:hAnsi="Times New Roman"/>
        </w:rPr>
        <w:t xml:space="preserve">RIN: </w:t>
      </w:r>
      <w:r w:rsidRPr="000F1CA2" w:rsidR="00C1720A">
        <w:rPr>
          <w:rFonts w:ascii="Times New Roman" w:hAnsi="Times New Roman"/>
        </w:rPr>
        <w:t xml:space="preserve">3206-AO96 </w:t>
      </w:r>
      <w:r w:rsidRPr="000F1CA2" w:rsidR="009F35C1">
        <w:rPr>
          <w:rFonts w:ascii="Times New Roman" w:hAnsi="Times New Roman"/>
        </w:rPr>
        <w:t>(90 FR 61070)</w:t>
      </w:r>
    </w:p>
    <w:p w:rsidR="000F1CA2" w:rsidRPr="000F1CA2" w:rsidP="000F1CA2" w14:paraId="0AFFA6EE" w14:textId="59F6D9C4">
      <w:pPr>
        <w:pStyle w:val="ListParagraph"/>
        <w:numPr>
          <w:ilvl w:val="0"/>
          <w:numId w:val="21"/>
        </w:numPr>
        <w:spacing w:line="300" w:lineRule="atLeast"/>
        <w:rPr>
          <w:rFonts w:ascii="Times New Roman" w:hAnsi="Times New Roman"/>
          <w:sz w:val="21"/>
          <w:szCs w:val="21"/>
        </w:rPr>
      </w:pPr>
      <w:r w:rsidRPr="000F1CA2">
        <w:rPr>
          <w:rFonts w:ascii="Times New Roman" w:hAnsi="Times New Roman"/>
          <w:i/>
          <w:iCs/>
        </w:rPr>
        <w:t>Suitability Action Appeals</w:t>
      </w:r>
      <w:r>
        <w:rPr>
          <w:rFonts w:ascii="Times New Roman" w:hAnsi="Times New Roman"/>
          <w:i/>
          <w:iCs/>
        </w:rPr>
        <w:t>,</w:t>
      </w:r>
      <w:r w:rsidRPr="000F1CA2" w:rsidR="009F35C1">
        <w:rPr>
          <w:rFonts w:ascii="Times New Roman" w:hAnsi="Times New Roman"/>
        </w:rPr>
        <w:t xml:space="preserve"> </w:t>
      </w:r>
      <w:r>
        <w:rPr>
          <w:rFonts w:ascii="Times New Roman" w:hAnsi="Times New Roman"/>
        </w:rPr>
        <w:t>RIN:</w:t>
      </w:r>
      <w:r w:rsidRPr="000F1CA2" w:rsidR="009F35C1">
        <w:rPr>
          <w:rFonts w:ascii="Times New Roman" w:hAnsi="Times New Roman"/>
        </w:rPr>
        <w:t xml:space="preserve"> </w:t>
      </w:r>
      <w:r>
        <w:rPr>
          <w:rFonts w:ascii="Times New Roman" w:hAnsi="Times New Roman"/>
        </w:rPr>
        <w:t>3206-AO</w:t>
      </w:r>
      <w:r w:rsidRPr="000F1CA2" w:rsidR="00C1720A">
        <w:rPr>
          <w:rFonts w:ascii="Times New Roman" w:hAnsi="Times New Roman"/>
        </w:rPr>
        <w:t>97</w:t>
      </w:r>
      <w:r w:rsidRPr="000F1CA2" w:rsidR="009F35C1">
        <w:rPr>
          <w:rFonts w:ascii="Times New Roman" w:hAnsi="Times New Roman"/>
        </w:rPr>
        <w:t xml:space="preserve"> (</w:t>
      </w:r>
      <w:r w:rsidRPr="00DE0ECD" w:rsidR="00DE0ECD">
        <w:rPr>
          <w:rFonts w:ascii="Times New Roman" w:hAnsi="Times New Roman"/>
        </w:rPr>
        <w:t>91 FR 5352</w:t>
      </w:r>
      <w:r w:rsidR="00DE0ECD">
        <w:rPr>
          <w:rFonts w:ascii="Times New Roman" w:hAnsi="Times New Roman"/>
        </w:rPr>
        <w:t>)</w:t>
      </w:r>
    </w:p>
    <w:p w:rsidR="00DE0ECD" w:rsidRPr="00DE0ECD" w:rsidP="000F1CA2" w14:paraId="1B28F9D7" w14:textId="77777777">
      <w:pPr>
        <w:pStyle w:val="ListParagraph"/>
        <w:numPr>
          <w:ilvl w:val="0"/>
          <w:numId w:val="21"/>
        </w:numPr>
        <w:spacing w:line="300" w:lineRule="atLeast"/>
        <w:rPr>
          <w:rFonts w:ascii="Times New Roman" w:hAnsi="Times New Roman"/>
          <w:sz w:val="21"/>
          <w:szCs w:val="21"/>
        </w:rPr>
      </w:pPr>
      <w:r w:rsidRPr="00DE0ECD">
        <w:rPr>
          <w:rFonts w:ascii="Times New Roman" w:hAnsi="Times New Roman"/>
          <w:i/>
          <w:iCs/>
        </w:rPr>
        <w:t>Reduction in Force Appeals</w:t>
      </w:r>
      <w:r>
        <w:rPr>
          <w:rFonts w:ascii="Times New Roman" w:hAnsi="Times New Roman"/>
        </w:rPr>
        <w:t xml:space="preserve"> RIN: 3206-AO</w:t>
      </w:r>
      <w:r w:rsidRPr="000F1CA2" w:rsidR="00C1720A">
        <w:rPr>
          <w:rFonts w:ascii="Times New Roman" w:hAnsi="Times New Roman"/>
        </w:rPr>
        <w:t>99 (</w:t>
      </w:r>
      <w:r w:rsidRPr="00DE0ECD">
        <w:rPr>
          <w:rFonts w:ascii="Times New Roman" w:hAnsi="Times New Roman"/>
        </w:rPr>
        <w:t>91 FR 5861</w:t>
      </w:r>
      <w:r>
        <w:rPr>
          <w:rFonts w:ascii="Times New Roman" w:hAnsi="Times New Roman"/>
        </w:rPr>
        <w:t>)</w:t>
      </w:r>
    </w:p>
    <w:p w:rsidR="00DE0ECD" w:rsidRPr="00DE0ECD" w:rsidP="000F1CA2" w14:paraId="69336AFD" w14:textId="54F110E1">
      <w:pPr>
        <w:pStyle w:val="ListParagraph"/>
        <w:numPr>
          <w:ilvl w:val="0"/>
          <w:numId w:val="21"/>
        </w:numPr>
        <w:spacing w:line="300" w:lineRule="atLeast"/>
        <w:rPr>
          <w:rFonts w:ascii="Times New Roman" w:hAnsi="Times New Roman"/>
          <w:sz w:val="21"/>
          <w:szCs w:val="21"/>
        </w:rPr>
      </w:pPr>
      <w:r w:rsidRPr="00DE0ECD">
        <w:rPr>
          <w:rFonts w:ascii="Times New Roman" w:hAnsi="Times New Roman"/>
          <w:i/>
          <w:iCs/>
        </w:rPr>
        <w:t>Fair Labor Standards Act (FLSA) Claims and Compliance</w:t>
      </w:r>
      <w:r>
        <w:rPr>
          <w:rFonts w:ascii="Times New Roman" w:hAnsi="Times New Roman"/>
        </w:rPr>
        <w:t xml:space="preserve"> RIN: 3206-</w:t>
      </w:r>
      <w:r w:rsidRPr="000F1CA2" w:rsidR="00C1720A">
        <w:rPr>
          <w:rFonts w:ascii="Times New Roman" w:hAnsi="Times New Roman"/>
        </w:rPr>
        <w:t xml:space="preserve">AO74 </w:t>
      </w:r>
      <w:r>
        <w:rPr>
          <w:rFonts w:ascii="Times New Roman" w:hAnsi="Times New Roman"/>
        </w:rPr>
        <w:t>(To be published in tandem with th</w:t>
      </w:r>
      <w:r w:rsidR="00D25F04">
        <w:rPr>
          <w:rFonts w:ascii="Times New Roman" w:hAnsi="Times New Roman"/>
        </w:rPr>
        <w:t>e</w:t>
      </w:r>
      <w:r>
        <w:rPr>
          <w:rFonts w:ascii="Times New Roman" w:hAnsi="Times New Roman"/>
        </w:rPr>
        <w:t xml:space="preserve"> Federal Register Notice</w:t>
      </w:r>
      <w:r w:rsidR="00C57B9F">
        <w:rPr>
          <w:rFonts w:ascii="Times New Roman" w:hAnsi="Times New Roman"/>
        </w:rPr>
        <w:t xml:space="preserve"> for this collection</w:t>
      </w:r>
      <w:r>
        <w:rPr>
          <w:rFonts w:ascii="Times New Roman" w:hAnsi="Times New Roman"/>
        </w:rPr>
        <w:t>)</w:t>
      </w:r>
    </w:p>
    <w:p w:rsidR="00DE0ECD" w:rsidP="00DE0ECD" w14:paraId="65FA0937" w14:textId="6D077C96">
      <w:pPr>
        <w:pStyle w:val="ListParagraph"/>
        <w:numPr>
          <w:ilvl w:val="0"/>
          <w:numId w:val="21"/>
        </w:numPr>
        <w:rPr>
          <w:rFonts w:ascii="Times New Roman" w:hAnsi="Times New Roman"/>
        </w:rPr>
      </w:pPr>
      <w:r w:rsidRPr="00DE0ECD">
        <w:rPr>
          <w:rFonts w:ascii="Times New Roman" w:hAnsi="Times New Roman"/>
          <w:i/>
          <w:iCs/>
        </w:rPr>
        <w:t>Procedures for Settling Claims</w:t>
      </w:r>
      <w:r w:rsidRPr="00DE0ECD">
        <w:rPr>
          <w:rFonts w:ascii="Times New Roman" w:hAnsi="Times New Roman"/>
        </w:rPr>
        <w:t xml:space="preserve"> </w:t>
      </w:r>
      <w:r>
        <w:rPr>
          <w:rFonts w:ascii="Times New Roman" w:hAnsi="Times New Roman"/>
        </w:rPr>
        <w:t>RIN: 3206-</w:t>
      </w:r>
      <w:r w:rsidRPr="00DE0ECD" w:rsidR="00C1720A">
        <w:rPr>
          <w:rFonts w:ascii="Times New Roman" w:hAnsi="Times New Roman"/>
        </w:rPr>
        <w:t>AP10</w:t>
      </w:r>
      <w:r>
        <w:rPr>
          <w:rFonts w:ascii="Times New Roman" w:hAnsi="Times New Roman"/>
        </w:rPr>
        <w:t xml:space="preserve"> </w:t>
      </w:r>
      <w:r w:rsidRPr="00DE0ECD">
        <w:rPr>
          <w:rFonts w:ascii="Times New Roman" w:hAnsi="Times New Roman"/>
        </w:rPr>
        <w:t>(To be published in tandem with th</w:t>
      </w:r>
      <w:r w:rsidR="00C57B9F">
        <w:rPr>
          <w:rFonts w:ascii="Times New Roman" w:hAnsi="Times New Roman"/>
        </w:rPr>
        <w:t>e</w:t>
      </w:r>
      <w:r w:rsidRPr="00DE0ECD">
        <w:rPr>
          <w:rFonts w:ascii="Times New Roman" w:hAnsi="Times New Roman"/>
        </w:rPr>
        <w:t xml:space="preserve"> Federal Register Notice</w:t>
      </w:r>
      <w:r w:rsidR="00C57B9F">
        <w:rPr>
          <w:rFonts w:ascii="Times New Roman" w:hAnsi="Times New Roman"/>
        </w:rPr>
        <w:t xml:space="preserve"> for this collection</w:t>
      </w:r>
      <w:r w:rsidRPr="00DE0ECD">
        <w:rPr>
          <w:rFonts w:ascii="Times New Roman" w:hAnsi="Times New Roman"/>
        </w:rPr>
        <w:t>)</w:t>
      </w:r>
    </w:p>
    <w:p w:rsidR="0071215E" w:rsidRPr="0071215E" w:rsidP="0071215E" w14:paraId="6DFA3BD3" w14:textId="2CFAF8F7"/>
    <w:p w:rsidR="0071215E" w:rsidRPr="0071215E" w:rsidP="0071215E" w14:paraId="527189D3" w14:textId="79C142B6">
      <w:pPr>
        <w:spacing w:line="300" w:lineRule="atLeast"/>
        <w:ind w:left="360"/>
        <w:rPr>
          <w:i/>
          <w:iCs/>
        </w:rPr>
      </w:pPr>
      <w:r>
        <w:rPr>
          <w:szCs w:val="24"/>
        </w:rPr>
        <w:t>The comment goes on to state the following: “</w:t>
      </w:r>
      <w:r w:rsidRPr="0071215E">
        <w:rPr>
          <w:i/>
          <w:iCs/>
        </w:rPr>
        <w:t xml:space="preserve">I hereby demand that OPM and the OMB Desk Officer execute, publish, and append the following to the administrative record prior to granting any OMB Control Number or finalizing this collection: </w:t>
      </w:r>
    </w:p>
    <w:p w:rsidR="0071215E" w:rsidRPr="0071215E" w:rsidP="0071215E" w14:paraId="68C156C7" w14:textId="77777777">
      <w:pPr>
        <w:ind w:left="720"/>
        <w:rPr>
          <w:i/>
          <w:iCs/>
        </w:rPr>
      </w:pPr>
      <w:r w:rsidRPr="0071215E">
        <w:rPr>
          <w:i/>
          <w:iCs/>
        </w:rPr>
        <w:t xml:space="preserve">1. </w:t>
      </w:r>
      <w:r w:rsidRPr="0071215E">
        <w:rPr>
          <w:b/>
          <w:bCs/>
          <w:i/>
          <w:iCs/>
        </w:rPr>
        <w:t xml:space="preserve">FedRAMP High SSP: </w:t>
      </w:r>
      <w:r w:rsidRPr="0071215E">
        <w:rPr>
          <w:i/>
          <w:iCs/>
        </w:rPr>
        <w:t xml:space="preserve">Publish the unclassified portions of the System Security Plan proving the E-File System meets FISMA continuous monitoring mandates. </w:t>
      </w:r>
    </w:p>
    <w:p w:rsidR="0071215E" w:rsidRPr="0071215E" w:rsidP="7B0CA740" w14:paraId="5C2B00D5" w14:textId="5A23152A">
      <w:pPr>
        <w:ind w:left="720"/>
        <w:rPr>
          <w:i/>
          <w:iCs/>
        </w:rPr>
      </w:pPr>
      <w:r w:rsidRPr="7B0CA740">
        <w:rPr>
          <w:i/>
          <w:iCs/>
        </w:rPr>
        <w:t xml:space="preserve">2. </w:t>
      </w:r>
      <w:r w:rsidRPr="7B0CA740">
        <w:rPr>
          <w:b/>
          <w:bCs/>
          <w:i/>
          <w:iCs/>
        </w:rPr>
        <w:t xml:space="preserve">Statutory </w:t>
      </w:r>
      <w:r w:rsidRPr="7B0CA740" w:rsidR="0199E6D0">
        <w:rPr>
          <w:b/>
          <w:bCs/>
          <w:i/>
          <w:iCs/>
        </w:rPr>
        <w:t>Crosswalk</w:t>
      </w:r>
      <w:r w:rsidRPr="7B0CA740">
        <w:rPr>
          <w:b/>
          <w:bCs/>
          <w:i/>
          <w:iCs/>
        </w:rPr>
        <w:t xml:space="preserve">: </w:t>
      </w:r>
      <w:r w:rsidRPr="7B0CA740">
        <w:rPr>
          <w:i/>
          <w:iCs/>
        </w:rPr>
        <w:t xml:space="preserve">A line-by-line legal justification proving that 5 U.S.C. § 3302 allows the mass, automated digital reclassification of competitive service positions into the Excepted Service. </w:t>
      </w:r>
    </w:p>
    <w:p w:rsidR="0071215E" w:rsidRPr="0071215E" w:rsidP="0071215E" w14:paraId="01300B44" w14:textId="0C5A463B">
      <w:pPr>
        <w:ind w:left="720"/>
        <w:rPr>
          <w:i/>
          <w:iCs/>
        </w:rPr>
      </w:pPr>
      <w:r w:rsidRPr="0071215E">
        <w:rPr>
          <w:i/>
          <w:iCs/>
        </w:rPr>
        <w:t xml:space="preserve">3. </w:t>
      </w:r>
      <w:r w:rsidRPr="0071215E">
        <w:rPr>
          <w:b/>
          <w:bCs/>
          <w:i/>
          <w:iCs/>
        </w:rPr>
        <w:t xml:space="preserve">Regional Macroeconomic Impact Study: </w:t>
      </w:r>
      <w:r w:rsidRPr="0071215E">
        <w:rPr>
          <w:i/>
          <w:iCs/>
        </w:rPr>
        <w:t xml:space="preserve">An independent, third-party econometric analysis detailing the precise downward pressure on municipal bond ratings for Montgomery County, Maryland, resulting from the destabilization of the federal workforce. </w:t>
      </w:r>
    </w:p>
    <w:p w:rsidR="0071215E" w:rsidRPr="0071215E" w:rsidP="0071215E" w14:paraId="2B2CDF22" w14:textId="77777777">
      <w:pPr>
        <w:ind w:left="720"/>
        <w:rPr>
          <w:i/>
          <w:iCs/>
        </w:rPr>
      </w:pPr>
      <w:r w:rsidRPr="0071215E">
        <w:rPr>
          <w:i/>
          <w:iCs/>
        </w:rPr>
        <w:t xml:space="preserve">4. </w:t>
      </w:r>
      <w:r w:rsidRPr="0071215E">
        <w:rPr>
          <w:b/>
          <w:bCs/>
          <w:i/>
          <w:iCs/>
        </w:rPr>
        <w:t xml:space="preserve">Bivens Liability Waiver Analysis: </w:t>
      </w:r>
      <w:r w:rsidRPr="0071215E">
        <w:rPr>
          <w:i/>
          <w:iCs/>
        </w:rPr>
        <w:t xml:space="preserve">A formal legal memorandum from the OPM General Counsel assessing the personal Bivens liability of agency IT administrators who operate a system designed to bypass Fifth Amendment due process rights. </w:t>
      </w:r>
    </w:p>
    <w:p w:rsidR="0071215E" w:rsidRPr="0071215E" w:rsidP="0071215E" w14:paraId="7378F45D" w14:textId="77777777">
      <w:pPr>
        <w:ind w:left="720"/>
        <w:rPr>
          <w:i/>
          <w:iCs/>
        </w:rPr>
      </w:pPr>
      <w:r w:rsidRPr="0071215E">
        <w:rPr>
          <w:i/>
          <w:iCs/>
        </w:rPr>
        <w:t xml:space="preserve">5. </w:t>
      </w:r>
      <w:r w:rsidRPr="0071215E">
        <w:rPr>
          <w:b/>
          <w:bCs/>
          <w:i/>
          <w:iCs/>
        </w:rPr>
        <w:t xml:space="preserve">Section 208 E-Gov Act Certification: </w:t>
      </w:r>
      <w:r w:rsidRPr="0071215E">
        <w:rPr>
          <w:i/>
          <w:iCs/>
        </w:rPr>
        <w:t xml:space="preserve">A published Privacy Impact Assessment explicitly evaluating the civil liberties impact of the E-File System's data schema. </w:t>
      </w:r>
    </w:p>
    <w:p w:rsidR="0071215E" w:rsidRPr="0071215E" w:rsidP="0071215E" w14:paraId="02439767" w14:textId="4C486766">
      <w:pPr>
        <w:ind w:left="720"/>
        <w:rPr>
          <w:i/>
          <w:iCs/>
        </w:rPr>
      </w:pPr>
      <w:r w:rsidRPr="0071215E">
        <w:rPr>
          <w:i/>
          <w:iCs/>
        </w:rPr>
        <w:t xml:space="preserve">6. </w:t>
      </w:r>
      <w:r w:rsidRPr="0071215E">
        <w:rPr>
          <w:b/>
          <w:bCs/>
          <w:i/>
          <w:iCs/>
        </w:rPr>
        <w:t xml:space="preserve">Revised PRA Burden Calculation: </w:t>
      </w:r>
      <w:r w:rsidRPr="0071215E">
        <w:rPr>
          <w:i/>
          <w:iCs/>
        </w:rPr>
        <w:t>A newly conducted, time-in-motion study measuring the actual administrative burden hours placed on agency HR staff to re-code the federal workforce, conducted by an independent auditing firm.</w:t>
      </w:r>
      <w:r>
        <w:rPr>
          <w:i/>
          <w:iCs/>
        </w:rPr>
        <w:t>”</w:t>
      </w:r>
      <w:r w:rsidRPr="0071215E">
        <w:rPr>
          <w:i/>
          <w:iCs/>
        </w:rPr>
        <w:t xml:space="preserve"> </w:t>
      </w:r>
    </w:p>
    <w:p w:rsidR="007F2169" w:rsidP="008D064C" w14:paraId="49F91171" w14:textId="77777777">
      <w:pPr>
        <w:ind w:left="360"/>
        <w:rPr>
          <w:color w:val="000000" w:themeColor="text1"/>
        </w:rPr>
      </w:pPr>
    </w:p>
    <w:p w:rsidR="00270C10" w:rsidP="008D064C" w14:paraId="26766097" w14:textId="1E3E5440">
      <w:pPr>
        <w:ind w:left="360"/>
        <w:rPr>
          <w:color w:val="000000" w:themeColor="text1"/>
        </w:rPr>
      </w:pPr>
      <w:r>
        <w:rPr>
          <w:color w:val="000000" w:themeColor="text1"/>
        </w:rPr>
        <w:t>S</w:t>
      </w:r>
      <w:r w:rsidRPr="00270C10">
        <w:rPr>
          <w:color w:val="000000" w:themeColor="text1"/>
        </w:rPr>
        <w:t xml:space="preserve">ince the publication of the 60-Day Notice, OPM regulations have moved </w:t>
      </w:r>
      <w:r w:rsidRPr="00270C10">
        <w:rPr>
          <w:color w:val="000000" w:themeColor="text1"/>
        </w:rPr>
        <w:t>further along</w:t>
      </w:r>
      <w:r w:rsidRPr="00270C10">
        <w:rPr>
          <w:color w:val="000000" w:themeColor="text1"/>
        </w:rPr>
        <w:t xml:space="preserve"> within the rulemaking process, which allowed OPM to modify and correct the original burden estimate to reflect a more accurate number. We have broken down the numbers </w:t>
      </w:r>
      <w:r w:rsidR="00E01DC9">
        <w:rPr>
          <w:color w:val="000000" w:themeColor="text1"/>
        </w:rPr>
        <w:t xml:space="preserve">under question 12 as well as posted </w:t>
      </w:r>
      <w:r w:rsidR="00BA2ED2">
        <w:rPr>
          <w:color w:val="000000" w:themeColor="text1"/>
        </w:rPr>
        <w:t xml:space="preserve">the below </w:t>
      </w:r>
      <w:r w:rsidR="00E01DC9">
        <w:rPr>
          <w:color w:val="000000" w:themeColor="text1"/>
        </w:rPr>
        <w:t>within the 30-Day Notice.</w:t>
      </w:r>
      <w:r w:rsidRPr="00F841BE">
        <w:rPr>
          <w:color w:val="000000" w:themeColor="text1"/>
        </w:rPr>
        <w:t xml:space="preserve"> </w:t>
      </w:r>
      <w:r>
        <w:rPr>
          <w:color w:val="000000" w:themeColor="text1"/>
        </w:rPr>
        <w:t xml:space="preserve">If the commenter would like more information on how to estimate burden, we invite them to review </w:t>
      </w:r>
      <w:hyperlink r:id="rId4" w:history="1">
        <w:r w:rsidRPr="00B864EA">
          <w:rPr>
            <w:rStyle w:val="Hyperlink"/>
          </w:rPr>
          <w:t>https://digital.gov/guides/pra/estimate-burden</w:t>
        </w:r>
      </w:hyperlink>
      <w:r>
        <w:rPr>
          <w:color w:val="000000" w:themeColor="text1"/>
        </w:rPr>
        <w:t>.</w:t>
      </w:r>
    </w:p>
    <w:p w:rsidR="00DF5528" w:rsidP="008D064C" w14:paraId="6A628A08" w14:textId="77777777">
      <w:pPr>
        <w:ind w:left="360"/>
        <w:rPr>
          <w:color w:val="000000" w:themeColor="text1"/>
        </w:rPr>
      </w:pPr>
    </w:p>
    <w:p w:rsidR="007F2169" w:rsidP="008D064C" w14:paraId="1B130BBC" w14:textId="4DE5DBF8">
      <w:pPr>
        <w:ind w:left="360"/>
        <w:rPr>
          <w:color w:val="000000" w:themeColor="text1"/>
        </w:rPr>
      </w:pPr>
      <w:r w:rsidRPr="7B0CA740">
        <w:rPr>
          <w:color w:val="000000" w:themeColor="text1"/>
        </w:rPr>
        <w:t xml:space="preserve">As for the “demands” regarding the IT and Privacy portions of this E-File ICR, FedRAMP (Federal Risk and Authorization Management Program) is a standardized, government-wide framework in the United States that assesses, authorizes, and continuously monitors the security of cloud products and services used by federal agencies. OPM can confirm that all </w:t>
      </w:r>
      <w:r w:rsidRPr="7B0CA740">
        <w:rPr>
          <w:color w:val="000000" w:themeColor="text1"/>
        </w:rPr>
        <w:t>cloud products and services used for the E-File ICR are FedRAMP</w:t>
      </w:r>
      <w:r w:rsidRPr="7B0CA740" w:rsidR="6F2A69C9">
        <w:rPr>
          <w:color w:val="000000" w:themeColor="text1"/>
        </w:rPr>
        <w:t xml:space="preserve"> certified</w:t>
      </w:r>
      <w:r w:rsidRPr="7B0CA740">
        <w:rPr>
          <w:color w:val="000000" w:themeColor="text1"/>
        </w:rPr>
        <w:t xml:space="preserve">. </w:t>
      </w:r>
      <w:r w:rsidRPr="7B0CA740" w:rsidR="7D3AB54E">
        <w:rPr>
          <w:color w:val="000000" w:themeColor="text1"/>
        </w:rPr>
        <w:t>Federal Information Security Modernization Act (</w:t>
      </w:r>
      <w:r w:rsidRPr="7B0CA740" w:rsidR="27DBE66F">
        <w:rPr>
          <w:color w:val="000000" w:themeColor="text1"/>
        </w:rPr>
        <w:t>FISMA</w:t>
      </w:r>
      <w:r w:rsidRPr="7B0CA740" w:rsidR="7D3AB54E">
        <w:rPr>
          <w:color w:val="000000" w:themeColor="text1"/>
        </w:rPr>
        <w:t>) core</w:t>
      </w:r>
      <w:r w:rsidRPr="7B0CA740" w:rsidR="27DBE66F">
        <w:rPr>
          <w:color w:val="000000" w:themeColor="text1"/>
        </w:rPr>
        <w:t xml:space="preserve"> require</w:t>
      </w:r>
      <w:r w:rsidRPr="7B0CA740" w:rsidR="7D3AB54E">
        <w:rPr>
          <w:color w:val="000000" w:themeColor="text1"/>
        </w:rPr>
        <w:t>ments include</w:t>
      </w:r>
      <w:r w:rsidRPr="7B0CA740" w:rsidR="27DBE66F">
        <w:rPr>
          <w:color w:val="000000" w:themeColor="text1"/>
        </w:rPr>
        <w:t xml:space="preserve"> </w:t>
      </w:r>
      <w:r w:rsidRPr="7B0CA740" w:rsidR="7D3AB54E">
        <w:rPr>
          <w:color w:val="000000" w:themeColor="text1"/>
        </w:rPr>
        <w:t xml:space="preserve">proper system categorization based on their risk level (low, moderate, or high), implementing required security controls, continuous monitoring, and annual reviews. OPM can also confirm that all FISMA requirements were met with this E-File ICR. Finally, under Section 208 of the E-Government Act of 2002, Federal agencies must conduct a Privacy Impact Assessment (PIA) before developing or procuring IT systems that collect, maintain, or disseminate Personally Identifiable Information (PII). We invite the commenter to go to </w:t>
      </w:r>
      <w:hyperlink r:id="rId5" w:anchor="url=PIAs">
        <w:r w:rsidRPr="7B0CA740" w:rsidR="27DBE66F">
          <w:rPr>
            <w:rStyle w:val="Hyperlink"/>
          </w:rPr>
          <w:t>https://www.opm.gov/privacy/#url=PIAs</w:t>
        </w:r>
      </w:hyperlink>
      <w:r w:rsidRPr="7B0CA740" w:rsidR="27DBE66F">
        <w:rPr>
          <w:color w:val="000000" w:themeColor="text1"/>
        </w:rPr>
        <w:t xml:space="preserve"> </w:t>
      </w:r>
      <w:r w:rsidRPr="7B0CA740" w:rsidR="720B17B2">
        <w:rPr>
          <w:color w:val="000000" w:themeColor="text1"/>
        </w:rPr>
        <w:t>and</w:t>
      </w:r>
      <w:r w:rsidRPr="7B0CA740" w:rsidR="7D3AB54E">
        <w:rPr>
          <w:color w:val="000000" w:themeColor="text1"/>
        </w:rPr>
        <w:t xml:space="preserve"> review the E-File PIA when it is published.</w:t>
      </w:r>
    </w:p>
    <w:p w:rsidR="00FF53EA" w:rsidP="008D064C" w14:paraId="1C601147" w14:textId="77777777">
      <w:pPr>
        <w:ind w:left="360"/>
        <w:rPr>
          <w:color w:val="000000" w:themeColor="text1"/>
        </w:rPr>
      </w:pPr>
    </w:p>
    <w:p w:rsidR="00FF53EA" w:rsidP="008D064C" w14:paraId="1AE72183" w14:textId="7B2784F2">
      <w:pPr>
        <w:ind w:left="360"/>
        <w:rPr>
          <w:color w:val="000000" w:themeColor="text1"/>
        </w:rPr>
      </w:pPr>
      <w:r w:rsidRPr="7B0CA740">
        <w:rPr>
          <w:color w:val="000000" w:themeColor="text1"/>
        </w:rPr>
        <w:t xml:space="preserve">Again, OPM thanks the commenter for their </w:t>
      </w:r>
      <w:r w:rsidRPr="7B0CA740" w:rsidR="203B67C4">
        <w:rPr>
          <w:color w:val="000000" w:themeColor="text1"/>
        </w:rPr>
        <w:t>submission,</w:t>
      </w:r>
      <w:r w:rsidRPr="7B0CA740">
        <w:rPr>
          <w:color w:val="000000" w:themeColor="text1"/>
        </w:rPr>
        <w:t xml:space="preserve"> but no additional action </w:t>
      </w:r>
      <w:r w:rsidRPr="7B0CA740" w:rsidR="7AD42E26">
        <w:rPr>
          <w:color w:val="000000" w:themeColor="text1"/>
        </w:rPr>
        <w:t>is</w:t>
      </w:r>
      <w:r w:rsidRPr="7B0CA740">
        <w:rPr>
          <w:color w:val="000000" w:themeColor="text1"/>
        </w:rPr>
        <w:t xml:space="preserve"> required on OPM’s part as all the legal requirements for this ICR have been met.</w:t>
      </w:r>
    </w:p>
    <w:p w:rsidR="005248D7" w:rsidRPr="00A273D2" w:rsidP="008D064C" w14:paraId="2E19BB2B" w14:textId="77777777">
      <w:pPr>
        <w:ind w:left="360"/>
        <w:rPr>
          <w:color w:val="000000" w:themeColor="text1"/>
        </w:rPr>
      </w:pPr>
    </w:p>
    <w:bookmarkEnd w:id="0"/>
    <w:p w:rsidR="00164D2D" w:rsidRPr="00EC7055" w:rsidP="00164D2D" w14:paraId="0FC3F972" w14:textId="77777777">
      <w:pPr>
        <w:numPr>
          <w:ilvl w:val="0"/>
          <w:numId w:val="1"/>
        </w:numPr>
        <w:rPr>
          <w:i/>
          <w:color w:val="000000" w:themeColor="text1"/>
          <w:szCs w:val="24"/>
          <w:highlight w:val="lightGray"/>
        </w:rPr>
      </w:pPr>
      <w:r w:rsidRPr="00EC7055">
        <w:rPr>
          <w:i/>
          <w:color w:val="000000" w:themeColor="text1"/>
          <w:szCs w:val="24"/>
          <w:highlight w:val="lightGray"/>
        </w:rPr>
        <w:t>Are payments or gifts given to the respondents?</w:t>
      </w:r>
    </w:p>
    <w:p w:rsidR="008D064C" w:rsidP="008D064C" w14:paraId="2448077A" w14:textId="77777777">
      <w:pPr>
        <w:spacing w:line="300" w:lineRule="atLeast"/>
        <w:ind w:left="360"/>
        <w:rPr>
          <w:szCs w:val="24"/>
        </w:rPr>
      </w:pPr>
      <w:r w:rsidRPr="00C1720A">
        <w:rPr>
          <w:szCs w:val="24"/>
        </w:rPr>
        <w:t>No payments, incentives, or gifts are provided to respondents.</w:t>
      </w:r>
    </w:p>
    <w:p w:rsidR="005248D7" w:rsidRPr="00C1720A" w:rsidP="008D064C" w14:paraId="45713860" w14:textId="77777777">
      <w:pPr>
        <w:spacing w:line="300" w:lineRule="atLeast"/>
        <w:ind w:left="360"/>
        <w:rPr>
          <w:szCs w:val="24"/>
        </w:rPr>
      </w:pPr>
    </w:p>
    <w:p w:rsidR="00164D2D" w:rsidRPr="00EC7055" w:rsidP="00164D2D" w14:paraId="39D42DDC" w14:textId="3B86DA4D">
      <w:pPr>
        <w:numPr>
          <w:ilvl w:val="0"/>
          <w:numId w:val="1"/>
        </w:numPr>
        <w:rPr>
          <w:i/>
          <w:color w:val="000000" w:themeColor="text1"/>
          <w:szCs w:val="24"/>
          <w:highlight w:val="lightGray"/>
        </w:rPr>
      </w:pPr>
      <w:r w:rsidRPr="00EC7055">
        <w:rPr>
          <w:i/>
          <w:color w:val="000000" w:themeColor="text1"/>
          <w:szCs w:val="24"/>
          <w:highlight w:val="lightGray"/>
        </w:rPr>
        <w:t xml:space="preserve">Describe </w:t>
      </w:r>
      <w:r w:rsidR="00CF3959">
        <w:rPr>
          <w:i/>
          <w:color w:val="000000" w:themeColor="text1"/>
          <w:szCs w:val="24"/>
          <w:highlight w:val="lightGray"/>
        </w:rPr>
        <w:t xml:space="preserve">any </w:t>
      </w:r>
      <w:r w:rsidRPr="00EC7055">
        <w:rPr>
          <w:i/>
          <w:color w:val="000000" w:themeColor="text1"/>
          <w:szCs w:val="24"/>
          <w:highlight w:val="lightGray"/>
        </w:rPr>
        <w:t>assurances of privacy/confidentiality</w:t>
      </w:r>
      <w:r w:rsidRPr="00EC7055" w:rsidR="004975F1">
        <w:rPr>
          <w:i/>
          <w:color w:val="000000" w:themeColor="text1"/>
          <w:szCs w:val="24"/>
          <w:highlight w:val="lightGray"/>
        </w:rPr>
        <w:t>. Cite specific privacy laws</w:t>
      </w:r>
      <w:r w:rsidR="00CF3959">
        <w:rPr>
          <w:i/>
          <w:color w:val="000000" w:themeColor="text1"/>
          <w:szCs w:val="24"/>
          <w:highlight w:val="lightGray"/>
        </w:rPr>
        <w:t>, relevant OPM regulations,</w:t>
      </w:r>
      <w:r w:rsidRPr="00EC7055" w:rsidR="004975F1">
        <w:rPr>
          <w:i/>
          <w:color w:val="000000" w:themeColor="text1"/>
          <w:szCs w:val="24"/>
          <w:highlight w:val="lightGray"/>
        </w:rPr>
        <w:t xml:space="preserve"> and SORNs</w:t>
      </w:r>
      <w:r w:rsidRPr="00EC7055" w:rsidR="0098184E">
        <w:rPr>
          <w:i/>
          <w:color w:val="000000" w:themeColor="text1"/>
          <w:szCs w:val="24"/>
          <w:highlight w:val="lightGray"/>
        </w:rPr>
        <w:t>.</w:t>
      </w:r>
    </w:p>
    <w:p w:rsidR="00E3269A" w:rsidRPr="00E3269A" w:rsidP="00E3269A" w14:paraId="568DC3A8" w14:textId="77777777">
      <w:pPr>
        <w:spacing w:line="300" w:lineRule="atLeast"/>
        <w:ind w:left="360"/>
        <w:rPr>
          <w:szCs w:val="24"/>
        </w:rPr>
      </w:pPr>
      <w:r w:rsidRPr="00E3269A">
        <w:rPr>
          <w:szCs w:val="24"/>
        </w:rPr>
        <w:t>Information submitted through OPM E-File will be maintained in accordance with the Privacy Act of 1974 and the applicable OPM system-of-records notice or notices, which will be identified before the collection is submitted for approval. Individuals will receive an appropriate Privacy Act statement at the point of collection explaining the authority and purposes for the collection, applicable disclosures, whether providing the information is mandatory or voluntary, and the consequences of not providing it.</w:t>
      </w:r>
    </w:p>
    <w:p w:rsidR="00E3269A" w:rsidRPr="00E3269A" w:rsidP="00E3269A" w14:paraId="1797DE19" w14:textId="77777777">
      <w:pPr>
        <w:spacing w:line="300" w:lineRule="atLeast"/>
        <w:ind w:left="360"/>
        <w:rPr>
          <w:szCs w:val="24"/>
        </w:rPr>
      </w:pPr>
    </w:p>
    <w:p w:rsidR="005248D7" w:rsidP="00E3269A" w14:paraId="0EDA191E" w14:textId="3830254C">
      <w:pPr>
        <w:spacing w:line="300" w:lineRule="atLeast"/>
        <w:ind w:left="360"/>
        <w:rPr>
          <w:szCs w:val="24"/>
        </w:rPr>
      </w:pPr>
      <w:r w:rsidRPr="00E3269A">
        <w:rPr>
          <w:szCs w:val="24"/>
        </w:rPr>
        <w:t xml:space="preserve">Access will be limited to authorized OPM employees and contractors who require the information to perform assigned duties. OPM will complete and publish the applicable Privacy Impact Assessment and complete the required system-security authorization process before operational collection begins. Information may be disclosed as authorized by the Privacy Act, the applicable SORN, and the regulations governing the </w:t>
      </w:r>
      <w:r w:rsidRPr="00E3269A">
        <w:rPr>
          <w:szCs w:val="24"/>
        </w:rPr>
        <w:t>particular appeal</w:t>
      </w:r>
      <w:r w:rsidRPr="00E3269A">
        <w:rPr>
          <w:szCs w:val="24"/>
        </w:rPr>
        <w:t xml:space="preserve"> or claim. Any program-specific confidentiality </w:t>
      </w:r>
      <w:r w:rsidRPr="00E3269A">
        <w:rPr>
          <w:szCs w:val="24"/>
        </w:rPr>
        <w:t>protections</w:t>
      </w:r>
      <w:r w:rsidRPr="00E3269A">
        <w:rPr>
          <w:szCs w:val="24"/>
        </w:rPr>
        <w:t>, including confidentiality requests in certain FLSA claims under 5 C.F.R. § 551.705(c), will be explained to affected individuals and administered in accordance with the governing requirements</w:t>
      </w:r>
    </w:p>
    <w:p w:rsidR="00E3269A" w:rsidRPr="00C1720A" w:rsidP="00E3269A" w14:paraId="2A724E68" w14:textId="77777777">
      <w:pPr>
        <w:spacing w:line="300" w:lineRule="atLeast"/>
        <w:ind w:left="360"/>
        <w:rPr>
          <w:szCs w:val="24"/>
        </w:rPr>
      </w:pPr>
    </w:p>
    <w:p w:rsidR="00164D2D" w:rsidRPr="000E7D65" w:rsidP="00C87B95" w14:paraId="3F3D111D" w14:textId="4721DBC8">
      <w:pPr>
        <w:pStyle w:val="BodyTextIndent"/>
        <w:numPr>
          <w:ilvl w:val="0"/>
          <w:numId w:val="1"/>
        </w:numPr>
        <w:jc w:val="left"/>
        <w:rPr>
          <w:highlight w:val="lightGray"/>
        </w:rPr>
      </w:pPr>
      <w:r w:rsidRPr="000E7D65">
        <w:rPr>
          <w:i/>
          <w:color w:val="000000" w:themeColor="text1"/>
          <w:highlight w:val="lightGray"/>
        </w:rPr>
        <w:t>Are any questions of a sensitive nature asked</w:t>
      </w:r>
      <w:r w:rsidRPr="000E7D65" w:rsidR="003A0B68">
        <w:rPr>
          <w:i/>
          <w:color w:val="000000" w:themeColor="text1"/>
          <w:highlight w:val="lightGray"/>
        </w:rPr>
        <w:t>, such as sexual behavior and attitudes, religious beliefs, and other matters that are commonly considered private</w:t>
      </w:r>
      <w:r w:rsidRPr="000E7D65">
        <w:rPr>
          <w:i/>
          <w:color w:val="000000" w:themeColor="text1"/>
          <w:highlight w:val="lightGray"/>
        </w:rPr>
        <w:t>?</w:t>
      </w:r>
      <w:r w:rsidRPr="000E7D65" w:rsidR="00D817B3">
        <w:rPr>
          <w:i/>
          <w:highlight w:val="lightGray"/>
        </w:rPr>
        <w:t xml:space="preserve"> </w:t>
      </w:r>
      <w:r w:rsidRPr="000E7D65" w:rsidR="002C288B">
        <w:rPr>
          <w:i/>
          <w:highlight w:val="lightGray"/>
        </w:rPr>
        <w:t>If yes, p</w:t>
      </w:r>
      <w:r w:rsidRPr="000E7D65" w:rsidR="00D817B3">
        <w:rPr>
          <w:i/>
          <w:color w:val="000000" w:themeColor="text1"/>
          <w:highlight w:val="lightGray"/>
        </w:rPr>
        <w:t xml:space="preserve">rovide justification. This justification should include the reasons why the agency considers the questions necessary, the specific uses to be made of the information, the explanation to be given to </w:t>
      </w:r>
      <w:r w:rsidRPr="000E7D65" w:rsidR="00D817B3">
        <w:rPr>
          <w:i/>
          <w:color w:val="000000" w:themeColor="text1"/>
          <w:highlight w:val="lightGray"/>
        </w:rPr>
        <w:t>persons</w:t>
      </w:r>
      <w:r w:rsidRPr="000E7D65" w:rsidR="00D817B3">
        <w:rPr>
          <w:i/>
          <w:color w:val="000000" w:themeColor="text1"/>
          <w:highlight w:val="lightGray"/>
        </w:rPr>
        <w:t xml:space="preserve"> from whom the information is requested, and any steps to be taken to obtain their consent.</w:t>
      </w:r>
    </w:p>
    <w:p w:rsidR="008D064C" w:rsidRPr="005248D7" w:rsidP="008D064C" w14:paraId="7D3A67F5" w14:textId="59E386F8">
      <w:pPr>
        <w:spacing w:line="300" w:lineRule="atLeast"/>
        <w:ind w:left="360"/>
        <w:rPr>
          <w:szCs w:val="24"/>
        </w:rPr>
      </w:pPr>
      <w:r w:rsidRPr="005248D7">
        <w:rPr>
          <w:szCs w:val="24"/>
        </w:rPr>
        <w:t xml:space="preserve">No. The collection does not request information related to sexual behavior, religious beliefs, or similarly sensitive matters. Questions are limited to information necessary for adjudicating </w:t>
      </w:r>
      <w:r w:rsidR="00A90D11">
        <w:rPr>
          <w:szCs w:val="24"/>
        </w:rPr>
        <w:t>claims and</w:t>
      </w:r>
      <w:r w:rsidRPr="005248D7">
        <w:rPr>
          <w:szCs w:val="24"/>
        </w:rPr>
        <w:t xml:space="preserve"> appeals</w:t>
      </w:r>
      <w:r w:rsidR="00A90D11">
        <w:rPr>
          <w:szCs w:val="24"/>
        </w:rPr>
        <w:t>.</w:t>
      </w:r>
    </w:p>
    <w:p w:rsidR="00AF2C24" w:rsidP="008D064C" w14:paraId="0231B81D" w14:textId="77777777">
      <w:pPr>
        <w:pStyle w:val="BodyTextIndent"/>
        <w:tabs>
          <w:tab w:val="clear" w:pos="720"/>
        </w:tabs>
        <w:ind w:left="0"/>
        <w:jc w:val="left"/>
      </w:pPr>
    </w:p>
    <w:p w:rsidR="00164D2D" w:rsidP="00164D2D" w14:paraId="2A0F077D" w14:textId="12812CB1">
      <w:pPr>
        <w:numPr>
          <w:ilvl w:val="0"/>
          <w:numId w:val="1"/>
        </w:numPr>
        <w:rPr>
          <w:i/>
          <w:color w:val="000000" w:themeColor="text1"/>
          <w:szCs w:val="24"/>
          <w:highlight w:val="lightGray"/>
        </w:rPr>
      </w:pPr>
      <w:r w:rsidRPr="000E7D65">
        <w:rPr>
          <w:i/>
          <w:color w:val="000000" w:themeColor="text1"/>
          <w:szCs w:val="24"/>
          <w:highlight w:val="lightGray"/>
        </w:rPr>
        <w:t>Describe the hour time burden and the hour cost burden on the respondent needed to complete this collection.</w:t>
      </w:r>
      <w:r w:rsidRPr="000E7D65" w:rsidR="00F07772">
        <w:rPr>
          <w:i/>
          <w:color w:val="000000" w:themeColor="text1"/>
          <w:szCs w:val="24"/>
          <w:highlight w:val="lightGray"/>
        </w:rPr>
        <w:t xml:space="preserve"> Please specify </w:t>
      </w:r>
      <w:r w:rsidRPr="000E7D65" w:rsidR="0019458A">
        <w:rPr>
          <w:i/>
          <w:color w:val="000000" w:themeColor="text1"/>
          <w:szCs w:val="24"/>
          <w:highlight w:val="lightGray"/>
        </w:rPr>
        <w:t xml:space="preserve">hourly salary for </w:t>
      </w:r>
      <w:r w:rsidRPr="000E7D65" w:rsidR="009618D0">
        <w:rPr>
          <w:i/>
          <w:color w:val="000000" w:themeColor="text1"/>
          <w:szCs w:val="24"/>
          <w:highlight w:val="lightGray"/>
        </w:rPr>
        <w:t>your</w:t>
      </w:r>
      <w:r w:rsidRPr="000E7D65" w:rsidR="0019458A">
        <w:rPr>
          <w:i/>
          <w:color w:val="000000" w:themeColor="text1"/>
          <w:szCs w:val="24"/>
          <w:highlight w:val="lightGray"/>
        </w:rPr>
        <w:t xml:space="preserve"> respondent audience </w:t>
      </w:r>
      <w:r w:rsidRPr="000E7D65" w:rsidR="00497226">
        <w:rPr>
          <w:i/>
          <w:color w:val="000000" w:themeColor="text1"/>
          <w:szCs w:val="24"/>
          <w:highlight w:val="lightGray"/>
        </w:rPr>
        <w:t>by r</w:t>
      </w:r>
      <w:r w:rsidRPr="000E7D65" w:rsidR="007418C9">
        <w:rPr>
          <w:i/>
          <w:color w:val="000000" w:themeColor="text1"/>
          <w:szCs w:val="24"/>
          <w:highlight w:val="lightGray"/>
        </w:rPr>
        <w:t>eferenc</w:t>
      </w:r>
      <w:r w:rsidRPr="000E7D65" w:rsidR="00497226">
        <w:rPr>
          <w:i/>
          <w:color w:val="000000" w:themeColor="text1"/>
          <w:szCs w:val="24"/>
          <w:highlight w:val="lightGray"/>
        </w:rPr>
        <w:t>ing</w:t>
      </w:r>
      <w:r w:rsidRPr="000E7D65" w:rsidR="007418C9">
        <w:rPr>
          <w:i/>
          <w:color w:val="000000" w:themeColor="text1"/>
          <w:szCs w:val="24"/>
          <w:highlight w:val="lightGray"/>
        </w:rPr>
        <w:t xml:space="preserve"> </w:t>
      </w:r>
      <w:hyperlink r:id="rId6" w:history="1">
        <w:r w:rsidRPr="000E7D65" w:rsidR="007418C9">
          <w:rPr>
            <w:rStyle w:val="Hyperlink"/>
            <w:i/>
            <w:szCs w:val="24"/>
            <w:highlight w:val="lightGray"/>
          </w:rPr>
          <w:t xml:space="preserve">Bureau of Labor Statistics Occupational </w:t>
        </w:r>
        <w:r w:rsidRPr="000E7D65" w:rsidR="00CD599F">
          <w:rPr>
            <w:rStyle w:val="Hyperlink"/>
            <w:i/>
            <w:szCs w:val="24"/>
            <w:highlight w:val="lightGray"/>
          </w:rPr>
          <w:t>Employment and Wage Estimates</w:t>
        </w:r>
      </w:hyperlink>
      <w:r w:rsidRPr="000E7D65" w:rsidR="009618D0">
        <w:rPr>
          <w:i/>
          <w:color w:val="000000" w:themeColor="text1"/>
          <w:szCs w:val="24"/>
          <w:highlight w:val="lightGray"/>
        </w:rPr>
        <w:t xml:space="preserve"> or other alternative wage site</w:t>
      </w:r>
      <w:r w:rsidRPr="000E7D65" w:rsidR="00CD599F">
        <w:rPr>
          <w:i/>
          <w:color w:val="000000" w:themeColor="text1"/>
          <w:szCs w:val="24"/>
          <w:highlight w:val="lightGray"/>
        </w:rPr>
        <w:t>, when applicable.</w:t>
      </w:r>
    </w:p>
    <w:p w:rsidR="004328C0" w:rsidRPr="00543088" w:rsidP="568408D1" w14:paraId="0BA5B4F4" w14:textId="374A3237">
      <w:pPr>
        <w:spacing w:after="0"/>
        <w:ind w:left="360"/>
        <w:rPr>
          <w:i/>
          <w:color w:val="000000" w:themeColor="text1"/>
          <w:szCs w:val="24"/>
          <w:highlight w:val="lightGray"/>
        </w:rPr>
      </w:pPr>
    </w:p>
    <w:tbl>
      <w:tblPr>
        <w:tblpPr w:leftFromText="180" w:rightFromText="180" w:vertAnchor="text" w:horzAnchor="margin" w:tblpXSpec="center" w:tblpY="226"/>
        <w:tblW w:w="951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tblPr>
      <w:tblGrid>
        <w:gridCol w:w="1335"/>
        <w:gridCol w:w="1560"/>
        <w:gridCol w:w="1860"/>
        <w:gridCol w:w="1607"/>
        <w:gridCol w:w="1313"/>
        <w:gridCol w:w="1839"/>
      </w:tblGrid>
      <w:tr w14:paraId="63D1E79E" w14:textId="77777777" w:rsidTr="7B0CA740">
        <w:tblPrEx>
          <w:tblW w:w="951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tblPrEx>
        <w:trPr>
          <w:trHeight w:val="980"/>
        </w:trPr>
        <w:tc>
          <w:tcPr>
            <w:tcW w:w="1335" w:type="dxa"/>
            <w:shd w:val="clear" w:color="auto" w:fill="D9D9D9" w:themeFill="background1" w:themeFillShade="D9"/>
          </w:tcPr>
          <w:p w:rsidR="002F00E8" w:rsidRPr="00CE2578" w:rsidP="000E18DD" w14:paraId="6F1BA1AC" w14:textId="20979C9A">
            <w:pPr>
              <w:pStyle w:val="TableParagraph"/>
              <w:ind w:right="111"/>
              <w:jc w:val="center"/>
              <w:rPr>
                <w:rFonts w:ascii="Times New Roman" w:eastAsia="Times New Roman" w:hAnsi="Times New Roman" w:cs="Times New Roman"/>
                <w:b/>
                <w:sz w:val="20"/>
                <w:szCs w:val="20"/>
              </w:rPr>
            </w:pPr>
            <w:r w:rsidRPr="00CE2578">
              <w:rPr>
                <w:rFonts w:ascii="Times New Roman" w:eastAsia="Times New Roman" w:hAnsi="Times New Roman" w:cs="Times New Roman"/>
                <w:b/>
                <w:bCs/>
                <w:sz w:val="20"/>
                <w:szCs w:val="20"/>
              </w:rPr>
              <w:t>Type of Action</w:t>
            </w:r>
          </w:p>
        </w:tc>
        <w:tc>
          <w:tcPr>
            <w:tcW w:w="1560" w:type="dxa"/>
            <w:shd w:val="clear" w:color="auto" w:fill="D9D9D9" w:themeFill="background1" w:themeFillShade="D9"/>
          </w:tcPr>
          <w:p w:rsidR="002F00E8" w:rsidRPr="00CE2578" w:rsidP="000E18DD" w14:paraId="76641FD4" w14:textId="77777777">
            <w:pPr>
              <w:pStyle w:val="TableParagraph"/>
              <w:ind w:left="468" w:right="89"/>
              <w:jc w:val="center"/>
              <w:rPr>
                <w:rFonts w:ascii="Times New Roman" w:eastAsia="Times New Roman" w:hAnsi="Times New Roman" w:cs="Times New Roman"/>
                <w:b/>
                <w:sz w:val="20"/>
                <w:szCs w:val="20"/>
              </w:rPr>
            </w:pPr>
            <w:r w:rsidRPr="00CE2578">
              <w:rPr>
                <w:rFonts w:ascii="Times New Roman" w:eastAsia="Times New Roman" w:hAnsi="Times New Roman" w:cs="Times New Roman"/>
                <w:b/>
                <w:sz w:val="20"/>
                <w:szCs w:val="20"/>
              </w:rPr>
              <w:t>No. of</w:t>
            </w:r>
            <w:r w:rsidRPr="00CE2578">
              <w:rPr>
                <w:rFonts w:ascii="Times New Roman" w:eastAsia="Times New Roman" w:hAnsi="Times New Roman" w:cs="Times New Roman"/>
                <w:b/>
                <w:spacing w:val="1"/>
                <w:sz w:val="20"/>
                <w:szCs w:val="20"/>
              </w:rPr>
              <w:t xml:space="preserve"> </w:t>
            </w:r>
            <w:r w:rsidRPr="00CE2578">
              <w:rPr>
                <w:rFonts w:ascii="Times New Roman" w:eastAsia="Times New Roman" w:hAnsi="Times New Roman" w:cs="Times New Roman"/>
                <w:b/>
                <w:sz w:val="20"/>
                <w:szCs w:val="20"/>
              </w:rPr>
              <w:t>Respondents</w:t>
            </w:r>
          </w:p>
        </w:tc>
        <w:tc>
          <w:tcPr>
            <w:tcW w:w="1860" w:type="dxa"/>
            <w:shd w:val="clear" w:color="auto" w:fill="D9D9D9" w:themeFill="background1" w:themeFillShade="D9"/>
          </w:tcPr>
          <w:p w:rsidR="002F00E8" w:rsidRPr="00CE2578" w:rsidP="000E18DD" w14:paraId="7A2602BF" w14:textId="77777777">
            <w:pPr>
              <w:pStyle w:val="TableParagraph"/>
              <w:ind w:right="133"/>
              <w:jc w:val="center"/>
              <w:rPr>
                <w:rFonts w:ascii="Times New Roman" w:eastAsia="Times New Roman" w:hAnsi="Times New Roman" w:cs="Times New Roman"/>
                <w:b/>
                <w:sz w:val="20"/>
                <w:szCs w:val="20"/>
              </w:rPr>
            </w:pPr>
            <w:r w:rsidRPr="00CE2578">
              <w:rPr>
                <w:rFonts w:ascii="Times New Roman" w:eastAsia="Times New Roman" w:hAnsi="Times New Roman" w:cs="Times New Roman"/>
                <w:b/>
                <w:sz w:val="20"/>
                <w:szCs w:val="20"/>
              </w:rPr>
              <w:t>Average</w:t>
            </w:r>
            <w:r w:rsidRPr="00CE2578">
              <w:rPr>
                <w:rFonts w:ascii="Times New Roman" w:eastAsia="Times New Roman" w:hAnsi="Times New Roman" w:cs="Times New Roman"/>
                <w:b/>
                <w:spacing w:val="1"/>
                <w:sz w:val="20"/>
                <w:szCs w:val="20"/>
              </w:rPr>
              <w:t xml:space="preserve"> </w:t>
            </w:r>
            <w:r w:rsidRPr="00CE2578">
              <w:rPr>
                <w:rFonts w:ascii="Times New Roman" w:eastAsia="Times New Roman" w:hAnsi="Times New Roman" w:cs="Times New Roman"/>
                <w:b/>
                <w:sz w:val="20"/>
                <w:szCs w:val="20"/>
              </w:rPr>
              <w:t>Burden</w:t>
            </w:r>
            <w:r w:rsidRPr="00CE2578">
              <w:rPr>
                <w:rFonts w:ascii="Times New Roman" w:eastAsia="Times New Roman" w:hAnsi="Times New Roman" w:cs="Times New Roman"/>
                <w:b/>
                <w:spacing w:val="1"/>
                <w:sz w:val="20"/>
                <w:szCs w:val="20"/>
              </w:rPr>
              <w:t xml:space="preserve"> </w:t>
            </w:r>
            <w:r w:rsidRPr="00CE2578">
              <w:rPr>
                <w:rFonts w:ascii="Times New Roman" w:eastAsia="Times New Roman" w:hAnsi="Times New Roman" w:cs="Times New Roman"/>
                <w:b/>
                <w:sz w:val="20"/>
                <w:szCs w:val="20"/>
              </w:rPr>
              <w:t>per</w:t>
            </w:r>
            <w:r w:rsidRPr="00CE2578">
              <w:rPr>
                <w:rFonts w:ascii="Times New Roman" w:eastAsia="Times New Roman" w:hAnsi="Times New Roman" w:cs="Times New Roman"/>
                <w:b/>
                <w:spacing w:val="1"/>
                <w:sz w:val="20"/>
                <w:szCs w:val="20"/>
              </w:rPr>
              <w:t xml:space="preserve"> </w:t>
            </w:r>
            <w:r w:rsidRPr="00CE2578">
              <w:rPr>
                <w:rFonts w:ascii="Times New Roman" w:eastAsia="Times New Roman" w:hAnsi="Times New Roman" w:cs="Times New Roman"/>
                <w:b/>
                <w:sz w:val="20"/>
                <w:szCs w:val="20"/>
              </w:rPr>
              <w:t>Response</w:t>
            </w:r>
          </w:p>
          <w:p w:rsidR="002F00E8" w:rsidRPr="00CE2578" w:rsidP="000E18DD" w14:paraId="1F44479C" w14:textId="77777777">
            <w:pPr>
              <w:pStyle w:val="TableParagraph"/>
              <w:spacing w:before="1" w:line="227" w:lineRule="exact"/>
              <w:jc w:val="center"/>
              <w:rPr>
                <w:rFonts w:ascii="Times New Roman" w:eastAsia="Times New Roman" w:hAnsi="Times New Roman" w:cs="Times New Roman"/>
                <w:b/>
                <w:sz w:val="20"/>
                <w:szCs w:val="20"/>
              </w:rPr>
            </w:pPr>
            <w:r w:rsidRPr="00CE2578">
              <w:rPr>
                <w:rFonts w:ascii="Times New Roman" w:eastAsia="Times New Roman" w:hAnsi="Times New Roman" w:cs="Times New Roman"/>
                <w:b/>
                <w:sz w:val="20"/>
                <w:szCs w:val="20"/>
              </w:rPr>
              <w:t>(in</w:t>
            </w:r>
            <w:r w:rsidRPr="00CE2578">
              <w:rPr>
                <w:rFonts w:ascii="Times New Roman" w:eastAsia="Times New Roman" w:hAnsi="Times New Roman" w:cs="Times New Roman"/>
                <w:b/>
                <w:spacing w:val="-1"/>
                <w:sz w:val="20"/>
                <w:szCs w:val="20"/>
              </w:rPr>
              <w:t xml:space="preserve"> </w:t>
            </w:r>
            <w:r w:rsidRPr="00CE2578">
              <w:rPr>
                <w:rFonts w:ascii="Times New Roman" w:eastAsia="Times New Roman" w:hAnsi="Times New Roman" w:cs="Times New Roman"/>
                <w:b/>
                <w:sz w:val="20"/>
                <w:szCs w:val="20"/>
              </w:rPr>
              <w:t>hours)</w:t>
            </w:r>
          </w:p>
        </w:tc>
        <w:tc>
          <w:tcPr>
            <w:tcW w:w="1607" w:type="dxa"/>
            <w:shd w:val="clear" w:color="auto" w:fill="D9D9D9" w:themeFill="background1" w:themeFillShade="D9"/>
          </w:tcPr>
          <w:p w:rsidR="002F00E8" w:rsidRPr="00CE2578" w:rsidP="000E18DD" w14:paraId="197BE6A5" w14:textId="77777777">
            <w:pPr>
              <w:pStyle w:val="TableParagraph"/>
              <w:ind w:right="159"/>
              <w:jc w:val="center"/>
              <w:rPr>
                <w:rFonts w:ascii="Times New Roman" w:eastAsia="Times New Roman" w:hAnsi="Times New Roman" w:cs="Times New Roman"/>
                <w:b/>
                <w:sz w:val="20"/>
                <w:szCs w:val="20"/>
              </w:rPr>
            </w:pPr>
            <w:r w:rsidRPr="00CE2578">
              <w:rPr>
                <w:rFonts w:ascii="Times New Roman" w:eastAsia="Times New Roman" w:hAnsi="Times New Roman" w:cs="Times New Roman"/>
                <w:b/>
                <w:sz w:val="20"/>
                <w:szCs w:val="20"/>
              </w:rPr>
              <w:t>Total</w:t>
            </w:r>
            <w:r w:rsidRPr="00CE2578">
              <w:rPr>
                <w:rFonts w:ascii="Times New Roman" w:eastAsia="Times New Roman" w:hAnsi="Times New Roman" w:cs="Times New Roman"/>
                <w:b/>
                <w:spacing w:val="1"/>
                <w:sz w:val="20"/>
                <w:szCs w:val="20"/>
              </w:rPr>
              <w:t xml:space="preserve"> </w:t>
            </w:r>
            <w:r w:rsidRPr="00CE2578">
              <w:rPr>
                <w:rFonts w:ascii="Times New Roman" w:eastAsia="Times New Roman" w:hAnsi="Times New Roman" w:cs="Times New Roman"/>
                <w:b/>
                <w:sz w:val="20"/>
                <w:szCs w:val="20"/>
              </w:rPr>
              <w:t>Annual</w:t>
            </w:r>
            <w:r w:rsidRPr="00CE2578">
              <w:rPr>
                <w:rFonts w:ascii="Times New Roman" w:eastAsia="Times New Roman" w:hAnsi="Times New Roman" w:cs="Times New Roman"/>
                <w:b/>
                <w:spacing w:val="-52"/>
                <w:sz w:val="20"/>
                <w:szCs w:val="20"/>
              </w:rPr>
              <w:t xml:space="preserve"> </w:t>
            </w:r>
            <w:r w:rsidRPr="00CE2578">
              <w:rPr>
                <w:rFonts w:ascii="Times New Roman" w:eastAsia="Times New Roman" w:hAnsi="Times New Roman" w:cs="Times New Roman"/>
                <w:b/>
                <w:sz w:val="20"/>
                <w:szCs w:val="20"/>
              </w:rPr>
              <w:t>Burden</w:t>
            </w:r>
            <w:r w:rsidRPr="00CE2578">
              <w:rPr>
                <w:rFonts w:ascii="Times New Roman" w:eastAsia="Times New Roman" w:hAnsi="Times New Roman" w:cs="Times New Roman"/>
                <w:b/>
                <w:spacing w:val="-52"/>
                <w:sz w:val="20"/>
                <w:szCs w:val="20"/>
              </w:rPr>
              <w:t xml:space="preserve"> </w:t>
            </w:r>
            <w:r w:rsidRPr="00CE2578">
              <w:rPr>
                <w:rFonts w:ascii="Times New Roman" w:eastAsia="Times New Roman" w:hAnsi="Times New Roman" w:cs="Times New Roman"/>
                <w:b/>
                <w:sz w:val="20"/>
                <w:szCs w:val="20"/>
              </w:rPr>
              <w:t>(in</w:t>
            </w:r>
          </w:p>
          <w:p w:rsidR="002F00E8" w:rsidRPr="00CE2578" w:rsidP="000E18DD" w14:paraId="414BF98B" w14:textId="77777777">
            <w:pPr>
              <w:pStyle w:val="TableParagraph"/>
              <w:spacing w:before="1" w:line="227" w:lineRule="exact"/>
              <w:jc w:val="center"/>
              <w:rPr>
                <w:rFonts w:ascii="Times New Roman" w:eastAsia="Times New Roman" w:hAnsi="Times New Roman" w:cs="Times New Roman"/>
                <w:b/>
                <w:sz w:val="20"/>
                <w:szCs w:val="20"/>
              </w:rPr>
            </w:pPr>
            <w:r w:rsidRPr="00CE2578">
              <w:rPr>
                <w:rFonts w:ascii="Times New Roman" w:eastAsia="Times New Roman" w:hAnsi="Times New Roman" w:cs="Times New Roman"/>
                <w:b/>
                <w:sz w:val="20"/>
                <w:szCs w:val="20"/>
              </w:rPr>
              <w:t>hours)</w:t>
            </w:r>
          </w:p>
        </w:tc>
        <w:tc>
          <w:tcPr>
            <w:tcW w:w="1313" w:type="dxa"/>
            <w:shd w:val="clear" w:color="auto" w:fill="D9D9D9" w:themeFill="background1" w:themeFillShade="D9"/>
          </w:tcPr>
          <w:p w:rsidR="002F00E8" w:rsidRPr="00CE2578" w:rsidP="000E18DD" w14:paraId="1AB12CC7" w14:textId="4F654838">
            <w:pPr>
              <w:pStyle w:val="TableParagraph"/>
              <w:ind w:right="100"/>
              <w:jc w:val="center"/>
              <w:rPr>
                <w:rFonts w:ascii="Times New Roman" w:eastAsia="Times New Roman" w:hAnsi="Times New Roman" w:cs="Times New Roman"/>
                <w:b/>
                <w:sz w:val="20"/>
                <w:szCs w:val="20"/>
              </w:rPr>
            </w:pPr>
            <w:r w:rsidRPr="00CE2578">
              <w:rPr>
                <w:rFonts w:ascii="Times New Roman" w:eastAsia="Times New Roman" w:hAnsi="Times New Roman" w:cs="Times New Roman"/>
                <w:b/>
                <w:bCs/>
                <w:sz w:val="20"/>
                <w:szCs w:val="20"/>
              </w:rPr>
              <w:t>Ave</w:t>
            </w:r>
            <w:r w:rsidRPr="00CE2578" w:rsidR="5816416B">
              <w:rPr>
                <w:rFonts w:ascii="Times New Roman" w:eastAsia="Times New Roman" w:hAnsi="Times New Roman" w:cs="Times New Roman"/>
                <w:b/>
                <w:bCs/>
                <w:sz w:val="20"/>
                <w:szCs w:val="20"/>
              </w:rPr>
              <w:t>rage</w:t>
            </w:r>
            <w:r w:rsidRPr="00CE2578">
              <w:rPr>
                <w:rFonts w:ascii="Times New Roman" w:eastAsia="Times New Roman" w:hAnsi="Times New Roman" w:cs="Times New Roman"/>
                <w:b/>
                <w:spacing w:val="1"/>
                <w:sz w:val="20"/>
                <w:szCs w:val="20"/>
              </w:rPr>
              <w:t xml:space="preserve"> </w:t>
            </w:r>
            <w:r w:rsidRPr="00CE2578">
              <w:rPr>
                <w:rFonts w:ascii="Times New Roman" w:eastAsia="Times New Roman" w:hAnsi="Times New Roman" w:cs="Times New Roman"/>
                <w:b/>
                <w:sz w:val="20"/>
                <w:szCs w:val="20"/>
              </w:rPr>
              <w:t>Hourly</w:t>
            </w:r>
            <w:r w:rsidRPr="00CE2578">
              <w:rPr>
                <w:rFonts w:ascii="Times New Roman" w:eastAsia="Times New Roman" w:hAnsi="Times New Roman" w:cs="Times New Roman"/>
                <w:b/>
                <w:spacing w:val="-52"/>
                <w:sz w:val="20"/>
                <w:szCs w:val="20"/>
              </w:rPr>
              <w:t xml:space="preserve"> </w:t>
            </w:r>
            <w:r w:rsidRPr="00CE2578">
              <w:rPr>
                <w:rFonts w:ascii="Times New Roman" w:eastAsia="Times New Roman" w:hAnsi="Times New Roman" w:cs="Times New Roman"/>
                <w:b/>
                <w:sz w:val="20"/>
                <w:szCs w:val="20"/>
              </w:rPr>
              <w:t>Wage</w:t>
            </w:r>
            <w:r w:rsidRPr="00CE2578">
              <w:rPr>
                <w:rFonts w:ascii="Times New Roman" w:eastAsia="Times New Roman" w:hAnsi="Times New Roman" w:cs="Times New Roman"/>
                <w:b/>
                <w:spacing w:val="1"/>
                <w:sz w:val="20"/>
                <w:szCs w:val="20"/>
              </w:rPr>
              <w:t xml:space="preserve"> </w:t>
            </w:r>
            <w:r w:rsidRPr="00CE2578">
              <w:rPr>
                <w:rFonts w:ascii="Times New Roman" w:eastAsia="Times New Roman" w:hAnsi="Times New Roman" w:cs="Times New Roman"/>
                <w:b/>
                <w:sz w:val="20"/>
                <w:szCs w:val="20"/>
              </w:rPr>
              <w:t>Rate</w:t>
            </w:r>
          </w:p>
        </w:tc>
        <w:tc>
          <w:tcPr>
            <w:tcW w:w="1839" w:type="dxa"/>
            <w:shd w:val="clear" w:color="auto" w:fill="D9D9D9" w:themeFill="background1" w:themeFillShade="D9"/>
          </w:tcPr>
          <w:p w:rsidR="002F00E8" w:rsidRPr="00CE2578" w:rsidP="000E18DD" w14:paraId="1A0F9B9F" w14:textId="77777777">
            <w:pPr>
              <w:pStyle w:val="TableParagraph"/>
              <w:ind w:right="321"/>
              <w:jc w:val="center"/>
              <w:rPr>
                <w:rFonts w:ascii="Times New Roman" w:eastAsia="Times New Roman" w:hAnsi="Times New Roman" w:cs="Times New Roman"/>
                <w:b/>
                <w:sz w:val="20"/>
                <w:szCs w:val="20"/>
              </w:rPr>
            </w:pPr>
            <w:r w:rsidRPr="00CE2578">
              <w:rPr>
                <w:rFonts w:ascii="Times New Roman" w:eastAsia="Times New Roman" w:hAnsi="Times New Roman" w:cs="Times New Roman"/>
                <w:b/>
                <w:sz w:val="20"/>
                <w:szCs w:val="20"/>
              </w:rPr>
              <w:t>Total</w:t>
            </w:r>
            <w:r w:rsidRPr="00CE2578">
              <w:rPr>
                <w:rFonts w:ascii="Times New Roman" w:eastAsia="Times New Roman" w:hAnsi="Times New Roman" w:cs="Times New Roman"/>
                <w:b/>
                <w:spacing w:val="1"/>
                <w:sz w:val="20"/>
                <w:szCs w:val="20"/>
              </w:rPr>
              <w:t xml:space="preserve"> </w:t>
            </w:r>
            <w:r w:rsidRPr="00CE2578">
              <w:rPr>
                <w:rFonts w:ascii="Times New Roman" w:eastAsia="Times New Roman" w:hAnsi="Times New Roman" w:cs="Times New Roman"/>
                <w:b/>
                <w:sz w:val="20"/>
                <w:szCs w:val="20"/>
              </w:rPr>
              <w:t>Annual</w:t>
            </w:r>
            <w:r w:rsidRPr="00CE2578">
              <w:rPr>
                <w:rFonts w:ascii="Times New Roman" w:eastAsia="Times New Roman" w:hAnsi="Times New Roman" w:cs="Times New Roman"/>
                <w:b/>
                <w:spacing w:val="1"/>
                <w:sz w:val="20"/>
                <w:szCs w:val="20"/>
              </w:rPr>
              <w:t xml:space="preserve"> </w:t>
            </w:r>
            <w:r w:rsidRPr="00CE2578">
              <w:rPr>
                <w:rFonts w:ascii="Times New Roman" w:eastAsia="Times New Roman" w:hAnsi="Times New Roman" w:cs="Times New Roman"/>
                <w:b/>
                <w:sz w:val="20"/>
                <w:szCs w:val="20"/>
              </w:rPr>
              <w:t>Respondent</w:t>
            </w:r>
            <w:r w:rsidRPr="00CE2578">
              <w:rPr>
                <w:rFonts w:ascii="Times New Roman" w:eastAsia="Times New Roman" w:hAnsi="Times New Roman" w:cs="Times New Roman"/>
                <w:b/>
                <w:spacing w:val="-52"/>
                <w:sz w:val="20"/>
                <w:szCs w:val="20"/>
              </w:rPr>
              <w:t xml:space="preserve"> </w:t>
            </w:r>
            <w:r w:rsidRPr="00CE2578">
              <w:rPr>
                <w:rFonts w:ascii="Times New Roman" w:eastAsia="Times New Roman" w:hAnsi="Times New Roman" w:cs="Times New Roman"/>
                <w:b/>
                <w:sz w:val="20"/>
                <w:szCs w:val="20"/>
              </w:rPr>
              <w:t>Cost</w:t>
            </w:r>
          </w:p>
        </w:tc>
      </w:tr>
      <w:tr w14:paraId="795876C1" w14:textId="77777777" w:rsidTr="7B0CA740">
        <w:tblPrEx>
          <w:tblW w:w="9514" w:type="dxa"/>
          <w:tblLayout w:type="fixed"/>
          <w:tblCellMar>
            <w:left w:w="0" w:type="dxa"/>
            <w:right w:w="0" w:type="dxa"/>
          </w:tblCellMar>
          <w:tblLook w:val="01E0"/>
        </w:tblPrEx>
        <w:trPr>
          <w:trHeight w:val="497"/>
        </w:trPr>
        <w:tc>
          <w:tcPr>
            <w:tcW w:w="1335" w:type="dxa"/>
          </w:tcPr>
          <w:p w:rsidR="00852654" w:rsidRPr="00CE2578" w:rsidP="000E18DD" w14:paraId="06AF95D5" w14:textId="0A751ECA">
            <w:pPr>
              <w:jc w:val="center"/>
              <w:rPr>
                <w:sz w:val="20"/>
              </w:rPr>
            </w:pPr>
            <w:r w:rsidRPr="00CE2578">
              <w:rPr>
                <w:sz w:val="20"/>
              </w:rPr>
              <w:t>Suitability Appeal</w:t>
            </w:r>
            <w:r w:rsidRPr="00CE2578" w:rsidR="005B3C72">
              <w:rPr>
                <w:sz w:val="20"/>
              </w:rPr>
              <w:t>s</w:t>
            </w:r>
          </w:p>
        </w:tc>
        <w:tc>
          <w:tcPr>
            <w:tcW w:w="1560" w:type="dxa"/>
          </w:tcPr>
          <w:p w:rsidR="00852654" w:rsidRPr="00CE2578" w:rsidP="000E18DD" w14:paraId="2BB9EF1B" w14:textId="24140A2E">
            <w:pPr>
              <w:pStyle w:val="TableParagraph"/>
              <w:spacing w:before="1"/>
              <w:ind w:left="468"/>
              <w:jc w:val="center"/>
              <w:rPr>
                <w:rFonts w:ascii="Times New Roman" w:eastAsia="Times New Roman" w:hAnsi="Times New Roman" w:cs="Times New Roman"/>
                <w:sz w:val="20"/>
                <w:szCs w:val="20"/>
              </w:rPr>
            </w:pPr>
            <w:r w:rsidRPr="00CE2578">
              <w:rPr>
                <w:rFonts w:ascii="Times New Roman" w:eastAsia="Times New Roman" w:hAnsi="Times New Roman" w:cs="Times New Roman"/>
                <w:sz w:val="20"/>
                <w:szCs w:val="20"/>
              </w:rPr>
              <w:t>318</w:t>
            </w:r>
          </w:p>
        </w:tc>
        <w:tc>
          <w:tcPr>
            <w:tcW w:w="1860" w:type="dxa"/>
          </w:tcPr>
          <w:p w:rsidR="00852654" w:rsidRPr="00CE2578" w:rsidP="000E18DD" w14:paraId="1716B9C6" w14:textId="57A0962F">
            <w:pPr>
              <w:pStyle w:val="TableParagraph"/>
              <w:spacing w:before="1"/>
              <w:jc w:val="center"/>
              <w:rPr>
                <w:rFonts w:ascii="Times New Roman" w:eastAsia="Times New Roman" w:hAnsi="Times New Roman" w:cs="Times New Roman"/>
                <w:sz w:val="20"/>
                <w:szCs w:val="20"/>
              </w:rPr>
            </w:pPr>
            <w:r w:rsidRPr="00CE2578">
              <w:rPr>
                <w:rFonts w:ascii="Times New Roman" w:eastAsia="Times New Roman" w:hAnsi="Times New Roman" w:cs="Times New Roman"/>
                <w:sz w:val="20"/>
                <w:szCs w:val="20"/>
              </w:rPr>
              <w:t>1 hour</w:t>
            </w:r>
          </w:p>
        </w:tc>
        <w:tc>
          <w:tcPr>
            <w:tcW w:w="1607" w:type="dxa"/>
          </w:tcPr>
          <w:p w:rsidR="00852654" w:rsidRPr="00CE2578" w:rsidP="000E18DD" w14:paraId="5DE1A809" w14:textId="5E3F2491">
            <w:pPr>
              <w:pStyle w:val="TableParagraph"/>
              <w:spacing w:before="1"/>
              <w:jc w:val="center"/>
              <w:rPr>
                <w:rFonts w:ascii="Times New Roman" w:eastAsia="Times New Roman" w:hAnsi="Times New Roman" w:cs="Times New Roman"/>
                <w:sz w:val="20"/>
                <w:szCs w:val="20"/>
              </w:rPr>
            </w:pPr>
            <w:r w:rsidRPr="00CE2578">
              <w:rPr>
                <w:rFonts w:ascii="Times New Roman" w:eastAsia="Times New Roman" w:hAnsi="Times New Roman" w:cs="Times New Roman"/>
                <w:sz w:val="20"/>
                <w:szCs w:val="20"/>
              </w:rPr>
              <w:t xml:space="preserve">318 </w:t>
            </w:r>
            <w:r w:rsidRPr="00CE2578">
              <w:rPr>
                <w:rFonts w:ascii="Times New Roman" w:eastAsia="Times New Roman" w:hAnsi="Times New Roman" w:cs="Times New Roman"/>
                <w:sz w:val="20"/>
                <w:szCs w:val="20"/>
              </w:rPr>
              <w:t>hours</w:t>
            </w:r>
          </w:p>
        </w:tc>
        <w:tc>
          <w:tcPr>
            <w:tcW w:w="1313" w:type="dxa"/>
          </w:tcPr>
          <w:p w:rsidR="00852654" w:rsidRPr="00CE2578" w:rsidP="000E18DD" w14:paraId="709531A4" w14:textId="3D273096">
            <w:pPr>
              <w:jc w:val="center"/>
              <w:rPr>
                <w:sz w:val="20"/>
              </w:rPr>
            </w:pPr>
            <w:r w:rsidRPr="00CE2578">
              <w:rPr>
                <w:sz w:val="20"/>
              </w:rPr>
              <w:t>$3</w:t>
            </w:r>
            <w:r w:rsidRPr="00CE2578" w:rsidR="00D247BA">
              <w:rPr>
                <w:sz w:val="20"/>
              </w:rPr>
              <w:t>3.54</w:t>
            </w:r>
          </w:p>
          <w:p w:rsidR="00852654" w:rsidRPr="00CE2578" w:rsidP="000E18DD" w14:paraId="34F84992" w14:textId="39318D4A">
            <w:pPr>
              <w:pStyle w:val="TableParagraph"/>
              <w:spacing w:before="1"/>
              <w:jc w:val="center"/>
              <w:rPr>
                <w:rFonts w:ascii="Times New Roman" w:eastAsia="Times New Roman" w:hAnsi="Times New Roman" w:cs="Times New Roman"/>
                <w:sz w:val="20"/>
                <w:szCs w:val="20"/>
              </w:rPr>
            </w:pPr>
          </w:p>
        </w:tc>
        <w:tc>
          <w:tcPr>
            <w:tcW w:w="1839" w:type="dxa"/>
          </w:tcPr>
          <w:p w:rsidR="00852654" w:rsidRPr="00CE2578" w:rsidP="000E18DD" w14:paraId="269E55B1" w14:textId="10A0B223">
            <w:pPr>
              <w:jc w:val="center"/>
              <w:rPr>
                <w:sz w:val="20"/>
              </w:rPr>
            </w:pPr>
            <w:r w:rsidRPr="00CE2578">
              <w:rPr>
                <w:sz w:val="20"/>
              </w:rPr>
              <w:t>$</w:t>
            </w:r>
            <w:r w:rsidRPr="00CE2578" w:rsidR="00427662">
              <w:rPr>
                <w:sz w:val="20"/>
              </w:rPr>
              <w:t>10,665.72</w:t>
            </w:r>
          </w:p>
          <w:p w:rsidR="00852654" w:rsidRPr="00CE2578" w:rsidP="000E18DD" w14:paraId="342B39E3" w14:textId="633D13E8">
            <w:pPr>
              <w:pStyle w:val="TableParagraph"/>
              <w:spacing w:before="1"/>
              <w:jc w:val="center"/>
              <w:rPr>
                <w:rFonts w:ascii="Times New Roman" w:eastAsia="Times New Roman" w:hAnsi="Times New Roman" w:cs="Times New Roman"/>
                <w:sz w:val="20"/>
                <w:szCs w:val="20"/>
              </w:rPr>
            </w:pPr>
          </w:p>
        </w:tc>
      </w:tr>
      <w:tr w14:paraId="5C3C4F6C" w14:textId="77777777" w:rsidTr="7B0CA740">
        <w:tblPrEx>
          <w:tblW w:w="9514" w:type="dxa"/>
          <w:tblLayout w:type="fixed"/>
          <w:tblCellMar>
            <w:left w:w="0" w:type="dxa"/>
            <w:right w:w="0" w:type="dxa"/>
          </w:tblCellMar>
          <w:tblLook w:val="01E0"/>
        </w:tblPrEx>
        <w:trPr>
          <w:trHeight w:val="497"/>
        </w:trPr>
        <w:tc>
          <w:tcPr>
            <w:tcW w:w="1335" w:type="dxa"/>
          </w:tcPr>
          <w:p w:rsidR="00014AA6" w:rsidRPr="00CE2578" w:rsidP="000E18DD" w14:paraId="356232CE" w14:textId="5924072B">
            <w:pPr>
              <w:jc w:val="center"/>
              <w:rPr>
                <w:sz w:val="20"/>
              </w:rPr>
            </w:pPr>
            <w:r w:rsidRPr="00CE2578">
              <w:rPr>
                <w:sz w:val="20"/>
              </w:rPr>
              <w:t>Compensation and Leave Claims</w:t>
            </w:r>
          </w:p>
        </w:tc>
        <w:tc>
          <w:tcPr>
            <w:tcW w:w="1560" w:type="dxa"/>
          </w:tcPr>
          <w:p w:rsidR="00014AA6" w:rsidRPr="00CE2578" w:rsidP="000E18DD" w14:paraId="1343E5AD" w14:textId="5FA67544">
            <w:pPr>
              <w:pStyle w:val="TableParagraph"/>
              <w:spacing w:before="1"/>
              <w:ind w:left="468"/>
              <w:jc w:val="center"/>
              <w:rPr>
                <w:rFonts w:ascii="Times New Roman" w:eastAsia="Times New Roman" w:hAnsi="Times New Roman" w:cs="Times New Roman"/>
                <w:sz w:val="20"/>
                <w:szCs w:val="20"/>
              </w:rPr>
            </w:pPr>
            <w:r w:rsidRPr="00CE2578">
              <w:rPr>
                <w:rFonts w:ascii="Times New Roman" w:hAnsi="Times New Roman" w:cs="Times New Roman"/>
                <w:sz w:val="20"/>
                <w:szCs w:val="20"/>
              </w:rPr>
              <w:t>109</w:t>
            </w:r>
          </w:p>
        </w:tc>
        <w:tc>
          <w:tcPr>
            <w:tcW w:w="1860" w:type="dxa"/>
          </w:tcPr>
          <w:p w:rsidR="00014AA6" w:rsidRPr="00CE2578" w:rsidP="000E18DD" w14:paraId="2ECED359" w14:textId="0FEDABB1">
            <w:pPr>
              <w:pStyle w:val="TableParagraph"/>
              <w:spacing w:before="1"/>
              <w:jc w:val="center"/>
              <w:rPr>
                <w:rFonts w:ascii="Times New Roman" w:eastAsia="Times New Roman" w:hAnsi="Times New Roman" w:cs="Times New Roman"/>
                <w:sz w:val="20"/>
                <w:szCs w:val="20"/>
              </w:rPr>
            </w:pPr>
            <w:r w:rsidRPr="00CE2578">
              <w:rPr>
                <w:rFonts w:ascii="Times New Roman" w:hAnsi="Times New Roman" w:cs="Times New Roman"/>
                <w:sz w:val="20"/>
                <w:szCs w:val="20"/>
              </w:rPr>
              <w:t>30 hours</w:t>
            </w:r>
          </w:p>
        </w:tc>
        <w:tc>
          <w:tcPr>
            <w:tcW w:w="1607" w:type="dxa"/>
          </w:tcPr>
          <w:p w:rsidR="00014AA6" w:rsidRPr="00CE2578" w:rsidP="000E18DD" w14:paraId="4F8ECB55" w14:textId="7DC19BCA">
            <w:pPr>
              <w:pStyle w:val="TableParagraph"/>
              <w:spacing w:before="1"/>
              <w:jc w:val="center"/>
              <w:rPr>
                <w:rFonts w:ascii="Times New Roman" w:eastAsia="Times New Roman" w:hAnsi="Times New Roman" w:cs="Times New Roman"/>
                <w:sz w:val="20"/>
                <w:szCs w:val="20"/>
              </w:rPr>
            </w:pPr>
            <w:r w:rsidRPr="00CE2578">
              <w:rPr>
                <w:rFonts w:ascii="Times New Roman" w:hAnsi="Times New Roman" w:cs="Times New Roman"/>
                <w:sz w:val="20"/>
                <w:szCs w:val="20"/>
              </w:rPr>
              <w:t>3</w:t>
            </w:r>
            <w:r w:rsidR="000E18DD">
              <w:rPr>
                <w:rFonts w:ascii="Times New Roman" w:hAnsi="Times New Roman" w:cs="Times New Roman"/>
                <w:sz w:val="20"/>
                <w:szCs w:val="20"/>
              </w:rPr>
              <w:t>,</w:t>
            </w:r>
            <w:r w:rsidRPr="00CE2578">
              <w:rPr>
                <w:rFonts w:ascii="Times New Roman" w:hAnsi="Times New Roman" w:cs="Times New Roman"/>
                <w:sz w:val="20"/>
                <w:szCs w:val="20"/>
              </w:rPr>
              <w:t>207 hours</w:t>
            </w:r>
          </w:p>
        </w:tc>
        <w:tc>
          <w:tcPr>
            <w:tcW w:w="1313" w:type="dxa"/>
          </w:tcPr>
          <w:p w:rsidR="00014AA6" w:rsidRPr="00CE2578" w:rsidP="000E18DD" w14:paraId="341B5917" w14:textId="4DFF7AF3">
            <w:pPr>
              <w:jc w:val="center"/>
              <w:rPr>
                <w:sz w:val="20"/>
              </w:rPr>
            </w:pPr>
            <w:r w:rsidRPr="00CE2578">
              <w:rPr>
                <w:sz w:val="20"/>
              </w:rPr>
              <w:t>$33.54</w:t>
            </w:r>
          </w:p>
        </w:tc>
        <w:tc>
          <w:tcPr>
            <w:tcW w:w="1839" w:type="dxa"/>
          </w:tcPr>
          <w:p w:rsidR="00014AA6" w:rsidRPr="00CE2578" w:rsidP="000E18DD" w14:paraId="18359FB3" w14:textId="7D3D4894">
            <w:pPr>
              <w:jc w:val="center"/>
              <w:rPr>
                <w:sz w:val="20"/>
              </w:rPr>
            </w:pPr>
            <w:r w:rsidRPr="00CE2578">
              <w:rPr>
                <w:sz w:val="20"/>
              </w:rPr>
              <w:t>$109,675.80</w:t>
            </w:r>
          </w:p>
        </w:tc>
      </w:tr>
      <w:tr w14:paraId="741548EB" w14:textId="77777777" w:rsidTr="7B0CA740">
        <w:tblPrEx>
          <w:tblW w:w="9514" w:type="dxa"/>
          <w:tblLayout w:type="fixed"/>
          <w:tblCellMar>
            <w:left w:w="0" w:type="dxa"/>
            <w:right w:w="0" w:type="dxa"/>
          </w:tblCellMar>
          <w:tblLook w:val="01E0"/>
        </w:tblPrEx>
        <w:trPr>
          <w:trHeight w:val="497"/>
        </w:trPr>
        <w:tc>
          <w:tcPr>
            <w:tcW w:w="1335" w:type="dxa"/>
          </w:tcPr>
          <w:p w:rsidR="00014AA6" w:rsidRPr="00CE2578" w:rsidP="000E18DD" w14:paraId="7AF8790B" w14:textId="7FBE6EFE">
            <w:pPr>
              <w:jc w:val="center"/>
              <w:rPr>
                <w:sz w:val="20"/>
              </w:rPr>
            </w:pPr>
            <w:r w:rsidRPr="00CE2578">
              <w:rPr>
                <w:sz w:val="20"/>
              </w:rPr>
              <w:t>FLSA Claims</w:t>
            </w:r>
          </w:p>
        </w:tc>
        <w:tc>
          <w:tcPr>
            <w:tcW w:w="1560" w:type="dxa"/>
          </w:tcPr>
          <w:p w:rsidR="00014AA6" w:rsidRPr="00CE2578" w:rsidP="000E18DD" w14:paraId="294899A0" w14:textId="57112F1B">
            <w:pPr>
              <w:pStyle w:val="TableParagraph"/>
              <w:spacing w:before="1"/>
              <w:ind w:left="468"/>
              <w:jc w:val="center"/>
              <w:rPr>
                <w:rFonts w:ascii="Times New Roman" w:eastAsia="Times New Roman" w:hAnsi="Times New Roman" w:cs="Times New Roman"/>
                <w:sz w:val="20"/>
                <w:szCs w:val="20"/>
              </w:rPr>
            </w:pPr>
            <w:r w:rsidRPr="00CE2578">
              <w:rPr>
                <w:rFonts w:ascii="Times New Roman" w:hAnsi="Times New Roman" w:cs="Times New Roman"/>
                <w:sz w:val="20"/>
                <w:szCs w:val="20"/>
              </w:rPr>
              <w:t>9</w:t>
            </w:r>
          </w:p>
        </w:tc>
        <w:tc>
          <w:tcPr>
            <w:tcW w:w="1860" w:type="dxa"/>
          </w:tcPr>
          <w:p w:rsidR="00014AA6" w:rsidRPr="00CE2578" w:rsidP="000E18DD" w14:paraId="613A6810" w14:textId="4948F44D">
            <w:pPr>
              <w:pStyle w:val="TableParagraph"/>
              <w:spacing w:before="1"/>
              <w:jc w:val="center"/>
              <w:rPr>
                <w:rFonts w:ascii="Times New Roman" w:eastAsia="Times New Roman" w:hAnsi="Times New Roman" w:cs="Times New Roman"/>
                <w:sz w:val="20"/>
                <w:szCs w:val="20"/>
              </w:rPr>
            </w:pPr>
            <w:r w:rsidRPr="00CE2578">
              <w:rPr>
                <w:rFonts w:ascii="Times New Roman" w:hAnsi="Times New Roman" w:cs="Times New Roman"/>
                <w:sz w:val="20"/>
                <w:szCs w:val="20"/>
              </w:rPr>
              <w:t>24 hours</w:t>
            </w:r>
          </w:p>
        </w:tc>
        <w:tc>
          <w:tcPr>
            <w:tcW w:w="1607" w:type="dxa"/>
          </w:tcPr>
          <w:p w:rsidR="00014AA6" w:rsidRPr="00CE2578" w:rsidP="000E18DD" w14:paraId="18B71EF5" w14:textId="0ED1117B">
            <w:pPr>
              <w:pStyle w:val="TableParagraph"/>
              <w:spacing w:before="1"/>
              <w:jc w:val="center"/>
              <w:rPr>
                <w:rFonts w:ascii="Times New Roman" w:eastAsia="Times New Roman" w:hAnsi="Times New Roman" w:cs="Times New Roman"/>
                <w:sz w:val="20"/>
                <w:szCs w:val="20"/>
              </w:rPr>
            </w:pPr>
            <w:r w:rsidRPr="00CE2578">
              <w:rPr>
                <w:rFonts w:ascii="Times New Roman" w:hAnsi="Times New Roman" w:cs="Times New Roman"/>
                <w:sz w:val="20"/>
                <w:szCs w:val="20"/>
              </w:rPr>
              <w:t>216 hours</w:t>
            </w:r>
          </w:p>
        </w:tc>
        <w:tc>
          <w:tcPr>
            <w:tcW w:w="1313" w:type="dxa"/>
          </w:tcPr>
          <w:p w:rsidR="00014AA6" w:rsidRPr="00CE2578" w:rsidP="000E18DD" w14:paraId="442B5B1F" w14:textId="1A89B9FE">
            <w:pPr>
              <w:jc w:val="center"/>
              <w:rPr>
                <w:sz w:val="20"/>
              </w:rPr>
            </w:pPr>
            <w:r w:rsidRPr="00CE2578">
              <w:rPr>
                <w:sz w:val="20"/>
              </w:rPr>
              <w:t>$33.54</w:t>
            </w:r>
          </w:p>
        </w:tc>
        <w:tc>
          <w:tcPr>
            <w:tcW w:w="1839" w:type="dxa"/>
          </w:tcPr>
          <w:p w:rsidR="00014AA6" w:rsidRPr="00CE2578" w:rsidP="000E18DD" w14:paraId="4E537DFE" w14:textId="7D50ADE3">
            <w:pPr>
              <w:jc w:val="center"/>
              <w:rPr>
                <w:sz w:val="20"/>
              </w:rPr>
            </w:pPr>
            <w:r w:rsidRPr="00CE2578">
              <w:rPr>
                <w:sz w:val="20"/>
              </w:rPr>
              <w:t>$</w:t>
            </w:r>
            <w:r w:rsidRPr="00CE2578" w:rsidR="00A66826">
              <w:rPr>
                <w:sz w:val="20"/>
              </w:rPr>
              <w:t>7,244.64</w:t>
            </w:r>
          </w:p>
        </w:tc>
      </w:tr>
      <w:tr w14:paraId="4637CAC2" w14:textId="77777777" w:rsidTr="7B0CA740">
        <w:tblPrEx>
          <w:tblW w:w="9514" w:type="dxa"/>
          <w:tblLayout w:type="fixed"/>
          <w:tblCellMar>
            <w:left w:w="0" w:type="dxa"/>
            <w:right w:w="0" w:type="dxa"/>
          </w:tblCellMar>
          <w:tblLook w:val="01E0"/>
        </w:tblPrEx>
        <w:trPr>
          <w:trHeight w:val="497"/>
        </w:trPr>
        <w:tc>
          <w:tcPr>
            <w:tcW w:w="1335" w:type="dxa"/>
          </w:tcPr>
          <w:p w:rsidR="00014AA6" w:rsidRPr="00CE2578" w:rsidP="000E18DD" w14:paraId="04416AC0" w14:textId="41E7082B">
            <w:pPr>
              <w:jc w:val="center"/>
              <w:rPr>
                <w:sz w:val="20"/>
              </w:rPr>
            </w:pPr>
            <w:r w:rsidRPr="00CE2578">
              <w:rPr>
                <w:sz w:val="20"/>
              </w:rPr>
              <w:t>RIF Appeals</w:t>
            </w:r>
          </w:p>
        </w:tc>
        <w:tc>
          <w:tcPr>
            <w:tcW w:w="1560" w:type="dxa"/>
          </w:tcPr>
          <w:p w:rsidR="00014AA6" w:rsidRPr="00CE2578" w:rsidP="000E18DD" w14:paraId="5CA8ED10" w14:textId="0598578E">
            <w:pPr>
              <w:pStyle w:val="TableParagraph"/>
              <w:spacing w:before="1"/>
              <w:ind w:left="468"/>
              <w:jc w:val="center"/>
              <w:rPr>
                <w:rFonts w:ascii="Times New Roman" w:eastAsia="Times New Roman" w:hAnsi="Times New Roman" w:cs="Times New Roman"/>
                <w:sz w:val="20"/>
                <w:szCs w:val="20"/>
              </w:rPr>
            </w:pPr>
            <w:r w:rsidRPr="00CE2578">
              <w:rPr>
                <w:rFonts w:ascii="Times New Roman" w:hAnsi="Times New Roman" w:cs="Times New Roman"/>
                <w:sz w:val="20"/>
                <w:szCs w:val="20"/>
              </w:rPr>
              <w:t>292</w:t>
            </w:r>
          </w:p>
        </w:tc>
        <w:tc>
          <w:tcPr>
            <w:tcW w:w="1860" w:type="dxa"/>
          </w:tcPr>
          <w:p w:rsidR="00014AA6" w:rsidRPr="00CE2578" w:rsidP="000E18DD" w14:paraId="579B6A2F" w14:textId="1D0DD567">
            <w:pPr>
              <w:pStyle w:val="TableParagraph"/>
              <w:spacing w:before="1"/>
              <w:jc w:val="center"/>
              <w:rPr>
                <w:rFonts w:ascii="Times New Roman" w:eastAsia="Times New Roman" w:hAnsi="Times New Roman" w:cs="Times New Roman"/>
                <w:sz w:val="20"/>
                <w:szCs w:val="20"/>
              </w:rPr>
            </w:pPr>
            <w:r w:rsidRPr="00CE2578">
              <w:rPr>
                <w:rFonts w:ascii="Times New Roman" w:hAnsi="Times New Roman" w:cs="Times New Roman"/>
                <w:sz w:val="20"/>
                <w:szCs w:val="20"/>
              </w:rPr>
              <w:t>24 hours</w:t>
            </w:r>
          </w:p>
        </w:tc>
        <w:tc>
          <w:tcPr>
            <w:tcW w:w="1607" w:type="dxa"/>
          </w:tcPr>
          <w:p w:rsidR="00014AA6" w:rsidRPr="00CE2578" w:rsidP="000E18DD" w14:paraId="00457215" w14:textId="40639B15">
            <w:pPr>
              <w:pStyle w:val="TableParagraph"/>
              <w:spacing w:before="1"/>
              <w:jc w:val="center"/>
              <w:rPr>
                <w:rFonts w:ascii="Times New Roman" w:eastAsia="Times New Roman" w:hAnsi="Times New Roman" w:cs="Times New Roman"/>
                <w:sz w:val="20"/>
                <w:szCs w:val="20"/>
              </w:rPr>
            </w:pPr>
            <w:r w:rsidRPr="00CE2578">
              <w:rPr>
                <w:rFonts w:ascii="Times New Roman" w:hAnsi="Times New Roman" w:cs="Times New Roman"/>
                <w:sz w:val="20"/>
                <w:szCs w:val="20"/>
              </w:rPr>
              <w:t>7,008 hours</w:t>
            </w:r>
          </w:p>
        </w:tc>
        <w:tc>
          <w:tcPr>
            <w:tcW w:w="1313" w:type="dxa"/>
          </w:tcPr>
          <w:p w:rsidR="00014AA6" w:rsidRPr="00CE2578" w:rsidP="000E18DD" w14:paraId="03363D6A" w14:textId="32DFF087">
            <w:pPr>
              <w:jc w:val="center"/>
              <w:rPr>
                <w:sz w:val="20"/>
              </w:rPr>
            </w:pPr>
            <w:r w:rsidRPr="00CE2578">
              <w:rPr>
                <w:sz w:val="20"/>
              </w:rPr>
              <w:t>$33.54</w:t>
            </w:r>
          </w:p>
        </w:tc>
        <w:tc>
          <w:tcPr>
            <w:tcW w:w="1839" w:type="dxa"/>
          </w:tcPr>
          <w:p w:rsidR="00014AA6" w:rsidRPr="00CE2578" w:rsidP="000E18DD" w14:paraId="52DEBE4F" w14:textId="1B2BC7DE">
            <w:pPr>
              <w:jc w:val="center"/>
              <w:rPr>
                <w:sz w:val="20"/>
              </w:rPr>
            </w:pPr>
            <w:r w:rsidRPr="00CE2578">
              <w:rPr>
                <w:sz w:val="20"/>
              </w:rPr>
              <w:t>$235,048.32</w:t>
            </w:r>
          </w:p>
        </w:tc>
      </w:tr>
      <w:tr w14:paraId="5291311E" w14:textId="77777777" w:rsidTr="7B0CA740">
        <w:tblPrEx>
          <w:tblW w:w="9514" w:type="dxa"/>
          <w:tblLayout w:type="fixed"/>
          <w:tblCellMar>
            <w:left w:w="0" w:type="dxa"/>
            <w:right w:w="0" w:type="dxa"/>
          </w:tblCellMar>
          <w:tblLook w:val="01E0"/>
        </w:tblPrEx>
        <w:trPr>
          <w:trHeight w:val="497"/>
        </w:trPr>
        <w:tc>
          <w:tcPr>
            <w:tcW w:w="1335" w:type="dxa"/>
          </w:tcPr>
          <w:p w:rsidR="00014AA6" w:rsidRPr="00CE2578" w:rsidP="000E18DD" w14:paraId="78084F27" w14:textId="1D2F4550">
            <w:pPr>
              <w:jc w:val="center"/>
              <w:rPr>
                <w:sz w:val="20"/>
              </w:rPr>
            </w:pPr>
            <w:r w:rsidRPr="00CE2578">
              <w:rPr>
                <w:sz w:val="20"/>
              </w:rPr>
              <w:t>Probationer Appeals</w:t>
            </w:r>
          </w:p>
        </w:tc>
        <w:tc>
          <w:tcPr>
            <w:tcW w:w="1560" w:type="dxa"/>
          </w:tcPr>
          <w:p w:rsidR="00014AA6" w:rsidRPr="00CE2578" w:rsidP="000E18DD" w14:paraId="71D1702B" w14:textId="48414CD2">
            <w:pPr>
              <w:pStyle w:val="TableParagraph"/>
              <w:spacing w:before="1"/>
              <w:ind w:left="468"/>
              <w:jc w:val="center"/>
              <w:rPr>
                <w:rFonts w:ascii="Times New Roman" w:eastAsia="Times New Roman" w:hAnsi="Times New Roman" w:cs="Times New Roman"/>
                <w:sz w:val="20"/>
                <w:szCs w:val="20"/>
              </w:rPr>
            </w:pPr>
            <w:r w:rsidRPr="00CE2578">
              <w:rPr>
                <w:rFonts w:ascii="Times New Roman" w:hAnsi="Times New Roman" w:cs="Times New Roman"/>
                <w:sz w:val="20"/>
                <w:szCs w:val="20"/>
              </w:rPr>
              <w:t>498</w:t>
            </w:r>
          </w:p>
        </w:tc>
        <w:tc>
          <w:tcPr>
            <w:tcW w:w="1860" w:type="dxa"/>
          </w:tcPr>
          <w:p w:rsidR="00014AA6" w:rsidRPr="00CE2578" w:rsidP="000E18DD" w14:paraId="0AC91C22" w14:textId="1901745C">
            <w:pPr>
              <w:pStyle w:val="TableParagraph"/>
              <w:spacing w:before="1"/>
              <w:jc w:val="center"/>
              <w:rPr>
                <w:rFonts w:ascii="Times New Roman" w:eastAsia="Times New Roman" w:hAnsi="Times New Roman" w:cs="Times New Roman"/>
                <w:sz w:val="20"/>
                <w:szCs w:val="20"/>
              </w:rPr>
            </w:pPr>
            <w:r w:rsidRPr="00CE2578">
              <w:rPr>
                <w:rFonts w:ascii="Times New Roman" w:hAnsi="Times New Roman" w:cs="Times New Roman"/>
                <w:sz w:val="20"/>
                <w:szCs w:val="20"/>
              </w:rPr>
              <w:t>4 hours</w:t>
            </w:r>
          </w:p>
        </w:tc>
        <w:tc>
          <w:tcPr>
            <w:tcW w:w="1607" w:type="dxa"/>
          </w:tcPr>
          <w:p w:rsidR="00014AA6" w:rsidRPr="00CE2578" w:rsidP="000E18DD" w14:paraId="6048F73A" w14:textId="0C2CE61D">
            <w:pPr>
              <w:pStyle w:val="TableParagraph"/>
              <w:spacing w:before="1"/>
              <w:jc w:val="center"/>
              <w:rPr>
                <w:rFonts w:ascii="Times New Roman" w:eastAsia="Times New Roman" w:hAnsi="Times New Roman" w:cs="Times New Roman"/>
                <w:sz w:val="20"/>
                <w:szCs w:val="20"/>
              </w:rPr>
            </w:pPr>
            <w:r w:rsidRPr="00CE2578">
              <w:rPr>
                <w:rFonts w:ascii="Times New Roman" w:hAnsi="Times New Roman" w:cs="Times New Roman"/>
                <w:sz w:val="20"/>
                <w:szCs w:val="20"/>
              </w:rPr>
              <w:t>1,992 hours</w:t>
            </w:r>
          </w:p>
        </w:tc>
        <w:tc>
          <w:tcPr>
            <w:tcW w:w="1313" w:type="dxa"/>
          </w:tcPr>
          <w:p w:rsidR="00014AA6" w:rsidRPr="00CE2578" w:rsidP="000E18DD" w14:paraId="6A4152B8" w14:textId="266872EE">
            <w:pPr>
              <w:jc w:val="center"/>
              <w:rPr>
                <w:sz w:val="20"/>
              </w:rPr>
            </w:pPr>
            <w:r w:rsidRPr="00CE2578">
              <w:rPr>
                <w:sz w:val="20"/>
              </w:rPr>
              <w:t>$33.54</w:t>
            </w:r>
          </w:p>
        </w:tc>
        <w:tc>
          <w:tcPr>
            <w:tcW w:w="1839" w:type="dxa"/>
          </w:tcPr>
          <w:p w:rsidR="00014AA6" w:rsidRPr="00CE2578" w:rsidP="000E18DD" w14:paraId="670F5733" w14:textId="04FDEEB9">
            <w:pPr>
              <w:jc w:val="center"/>
              <w:rPr>
                <w:sz w:val="20"/>
              </w:rPr>
            </w:pPr>
            <w:r w:rsidRPr="00CE2578">
              <w:rPr>
                <w:sz w:val="20"/>
              </w:rPr>
              <w:t>$</w:t>
            </w:r>
            <w:r w:rsidRPr="00CE2578" w:rsidR="00F578C5">
              <w:rPr>
                <w:sz w:val="20"/>
              </w:rPr>
              <w:t>66,811.68</w:t>
            </w:r>
          </w:p>
        </w:tc>
      </w:tr>
      <w:tr w14:paraId="73648205" w14:textId="77777777" w:rsidTr="7B0CA740">
        <w:tblPrEx>
          <w:tblW w:w="9514" w:type="dxa"/>
          <w:tblLayout w:type="fixed"/>
          <w:tblCellMar>
            <w:left w:w="0" w:type="dxa"/>
            <w:right w:w="0" w:type="dxa"/>
          </w:tblCellMar>
          <w:tblLook w:val="01E0"/>
        </w:tblPrEx>
        <w:trPr>
          <w:trHeight w:val="497"/>
        </w:trPr>
        <w:tc>
          <w:tcPr>
            <w:tcW w:w="1335" w:type="dxa"/>
          </w:tcPr>
          <w:p w:rsidR="00014AA6" w:rsidRPr="00CE2578" w:rsidP="000E18DD" w14:paraId="6ED0832E" w14:textId="72034BF6">
            <w:pPr>
              <w:jc w:val="center"/>
              <w:rPr>
                <w:sz w:val="20"/>
              </w:rPr>
            </w:pPr>
            <w:r w:rsidRPr="00CE2578">
              <w:rPr>
                <w:sz w:val="20"/>
              </w:rPr>
              <w:t>Position Classification Appeals</w:t>
            </w:r>
          </w:p>
        </w:tc>
        <w:tc>
          <w:tcPr>
            <w:tcW w:w="1560" w:type="dxa"/>
          </w:tcPr>
          <w:p w:rsidR="00014AA6" w:rsidRPr="00CE2578" w:rsidP="000E18DD" w14:paraId="50457398" w14:textId="3184A780">
            <w:pPr>
              <w:pStyle w:val="TableParagraph"/>
              <w:spacing w:before="1"/>
              <w:ind w:left="468"/>
              <w:jc w:val="center"/>
              <w:rPr>
                <w:rFonts w:ascii="Times New Roman" w:eastAsia="Times New Roman" w:hAnsi="Times New Roman" w:cs="Times New Roman"/>
                <w:sz w:val="20"/>
                <w:szCs w:val="20"/>
              </w:rPr>
            </w:pPr>
            <w:r w:rsidRPr="00CE2578">
              <w:rPr>
                <w:rFonts w:ascii="Times New Roman" w:hAnsi="Times New Roman" w:cs="Times New Roman"/>
                <w:sz w:val="20"/>
                <w:szCs w:val="20"/>
              </w:rPr>
              <w:t>59</w:t>
            </w:r>
          </w:p>
        </w:tc>
        <w:tc>
          <w:tcPr>
            <w:tcW w:w="1860" w:type="dxa"/>
          </w:tcPr>
          <w:p w:rsidR="00014AA6" w:rsidRPr="00CE2578" w:rsidP="000E18DD" w14:paraId="1370800A" w14:textId="491A9F7C">
            <w:pPr>
              <w:pStyle w:val="TableParagraph"/>
              <w:spacing w:before="1"/>
              <w:jc w:val="center"/>
              <w:rPr>
                <w:rFonts w:ascii="Times New Roman" w:eastAsia="Times New Roman" w:hAnsi="Times New Roman" w:cs="Times New Roman"/>
                <w:sz w:val="20"/>
                <w:szCs w:val="20"/>
              </w:rPr>
            </w:pPr>
            <w:r w:rsidRPr="00CE2578">
              <w:rPr>
                <w:rFonts w:ascii="Times New Roman" w:hAnsi="Times New Roman" w:cs="Times New Roman"/>
                <w:sz w:val="20"/>
                <w:szCs w:val="20"/>
              </w:rPr>
              <w:t>5 hours</w:t>
            </w:r>
          </w:p>
        </w:tc>
        <w:tc>
          <w:tcPr>
            <w:tcW w:w="1607" w:type="dxa"/>
          </w:tcPr>
          <w:p w:rsidR="00014AA6" w:rsidRPr="00CE2578" w:rsidP="000E18DD" w14:paraId="5DECAFBC" w14:textId="1D65248D">
            <w:pPr>
              <w:pStyle w:val="TableParagraph"/>
              <w:spacing w:before="1"/>
              <w:jc w:val="center"/>
              <w:rPr>
                <w:rFonts w:ascii="Times New Roman" w:eastAsia="Times New Roman" w:hAnsi="Times New Roman" w:cs="Times New Roman"/>
                <w:sz w:val="20"/>
                <w:szCs w:val="20"/>
              </w:rPr>
            </w:pPr>
            <w:r w:rsidRPr="00CE2578">
              <w:rPr>
                <w:rFonts w:ascii="Times New Roman" w:hAnsi="Times New Roman" w:cs="Times New Roman"/>
                <w:sz w:val="20"/>
                <w:szCs w:val="20"/>
              </w:rPr>
              <w:t>295 hours</w:t>
            </w:r>
          </w:p>
        </w:tc>
        <w:tc>
          <w:tcPr>
            <w:tcW w:w="1313" w:type="dxa"/>
          </w:tcPr>
          <w:p w:rsidR="00014AA6" w:rsidRPr="00CE2578" w:rsidP="000E18DD" w14:paraId="5C1EB0A9" w14:textId="5A9F154A">
            <w:pPr>
              <w:jc w:val="center"/>
              <w:rPr>
                <w:sz w:val="20"/>
              </w:rPr>
            </w:pPr>
            <w:r w:rsidRPr="00CE2578">
              <w:rPr>
                <w:sz w:val="20"/>
              </w:rPr>
              <w:t>$33.54</w:t>
            </w:r>
          </w:p>
        </w:tc>
        <w:tc>
          <w:tcPr>
            <w:tcW w:w="1839" w:type="dxa"/>
          </w:tcPr>
          <w:p w:rsidR="00014AA6" w:rsidRPr="00CE2578" w:rsidP="000E18DD" w14:paraId="206C3CC8" w14:textId="1E37776A">
            <w:pPr>
              <w:jc w:val="center"/>
              <w:rPr>
                <w:sz w:val="20"/>
              </w:rPr>
            </w:pPr>
            <w:r w:rsidRPr="00CE2578">
              <w:rPr>
                <w:sz w:val="20"/>
              </w:rPr>
              <w:t>$9,894.30</w:t>
            </w:r>
          </w:p>
        </w:tc>
      </w:tr>
      <w:tr w14:paraId="1E247DED" w14:textId="77777777" w:rsidTr="7B0CA740">
        <w:tblPrEx>
          <w:tblW w:w="9514" w:type="dxa"/>
          <w:tblLayout w:type="fixed"/>
          <w:tblCellMar>
            <w:left w:w="0" w:type="dxa"/>
            <w:right w:w="0" w:type="dxa"/>
          </w:tblCellMar>
          <w:tblLook w:val="01E0"/>
        </w:tblPrEx>
        <w:trPr>
          <w:trHeight w:val="497"/>
        </w:trPr>
        <w:tc>
          <w:tcPr>
            <w:tcW w:w="1335" w:type="dxa"/>
          </w:tcPr>
          <w:p w:rsidR="00014AA6" w:rsidRPr="00CE2578" w:rsidP="000E18DD" w14:paraId="6A42EC0E" w14:textId="6EA9BFEA">
            <w:pPr>
              <w:jc w:val="center"/>
              <w:rPr>
                <w:sz w:val="20"/>
              </w:rPr>
            </w:pPr>
            <w:r w:rsidRPr="00CE2578">
              <w:rPr>
                <w:sz w:val="20"/>
              </w:rPr>
              <w:t>Declination of reasonable offer appeals</w:t>
            </w:r>
          </w:p>
        </w:tc>
        <w:tc>
          <w:tcPr>
            <w:tcW w:w="1560" w:type="dxa"/>
          </w:tcPr>
          <w:p w:rsidR="00014AA6" w:rsidRPr="00CE2578" w:rsidP="000E18DD" w14:paraId="2466B286" w14:textId="4C37FA28">
            <w:pPr>
              <w:pStyle w:val="TableParagraph"/>
              <w:spacing w:before="1"/>
              <w:ind w:left="468"/>
              <w:jc w:val="center"/>
              <w:rPr>
                <w:rFonts w:ascii="Times New Roman" w:eastAsia="Times New Roman" w:hAnsi="Times New Roman" w:cs="Times New Roman"/>
                <w:sz w:val="20"/>
                <w:szCs w:val="20"/>
              </w:rPr>
            </w:pPr>
            <w:r w:rsidRPr="00CE2578">
              <w:rPr>
                <w:rFonts w:ascii="Times New Roman" w:hAnsi="Times New Roman" w:cs="Times New Roman"/>
                <w:sz w:val="20"/>
                <w:szCs w:val="20"/>
              </w:rPr>
              <w:t>1</w:t>
            </w:r>
          </w:p>
        </w:tc>
        <w:tc>
          <w:tcPr>
            <w:tcW w:w="1860" w:type="dxa"/>
          </w:tcPr>
          <w:p w:rsidR="00014AA6" w:rsidRPr="00CE2578" w:rsidP="000E18DD" w14:paraId="12DB8591" w14:textId="1A84AE92">
            <w:pPr>
              <w:pStyle w:val="TableParagraph"/>
              <w:spacing w:before="1"/>
              <w:jc w:val="center"/>
              <w:rPr>
                <w:rFonts w:ascii="Times New Roman" w:eastAsia="Times New Roman" w:hAnsi="Times New Roman" w:cs="Times New Roman"/>
                <w:sz w:val="20"/>
                <w:szCs w:val="20"/>
              </w:rPr>
            </w:pPr>
            <w:r w:rsidRPr="00CE2578">
              <w:rPr>
                <w:rFonts w:ascii="Times New Roman" w:hAnsi="Times New Roman" w:cs="Times New Roman"/>
                <w:sz w:val="20"/>
                <w:szCs w:val="20"/>
              </w:rPr>
              <w:t>3 hours</w:t>
            </w:r>
          </w:p>
        </w:tc>
        <w:tc>
          <w:tcPr>
            <w:tcW w:w="1607" w:type="dxa"/>
          </w:tcPr>
          <w:p w:rsidR="00014AA6" w:rsidRPr="00CE2578" w:rsidP="000E18DD" w14:paraId="0A9FB8B6" w14:textId="6F29C8F0">
            <w:pPr>
              <w:pStyle w:val="TableParagraph"/>
              <w:spacing w:before="1"/>
              <w:jc w:val="center"/>
              <w:rPr>
                <w:rFonts w:ascii="Times New Roman" w:eastAsia="Times New Roman" w:hAnsi="Times New Roman" w:cs="Times New Roman"/>
                <w:sz w:val="20"/>
                <w:szCs w:val="20"/>
              </w:rPr>
            </w:pPr>
            <w:r w:rsidRPr="00CE2578">
              <w:rPr>
                <w:rFonts w:ascii="Times New Roman" w:hAnsi="Times New Roman" w:cs="Times New Roman"/>
                <w:sz w:val="20"/>
                <w:szCs w:val="20"/>
              </w:rPr>
              <w:t>3 hours</w:t>
            </w:r>
          </w:p>
        </w:tc>
        <w:tc>
          <w:tcPr>
            <w:tcW w:w="1313" w:type="dxa"/>
          </w:tcPr>
          <w:p w:rsidR="00014AA6" w:rsidRPr="00CE2578" w:rsidP="000E18DD" w14:paraId="2C7DD7F7" w14:textId="3936E2E5">
            <w:pPr>
              <w:jc w:val="center"/>
              <w:rPr>
                <w:sz w:val="20"/>
              </w:rPr>
            </w:pPr>
            <w:r w:rsidRPr="00CE2578">
              <w:rPr>
                <w:sz w:val="20"/>
              </w:rPr>
              <w:t>$33.54</w:t>
            </w:r>
          </w:p>
        </w:tc>
        <w:tc>
          <w:tcPr>
            <w:tcW w:w="1839" w:type="dxa"/>
          </w:tcPr>
          <w:p w:rsidR="00014AA6" w:rsidRPr="00CE2578" w:rsidP="000E18DD" w14:paraId="72D2DAE5" w14:textId="38AEA66C">
            <w:pPr>
              <w:jc w:val="center"/>
              <w:rPr>
                <w:sz w:val="20"/>
              </w:rPr>
            </w:pPr>
            <w:r w:rsidRPr="00CE2578">
              <w:rPr>
                <w:sz w:val="20"/>
              </w:rPr>
              <w:t>$</w:t>
            </w:r>
            <w:r w:rsidRPr="00CE2578" w:rsidR="00D33668">
              <w:rPr>
                <w:sz w:val="20"/>
              </w:rPr>
              <w:t>100.62</w:t>
            </w:r>
          </w:p>
        </w:tc>
      </w:tr>
      <w:tr w14:paraId="478628E9" w14:textId="77777777" w:rsidTr="7B0CA740">
        <w:tblPrEx>
          <w:tblW w:w="9514" w:type="dxa"/>
          <w:tblLayout w:type="fixed"/>
          <w:tblCellMar>
            <w:left w:w="0" w:type="dxa"/>
            <w:right w:w="0" w:type="dxa"/>
          </w:tblCellMar>
          <w:tblLook w:val="01E0"/>
        </w:tblPrEx>
        <w:trPr>
          <w:trHeight w:val="497"/>
        </w:trPr>
        <w:tc>
          <w:tcPr>
            <w:tcW w:w="1335" w:type="dxa"/>
          </w:tcPr>
          <w:p w:rsidR="00537EBA" w:rsidRPr="00CE2578" w:rsidP="000E18DD" w14:paraId="23DEF8F9" w14:textId="4BB21F78">
            <w:pPr>
              <w:jc w:val="center"/>
              <w:rPr>
                <w:b/>
                <w:bCs/>
                <w:sz w:val="20"/>
              </w:rPr>
            </w:pPr>
            <w:r w:rsidRPr="00CE2578">
              <w:rPr>
                <w:b/>
                <w:bCs/>
                <w:sz w:val="20"/>
              </w:rPr>
              <w:t>Total/Average</w:t>
            </w:r>
          </w:p>
        </w:tc>
        <w:tc>
          <w:tcPr>
            <w:tcW w:w="1560" w:type="dxa"/>
          </w:tcPr>
          <w:p w:rsidR="00537EBA" w:rsidRPr="00CE2578" w:rsidP="000E18DD" w14:paraId="3C02303D" w14:textId="7A691305">
            <w:pPr>
              <w:pStyle w:val="TableParagraph"/>
              <w:spacing w:before="1"/>
              <w:ind w:left="468"/>
              <w:jc w:val="center"/>
              <w:rPr>
                <w:rFonts w:ascii="Times New Roman" w:hAnsi="Times New Roman" w:cs="Times New Roman"/>
                <w:b/>
                <w:bCs/>
                <w:sz w:val="20"/>
                <w:szCs w:val="20"/>
              </w:rPr>
            </w:pPr>
            <w:r w:rsidRPr="00CE2578">
              <w:rPr>
                <w:rFonts w:ascii="Times New Roman" w:hAnsi="Times New Roman" w:cs="Times New Roman"/>
                <w:b/>
                <w:bCs/>
                <w:sz w:val="20"/>
                <w:szCs w:val="20"/>
              </w:rPr>
              <w:t>1,286</w:t>
            </w:r>
          </w:p>
        </w:tc>
        <w:tc>
          <w:tcPr>
            <w:tcW w:w="1860" w:type="dxa"/>
          </w:tcPr>
          <w:p w:rsidR="00537EBA" w:rsidRPr="00CE2578" w:rsidP="000E18DD" w14:paraId="3B016E73" w14:textId="741E9BB0">
            <w:pPr>
              <w:pStyle w:val="TableParagraph"/>
              <w:spacing w:before="1"/>
              <w:jc w:val="center"/>
              <w:rPr>
                <w:rFonts w:ascii="Times New Roman" w:hAnsi="Times New Roman" w:cs="Times New Roman"/>
                <w:b/>
                <w:bCs/>
                <w:sz w:val="20"/>
                <w:szCs w:val="20"/>
              </w:rPr>
            </w:pPr>
            <w:r w:rsidRPr="00CE2578">
              <w:rPr>
                <w:rFonts w:ascii="Times New Roman" w:hAnsi="Times New Roman" w:cs="Times New Roman"/>
                <w:b/>
                <w:bCs/>
                <w:sz w:val="20"/>
                <w:szCs w:val="20"/>
              </w:rPr>
              <w:t>13 hours (Average)</w:t>
            </w:r>
          </w:p>
        </w:tc>
        <w:tc>
          <w:tcPr>
            <w:tcW w:w="1607" w:type="dxa"/>
          </w:tcPr>
          <w:p w:rsidR="00537EBA" w:rsidRPr="00CE2578" w:rsidP="000E18DD" w14:paraId="40F706E5" w14:textId="5E454FF7">
            <w:pPr>
              <w:pStyle w:val="TableParagraph"/>
              <w:spacing w:before="1"/>
              <w:jc w:val="center"/>
              <w:rPr>
                <w:rFonts w:ascii="Times New Roman" w:hAnsi="Times New Roman" w:cs="Times New Roman"/>
                <w:sz w:val="20"/>
                <w:szCs w:val="20"/>
              </w:rPr>
            </w:pPr>
            <w:r w:rsidRPr="00CE2578">
              <w:rPr>
                <w:rFonts w:ascii="Times New Roman" w:hAnsi="Times New Roman" w:cs="Times New Roman"/>
                <w:b/>
                <w:bCs/>
                <w:sz w:val="20"/>
                <w:szCs w:val="20"/>
              </w:rPr>
              <w:t>13,039 hours</w:t>
            </w:r>
          </w:p>
        </w:tc>
        <w:tc>
          <w:tcPr>
            <w:tcW w:w="1313" w:type="dxa"/>
          </w:tcPr>
          <w:p w:rsidR="00537EBA" w:rsidRPr="00F9427E" w:rsidP="000E18DD" w14:paraId="5FD06637" w14:textId="16F73CDC">
            <w:pPr>
              <w:jc w:val="center"/>
              <w:rPr>
                <w:b/>
                <w:bCs/>
                <w:sz w:val="20"/>
              </w:rPr>
            </w:pPr>
            <w:r w:rsidRPr="00F9427E">
              <w:rPr>
                <w:b/>
                <w:bCs/>
                <w:sz w:val="20"/>
              </w:rPr>
              <w:t>$33.54</w:t>
            </w:r>
          </w:p>
        </w:tc>
        <w:tc>
          <w:tcPr>
            <w:tcW w:w="1839" w:type="dxa"/>
          </w:tcPr>
          <w:p w:rsidR="00537EBA" w:rsidRPr="00F9427E" w:rsidP="000E18DD" w14:paraId="58EE42D1" w14:textId="00621063">
            <w:pPr>
              <w:jc w:val="center"/>
              <w:rPr>
                <w:b/>
                <w:bCs/>
                <w:sz w:val="20"/>
              </w:rPr>
            </w:pPr>
            <w:r w:rsidRPr="00F9427E">
              <w:rPr>
                <w:b/>
                <w:bCs/>
                <w:sz w:val="20"/>
              </w:rPr>
              <w:t>$439,441.08</w:t>
            </w:r>
          </w:p>
        </w:tc>
      </w:tr>
    </w:tbl>
    <w:p w:rsidR="00C7270E" w:rsidP="008D064C" w14:paraId="0C53F3D5" w14:textId="77777777">
      <w:pPr>
        <w:spacing w:line="300" w:lineRule="atLeast"/>
        <w:ind w:left="360"/>
        <w:rPr>
          <w:szCs w:val="24"/>
          <w:highlight w:val="yellow"/>
        </w:rPr>
      </w:pPr>
    </w:p>
    <w:p w:rsidR="008D064C" w:rsidRPr="005248D7" w:rsidP="008D064C" w14:paraId="7E8C39B3" w14:textId="3AFBDDF3">
      <w:pPr>
        <w:spacing w:line="300" w:lineRule="atLeast"/>
        <w:ind w:left="360"/>
        <w:rPr>
          <w:szCs w:val="24"/>
        </w:rPr>
      </w:pPr>
      <w:r w:rsidRPr="00F9427E">
        <w:rPr>
          <w:szCs w:val="24"/>
        </w:rPr>
        <w:t>Respondents are typically Federal employees</w:t>
      </w:r>
      <w:r w:rsidRPr="00F9427E" w:rsidR="000F75D4">
        <w:rPr>
          <w:szCs w:val="24"/>
        </w:rPr>
        <w:t>,</w:t>
      </w:r>
      <w:r w:rsidRPr="00F9427E">
        <w:rPr>
          <w:szCs w:val="24"/>
        </w:rPr>
        <w:t xml:space="preserve"> former employees</w:t>
      </w:r>
      <w:r w:rsidRPr="00F9427E" w:rsidR="006E624F">
        <w:rPr>
          <w:szCs w:val="24"/>
        </w:rPr>
        <w:t xml:space="preserve">, </w:t>
      </w:r>
      <w:r w:rsidRPr="00F9427E" w:rsidR="000F75D4">
        <w:rPr>
          <w:szCs w:val="24"/>
        </w:rPr>
        <w:t>or beneficiaries</w:t>
      </w:r>
      <w:r w:rsidRPr="00F9427E" w:rsidR="00B349D0">
        <w:rPr>
          <w:szCs w:val="24"/>
        </w:rPr>
        <w:t xml:space="preserve"> of Federal employee benefits</w:t>
      </w:r>
      <w:r w:rsidRPr="00F9427E">
        <w:rPr>
          <w:szCs w:val="24"/>
        </w:rPr>
        <w:t>; salary references can be drawn from the BLS “All Occupations</w:t>
      </w:r>
      <w:r w:rsidRPr="00F9427E" w:rsidR="00F9427E">
        <w:rPr>
          <w:szCs w:val="24"/>
        </w:rPr>
        <w:t>.</w:t>
      </w:r>
      <w:r w:rsidRPr="00F9427E">
        <w:rPr>
          <w:szCs w:val="24"/>
        </w:rPr>
        <w:t xml:space="preserve">” </w:t>
      </w:r>
    </w:p>
    <w:p w:rsidR="00B07A1E" w:rsidP="00507962" w14:paraId="46C8A10A" w14:textId="6E7A67D8">
      <w:pPr>
        <w:pStyle w:val="BodyTextIndent"/>
        <w:tabs>
          <w:tab w:val="clear" w:pos="720"/>
        </w:tabs>
        <w:ind w:left="0"/>
        <w:jc w:val="left"/>
        <w:rPr>
          <w:b/>
        </w:rPr>
      </w:pPr>
    </w:p>
    <w:p w:rsidR="00164D2D" w:rsidRPr="000E7D65" w:rsidP="0004192C" w14:paraId="7A1EA35B" w14:textId="500F4B62">
      <w:pPr>
        <w:pStyle w:val="ListParagraph"/>
        <w:numPr>
          <w:ilvl w:val="0"/>
          <w:numId w:val="1"/>
        </w:numPr>
        <w:shd w:val="clear" w:color="auto" w:fill="D9D9D9" w:themeFill="background1" w:themeFillShade="D9"/>
        <w:spacing w:after="200" w:line="276" w:lineRule="auto"/>
        <w:rPr>
          <w:rFonts w:ascii="Times New Roman" w:hAnsi="Times New Roman"/>
          <w:i/>
          <w:color w:val="000000" w:themeColor="text1"/>
          <w:highlight w:val="lightGray"/>
        </w:rPr>
      </w:pPr>
      <w:r w:rsidRPr="000E7D65">
        <w:rPr>
          <w:rFonts w:ascii="Times New Roman" w:hAnsi="Times New Roman"/>
          <w:i/>
          <w:color w:val="000000" w:themeColor="text1"/>
          <w:highlight w:val="lightGray"/>
        </w:rPr>
        <w:t xml:space="preserve">Describe the </w:t>
      </w:r>
      <w:r w:rsidRPr="000E7D65" w:rsidR="002D4FA9">
        <w:rPr>
          <w:rFonts w:ascii="Times New Roman" w:hAnsi="Times New Roman"/>
          <w:i/>
          <w:color w:val="000000" w:themeColor="text1"/>
          <w:highlight w:val="lightGray"/>
        </w:rPr>
        <w:t xml:space="preserve">non-hourly </w:t>
      </w:r>
      <w:r w:rsidRPr="000E7D65">
        <w:rPr>
          <w:rFonts w:ascii="Times New Roman" w:hAnsi="Times New Roman"/>
          <w:i/>
          <w:color w:val="000000" w:themeColor="text1"/>
          <w:highlight w:val="lightGray"/>
        </w:rPr>
        <w:t xml:space="preserve">monetary burden </w:t>
      </w:r>
      <w:r w:rsidRPr="000E7D65">
        <w:rPr>
          <w:rFonts w:ascii="Times New Roman" w:hAnsi="Times New Roman"/>
          <w:i/>
          <w:color w:val="000000" w:themeColor="text1"/>
          <w:highlight w:val="lightGray"/>
        </w:rPr>
        <w:t>to</w:t>
      </w:r>
      <w:r w:rsidRPr="000E7D65">
        <w:rPr>
          <w:rFonts w:ascii="Times New Roman" w:hAnsi="Times New Roman"/>
          <w:i/>
          <w:color w:val="000000" w:themeColor="text1"/>
          <w:highlight w:val="lightGray"/>
        </w:rPr>
        <w:t xml:space="preserve"> respondents needed to complete this collection.</w:t>
      </w:r>
      <w:r w:rsidRPr="000E7D65" w:rsidR="00E04E9B">
        <w:rPr>
          <w:rFonts w:ascii="Times New Roman" w:hAnsi="Times New Roman"/>
          <w:i/>
          <w:color w:val="000000" w:themeColor="text1"/>
          <w:highlight w:val="lightGray"/>
        </w:rPr>
        <w:t xml:space="preserve"> </w:t>
      </w:r>
      <w:r w:rsidRPr="000E7D65" w:rsidR="004679E2">
        <w:rPr>
          <w:rFonts w:ascii="Times New Roman" w:hAnsi="Times New Roman"/>
          <w:i/>
          <w:color w:val="000000" w:themeColor="text1"/>
          <w:highlight w:val="lightGray"/>
        </w:rPr>
        <w:t xml:space="preserve">This </w:t>
      </w:r>
      <w:r w:rsidRPr="000E7D65" w:rsidR="00130FEC">
        <w:rPr>
          <w:rFonts w:ascii="Times New Roman" w:hAnsi="Times New Roman"/>
          <w:i/>
          <w:color w:val="000000" w:themeColor="text1"/>
          <w:highlight w:val="lightGray"/>
        </w:rPr>
        <w:t>is</w:t>
      </w:r>
      <w:r w:rsidRPr="000E7D65" w:rsidR="00495AF7">
        <w:rPr>
          <w:rFonts w:ascii="Times New Roman" w:hAnsi="Times New Roman"/>
          <w:i/>
          <w:color w:val="000000" w:themeColor="text1"/>
          <w:highlight w:val="lightGray"/>
        </w:rPr>
        <w:t xml:space="preserve"> </w:t>
      </w:r>
      <w:r w:rsidRPr="000E7D65" w:rsidR="00B326C3">
        <w:rPr>
          <w:rFonts w:ascii="Times New Roman" w:hAnsi="Times New Roman"/>
          <w:i/>
          <w:color w:val="000000" w:themeColor="text1"/>
          <w:highlight w:val="lightGray"/>
        </w:rPr>
        <w:t xml:space="preserve">defined as </w:t>
      </w:r>
      <w:r w:rsidRPr="000E7D65" w:rsidR="00EB49B8">
        <w:rPr>
          <w:rFonts w:ascii="Times New Roman" w:hAnsi="Times New Roman"/>
          <w:i/>
          <w:color w:val="000000" w:themeColor="text1"/>
          <w:highlight w:val="lightGray"/>
        </w:rPr>
        <w:t>out-of-pocket</w:t>
      </w:r>
      <w:r w:rsidRPr="000E7D65" w:rsidR="00495AF7">
        <w:rPr>
          <w:rFonts w:ascii="Times New Roman" w:hAnsi="Times New Roman"/>
          <w:i/>
          <w:color w:val="000000" w:themeColor="text1"/>
          <w:highlight w:val="lightGray"/>
        </w:rPr>
        <w:t xml:space="preserve"> costs such as application fees</w:t>
      </w:r>
      <w:r w:rsidRPr="000E7D65" w:rsidR="005D30C2">
        <w:rPr>
          <w:rFonts w:ascii="Times New Roman" w:hAnsi="Times New Roman"/>
          <w:i/>
          <w:color w:val="000000" w:themeColor="text1"/>
          <w:highlight w:val="lightGray"/>
        </w:rPr>
        <w:t xml:space="preserve"> for the collection</w:t>
      </w:r>
      <w:r w:rsidRPr="000E7D65" w:rsidR="00495AF7">
        <w:rPr>
          <w:rFonts w:ascii="Times New Roman" w:hAnsi="Times New Roman"/>
          <w:i/>
          <w:color w:val="000000" w:themeColor="text1"/>
          <w:highlight w:val="lightGray"/>
        </w:rPr>
        <w:t>, document fees</w:t>
      </w:r>
      <w:r w:rsidRPr="000E7D65" w:rsidR="005D30C2">
        <w:rPr>
          <w:rFonts w:ascii="Times New Roman" w:hAnsi="Times New Roman"/>
          <w:i/>
          <w:color w:val="000000" w:themeColor="text1"/>
          <w:highlight w:val="lightGray"/>
        </w:rPr>
        <w:t xml:space="preserve"> (</w:t>
      </w:r>
      <w:hyperlink r:id="rId7" w:history="1">
        <w:r w:rsidRPr="002B4D8E" w:rsidR="005D30C2">
          <w:rPr>
            <w:rStyle w:val="Hyperlink"/>
            <w:rFonts w:ascii="Times New Roman" w:hAnsi="Times New Roman"/>
            <w:i/>
            <w:highlight w:val="lightGray"/>
          </w:rPr>
          <w:t>birth</w:t>
        </w:r>
        <w:r w:rsidRPr="002B4D8E" w:rsidR="002B4D8E">
          <w:rPr>
            <w:rStyle w:val="Hyperlink"/>
            <w:rFonts w:ascii="Times New Roman" w:hAnsi="Times New Roman"/>
            <w:i/>
            <w:highlight w:val="lightGray"/>
          </w:rPr>
          <w:t>/death</w:t>
        </w:r>
        <w:r w:rsidRPr="002B4D8E" w:rsidR="005D30C2">
          <w:rPr>
            <w:rStyle w:val="Hyperlink"/>
            <w:rFonts w:ascii="Times New Roman" w:hAnsi="Times New Roman"/>
            <w:i/>
            <w:highlight w:val="lightGray"/>
          </w:rPr>
          <w:t xml:space="preserve"> certificates</w:t>
        </w:r>
      </w:hyperlink>
      <w:r w:rsidRPr="000E7D65" w:rsidR="005D30C2">
        <w:rPr>
          <w:rFonts w:ascii="Times New Roman" w:hAnsi="Times New Roman"/>
          <w:i/>
          <w:color w:val="000000" w:themeColor="text1"/>
          <w:highlight w:val="lightGray"/>
        </w:rPr>
        <w:t>, school transcripts)</w:t>
      </w:r>
      <w:r w:rsidRPr="000E7D65" w:rsidR="00F94CD1">
        <w:rPr>
          <w:rFonts w:ascii="Times New Roman" w:hAnsi="Times New Roman"/>
          <w:i/>
          <w:color w:val="000000" w:themeColor="text1"/>
          <w:highlight w:val="lightGray"/>
        </w:rPr>
        <w:t>, mailing costs</w:t>
      </w:r>
      <w:r w:rsidRPr="000E7D65" w:rsidR="00EB49B8">
        <w:rPr>
          <w:rFonts w:ascii="Times New Roman" w:hAnsi="Times New Roman"/>
          <w:i/>
          <w:color w:val="000000" w:themeColor="text1"/>
          <w:highlight w:val="lightGray"/>
        </w:rPr>
        <w:t xml:space="preserve"> </w:t>
      </w:r>
      <w:r w:rsidRPr="000E7D65" w:rsidR="005940E3">
        <w:rPr>
          <w:rFonts w:ascii="Times New Roman" w:hAnsi="Times New Roman"/>
          <w:i/>
          <w:color w:val="000000" w:themeColor="text1"/>
          <w:highlight w:val="lightGray"/>
        </w:rPr>
        <w:t>(</w:t>
      </w:r>
      <w:hyperlink r:id="rId8" w:history="1">
        <w:r w:rsidRPr="002B4D8E" w:rsidR="004679E2">
          <w:rPr>
            <w:rStyle w:val="Hyperlink"/>
            <w:rFonts w:ascii="Times New Roman" w:hAnsi="Times New Roman"/>
            <w:i/>
            <w:highlight w:val="lightGray"/>
          </w:rPr>
          <w:t>printing</w:t>
        </w:r>
      </w:hyperlink>
      <w:r w:rsidRPr="000E7D65" w:rsidR="004679E2">
        <w:rPr>
          <w:rFonts w:ascii="Times New Roman" w:hAnsi="Times New Roman"/>
          <w:i/>
          <w:color w:val="000000" w:themeColor="text1"/>
          <w:highlight w:val="lightGray"/>
        </w:rPr>
        <w:t xml:space="preserve">, </w:t>
      </w:r>
      <w:hyperlink r:id="rId9" w:history="1">
        <w:r w:rsidRPr="002B4D8E" w:rsidR="005940E3">
          <w:rPr>
            <w:rStyle w:val="Hyperlink"/>
            <w:rFonts w:ascii="Times New Roman" w:hAnsi="Times New Roman"/>
            <w:i/>
            <w:highlight w:val="lightGray"/>
          </w:rPr>
          <w:t>postage</w:t>
        </w:r>
      </w:hyperlink>
      <w:r w:rsidRPr="000E7D65" w:rsidR="004679E2">
        <w:rPr>
          <w:rFonts w:ascii="Times New Roman" w:hAnsi="Times New Roman"/>
          <w:i/>
          <w:color w:val="000000" w:themeColor="text1"/>
          <w:highlight w:val="lightGray"/>
        </w:rPr>
        <w:t>,</w:t>
      </w:r>
      <w:r w:rsidRPr="000E7D65" w:rsidR="005940E3">
        <w:rPr>
          <w:rFonts w:ascii="Times New Roman" w:hAnsi="Times New Roman"/>
          <w:i/>
          <w:color w:val="000000" w:themeColor="text1"/>
          <w:highlight w:val="lightGray"/>
        </w:rPr>
        <w:t xml:space="preserve"> and/or </w:t>
      </w:r>
      <w:hyperlink r:id="rId10" w:history="1">
        <w:r w:rsidRPr="002B4D8E" w:rsidR="005940E3">
          <w:rPr>
            <w:rStyle w:val="Hyperlink"/>
            <w:rFonts w:ascii="Times New Roman" w:hAnsi="Times New Roman"/>
            <w:i/>
            <w:highlight w:val="lightGray"/>
          </w:rPr>
          <w:t>mileage</w:t>
        </w:r>
      </w:hyperlink>
      <w:r w:rsidRPr="000E7D65" w:rsidR="005940E3">
        <w:rPr>
          <w:rFonts w:ascii="Times New Roman" w:hAnsi="Times New Roman"/>
          <w:i/>
          <w:color w:val="000000" w:themeColor="text1"/>
          <w:highlight w:val="lightGray"/>
        </w:rPr>
        <w:t>)</w:t>
      </w:r>
      <w:r w:rsidRPr="000E7D65" w:rsidR="00EB49B8">
        <w:rPr>
          <w:rFonts w:ascii="Times New Roman" w:hAnsi="Times New Roman"/>
          <w:i/>
          <w:color w:val="000000" w:themeColor="text1"/>
          <w:highlight w:val="lightGray"/>
        </w:rPr>
        <w:t>, or anything else respondents</w:t>
      </w:r>
      <w:r w:rsidRPr="000E7D65" w:rsidR="005940E3">
        <w:rPr>
          <w:rFonts w:ascii="Times New Roman" w:hAnsi="Times New Roman"/>
          <w:i/>
          <w:color w:val="000000" w:themeColor="text1"/>
          <w:highlight w:val="lightGray"/>
        </w:rPr>
        <w:t xml:space="preserve"> </w:t>
      </w:r>
      <w:r w:rsidRPr="000E7D65" w:rsidR="00E74BFB">
        <w:rPr>
          <w:rFonts w:ascii="Times New Roman" w:hAnsi="Times New Roman"/>
          <w:i/>
          <w:color w:val="000000" w:themeColor="text1"/>
          <w:highlight w:val="lightGray"/>
        </w:rPr>
        <w:t>may need to pay to complete</w:t>
      </w:r>
      <w:r w:rsidRPr="000E7D65" w:rsidR="007126D9">
        <w:rPr>
          <w:rFonts w:ascii="Times New Roman" w:hAnsi="Times New Roman"/>
          <w:i/>
          <w:color w:val="000000" w:themeColor="text1"/>
          <w:highlight w:val="lightGray"/>
        </w:rPr>
        <w:t xml:space="preserve"> and/or implement </w:t>
      </w:r>
      <w:r w:rsidRPr="000E7D65" w:rsidR="00E74BFB">
        <w:rPr>
          <w:rFonts w:ascii="Times New Roman" w:hAnsi="Times New Roman"/>
          <w:i/>
          <w:color w:val="000000" w:themeColor="text1"/>
          <w:highlight w:val="lightGray"/>
        </w:rPr>
        <w:t>the collection</w:t>
      </w:r>
      <w:r w:rsidRPr="000E7D65" w:rsidR="00F94CD1">
        <w:rPr>
          <w:rFonts w:ascii="Times New Roman" w:hAnsi="Times New Roman"/>
          <w:i/>
          <w:color w:val="000000" w:themeColor="text1"/>
          <w:highlight w:val="lightGray"/>
        </w:rPr>
        <w:t>.</w:t>
      </w:r>
    </w:p>
    <w:p w:rsidR="008D064C" w:rsidRPr="0004192C" w:rsidP="008D064C" w14:paraId="63CF2A2E" w14:textId="044F67DC">
      <w:pPr>
        <w:spacing w:line="300" w:lineRule="atLeast"/>
        <w:ind w:left="360"/>
        <w:rPr>
          <w:szCs w:val="24"/>
        </w:rPr>
      </w:pPr>
      <w:r w:rsidRPr="0004192C">
        <w:rPr>
          <w:szCs w:val="24"/>
        </w:rPr>
        <w:t xml:space="preserve">None. There are no application fees, mailing requirements, or documentation fees. All submissions occur electronically through the </w:t>
      </w:r>
      <w:r w:rsidR="0004192C">
        <w:rPr>
          <w:szCs w:val="24"/>
        </w:rPr>
        <w:t>E-File</w:t>
      </w:r>
      <w:r w:rsidRPr="0004192C">
        <w:rPr>
          <w:szCs w:val="24"/>
        </w:rPr>
        <w:t xml:space="preserve"> system</w:t>
      </w:r>
      <w:r w:rsidR="00F8626E">
        <w:rPr>
          <w:szCs w:val="24"/>
        </w:rPr>
        <w:t>, which is made available to the public without charge</w:t>
      </w:r>
      <w:r w:rsidRPr="0004192C">
        <w:rPr>
          <w:szCs w:val="24"/>
        </w:rPr>
        <w:t>.</w:t>
      </w:r>
    </w:p>
    <w:p w:rsidR="003343AA" w:rsidRPr="000E7D65" w:rsidP="003343AA" w14:paraId="7125B628" w14:textId="77777777">
      <w:pPr>
        <w:numPr>
          <w:ilvl w:val="0"/>
          <w:numId w:val="1"/>
        </w:numPr>
        <w:rPr>
          <w:i/>
          <w:color w:val="000000" w:themeColor="text1"/>
          <w:szCs w:val="24"/>
          <w:highlight w:val="lightGray"/>
        </w:rPr>
      </w:pPr>
      <w:r w:rsidRPr="000E7D65">
        <w:rPr>
          <w:i/>
          <w:color w:val="000000" w:themeColor="text1"/>
          <w:szCs w:val="24"/>
          <w:highlight w:val="lightGray"/>
        </w:rPr>
        <w:t>Describe the cost incurred by the Federal Government to complete this collection.</w:t>
      </w:r>
    </w:p>
    <w:p w:rsidR="00E63E9E" w:rsidP="00E63E9E" w14:paraId="649F6CFB" w14:textId="50FC19BF">
      <w:pPr>
        <w:shd w:val="clear" w:color="auto" w:fill="FFFFFF" w:themeFill="background1"/>
        <w:ind w:left="720"/>
        <w:rPr>
          <w:color w:val="000000" w:themeColor="text1"/>
        </w:rPr>
      </w:pPr>
      <w:r w:rsidRPr="6F6AF169">
        <w:rPr>
          <w:color w:val="000000" w:themeColor="text1"/>
        </w:rPr>
        <w:t xml:space="preserve">For suitability appeals, </w:t>
      </w:r>
      <w:r w:rsidRPr="6F6AF169" w:rsidR="4FD6FDA1">
        <w:rPr>
          <w:color w:val="000000" w:themeColor="text1"/>
        </w:rPr>
        <w:t xml:space="preserve">OPM estimates that, in the first year following </w:t>
      </w:r>
      <w:r w:rsidRPr="51E21044" w:rsidR="4FD6FDA1">
        <w:rPr>
          <w:color w:val="000000" w:themeColor="text1"/>
        </w:rPr>
        <w:t>implementation of this process</w:t>
      </w:r>
      <w:r w:rsidRPr="6F6AF169" w:rsidR="4FD6FDA1">
        <w:rPr>
          <w:color w:val="000000" w:themeColor="text1"/>
        </w:rPr>
        <w:t xml:space="preserve">, affected agencies will spend an average of 80 hours updating policies and procedures. This results in an estimated one-time implementation cost of approximately $12,500 per agency and approximately $1 million governmentwide. </w:t>
      </w:r>
      <w:r w:rsidRPr="2BF06ABD" w:rsidR="0E45ACA7">
        <w:rPr>
          <w:color w:val="000000" w:themeColor="text1"/>
        </w:rPr>
        <w:t>Taking into account</w:t>
      </w:r>
      <w:r w:rsidRPr="2BF06ABD" w:rsidR="0E45ACA7">
        <w:rPr>
          <w:color w:val="000000" w:themeColor="text1"/>
        </w:rPr>
        <w:t xml:space="preserve"> approximately $7.35 million in annual avoided MSPB-related costs and approximately $1.52 million in annual costs to operate the OPM suitability-</w:t>
      </w:r>
      <w:r w:rsidRPr="2BF06ABD" w:rsidR="0E45ACA7">
        <w:rPr>
          <w:color w:val="000000" w:themeColor="text1"/>
        </w:rPr>
        <w:t>action appeal</w:t>
      </w:r>
      <w:r w:rsidRPr="2BF06ABD" w:rsidR="0E45ACA7">
        <w:rPr>
          <w:color w:val="000000" w:themeColor="text1"/>
        </w:rPr>
        <w:t xml:space="preserve"> process, this final rule is expected to result in annual net savings to the Government of approximately $5.83 million. These recurring annual savings are separate from the one-time implementation costs of approximately $1 million.  </w:t>
      </w:r>
      <w:r w:rsidRPr="2BF06ABD" w:rsidR="4FD6FDA1">
        <w:rPr>
          <w:color w:val="000000" w:themeColor="text1"/>
        </w:rPr>
        <w:t xml:space="preserve">  </w:t>
      </w:r>
    </w:p>
    <w:p w:rsidR="00E63E9E" w:rsidP="00E63E9E" w14:paraId="5324D3D7" w14:textId="77777777">
      <w:pPr>
        <w:shd w:val="clear" w:color="auto" w:fill="FFFFFF" w:themeFill="background1"/>
        <w:ind w:left="720"/>
        <w:rPr>
          <w:iCs/>
          <w:color w:val="000000" w:themeColor="text1"/>
          <w:szCs w:val="24"/>
        </w:rPr>
      </w:pPr>
    </w:p>
    <w:p w:rsidR="00E63E9E" w:rsidP="00E63E9E" w14:paraId="46DFC635" w14:textId="7274860E">
      <w:pPr>
        <w:shd w:val="clear" w:color="auto" w:fill="FFFFFF" w:themeFill="background1"/>
        <w:ind w:left="720"/>
        <w:rPr>
          <w:color w:val="000000" w:themeColor="text1"/>
        </w:rPr>
      </w:pPr>
      <w:r w:rsidRPr="660A1B17">
        <w:rPr>
          <w:color w:val="000000" w:themeColor="text1"/>
        </w:rPr>
        <w:t xml:space="preserve">Regarding RIF appeals, </w:t>
      </w:r>
      <w:r w:rsidRPr="660A1B17" w:rsidR="636C3854">
        <w:rPr>
          <w:color w:val="000000" w:themeColor="text1"/>
        </w:rPr>
        <w:t xml:space="preserve">OPM estimates </w:t>
      </w:r>
      <w:r w:rsidRPr="4548EC56" w:rsidR="636C3854">
        <w:rPr>
          <w:color w:val="000000" w:themeColor="text1"/>
        </w:rPr>
        <w:t>an annual</w:t>
      </w:r>
      <w:r w:rsidRPr="660A1B17" w:rsidR="636C3854">
        <w:rPr>
          <w:color w:val="000000" w:themeColor="text1"/>
        </w:rPr>
        <w:t xml:space="preserve"> recurring savings of approximately $5.65 </w:t>
      </w:r>
      <w:r w:rsidRPr="331DEFA7" w:rsidR="636C3854">
        <w:rPr>
          <w:color w:val="000000" w:themeColor="text1"/>
        </w:rPr>
        <w:t>million</w:t>
      </w:r>
      <w:r w:rsidRPr="331DEFA7" w:rsidR="12D1CE6E">
        <w:rPr>
          <w:color w:val="000000" w:themeColor="text1"/>
        </w:rPr>
        <w:t>, with</w:t>
      </w:r>
      <w:r w:rsidRPr="660A1B17" w:rsidR="636C3854">
        <w:rPr>
          <w:color w:val="000000" w:themeColor="text1"/>
        </w:rPr>
        <w:t xml:space="preserve"> annual status quo costs of approximately $7.51 million and annual OPM-process costs of approximately $1.87 million.</w:t>
      </w:r>
    </w:p>
    <w:p w:rsidR="00E63E9E" w:rsidP="00DC5521" w14:paraId="23B28C39" w14:textId="77777777">
      <w:pPr>
        <w:shd w:val="clear" w:color="auto" w:fill="FFFFFF" w:themeFill="background1"/>
        <w:ind w:left="720"/>
        <w:rPr>
          <w:iCs/>
          <w:color w:val="000000" w:themeColor="text1"/>
          <w:szCs w:val="24"/>
        </w:rPr>
      </w:pPr>
    </w:p>
    <w:p w:rsidR="00F95A84" w:rsidP="00DC5521" w14:paraId="6873EBA7" w14:textId="0BA3F469">
      <w:pPr>
        <w:shd w:val="clear" w:color="auto" w:fill="FFFFFF" w:themeFill="background1"/>
        <w:ind w:left="720"/>
        <w:rPr>
          <w:color w:val="000000" w:themeColor="text1"/>
        </w:rPr>
      </w:pPr>
      <w:r w:rsidRPr="1A005C84">
        <w:rPr>
          <w:color w:val="000000" w:themeColor="text1"/>
        </w:rPr>
        <w:t xml:space="preserve">For probationary and trial appeals, </w:t>
      </w:r>
      <w:r w:rsidRPr="3DA5D771" w:rsidR="6EE2834A">
        <w:rPr>
          <w:color w:val="000000" w:themeColor="text1"/>
        </w:rPr>
        <w:t xml:space="preserve">OPM estimates that the </w:t>
      </w:r>
      <w:r w:rsidRPr="70C9D2D4" w:rsidR="0905EF2C">
        <w:rPr>
          <w:color w:val="000000" w:themeColor="text1"/>
        </w:rPr>
        <w:t>process</w:t>
      </w:r>
      <w:r w:rsidRPr="3DA5D771" w:rsidR="6EE2834A">
        <w:rPr>
          <w:color w:val="000000" w:themeColor="text1"/>
        </w:rPr>
        <w:t xml:space="preserve"> will impose quantified recurring annual net costs of approximately $2.5 million, and first-year net costs of approximately $3.8 million including implementation costs, while producing adjudicatory savings and important non-quantified benefits from a streamlined, OPM-administered appeal process.</w:t>
      </w:r>
    </w:p>
    <w:p w:rsidR="00B518B1" w:rsidP="00DC5521" w14:paraId="2D595CE9" w14:textId="77777777">
      <w:pPr>
        <w:shd w:val="clear" w:color="auto" w:fill="FFFFFF" w:themeFill="background1"/>
        <w:ind w:left="720"/>
        <w:rPr>
          <w:iCs/>
          <w:color w:val="000000" w:themeColor="text1"/>
          <w:szCs w:val="24"/>
        </w:rPr>
      </w:pPr>
    </w:p>
    <w:p w:rsidR="0042410A" w:rsidP="0042410A" w14:paraId="4DF02772" w14:textId="4524D43C">
      <w:pPr>
        <w:shd w:val="clear" w:color="auto" w:fill="FFFFFF" w:themeFill="background1"/>
        <w:ind w:left="720"/>
        <w:rPr>
          <w:iCs/>
          <w:color w:val="000000" w:themeColor="text1"/>
          <w:szCs w:val="24"/>
        </w:rPr>
      </w:pPr>
      <w:r w:rsidRPr="5D16F552">
        <w:rPr>
          <w:color w:val="000000" w:themeColor="text1"/>
        </w:rPr>
        <w:t xml:space="preserve">For compensation and leave claims, FLSA claims, and claims on behalf of deceased Federal employees or veterans, OPM reviews each submission to determine whether it meets the applicable jurisdictional and procedural requirements. Claims that do not satisfy those requirements are dismissed, and the claimant receives written notice of that determination. Claims that are accepted are assigned to an adjudicator who evaluates the merits of the claim, may conduct fact-finding as needed, and may communicate with the claimant, any designated representative, and the employing agency through the E-File system. Upon completion of the review, a written decision is issued and made available to the parties through E-File. </w:t>
      </w:r>
      <w:r w:rsidRPr="5D16F552">
        <w:rPr>
          <w:color w:val="000000" w:themeColor="text1"/>
        </w:rPr>
        <w:t>For this cost analysis, the assumed average salary rate of the paralegal specialist performing this work will be the rate in 2026 for GS-11, step 5, from the Washington, DC, locality pay table ($96,843 annual locality rate and $46.40 hourly locality rate). The assumed average salary rate of the adjudicator performing this work will be the rate in 2026 for GS-13, step 1, from the Washington, DC, locality pay table ($121,785 annual locality rate and $58.35 hourly locality rate). We assume that the total dollar value of labor, which includes wages, benefits, and overhead, is equal to 200 percent of the wage rate, resulting in an assumed labor cost of $209.50 per hour.</w:t>
      </w:r>
    </w:p>
    <w:p w:rsidR="009C3006" w:rsidP="00DC5521" w14:paraId="5F137A14" w14:textId="77777777">
      <w:pPr>
        <w:shd w:val="clear" w:color="auto" w:fill="FFFFFF" w:themeFill="background1"/>
        <w:ind w:left="720"/>
        <w:rPr>
          <w:iCs/>
          <w:color w:val="000000" w:themeColor="text1"/>
          <w:szCs w:val="24"/>
        </w:rPr>
      </w:pPr>
    </w:p>
    <w:p w:rsidR="00164D2D" w:rsidRPr="00064DA5" w14:paraId="5AE8B6D7" w14:textId="100256E8">
      <w:pPr>
        <w:numPr>
          <w:ilvl w:val="0"/>
          <w:numId w:val="1"/>
        </w:numPr>
        <w:rPr>
          <w:i/>
          <w:color w:val="000000" w:themeColor="text1"/>
          <w:szCs w:val="24"/>
          <w:highlight w:val="lightGray"/>
        </w:rPr>
      </w:pPr>
      <w:r w:rsidRPr="00064DA5">
        <w:rPr>
          <w:i/>
          <w:color w:val="000000" w:themeColor="text1"/>
          <w:highlight w:val="lightGray"/>
        </w:rPr>
        <w:t>Explain any changes/adjustments to this collection since the previous submission</w:t>
      </w:r>
      <w:r w:rsidRPr="00064DA5" w:rsidR="005D51B0">
        <w:rPr>
          <w:i/>
          <w:color w:val="000000" w:themeColor="text1"/>
          <w:highlight w:val="lightGray"/>
        </w:rPr>
        <w:t>, if applicable</w:t>
      </w:r>
      <w:r w:rsidRPr="00064DA5" w:rsidR="00387B05">
        <w:rPr>
          <w:i/>
          <w:color w:val="000000" w:themeColor="text1"/>
          <w:highlight w:val="lightGray"/>
        </w:rPr>
        <w:t xml:space="preserve">. </w:t>
      </w:r>
      <w:r w:rsidRPr="00064DA5" w:rsidR="0070743A">
        <w:rPr>
          <w:i/>
          <w:color w:val="000000" w:themeColor="text1"/>
          <w:highlight w:val="lightGray"/>
        </w:rPr>
        <w:t xml:space="preserve">Describe </w:t>
      </w:r>
      <w:r w:rsidRPr="00064DA5" w:rsidR="00615410">
        <w:rPr>
          <w:i/>
          <w:color w:val="000000" w:themeColor="text1"/>
          <w:highlight w:val="lightGray"/>
        </w:rPr>
        <w:t>whether</w:t>
      </w:r>
      <w:r w:rsidRPr="00064DA5" w:rsidR="0070743A">
        <w:rPr>
          <w:i/>
          <w:color w:val="000000" w:themeColor="text1"/>
          <w:highlight w:val="lightGray"/>
        </w:rPr>
        <w:t xml:space="preserve"> these changes impact the hour or</w:t>
      </w:r>
      <w:r w:rsidRPr="00064DA5" w:rsidR="00435714">
        <w:rPr>
          <w:i/>
          <w:color w:val="000000" w:themeColor="text1"/>
          <w:highlight w:val="lightGray"/>
        </w:rPr>
        <w:t xml:space="preserve"> cost burden. If yes, describe if the impact is</w:t>
      </w:r>
      <w:r w:rsidRPr="00064DA5" w:rsidR="003226C3">
        <w:rPr>
          <w:i/>
          <w:color w:val="000000" w:themeColor="text1"/>
          <w:highlight w:val="lightGray"/>
        </w:rPr>
        <w:t xml:space="preserve"> the result of deliberate </w:t>
      </w:r>
      <w:r w:rsidRPr="00064DA5" w:rsidR="00506CD5">
        <w:rPr>
          <w:i/>
          <w:color w:val="000000" w:themeColor="text1"/>
          <w:highlight w:val="lightGray"/>
        </w:rPr>
        <w:t>Federal government action (“</w:t>
      </w:r>
      <w:r w:rsidRPr="00064DA5" w:rsidR="007A7515">
        <w:rPr>
          <w:i/>
          <w:color w:val="000000" w:themeColor="text1"/>
          <w:highlight w:val="lightGray"/>
        </w:rPr>
        <w:t>program change</w:t>
      </w:r>
      <w:r w:rsidRPr="00064DA5" w:rsidR="00506CD5">
        <w:rPr>
          <w:i/>
          <w:color w:val="000000" w:themeColor="text1"/>
          <w:highlight w:val="lightGray"/>
        </w:rPr>
        <w:t>”)</w:t>
      </w:r>
      <w:r w:rsidRPr="00064DA5" w:rsidR="00615410">
        <w:rPr>
          <w:i/>
          <w:color w:val="000000" w:themeColor="text1"/>
          <w:highlight w:val="lightGray"/>
        </w:rPr>
        <w:t xml:space="preserve"> </w:t>
      </w:r>
      <w:r w:rsidRPr="00064DA5" w:rsidR="001C4E9D">
        <w:rPr>
          <w:i/>
          <w:color w:val="000000" w:themeColor="text1"/>
          <w:highlight w:val="lightGray"/>
        </w:rPr>
        <w:t>or</w:t>
      </w:r>
      <w:r w:rsidRPr="00064DA5" w:rsidR="007A7515">
        <w:rPr>
          <w:i/>
          <w:color w:val="000000" w:themeColor="text1"/>
          <w:highlight w:val="lightGray"/>
        </w:rPr>
        <w:t xml:space="preserve"> </w:t>
      </w:r>
      <w:r w:rsidRPr="00064DA5" w:rsidR="001C4E9D">
        <w:rPr>
          <w:i/>
          <w:color w:val="000000" w:themeColor="text1"/>
          <w:highlight w:val="lightGray"/>
        </w:rPr>
        <w:t>something else (“adjustment”)</w:t>
      </w:r>
    </w:p>
    <w:p w:rsidR="003C66E8" w:rsidRPr="0004192C" w:rsidP="008D064C" w14:paraId="7AE0D9C2" w14:textId="01002987">
      <w:pPr>
        <w:spacing w:line="300" w:lineRule="atLeast"/>
        <w:ind w:left="360"/>
        <w:rPr>
          <w:szCs w:val="24"/>
        </w:rPr>
      </w:pPr>
      <w:r>
        <w:rPr>
          <w:szCs w:val="24"/>
        </w:rPr>
        <w:t>Not applicable – this is a new collection.</w:t>
      </w:r>
    </w:p>
    <w:p w:rsidR="00164D2D" w:rsidRPr="000E7D65" w:rsidP="00164D2D" w14:paraId="0833E871" w14:textId="58BEE8B7">
      <w:pPr>
        <w:numPr>
          <w:ilvl w:val="0"/>
          <w:numId w:val="1"/>
        </w:numPr>
        <w:rPr>
          <w:i/>
          <w:color w:val="000000" w:themeColor="text1"/>
          <w:szCs w:val="24"/>
          <w:highlight w:val="lightGray"/>
        </w:rPr>
      </w:pPr>
      <w:r w:rsidRPr="000E7D65">
        <w:rPr>
          <w:i/>
          <w:color w:val="000000" w:themeColor="text1"/>
          <w:szCs w:val="24"/>
          <w:highlight w:val="lightGray"/>
        </w:rPr>
        <w:t>Specify if the data gathered by this collection will be published</w:t>
      </w:r>
      <w:r w:rsidR="00DE4C54">
        <w:rPr>
          <w:i/>
          <w:color w:val="000000" w:themeColor="text1"/>
          <w:szCs w:val="24"/>
          <w:highlight w:val="lightGray"/>
        </w:rPr>
        <w:t xml:space="preserve">. </w:t>
      </w:r>
      <w:r w:rsidR="003E1394">
        <w:rPr>
          <w:i/>
          <w:color w:val="000000" w:themeColor="text1"/>
          <w:szCs w:val="24"/>
          <w:highlight w:val="lightGray"/>
        </w:rPr>
        <w:t xml:space="preserve">This could include </w:t>
      </w:r>
      <w:r w:rsidR="00C71CDC">
        <w:rPr>
          <w:i/>
          <w:color w:val="000000" w:themeColor="text1"/>
          <w:szCs w:val="24"/>
          <w:highlight w:val="lightGray"/>
        </w:rPr>
        <w:t xml:space="preserve">Congressional reporting, </w:t>
      </w:r>
      <w:r w:rsidR="00074B07">
        <w:rPr>
          <w:i/>
          <w:color w:val="000000" w:themeColor="text1"/>
          <w:szCs w:val="24"/>
          <w:highlight w:val="lightGray"/>
        </w:rPr>
        <w:t>using respondent number</w:t>
      </w:r>
      <w:r w:rsidR="008A4E15">
        <w:rPr>
          <w:i/>
          <w:color w:val="000000" w:themeColor="text1"/>
          <w:szCs w:val="24"/>
          <w:highlight w:val="lightGray"/>
        </w:rPr>
        <w:t>s</w:t>
      </w:r>
      <w:r w:rsidR="00074B07">
        <w:rPr>
          <w:i/>
          <w:color w:val="000000" w:themeColor="text1"/>
          <w:szCs w:val="24"/>
          <w:highlight w:val="lightGray"/>
        </w:rPr>
        <w:t xml:space="preserve"> in </w:t>
      </w:r>
      <w:r w:rsidR="003E1394">
        <w:rPr>
          <w:i/>
          <w:color w:val="000000" w:themeColor="text1"/>
          <w:szCs w:val="24"/>
          <w:highlight w:val="lightGray"/>
        </w:rPr>
        <w:t>budget justification</w:t>
      </w:r>
      <w:r w:rsidR="008A4E15">
        <w:rPr>
          <w:i/>
          <w:color w:val="000000" w:themeColor="text1"/>
          <w:szCs w:val="24"/>
          <w:highlight w:val="lightGray"/>
        </w:rPr>
        <w:t>, or other broad reporting</w:t>
      </w:r>
      <w:r w:rsidRPr="000E7D65">
        <w:rPr>
          <w:i/>
          <w:color w:val="000000" w:themeColor="text1"/>
          <w:szCs w:val="24"/>
          <w:highlight w:val="lightGray"/>
        </w:rPr>
        <w:t>.</w:t>
      </w:r>
    </w:p>
    <w:p w:rsidR="008D064C" w:rsidRPr="00880C86" w:rsidP="008D064C" w14:paraId="64DD3D0E" w14:textId="77777777">
      <w:pPr>
        <w:spacing w:line="300" w:lineRule="atLeast"/>
        <w:ind w:left="360"/>
        <w:rPr>
          <w:szCs w:val="24"/>
        </w:rPr>
      </w:pPr>
      <w:r w:rsidRPr="00880C86">
        <w:rPr>
          <w:szCs w:val="24"/>
        </w:rPr>
        <w:t>Data will not be published externally. Aggregate numbers may be used internally for program management, reporting, or annual workload summaries.</w:t>
      </w:r>
    </w:p>
    <w:p w:rsidR="00164D2D" w:rsidRPr="000E7D65" w:rsidP="00164D2D" w14:paraId="3456EF7E" w14:textId="77777777">
      <w:pPr>
        <w:numPr>
          <w:ilvl w:val="0"/>
          <w:numId w:val="1"/>
        </w:numPr>
        <w:rPr>
          <w:i/>
          <w:color w:val="000000" w:themeColor="text1"/>
          <w:szCs w:val="24"/>
          <w:highlight w:val="lightGray"/>
        </w:rPr>
      </w:pPr>
      <w:r w:rsidRPr="000E7D65">
        <w:rPr>
          <w:i/>
          <w:color w:val="000000" w:themeColor="text1"/>
          <w:szCs w:val="24"/>
          <w:highlight w:val="lightGray"/>
        </w:rPr>
        <w:t>If applicable, explain the reason(s) for seeking approval to not display the OMB expiration date.</w:t>
      </w:r>
    </w:p>
    <w:p w:rsidR="008D064C" w:rsidRPr="0004192C" w:rsidP="008D064C" w14:paraId="7C4A53F8" w14:textId="50A2CF39">
      <w:pPr>
        <w:spacing w:line="300" w:lineRule="atLeast"/>
        <w:ind w:left="360"/>
        <w:rPr>
          <w:szCs w:val="24"/>
        </w:rPr>
      </w:pPr>
      <w:r w:rsidRPr="00334E39">
        <w:rPr>
          <w:szCs w:val="24"/>
        </w:rPr>
        <w:t>Not applicable.</w:t>
      </w:r>
    </w:p>
    <w:p w:rsidR="00F76776" w:rsidRPr="00ED3107" w14:paraId="7E89671B" w14:textId="78756648">
      <w:pPr>
        <w:numPr>
          <w:ilvl w:val="0"/>
          <w:numId w:val="1"/>
        </w:numPr>
        <w:tabs>
          <w:tab w:val="clear" w:pos="720"/>
        </w:tabs>
        <w:rPr>
          <w:highlight w:val="lightGray"/>
        </w:rPr>
      </w:pPr>
      <w:r w:rsidRPr="00ED3107">
        <w:rPr>
          <w:i/>
          <w:color w:val="000000" w:themeColor="text1"/>
          <w:szCs w:val="24"/>
          <w:highlight w:val="lightGray"/>
        </w:rPr>
        <w:t>Explain each exception to the topics of the certification statement identified in “</w:t>
      </w:r>
      <w:hyperlink r:id="rId11" w:history="1">
        <w:r w:rsidRPr="00ED3107">
          <w:rPr>
            <w:rStyle w:val="Hyperlink"/>
            <w:i/>
            <w:szCs w:val="24"/>
            <w:highlight w:val="lightGray"/>
          </w:rPr>
          <w:t>Certification for Paperwork Reduction Act Submissions</w:t>
        </w:r>
      </w:hyperlink>
      <w:r w:rsidRPr="00ED3107">
        <w:rPr>
          <w:i/>
          <w:color w:val="000000" w:themeColor="text1"/>
          <w:szCs w:val="24"/>
          <w:highlight w:val="lightGray"/>
        </w:rPr>
        <w:t>.”</w:t>
      </w:r>
      <w:r w:rsidRPr="00ED3107" w:rsidR="00164D2D">
        <w:rPr>
          <w:i/>
          <w:color w:val="000000" w:themeColor="text1"/>
          <w:szCs w:val="24"/>
          <w:highlight w:val="lightGray"/>
        </w:rPr>
        <w:t xml:space="preserve">  </w:t>
      </w:r>
    </w:p>
    <w:p w:rsidR="00607DAC" w:rsidRPr="0004192C" w:rsidP="00607DAC" w14:paraId="6E7FF00F" w14:textId="6E92EE20">
      <w:pPr>
        <w:spacing w:line="300" w:lineRule="atLeast"/>
        <w:ind w:left="360"/>
        <w:rPr>
          <w:szCs w:val="24"/>
        </w:rPr>
      </w:pPr>
      <w:r w:rsidRPr="0004192C">
        <w:rPr>
          <w:szCs w:val="24"/>
        </w:rPr>
        <w:t xml:space="preserve">No exceptions are requested. OPM </w:t>
      </w:r>
      <w:r w:rsidRPr="0004192C" w:rsidR="00B0742C">
        <w:rPr>
          <w:szCs w:val="24"/>
        </w:rPr>
        <w:t>will be in</w:t>
      </w:r>
      <w:r w:rsidRPr="0004192C">
        <w:rPr>
          <w:szCs w:val="24"/>
        </w:rPr>
        <w:t xml:space="preserve"> full compliance with 5 CFR 1320.9.</w:t>
      </w:r>
    </w:p>
    <w:p w:rsidR="005D34C4" w:rsidRPr="00004AF1" w:rsidP="00F76776" w14:paraId="07AD1EDB" w14:textId="77777777">
      <w:pPr>
        <w:ind w:left="720"/>
      </w:pPr>
    </w:p>
    <w:p w:rsidR="00B07A1E" w:rsidRPr="00004AF1" w:rsidP="00B07A1E" w14:paraId="46C8A175" w14:textId="1E31D993">
      <w:pPr>
        <w:pStyle w:val="Heading1"/>
      </w:pPr>
      <w:r>
        <w:t xml:space="preserve">B. </w:t>
      </w:r>
      <w:r w:rsidRPr="00004AF1">
        <w:t>Collection of Information Employing Statistical Methods</w:t>
      </w:r>
    </w:p>
    <w:p w:rsidR="00B07A1E" w:rsidP="00B07A1E" w14:paraId="46C8A176" w14:textId="77777777">
      <w:r w:rsidRPr="00004AF1">
        <w:tab/>
        <w:t>This collection does not employ statistical methods.</w:t>
      </w:r>
    </w:p>
    <w:p w:rsidR="00600A53" w14:paraId="46C8A177" w14:textId="77777777"/>
    <w:sectPr w:rsidSect="00051E44">
      <w:headerReference w:type="default" r:id="rId12"/>
      <w:footerReference w:type="first" r:id="rId13"/>
      <w:type w:val="continuous"/>
      <w:pgSz w:w="12240" w:h="15840" w:code="1"/>
      <w:pgMar w:top="1440"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Garamond">
    <w:altName w:val="Cambria"/>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72D6" w14:paraId="15FB1767" w14:textId="66B50BD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4B96" w14:paraId="46C8A181" w14:textId="7F46929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14ADA"/>
    <w:multiLevelType w:val="singleLevel"/>
    <w:tmpl w:val="0409000F"/>
    <w:lvl w:ilvl="0">
      <w:start w:val="1"/>
      <w:numFmt w:val="decimal"/>
      <w:lvlText w:val="%1."/>
      <w:lvlJc w:val="left"/>
      <w:pPr>
        <w:tabs>
          <w:tab w:val="num" w:pos="360"/>
        </w:tabs>
        <w:ind w:left="360" w:hanging="360"/>
      </w:pPr>
    </w:lvl>
  </w:abstractNum>
  <w:abstractNum w:abstractNumId="1">
    <w:nsid w:val="03BE42D6"/>
    <w:multiLevelType w:val="hybridMultilevel"/>
    <w:tmpl w:val="BDA84E48"/>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2">
    <w:nsid w:val="05454C32"/>
    <w:multiLevelType w:val="hybridMultilevel"/>
    <w:tmpl w:val="20BC225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794639C"/>
    <w:multiLevelType w:val="hybridMultilevel"/>
    <w:tmpl w:val="5EA6889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08EA365F"/>
    <w:multiLevelType w:val="hybridMultilevel"/>
    <w:tmpl w:val="0310BCBE"/>
    <w:lvl w:ilvl="0">
      <w:start w:val="3"/>
      <w:numFmt w:val="decimal"/>
      <w:lvlText w:val="%1."/>
      <w:lvlJc w:val="left"/>
      <w:pPr>
        <w:tabs>
          <w:tab w:val="num" w:pos="720"/>
        </w:tabs>
        <w:ind w:left="720" w:hanging="360"/>
      </w:pPr>
      <w:rPr>
        <w:rFonts w:hint="default"/>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0D1F0AB4"/>
    <w:multiLevelType w:val="multilevel"/>
    <w:tmpl w:val="AE00A6E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D827694"/>
    <w:multiLevelType w:val="hybridMultilevel"/>
    <w:tmpl w:val="D9E8501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0FA2638D"/>
    <w:multiLevelType w:val="hybridMultilevel"/>
    <w:tmpl w:val="C74AFDF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23FA6BFC"/>
    <w:multiLevelType w:val="multilevel"/>
    <w:tmpl w:val="F47A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1B1635"/>
    <w:multiLevelType w:val="hybridMultilevel"/>
    <w:tmpl w:val="6A547D0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2C3E6F49"/>
    <w:multiLevelType w:val="hybridMultilevel"/>
    <w:tmpl w:val="053C217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2C4223A1"/>
    <w:multiLevelType w:val="hybridMultilevel"/>
    <w:tmpl w:val="3710C9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CFD2970"/>
    <w:multiLevelType w:val="hybridMultilevel"/>
    <w:tmpl w:val="DE1EBB3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35A65C9C"/>
    <w:multiLevelType w:val="hybridMultilevel"/>
    <w:tmpl w:val="44E2E90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393E4667"/>
    <w:multiLevelType w:val="hybridMultilevel"/>
    <w:tmpl w:val="811A350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458E2B00"/>
    <w:multiLevelType w:val="hybridMultilevel"/>
    <w:tmpl w:val="D2800B4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4BDC05F6"/>
    <w:multiLevelType w:val="hybridMultilevel"/>
    <w:tmpl w:val="5C58FA8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4E781F23"/>
    <w:multiLevelType w:val="hybridMultilevel"/>
    <w:tmpl w:val="22E8AB3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52223A49"/>
    <w:multiLevelType w:val="hybridMultilevel"/>
    <w:tmpl w:val="581EF50C"/>
    <w:lvl w:ilvl="0">
      <w:start w:val="1"/>
      <w:numFmt w:val="bullet"/>
      <w:lvlText w:val=""/>
      <w:lvlJc w:val="left"/>
      <w:pPr>
        <w:ind w:left="1080" w:hanging="360"/>
      </w:pPr>
      <w:rPr>
        <w:rFonts w:ascii="Symbol" w:hAnsi="Symbol" w:hint="default"/>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9">
    <w:nsid w:val="54866BC2"/>
    <w:multiLevelType w:val="hybridMultilevel"/>
    <w:tmpl w:val="A14A36CE"/>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59E73AAC"/>
    <w:multiLevelType w:val="hybridMultilevel"/>
    <w:tmpl w:val="6470966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66870E57"/>
    <w:multiLevelType w:val="hybridMultilevel"/>
    <w:tmpl w:val="B6E621D0"/>
    <w:lvl w:ilvl="0">
      <w:start w:val="1"/>
      <w:numFmt w:val="lowerLetter"/>
      <w:lvlText w:val="%1."/>
      <w:lvlJc w:val="left"/>
      <w:pPr>
        <w:tabs>
          <w:tab w:val="num" w:pos="1440"/>
        </w:tabs>
        <w:ind w:left="1440" w:hanging="720"/>
      </w:pPr>
      <w:rPr>
        <w:rFonts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
    <w:nsid w:val="6BD927DD"/>
    <w:multiLevelType w:val="hybridMultilevel"/>
    <w:tmpl w:val="0D2CA62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740A65F7"/>
    <w:multiLevelType w:val="hybridMultilevel"/>
    <w:tmpl w:val="4A8C6F7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328287208">
    <w:abstractNumId w:val="4"/>
  </w:num>
  <w:num w:numId="2" w16cid:durableId="1520270077">
    <w:abstractNumId w:val="19"/>
  </w:num>
  <w:num w:numId="3" w16cid:durableId="1166673236">
    <w:abstractNumId w:val="20"/>
  </w:num>
  <w:num w:numId="4" w16cid:durableId="93624903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1575016">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8964595">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398582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682520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858900">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2804333">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87739864">
    <w:abstractNumId w:val="3"/>
  </w:num>
  <w:num w:numId="12" w16cid:durableId="14425401">
    <w:abstractNumId w:val="21"/>
  </w:num>
  <w:num w:numId="13" w16cid:durableId="923732746">
    <w:abstractNumId w:val="11"/>
  </w:num>
  <w:num w:numId="14" w16cid:durableId="342705304">
    <w:abstractNumId w:val="17"/>
  </w:num>
  <w:num w:numId="15" w16cid:durableId="1611010112">
    <w:abstractNumId w:val="0"/>
  </w:num>
  <w:num w:numId="16" w16cid:durableId="916403718">
    <w:abstractNumId w:val="23"/>
  </w:num>
  <w:num w:numId="17" w16cid:durableId="967735682">
    <w:abstractNumId w:val="2"/>
  </w:num>
  <w:num w:numId="18" w16cid:durableId="402799634">
    <w:abstractNumId w:val="1"/>
  </w:num>
  <w:num w:numId="19" w16cid:durableId="44137836">
    <w:abstractNumId w:val="15"/>
  </w:num>
  <w:num w:numId="20" w16cid:durableId="1462185684">
    <w:abstractNumId w:val="6"/>
  </w:num>
  <w:num w:numId="21" w16cid:durableId="1338734352">
    <w:abstractNumId w:val="22"/>
  </w:num>
  <w:num w:numId="22" w16cid:durableId="845094567">
    <w:abstractNumId w:val="10"/>
  </w:num>
  <w:num w:numId="23" w16cid:durableId="2031178792">
    <w:abstractNumId w:val="16"/>
  </w:num>
  <w:num w:numId="24" w16cid:durableId="4069218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79731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NotTrackMoves/>
  <w:doNotTrackFormatting/>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A1E"/>
    <w:rsid w:val="00000201"/>
    <w:rsid w:val="00000AE3"/>
    <w:rsid w:val="000013AA"/>
    <w:rsid w:val="000013C5"/>
    <w:rsid w:val="0000323A"/>
    <w:rsid w:val="00004AF1"/>
    <w:rsid w:val="00007BF2"/>
    <w:rsid w:val="00010794"/>
    <w:rsid w:val="00014AA6"/>
    <w:rsid w:val="00025B31"/>
    <w:rsid w:val="00026F6A"/>
    <w:rsid w:val="00030A64"/>
    <w:rsid w:val="00035528"/>
    <w:rsid w:val="00036747"/>
    <w:rsid w:val="00037C40"/>
    <w:rsid w:val="00040FDD"/>
    <w:rsid w:val="0004192C"/>
    <w:rsid w:val="0004496A"/>
    <w:rsid w:val="00044B94"/>
    <w:rsid w:val="000455CB"/>
    <w:rsid w:val="00050523"/>
    <w:rsid w:val="00051E44"/>
    <w:rsid w:val="000530AA"/>
    <w:rsid w:val="000560E5"/>
    <w:rsid w:val="00060B9B"/>
    <w:rsid w:val="00060C3C"/>
    <w:rsid w:val="00061724"/>
    <w:rsid w:val="00063BC5"/>
    <w:rsid w:val="00064DA5"/>
    <w:rsid w:val="00065427"/>
    <w:rsid w:val="00065A6D"/>
    <w:rsid w:val="00066045"/>
    <w:rsid w:val="00072AFE"/>
    <w:rsid w:val="00074B07"/>
    <w:rsid w:val="00074B96"/>
    <w:rsid w:val="00075DB2"/>
    <w:rsid w:val="000812C8"/>
    <w:rsid w:val="00081339"/>
    <w:rsid w:val="00084D75"/>
    <w:rsid w:val="00097491"/>
    <w:rsid w:val="000A3776"/>
    <w:rsid w:val="000A69A6"/>
    <w:rsid w:val="000A7A90"/>
    <w:rsid w:val="000B30D2"/>
    <w:rsid w:val="000B591D"/>
    <w:rsid w:val="000B7117"/>
    <w:rsid w:val="000D4E7D"/>
    <w:rsid w:val="000E0DB3"/>
    <w:rsid w:val="000E147F"/>
    <w:rsid w:val="000E18DD"/>
    <w:rsid w:val="000E18FD"/>
    <w:rsid w:val="000E3699"/>
    <w:rsid w:val="000E5CF3"/>
    <w:rsid w:val="000E6C7F"/>
    <w:rsid w:val="000E7D65"/>
    <w:rsid w:val="000F1318"/>
    <w:rsid w:val="000F1CA2"/>
    <w:rsid w:val="000F75D4"/>
    <w:rsid w:val="00101745"/>
    <w:rsid w:val="001017DA"/>
    <w:rsid w:val="001035B2"/>
    <w:rsid w:val="00103F7A"/>
    <w:rsid w:val="0010409B"/>
    <w:rsid w:val="00104F0E"/>
    <w:rsid w:val="001052A3"/>
    <w:rsid w:val="00105866"/>
    <w:rsid w:val="00107FFE"/>
    <w:rsid w:val="00110F5E"/>
    <w:rsid w:val="00112A9F"/>
    <w:rsid w:val="0011610B"/>
    <w:rsid w:val="00117B8B"/>
    <w:rsid w:val="00123E2A"/>
    <w:rsid w:val="00126EEB"/>
    <w:rsid w:val="0012736C"/>
    <w:rsid w:val="00130D04"/>
    <w:rsid w:val="00130FEC"/>
    <w:rsid w:val="00131B98"/>
    <w:rsid w:val="00133A50"/>
    <w:rsid w:val="00133B74"/>
    <w:rsid w:val="001365BD"/>
    <w:rsid w:val="00140342"/>
    <w:rsid w:val="00140DF7"/>
    <w:rsid w:val="00142903"/>
    <w:rsid w:val="0014387B"/>
    <w:rsid w:val="00153A8C"/>
    <w:rsid w:val="00153E46"/>
    <w:rsid w:val="001638E2"/>
    <w:rsid w:val="00164D2D"/>
    <w:rsid w:val="001658CA"/>
    <w:rsid w:val="00165B7C"/>
    <w:rsid w:val="00167618"/>
    <w:rsid w:val="00175401"/>
    <w:rsid w:val="00180266"/>
    <w:rsid w:val="0018296D"/>
    <w:rsid w:val="00191D83"/>
    <w:rsid w:val="00193C10"/>
    <w:rsid w:val="0019458A"/>
    <w:rsid w:val="001961AD"/>
    <w:rsid w:val="0019626A"/>
    <w:rsid w:val="001B0E25"/>
    <w:rsid w:val="001B208C"/>
    <w:rsid w:val="001B3D32"/>
    <w:rsid w:val="001C0E37"/>
    <w:rsid w:val="001C4E9D"/>
    <w:rsid w:val="001C5865"/>
    <w:rsid w:val="001C6811"/>
    <w:rsid w:val="001D00F3"/>
    <w:rsid w:val="001D11E8"/>
    <w:rsid w:val="001D13D2"/>
    <w:rsid w:val="001D66AE"/>
    <w:rsid w:val="001D67D9"/>
    <w:rsid w:val="001D7035"/>
    <w:rsid w:val="001E1012"/>
    <w:rsid w:val="001E2102"/>
    <w:rsid w:val="001E2509"/>
    <w:rsid w:val="001E55D7"/>
    <w:rsid w:val="001F0C25"/>
    <w:rsid w:val="001F1BFC"/>
    <w:rsid w:val="001F52AD"/>
    <w:rsid w:val="001F61F8"/>
    <w:rsid w:val="00212183"/>
    <w:rsid w:val="002143C3"/>
    <w:rsid w:val="002145F7"/>
    <w:rsid w:val="002227E9"/>
    <w:rsid w:val="0022297F"/>
    <w:rsid w:val="0022447A"/>
    <w:rsid w:val="002261C3"/>
    <w:rsid w:val="00226347"/>
    <w:rsid w:val="00226847"/>
    <w:rsid w:val="00241DED"/>
    <w:rsid w:val="002420B8"/>
    <w:rsid w:val="002469E8"/>
    <w:rsid w:val="002472A0"/>
    <w:rsid w:val="00251511"/>
    <w:rsid w:val="002540C0"/>
    <w:rsid w:val="002611B6"/>
    <w:rsid w:val="002611DA"/>
    <w:rsid w:val="002611EB"/>
    <w:rsid w:val="002643D0"/>
    <w:rsid w:val="00270C10"/>
    <w:rsid w:val="00272304"/>
    <w:rsid w:val="0027343A"/>
    <w:rsid w:val="00274D89"/>
    <w:rsid w:val="002758F7"/>
    <w:rsid w:val="00284010"/>
    <w:rsid w:val="00290275"/>
    <w:rsid w:val="002902B4"/>
    <w:rsid w:val="0029077A"/>
    <w:rsid w:val="00292307"/>
    <w:rsid w:val="00296758"/>
    <w:rsid w:val="00296C5C"/>
    <w:rsid w:val="00297625"/>
    <w:rsid w:val="00297C90"/>
    <w:rsid w:val="002A5340"/>
    <w:rsid w:val="002A57D8"/>
    <w:rsid w:val="002A761F"/>
    <w:rsid w:val="002B03CE"/>
    <w:rsid w:val="002B0ADC"/>
    <w:rsid w:val="002B0DF1"/>
    <w:rsid w:val="002B339F"/>
    <w:rsid w:val="002B4026"/>
    <w:rsid w:val="002B4D8E"/>
    <w:rsid w:val="002C11EA"/>
    <w:rsid w:val="002C1A25"/>
    <w:rsid w:val="002C222F"/>
    <w:rsid w:val="002C26F6"/>
    <w:rsid w:val="002C2782"/>
    <w:rsid w:val="002C288B"/>
    <w:rsid w:val="002C422C"/>
    <w:rsid w:val="002D4FA9"/>
    <w:rsid w:val="002D7936"/>
    <w:rsid w:val="002E0CE3"/>
    <w:rsid w:val="002E2A1B"/>
    <w:rsid w:val="002E2B0C"/>
    <w:rsid w:val="002E5819"/>
    <w:rsid w:val="002E646A"/>
    <w:rsid w:val="002F00E8"/>
    <w:rsid w:val="002F0657"/>
    <w:rsid w:val="002F215D"/>
    <w:rsid w:val="002F26B3"/>
    <w:rsid w:val="002F47D8"/>
    <w:rsid w:val="002F5A65"/>
    <w:rsid w:val="00300BBB"/>
    <w:rsid w:val="00300E76"/>
    <w:rsid w:val="00303EBF"/>
    <w:rsid w:val="0030657D"/>
    <w:rsid w:val="003067D4"/>
    <w:rsid w:val="003108A2"/>
    <w:rsid w:val="00311695"/>
    <w:rsid w:val="003120CB"/>
    <w:rsid w:val="00312B7B"/>
    <w:rsid w:val="00320281"/>
    <w:rsid w:val="00320B82"/>
    <w:rsid w:val="003226C3"/>
    <w:rsid w:val="003239DA"/>
    <w:rsid w:val="00331BD0"/>
    <w:rsid w:val="00332D60"/>
    <w:rsid w:val="0033422A"/>
    <w:rsid w:val="003343AA"/>
    <w:rsid w:val="00334AF0"/>
    <w:rsid w:val="00334DEA"/>
    <w:rsid w:val="00334E39"/>
    <w:rsid w:val="00343D6A"/>
    <w:rsid w:val="0034436A"/>
    <w:rsid w:val="0034639D"/>
    <w:rsid w:val="00346977"/>
    <w:rsid w:val="00347ADB"/>
    <w:rsid w:val="00350DF2"/>
    <w:rsid w:val="00356E8C"/>
    <w:rsid w:val="003664ED"/>
    <w:rsid w:val="00370B66"/>
    <w:rsid w:val="00377B72"/>
    <w:rsid w:val="003817D0"/>
    <w:rsid w:val="00381B64"/>
    <w:rsid w:val="003866F4"/>
    <w:rsid w:val="0038778B"/>
    <w:rsid w:val="00387B05"/>
    <w:rsid w:val="00390398"/>
    <w:rsid w:val="003903DF"/>
    <w:rsid w:val="003926D9"/>
    <w:rsid w:val="00392D1F"/>
    <w:rsid w:val="00393C18"/>
    <w:rsid w:val="003943DB"/>
    <w:rsid w:val="0039606F"/>
    <w:rsid w:val="00397F13"/>
    <w:rsid w:val="003A0B68"/>
    <w:rsid w:val="003A1C2A"/>
    <w:rsid w:val="003A22E8"/>
    <w:rsid w:val="003A6568"/>
    <w:rsid w:val="003A7E2E"/>
    <w:rsid w:val="003B4CBD"/>
    <w:rsid w:val="003B6CE6"/>
    <w:rsid w:val="003C5776"/>
    <w:rsid w:val="003C66E8"/>
    <w:rsid w:val="003D217F"/>
    <w:rsid w:val="003D39EC"/>
    <w:rsid w:val="003D66EC"/>
    <w:rsid w:val="003D69A5"/>
    <w:rsid w:val="003E1394"/>
    <w:rsid w:val="003E2147"/>
    <w:rsid w:val="003E5052"/>
    <w:rsid w:val="003E50FC"/>
    <w:rsid w:val="003E72F4"/>
    <w:rsid w:val="003F0ECA"/>
    <w:rsid w:val="003F1585"/>
    <w:rsid w:val="003F3AAE"/>
    <w:rsid w:val="003F5CC6"/>
    <w:rsid w:val="003F67CE"/>
    <w:rsid w:val="003F7B53"/>
    <w:rsid w:val="003F7F2B"/>
    <w:rsid w:val="00400186"/>
    <w:rsid w:val="0040101F"/>
    <w:rsid w:val="004031E8"/>
    <w:rsid w:val="004047E0"/>
    <w:rsid w:val="004049DC"/>
    <w:rsid w:val="00404A51"/>
    <w:rsid w:val="004106E3"/>
    <w:rsid w:val="00411E8E"/>
    <w:rsid w:val="00417037"/>
    <w:rsid w:val="00420E5A"/>
    <w:rsid w:val="0042410A"/>
    <w:rsid w:val="00426096"/>
    <w:rsid w:val="004272DC"/>
    <w:rsid w:val="00427662"/>
    <w:rsid w:val="004324D1"/>
    <w:rsid w:val="004328C0"/>
    <w:rsid w:val="00435714"/>
    <w:rsid w:val="00435AA0"/>
    <w:rsid w:val="00441C96"/>
    <w:rsid w:val="00441FB2"/>
    <w:rsid w:val="0044468A"/>
    <w:rsid w:val="00444EDD"/>
    <w:rsid w:val="00447791"/>
    <w:rsid w:val="004520C8"/>
    <w:rsid w:val="0045295C"/>
    <w:rsid w:val="0045454A"/>
    <w:rsid w:val="00454D1A"/>
    <w:rsid w:val="00456995"/>
    <w:rsid w:val="00457430"/>
    <w:rsid w:val="00461B3E"/>
    <w:rsid w:val="00461C84"/>
    <w:rsid w:val="00462EE5"/>
    <w:rsid w:val="00464F3B"/>
    <w:rsid w:val="0046702C"/>
    <w:rsid w:val="004675CD"/>
    <w:rsid w:val="004679E2"/>
    <w:rsid w:val="00475D81"/>
    <w:rsid w:val="004771F7"/>
    <w:rsid w:val="00482383"/>
    <w:rsid w:val="0048432C"/>
    <w:rsid w:val="00484EDF"/>
    <w:rsid w:val="00485DB3"/>
    <w:rsid w:val="004876AA"/>
    <w:rsid w:val="00487797"/>
    <w:rsid w:val="0049569A"/>
    <w:rsid w:val="00495AF7"/>
    <w:rsid w:val="00497226"/>
    <w:rsid w:val="0049723D"/>
    <w:rsid w:val="004975F1"/>
    <w:rsid w:val="004977EF"/>
    <w:rsid w:val="004A134C"/>
    <w:rsid w:val="004A317D"/>
    <w:rsid w:val="004A3A7D"/>
    <w:rsid w:val="004A5691"/>
    <w:rsid w:val="004A7496"/>
    <w:rsid w:val="004B068C"/>
    <w:rsid w:val="004B11D5"/>
    <w:rsid w:val="004B653C"/>
    <w:rsid w:val="004C2825"/>
    <w:rsid w:val="004C6C5C"/>
    <w:rsid w:val="004C6E3F"/>
    <w:rsid w:val="004C72D6"/>
    <w:rsid w:val="004C78D5"/>
    <w:rsid w:val="004D0E8E"/>
    <w:rsid w:val="004D116C"/>
    <w:rsid w:val="004E0170"/>
    <w:rsid w:val="004E0BE6"/>
    <w:rsid w:val="004E137C"/>
    <w:rsid w:val="004E14F9"/>
    <w:rsid w:val="004E1E6F"/>
    <w:rsid w:val="004E75A2"/>
    <w:rsid w:val="004F07CB"/>
    <w:rsid w:val="004F0902"/>
    <w:rsid w:val="00506CD5"/>
    <w:rsid w:val="00507324"/>
    <w:rsid w:val="0050748F"/>
    <w:rsid w:val="00507962"/>
    <w:rsid w:val="00507E2B"/>
    <w:rsid w:val="00511B68"/>
    <w:rsid w:val="00514542"/>
    <w:rsid w:val="005164C2"/>
    <w:rsid w:val="00520799"/>
    <w:rsid w:val="00520A18"/>
    <w:rsid w:val="00521BB4"/>
    <w:rsid w:val="005222AB"/>
    <w:rsid w:val="0052263F"/>
    <w:rsid w:val="00523E4A"/>
    <w:rsid w:val="005248D7"/>
    <w:rsid w:val="00524B2C"/>
    <w:rsid w:val="00525D54"/>
    <w:rsid w:val="0053774C"/>
    <w:rsid w:val="00537EBA"/>
    <w:rsid w:val="00540168"/>
    <w:rsid w:val="00543088"/>
    <w:rsid w:val="00546543"/>
    <w:rsid w:val="00550873"/>
    <w:rsid w:val="00550F39"/>
    <w:rsid w:val="0055419B"/>
    <w:rsid w:val="005566D7"/>
    <w:rsid w:val="00556FD7"/>
    <w:rsid w:val="005603D7"/>
    <w:rsid w:val="00561510"/>
    <w:rsid w:val="00561F24"/>
    <w:rsid w:val="00562271"/>
    <w:rsid w:val="005652D1"/>
    <w:rsid w:val="00572C78"/>
    <w:rsid w:val="00572DD5"/>
    <w:rsid w:val="0057615E"/>
    <w:rsid w:val="00576D87"/>
    <w:rsid w:val="00580C25"/>
    <w:rsid w:val="005816E5"/>
    <w:rsid w:val="00585CD4"/>
    <w:rsid w:val="0058630D"/>
    <w:rsid w:val="00586347"/>
    <w:rsid w:val="00586BA9"/>
    <w:rsid w:val="00586F73"/>
    <w:rsid w:val="00587F3D"/>
    <w:rsid w:val="00593B7C"/>
    <w:rsid w:val="005940E3"/>
    <w:rsid w:val="00595F4A"/>
    <w:rsid w:val="005A0AFC"/>
    <w:rsid w:val="005A4B89"/>
    <w:rsid w:val="005A6276"/>
    <w:rsid w:val="005A657F"/>
    <w:rsid w:val="005B3C72"/>
    <w:rsid w:val="005C15B2"/>
    <w:rsid w:val="005C784C"/>
    <w:rsid w:val="005D30C2"/>
    <w:rsid w:val="005D34C4"/>
    <w:rsid w:val="005D4634"/>
    <w:rsid w:val="005D51B0"/>
    <w:rsid w:val="005D579A"/>
    <w:rsid w:val="005E0687"/>
    <w:rsid w:val="005E56BA"/>
    <w:rsid w:val="005E5CC9"/>
    <w:rsid w:val="005F0FBA"/>
    <w:rsid w:val="005F65B3"/>
    <w:rsid w:val="005F66DC"/>
    <w:rsid w:val="005F70CD"/>
    <w:rsid w:val="006007AB"/>
    <w:rsid w:val="00600A53"/>
    <w:rsid w:val="00600D79"/>
    <w:rsid w:val="00601120"/>
    <w:rsid w:val="006035BE"/>
    <w:rsid w:val="00605DD6"/>
    <w:rsid w:val="00607DAC"/>
    <w:rsid w:val="006105DF"/>
    <w:rsid w:val="00611E68"/>
    <w:rsid w:val="006124B8"/>
    <w:rsid w:val="00615167"/>
    <w:rsid w:val="00615410"/>
    <w:rsid w:val="00615855"/>
    <w:rsid w:val="0061598A"/>
    <w:rsid w:val="00617927"/>
    <w:rsid w:val="00620081"/>
    <w:rsid w:val="00622F2A"/>
    <w:rsid w:val="0062336C"/>
    <w:rsid w:val="0062440C"/>
    <w:rsid w:val="006316F1"/>
    <w:rsid w:val="006331E7"/>
    <w:rsid w:val="00633662"/>
    <w:rsid w:val="00635FDB"/>
    <w:rsid w:val="00640974"/>
    <w:rsid w:val="006413AC"/>
    <w:rsid w:val="006449C9"/>
    <w:rsid w:val="00645BFA"/>
    <w:rsid w:val="006460E7"/>
    <w:rsid w:val="006470D9"/>
    <w:rsid w:val="00650E73"/>
    <w:rsid w:val="00652A6F"/>
    <w:rsid w:val="006532C1"/>
    <w:rsid w:val="0066163F"/>
    <w:rsid w:val="0066200E"/>
    <w:rsid w:val="00662749"/>
    <w:rsid w:val="006630D5"/>
    <w:rsid w:val="00663C1D"/>
    <w:rsid w:val="00666DDF"/>
    <w:rsid w:val="006704FC"/>
    <w:rsid w:val="00671BB1"/>
    <w:rsid w:val="0067473A"/>
    <w:rsid w:val="00675EAA"/>
    <w:rsid w:val="006765CD"/>
    <w:rsid w:val="00676C0D"/>
    <w:rsid w:val="00676C48"/>
    <w:rsid w:val="00677D4B"/>
    <w:rsid w:val="006809ED"/>
    <w:rsid w:val="00680CB5"/>
    <w:rsid w:val="00681478"/>
    <w:rsid w:val="00687BA7"/>
    <w:rsid w:val="00690F89"/>
    <w:rsid w:val="0069116B"/>
    <w:rsid w:val="00695847"/>
    <w:rsid w:val="00695C58"/>
    <w:rsid w:val="006A5550"/>
    <w:rsid w:val="006A5E83"/>
    <w:rsid w:val="006A68D2"/>
    <w:rsid w:val="006A75DF"/>
    <w:rsid w:val="006B2034"/>
    <w:rsid w:val="006B73F8"/>
    <w:rsid w:val="006C03FB"/>
    <w:rsid w:val="006C1CC4"/>
    <w:rsid w:val="006C2B05"/>
    <w:rsid w:val="006C2DC4"/>
    <w:rsid w:val="006D4011"/>
    <w:rsid w:val="006D4D7D"/>
    <w:rsid w:val="006E0BBB"/>
    <w:rsid w:val="006E27BD"/>
    <w:rsid w:val="006E329B"/>
    <w:rsid w:val="006E4479"/>
    <w:rsid w:val="006E624F"/>
    <w:rsid w:val="006E6280"/>
    <w:rsid w:val="006F0024"/>
    <w:rsid w:val="006F1E67"/>
    <w:rsid w:val="006F5B86"/>
    <w:rsid w:val="006F6C6A"/>
    <w:rsid w:val="00703C1F"/>
    <w:rsid w:val="0070479A"/>
    <w:rsid w:val="00706C49"/>
    <w:rsid w:val="00706F85"/>
    <w:rsid w:val="0070743A"/>
    <w:rsid w:val="0071103E"/>
    <w:rsid w:val="00711AD4"/>
    <w:rsid w:val="0071215E"/>
    <w:rsid w:val="007126D9"/>
    <w:rsid w:val="0071595C"/>
    <w:rsid w:val="00715D38"/>
    <w:rsid w:val="00717A79"/>
    <w:rsid w:val="0072282A"/>
    <w:rsid w:val="0072370F"/>
    <w:rsid w:val="00723ADF"/>
    <w:rsid w:val="00725B29"/>
    <w:rsid w:val="00727449"/>
    <w:rsid w:val="0073385E"/>
    <w:rsid w:val="007342FE"/>
    <w:rsid w:val="007344C3"/>
    <w:rsid w:val="00736E9D"/>
    <w:rsid w:val="007418C9"/>
    <w:rsid w:val="00747C33"/>
    <w:rsid w:val="007501B0"/>
    <w:rsid w:val="00752184"/>
    <w:rsid w:val="00753775"/>
    <w:rsid w:val="00754CE0"/>
    <w:rsid w:val="00760440"/>
    <w:rsid w:val="00764268"/>
    <w:rsid w:val="00764FA6"/>
    <w:rsid w:val="00766EE9"/>
    <w:rsid w:val="00771AC2"/>
    <w:rsid w:val="00773C24"/>
    <w:rsid w:val="00775977"/>
    <w:rsid w:val="007821CA"/>
    <w:rsid w:val="007837D2"/>
    <w:rsid w:val="00787078"/>
    <w:rsid w:val="007903FE"/>
    <w:rsid w:val="00791D5C"/>
    <w:rsid w:val="007930EE"/>
    <w:rsid w:val="00794051"/>
    <w:rsid w:val="007943A2"/>
    <w:rsid w:val="00796BA4"/>
    <w:rsid w:val="007A0B7E"/>
    <w:rsid w:val="007A3A1D"/>
    <w:rsid w:val="007A7515"/>
    <w:rsid w:val="007B28C6"/>
    <w:rsid w:val="007B4136"/>
    <w:rsid w:val="007B52DD"/>
    <w:rsid w:val="007B7243"/>
    <w:rsid w:val="007C08F8"/>
    <w:rsid w:val="007C74DD"/>
    <w:rsid w:val="007D0915"/>
    <w:rsid w:val="007D5401"/>
    <w:rsid w:val="007E0DA6"/>
    <w:rsid w:val="007E4B7B"/>
    <w:rsid w:val="007F2169"/>
    <w:rsid w:val="007F3055"/>
    <w:rsid w:val="007F6DD8"/>
    <w:rsid w:val="00801226"/>
    <w:rsid w:val="0080302F"/>
    <w:rsid w:val="00811DD8"/>
    <w:rsid w:val="00813556"/>
    <w:rsid w:val="00815C92"/>
    <w:rsid w:val="0082130F"/>
    <w:rsid w:val="00825F3A"/>
    <w:rsid w:val="0082620A"/>
    <w:rsid w:val="00827465"/>
    <w:rsid w:val="008312D7"/>
    <w:rsid w:val="008328E7"/>
    <w:rsid w:val="00835306"/>
    <w:rsid w:val="008370CB"/>
    <w:rsid w:val="00837644"/>
    <w:rsid w:val="0084046A"/>
    <w:rsid w:val="00842307"/>
    <w:rsid w:val="00842A23"/>
    <w:rsid w:val="00844D53"/>
    <w:rsid w:val="00851085"/>
    <w:rsid w:val="00851276"/>
    <w:rsid w:val="00851668"/>
    <w:rsid w:val="00852654"/>
    <w:rsid w:val="008527EE"/>
    <w:rsid w:val="0085374D"/>
    <w:rsid w:val="00853BCA"/>
    <w:rsid w:val="00855221"/>
    <w:rsid w:val="0086030C"/>
    <w:rsid w:val="008659DA"/>
    <w:rsid w:val="00867591"/>
    <w:rsid w:val="00875936"/>
    <w:rsid w:val="0087662E"/>
    <w:rsid w:val="008775C1"/>
    <w:rsid w:val="00880C86"/>
    <w:rsid w:val="00882F1C"/>
    <w:rsid w:val="00886B86"/>
    <w:rsid w:val="00887D72"/>
    <w:rsid w:val="008914D3"/>
    <w:rsid w:val="00891E4B"/>
    <w:rsid w:val="00893D33"/>
    <w:rsid w:val="00895DE5"/>
    <w:rsid w:val="00896158"/>
    <w:rsid w:val="00897F34"/>
    <w:rsid w:val="008A3260"/>
    <w:rsid w:val="008A38F9"/>
    <w:rsid w:val="008A3FAA"/>
    <w:rsid w:val="008A432D"/>
    <w:rsid w:val="008A44DE"/>
    <w:rsid w:val="008A4BAE"/>
    <w:rsid w:val="008A4E15"/>
    <w:rsid w:val="008A55A4"/>
    <w:rsid w:val="008A687F"/>
    <w:rsid w:val="008A68ED"/>
    <w:rsid w:val="008B196D"/>
    <w:rsid w:val="008B2CFB"/>
    <w:rsid w:val="008B379D"/>
    <w:rsid w:val="008B54A9"/>
    <w:rsid w:val="008B6276"/>
    <w:rsid w:val="008B66AD"/>
    <w:rsid w:val="008C0301"/>
    <w:rsid w:val="008C0D9B"/>
    <w:rsid w:val="008C308E"/>
    <w:rsid w:val="008C4EB0"/>
    <w:rsid w:val="008C50A2"/>
    <w:rsid w:val="008D064C"/>
    <w:rsid w:val="008D0966"/>
    <w:rsid w:val="008D0D06"/>
    <w:rsid w:val="008D1352"/>
    <w:rsid w:val="008D2F60"/>
    <w:rsid w:val="008D653A"/>
    <w:rsid w:val="008E34DA"/>
    <w:rsid w:val="008E36ED"/>
    <w:rsid w:val="008E51AD"/>
    <w:rsid w:val="008F204F"/>
    <w:rsid w:val="008F3449"/>
    <w:rsid w:val="008F44C4"/>
    <w:rsid w:val="008F7897"/>
    <w:rsid w:val="00904B0E"/>
    <w:rsid w:val="00904DB3"/>
    <w:rsid w:val="00905612"/>
    <w:rsid w:val="0090697E"/>
    <w:rsid w:val="0091636E"/>
    <w:rsid w:val="00926A80"/>
    <w:rsid w:val="009354DB"/>
    <w:rsid w:val="00935F41"/>
    <w:rsid w:val="0093794A"/>
    <w:rsid w:val="00942A6B"/>
    <w:rsid w:val="0094300C"/>
    <w:rsid w:val="0095200C"/>
    <w:rsid w:val="00952CDE"/>
    <w:rsid w:val="009618D0"/>
    <w:rsid w:val="00962B4A"/>
    <w:rsid w:val="0096527A"/>
    <w:rsid w:val="009664B3"/>
    <w:rsid w:val="00966797"/>
    <w:rsid w:val="00966A2B"/>
    <w:rsid w:val="00970FC8"/>
    <w:rsid w:val="00971351"/>
    <w:rsid w:val="00971B7C"/>
    <w:rsid w:val="00973A94"/>
    <w:rsid w:val="00973E4C"/>
    <w:rsid w:val="0097779C"/>
    <w:rsid w:val="009816B8"/>
    <w:rsid w:val="0098184E"/>
    <w:rsid w:val="00981B2B"/>
    <w:rsid w:val="00982037"/>
    <w:rsid w:val="009837DE"/>
    <w:rsid w:val="009A079E"/>
    <w:rsid w:val="009A2969"/>
    <w:rsid w:val="009A5CBC"/>
    <w:rsid w:val="009A6214"/>
    <w:rsid w:val="009B0920"/>
    <w:rsid w:val="009B1350"/>
    <w:rsid w:val="009B30A0"/>
    <w:rsid w:val="009B39DD"/>
    <w:rsid w:val="009B4D49"/>
    <w:rsid w:val="009C15B1"/>
    <w:rsid w:val="009C17D2"/>
    <w:rsid w:val="009C3006"/>
    <w:rsid w:val="009C38BA"/>
    <w:rsid w:val="009C44D3"/>
    <w:rsid w:val="009C6EE5"/>
    <w:rsid w:val="009D165C"/>
    <w:rsid w:val="009D299B"/>
    <w:rsid w:val="009E2506"/>
    <w:rsid w:val="009F2F8A"/>
    <w:rsid w:val="009F35C1"/>
    <w:rsid w:val="009F788E"/>
    <w:rsid w:val="00A02A5F"/>
    <w:rsid w:val="00A03075"/>
    <w:rsid w:val="00A0711F"/>
    <w:rsid w:val="00A072D6"/>
    <w:rsid w:val="00A104C7"/>
    <w:rsid w:val="00A13B42"/>
    <w:rsid w:val="00A13F67"/>
    <w:rsid w:val="00A15718"/>
    <w:rsid w:val="00A2168E"/>
    <w:rsid w:val="00A2278E"/>
    <w:rsid w:val="00A255FB"/>
    <w:rsid w:val="00A273D2"/>
    <w:rsid w:val="00A30A13"/>
    <w:rsid w:val="00A338E9"/>
    <w:rsid w:val="00A36329"/>
    <w:rsid w:val="00A36DF7"/>
    <w:rsid w:val="00A4437A"/>
    <w:rsid w:val="00A44B82"/>
    <w:rsid w:val="00A457DF"/>
    <w:rsid w:val="00A46674"/>
    <w:rsid w:val="00A47BB1"/>
    <w:rsid w:val="00A47C83"/>
    <w:rsid w:val="00A501F5"/>
    <w:rsid w:val="00A50CA6"/>
    <w:rsid w:val="00A54B6B"/>
    <w:rsid w:val="00A54FFC"/>
    <w:rsid w:val="00A556CE"/>
    <w:rsid w:val="00A55B1C"/>
    <w:rsid w:val="00A66826"/>
    <w:rsid w:val="00A70BA5"/>
    <w:rsid w:val="00A70FCB"/>
    <w:rsid w:val="00A84BDE"/>
    <w:rsid w:val="00A86A70"/>
    <w:rsid w:val="00A86BA1"/>
    <w:rsid w:val="00A90D11"/>
    <w:rsid w:val="00A9241A"/>
    <w:rsid w:val="00A9396E"/>
    <w:rsid w:val="00A94F1F"/>
    <w:rsid w:val="00A94F89"/>
    <w:rsid w:val="00A958E6"/>
    <w:rsid w:val="00A96C17"/>
    <w:rsid w:val="00AA0450"/>
    <w:rsid w:val="00AA1881"/>
    <w:rsid w:val="00AB0EA2"/>
    <w:rsid w:val="00AB1241"/>
    <w:rsid w:val="00AB1373"/>
    <w:rsid w:val="00AB36C3"/>
    <w:rsid w:val="00AB37B0"/>
    <w:rsid w:val="00AB44EE"/>
    <w:rsid w:val="00AB5F05"/>
    <w:rsid w:val="00AC15CB"/>
    <w:rsid w:val="00AC3068"/>
    <w:rsid w:val="00AC3D6D"/>
    <w:rsid w:val="00AC570E"/>
    <w:rsid w:val="00AC6DFC"/>
    <w:rsid w:val="00AD21E3"/>
    <w:rsid w:val="00AD4ABA"/>
    <w:rsid w:val="00AD5D02"/>
    <w:rsid w:val="00AE1F62"/>
    <w:rsid w:val="00AE260A"/>
    <w:rsid w:val="00AE4709"/>
    <w:rsid w:val="00AE4A92"/>
    <w:rsid w:val="00AE5FA9"/>
    <w:rsid w:val="00AF0AD6"/>
    <w:rsid w:val="00AF2BD8"/>
    <w:rsid w:val="00AF2C24"/>
    <w:rsid w:val="00AF3DAB"/>
    <w:rsid w:val="00AF65B7"/>
    <w:rsid w:val="00B019B1"/>
    <w:rsid w:val="00B0742C"/>
    <w:rsid w:val="00B07A1E"/>
    <w:rsid w:val="00B138EB"/>
    <w:rsid w:val="00B1471C"/>
    <w:rsid w:val="00B15976"/>
    <w:rsid w:val="00B16E72"/>
    <w:rsid w:val="00B22E7F"/>
    <w:rsid w:val="00B31174"/>
    <w:rsid w:val="00B31D2C"/>
    <w:rsid w:val="00B321A3"/>
    <w:rsid w:val="00B326C3"/>
    <w:rsid w:val="00B349D0"/>
    <w:rsid w:val="00B36D65"/>
    <w:rsid w:val="00B4054D"/>
    <w:rsid w:val="00B40957"/>
    <w:rsid w:val="00B45236"/>
    <w:rsid w:val="00B45CD9"/>
    <w:rsid w:val="00B518B1"/>
    <w:rsid w:val="00B52F90"/>
    <w:rsid w:val="00B5502D"/>
    <w:rsid w:val="00B55707"/>
    <w:rsid w:val="00B60964"/>
    <w:rsid w:val="00B60D44"/>
    <w:rsid w:val="00B6246D"/>
    <w:rsid w:val="00B65203"/>
    <w:rsid w:val="00B65C78"/>
    <w:rsid w:val="00B70738"/>
    <w:rsid w:val="00B70D43"/>
    <w:rsid w:val="00B769ED"/>
    <w:rsid w:val="00B76DA2"/>
    <w:rsid w:val="00B779F0"/>
    <w:rsid w:val="00B8063C"/>
    <w:rsid w:val="00B80A01"/>
    <w:rsid w:val="00B864EA"/>
    <w:rsid w:val="00B9179F"/>
    <w:rsid w:val="00B94263"/>
    <w:rsid w:val="00B95FC5"/>
    <w:rsid w:val="00B9635D"/>
    <w:rsid w:val="00B96B24"/>
    <w:rsid w:val="00BA0B2D"/>
    <w:rsid w:val="00BA0CC6"/>
    <w:rsid w:val="00BA2ED2"/>
    <w:rsid w:val="00BA3A43"/>
    <w:rsid w:val="00BA431C"/>
    <w:rsid w:val="00BA5A77"/>
    <w:rsid w:val="00BA6645"/>
    <w:rsid w:val="00BA6926"/>
    <w:rsid w:val="00BB099B"/>
    <w:rsid w:val="00BB1C01"/>
    <w:rsid w:val="00BB61B8"/>
    <w:rsid w:val="00BB757A"/>
    <w:rsid w:val="00BB7A10"/>
    <w:rsid w:val="00BC03BE"/>
    <w:rsid w:val="00BC0EAB"/>
    <w:rsid w:val="00BC22C0"/>
    <w:rsid w:val="00BC338B"/>
    <w:rsid w:val="00BC35D4"/>
    <w:rsid w:val="00BC6842"/>
    <w:rsid w:val="00BD604B"/>
    <w:rsid w:val="00BD7718"/>
    <w:rsid w:val="00BE143F"/>
    <w:rsid w:val="00BE1F8F"/>
    <w:rsid w:val="00BE2C9F"/>
    <w:rsid w:val="00BE596D"/>
    <w:rsid w:val="00BE5FAD"/>
    <w:rsid w:val="00BE7198"/>
    <w:rsid w:val="00BE785D"/>
    <w:rsid w:val="00BE7A00"/>
    <w:rsid w:val="00BF44B9"/>
    <w:rsid w:val="00BF69D3"/>
    <w:rsid w:val="00C00755"/>
    <w:rsid w:val="00C034E4"/>
    <w:rsid w:val="00C0398F"/>
    <w:rsid w:val="00C06596"/>
    <w:rsid w:val="00C1464C"/>
    <w:rsid w:val="00C1656A"/>
    <w:rsid w:val="00C16E5A"/>
    <w:rsid w:val="00C1720A"/>
    <w:rsid w:val="00C338D1"/>
    <w:rsid w:val="00C34B49"/>
    <w:rsid w:val="00C35785"/>
    <w:rsid w:val="00C36B39"/>
    <w:rsid w:val="00C40458"/>
    <w:rsid w:val="00C45223"/>
    <w:rsid w:val="00C4531A"/>
    <w:rsid w:val="00C57B9F"/>
    <w:rsid w:val="00C617C1"/>
    <w:rsid w:val="00C62A03"/>
    <w:rsid w:val="00C65FE0"/>
    <w:rsid w:val="00C66AA2"/>
    <w:rsid w:val="00C70633"/>
    <w:rsid w:val="00C71CDC"/>
    <w:rsid w:val="00C72562"/>
    <w:rsid w:val="00C7270E"/>
    <w:rsid w:val="00C772D2"/>
    <w:rsid w:val="00C8307C"/>
    <w:rsid w:val="00C8726B"/>
    <w:rsid w:val="00C87B95"/>
    <w:rsid w:val="00C90295"/>
    <w:rsid w:val="00C93802"/>
    <w:rsid w:val="00C94507"/>
    <w:rsid w:val="00CA0FD7"/>
    <w:rsid w:val="00CA3C61"/>
    <w:rsid w:val="00CA4064"/>
    <w:rsid w:val="00CA47B5"/>
    <w:rsid w:val="00CA5D64"/>
    <w:rsid w:val="00CA7335"/>
    <w:rsid w:val="00CA7998"/>
    <w:rsid w:val="00CB59D3"/>
    <w:rsid w:val="00CB5ECA"/>
    <w:rsid w:val="00CB641F"/>
    <w:rsid w:val="00CC0574"/>
    <w:rsid w:val="00CC09DF"/>
    <w:rsid w:val="00CD12E7"/>
    <w:rsid w:val="00CD266E"/>
    <w:rsid w:val="00CD3A52"/>
    <w:rsid w:val="00CD3F56"/>
    <w:rsid w:val="00CD528C"/>
    <w:rsid w:val="00CD599F"/>
    <w:rsid w:val="00CD6302"/>
    <w:rsid w:val="00CD6FF2"/>
    <w:rsid w:val="00CE1157"/>
    <w:rsid w:val="00CE2578"/>
    <w:rsid w:val="00CE38FF"/>
    <w:rsid w:val="00CE4938"/>
    <w:rsid w:val="00CF3959"/>
    <w:rsid w:val="00CF3E8A"/>
    <w:rsid w:val="00CF539C"/>
    <w:rsid w:val="00D00DDF"/>
    <w:rsid w:val="00D042F2"/>
    <w:rsid w:val="00D04EB3"/>
    <w:rsid w:val="00D11327"/>
    <w:rsid w:val="00D11654"/>
    <w:rsid w:val="00D124B6"/>
    <w:rsid w:val="00D13796"/>
    <w:rsid w:val="00D17BFA"/>
    <w:rsid w:val="00D2102E"/>
    <w:rsid w:val="00D227C3"/>
    <w:rsid w:val="00D22801"/>
    <w:rsid w:val="00D24204"/>
    <w:rsid w:val="00D24754"/>
    <w:rsid w:val="00D247BA"/>
    <w:rsid w:val="00D25F04"/>
    <w:rsid w:val="00D26B62"/>
    <w:rsid w:val="00D32497"/>
    <w:rsid w:val="00D33668"/>
    <w:rsid w:val="00D337E6"/>
    <w:rsid w:val="00D33C09"/>
    <w:rsid w:val="00D4288B"/>
    <w:rsid w:val="00D44E62"/>
    <w:rsid w:val="00D4714D"/>
    <w:rsid w:val="00D47400"/>
    <w:rsid w:val="00D522BE"/>
    <w:rsid w:val="00D52AEB"/>
    <w:rsid w:val="00D53575"/>
    <w:rsid w:val="00D54399"/>
    <w:rsid w:val="00D608D9"/>
    <w:rsid w:val="00D628CB"/>
    <w:rsid w:val="00D62C76"/>
    <w:rsid w:val="00D631B1"/>
    <w:rsid w:val="00D6443D"/>
    <w:rsid w:val="00D705DD"/>
    <w:rsid w:val="00D71AD6"/>
    <w:rsid w:val="00D740B1"/>
    <w:rsid w:val="00D76BCB"/>
    <w:rsid w:val="00D80B50"/>
    <w:rsid w:val="00D8119D"/>
    <w:rsid w:val="00D817B3"/>
    <w:rsid w:val="00D83945"/>
    <w:rsid w:val="00D87CCC"/>
    <w:rsid w:val="00D925E9"/>
    <w:rsid w:val="00D930AA"/>
    <w:rsid w:val="00DA78D7"/>
    <w:rsid w:val="00DB00E5"/>
    <w:rsid w:val="00DB10B7"/>
    <w:rsid w:val="00DB4872"/>
    <w:rsid w:val="00DC405B"/>
    <w:rsid w:val="00DC5340"/>
    <w:rsid w:val="00DC5521"/>
    <w:rsid w:val="00DD0BE3"/>
    <w:rsid w:val="00DD2676"/>
    <w:rsid w:val="00DD4E92"/>
    <w:rsid w:val="00DD5BB1"/>
    <w:rsid w:val="00DE03CD"/>
    <w:rsid w:val="00DE0ECD"/>
    <w:rsid w:val="00DE2179"/>
    <w:rsid w:val="00DE49BA"/>
    <w:rsid w:val="00DE4C54"/>
    <w:rsid w:val="00DE51E3"/>
    <w:rsid w:val="00DE7BF1"/>
    <w:rsid w:val="00DF18CE"/>
    <w:rsid w:val="00DF22AE"/>
    <w:rsid w:val="00DF2D6B"/>
    <w:rsid w:val="00DF5528"/>
    <w:rsid w:val="00DF6B43"/>
    <w:rsid w:val="00DF7CF5"/>
    <w:rsid w:val="00E0042B"/>
    <w:rsid w:val="00E00482"/>
    <w:rsid w:val="00E01DC9"/>
    <w:rsid w:val="00E02093"/>
    <w:rsid w:val="00E039D6"/>
    <w:rsid w:val="00E04E9B"/>
    <w:rsid w:val="00E06A34"/>
    <w:rsid w:val="00E0B5E0"/>
    <w:rsid w:val="00E12727"/>
    <w:rsid w:val="00E12839"/>
    <w:rsid w:val="00E12E9B"/>
    <w:rsid w:val="00E165C0"/>
    <w:rsid w:val="00E20BB3"/>
    <w:rsid w:val="00E25AA3"/>
    <w:rsid w:val="00E26515"/>
    <w:rsid w:val="00E3269A"/>
    <w:rsid w:val="00E34192"/>
    <w:rsid w:val="00E34717"/>
    <w:rsid w:val="00E36ED2"/>
    <w:rsid w:val="00E40B01"/>
    <w:rsid w:val="00E44F64"/>
    <w:rsid w:val="00E6029D"/>
    <w:rsid w:val="00E60487"/>
    <w:rsid w:val="00E6377A"/>
    <w:rsid w:val="00E63E9E"/>
    <w:rsid w:val="00E72F9F"/>
    <w:rsid w:val="00E74BFB"/>
    <w:rsid w:val="00E77914"/>
    <w:rsid w:val="00E80E83"/>
    <w:rsid w:val="00E83D12"/>
    <w:rsid w:val="00E84621"/>
    <w:rsid w:val="00E8598C"/>
    <w:rsid w:val="00E85A9A"/>
    <w:rsid w:val="00E866E9"/>
    <w:rsid w:val="00E91814"/>
    <w:rsid w:val="00E97155"/>
    <w:rsid w:val="00E97D71"/>
    <w:rsid w:val="00EA3DB3"/>
    <w:rsid w:val="00EA4FC5"/>
    <w:rsid w:val="00EA7547"/>
    <w:rsid w:val="00EB0835"/>
    <w:rsid w:val="00EB2A19"/>
    <w:rsid w:val="00EB46E6"/>
    <w:rsid w:val="00EB49B8"/>
    <w:rsid w:val="00EB5E23"/>
    <w:rsid w:val="00EB761F"/>
    <w:rsid w:val="00EC7055"/>
    <w:rsid w:val="00EC776E"/>
    <w:rsid w:val="00ED3107"/>
    <w:rsid w:val="00ED3F1E"/>
    <w:rsid w:val="00EE3EB5"/>
    <w:rsid w:val="00EF0ABF"/>
    <w:rsid w:val="00EF1180"/>
    <w:rsid w:val="00EF1D53"/>
    <w:rsid w:val="00EF4AFC"/>
    <w:rsid w:val="00EF4BF4"/>
    <w:rsid w:val="00EF5A73"/>
    <w:rsid w:val="00F00BF4"/>
    <w:rsid w:val="00F00F1A"/>
    <w:rsid w:val="00F059F7"/>
    <w:rsid w:val="00F06032"/>
    <w:rsid w:val="00F07772"/>
    <w:rsid w:val="00F11F4A"/>
    <w:rsid w:val="00F132BE"/>
    <w:rsid w:val="00F13A8C"/>
    <w:rsid w:val="00F16557"/>
    <w:rsid w:val="00F21B6F"/>
    <w:rsid w:val="00F31945"/>
    <w:rsid w:val="00F37081"/>
    <w:rsid w:val="00F425D3"/>
    <w:rsid w:val="00F42EB9"/>
    <w:rsid w:val="00F4363D"/>
    <w:rsid w:val="00F50521"/>
    <w:rsid w:val="00F5139C"/>
    <w:rsid w:val="00F521FF"/>
    <w:rsid w:val="00F578C5"/>
    <w:rsid w:val="00F60333"/>
    <w:rsid w:val="00F730DF"/>
    <w:rsid w:val="00F74F88"/>
    <w:rsid w:val="00F76776"/>
    <w:rsid w:val="00F841BE"/>
    <w:rsid w:val="00F8626E"/>
    <w:rsid w:val="00F87FE0"/>
    <w:rsid w:val="00F904E9"/>
    <w:rsid w:val="00F9427E"/>
    <w:rsid w:val="00F94880"/>
    <w:rsid w:val="00F94CD1"/>
    <w:rsid w:val="00F95A84"/>
    <w:rsid w:val="00F964EE"/>
    <w:rsid w:val="00F96BBD"/>
    <w:rsid w:val="00FA0476"/>
    <w:rsid w:val="00FA3A73"/>
    <w:rsid w:val="00FA6074"/>
    <w:rsid w:val="00FB0733"/>
    <w:rsid w:val="00FB1018"/>
    <w:rsid w:val="00FB1597"/>
    <w:rsid w:val="00FB540B"/>
    <w:rsid w:val="00FB5D9A"/>
    <w:rsid w:val="00FB63DE"/>
    <w:rsid w:val="00FC2114"/>
    <w:rsid w:val="00FC6FA4"/>
    <w:rsid w:val="00FC7F48"/>
    <w:rsid w:val="00FD04C6"/>
    <w:rsid w:val="00FD2F8C"/>
    <w:rsid w:val="00FD3653"/>
    <w:rsid w:val="00FD4EC4"/>
    <w:rsid w:val="00FD7AE2"/>
    <w:rsid w:val="00FE404E"/>
    <w:rsid w:val="00FE4BF4"/>
    <w:rsid w:val="00FE7E49"/>
    <w:rsid w:val="00FF4364"/>
    <w:rsid w:val="00FF53EA"/>
    <w:rsid w:val="00FF5491"/>
    <w:rsid w:val="00FF5811"/>
    <w:rsid w:val="00FF67E0"/>
    <w:rsid w:val="0199806C"/>
    <w:rsid w:val="0199E6D0"/>
    <w:rsid w:val="03531F28"/>
    <w:rsid w:val="0381E24C"/>
    <w:rsid w:val="03FBDB2F"/>
    <w:rsid w:val="04775C17"/>
    <w:rsid w:val="048A1464"/>
    <w:rsid w:val="061A4309"/>
    <w:rsid w:val="067AB26C"/>
    <w:rsid w:val="0815FDA5"/>
    <w:rsid w:val="08DD2C50"/>
    <w:rsid w:val="0905EF2C"/>
    <w:rsid w:val="0A61B5BD"/>
    <w:rsid w:val="0A7C1379"/>
    <w:rsid w:val="0B8F8993"/>
    <w:rsid w:val="0BA1F90C"/>
    <w:rsid w:val="0D562C67"/>
    <w:rsid w:val="0DE522D9"/>
    <w:rsid w:val="0E45ACA7"/>
    <w:rsid w:val="0E58445F"/>
    <w:rsid w:val="0F2BBBB8"/>
    <w:rsid w:val="0F692F3F"/>
    <w:rsid w:val="0FC02E1B"/>
    <w:rsid w:val="11098B03"/>
    <w:rsid w:val="11190C0F"/>
    <w:rsid w:val="12BD8704"/>
    <w:rsid w:val="12D1CE6E"/>
    <w:rsid w:val="12E5D3D5"/>
    <w:rsid w:val="13B23E04"/>
    <w:rsid w:val="15474801"/>
    <w:rsid w:val="15EB78F9"/>
    <w:rsid w:val="1912AFD0"/>
    <w:rsid w:val="1A005C84"/>
    <w:rsid w:val="1ACB6A94"/>
    <w:rsid w:val="1C3A3ACB"/>
    <w:rsid w:val="1C4072D0"/>
    <w:rsid w:val="1D57677F"/>
    <w:rsid w:val="1D85816B"/>
    <w:rsid w:val="1D8F3216"/>
    <w:rsid w:val="1DC65ABB"/>
    <w:rsid w:val="1F25605E"/>
    <w:rsid w:val="1F29765F"/>
    <w:rsid w:val="1FDBBF0C"/>
    <w:rsid w:val="20381F04"/>
    <w:rsid w:val="203B67C4"/>
    <w:rsid w:val="222F4BE0"/>
    <w:rsid w:val="232AEE42"/>
    <w:rsid w:val="23A77922"/>
    <w:rsid w:val="24A8B29E"/>
    <w:rsid w:val="255FC12D"/>
    <w:rsid w:val="25F7A12C"/>
    <w:rsid w:val="26616100"/>
    <w:rsid w:val="273EF14B"/>
    <w:rsid w:val="2792FD01"/>
    <w:rsid w:val="27B01962"/>
    <w:rsid w:val="27D38057"/>
    <w:rsid w:val="27DBE66F"/>
    <w:rsid w:val="27E7DAE4"/>
    <w:rsid w:val="2812A7AC"/>
    <w:rsid w:val="28E556D2"/>
    <w:rsid w:val="29CD104C"/>
    <w:rsid w:val="29CFABAB"/>
    <w:rsid w:val="2A45E4FC"/>
    <w:rsid w:val="2BF06ABD"/>
    <w:rsid w:val="2DA4FE8E"/>
    <w:rsid w:val="2F245AC1"/>
    <w:rsid w:val="31A975D8"/>
    <w:rsid w:val="3264B5AD"/>
    <w:rsid w:val="32FC1565"/>
    <w:rsid w:val="331DEFA7"/>
    <w:rsid w:val="3322F184"/>
    <w:rsid w:val="335BA01D"/>
    <w:rsid w:val="3408164A"/>
    <w:rsid w:val="34380B91"/>
    <w:rsid w:val="34C00CC2"/>
    <w:rsid w:val="35F5977B"/>
    <w:rsid w:val="372167B4"/>
    <w:rsid w:val="37DF679A"/>
    <w:rsid w:val="37FE911D"/>
    <w:rsid w:val="394583A5"/>
    <w:rsid w:val="398334AB"/>
    <w:rsid w:val="398C072A"/>
    <w:rsid w:val="39ECF29A"/>
    <w:rsid w:val="3A11384F"/>
    <w:rsid w:val="3C709D3B"/>
    <w:rsid w:val="3DA5D771"/>
    <w:rsid w:val="3EB87881"/>
    <w:rsid w:val="414CA69F"/>
    <w:rsid w:val="4298BCDA"/>
    <w:rsid w:val="429E3926"/>
    <w:rsid w:val="4318C516"/>
    <w:rsid w:val="440263AB"/>
    <w:rsid w:val="4498D253"/>
    <w:rsid w:val="451FB845"/>
    <w:rsid w:val="4548EC56"/>
    <w:rsid w:val="45D41B49"/>
    <w:rsid w:val="4639BA67"/>
    <w:rsid w:val="47777569"/>
    <w:rsid w:val="48F13176"/>
    <w:rsid w:val="4984863D"/>
    <w:rsid w:val="4A6C56E6"/>
    <w:rsid w:val="4A738DEC"/>
    <w:rsid w:val="4B26DF2B"/>
    <w:rsid w:val="4C364D4D"/>
    <w:rsid w:val="4CD46513"/>
    <w:rsid w:val="4D1759EF"/>
    <w:rsid w:val="4D42A4AC"/>
    <w:rsid w:val="4DCE2292"/>
    <w:rsid w:val="4FD6FDA1"/>
    <w:rsid w:val="50011E14"/>
    <w:rsid w:val="5053E16D"/>
    <w:rsid w:val="50AE3779"/>
    <w:rsid w:val="50B7A015"/>
    <w:rsid w:val="511B02AB"/>
    <w:rsid w:val="51995139"/>
    <w:rsid w:val="51E21044"/>
    <w:rsid w:val="51E51DFA"/>
    <w:rsid w:val="527E3C69"/>
    <w:rsid w:val="542E443A"/>
    <w:rsid w:val="542E9C99"/>
    <w:rsid w:val="5491BD9E"/>
    <w:rsid w:val="5599F252"/>
    <w:rsid w:val="561668E1"/>
    <w:rsid w:val="568408D1"/>
    <w:rsid w:val="56A5310F"/>
    <w:rsid w:val="574A9EEC"/>
    <w:rsid w:val="58091877"/>
    <w:rsid w:val="5816416B"/>
    <w:rsid w:val="5BC92BF3"/>
    <w:rsid w:val="5BE17194"/>
    <w:rsid w:val="5BE797B7"/>
    <w:rsid w:val="5CC4E162"/>
    <w:rsid w:val="5D16F552"/>
    <w:rsid w:val="5D811D92"/>
    <w:rsid w:val="5DDAE7FC"/>
    <w:rsid w:val="5E618FAD"/>
    <w:rsid w:val="5F765818"/>
    <w:rsid w:val="5FD74021"/>
    <w:rsid w:val="60BBECFF"/>
    <w:rsid w:val="60EF9C15"/>
    <w:rsid w:val="616B03CE"/>
    <w:rsid w:val="624D0908"/>
    <w:rsid w:val="62981F92"/>
    <w:rsid w:val="636C3854"/>
    <w:rsid w:val="64416235"/>
    <w:rsid w:val="64D0FDE7"/>
    <w:rsid w:val="64FF94EC"/>
    <w:rsid w:val="65DC9864"/>
    <w:rsid w:val="6603C78E"/>
    <w:rsid w:val="660A1B17"/>
    <w:rsid w:val="692654B4"/>
    <w:rsid w:val="69AFA5D3"/>
    <w:rsid w:val="6AD7DB91"/>
    <w:rsid w:val="6CC38CB5"/>
    <w:rsid w:val="6DA17968"/>
    <w:rsid w:val="6DBAD992"/>
    <w:rsid w:val="6EE2834A"/>
    <w:rsid w:val="6F125A75"/>
    <w:rsid w:val="6F2A69C9"/>
    <w:rsid w:val="6F6AF169"/>
    <w:rsid w:val="6F75C563"/>
    <w:rsid w:val="6F99E36A"/>
    <w:rsid w:val="70C9D2D4"/>
    <w:rsid w:val="70E4D15B"/>
    <w:rsid w:val="713EA236"/>
    <w:rsid w:val="720B17B2"/>
    <w:rsid w:val="7274EA8B"/>
    <w:rsid w:val="72AE9D62"/>
    <w:rsid w:val="731024DE"/>
    <w:rsid w:val="745DE3D1"/>
    <w:rsid w:val="75D06CCE"/>
    <w:rsid w:val="75D6B6BA"/>
    <w:rsid w:val="760C45A0"/>
    <w:rsid w:val="76A0481F"/>
    <w:rsid w:val="77267E8C"/>
    <w:rsid w:val="782B844D"/>
    <w:rsid w:val="7A8BC50D"/>
    <w:rsid w:val="7A9DB2B7"/>
    <w:rsid w:val="7AD42E26"/>
    <w:rsid w:val="7B0CA740"/>
    <w:rsid w:val="7D3AB54E"/>
    <w:rsid w:val="7E3BC4DB"/>
    <w:rsid w:val="7FC1918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6C8A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7A1E"/>
    <w:pPr>
      <w:spacing w:after="12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B07A1E"/>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7A1E"/>
    <w:rPr>
      <w:rFonts w:ascii="Times New Roman" w:eastAsia="Times New Roman" w:hAnsi="Times New Roman" w:cs="Times New Roman"/>
      <w:b/>
      <w:sz w:val="24"/>
      <w:szCs w:val="20"/>
    </w:rPr>
  </w:style>
  <w:style w:type="paragraph" w:styleId="Header">
    <w:name w:val="header"/>
    <w:basedOn w:val="Normal"/>
    <w:link w:val="HeaderChar"/>
    <w:rsid w:val="00B07A1E"/>
    <w:pPr>
      <w:tabs>
        <w:tab w:val="center" w:pos="4320"/>
        <w:tab w:val="right" w:pos="8640"/>
      </w:tabs>
    </w:pPr>
  </w:style>
  <w:style w:type="character" w:customStyle="1" w:styleId="HeaderChar">
    <w:name w:val="Header Char"/>
    <w:basedOn w:val="DefaultParagraphFont"/>
    <w:link w:val="Header"/>
    <w:rsid w:val="00B07A1E"/>
    <w:rPr>
      <w:rFonts w:ascii="Times New Roman" w:eastAsia="Times New Roman" w:hAnsi="Times New Roman" w:cs="Times New Roman"/>
      <w:sz w:val="24"/>
      <w:szCs w:val="20"/>
    </w:rPr>
  </w:style>
  <w:style w:type="character" w:styleId="PageNumber">
    <w:name w:val="page number"/>
    <w:basedOn w:val="DefaultParagraphFont"/>
    <w:rsid w:val="00B07A1E"/>
  </w:style>
  <w:style w:type="paragraph" w:styleId="BodyTextIndent">
    <w:name w:val="Body Text Indent"/>
    <w:basedOn w:val="Normal"/>
    <w:link w:val="BodyTextIndentChar"/>
    <w:rsid w:val="00B07A1E"/>
    <w:pPr>
      <w:tabs>
        <w:tab w:val="left" w:pos="720"/>
      </w:tabs>
      <w:spacing w:after="0"/>
      <w:ind w:left="720"/>
      <w:jc w:val="both"/>
    </w:pPr>
    <w:rPr>
      <w:szCs w:val="24"/>
    </w:rPr>
  </w:style>
  <w:style w:type="character" w:customStyle="1" w:styleId="BodyTextIndentChar">
    <w:name w:val="Body Text Indent Char"/>
    <w:basedOn w:val="DefaultParagraphFont"/>
    <w:link w:val="BodyTextIndent"/>
    <w:rsid w:val="00B07A1E"/>
    <w:rPr>
      <w:rFonts w:ascii="Times New Roman" w:eastAsia="Times New Roman" w:hAnsi="Times New Roman" w:cs="Times New Roman"/>
      <w:sz w:val="24"/>
      <w:szCs w:val="24"/>
    </w:rPr>
  </w:style>
  <w:style w:type="paragraph" w:styleId="BodyTextIndent2">
    <w:name w:val="Body Text Indent 2"/>
    <w:basedOn w:val="Normal"/>
    <w:link w:val="BodyTextIndent2Char"/>
    <w:rsid w:val="00B07A1E"/>
    <w:pPr>
      <w:tabs>
        <w:tab w:val="left" w:pos="360"/>
      </w:tabs>
      <w:spacing w:after="0"/>
      <w:ind w:left="360"/>
      <w:jc w:val="both"/>
    </w:pPr>
    <w:rPr>
      <w:szCs w:val="24"/>
    </w:rPr>
  </w:style>
  <w:style w:type="character" w:customStyle="1" w:styleId="BodyTextIndent2Char">
    <w:name w:val="Body Text Indent 2 Char"/>
    <w:basedOn w:val="DefaultParagraphFont"/>
    <w:link w:val="BodyTextIndent2"/>
    <w:rsid w:val="00B07A1E"/>
    <w:rPr>
      <w:rFonts w:ascii="Times New Roman" w:eastAsia="Times New Roman" w:hAnsi="Times New Roman" w:cs="Times New Roman"/>
      <w:sz w:val="24"/>
      <w:szCs w:val="24"/>
    </w:rPr>
  </w:style>
  <w:style w:type="paragraph" w:styleId="Title">
    <w:name w:val="Title"/>
    <w:basedOn w:val="Normal"/>
    <w:link w:val="TitleChar"/>
    <w:qFormat/>
    <w:rsid w:val="00B07A1E"/>
    <w:pPr>
      <w:spacing w:after="0"/>
      <w:jc w:val="center"/>
    </w:pPr>
    <w:rPr>
      <w:b/>
      <w:bCs/>
      <w:szCs w:val="24"/>
    </w:rPr>
  </w:style>
  <w:style w:type="character" w:customStyle="1" w:styleId="TitleChar">
    <w:name w:val="Title Char"/>
    <w:basedOn w:val="DefaultParagraphFont"/>
    <w:link w:val="Title"/>
    <w:rsid w:val="00B07A1E"/>
    <w:rPr>
      <w:rFonts w:ascii="Times New Roman" w:eastAsia="Times New Roman" w:hAnsi="Times New Roman" w:cs="Times New Roman"/>
      <w:b/>
      <w:bCs/>
      <w:sz w:val="24"/>
      <w:szCs w:val="24"/>
    </w:rPr>
  </w:style>
  <w:style w:type="character" w:styleId="Hyperlink">
    <w:name w:val="Hyperlink"/>
    <w:basedOn w:val="DefaultParagraphFont"/>
    <w:rsid w:val="00B07A1E"/>
    <w:rPr>
      <w:color w:val="0000FF"/>
      <w:u w:val="single"/>
    </w:rPr>
  </w:style>
  <w:style w:type="paragraph" w:styleId="ListParagraph">
    <w:name w:val="List Paragraph"/>
    <w:basedOn w:val="Normal"/>
    <w:uiPriority w:val="34"/>
    <w:qFormat/>
    <w:rsid w:val="00B07A1E"/>
    <w:pPr>
      <w:spacing w:after="0"/>
      <w:ind w:left="720"/>
      <w:contextualSpacing/>
    </w:pPr>
    <w:rPr>
      <w:rFonts w:ascii="Tw Cen MT" w:hAnsi="Tw Cen MT"/>
      <w:szCs w:val="24"/>
    </w:rPr>
  </w:style>
  <w:style w:type="table" w:styleId="TableGrid">
    <w:name w:val="Table Grid"/>
    <w:basedOn w:val="TableNormal"/>
    <w:uiPriority w:val="39"/>
    <w:rsid w:val="00B07A1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7A1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A1E"/>
    <w:rPr>
      <w:rFonts w:ascii="Tahoma" w:eastAsia="Times New Roman" w:hAnsi="Tahoma" w:cs="Tahoma"/>
      <w:sz w:val="16"/>
      <w:szCs w:val="16"/>
    </w:rPr>
  </w:style>
  <w:style w:type="character" w:styleId="CommentReference">
    <w:name w:val="annotation reference"/>
    <w:basedOn w:val="DefaultParagraphFont"/>
    <w:unhideWhenUsed/>
    <w:rsid w:val="00FF67E0"/>
    <w:rPr>
      <w:sz w:val="16"/>
      <w:szCs w:val="16"/>
    </w:rPr>
  </w:style>
  <w:style w:type="paragraph" w:styleId="CommentText">
    <w:name w:val="annotation text"/>
    <w:basedOn w:val="Normal"/>
    <w:link w:val="CommentTextChar"/>
    <w:unhideWhenUsed/>
    <w:rsid w:val="00FF67E0"/>
    <w:rPr>
      <w:sz w:val="20"/>
    </w:rPr>
  </w:style>
  <w:style w:type="character" w:customStyle="1" w:styleId="CommentTextChar">
    <w:name w:val="Comment Text Char"/>
    <w:basedOn w:val="DefaultParagraphFont"/>
    <w:link w:val="CommentText"/>
    <w:rsid w:val="00FF67E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F67E0"/>
    <w:rPr>
      <w:b/>
      <w:bCs/>
    </w:rPr>
  </w:style>
  <w:style w:type="character" w:customStyle="1" w:styleId="CommentSubjectChar">
    <w:name w:val="Comment Subject Char"/>
    <w:basedOn w:val="CommentTextChar"/>
    <w:link w:val="CommentSubject"/>
    <w:uiPriority w:val="99"/>
    <w:semiHidden/>
    <w:rsid w:val="00FF67E0"/>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AC570E"/>
    <w:rPr>
      <w:color w:val="800080" w:themeColor="followedHyperlink"/>
      <w:u w:val="single"/>
    </w:rPr>
  </w:style>
  <w:style w:type="paragraph" w:styleId="EndnoteText">
    <w:name w:val="endnote text"/>
    <w:basedOn w:val="Normal"/>
    <w:link w:val="EndnoteTextChar"/>
    <w:semiHidden/>
    <w:unhideWhenUsed/>
    <w:rsid w:val="00BC6842"/>
    <w:pPr>
      <w:spacing w:after="0"/>
    </w:pPr>
    <w:rPr>
      <w:sz w:val="20"/>
    </w:rPr>
  </w:style>
  <w:style w:type="character" w:customStyle="1" w:styleId="EndnoteTextChar">
    <w:name w:val="Endnote Text Char"/>
    <w:basedOn w:val="DefaultParagraphFont"/>
    <w:link w:val="EndnoteText"/>
    <w:semiHidden/>
    <w:rsid w:val="00BC6842"/>
    <w:rPr>
      <w:rFonts w:ascii="Times New Roman" w:eastAsia="Times New Roman" w:hAnsi="Times New Roman" w:cs="Times New Roman"/>
      <w:sz w:val="20"/>
      <w:szCs w:val="20"/>
    </w:rPr>
  </w:style>
  <w:style w:type="character" w:styleId="EndnoteReference">
    <w:name w:val="endnote reference"/>
    <w:basedOn w:val="DefaultParagraphFont"/>
    <w:semiHidden/>
    <w:unhideWhenUsed/>
    <w:rsid w:val="00BC6842"/>
    <w:rPr>
      <w:vertAlign w:val="superscript"/>
    </w:rPr>
  </w:style>
  <w:style w:type="paragraph" w:styleId="FootnoteText">
    <w:name w:val="footnote text"/>
    <w:basedOn w:val="Normal"/>
    <w:link w:val="FootnoteTextChar"/>
    <w:uiPriority w:val="99"/>
    <w:semiHidden/>
    <w:unhideWhenUsed/>
    <w:rsid w:val="001638E2"/>
    <w:pPr>
      <w:spacing w:after="0"/>
    </w:pPr>
    <w:rPr>
      <w:sz w:val="20"/>
    </w:rPr>
  </w:style>
  <w:style w:type="character" w:customStyle="1" w:styleId="FootnoteTextChar">
    <w:name w:val="Footnote Text Char"/>
    <w:basedOn w:val="DefaultParagraphFont"/>
    <w:link w:val="FootnoteText"/>
    <w:uiPriority w:val="99"/>
    <w:semiHidden/>
    <w:rsid w:val="001638E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638E2"/>
    <w:rPr>
      <w:vertAlign w:val="superscript"/>
    </w:rPr>
  </w:style>
  <w:style w:type="paragraph" w:styleId="Revision">
    <w:name w:val="Revision"/>
    <w:hidden/>
    <w:uiPriority w:val="99"/>
    <w:semiHidden/>
    <w:rsid w:val="00FF4364"/>
    <w:pPr>
      <w:spacing w:after="0" w:line="240" w:lineRule="auto"/>
    </w:pPr>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C72D6"/>
    <w:pPr>
      <w:tabs>
        <w:tab w:val="center" w:pos="4680"/>
        <w:tab w:val="right" w:pos="9360"/>
      </w:tabs>
      <w:spacing w:after="0"/>
    </w:pPr>
  </w:style>
  <w:style w:type="character" w:customStyle="1" w:styleId="FooterChar">
    <w:name w:val="Footer Char"/>
    <w:basedOn w:val="DefaultParagraphFont"/>
    <w:link w:val="Footer"/>
    <w:uiPriority w:val="99"/>
    <w:rsid w:val="004C72D6"/>
    <w:rPr>
      <w:rFonts w:ascii="Times New Roman" w:eastAsia="Times New Roman" w:hAnsi="Times New Roman" w:cs="Times New Roman"/>
      <w:sz w:val="24"/>
      <w:szCs w:val="20"/>
    </w:rPr>
  </w:style>
  <w:style w:type="character" w:styleId="UnresolvedMention">
    <w:name w:val="Unresolved Mention"/>
    <w:basedOn w:val="DefaultParagraphFont"/>
    <w:uiPriority w:val="99"/>
    <w:unhideWhenUsed/>
    <w:rsid w:val="008C4EB0"/>
    <w:rPr>
      <w:color w:val="605E5C"/>
      <w:shd w:val="clear" w:color="auto" w:fill="E1DFDD"/>
    </w:rPr>
  </w:style>
  <w:style w:type="paragraph" w:styleId="NormalWeb">
    <w:name w:val="Normal (Web)"/>
    <w:basedOn w:val="Normal"/>
    <w:uiPriority w:val="99"/>
    <w:unhideWhenUsed/>
    <w:rsid w:val="007D0915"/>
    <w:pPr>
      <w:spacing w:before="100" w:beforeAutospacing="1" w:after="100" w:afterAutospacing="1"/>
    </w:pPr>
    <w:rPr>
      <w:rFonts w:ascii="Calibri" w:hAnsi="Calibri" w:eastAsiaTheme="minorHAnsi" w:cs="Calibri"/>
      <w:sz w:val="22"/>
      <w:szCs w:val="22"/>
    </w:rPr>
  </w:style>
  <w:style w:type="character" w:styleId="Mention">
    <w:name w:val="Mention"/>
    <w:basedOn w:val="DefaultParagraphFont"/>
    <w:uiPriority w:val="99"/>
    <w:unhideWhenUsed/>
    <w:rPr>
      <w:color w:val="2B579A"/>
      <w:shd w:val="clear" w:color="auto" w:fill="E6E6E6"/>
    </w:rPr>
  </w:style>
  <w:style w:type="character" w:customStyle="1" w:styleId="italic">
    <w:name w:val="italic"/>
    <w:basedOn w:val="DefaultParagraphFont"/>
    <w:rsid w:val="00DD4E92"/>
  </w:style>
  <w:style w:type="paragraph" w:customStyle="1" w:styleId="TableParagraph">
    <w:name w:val="Table Paragraph"/>
    <w:basedOn w:val="Normal"/>
    <w:uiPriority w:val="1"/>
    <w:qFormat/>
    <w:rsid w:val="004328C0"/>
    <w:pPr>
      <w:widowControl w:val="0"/>
      <w:autoSpaceDE w:val="0"/>
      <w:autoSpaceDN w:val="0"/>
      <w:spacing w:after="0"/>
      <w:ind w:left="467"/>
    </w:pPr>
    <w:rPr>
      <w:rFonts w:ascii="Garamond" w:eastAsia="Garamond" w:hAnsi="Garamond" w:cs="Garamond"/>
      <w:sz w:val="22"/>
      <w:szCs w:val="22"/>
    </w:rPr>
  </w:style>
  <w:style w:type="paragraph" w:customStyle="1" w:styleId="paragraph">
    <w:name w:val="paragraph"/>
    <w:basedOn w:val="Normal"/>
    <w:rsid w:val="00711AD4"/>
    <w:pPr>
      <w:spacing w:before="100" w:beforeAutospacing="1" w:after="100" w:afterAutospacing="1"/>
    </w:pPr>
    <w:rPr>
      <w:szCs w:val="24"/>
    </w:rPr>
  </w:style>
  <w:style w:type="character" w:customStyle="1" w:styleId="normaltextrun">
    <w:name w:val="normaltextrun"/>
    <w:basedOn w:val="DefaultParagraphFont"/>
    <w:rsid w:val="00711AD4"/>
  </w:style>
  <w:style w:type="character" w:customStyle="1" w:styleId="eop">
    <w:name w:val="eop"/>
    <w:basedOn w:val="DefaultParagraphFont"/>
    <w:rsid w:val="00711AD4"/>
  </w:style>
  <w:style w:type="paragraph" w:customStyle="1" w:styleId="font-claude-response-body">
    <w:name w:val="font-claude-response-body"/>
    <w:basedOn w:val="Normal"/>
    <w:rsid w:val="002F47D8"/>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irs.gov/tax-professionals/standard-mileage-rates" TargetMode="External" /><Relationship Id="rId11" Type="http://schemas.openxmlformats.org/officeDocument/2006/relationships/hyperlink" Target="https://www.ecfr.gov/current/title-5/chapter-III/subchapter-B/part-1320/section-1320.9"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igital.gov/guides/pra/estimate-burden" TargetMode="External" /><Relationship Id="rId5" Type="http://schemas.openxmlformats.org/officeDocument/2006/relationships/hyperlink" Target="https://www.opm.gov/privacy/" TargetMode="External" /><Relationship Id="rId6" Type="http://schemas.openxmlformats.org/officeDocument/2006/relationships/hyperlink" Target="https://www.bls.gov/oes/current/oes_nat.htm" TargetMode="External" /><Relationship Id="rId7" Type="http://schemas.openxmlformats.org/officeDocument/2006/relationships/hyperlink" Target="https://www.vitalchek.com/v/timing-and-pricing" TargetMode="External" /><Relationship Id="rId8" Type="http://schemas.openxmlformats.org/officeDocument/2006/relationships/hyperlink" Target="https://www.office.fedex.com/default/copy-and-print-services" TargetMode="External" /><Relationship Id="rId9" Type="http://schemas.openxmlformats.org/officeDocument/2006/relationships/hyperlink" Target="https://www.usps.com/business/prices.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844ef997-7b63-48f0-882a-7dc8162e363b}" enabled="0" method="" siteId="{844ef997-7b63-48f0-882a-7dc8162e363b}"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3031</Words>
  <Characters>17131</Characters>
  <Application>Microsoft Office Word</Application>
  <DocSecurity>0</DocSecurity>
  <Lines>489</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2026-07-24T18:47:00Z</dcterms:created>
  <dcterms:modified xsi:type="dcterms:W3CDTF">2026-07-24T18:47:00Z</dcterms:modified>
</cp:coreProperties>
</file>