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F368F" w:rsidRPr="005C4870" w:rsidP="005C4870" w14:paraId="328A876A" w14:textId="555A9F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48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Laws and Regs SBA Form </w:t>
      </w:r>
      <w:r w:rsidR="009A022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:rsidR="005C4870" w:rsidRPr="005C4870" w14:paraId="2E361E8A" w14:textId="6D3E528C">
      <w:pPr>
        <w:rPr>
          <w:rFonts w:ascii="Times New Roman" w:hAnsi="Times New Roman" w:cs="Times New Roman"/>
          <w:sz w:val="24"/>
          <w:szCs w:val="24"/>
        </w:rPr>
      </w:pPr>
    </w:p>
    <w:p w:rsidR="4B47985A" w:rsidP="77CFDBB8" w14:paraId="0E1C41DB" w14:textId="5843E8FF">
      <w:pPr>
        <w:rPr>
          <w:rFonts w:ascii="Times New Roman" w:hAnsi="Times New Roman" w:cs="Times New Roman"/>
          <w:sz w:val="24"/>
          <w:szCs w:val="24"/>
        </w:rPr>
      </w:pPr>
      <w:r w:rsidRPr="00CC4E91">
        <w:rPr>
          <w:rFonts w:ascii="Times New Roman" w:hAnsi="Times New Roman" w:cs="Times New Roman"/>
          <w:sz w:val="24"/>
          <w:szCs w:val="24"/>
        </w:rPr>
        <w:t>Executive Order 14168—Defending Women From Gender Ideology Extremism and Restoring Biological Truth to the Federal Government</w:t>
      </w:r>
      <w:r w:rsidR="00981DE9">
        <w:rPr>
          <w:rFonts w:ascii="Times New Roman" w:hAnsi="Times New Roman" w:cs="Times New Roman"/>
          <w:sz w:val="24"/>
          <w:szCs w:val="24"/>
        </w:rPr>
        <w:t>, January 20, 2025</w:t>
      </w:r>
    </w:p>
    <w:p w:rsidR="002D1AB5" w:rsidP="005C4870" w14:paraId="1644F97E" w14:textId="77777777">
      <w:pPr>
        <w:rPr>
          <w:rFonts w:ascii="Times New Roman" w:hAnsi="Times New Roman" w:cs="Times New Roman"/>
          <w:sz w:val="24"/>
          <w:szCs w:val="24"/>
        </w:rPr>
      </w:pPr>
    </w:p>
    <w:p w:rsidR="002D1AB5" w:rsidP="002D1AB5" w14:paraId="4DE03497" w14:textId="3A0926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358">
        <w:rPr>
          <w:rFonts w:ascii="Times New Roman" w:hAnsi="Times New Roman" w:cs="Times New Roman"/>
          <w:b/>
          <w:bCs/>
          <w:sz w:val="24"/>
          <w:szCs w:val="24"/>
        </w:rPr>
        <w:t>13 CFR 120.110</w:t>
      </w:r>
      <w:r w:rsidRPr="00CF3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1843" w:rsidR="00491843">
        <w:rPr>
          <w:rFonts w:ascii="Times New Roman" w:hAnsi="Times New Roman" w:cs="Times New Roman"/>
          <w:b/>
          <w:bCs/>
          <w:sz w:val="24"/>
          <w:szCs w:val="24"/>
        </w:rPr>
        <w:t>What businesses are ineligible for SBA business loans?</w:t>
      </w:r>
    </w:p>
    <w:p w:rsidR="00491843" w:rsidP="002D1AB5" w14:paraId="47595855" w14:textId="5B81924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4689A">
          <w:rPr>
            <w:rStyle w:val="Hyperlink"/>
            <w:rFonts w:ascii="Times New Roman" w:hAnsi="Times New Roman" w:cs="Times New Roman"/>
            <w:sz w:val="24"/>
            <w:szCs w:val="24"/>
          </w:rPr>
          <w:t>https://www.ecfr.gov/current/title-13/section-120.110</w:t>
        </w:r>
      </w:hyperlink>
    </w:p>
    <w:p w:rsidR="009511B3" w:rsidRPr="009511B3" w:rsidP="009511B3" w14:paraId="623C0A3B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 xml:space="preserve">The following types of </w:t>
      </w:r>
      <w:r w:rsidRPr="009511B3">
        <w:rPr>
          <w:rFonts w:ascii="Times New Roman" w:hAnsi="Times New Roman" w:cs="Times New Roman"/>
          <w:sz w:val="24"/>
          <w:szCs w:val="24"/>
        </w:rPr>
        <w:t>businesses</w:t>
      </w:r>
      <w:r w:rsidRPr="009511B3">
        <w:rPr>
          <w:rFonts w:ascii="Times New Roman" w:hAnsi="Times New Roman" w:cs="Times New Roman"/>
          <w:sz w:val="24"/>
          <w:szCs w:val="24"/>
        </w:rPr>
        <w:t xml:space="preserve"> are ineligible:</w:t>
      </w:r>
    </w:p>
    <w:p w:rsidR="009511B3" w:rsidRPr="009511B3" w:rsidP="009511B3" w14:paraId="34615765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(a) Non-profit businesses (for-profit subsidiaries are eligible);</w:t>
      </w:r>
    </w:p>
    <w:p w:rsidR="009511B3" w:rsidRPr="009511B3" w:rsidP="009511B3" w14:paraId="15628EFE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(b) Financial businesses primarily engaged in the business of lending, such as banks, finance companies, and factors (pawn shops, although engaged in lending, may qualify in some circumstances);</w:t>
      </w:r>
    </w:p>
    <w:p w:rsidR="009511B3" w:rsidRPr="009511B3" w:rsidP="009511B3" w14:paraId="01145CD3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 xml:space="preserve">(c) Passive businesses owned by developers and landlords that do not actively use or occupy the assets acquired or improved with the loan proceeds (except Eligible Passive Companies under </w:t>
      </w:r>
      <w:hyperlink r:id="rId8" w:history="1">
        <w:r w:rsidRPr="009511B3">
          <w:rPr>
            <w:rStyle w:val="Hyperlink"/>
            <w:rFonts w:ascii="Times New Roman" w:hAnsi="Times New Roman" w:cs="Times New Roman"/>
            <w:sz w:val="24"/>
            <w:szCs w:val="24"/>
          </w:rPr>
          <w:t>§ 120.111</w:t>
        </w:r>
      </w:hyperlink>
      <w:r w:rsidRPr="009511B3">
        <w:rPr>
          <w:rFonts w:ascii="Times New Roman" w:hAnsi="Times New Roman" w:cs="Times New Roman"/>
          <w:sz w:val="24"/>
          <w:szCs w:val="24"/>
        </w:rPr>
        <w:t>);</w:t>
      </w:r>
    </w:p>
    <w:p w:rsidR="009511B3" w:rsidRPr="009511B3" w:rsidP="009511B3" w14:paraId="0539C720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(d) Life insurance companies;</w:t>
      </w:r>
    </w:p>
    <w:p w:rsidR="009511B3" w:rsidRPr="009511B3" w:rsidP="009511B3" w14:paraId="1498BA25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(e) Businesses located in a foreign country (businesses in the U.S. owned by aliens may qualify);</w:t>
      </w:r>
    </w:p>
    <w:p w:rsidR="009511B3" w:rsidRPr="009511B3" w:rsidP="009511B3" w14:paraId="4229E029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(f) Pyramid sale distribution plans;</w:t>
      </w:r>
    </w:p>
    <w:p w:rsidR="009511B3" w:rsidRPr="009511B3" w:rsidP="009511B3" w14:paraId="5B8960BD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(g) Businesses deriving more than one-third of gross annual revenue from legal gambling activities;</w:t>
      </w:r>
    </w:p>
    <w:p w:rsidR="009511B3" w:rsidRPr="009511B3" w:rsidP="009511B3" w14:paraId="40510887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(h) Businesses engaged in any activity that is illegal under Federal, State, or local law;</w:t>
      </w:r>
    </w:p>
    <w:p w:rsidR="009511B3" w:rsidRPr="009511B3" w:rsidP="009511B3" w14:paraId="7FC10306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(i) Private clubs and businesses which limit the number of memberships for reasons other than capacity;</w:t>
      </w:r>
    </w:p>
    <w:p w:rsidR="009511B3" w:rsidRPr="009511B3" w:rsidP="009511B3" w14:paraId="2A9DF12C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(j) Government-owned entities (except for businesses owned or controlled by a Native American tribe);</w:t>
      </w:r>
    </w:p>
    <w:p w:rsidR="009511B3" w:rsidRPr="009511B3" w:rsidP="009511B3" w14:paraId="0839DF5B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(k)-(l) [Reserved]</w:t>
      </w:r>
    </w:p>
    <w:p w:rsidR="009511B3" w:rsidRPr="009511B3" w:rsidP="009511B3" w14:paraId="2F3A6CA4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(m) Loan packagers earning more than one third of their gross annual revenue from packaging SBA loans;</w:t>
      </w:r>
    </w:p>
    <w:p w:rsidR="009511B3" w:rsidRPr="009511B3" w:rsidP="009511B3" w14:paraId="6F66AD76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(n) Businesses with an Associate who is currently incarcerated, serving a sentence of imprisonment imposed upon adjudication of guilty, or is under indictment for a felony or any crime involving or relating to financial misconduct or a false statement;</w:t>
      </w:r>
    </w:p>
    <w:p w:rsidR="009511B3" w:rsidRPr="009511B3" w:rsidP="009511B3" w14:paraId="5119788F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(o) Businesses in which the Lender or CDC, or any of its Associates owns an equity interest;</w:t>
      </w:r>
    </w:p>
    <w:p w:rsidR="009511B3" w:rsidRPr="009511B3" w:rsidP="009511B3" w14:paraId="5932E6FB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(p) Businesses which:</w:t>
      </w:r>
    </w:p>
    <w:p w:rsidR="009511B3" w:rsidRPr="009511B3" w:rsidP="009511B3" w14:paraId="10D40DA4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(1) Present live performances of a prurient sexual nature; or</w:t>
      </w:r>
    </w:p>
    <w:p w:rsidR="009511B3" w:rsidRPr="009511B3" w:rsidP="009511B3" w14:paraId="321C19FB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 xml:space="preserve">(2) Derive directly or indirectly more than </w:t>
      </w:r>
      <w:r w:rsidRPr="009511B3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9511B3">
        <w:rPr>
          <w:rFonts w:ascii="Times New Roman" w:hAnsi="Times New Roman" w:cs="Times New Roman"/>
          <w:sz w:val="24"/>
          <w:szCs w:val="24"/>
        </w:rPr>
        <w:t xml:space="preserve"> gross revenue through the sale of products or services, or the presentation of any depictions or displays, of a prurient sexual nature;</w:t>
      </w:r>
    </w:p>
    <w:p w:rsidR="009511B3" w:rsidRPr="009511B3" w:rsidP="009511B3" w14:paraId="7B1D7E02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(q) Unless waived by SBA for good cause, businesses that have previously defaulted on a Federal loan or Federally assisted financing, resulting in the Federal government or any of its agencies or Departments sustaining a loss in any of its programs, and businesses owned or controlled by an applicant or any of its Associates which previously owned, operated, or controlled a business which defaulted on a Federal loan (or guaranteed a loan which was defaulted) and caused the Federal government or any of its agencies or Departments to sustain a loss in any of its programs. For purposes of this section, a compromise agreement shall also be considered a loss;</w:t>
      </w:r>
    </w:p>
    <w:p w:rsidR="009511B3" w:rsidRPr="009511B3" w:rsidP="009511B3" w14:paraId="35780C09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(r) Businesses primarily engaged in political or lobbying activities; and</w:t>
      </w:r>
    </w:p>
    <w:p w:rsidR="009511B3" w:rsidRPr="009511B3" w:rsidP="009511B3" w14:paraId="5972921B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(s) Speculative businesses (such as oil wildcatting).</w:t>
      </w:r>
    </w:p>
    <w:p w:rsidR="009511B3" w:rsidRPr="009511B3" w:rsidP="009511B3" w14:paraId="1B5BF1AC" w14:textId="77777777">
      <w:pPr>
        <w:rPr>
          <w:rFonts w:ascii="Times New Roman" w:hAnsi="Times New Roman" w:cs="Times New Roman"/>
          <w:sz w:val="24"/>
          <w:szCs w:val="24"/>
        </w:rPr>
      </w:pPr>
      <w:r w:rsidRPr="009511B3">
        <w:rPr>
          <w:rFonts w:ascii="Times New Roman" w:hAnsi="Times New Roman" w:cs="Times New Roman"/>
          <w:sz w:val="24"/>
          <w:szCs w:val="24"/>
        </w:rPr>
        <w:t>[</w:t>
      </w:r>
      <w:hyperlink r:id="rId9" w:history="1">
        <w:r w:rsidRPr="009511B3">
          <w:rPr>
            <w:rStyle w:val="Hyperlink"/>
            <w:rFonts w:ascii="Times New Roman" w:hAnsi="Times New Roman" w:cs="Times New Roman"/>
            <w:sz w:val="24"/>
            <w:szCs w:val="24"/>
          </w:rPr>
          <w:t>61 FR 3235</w:t>
        </w:r>
      </w:hyperlink>
      <w:r w:rsidRPr="009511B3">
        <w:rPr>
          <w:rFonts w:ascii="Times New Roman" w:hAnsi="Times New Roman" w:cs="Times New Roman"/>
          <w:sz w:val="24"/>
          <w:szCs w:val="24"/>
        </w:rPr>
        <w:t xml:space="preserve">, Jan. 31, 1996, as amended at </w:t>
      </w:r>
      <w:hyperlink r:id="rId10" w:history="1">
        <w:r w:rsidRPr="009511B3">
          <w:rPr>
            <w:rStyle w:val="Hyperlink"/>
            <w:rFonts w:ascii="Times New Roman" w:hAnsi="Times New Roman" w:cs="Times New Roman"/>
            <w:sz w:val="24"/>
            <w:szCs w:val="24"/>
          </w:rPr>
          <w:t>82 FR 39502</w:t>
        </w:r>
      </w:hyperlink>
      <w:r w:rsidRPr="009511B3">
        <w:rPr>
          <w:rFonts w:ascii="Times New Roman" w:hAnsi="Times New Roman" w:cs="Times New Roman"/>
          <w:sz w:val="24"/>
          <w:szCs w:val="24"/>
        </w:rPr>
        <w:t xml:space="preserve">, Aug. 21, 2017; </w:t>
      </w:r>
      <w:hyperlink r:id="rId11" w:history="1">
        <w:r w:rsidRPr="009511B3">
          <w:rPr>
            <w:rStyle w:val="Hyperlink"/>
            <w:rFonts w:ascii="Times New Roman" w:hAnsi="Times New Roman" w:cs="Times New Roman"/>
            <w:sz w:val="24"/>
            <w:szCs w:val="24"/>
          </w:rPr>
          <w:t>87 FR 38908</w:t>
        </w:r>
      </w:hyperlink>
      <w:r w:rsidRPr="009511B3">
        <w:rPr>
          <w:rFonts w:ascii="Times New Roman" w:hAnsi="Times New Roman" w:cs="Times New Roman"/>
          <w:sz w:val="24"/>
          <w:szCs w:val="24"/>
        </w:rPr>
        <w:t xml:space="preserve">, June 30, 2022; </w:t>
      </w:r>
      <w:hyperlink r:id="rId12" w:history="1">
        <w:r w:rsidRPr="009511B3">
          <w:rPr>
            <w:rStyle w:val="Hyperlink"/>
            <w:rFonts w:ascii="Times New Roman" w:hAnsi="Times New Roman" w:cs="Times New Roman"/>
            <w:sz w:val="24"/>
            <w:szCs w:val="24"/>
          </w:rPr>
          <w:t>89 FR 34101</w:t>
        </w:r>
      </w:hyperlink>
      <w:r w:rsidRPr="009511B3">
        <w:rPr>
          <w:rFonts w:ascii="Times New Roman" w:hAnsi="Times New Roman" w:cs="Times New Roman"/>
          <w:sz w:val="24"/>
          <w:szCs w:val="24"/>
        </w:rPr>
        <w:t>, Apr. 30, 2024]</w:t>
      </w:r>
    </w:p>
    <w:p w:rsidR="002D1AB5" w:rsidP="009511B3" w14:paraId="7F8B6A19" w14:textId="57B1FCCC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70"/>
    <w:rsid w:val="0004689A"/>
    <w:rsid w:val="000714AC"/>
    <w:rsid w:val="000C5442"/>
    <w:rsid w:val="001A180A"/>
    <w:rsid w:val="001C2BB0"/>
    <w:rsid w:val="001E6506"/>
    <w:rsid w:val="00224A0B"/>
    <w:rsid w:val="002726A6"/>
    <w:rsid w:val="002C00CA"/>
    <w:rsid w:val="002D1AB5"/>
    <w:rsid w:val="002E51F9"/>
    <w:rsid w:val="00334827"/>
    <w:rsid w:val="00337BD6"/>
    <w:rsid w:val="00347D85"/>
    <w:rsid w:val="00384835"/>
    <w:rsid w:val="00390389"/>
    <w:rsid w:val="003B6206"/>
    <w:rsid w:val="003E60F4"/>
    <w:rsid w:val="004764D5"/>
    <w:rsid w:val="00491843"/>
    <w:rsid w:val="004F5B40"/>
    <w:rsid w:val="00550FA0"/>
    <w:rsid w:val="005C17C1"/>
    <w:rsid w:val="005C4870"/>
    <w:rsid w:val="00626D6C"/>
    <w:rsid w:val="00693D2B"/>
    <w:rsid w:val="00695F8D"/>
    <w:rsid w:val="00790033"/>
    <w:rsid w:val="00797DB2"/>
    <w:rsid w:val="007D59DB"/>
    <w:rsid w:val="007D6FE2"/>
    <w:rsid w:val="0083506F"/>
    <w:rsid w:val="00835CED"/>
    <w:rsid w:val="009511B3"/>
    <w:rsid w:val="00977008"/>
    <w:rsid w:val="00981DE9"/>
    <w:rsid w:val="0099039B"/>
    <w:rsid w:val="009A0227"/>
    <w:rsid w:val="009E699C"/>
    <w:rsid w:val="00AB2B63"/>
    <w:rsid w:val="00B16A83"/>
    <w:rsid w:val="00C212C5"/>
    <w:rsid w:val="00CC4E91"/>
    <w:rsid w:val="00CD4170"/>
    <w:rsid w:val="00CF3358"/>
    <w:rsid w:val="00DC7253"/>
    <w:rsid w:val="00DF50EC"/>
    <w:rsid w:val="00E0001E"/>
    <w:rsid w:val="00E5184E"/>
    <w:rsid w:val="00E62670"/>
    <w:rsid w:val="00EF4D8B"/>
    <w:rsid w:val="00FB6EFD"/>
    <w:rsid w:val="00FF368F"/>
    <w:rsid w:val="05927D10"/>
    <w:rsid w:val="38FD118A"/>
    <w:rsid w:val="4B47985A"/>
    <w:rsid w:val="77CFDBB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4CF40"/>
  <w15:chartTrackingRefBased/>
  <w15:docId w15:val="{6AD25667-1FA5-49F8-9A6B-FFDC9E3D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citation/82-FR-39502" TargetMode="External" /><Relationship Id="rId11" Type="http://schemas.openxmlformats.org/officeDocument/2006/relationships/hyperlink" Target="https://www.federalregister.gov/citation/87-FR-38908" TargetMode="External" /><Relationship Id="rId12" Type="http://schemas.openxmlformats.org/officeDocument/2006/relationships/hyperlink" Target="https://www.federalregister.gov/citation/89-FR-34101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cfr.gov/current/title-13/section-120.110" TargetMode="External" /><Relationship Id="rId8" Type="http://schemas.openxmlformats.org/officeDocument/2006/relationships/hyperlink" Target="https://www.ecfr.gov/current/title-13/section-120.111" TargetMode="External" /><Relationship Id="rId9" Type="http://schemas.openxmlformats.org/officeDocument/2006/relationships/hyperlink" Target="https://www.federalregister.gov/citation/61-FR-323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8c9ed9-39ec-4ce0-85e0-b5b4a0ea41dc">
      <Terms xmlns="http://schemas.microsoft.com/office/infopath/2007/PartnerControls"/>
    </lcf76f155ced4ddcb4097134ff3c332f>
    <TaxCatchAll xmlns="d8890221-8760-42f2-b4ee-37916ad52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399B7B100D4C984C9B4FC1F3D3F8" ma:contentTypeVersion="11" ma:contentTypeDescription="Create a new document." ma:contentTypeScope="" ma:versionID="0ebc03175db33f1bdaeeef9d0ac7a71c">
  <xsd:schema xmlns:xsd="http://www.w3.org/2001/XMLSchema" xmlns:xs="http://www.w3.org/2001/XMLSchema" xmlns:p="http://schemas.microsoft.com/office/2006/metadata/properties" xmlns:ns2="ee8c9ed9-39ec-4ce0-85e0-b5b4a0ea41dc" xmlns:ns3="d8890221-8760-42f2-b4ee-37916ad52c0c" targetNamespace="http://schemas.microsoft.com/office/2006/metadata/properties" ma:root="true" ma:fieldsID="e4954fb393f9b6e8ab6a895dd4c23f06" ns2:_="" ns3:_="">
    <xsd:import namespace="ee8c9ed9-39ec-4ce0-85e0-b5b4a0ea41dc"/>
    <xsd:import namespace="d8890221-8760-42f2-b4ee-37916ad52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9ed9-39ec-4ce0-85e0-b5b4a0ea4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90221-8760-42f2-b4ee-37916ad52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bafd2-2cb1-471c-86a4-60c0366f0029}" ma:internalName="TaxCatchAll" ma:showField="CatchAllData" ma:web="d8890221-8760-42f2-b4ee-37916ad52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D6209-B9C9-4472-9B00-449D8AEA9C2D}">
  <ds:schemaRefs>
    <ds:schemaRef ds:uri="http://schemas.microsoft.com/office/2006/metadata/properties"/>
    <ds:schemaRef ds:uri="http://schemas.microsoft.com/office/infopath/2007/PartnerControls"/>
    <ds:schemaRef ds:uri="ee8c9ed9-39ec-4ce0-85e0-b5b4a0ea41dc"/>
    <ds:schemaRef ds:uri="d8890221-8760-42f2-b4ee-37916ad52c0c"/>
  </ds:schemaRefs>
</ds:datastoreItem>
</file>

<file path=customXml/itemProps2.xml><?xml version="1.0" encoding="utf-8"?>
<ds:datastoreItem xmlns:ds="http://schemas.openxmlformats.org/officeDocument/2006/customXml" ds:itemID="{7522B4C8-5DDC-459A-94A6-D798ECC3F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4D131-8352-4865-A2E5-608EFD30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c9ed9-39ec-4ce0-85e0-b5b4a0ea41dc"/>
    <ds:schemaRef ds:uri="d8890221-8760-42f2-b4ee-37916ad52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Suryadi, Gregorius D.</dc:creator>
  <cp:lastModifiedBy>Edge, Tamara L.</cp:lastModifiedBy>
  <cp:revision>12</cp:revision>
  <dcterms:created xsi:type="dcterms:W3CDTF">2026-07-14T11:06:00Z</dcterms:created>
  <dcterms:modified xsi:type="dcterms:W3CDTF">2026-07-14T11:38:00Z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0x010100EC68399B7B100D4C984C9B4FC1F3D3F8</vt:lpwstr>
  </property>
  <property fmtid="{D5CDD505-2E9C-101B-9397-08002B2CF9AE}" pid="4" name="MediaServiceImageTags">
    <vt:lpwstr/>
  </property>
  <property fmtid="{D5CDD505-2E9C-101B-9397-08002B2CF9AE}" pid="5" name="Order">
    <vt:r8>2700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