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E123E" w:rsidP="008B412C" w14:paraId="3B83B440" w14:textId="77777777">
      <w:pPr>
        <w:pStyle w:val="Heading1"/>
        <w:spacing w:before="0"/>
        <w:ind w:left="0"/>
        <w:jc w:val="center"/>
      </w:pPr>
      <w:r>
        <w:t>SUPPORTING STATEMENT</w:t>
      </w:r>
    </w:p>
    <w:p w:rsidR="004E123E" w:rsidP="008B412C" w14:paraId="46A6DBAF" w14:textId="77777777">
      <w:pPr>
        <w:ind w:firstLine="14"/>
        <w:jc w:val="center"/>
        <w:rPr>
          <w:b/>
        </w:rPr>
      </w:pPr>
      <w:r>
        <w:rPr>
          <w:b/>
        </w:rPr>
        <w:t>U.S. Department of Commerce</w:t>
      </w:r>
    </w:p>
    <w:p w:rsidR="004E123E" w:rsidP="008B412C" w14:paraId="0A4699A6" w14:textId="77777777">
      <w:pPr>
        <w:ind w:firstLine="14"/>
        <w:jc w:val="center"/>
        <w:rPr>
          <w:b/>
        </w:rPr>
      </w:pPr>
      <w:r>
        <w:rPr>
          <w:b/>
        </w:rPr>
        <w:t>National Oceanic &amp; Atmospheric Administration</w:t>
      </w:r>
    </w:p>
    <w:p w:rsidR="004E123E" w:rsidP="008B412C" w14:paraId="51813D4F" w14:textId="3D36C63A">
      <w:pPr>
        <w:ind w:hanging="6"/>
        <w:jc w:val="center"/>
        <w:rPr>
          <w:b/>
        </w:rPr>
      </w:pPr>
      <w:r w:rsidRPr="0007245D">
        <w:rPr>
          <w:b/>
        </w:rPr>
        <w:t>Western Alaska Community Development Quota Progra</w:t>
      </w:r>
      <w:r>
        <w:rPr>
          <w:b/>
        </w:rPr>
        <w:t>m</w:t>
      </w:r>
    </w:p>
    <w:p w:rsidR="004E123E" w:rsidP="008B412C" w14:paraId="6619EEE4" w14:textId="2ABC5151">
      <w:pPr>
        <w:ind w:hanging="6"/>
        <w:jc w:val="center"/>
        <w:rPr>
          <w:b/>
        </w:rPr>
      </w:pPr>
      <w:r>
        <w:rPr>
          <w:b/>
        </w:rPr>
        <w:t>OMB Control No. 0648-</w:t>
      </w:r>
      <w:r w:rsidR="00FD1A69">
        <w:rPr>
          <w:b/>
        </w:rPr>
        <w:t>0269</w:t>
      </w:r>
    </w:p>
    <w:p w:rsidR="004E123E" w:rsidP="004805D7" w14:paraId="0BEE8FF3" w14:textId="77777777">
      <w:pPr>
        <w:pBdr>
          <w:top w:val="nil"/>
          <w:left w:val="nil"/>
          <w:bottom w:val="nil"/>
          <w:right w:val="nil"/>
          <w:between w:val="nil"/>
        </w:pBdr>
        <w:spacing w:after="240" w:line="276" w:lineRule="auto"/>
        <w:rPr>
          <w:b/>
          <w:color w:val="000000"/>
        </w:rPr>
      </w:pPr>
    </w:p>
    <w:p w:rsidR="004E123E" w:rsidP="00A83200" w14:paraId="29453287" w14:textId="77777777">
      <w:pPr>
        <w:pStyle w:val="Heading1"/>
        <w:spacing w:before="0" w:after="240" w:line="276" w:lineRule="auto"/>
        <w:ind w:left="0"/>
      </w:pPr>
      <w:r>
        <w:t>Abstract</w:t>
      </w:r>
    </w:p>
    <w:p w:rsidR="00543CDA" w:rsidRPr="00543CDA" w:rsidP="00A83200" w14:paraId="031EC159" w14:textId="77777777">
      <w:pPr>
        <w:spacing w:after="240" w:line="276" w:lineRule="auto"/>
      </w:pPr>
      <w:r w:rsidRPr="00543CDA">
        <w:t xml:space="preserve">The National Marine Fisheries Service (NMFS), Alaska Regional Office (AKRO), requests extension of this currently approved information collection.  </w:t>
      </w:r>
    </w:p>
    <w:p w:rsidR="00543CDA" w:rsidRPr="00543CDA" w:rsidP="00A83200" w14:paraId="76BC4ED4" w14:textId="5977C3AD">
      <w:pPr>
        <w:spacing w:after="240" w:line="276" w:lineRule="auto"/>
      </w:pPr>
      <w:r w:rsidRPr="00543CDA">
        <w:t xml:space="preserve">This information collection is necessary for NMFS to manage the Western Alaska Community Development Quota </w:t>
      </w:r>
      <w:r w:rsidR="008B412C">
        <w:t xml:space="preserve">(CDQ) </w:t>
      </w:r>
      <w:r w:rsidRPr="00543CDA">
        <w:t xml:space="preserve">Program (CDQ Program). The purposes of the CDQ Program are to provide eligible western Alaska communities the opportunity to participate and invest in fisheries in the Bering Sea and Aleutian Islands Management Area, to support economic development in western Alaska, to alleviate poverty and provide economic and social benefits for residents of western Alaska, and to achieve sustainable and diversified local economies in western Alaska. The four components of this information collection are used by NMFS to </w:t>
      </w:r>
      <w:r w:rsidRPr="00543CDA">
        <w:t>manage the small vessel CDQ fisheries, transfer quota among the CDQ groups, and authorize the use of alternative harvest regulations under certain circumstances.</w:t>
      </w:r>
    </w:p>
    <w:p w:rsidR="004E123E" w:rsidP="00A83200" w14:paraId="27E552BF" w14:textId="021CE951">
      <w:pPr>
        <w:spacing w:after="240" w:line="276" w:lineRule="auto"/>
      </w:pPr>
      <w:r w:rsidRPr="00543CDA">
        <w:t xml:space="preserve">Minor administrative changes were made to the forms </w:t>
      </w:r>
      <w:r>
        <w:t>(update to the expiration date)</w:t>
      </w:r>
      <w:r w:rsidRPr="00543CDA">
        <w:t>. No other changes were made to this collection other than adjustments to reflect the most current data available.</w:t>
      </w:r>
    </w:p>
    <w:p w:rsidR="00543CDA" w:rsidRPr="00543CDA" w:rsidP="00A83200" w14:paraId="2A2F6A12" w14:textId="77777777">
      <w:pPr>
        <w:spacing w:after="240" w:line="276" w:lineRule="auto"/>
        <w:rPr>
          <w:b/>
        </w:rPr>
      </w:pPr>
    </w:p>
    <w:p w:rsidR="004E123E" w:rsidP="00A83200" w14:paraId="23A41ED0" w14:textId="77777777">
      <w:pPr>
        <w:pStyle w:val="Heading1"/>
        <w:spacing w:before="0" w:after="240" w:line="276" w:lineRule="auto"/>
        <w:ind w:left="0"/>
      </w:pPr>
      <w:r>
        <w:t>Justification</w:t>
      </w:r>
    </w:p>
    <w:p w:rsidR="004E123E" w:rsidP="00A83200" w14:paraId="6A3ED898"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 xml:space="preserve">Explain the circumstances that make the collection of information necessary. Identify any legal or administrative </w:t>
      </w:r>
      <w:r>
        <w:rPr>
          <w:b/>
          <w:color w:val="000000"/>
        </w:rPr>
        <w:t>requirements that necessitate the collection. Attach a copy of the appropriate section of each statute and regulation mandating or authorizing the collection of information.</w:t>
      </w:r>
    </w:p>
    <w:p w:rsidR="00543CDA" w:rsidRPr="00743843" w:rsidP="00A83200" w14:paraId="5A732532" w14:textId="462427E6">
      <w:pPr>
        <w:widowControl/>
        <w:autoSpaceDE w:val="0"/>
        <w:autoSpaceDN w:val="0"/>
        <w:adjustRightInd w:val="0"/>
        <w:spacing w:after="240" w:line="276" w:lineRule="auto"/>
      </w:pPr>
      <w:r w:rsidRPr="00743843">
        <w:t xml:space="preserve">NMFS and the North Pacific Fishery Management Council (Council) manage the groundfish fisheries in the exclusive economic zone (EEZ) off Alaska under the authority of the </w:t>
      </w:r>
      <w:hyperlink r:id="rId7" w:history="1">
        <w:r w:rsidRPr="00F20080">
          <w:rPr>
            <w:rFonts w:eastAsia="Calibri"/>
            <w:color w:val="0000FF"/>
            <w:u w:val="single"/>
          </w:rPr>
          <w:t>Magnuson-Stevens Fishery Conservation and M</w:t>
        </w:r>
        <w:r w:rsidRPr="00F20080">
          <w:rPr>
            <w:rFonts w:eastAsia="Calibri"/>
            <w:color w:val="0000FF"/>
            <w:u w:val="single"/>
          </w:rPr>
          <w:t>a</w:t>
        </w:r>
        <w:r w:rsidRPr="00F20080">
          <w:rPr>
            <w:rFonts w:eastAsia="Calibri"/>
            <w:color w:val="0000FF"/>
            <w:u w:val="single"/>
          </w:rPr>
          <w:t>nagement Act</w:t>
        </w:r>
      </w:hyperlink>
      <w:r>
        <w:rPr>
          <w:rStyle w:val="FootnoteReference"/>
          <w:rFonts w:eastAsia="Calibri"/>
          <w:color w:val="0000FF"/>
          <w:vertAlign w:val="superscript"/>
        </w:rPr>
        <w:footnoteReference w:id="2"/>
      </w:r>
      <w:r w:rsidRPr="00F20080">
        <w:rPr>
          <w:rFonts w:eastAsia="Calibri"/>
        </w:rPr>
        <w:t xml:space="preserve"> </w:t>
      </w:r>
      <w:r w:rsidRPr="00743843">
        <w:t xml:space="preserve">(16 U.S.C. 1801 </w:t>
      </w:r>
      <w:r w:rsidRPr="00743843">
        <w:rPr>
          <w:i/>
          <w:iCs/>
        </w:rPr>
        <w:t>et seq</w:t>
      </w:r>
      <w:r w:rsidRPr="00743843">
        <w:t xml:space="preserve">.) (Magnuson-Stevens Act). The groundfish fisheries in the Bering Sea and Aleutian Islands </w:t>
      </w:r>
      <w:r w:rsidR="008B412C">
        <w:t xml:space="preserve">(BSAI) </w:t>
      </w:r>
      <w:r w:rsidRPr="00743843">
        <w:t>are managed under the Fishery Management Plan</w:t>
      </w:r>
      <w:r w:rsidR="008B412C">
        <w:t xml:space="preserve"> (FMP)</w:t>
      </w:r>
      <w:r w:rsidRPr="00743843">
        <w:t xml:space="preserve"> for Groundfish of the Bering Sea and Aleutian Islands Management Area (BSAI FMP).</w:t>
      </w:r>
    </w:p>
    <w:p w:rsidR="00543CDA" w:rsidRPr="00743843" w:rsidP="00A83200" w14:paraId="0E66C8C8" w14:textId="2FA9440B">
      <w:pPr>
        <w:widowControl/>
        <w:tabs>
          <w:tab w:val="left" w:pos="360"/>
          <w:tab w:val="left" w:pos="720"/>
          <w:tab w:val="left" w:pos="1080"/>
        </w:tabs>
        <w:autoSpaceDE w:val="0"/>
        <w:autoSpaceDN w:val="0"/>
        <w:adjustRightInd w:val="0"/>
        <w:spacing w:after="240" w:line="276" w:lineRule="auto"/>
      </w:pPr>
      <w:r w:rsidRPr="00743843">
        <w:t xml:space="preserve">The </w:t>
      </w:r>
      <w:r w:rsidR="008B412C">
        <w:t>CDQ</w:t>
      </w:r>
      <w:r w:rsidRPr="00743843">
        <w:t xml:space="preserve"> Program is an economic development program authorized under</w:t>
      </w:r>
      <w:r>
        <w:t xml:space="preserve"> the</w:t>
      </w:r>
      <w:r w:rsidRPr="00743843">
        <w:t xml:space="preserve"> Magnuson Stevens Act to provide eligible western Alaska villages with the opportunity to participate and invest in fisheries in the </w:t>
      </w:r>
      <w:r w:rsidR="008B412C">
        <w:t>BSAI</w:t>
      </w:r>
      <w:r w:rsidRPr="00743843">
        <w:t xml:space="preserve"> Management Area</w:t>
      </w:r>
      <w:r w:rsidRPr="00743843">
        <w:t xml:space="preserve">; to support economic development in western Alaska; to alleviate poverty and provide </w:t>
      </w:r>
      <w:r w:rsidRPr="00743843">
        <w:t>economic and social benefits for residents of western Alaska; and to achieve sustainable and diversified local economies in western Alaska.</w:t>
      </w:r>
    </w:p>
    <w:p w:rsidR="00543CDA" w:rsidP="00DE0A82" w14:paraId="18315D6D" w14:textId="5793AD4B">
      <w:pPr>
        <w:widowControl/>
        <w:tabs>
          <w:tab w:val="left" w:pos="360"/>
          <w:tab w:val="left" w:pos="1080"/>
        </w:tabs>
        <w:autoSpaceDE w:val="0"/>
        <w:autoSpaceDN w:val="0"/>
        <w:adjustRightInd w:val="0"/>
        <w:spacing w:after="240" w:line="276" w:lineRule="auto"/>
      </w:pPr>
      <w:r w:rsidRPr="00743843">
        <w:t xml:space="preserve">The Magnuson-Stevens Act allocates a portion of the annual catch limit for each directed fishery of the </w:t>
      </w:r>
      <w:r>
        <w:t>BSAI</w:t>
      </w:r>
      <w:r w:rsidRPr="00743843">
        <w:t xml:space="preserve"> among six non-profit corporations (CDQ groups) representing 65 western Alaska villages. The CDQ groups and the villages associated with each of the groups are specifically named in section 305(i)(1) of the Magnuson-Stevens Act. The CDQ groups are the Aleutian Pribilof Island Community Development Association, the Bristol Bay Economic Development Corporation, the Central Bering Sea Fishermen’s Association, the Coastal Villages Region Fund, the Norton Sound Economic Development Corporation, and the Yukon</w:t>
      </w:r>
      <w:r w:rsidRPr="00743843">
        <w:t xml:space="preserve"> Delta Fisheries Development Association. The CDQ groups’ boards of directors and staff manage and administer CDQ allocations, investments, and economic development projects. The person authorized and required to submit information to NMFS on behalf of a CDQ group is a “CDQ </w:t>
      </w:r>
      <w:r>
        <w:t xml:space="preserve">group </w:t>
      </w:r>
      <w:r w:rsidRPr="00743843">
        <w:t>representative.”</w:t>
      </w:r>
    </w:p>
    <w:p w:rsidR="00A74EFC" w:rsidP="001E253F" w14:paraId="26B7AEEB" w14:textId="7180A7FE">
      <w:r w:rsidRPr="0059742E">
        <w:t xml:space="preserve">This information collection contains four components </w:t>
      </w:r>
      <w:r w:rsidRPr="0059742E">
        <w:t>necessary to manage the CDQ fisheries.</w:t>
      </w:r>
      <w:r>
        <w:rPr>
          <w:vertAlign w:val="superscript"/>
        </w:rPr>
        <w:footnoteReference w:id="3"/>
      </w:r>
      <w:r w:rsidRPr="0059742E">
        <w:t xml:space="preserve"> The components of this information collection are used by NMFS to manage the small vessel CDQ fisheries, transfer quota among the CDQ groups, and authorize the use of alternative harvest regulations under certain circumstances.</w:t>
      </w:r>
    </w:p>
    <w:p w:rsidR="00AB0108" w:rsidRPr="00743843" w:rsidP="001E253F" w14:paraId="66A2038C" w14:textId="77777777"/>
    <w:p w:rsidR="004E123E" w:rsidRPr="0059742E" w:rsidP="00080E5A" w14:paraId="3AD59930" w14:textId="1804BBA9">
      <w:pPr>
        <w:pStyle w:val="ListParagraph"/>
        <w:numPr>
          <w:ilvl w:val="0"/>
          <w:numId w:val="9"/>
        </w:numPr>
        <w:tabs>
          <w:tab w:val="left" w:pos="360"/>
        </w:tabs>
        <w:spacing w:after="240"/>
        <w:ind w:left="0" w:firstLine="0"/>
        <w:rPr>
          <w:b/>
          <w:bCs/>
        </w:rPr>
      </w:pPr>
      <w:r w:rsidRPr="0059742E">
        <w:rPr>
          <w:b/>
          <w:bCs/>
        </w:rPr>
        <w:t>Indicate how, by whom, and for what purpose the information is to be used. Except for a new collection, indicate the actual use the agency has made of the information received from the current collection.</w:t>
      </w:r>
    </w:p>
    <w:p w:rsidR="00360CDA" w:rsidP="009C0C91" w14:paraId="09E2BE9D" w14:textId="69D9FE5C">
      <w:pPr>
        <w:widowControl/>
        <w:spacing w:after="240" w:line="276" w:lineRule="auto"/>
        <w:rPr>
          <w:b/>
          <w:color w:val="000000"/>
        </w:rPr>
      </w:pPr>
      <w:r w:rsidRPr="0019691A">
        <w:t xml:space="preserve">The following addresses the purpose for </w:t>
      </w:r>
      <w:r>
        <w:t>this information collection</w:t>
      </w:r>
      <w:r w:rsidRPr="0019691A">
        <w:t xml:space="preserve"> and some additional information about the components of this information collection. </w:t>
      </w:r>
      <w:r>
        <w:t>No changes have been made to this information collection since the previous renewal was approved by OMB in 202</w:t>
      </w:r>
      <w:r w:rsidR="00870889">
        <w:t>3</w:t>
      </w:r>
      <w:r>
        <w:t xml:space="preserve">. </w:t>
      </w:r>
      <w:r w:rsidRPr="007B4E27">
        <w:t>The table below lists the instruments in this collection, and for each provides the regulation</w:t>
      </w:r>
      <w:r>
        <w:t>s</w:t>
      </w:r>
      <w:r w:rsidRPr="007B4E27">
        <w:t xml:space="preserve"> for the requirements, </w:t>
      </w:r>
      <w:r>
        <w:t xml:space="preserve">who submits the information, </w:t>
      </w:r>
      <w:r w:rsidRPr="007B4E27">
        <w:t>the submission method</w:t>
      </w:r>
      <w:r>
        <w:t>,</w:t>
      </w:r>
      <w:r w:rsidRPr="007B4E27">
        <w:t xml:space="preserve"> whether a form </w:t>
      </w:r>
      <w:r>
        <w:t xml:space="preserve">is </w:t>
      </w:r>
      <w:r w:rsidRPr="007B4E27">
        <w:t>available</w:t>
      </w:r>
      <w:r>
        <w:t>,</w:t>
      </w:r>
      <w:r w:rsidRPr="007B4E27">
        <w:t xml:space="preserve"> </w:t>
      </w:r>
      <w:r>
        <w:t xml:space="preserve">and </w:t>
      </w:r>
      <w:r w:rsidRPr="007B4E27">
        <w:t>the frequency of submission.</w:t>
      </w:r>
      <w:r>
        <w:t xml:space="preserve"> The text that follows </w:t>
      </w:r>
      <w:r w:rsidR="00D34B86">
        <w:t>provides</w:t>
      </w:r>
      <w:r>
        <w:t xml:space="preserve"> a description of each item listed in the table.</w:t>
      </w:r>
    </w:p>
    <w:tbl>
      <w:tblPr>
        <w:tblStyle w:val="a"/>
        <w:tblW w:w="10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20"/>
        <w:gridCol w:w="2070"/>
        <w:gridCol w:w="2160"/>
        <w:gridCol w:w="1530"/>
        <w:gridCol w:w="1170"/>
        <w:gridCol w:w="810"/>
        <w:gridCol w:w="2178"/>
      </w:tblGrid>
      <w:tr w14:paraId="7FB66A54" w14:textId="452028B1" w:rsidTr="00FC7C52">
        <w:tblPrEx>
          <w:tblW w:w="106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729"/>
        </w:trPr>
        <w:tc>
          <w:tcPr>
            <w:tcW w:w="720" w:type="dxa"/>
            <w:shd w:val="clear" w:color="auto" w:fill="DEEAF6"/>
            <w:vAlign w:val="center"/>
          </w:tcPr>
          <w:p w:rsidR="00016910" w:rsidRPr="00016910" w:rsidP="008B412C" w14:paraId="39447B3D" w14:textId="77777777">
            <w:pPr>
              <w:keepNext/>
              <w:keepLines/>
              <w:pBdr>
                <w:top w:val="nil"/>
                <w:left w:val="nil"/>
                <w:bottom w:val="nil"/>
                <w:right w:val="nil"/>
                <w:between w:val="nil"/>
              </w:pBdr>
              <w:spacing w:line="276" w:lineRule="auto"/>
              <w:jc w:val="center"/>
              <w:rPr>
                <w:b/>
                <w:sz w:val="20"/>
                <w:szCs w:val="20"/>
              </w:rPr>
            </w:pPr>
            <w:r w:rsidRPr="00016910">
              <w:rPr>
                <w:b/>
                <w:sz w:val="20"/>
                <w:szCs w:val="20"/>
              </w:rPr>
              <w:t>Item #</w:t>
            </w:r>
          </w:p>
        </w:tc>
        <w:tc>
          <w:tcPr>
            <w:tcW w:w="2070" w:type="dxa"/>
            <w:shd w:val="clear" w:color="auto" w:fill="DEEAF6"/>
            <w:vAlign w:val="center"/>
          </w:tcPr>
          <w:p w:rsidR="00016910" w:rsidRPr="00016910" w:rsidP="008B412C" w14:paraId="7F65F546" w14:textId="74503BF0">
            <w:pPr>
              <w:keepNext/>
              <w:keepLines/>
              <w:pBdr>
                <w:top w:val="nil"/>
                <w:left w:val="nil"/>
                <w:bottom w:val="nil"/>
                <w:right w:val="nil"/>
                <w:between w:val="nil"/>
              </w:pBdr>
              <w:spacing w:line="276" w:lineRule="auto"/>
              <w:jc w:val="center"/>
              <w:rPr>
                <w:b/>
                <w:color w:val="000000"/>
                <w:sz w:val="20"/>
                <w:szCs w:val="20"/>
              </w:rPr>
            </w:pPr>
            <w:r w:rsidRPr="00016910">
              <w:rPr>
                <w:rFonts w:eastAsia="Calibri"/>
                <w:b/>
                <w:sz w:val="20"/>
                <w:szCs w:val="20"/>
              </w:rPr>
              <w:t>Requirement</w:t>
            </w:r>
          </w:p>
        </w:tc>
        <w:tc>
          <w:tcPr>
            <w:tcW w:w="2160" w:type="dxa"/>
            <w:shd w:val="clear" w:color="auto" w:fill="DEEAF6"/>
            <w:vAlign w:val="center"/>
          </w:tcPr>
          <w:p w:rsidR="00016910" w:rsidRPr="00016910" w:rsidP="008B412C" w14:paraId="05FEEC0D" w14:textId="507C65C6">
            <w:pPr>
              <w:keepNext/>
              <w:keepLines/>
              <w:pBdr>
                <w:top w:val="nil"/>
                <w:left w:val="nil"/>
                <w:bottom w:val="nil"/>
                <w:right w:val="nil"/>
                <w:between w:val="nil"/>
              </w:pBdr>
              <w:spacing w:line="276" w:lineRule="auto"/>
              <w:jc w:val="center"/>
              <w:rPr>
                <w:b/>
                <w:color w:val="000000"/>
                <w:sz w:val="20"/>
                <w:szCs w:val="20"/>
              </w:rPr>
            </w:pPr>
            <w:r w:rsidRPr="00016910">
              <w:rPr>
                <w:rFonts w:eastAsia="Calibri"/>
                <w:b/>
                <w:sz w:val="20"/>
                <w:szCs w:val="20"/>
              </w:rPr>
              <w:t>Regulation</w:t>
            </w:r>
          </w:p>
        </w:tc>
        <w:tc>
          <w:tcPr>
            <w:tcW w:w="1530" w:type="dxa"/>
            <w:shd w:val="clear" w:color="auto" w:fill="DEEAF6"/>
            <w:vAlign w:val="center"/>
          </w:tcPr>
          <w:p w:rsidR="00016910" w:rsidRPr="00016910" w:rsidP="008B412C" w14:paraId="1B651992" w14:textId="2AC82A10">
            <w:pPr>
              <w:keepNext/>
              <w:keepLines/>
              <w:pBdr>
                <w:top w:val="nil"/>
                <w:left w:val="nil"/>
                <w:bottom w:val="nil"/>
                <w:right w:val="nil"/>
                <w:between w:val="nil"/>
              </w:pBdr>
              <w:spacing w:line="276" w:lineRule="auto"/>
              <w:jc w:val="center"/>
              <w:rPr>
                <w:b/>
                <w:color w:val="000000"/>
                <w:sz w:val="20"/>
                <w:szCs w:val="20"/>
              </w:rPr>
            </w:pPr>
            <w:r w:rsidRPr="00016910">
              <w:rPr>
                <w:rFonts w:eastAsia="Calibri"/>
                <w:b/>
                <w:sz w:val="20"/>
                <w:szCs w:val="20"/>
              </w:rPr>
              <w:t>Respondent</w:t>
            </w:r>
          </w:p>
        </w:tc>
        <w:tc>
          <w:tcPr>
            <w:tcW w:w="1170" w:type="dxa"/>
            <w:shd w:val="clear" w:color="auto" w:fill="DEEAF6"/>
            <w:vAlign w:val="center"/>
          </w:tcPr>
          <w:p w:rsidR="00016910" w:rsidRPr="00016910" w:rsidP="008B412C" w14:paraId="6694D214" w14:textId="5197F40D">
            <w:pPr>
              <w:keepNext/>
              <w:keepLines/>
              <w:pBdr>
                <w:top w:val="nil"/>
                <w:left w:val="nil"/>
                <w:bottom w:val="nil"/>
                <w:right w:val="nil"/>
                <w:between w:val="nil"/>
              </w:pBdr>
              <w:spacing w:line="276" w:lineRule="auto"/>
              <w:jc w:val="center"/>
              <w:rPr>
                <w:b/>
                <w:color w:val="000000"/>
                <w:sz w:val="20"/>
                <w:szCs w:val="20"/>
              </w:rPr>
            </w:pPr>
            <w:r w:rsidRPr="00016910">
              <w:rPr>
                <w:rFonts w:eastAsia="Calibri"/>
                <w:b/>
                <w:sz w:val="20"/>
                <w:szCs w:val="20"/>
              </w:rPr>
              <w:t xml:space="preserve">Submission Method </w:t>
            </w:r>
            <w:r>
              <w:rPr>
                <w:rStyle w:val="FootnoteReference"/>
                <w:rFonts w:eastAsia="Calibri"/>
                <w:b/>
                <w:sz w:val="20"/>
                <w:szCs w:val="20"/>
                <w:vertAlign w:val="superscript"/>
              </w:rPr>
              <w:footnoteReference w:id="4"/>
            </w:r>
            <w:r w:rsidRPr="00360CDA" w:rsidR="00360CDA">
              <w:rPr>
                <w:rFonts w:eastAsia="Calibri"/>
                <w:b/>
                <w:sz w:val="20"/>
                <w:szCs w:val="20"/>
                <w:vertAlign w:val="superscript"/>
              </w:rPr>
              <w:t xml:space="preserve">, </w:t>
            </w:r>
            <w:r>
              <w:rPr>
                <w:rStyle w:val="FootnoteReference"/>
                <w:rFonts w:eastAsia="Calibri"/>
                <w:b/>
                <w:sz w:val="20"/>
                <w:szCs w:val="20"/>
                <w:vertAlign w:val="superscript"/>
              </w:rPr>
              <w:footnoteReference w:id="5"/>
            </w:r>
          </w:p>
        </w:tc>
        <w:tc>
          <w:tcPr>
            <w:tcW w:w="810" w:type="dxa"/>
            <w:shd w:val="clear" w:color="auto" w:fill="DEEAF6"/>
            <w:vAlign w:val="center"/>
          </w:tcPr>
          <w:p w:rsidR="00016910" w:rsidRPr="00016910" w:rsidP="008B412C" w14:paraId="65300ED8" w14:textId="0DC24173">
            <w:pPr>
              <w:keepNext/>
              <w:keepLines/>
              <w:pBdr>
                <w:top w:val="nil"/>
                <w:left w:val="nil"/>
                <w:bottom w:val="nil"/>
                <w:right w:val="nil"/>
                <w:between w:val="nil"/>
              </w:pBdr>
              <w:spacing w:line="276" w:lineRule="auto"/>
              <w:jc w:val="center"/>
              <w:rPr>
                <w:b/>
                <w:color w:val="000000"/>
                <w:sz w:val="20"/>
                <w:szCs w:val="20"/>
              </w:rPr>
            </w:pPr>
            <w:r w:rsidRPr="00016910">
              <w:rPr>
                <w:rFonts w:eastAsia="Calibri"/>
                <w:b/>
                <w:sz w:val="20"/>
                <w:szCs w:val="20"/>
              </w:rPr>
              <w:t>Form</w:t>
            </w:r>
          </w:p>
        </w:tc>
        <w:tc>
          <w:tcPr>
            <w:tcW w:w="2178" w:type="dxa"/>
            <w:shd w:val="clear" w:color="auto" w:fill="DEEAF6"/>
            <w:vAlign w:val="center"/>
          </w:tcPr>
          <w:p w:rsidR="00016910" w:rsidRPr="00016910" w:rsidP="008B412C" w14:paraId="7DC5E0A5" w14:textId="7055989D">
            <w:pPr>
              <w:keepNext/>
              <w:keepLines/>
              <w:pBdr>
                <w:top w:val="nil"/>
                <w:left w:val="nil"/>
                <w:bottom w:val="nil"/>
                <w:right w:val="nil"/>
                <w:between w:val="nil"/>
              </w:pBdr>
              <w:spacing w:line="276" w:lineRule="auto"/>
              <w:jc w:val="center"/>
              <w:rPr>
                <w:b/>
                <w:color w:val="000000"/>
                <w:sz w:val="20"/>
                <w:szCs w:val="20"/>
              </w:rPr>
            </w:pPr>
            <w:r w:rsidRPr="00016910">
              <w:rPr>
                <w:rFonts w:eastAsia="Calibri"/>
                <w:b/>
                <w:sz w:val="20"/>
                <w:szCs w:val="20"/>
              </w:rPr>
              <w:t>Frequency</w:t>
            </w:r>
          </w:p>
        </w:tc>
      </w:tr>
      <w:tr w14:paraId="76305419" w14:textId="2B480BAF" w:rsidTr="00FC7C52">
        <w:tblPrEx>
          <w:tblW w:w="10638" w:type="dxa"/>
          <w:tblInd w:w="-5" w:type="dxa"/>
          <w:tblLayout w:type="fixed"/>
          <w:tblLook w:val="0000"/>
        </w:tblPrEx>
        <w:trPr>
          <w:trHeight w:val="726"/>
        </w:trPr>
        <w:tc>
          <w:tcPr>
            <w:tcW w:w="720" w:type="dxa"/>
            <w:vAlign w:val="center"/>
          </w:tcPr>
          <w:p w:rsidR="00016910" w:rsidRPr="00016910" w:rsidP="008B412C" w14:paraId="46980F02" w14:textId="77777777">
            <w:pPr>
              <w:keepNext/>
              <w:keepLines/>
              <w:pBdr>
                <w:top w:val="nil"/>
                <w:left w:val="nil"/>
                <w:bottom w:val="nil"/>
                <w:right w:val="nil"/>
                <w:between w:val="nil"/>
              </w:pBdr>
              <w:spacing w:line="276" w:lineRule="auto"/>
              <w:jc w:val="center"/>
              <w:rPr>
                <w:bCs/>
                <w:sz w:val="20"/>
                <w:szCs w:val="20"/>
              </w:rPr>
            </w:pPr>
            <w:r w:rsidRPr="00016910">
              <w:rPr>
                <w:bCs/>
                <w:sz w:val="20"/>
                <w:szCs w:val="20"/>
              </w:rPr>
              <w:t>1</w:t>
            </w:r>
          </w:p>
        </w:tc>
        <w:tc>
          <w:tcPr>
            <w:tcW w:w="2070" w:type="dxa"/>
            <w:vAlign w:val="center"/>
          </w:tcPr>
          <w:p w:rsidR="00016910" w:rsidRPr="00016910" w:rsidP="008B412C" w14:paraId="4606AA33" w14:textId="2E6CE8F2">
            <w:pPr>
              <w:keepNext/>
              <w:keepLines/>
              <w:pBdr>
                <w:top w:val="nil"/>
                <w:left w:val="nil"/>
                <w:bottom w:val="nil"/>
                <w:right w:val="nil"/>
                <w:between w:val="nil"/>
              </w:pBdr>
              <w:spacing w:line="276" w:lineRule="auto"/>
              <w:jc w:val="center"/>
              <w:rPr>
                <w:color w:val="000000"/>
                <w:sz w:val="20"/>
                <w:szCs w:val="20"/>
              </w:rPr>
            </w:pPr>
            <w:r w:rsidRPr="00016910">
              <w:rPr>
                <w:rFonts w:eastAsia="Calibri"/>
                <w:sz w:val="20"/>
                <w:szCs w:val="20"/>
              </w:rPr>
              <w:t>CDQ Vessel Registration System</w:t>
            </w:r>
          </w:p>
        </w:tc>
        <w:tc>
          <w:tcPr>
            <w:tcW w:w="2160" w:type="dxa"/>
            <w:vAlign w:val="center"/>
          </w:tcPr>
          <w:p w:rsidR="00016910" w:rsidRPr="00016910" w:rsidP="008B412C" w14:paraId="379C97BA" w14:textId="42D7A1E1">
            <w:pPr>
              <w:keepNext/>
              <w:keepLines/>
              <w:pBdr>
                <w:top w:val="nil"/>
                <w:left w:val="nil"/>
                <w:bottom w:val="nil"/>
                <w:right w:val="nil"/>
                <w:between w:val="nil"/>
              </w:pBdr>
              <w:spacing w:line="276" w:lineRule="auto"/>
              <w:jc w:val="center"/>
              <w:rPr>
                <w:rFonts w:eastAsia="Calibri"/>
                <w:sz w:val="20"/>
                <w:szCs w:val="20"/>
              </w:rPr>
            </w:pPr>
            <w:hyperlink r:id="rId8" w:anchor="p-679.32(c)(3)(iii)" w:history="1">
              <w:r>
                <w:rPr>
                  <w:rStyle w:val="Hyperlink"/>
                  <w:rFonts w:eastAsia="Calibri"/>
                  <w:sz w:val="20"/>
                  <w:szCs w:val="20"/>
                </w:rPr>
                <w:t>50 CFR 679.32(c)(3)(iii)</w:t>
              </w:r>
            </w:hyperlink>
            <w:r>
              <w:rPr>
                <w:rFonts w:eastAsia="Calibri"/>
              </w:rPr>
              <w:t xml:space="preserve"> </w:t>
            </w:r>
            <w:r w:rsidRPr="00016910">
              <w:rPr>
                <w:rFonts w:eastAsia="Calibri"/>
                <w:sz w:val="20"/>
                <w:szCs w:val="20"/>
              </w:rPr>
              <w:t xml:space="preserve">and </w:t>
            </w:r>
            <w:hyperlink r:id="rId9" w:anchor="p-679.5(m)" w:history="1">
              <w:r w:rsidRPr="00016910">
                <w:rPr>
                  <w:rStyle w:val="Hyperlink"/>
                  <w:rFonts w:eastAsia="Calibri"/>
                  <w:sz w:val="20"/>
                  <w:szCs w:val="20"/>
                </w:rPr>
                <w:t>50 CFR 679.5(m)</w:t>
              </w:r>
            </w:hyperlink>
          </w:p>
        </w:tc>
        <w:tc>
          <w:tcPr>
            <w:tcW w:w="1530" w:type="dxa"/>
            <w:vAlign w:val="center"/>
          </w:tcPr>
          <w:p w:rsidR="00016910" w:rsidRPr="00016910" w:rsidP="008B412C" w14:paraId="73F3647E" w14:textId="2AE83B73">
            <w:pPr>
              <w:keepNext/>
              <w:keepLines/>
              <w:pBdr>
                <w:top w:val="nil"/>
                <w:left w:val="nil"/>
                <w:bottom w:val="nil"/>
                <w:right w:val="nil"/>
                <w:between w:val="nil"/>
              </w:pBdr>
              <w:spacing w:line="276" w:lineRule="auto"/>
              <w:jc w:val="center"/>
              <w:rPr>
                <w:color w:val="000000"/>
                <w:sz w:val="20"/>
                <w:szCs w:val="20"/>
              </w:rPr>
            </w:pPr>
            <w:r w:rsidRPr="00016910">
              <w:rPr>
                <w:rFonts w:eastAsia="Calibri"/>
                <w:sz w:val="20"/>
                <w:szCs w:val="20"/>
              </w:rPr>
              <w:t>CDQ group representative</w:t>
            </w:r>
          </w:p>
        </w:tc>
        <w:tc>
          <w:tcPr>
            <w:tcW w:w="1170" w:type="dxa"/>
            <w:vAlign w:val="center"/>
          </w:tcPr>
          <w:p w:rsidR="00016910" w:rsidRPr="00016910" w:rsidP="008B412C" w14:paraId="07AA6E8A" w14:textId="12BCAE1A">
            <w:pPr>
              <w:keepNext/>
              <w:keepLines/>
              <w:pBdr>
                <w:top w:val="nil"/>
                <w:left w:val="nil"/>
                <w:bottom w:val="nil"/>
                <w:right w:val="nil"/>
                <w:between w:val="nil"/>
              </w:pBdr>
              <w:spacing w:line="276" w:lineRule="auto"/>
              <w:jc w:val="center"/>
              <w:rPr>
                <w:color w:val="000000"/>
                <w:sz w:val="20"/>
                <w:szCs w:val="20"/>
              </w:rPr>
            </w:pPr>
            <w:r w:rsidRPr="00016910">
              <w:rPr>
                <w:rFonts w:eastAsia="Calibri"/>
                <w:sz w:val="20"/>
                <w:szCs w:val="20"/>
              </w:rPr>
              <w:t>eFISH</w:t>
            </w:r>
          </w:p>
        </w:tc>
        <w:tc>
          <w:tcPr>
            <w:tcW w:w="810" w:type="dxa"/>
            <w:vAlign w:val="center"/>
          </w:tcPr>
          <w:p w:rsidR="00016910" w:rsidRPr="00016910" w:rsidP="008B412C" w14:paraId="50CA2668" w14:textId="3DE8C84F">
            <w:pPr>
              <w:keepNext/>
              <w:keepLines/>
              <w:pBdr>
                <w:top w:val="nil"/>
                <w:left w:val="nil"/>
                <w:bottom w:val="nil"/>
                <w:right w:val="nil"/>
                <w:between w:val="nil"/>
              </w:pBdr>
              <w:spacing w:line="276" w:lineRule="auto"/>
              <w:jc w:val="center"/>
              <w:rPr>
                <w:color w:val="000000"/>
                <w:sz w:val="20"/>
                <w:szCs w:val="20"/>
              </w:rPr>
            </w:pPr>
            <w:r w:rsidRPr="00016910">
              <w:rPr>
                <w:rFonts w:eastAsia="Calibri"/>
                <w:sz w:val="20"/>
                <w:szCs w:val="20"/>
              </w:rPr>
              <w:t>No</w:t>
            </w:r>
          </w:p>
        </w:tc>
        <w:tc>
          <w:tcPr>
            <w:tcW w:w="2178" w:type="dxa"/>
            <w:vAlign w:val="center"/>
          </w:tcPr>
          <w:p w:rsidR="00016910" w:rsidRPr="00016910" w:rsidP="008B412C" w14:paraId="05F5083A" w14:textId="0BA41C89">
            <w:pPr>
              <w:keepNext/>
              <w:keepLines/>
              <w:pBdr>
                <w:top w:val="nil"/>
                <w:left w:val="nil"/>
                <w:bottom w:val="nil"/>
                <w:right w:val="nil"/>
                <w:between w:val="nil"/>
              </w:pBdr>
              <w:spacing w:line="276" w:lineRule="auto"/>
              <w:jc w:val="center"/>
              <w:rPr>
                <w:b/>
                <w:color w:val="000000"/>
                <w:sz w:val="20"/>
                <w:szCs w:val="20"/>
              </w:rPr>
            </w:pPr>
            <w:r w:rsidRPr="00016910">
              <w:rPr>
                <w:rFonts w:eastAsia="Calibri"/>
                <w:sz w:val="20"/>
                <w:szCs w:val="20"/>
              </w:rPr>
              <w:t>As needed.</w:t>
            </w:r>
          </w:p>
        </w:tc>
      </w:tr>
      <w:tr w14:paraId="0DD64141" w14:textId="24494FC5" w:rsidTr="00FC7C52">
        <w:tblPrEx>
          <w:tblW w:w="10638" w:type="dxa"/>
          <w:tblInd w:w="-5" w:type="dxa"/>
          <w:tblLayout w:type="fixed"/>
          <w:tblLook w:val="0000"/>
        </w:tblPrEx>
        <w:trPr>
          <w:trHeight w:val="769"/>
        </w:trPr>
        <w:tc>
          <w:tcPr>
            <w:tcW w:w="720" w:type="dxa"/>
            <w:vAlign w:val="center"/>
          </w:tcPr>
          <w:p w:rsidR="00016910" w:rsidRPr="00016910" w:rsidP="008B412C" w14:paraId="0E586911" w14:textId="6585F203">
            <w:pPr>
              <w:keepNext/>
              <w:keepLines/>
              <w:pBdr>
                <w:top w:val="nil"/>
                <w:left w:val="nil"/>
                <w:bottom w:val="nil"/>
                <w:right w:val="nil"/>
                <w:between w:val="nil"/>
              </w:pBdr>
              <w:spacing w:line="276" w:lineRule="auto"/>
              <w:jc w:val="center"/>
              <w:rPr>
                <w:bCs/>
                <w:sz w:val="20"/>
                <w:szCs w:val="20"/>
              </w:rPr>
            </w:pPr>
            <w:r w:rsidRPr="00016910">
              <w:rPr>
                <w:bCs/>
                <w:sz w:val="20"/>
                <w:szCs w:val="20"/>
              </w:rPr>
              <w:t>2</w:t>
            </w:r>
          </w:p>
        </w:tc>
        <w:tc>
          <w:tcPr>
            <w:tcW w:w="2070" w:type="dxa"/>
            <w:vAlign w:val="center"/>
          </w:tcPr>
          <w:p w:rsidR="00016910" w:rsidRPr="00016910" w:rsidP="008B412C" w14:paraId="12EACCFD" w14:textId="0800E54A">
            <w:pPr>
              <w:keepNext/>
              <w:keepLines/>
              <w:pBdr>
                <w:top w:val="nil"/>
                <w:left w:val="nil"/>
                <w:bottom w:val="nil"/>
                <w:right w:val="nil"/>
                <w:between w:val="nil"/>
              </w:pBdr>
              <w:spacing w:line="276" w:lineRule="auto"/>
              <w:jc w:val="center"/>
              <w:rPr>
                <w:b/>
                <w:color w:val="000000"/>
                <w:sz w:val="20"/>
                <w:szCs w:val="20"/>
              </w:rPr>
            </w:pPr>
            <w:r w:rsidRPr="00016910">
              <w:rPr>
                <w:rFonts w:eastAsia="Calibri"/>
                <w:sz w:val="20"/>
                <w:szCs w:val="20"/>
              </w:rPr>
              <w:t>Groundfish/Halibut CDQ and Prohibited Species Quota (PSQ) Transfer Request</w:t>
            </w:r>
          </w:p>
        </w:tc>
        <w:tc>
          <w:tcPr>
            <w:tcW w:w="2160" w:type="dxa"/>
            <w:vAlign w:val="center"/>
          </w:tcPr>
          <w:p w:rsidR="00016910" w:rsidRPr="00016910" w:rsidP="008B412C" w14:paraId="69CAF9B7" w14:textId="4657B76A">
            <w:pPr>
              <w:keepNext/>
              <w:keepLines/>
              <w:pBdr>
                <w:top w:val="nil"/>
                <w:left w:val="nil"/>
                <w:bottom w:val="nil"/>
                <w:right w:val="nil"/>
                <w:between w:val="nil"/>
              </w:pBdr>
              <w:spacing w:line="276" w:lineRule="auto"/>
              <w:jc w:val="center"/>
              <w:rPr>
                <w:b/>
                <w:color w:val="000000"/>
                <w:sz w:val="20"/>
                <w:szCs w:val="20"/>
              </w:rPr>
            </w:pPr>
            <w:hyperlink r:id="rId9" w:anchor="p-679.5(n)" w:history="1">
              <w:r w:rsidRPr="00016910">
                <w:rPr>
                  <w:rStyle w:val="Hyperlink"/>
                  <w:rFonts w:eastAsia="Calibri"/>
                  <w:sz w:val="20"/>
                  <w:szCs w:val="20"/>
                </w:rPr>
                <w:t>50 CFR 679.5(n)</w:t>
              </w:r>
            </w:hyperlink>
          </w:p>
        </w:tc>
        <w:tc>
          <w:tcPr>
            <w:tcW w:w="1530" w:type="dxa"/>
            <w:vAlign w:val="center"/>
          </w:tcPr>
          <w:p w:rsidR="00016910" w:rsidRPr="00016910" w:rsidP="008B412C" w14:paraId="29F9C948" w14:textId="3EB9BF83">
            <w:pPr>
              <w:keepNext/>
              <w:keepLines/>
              <w:pBdr>
                <w:top w:val="nil"/>
                <w:left w:val="nil"/>
                <w:bottom w:val="nil"/>
                <w:right w:val="nil"/>
                <w:between w:val="nil"/>
              </w:pBdr>
              <w:spacing w:line="276" w:lineRule="auto"/>
              <w:jc w:val="center"/>
              <w:rPr>
                <w:b/>
                <w:color w:val="000000"/>
                <w:sz w:val="20"/>
                <w:szCs w:val="20"/>
              </w:rPr>
            </w:pPr>
            <w:r w:rsidRPr="00016910">
              <w:rPr>
                <w:sz w:val="20"/>
                <w:szCs w:val="20"/>
              </w:rPr>
              <w:t>CDQ group representative</w:t>
            </w:r>
          </w:p>
        </w:tc>
        <w:tc>
          <w:tcPr>
            <w:tcW w:w="1170" w:type="dxa"/>
            <w:vAlign w:val="center"/>
          </w:tcPr>
          <w:p w:rsidR="00016910" w:rsidRPr="00016910" w:rsidP="008B412C" w14:paraId="2B874DD1" w14:textId="77777777">
            <w:pPr>
              <w:keepNext/>
              <w:keepLines/>
              <w:widowControl/>
              <w:spacing w:line="276" w:lineRule="auto"/>
              <w:jc w:val="center"/>
              <w:rPr>
                <w:rFonts w:eastAsia="Calibri"/>
                <w:sz w:val="20"/>
                <w:szCs w:val="20"/>
              </w:rPr>
            </w:pPr>
            <w:r w:rsidRPr="00016910">
              <w:rPr>
                <w:rFonts w:eastAsia="Calibri"/>
                <w:sz w:val="20"/>
                <w:szCs w:val="20"/>
              </w:rPr>
              <w:t>eFISH</w:t>
            </w:r>
          </w:p>
          <w:p w:rsidR="00016910" w:rsidRPr="00016910" w:rsidP="008B412C" w14:paraId="00C10466" w14:textId="77777777">
            <w:pPr>
              <w:keepNext/>
              <w:keepLines/>
              <w:widowControl/>
              <w:spacing w:line="276" w:lineRule="auto"/>
              <w:jc w:val="center"/>
              <w:rPr>
                <w:rFonts w:eastAsia="Calibri"/>
                <w:sz w:val="20"/>
                <w:szCs w:val="20"/>
              </w:rPr>
            </w:pPr>
            <w:r w:rsidRPr="00016910">
              <w:rPr>
                <w:rFonts w:eastAsia="Calibri"/>
                <w:sz w:val="20"/>
                <w:szCs w:val="20"/>
              </w:rPr>
              <w:t>Mail</w:t>
            </w:r>
          </w:p>
          <w:p w:rsidR="00016910" w:rsidRPr="00016910" w:rsidP="008B412C" w14:paraId="07D27CBF" w14:textId="31E772A3">
            <w:pPr>
              <w:keepNext/>
              <w:keepLines/>
              <w:widowControl/>
              <w:spacing w:line="276" w:lineRule="auto"/>
              <w:jc w:val="center"/>
              <w:rPr>
                <w:rFonts w:eastAsia="Calibri"/>
                <w:sz w:val="20"/>
                <w:szCs w:val="20"/>
              </w:rPr>
            </w:pPr>
            <w:r w:rsidRPr="00016910">
              <w:rPr>
                <w:rFonts w:eastAsia="Calibri"/>
                <w:sz w:val="20"/>
                <w:szCs w:val="20"/>
              </w:rPr>
              <w:t>Fax</w:t>
            </w:r>
          </w:p>
          <w:p w:rsidR="00016910" w:rsidRPr="00016910" w:rsidP="008B412C" w14:paraId="499EDA65" w14:textId="31086E00">
            <w:pPr>
              <w:keepNext/>
              <w:keepLines/>
              <w:pBdr>
                <w:top w:val="nil"/>
                <w:left w:val="nil"/>
                <w:bottom w:val="nil"/>
                <w:right w:val="nil"/>
                <w:between w:val="nil"/>
              </w:pBdr>
              <w:spacing w:line="276" w:lineRule="auto"/>
              <w:jc w:val="center"/>
              <w:rPr>
                <w:b/>
                <w:color w:val="000000"/>
                <w:sz w:val="20"/>
                <w:szCs w:val="20"/>
              </w:rPr>
            </w:pPr>
            <w:r w:rsidRPr="00016910">
              <w:rPr>
                <w:rFonts w:eastAsia="Calibri"/>
                <w:sz w:val="20"/>
                <w:szCs w:val="20"/>
              </w:rPr>
              <w:t>email</w:t>
            </w:r>
          </w:p>
        </w:tc>
        <w:tc>
          <w:tcPr>
            <w:tcW w:w="810" w:type="dxa"/>
            <w:vAlign w:val="center"/>
          </w:tcPr>
          <w:p w:rsidR="00016910" w:rsidRPr="00016910" w:rsidP="008B412C" w14:paraId="587B50C4" w14:textId="209BFB75">
            <w:pPr>
              <w:keepNext/>
              <w:keepLines/>
              <w:pBdr>
                <w:top w:val="nil"/>
                <w:left w:val="nil"/>
                <w:bottom w:val="nil"/>
                <w:right w:val="nil"/>
                <w:between w:val="nil"/>
              </w:pBdr>
              <w:spacing w:line="276" w:lineRule="auto"/>
              <w:jc w:val="center"/>
              <w:rPr>
                <w:b/>
                <w:color w:val="000000"/>
                <w:sz w:val="20"/>
                <w:szCs w:val="20"/>
              </w:rPr>
            </w:pPr>
            <w:r w:rsidRPr="00016910">
              <w:rPr>
                <w:rFonts w:eastAsia="Calibri"/>
                <w:sz w:val="20"/>
                <w:szCs w:val="20"/>
              </w:rPr>
              <w:t>Yes</w:t>
            </w:r>
          </w:p>
        </w:tc>
        <w:tc>
          <w:tcPr>
            <w:tcW w:w="2178" w:type="dxa"/>
            <w:vAlign w:val="center"/>
          </w:tcPr>
          <w:p w:rsidR="00016910" w:rsidRPr="00016910" w:rsidP="008B412C" w14:paraId="2B8602F9" w14:textId="172599E7">
            <w:pPr>
              <w:keepNext/>
              <w:keepLines/>
              <w:pBdr>
                <w:top w:val="nil"/>
                <w:left w:val="nil"/>
                <w:bottom w:val="nil"/>
                <w:right w:val="nil"/>
                <w:between w:val="nil"/>
              </w:pBdr>
              <w:spacing w:line="276" w:lineRule="auto"/>
              <w:jc w:val="center"/>
              <w:rPr>
                <w:b/>
                <w:color w:val="000000"/>
                <w:sz w:val="20"/>
                <w:szCs w:val="20"/>
              </w:rPr>
            </w:pPr>
            <w:r w:rsidRPr="00016910">
              <w:rPr>
                <w:rFonts w:eastAsia="Calibri"/>
                <w:sz w:val="20"/>
                <w:szCs w:val="20"/>
              </w:rPr>
              <w:t>As needed whenever a CDQ group wants to transfer CDQ or PSQ to another CDQ group.</w:t>
            </w:r>
          </w:p>
        </w:tc>
      </w:tr>
      <w:tr w14:paraId="05D25BBD" w14:textId="4F2CCC18" w:rsidTr="00FC7C52">
        <w:tblPrEx>
          <w:tblW w:w="10638" w:type="dxa"/>
          <w:tblInd w:w="-5" w:type="dxa"/>
          <w:tblLayout w:type="fixed"/>
          <w:tblLook w:val="0000"/>
        </w:tblPrEx>
        <w:trPr>
          <w:trHeight w:val="700"/>
        </w:trPr>
        <w:tc>
          <w:tcPr>
            <w:tcW w:w="720" w:type="dxa"/>
            <w:vAlign w:val="center"/>
          </w:tcPr>
          <w:p w:rsidR="00016910" w:rsidRPr="00016910" w:rsidP="008B412C" w14:paraId="509B00E2" w14:textId="1332D6D4">
            <w:pPr>
              <w:keepNext/>
              <w:keepLines/>
              <w:pBdr>
                <w:top w:val="nil"/>
                <w:left w:val="nil"/>
                <w:bottom w:val="nil"/>
                <w:right w:val="nil"/>
                <w:between w:val="nil"/>
              </w:pBdr>
              <w:spacing w:line="276" w:lineRule="auto"/>
              <w:jc w:val="center"/>
              <w:rPr>
                <w:bCs/>
                <w:sz w:val="20"/>
                <w:szCs w:val="20"/>
              </w:rPr>
            </w:pPr>
            <w:r w:rsidRPr="00016910">
              <w:rPr>
                <w:bCs/>
                <w:sz w:val="20"/>
                <w:szCs w:val="20"/>
              </w:rPr>
              <w:t>3</w:t>
            </w:r>
          </w:p>
        </w:tc>
        <w:tc>
          <w:tcPr>
            <w:tcW w:w="2070" w:type="dxa"/>
            <w:vAlign w:val="center"/>
          </w:tcPr>
          <w:p w:rsidR="00016910" w:rsidRPr="00016910" w:rsidP="008B412C" w14:paraId="2134BF2D" w14:textId="191E01D9">
            <w:pPr>
              <w:keepNext/>
              <w:keepLines/>
              <w:pBdr>
                <w:top w:val="nil"/>
                <w:left w:val="nil"/>
                <w:bottom w:val="nil"/>
                <w:right w:val="nil"/>
                <w:between w:val="nil"/>
              </w:pBdr>
              <w:spacing w:line="276" w:lineRule="auto"/>
              <w:jc w:val="center"/>
              <w:rPr>
                <w:color w:val="000000"/>
                <w:sz w:val="20"/>
                <w:szCs w:val="20"/>
              </w:rPr>
            </w:pPr>
            <w:r w:rsidRPr="00016910">
              <w:rPr>
                <w:rFonts w:eastAsia="Calibri"/>
                <w:sz w:val="20"/>
                <w:szCs w:val="20"/>
              </w:rPr>
              <w:t>Application for Approval of Use of Non-CDQ Harvest Regulations</w:t>
            </w:r>
          </w:p>
        </w:tc>
        <w:tc>
          <w:tcPr>
            <w:tcW w:w="2160" w:type="dxa"/>
            <w:vAlign w:val="center"/>
          </w:tcPr>
          <w:p w:rsidR="00016910" w:rsidRPr="00016910" w:rsidP="008B412C" w14:paraId="5AAE5A75" w14:textId="0AEE78C6">
            <w:pPr>
              <w:keepNext/>
              <w:keepLines/>
              <w:pBdr>
                <w:top w:val="nil"/>
                <w:left w:val="nil"/>
                <w:bottom w:val="nil"/>
                <w:right w:val="nil"/>
                <w:between w:val="nil"/>
              </w:pBdr>
              <w:spacing w:line="276" w:lineRule="auto"/>
              <w:jc w:val="center"/>
              <w:rPr>
                <w:color w:val="000000"/>
                <w:sz w:val="20"/>
                <w:szCs w:val="20"/>
              </w:rPr>
            </w:pPr>
            <w:hyperlink r:id="rId8" w:anchor="p-679.32(e)" w:history="1">
              <w:r w:rsidRPr="009213F5">
                <w:rPr>
                  <w:rStyle w:val="Hyperlink"/>
                  <w:rFonts w:eastAsia="Calibri"/>
                  <w:color w:val="0000FF"/>
                  <w:sz w:val="20"/>
                  <w:szCs w:val="20"/>
                </w:rPr>
                <w:t>50 CF</w:t>
              </w:r>
              <w:r w:rsidRPr="00016910">
                <w:rPr>
                  <w:rStyle w:val="Hyperlink"/>
                  <w:rFonts w:eastAsia="Calibri"/>
                  <w:sz w:val="20"/>
                  <w:szCs w:val="20"/>
                </w:rPr>
                <w:t>R 679.32(e)</w:t>
              </w:r>
            </w:hyperlink>
          </w:p>
        </w:tc>
        <w:tc>
          <w:tcPr>
            <w:tcW w:w="1530" w:type="dxa"/>
            <w:vAlign w:val="center"/>
          </w:tcPr>
          <w:p w:rsidR="00016910" w:rsidRPr="00016910" w:rsidP="008B412C" w14:paraId="0BF1A405" w14:textId="2E9028B0">
            <w:pPr>
              <w:keepNext/>
              <w:keepLines/>
              <w:pBdr>
                <w:top w:val="nil"/>
                <w:left w:val="nil"/>
                <w:bottom w:val="nil"/>
                <w:right w:val="nil"/>
                <w:between w:val="nil"/>
              </w:pBdr>
              <w:spacing w:line="276" w:lineRule="auto"/>
              <w:jc w:val="center"/>
              <w:rPr>
                <w:color w:val="000000"/>
                <w:sz w:val="20"/>
                <w:szCs w:val="20"/>
              </w:rPr>
            </w:pPr>
            <w:r w:rsidRPr="00016910">
              <w:rPr>
                <w:sz w:val="20"/>
                <w:szCs w:val="20"/>
              </w:rPr>
              <w:t>CDQ group representative; association representing CDQ groups; a voluntary fishing cooperative</w:t>
            </w:r>
          </w:p>
        </w:tc>
        <w:tc>
          <w:tcPr>
            <w:tcW w:w="1170" w:type="dxa"/>
            <w:vAlign w:val="center"/>
          </w:tcPr>
          <w:p w:rsidR="00016910" w:rsidRPr="00016910" w:rsidP="008B412C" w14:paraId="1EC8CA47" w14:textId="77777777">
            <w:pPr>
              <w:keepNext/>
              <w:keepLines/>
              <w:widowControl/>
              <w:spacing w:line="276" w:lineRule="auto"/>
              <w:jc w:val="center"/>
              <w:rPr>
                <w:rFonts w:eastAsia="Calibri"/>
                <w:sz w:val="20"/>
                <w:szCs w:val="20"/>
              </w:rPr>
            </w:pPr>
            <w:r w:rsidRPr="00016910">
              <w:rPr>
                <w:rFonts w:eastAsia="Calibri"/>
                <w:sz w:val="20"/>
                <w:szCs w:val="20"/>
              </w:rPr>
              <w:t>Mail</w:t>
            </w:r>
          </w:p>
          <w:p w:rsidR="00DE0A82" w:rsidRPr="00DE0A82" w:rsidP="008B412C" w14:paraId="113695C8" w14:textId="5C91D0DA">
            <w:pPr>
              <w:keepNext/>
              <w:keepLines/>
              <w:pBdr>
                <w:top w:val="nil"/>
                <w:left w:val="nil"/>
                <w:bottom w:val="nil"/>
                <w:right w:val="nil"/>
                <w:between w:val="nil"/>
              </w:pBdr>
              <w:spacing w:line="276" w:lineRule="auto"/>
              <w:jc w:val="center"/>
              <w:rPr>
                <w:rFonts w:eastAsia="Calibri"/>
                <w:sz w:val="20"/>
                <w:szCs w:val="20"/>
              </w:rPr>
            </w:pPr>
            <w:r w:rsidRPr="00016910">
              <w:rPr>
                <w:rFonts w:eastAsia="Calibri"/>
                <w:sz w:val="20"/>
                <w:szCs w:val="20"/>
              </w:rPr>
              <w:t>Fax</w:t>
            </w:r>
          </w:p>
        </w:tc>
        <w:tc>
          <w:tcPr>
            <w:tcW w:w="810" w:type="dxa"/>
            <w:vAlign w:val="center"/>
          </w:tcPr>
          <w:p w:rsidR="00016910" w:rsidRPr="00016910" w:rsidP="008B412C" w14:paraId="4D20FE8E" w14:textId="001ED461">
            <w:pPr>
              <w:keepNext/>
              <w:keepLines/>
              <w:pBdr>
                <w:top w:val="nil"/>
                <w:left w:val="nil"/>
                <w:bottom w:val="nil"/>
                <w:right w:val="nil"/>
                <w:between w:val="nil"/>
              </w:pBdr>
              <w:spacing w:line="276" w:lineRule="auto"/>
              <w:jc w:val="center"/>
              <w:rPr>
                <w:color w:val="000000"/>
                <w:sz w:val="20"/>
                <w:szCs w:val="20"/>
              </w:rPr>
            </w:pPr>
            <w:r w:rsidRPr="00016910">
              <w:rPr>
                <w:rFonts w:eastAsia="Calibri"/>
                <w:sz w:val="20"/>
                <w:szCs w:val="20"/>
              </w:rPr>
              <w:t>Yes</w:t>
            </w:r>
          </w:p>
        </w:tc>
        <w:tc>
          <w:tcPr>
            <w:tcW w:w="2178" w:type="dxa"/>
            <w:vAlign w:val="center"/>
          </w:tcPr>
          <w:p w:rsidR="00016910" w:rsidRPr="00016910" w:rsidP="008B412C" w14:paraId="049E930F" w14:textId="188DFFB9">
            <w:pPr>
              <w:keepNext/>
              <w:keepLines/>
              <w:pBdr>
                <w:top w:val="nil"/>
                <w:left w:val="nil"/>
                <w:bottom w:val="nil"/>
                <w:right w:val="nil"/>
                <w:between w:val="nil"/>
              </w:pBdr>
              <w:spacing w:line="276" w:lineRule="auto"/>
              <w:jc w:val="center"/>
              <w:rPr>
                <w:b/>
                <w:color w:val="000000"/>
                <w:sz w:val="20"/>
                <w:szCs w:val="20"/>
              </w:rPr>
            </w:pPr>
            <w:r w:rsidRPr="00016910">
              <w:rPr>
                <w:rFonts w:eastAsia="Calibri"/>
                <w:sz w:val="20"/>
                <w:szCs w:val="20"/>
              </w:rPr>
              <w:t>As needed.</w:t>
            </w:r>
          </w:p>
        </w:tc>
      </w:tr>
      <w:tr w14:paraId="254FE637" w14:textId="527C4DDC" w:rsidTr="00FC7C52">
        <w:tblPrEx>
          <w:tblW w:w="10638" w:type="dxa"/>
          <w:tblInd w:w="-5" w:type="dxa"/>
          <w:tblLayout w:type="fixed"/>
          <w:tblLook w:val="0000"/>
        </w:tblPrEx>
        <w:trPr>
          <w:trHeight w:val="700"/>
        </w:trPr>
        <w:tc>
          <w:tcPr>
            <w:tcW w:w="720" w:type="dxa"/>
            <w:vAlign w:val="center"/>
          </w:tcPr>
          <w:p w:rsidR="00016910" w:rsidRPr="00016910" w:rsidP="008B412C" w14:paraId="5D2294BD" w14:textId="77777777">
            <w:pPr>
              <w:keepNext/>
              <w:keepLines/>
              <w:pBdr>
                <w:top w:val="nil"/>
                <w:left w:val="nil"/>
                <w:bottom w:val="nil"/>
                <w:right w:val="nil"/>
                <w:between w:val="nil"/>
              </w:pBdr>
              <w:spacing w:line="276" w:lineRule="auto"/>
              <w:jc w:val="center"/>
              <w:rPr>
                <w:bCs/>
                <w:sz w:val="20"/>
                <w:szCs w:val="20"/>
              </w:rPr>
            </w:pPr>
            <w:r w:rsidRPr="00016910">
              <w:rPr>
                <w:bCs/>
                <w:sz w:val="20"/>
                <w:szCs w:val="20"/>
              </w:rPr>
              <w:t>4</w:t>
            </w:r>
          </w:p>
          <w:p w:rsidR="00016910" w:rsidRPr="00016910" w:rsidP="008B412C" w14:paraId="1559BBF4" w14:textId="5CCDC59A">
            <w:pPr>
              <w:keepNext/>
              <w:keepLines/>
              <w:pBdr>
                <w:top w:val="nil"/>
                <w:left w:val="nil"/>
                <w:bottom w:val="nil"/>
                <w:right w:val="nil"/>
                <w:between w:val="nil"/>
              </w:pBdr>
              <w:spacing w:line="276" w:lineRule="auto"/>
              <w:jc w:val="center"/>
              <w:rPr>
                <w:bCs/>
                <w:sz w:val="20"/>
                <w:szCs w:val="20"/>
              </w:rPr>
            </w:pPr>
          </w:p>
        </w:tc>
        <w:tc>
          <w:tcPr>
            <w:tcW w:w="2070" w:type="dxa"/>
            <w:vAlign w:val="center"/>
          </w:tcPr>
          <w:p w:rsidR="00016910" w:rsidRPr="00016910" w:rsidP="008B412C" w14:paraId="2E8C4ACC" w14:textId="0793484D">
            <w:pPr>
              <w:keepNext/>
              <w:keepLines/>
              <w:pBdr>
                <w:top w:val="nil"/>
                <w:left w:val="nil"/>
                <w:bottom w:val="nil"/>
                <w:right w:val="nil"/>
                <w:between w:val="nil"/>
              </w:pBdr>
              <w:spacing w:line="276" w:lineRule="auto"/>
              <w:jc w:val="center"/>
              <w:rPr>
                <w:b/>
                <w:color w:val="000000"/>
                <w:sz w:val="20"/>
                <w:szCs w:val="20"/>
              </w:rPr>
            </w:pPr>
            <w:r w:rsidRPr="00016910">
              <w:rPr>
                <w:sz w:val="20"/>
                <w:szCs w:val="20"/>
              </w:rPr>
              <w:t>Appeals</w:t>
            </w:r>
          </w:p>
        </w:tc>
        <w:bookmarkStart w:id="0" w:name="_Hlk235714562"/>
        <w:tc>
          <w:tcPr>
            <w:tcW w:w="2160" w:type="dxa"/>
            <w:vAlign w:val="center"/>
          </w:tcPr>
          <w:p w:rsidR="00FC7C52" w:rsidP="008B412C" w14:paraId="19B7A719" w14:textId="77777777">
            <w:pPr>
              <w:keepNext/>
              <w:keepLines/>
              <w:pBdr>
                <w:top w:val="nil"/>
                <w:left w:val="nil"/>
                <w:bottom w:val="nil"/>
                <w:right w:val="nil"/>
                <w:between w:val="nil"/>
              </w:pBdr>
              <w:spacing w:line="276" w:lineRule="auto"/>
              <w:jc w:val="center"/>
              <w:rPr>
                <w:rFonts w:eastAsia="Calibri"/>
                <w:sz w:val="20"/>
                <w:szCs w:val="20"/>
              </w:rPr>
            </w:pPr>
            <w:hyperlink r:id="rId8" w:anchor="p-679.32(e)" w:history="1">
              <w:r w:rsidRPr="00E46A6B">
                <w:rPr>
                  <w:rStyle w:val="Hyperlink"/>
                  <w:rFonts w:eastAsia="Calibri"/>
                  <w:sz w:val="20"/>
                  <w:szCs w:val="20"/>
                </w:rPr>
                <w:t>50 CFR 679.32(e)</w:t>
              </w:r>
            </w:hyperlink>
            <w:r w:rsidRPr="00016910">
              <w:rPr>
                <w:rFonts w:eastAsia="Calibri"/>
                <w:sz w:val="20"/>
                <w:szCs w:val="20"/>
              </w:rPr>
              <w:t xml:space="preserve"> and</w:t>
            </w:r>
          </w:p>
          <w:p w:rsidR="00016910" w:rsidRPr="00016910" w:rsidP="008B412C" w14:paraId="571E2EB4" w14:textId="3BD5F227">
            <w:pPr>
              <w:keepNext/>
              <w:keepLines/>
              <w:pBdr>
                <w:top w:val="nil"/>
                <w:left w:val="nil"/>
                <w:bottom w:val="nil"/>
                <w:right w:val="nil"/>
                <w:between w:val="nil"/>
              </w:pBdr>
              <w:spacing w:line="276" w:lineRule="auto"/>
              <w:jc w:val="center"/>
              <w:rPr>
                <w:rFonts w:eastAsia="Calibri"/>
                <w:sz w:val="20"/>
                <w:szCs w:val="20"/>
              </w:rPr>
            </w:pPr>
            <w:r>
              <w:rPr>
                <w:rFonts w:eastAsia="Calibri"/>
                <w:sz w:val="20"/>
                <w:szCs w:val="20"/>
              </w:rPr>
              <w:t xml:space="preserve"> </w:t>
            </w:r>
            <w:hyperlink r:id="rId10" w:history="1">
              <w:r w:rsidRPr="00956F6E">
                <w:rPr>
                  <w:rStyle w:val="Hyperlink"/>
                  <w:rFonts w:eastAsia="Calibri"/>
                  <w:sz w:val="20"/>
                  <w:szCs w:val="20"/>
                </w:rPr>
                <w:t>15 CFR part 906</w:t>
              </w:r>
            </w:hyperlink>
            <w:bookmarkEnd w:id="0"/>
          </w:p>
        </w:tc>
        <w:tc>
          <w:tcPr>
            <w:tcW w:w="1530" w:type="dxa"/>
            <w:vAlign w:val="center"/>
          </w:tcPr>
          <w:p w:rsidR="00016910" w:rsidRPr="00016910" w:rsidP="008B412C" w14:paraId="3BF28AE1" w14:textId="73F9509C">
            <w:pPr>
              <w:keepNext/>
              <w:keepLines/>
              <w:pBdr>
                <w:top w:val="nil"/>
                <w:left w:val="nil"/>
                <w:bottom w:val="nil"/>
                <w:right w:val="nil"/>
                <w:between w:val="nil"/>
              </w:pBdr>
              <w:spacing w:line="276" w:lineRule="auto"/>
              <w:jc w:val="center"/>
              <w:rPr>
                <w:b/>
                <w:color w:val="000000"/>
                <w:sz w:val="20"/>
                <w:szCs w:val="20"/>
              </w:rPr>
            </w:pPr>
            <w:r w:rsidRPr="00016910">
              <w:rPr>
                <w:sz w:val="20"/>
                <w:szCs w:val="20"/>
              </w:rPr>
              <w:t>CDQ group representative</w:t>
            </w:r>
          </w:p>
        </w:tc>
        <w:tc>
          <w:tcPr>
            <w:tcW w:w="1170" w:type="dxa"/>
            <w:vAlign w:val="center"/>
          </w:tcPr>
          <w:p w:rsidR="00016910" w:rsidRPr="00016910" w:rsidP="008B412C" w14:paraId="3E965D78" w14:textId="77777777">
            <w:pPr>
              <w:keepNext/>
              <w:keepLines/>
              <w:widowControl/>
              <w:spacing w:line="276" w:lineRule="auto"/>
              <w:jc w:val="center"/>
              <w:rPr>
                <w:rFonts w:eastAsia="Calibri"/>
                <w:sz w:val="20"/>
                <w:szCs w:val="20"/>
              </w:rPr>
            </w:pPr>
            <w:r w:rsidRPr="00016910">
              <w:rPr>
                <w:rFonts w:eastAsia="Calibri"/>
                <w:sz w:val="20"/>
                <w:szCs w:val="20"/>
              </w:rPr>
              <w:t>Fax</w:t>
            </w:r>
          </w:p>
          <w:p w:rsidR="00016910" w:rsidRPr="00016910" w:rsidP="008B412C" w14:paraId="298C948B" w14:textId="77777777">
            <w:pPr>
              <w:keepNext/>
              <w:keepLines/>
              <w:widowControl/>
              <w:spacing w:line="276" w:lineRule="auto"/>
              <w:jc w:val="center"/>
              <w:rPr>
                <w:rFonts w:eastAsia="Calibri"/>
                <w:sz w:val="20"/>
                <w:szCs w:val="20"/>
              </w:rPr>
            </w:pPr>
            <w:r w:rsidRPr="00016910">
              <w:rPr>
                <w:rFonts w:eastAsia="Calibri"/>
                <w:sz w:val="20"/>
                <w:szCs w:val="20"/>
              </w:rPr>
              <w:t>Mail</w:t>
            </w:r>
          </w:p>
          <w:p w:rsidR="00016910" w:rsidRPr="00016910" w:rsidP="008B412C" w14:paraId="62C6AB42" w14:textId="112B6B12">
            <w:pPr>
              <w:keepNext/>
              <w:keepLines/>
              <w:pBdr>
                <w:top w:val="nil"/>
                <w:left w:val="nil"/>
                <w:bottom w:val="nil"/>
                <w:right w:val="nil"/>
                <w:between w:val="nil"/>
              </w:pBdr>
              <w:spacing w:line="276" w:lineRule="auto"/>
              <w:jc w:val="center"/>
              <w:rPr>
                <w:b/>
                <w:color w:val="000000"/>
                <w:sz w:val="20"/>
                <w:szCs w:val="20"/>
              </w:rPr>
            </w:pPr>
            <w:r w:rsidRPr="00016910">
              <w:rPr>
                <w:rFonts w:eastAsia="Calibri"/>
                <w:sz w:val="20"/>
                <w:szCs w:val="20"/>
              </w:rPr>
              <w:t>Delivery</w:t>
            </w:r>
          </w:p>
        </w:tc>
        <w:tc>
          <w:tcPr>
            <w:tcW w:w="810" w:type="dxa"/>
            <w:vAlign w:val="center"/>
          </w:tcPr>
          <w:p w:rsidR="00016910" w:rsidRPr="00016910" w:rsidP="008B412C" w14:paraId="7AA4F4CA" w14:textId="49B74B75">
            <w:pPr>
              <w:keepNext/>
              <w:keepLines/>
              <w:pBdr>
                <w:top w:val="nil"/>
                <w:left w:val="nil"/>
                <w:bottom w:val="nil"/>
                <w:right w:val="nil"/>
                <w:between w:val="nil"/>
              </w:pBdr>
              <w:spacing w:line="276" w:lineRule="auto"/>
              <w:jc w:val="center"/>
              <w:rPr>
                <w:b/>
                <w:color w:val="000000"/>
                <w:sz w:val="20"/>
                <w:szCs w:val="20"/>
              </w:rPr>
            </w:pPr>
            <w:r w:rsidRPr="00016910">
              <w:rPr>
                <w:rFonts w:eastAsia="Calibri"/>
                <w:sz w:val="20"/>
                <w:szCs w:val="20"/>
              </w:rPr>
              <w:t>No</w:t>
            </w:r>
          </w:p>
        </w:tc>
        <w:tc>
          <w:tcPr>
            <w:tcW w:w="2178" w:type="dxa"/>
            <w:vAlign w:val="center"/>
          </w:tcPr>
          <w:p w:rsidR="00016910" w:rsidRPr="00016910" w:rsidP="008B412C" w14:paraId="05C3DF98" w14:textId="1A9816A7">
            <w:pPr>
              <w:keepNext/>
              <w:keepLines/>
              <w:pBdr>
                <w:top w:val="nil"/>
                <w:left w:val="nil"/>
                <w:bottom w:val="nil"/>
                <w:right w:val="nil"/>
                <w:between w:val="nil"/>
              </w:pBdr>
              <w:spacing w:line="276" w:lineRule="auto"/>
              <w:jc w:val="center"/>
              <w:rPr>
                <w:b/>
                <w:color w:val="000000"/>
                <w:sz w:val="20"/>
                <w:szCs w:val="20"/>
              </w:rPr>
            </w:pPr>
            <w:r w:rsidRPr="00016910">
              <w:rPr>
                <w:rFonts w:eastAsia="Calibri"/>
                <w:sz w:val="20"/>
                <w:szCs w:val="20"/>
              </w:rPr>
              <w:t>By choice of the CDQ group if NMFS were to disapprove an Application for Approval of Use of Non-CDQ Harvest Regulations.</w:t>
            </w:r>
          </w:p>
        </w:tc>
      </w:tr>
    </w:tbl>
    <w:p w:rsidR="00FD1A69" w:rsidRPr="00D20810" w:rsidP="00A83200" w14:paraId="76C9F46D" w14:textId="77777777">
      <w:pPr>
        <w:widowControl/>
        <w:spacing w:after="240" w:line="276" w:lineRule="auto"/>
      </w:pPr>
    </w:p>
    <w:p w:rsidR="00FD1A69" w:rsidRPr="00D20810" w:rsidP="00A83200" w14:paraId="08B3A9A8" w14:textId="52525E46">
      <w:pPr>
        <w:keepNext/>
        <w:widowControl/>
        <w:spacing w:after="240" w:line="276" w:lineRule="auto"/>
        <w:rPr>
          <w:b/>
        </w:rPr>
      </w:pPr>
      <w:r w:rsidRPr="00D20810">
        <w:rPr>
          <w:b/>
        </w:rPr>
        <w:t>CDQ Vessel Registration System</w:t>
      </w:r>
    </w:p>
    <w:p w:rsidR="00E5614E" w:rsidRPr="00E5614E" w:rsidP="00E5614E" w14:paraId="236045D7" w14:textId="5D361082">
      <w:pPr>
        <w:widowControl/>
        <w:tabs>
          <w:tab w:val="left" w:pos="-1180"/>
          <w:tab w:val="left" w:pos="-720"/>
          <w:tab w:val="left" w:pos="360"/>
          <w:tab w:val="left" w:pos="720"/>
          <w:tab w:val="left" w:pos="1080"/>
        </w:tabs>
        <w:autoSpaceDE w:val="0"/>
        <w:autoSpaceDN w:val="0"/>
        <w:adjustRightInd w:val="0"/>
        <w:spacing w:after="240" w:line="276" w:lineRule="auto"/>
      </w:pPr>
      <w:r w:rsidRPr="00E5614E">
        <w:t xml:space="preserve">Participation in most federally managed Bering Sea and Aleutian Islands (BSAI) groundfish fisheries requires that catcher vessels over 32 feet in length overall (LOA) be named on a License Limitation Program (LLP) license. Amendment 109 to the BSAI Fishery Management Plan </w:t>
      </w:r>
      <w:r w:rsidRPr="00E5614E">
        <w:t>authorized</w:t>
      </w:r>
      <w:r w:rsidRPr="00E5614E">
        <w:t xml:space="preserve"> Community Development Quota (CDQ) groups to use vessels up to 46 feet LOA without an LLP license under specific conditions. Detailed information is available in the final rule (</w:t>
      </w:r>
      <w:hyperlink r:id="rId11" w:history="1">
        <w:r w:rsidRPr="00E5614E">
          <w:rPr>
            <w:rStyle w:val="Hyperlink"/>
          </w:rPr>
          <w:t>81 FR 2673</w:t>
        </w:r>
        <w:r w:rsidRPr="00E5614E">
          <w:rPr>
            <w:rStyle w:val="Hyperlink"/>
          </w:rPr>
          <w:t>8</w:t>
        </w:r>
        <w:r w:rsidRPr="00E5614E">
          <w:rPr>
            <w:rStyle w:val="Hyperlink"/>
          </w:rPr>
          <w:t>; May 4, 2016</w:t>
        </w:r>
      </w:hyperlink>
      <w:r>
        <w:rPr>
          <w:rStyle w:val="FootnoteReference"/>
          <w:vertAlign w:val="superscript"/>
        </w:rPr>
        <w:footnoteReference w:id="6"/>
      </w:r>
      <w:r w:rsidRPr="00E5614E">
        <w:t>).</w:t>
      </w:r>
    </w:p>
    <w:p w:rsidR="00E5614E" w:rsidRPr="00E5614E" w:rsidP="00E5614E" w14:paraId="3F641F80" w14:textId="77777777">
      <w:pPr>
        <w:widowControl/>
        <w:tabs>
          <w:tab w:val="left" w:pos="-1180"/>
          <w:tab w:val="left" w:pos="-720"/>
          <w:tab w:val="left" w:pos="360"/>
          <w:tab w:val="left" w:pos="720"/>
          <w:tab w:val="left" w:pos="1080"/>
        </w:tabs>
        <w:autoSpaceDE w:val="0"/>
        <w:autoSpaceDN w:val="0"/>
        <w:adjustRightInd w:val="0"/>
        <w:spacing w:after="240" w:line="276" w:lineRule="auto"/>
      </w:pPr>
      <w:r w:rsidRPr="00E5614E">
        <w:t xml:space="preserve">The CDQ Vessel Registration System, accessed through </w:t>
      </w:r>
      <w:r w:rsidRPr="00E5614E">
        <w:t>eFISH</w:t>
      </w:r>
      <w:r w:rsidRPr="00E5614E">
        <w:t xml:space="preserve"> using a NMFS Person ID and password, allows CDQ groups to register vessels for these exemptions. This system manages the list of vessels participating in BSAI groundfish CDQ fisheries under less restrictive prohibited species catch and observer coverage requirements. Registration adds the vessel to the public NMFS Alaska Region list, where it remains until manually removed.</w:t>
      </w:r>
    </w:p>
    <w:p w:rsidR="00E5614E" w:rsidRPr="00E5614E" w:rsidP="00E5614E" w14:paraId="7F193588" w14:textId="77777777">
      <w:pPr>
        <w:widowControl/>
        <w:tabs>
          <w:tab w:val="left" w:pos="-1180"/>
          <w:tab w:val="left" w:pos="-720"/>
          <w:tab w:val="left" w:pos="360"/>
          <w:tab w:val="left" w:pos="720"/>
          <w:tab w:val="left" w:pos="1080"/>
        </w:tabs>
        <w:autoSpaceDE w:val="0"/>
        <w:autoSpaceDN w:val="0"/>
        <w:adjustRightInd w:val="0"/>
        <w:spacing w:after="240" w:line="276" w:lineRule="auto"/>
      </w:pPr>
      <w:r w:rsidRPr="00E5614E">
        <w:t>Upon registration, the system generates an LLP exemption letter. The CDQ group representative must provide a copy to the vessel operator, who is required to keep a legible copy on board at all times while fishing.</w:t>
      </w:r>
    </w:p>
    <w:p w:rsidR="00E5614E" w:rsidRPr="00E5614E" w:rsidP="00E5614E" w14:paraId="05279FEA" w14:textId="77777777">
      <w:pPr>
        <w:widowControl/>
        <w:tabs>
          <w:tab w:val="left" w:pos="-1180"/>
          <w:tab w:val="left" w:pos="-720"/>
          <w:tab w:val="left" w:pos="360"/>
          <w:tab w:val="left" w:pos="720"/>
          <w:tab w:val="left" w:pos="1080"/>
        </w:tabs>
        <w:autoSpaceDE w:val="0"/>
        <w:autoSpaceDN w:val="0"/>
        <w:adjustRightInd w:val="0"/>
        <w:spacing w:after="240" w:line="276" w:lineRule="auto"/>
      </w:pPr>
      <w:r w:rsidRPr="00E5614E">
        <w:t xml:space="preserve">To remove a vessel from the registry, the CDQ group representative must notify the vessel operator and certify in </w:t>
      </w:r>
      <w:r w:rsidRPr="00E5614E">
        <w:t>eFISH</w:t>
      </w:r>
      <w:r w:rsidRPr="00E5614E">
        <w:t xml:space="preserve"> that notice was given and that the vessel is not currently fishing. The system then provides a printable removal confirmation. Once removed, the vessel is no longer exempt from LLP requirements.</w:t>
      </w:r>
    </w:p>
    <w:p w:rsidR="00E5614E" w:rsidRPr="00E5614E" w:rsidP="00E5614E" w14:paraId="5C2E9113" w14:textId="77777777">
      <w:pPr>
        <w:widowControl/>
        <w:tabs>
          <w:tab w:val="left" w:pos="-1180"/>
          <w:tab w:val="left" w:pos="-720"/>
          <w:tab w:val="left" w:pos="360"/>
          <w:tab w:val="left" w:pos="720"/>
          <w:tab w:val="left" w:pos="1080"/>
        </w:tabs>
        <w:autoSpaceDE w:val="0"/>
        <w:autoSpaceDN w:val="0"/>
        <w:adjustRightInd w:val="0"/>
        <w:spacing w:after="240" w:line="276" w:lineRule="auto"/>
      </w:pPr>
      <w:r w:rsidRPr="00E5614E">
        <w:t>Since the program's inception in 2016, no vessels have been registered. Although CDQ groups initially requested this flexibility to develop small-boat fisheries without the cost of LLP licenses, they have not yet utilized the exemption for their operations.</w:t>
      </w:r>
    </w:p>
    <w:p w:rsidR="00FD1A69" w:rsidRPr="00D20810" w:rsidP="00A83200" w14:paraId="2C83D238" w14:textId="77777777">
      <w:pPr>
        <w:widowControl/>
        <w:tabs>
          <w:tab w:val="left" w:pos="-1180"/>
          <w:tab w:val="left" w:pos="-720"/>
          <w:tab w:val="left" w:pos="360"/>
          <w:tab w:val="left" w:pos="720"/>
          <w:tab w:val="left" w:pos="1080"/>
        </w:tabs>
        <w:autoSpaceDE w:val="0"/>
        <w:autoSpaceDN w:val="0"/>
        <w:adjustRightInd w:val="0"/>
        <w:spacing w:after="240" w:line="276" w:lineRule="auto"/>
      </w:pPr>
      <w:r w:rsidRPr="00D20810">
        <w:rPr>
          <w:b/>
        </w:rPr>
        <w:t>G</w:t>
      </w:r>
      <w:r w:rsidRPr="00D20810">
        <w:rPr>
          <w:b/>
        </w:rPr>
        <w:t>roundfish/Halibut CDQ and Prohibited Species Quota (PSQ) Transfer Request</w:t>
      </w:r>
      <w:r w:rsidRPr="00D20810">
        <w:t xml:space="preserve"> </w:t>
      </w:r>
    </w:p>
    <w:p w:rsidR="00A439C5" w:rsidRPr="00A439C5" w:rsidP="00A439C5" w14:paraId="57BF7F04" w14:textId="77777777">
      <w:pPr>
        <w:widowControl/>
        <w:tabs>
          <w:tab w:val="left" w:pos="360"/>
          <w:tab w:val="left" w:pos="720"/>
          <w:tab w:val="left" w:pos="1080"/>
        </w:tabs>
        <w:autoSpaceDE w:val="0"/>
        <w:autoSpaceDN w:val="0"/>
        <w:adjustRightInd w:val="0"/>
        <w:spacing w:after="240" w:line="276" w:lineRule="auto"/>
      </w:pPr>
      <w:r w:rsidRPr="00A439C5">
        <w:t>The Community Development Quota (CDQ) Program is a catch share program that allocates a portion of BSAI groundfish, halibut, and prohibited species catch (PSC) limits to six CDQ groups. These groups receive annual account balances for these species, which can be transferred among groups as groundfish CDQ, halibut CDQ, or prohibited species quota (PSQ).</w:t>
      </w:r>
    </w:p>
    <w:p w:rsidR="00A439C5" w:rsidRPr="00A439C5" w:rsidP="00A439C5" w14:paraId="6878AC78" w14:textId="77777777">
      <w:pPr>
        <w:widowControl/>
        <w:tabs>
          <w:tab w:val="left" w:pos="360"/>
          <w:tab w:val="left" w:pos="720"/>
          <w:tab w:val="left" w:pos="1080"/>
        </w:tabs>
        <w:autoSpaceDE w:val="0"/>
        <w:autoSpaceDN w:val="0"/>
        <w:adjustRightInd w:val="0"/>
        <w:spacing w:after="240" w:line="276" w:lineRule="auto"/>
      </w:pPr>
      <w:r w:rsidRPr="00A439C5">
        <w:t xml:space="preserve">To transfer these allocations, groups must submit a request to NMFS. While submissions can be made by mail or fax, all transfers in the last six years have been conducted electronically through </w:t>
      </w:r>
      <w:r w:rsidRPr="00A439C5">
        <w:t>eFISH</w:t>
      </w:r>
      <w:r w:rsidRPr="00A439C5">
        <w:t>. Online requests require designated representatives to log in and follow on-screen prompts; submission serves as certification that the information is true, correct, and complete. Required data includes contact information for both parties, transfer amounts, PSQ conversion details (if applicable), the applicable year, and authorized signatures.</w:t>
      </w:r>
    </w:p>
    <w:p w:rsidR="00FD1A69" w:rsidRPr="00D20810" w:rsidP="00A83200" w14:paraId="7396A2E4" w14:textId="77777777">
      <w:pPr>
        <w:widowControl/>
        <w:tabs>
          <w:tab w:val="left" w:pos="360"/>
          <w:tab w:val="left" w:pos="720"/>
          <w:tab w:val="left" w:pos="1080"/>
        </w:tabs>
        <w:autoSpaceDE w:val="0"/>
        <w:autoSpaceDN w:val="0"/>
        <w:adjustRightInd w:val="0"/>
        <w:spacing w:after="240" w:line="276" w:lineRule="auto"/>
        <w:rPr>
          <w:b/>
        </w:rPr>
      </w:pPr>
      <w:r w:rsidRPr="00D20810">
        <w:rPr>
          <w:b/>
        </w:rPr>
        <w:t>A</w:t>
      </w:r>
      <w:r w:rsidRPr="00D20810">
        <w:rPr>
          <w:b/>
        </w:rPr>
        <w:t>pplication for Approval of Use of Non-CDQ Harvest Regulations</w:t>
      </w:r>
    </w:p>
    <w:p w:rsidR="008F1608" w:rsidRPr="008F1608" w:rsidP="008F1608" w14:paraId="2529403C" w14:textId="77777777">
      <w:pPr>
        <w:widowControl/>
        <w:tabs>
          <w:tab w:val="left" w:pos="360"/>
          <w:tab w:val="left" w:pos="720"/>
          <w:tab w:val="left" w:pos="1080"/>
        </w:tabs>
        <w:autoSpaceDE w:val="0"/>
        <w:autoSpaceDN w:val="0"/>
        <w:adjustRightInd w:val="0"/>
        <w:spacing w:after="240" w:line="276" w:lineRule="auto"/>
      </w:pPr>
      <w:r w:rsidRPr="008F1608">
        <w:t>Under Section 305(</w:t>
      </w:r>
      <w:r w:rsidRPr="008F1608">
        <w:t>i</w:t>
      </w:r>
      <w:r w:rsidRPr="008F1608">
        <w:t>)(1)(B)(iv) of the Magnuson-Stevens Act, the Secretary must regulate the harvest of Community Development Quota (CDQ) Program allocations for individual quota or cooperative fisheries in a manner that is no more restrictive than for other participants in that sector. This requirement includes the harvest of nontarget species. NMFS interprets "no more restrictive" to mean that fishery management regulations for CDQ harvests should not be more costly, complex, or burdensome than those applying to comparable non-CDQ sectors managed under individual fishing quotas (IFQs) or cooperative allocations. While these non-CDQ regulations are typically detailed in Federal regulations, in some instances, vessel owners may form voluntary cooperatives that operate without a direct license or permit from NMFS.</w:t>
      </w:r>
    </w:p>
    <w:p w:rsidR="008F1608" w:rsidRPr="008F1608" w:rsidP="008F1608" w14:paraId="3A91F9F8" w14:textId="170E0EC6">
      <w:pPr>
        <w:widowControl/>
        <w:tabs>
          <w:tab w:val="left" w:pos="360"/>
          <w:tab w:val="left" w:pos="720"/>
          <w:tab w:val="left" w:pos="1080"/>
        </w:tabs>
        <w:autoSpaceDE w:val="0"/>
        <w:autoSpaceDN w:val="0"/>
        <w:adjustRightInd w:val="0"/>
        <w:spacing w:after="240" w:line="276" w:lineRule="auto"/>
      </w:pPr>
      <w:r w:rsidRPr="008F1608">
        <w:t>To utilize non-CDQ regulations, eligible entities must submit an "Application for Approval of Use of Non-CDQ Harvest Regulations." This allows NMFS to verify the formation of a voluntary cooperative. Further details are available in the authorizing regulations (</w:t>
      </w:r>
      <w:hyperlink r:id="rId12" w:history="1">
        <w:r w:rsidRPr="008F1608">
          <w:rPr>
            <w:rStyle w:val="Hyperlink"/>
          </w:rPr>
          <w:t>77 FR 6492; Fe</w:t>
        </w:r>
        <w:r w:rsidRPr="008F1608">
          <w:rPr>
            <w:rStyle w:val="Hyperlink"/>
          </w:rPr>
          <w:t>b</w:t>
        </w:r>
        <w:r w:rsidRPr="008F1608">
          <w:rPr>
            <w:rStyle w:val="Hyperlink"/>
          </w:rPr>
          <w:t>ruary 8, 2012</w:t>
        </w:r>
      </w:hyperlink>
      <w:r>
        <w:rPr>
          <w:rStyle w:val="FootnoteReference"/>
          <w:vertAlign w:val="superscript"/>
        </w:rPr>
        <w:footnoteReference w:id="7"/>
      </w:r>
      <w:r w:rsidRPr="008F1608">
        <w:t>).</w:t>
      </w:r>
    </w:p>
    <w:p w:rsidR="008F1608" w:rsidRPr="008F1608" w:rsidP="008F1608" w14:paraId="0D2F641B" w14:textId="77777777">
      <w:pPr>
        <w:widowControl/>
        <w:tabs>
          <w:tab w:val="left" w:pos="360"/>
          <w:tab w:val="left" w:pos="720"/>
          <w:tab w:val="left" w:pos="1080"/>
        </w:tabs>
        <w:autoSpaceDE w:val="0"/>
        <w:autoSpaceDN w:val="0"/>
        <w:adjustRightInd w:val="0"/>
        <w:spacing w:after="240" w:line="276" w:lineRule="auto"/>
      </w:pPr>
      <w:r w:rsidRPr="008F1608">
        <w:t>A CDQ group representative, an association representing CDQ groups, or a voluntary fishing cooperative may apply at any time. A complete application requires:</w:t>
      </w:r>
    </w:p>
    <w:p w:rsidR="008F1608" w:rsidRPr="008F1608" w:rsidP="008F1608" w14:paraId="6E201E72" w14:textId="77777777">
      <w:pPr>
        <w:widowControl/>
        <w:numPr>
          <w:ilvl w:val="0"/>
          <w:numId w:val="19"/>
        </w:numPr>
        <w:tabs>
          <w:tab w:val="left" w:pos="360"/>
          <w:tab w:val="left" w:pos="720"/>
          <w:tab w:val="left" w:pos="1080"/>
        </w:tabs>
        <w:autoSpaceDE w:val="0"/>
        <w:autoSpaceDN w:val="0"/>
        <w:adjustRightInd w:val="0"/>
        <w:spacing w:after="120"/>
      </w:pPr>
      <w:r w:rsidRPr="008F1608">
        <w:t>The official application form, including contact information for the cooperative and applicant.</w:t>
      </w:r>
    </w:p>
    <w:p w:rsidR="008F1608" w:rsidRPr="008F1608" w:rsidP="008F1608" w14:paraId="613CF5EC" w14:textId="77777777">
      <w:pPr>
        <w:widowControl/>
        <w:numPr>
          <w:ilvl w:val="0"/>
          <w:numId w:val="19"/>
        </w:numPr>
        <w:tabs>
          <w:tab w:val="left" w:pos="360"/>
          <w:tab w:val="left" w:pos="720"/>
          <w:tab w:val="left" w:pos="1080"/>
        </w:tabs>
        <w:autoSpaceDE w:val="0"/>
        <w:autoSpaceDN w:val="0"/>
        <w:adjustRightInd w:val="0"/>
        <w:spacing w:after="120"/>
      </w:pPr>
      <w:r w:rsidRPr="008F1608">
        <w:t>A copy of the cooperative contract or an affidavit.</w:t>
      </w:r>
    </w:p>
    <w:p w:rsidR="008F1608" w:rsidRPr="008F1608" w:rsidP="008F1608" w14:paraId="7AB337F9" w14:textId="77777777">
      <w:pPr>
        <w:widowControl/>
        <w:numPr>
          <w:ilvl w:val="0"/>
          <w:numId w:val="19"/>
        </w:numPr>
        <w:tabs>
          <w:tab w:val="left" w:pos="360"/>
          <w:tab w:val="left" w:pos="720"/>
          <w:tab w:val="left" w:pos="1080"/>
        </w:tabs>
        <w:autoSpaceDE w:val="0"/>
        <w:autoSpaceDN w:val="0"/>
        <w:adjustRightInd w:val="0"/>
        <w:spacing w:after="120"/>
      </w:pPr>
      <w:r w:rsidRPr="008F1608">
        <w:t>The name, FFP number, and LLP number for each participating vessel.</w:t>
      </w:r>
    </w:p>
    <w:p w:rsidR="008F1608" w:rsidRPr="008F1608" w:rsidP="008F1608" w14:paraId="4877321C" w14:textId="77777777">
      <w:pPr>
        <w:widowControl/>
        <w:numPr>
          <w:ilvl w:val="0"/>
          <w:numId w:val="19"/>
        </w:numPr>
        <w:tabs>
          <w:tab w:val="left" w:pos="360"/>
          <w:tab w:val="left" w:pos="720"/>
          <w:tab w:val="left" w:pos="1080"/>
        </w:tabs>
        <w:autoSpaceDE w:val="0"/>
        <w:autoSpaceDN w:val="0"/>
        <w:adjustRightInd w:val="0"/>
        <w:spacing w:after="120"/>
      </w:pPr>
      <w:r w:rsidRPr="008F1608">
        <w:t>The applicant’s signature.</w:t>
      </w:r>
    </w:p>
    <w:p w:rsidR="008F1608" w:rsidRPr="008F1608" w:rsidP="008F1608" w14:paraId="2AAC6C98" w14:textId="77777777">
      <w:pPr>
        <w:widowControl/>
        <w:tabs>
          <w:tab w:val="left" w:pos="360"/>
          <w:tab w:val="left" w:pos="720"/>
          <w:tab w:val="left" w:pos="1080"/>
        </w:tabs>
        <w:autoSpaceDE w:val="0"/>
        <w:autoSpaceDN w:val="0"/>
        <w:adjustRightInd w:val="0"/>
        <w:spacing w:after="240" w:line="276" w:lineRule="auto"/>
      </w:pPr>
      <w:r w:rsidRPr="008F1608">
        <w:t>NMFS approves applications meeting 50 CFR § 679.32(e) requirements, provided the listed vessels represent a majority of the sector and existing CDQ regulations are more restrictive than non-CDQ alternatives. If an application is deficient, NMFS will provide a written opportunity for correction. Failure to address discrepancies results in an Initial Administrative Determination (IAD) denial, which the applicant may then appeal.</w:t>
      </w:r>
    </w:p>
    <w:p w:rsidR="008F1608" w:rsidRPr="008F1608" w:rsidP="008F1608" w14:paraId="33CEBC8A" w14:textId="77777777">
      <w:pPr>
        <w:widowControl/>
        <w:tabs>
          <w:tab w:val="left" w:pos="360"/>
          <w:tab w:val="left" w:pos="720"/>
          <w:tab w:val="left" w:pos="1080"/>
        </w:tabs>
        <w:autoSpaceDE w:val="0"/>
        <w:autoSpaceDN w:val="0"/>
        <w:adjustRightInd w:val="0"/>
        <w:spacing w:after="240" w:line="276" w:lineRule="auto"/>
      </w:pPr>
      <w:r w:rsidRPr="008F1608">
        <w:t>Since mid-2012, vessels in the Freezer Longline Cooperative have operated under non-CDQ harvest regulations following the approval of an application submitted by CDQ group representatives that same year.</w:t>
      </w:r>
    </w:p>
    <w:p w:rsidR="00FD1A69" w:rsidRPr="00D20810" w:rsidP="00A83200" w14:paraId="6B806DF2" w14:textId="5D76B341">
      <w:pPr>
        <w:widowControl/>
        <w:tabs>
          <w:tab w:val="left" w:pos="360"/>
          <w:tab w:val="left" w:pos="720"/>
          <w:tab w:val="left" w:pos="1080"/>
        </w:tabs>
        <w:autoSpaceDE w:val="0"/>
        <w:autoSpaceDN w:val="0"/>
        <w:adjustRightInd w:val="0"/>
        <w:spacing w:after="240" w:line="276" w:lineRule="auto"/>
        <w:rPr>
          <w:b/>
        </w:rPr>
      </w:pPr>
      <w:r w:rsidRPr="00D20810">
        <w:rPr>
          <w:b/>
        </w:rPr>
        <w:t>A</w:t>
      </w:r>
      <w:r w:rsidRPr="00D20810">
        <w:rPr>
          <w:b/>
        </w:rPr>
        <w:t>ppeals</w:t>
      </w:r>
    </w:p>
    <w:p w:rsidR="008F1608" w:rsidRPr="008F1608" w:rsidP="008F1608" w14:paraId="5598B236" w14:textId="77777777">
      <w:pPr>
        <w:pStyle w:val="NormalWeb"/>
        <w:spacing w:before="0" w:beforeAutospacing="0" w:after="240" w:afterAutospacing="0"/>
      </w:pPr>
      <w:r w:rsidRPr="008F1608">
        <w:rPr>
          <w:color w:val="000000"/>
        </w:rPr>
        <w:t>The approval or disapproval of an Application for Approval of Use of Non-CDQ Harvest Regulations constitutes an administrative determination. If NMFS issues an initial administrative determination (IAD) to deny this application, it must provide an opportunity for an administrative appeal. Details regarding the right to appeal are found at 50 CFR 679.32(e).</w:t>
      </w:r>
    </w:p>
    <w:p w:rsidR="008F1608" w:rsidRPr="008F1608" w:rsidP="008F1608" w14:paraId="5DF9A69E" w14:textId="77777777">
      <w:pPr>
        <w:pStyle w:val="NormalWeb"/>
        <w:spacing w:before="0" w:beforeAutospacing="0" w:after="240" w:afterAutospacing="0"/>
      </w:pPr>
      <w:r w:rsidRPr="008F1608">
        <w:rPr>
          <w:color w:val="000000"/>
        </w:rPr>
        <w:t xml:space="preserve">The NOAA National Appeals Office (NAO) handles </w:t>
      </w:r>
      <w:r w:rsidRPr="008F1608">
        <w:rPr>
          <w:color w:val="000000"/>
        </w:rPr>
        <w:t>appeals</w:t>
      </w:r>
      <w:r w:rsidRPr="008F1608">
        <w:rPr>
          <w:color w:val="000000"/>
        </w:rPr>
        <w:t xml:space="preserve"> of any NOAA IAD. Appellants must submit all necessary information to ensure the NAO can fully consider the appeal.</w:t>
      </w:r>
    </w:p>
    <w:p w:rsidR="008F1608" w:rsidRPr="008F1608" w:rsidP="008F1608" w14:paraId="4D79F5E8" w14:textId="77777777">
      <w:pPr>
        <w:pStyle w:val="NormalWeb"/>
        <w:spacing w:before="0" w:beforeAutospacing="0" w:after="240" w:afterAutospacing="0"/>
      </w:pPr>
      <w:r w:rsidRPr="008F1608">
        <w:rPr>
          <w:color w:val="000000"/>
        </w:rPr>
        <w:t xml:space="preserve">Filing instructions for administrative appeals are located at 50 CFR 906 and on the NAO website at </w:t>
      </w:r>
      <w:hyperlink r:id="rId13" w:history="1">
        <w:r w:rsidRPr="008F1608">
          <w:rPr>
            <w:rStyle w:val="Hyperlink"/>
          </w:rPr>
          <w:t>https://www.fisheries.noaa.gov/national/rules-and-regulations/appeals</w:t>
        </w:r>
      </w:hyperlink>
      <w:r w:rsidRPr="008F1608">
        <w:rPr>
          <w:color w:val="000000"/>
        </w:rPr>
        <w:t>. Regulations require that appeals be submitted via facsimile; however, individuals without fax access may file by regular mail or commercial carrier.</w:t>
      </w:r>
    </w:p>
    <w:p w:rsidR="004E123E" w:rsidP="00A83200" w14:paraId="2C6C892D"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F5BCA" w:rsidRPr="009F5BCA" w:rsidP="009F5BCA" w14:paraId="5E381021" w14:textId="77777777">
      <w:pPr>
        <w:pStyle w:val="Heading3"/>
        <w:spacing w:before="0" w:after="120"/>
        <w:rPr>
          <w:sz w:val="24"/>
          <w:szCs w:val="24"/>
          <w:u w:val="single"/>
        </w:rPr>
      </w:pPr>
      <w:r w:rsidRPr="009F5BCA">
        <w:rPr>
          <w:b w:val="0"/>
          <w:bCs/>
          <w:color w:val="434343"/>
          <w:sz w:val="24"/>
          <w:szCs w:val="24"/>
          <w:u w:val="single"/>
        </w:rPr>
        <w:t xml:space="preserve">Online Submission via </w:t>
      </w:r>
      <w:r w:rsidRPr="009F5BCA">
        <w:rPr>
          <w:b w:val="0"/>
          <w:bCs/>
          <w:color w:val="434343"/>
          <w:sz w:val="24"/>
          <w:szCs w:val="24"/>
          <w:u w:val="single"/>
        </w:rPr>
        <w:t>eFISH</w:t>
      </w:r>
    </w:p>
    <w:p w:rsidR="009F5BCA" w:rsidRPr="009F5BCA" w:rsidP="009F5BCA" w14:paraId="27CFB3BB" w14:textId="77777777">
      <w:pPr>
        <w:pStyle w:val="NormalWeb"/>
        <w:spacing w:before="0" w:beforeAutospacing="0" w:after="120" w:afterAutospacing="0"/>
      </w:pPr>
      <w:r w:rsidRPr="009F5BCA">
        <w:rPr>
          <w:color w:val="000000"/>
        </w:rPr>
        <w:t xml:space="preserve">The CDQ Vessel Registration System and the Groundfish/Halibut CDQ and Prohibited Species Quota (PSQ) Transfer Request can be submitted online through </w:t>
      </w:r>
      <w:hyperlink r:id="rId14" w:history="1">
        <w:r w:rsidRPr="009F5BCA">
          <w:rPr>
            <w:rStyle w:val="Hyperlink"/>
            <w:color w:val="1155CC"/>
          </w:rPr>
          <w:t>eFISH</w:t>
        </w:r>
      </w:hyperlink>
      <w:r w:rsidRPr="009F5BCA">
        <w:rPr>
          <w:color w:val="000000"/>
        </w:rPr>
        <w:t xml:space="preserve">. Beyond applications, </w:t>
      </w:r>
      <w:r w:rsidRPr="009F5BCA">
        <w:rPr>
          <w:color w:val="000000"/>
        </w:rPr>
        <w:t>eFISH</w:t>
      </w:r>
      <w:r w:rsidRPr="009F5BCA">
        <w:rPr>
          <w:color w:val="000000"/>
        </w:rPr>
        <w:t xml:space="preserve"> provides participants with 24/7 access to NMFS permit accounts to check balances (account, vessel, and GAF), view landing reports, manage quota holdings, and renew specific permits.</w:t>
      </w:r>
    </w:p>
    <w:p w:rsidR="009F5BCA" w:rsidRPr="009F5BCA" w:rsidP="009F5BCA" w14:paraId="662EDC6E" w14:textId="77777777">
      <w:pPr>
        <w:pStyle w:val="Heading3"/>
        <w:spacing w:before="0" w:after="120"/>
        <w:rPr>
          <w:sz w:val="24"/>
          <w:szCs w:val="24"/>
          <w:u w:val="single"/>
        </w:rPr>
      </w:pPr>
      <w:r w:rsidRPr="009F5BCA">
        <w:rPr>
          <w:b w:val="0"/>
          <w:bCs/>
          <w:color w:val="434343"/>
          <w:sz w:val="24"/>
          <w:szCs w:val="24"/>
          <w:u w:val="single"/>
        </w:rPr>
        <w:t>Paper-Based Submissions</w:t>
      </w:r>
    </w:p>
    <w:p w:rsidR="009F5BCA" w:rsidRPr="009F5BCA" w:rsidP="009F5BCA" w14:paraId="2ECB5D73" w14:textId="545BCEC6">
      <w:pPr>
        <w:pStyle w:val="NormalWeb"/>
        <w:spacing w:before="0" w:beforeAutospacing="0" w:after="120" w:afterAutospacing="0"/>
      </w:pPr>
      <w:r w:rsidRPr="009F5BCA">
        <w:rPr>
          <w:color w:val="000000"/>
        </w:rPr>
        <w:t xml:space="preserve">The Groundfish/Halibut CDQ/PSQ Transfer Request and the Application for Approval of Use of Non-CDQ Harvest Regulations are available as fillable PDFs on the </w:t>
      </w:r>
      <w:hyperlink r:id="rId15" w:history="1">
        <w:r w:rsidRPr="009F5BCA">
          <w:rPr>
            <w:rStyle w:val="Hyperlink"/>
            <w:color w:val="1155CC"/>
          </w:rPr>
          <w:t xml:space="preserve">NMFS </w:t>
        </w:r>
        <w:r w:rsidRPr="009F5BCA">
          <w:rPr>
            <w:rStyle w:val="Hyperlink"/>
            <w:color w:val="1155CC"/>
          </w:rPr>
          <w:t>A</w:t>
        </w:r>
        <w:r w:rsidRPr="009F5BCA">
          <w:rPr>
            <w:rStyle w:val="Hyperlink"/>
            <w:color w:val="1155CC"/>
          </w:rPr>
          <w:t>laska Region website</w:t>
        </w:r>
      </w:hyperlink>
      <w:r>
        <w:rPr>
          <w:rStyle w:val="FootnoteReference"/>
          <w:vertAlign w:val="superscript"/>
        </w:rPr>
        <w:footnoteReference w:id="8"/>
      </w:r>
      <w:r w:rsidRPr="009F5BCA">
        <w:rPr>
          <w:color w:val="000000"/>
        </w:rPr>
        <w:t>. These forms may be submitted by mail or fax. Note that the Application for Approval of Use of Non-CDQ Harvest Regulations cannot currently be submitted via email, as it often requires supplemental documentation and written explanations.</w:t>
      </w:r>
    </w:p>
    <w:p w:rsidR="009F5BCA" w:rsidRPr="009F5BCA" w:rsidP="009F5BCA" w14:paraId="4ACCD76C" w14:textId="77777777">
      <w:pPr>
        <w:pStyle w:val="Heading3"/>
        <w:spacing w:before="0" w:after="120"/>
        <w:rPr>
          <w:sz w:val="24"/>
          <w:szCs w:val="24"/>
          <w:u w:val="single"/>
        </w:rPr>
      </w:pPr>
      <w:r w:rsidRPr="009F5BCA">
        <w:rPr>
          <w:b w:val="0"/>
          <w:bCs/>
          <w:color w:val="434343"/>
          <w:sz w:val="24"/>
          <w:szCs w:val="24"/>
          <w:u w:val="single"/>
        </w:rPr>
        <w:t>Administrative Appeals</w:t>
      </w:r>
    </w:p>
    <w:p w:rsidR="009F5BCA" w:rsidRPr="009F5BCA" w:rsidP="009F5BCA" w14:paraId="2F71317D" w14:textId="77777777">
      <w:pPr>
        <w:pStyle w:val="NormalWeb"/>
        <w:spacing w:before="0" w:beforeAutospacing="0" w:after="120" w:afterAutospacing="0"/>
      </w:pPr>
      <w:r w:rsidRPr="009F5BCA">
        <w:rPr>
          <w:color w:val="000000"/>
        </w:rPr>
        <w:t>To maintain the required legal record, the National Appeals Office requires all administrative appeal documents to be submitted via fax, mail, or hand delivery.</w:t>
      </w:r>
    </w:p>
    <w:p w:rsidR="009F5BCA" w:rsidRPr="009F5BCA" w:rsidP="009F5BCA" w14:paraId="2484476D" w14:textId="77777777">
      <w:pPr>
        <w:pStyle w:val="Heading3"/>
        <w:spacing w:before="0" w:after="120"/>
        <w:rPr>
          <w:sz w:val="24"/>
          <w:szCs w:val="24"/>
          <w:u w:val="single"/>
        </w:rPr>
      </w:pPr>
      <w:r w:rsidRPr="009F5BCA">
        <w:rPr>
          <w:b w:val="0"/>
          <w:bCs/>
          <w:color w:val="434343"/>
          <w:sz w:val="24"/>
          <w:szCs w:val="24"/>
          <w:u w:val="single"/>
        </w:rPr>
        <w:t>Future Enhancements</w:t>
      </w:r>
    </w:p>
    <w:p w:rsidR="009F5BCA" w:rsidRPr="009F5BCA" w:rsidP="009F5BCA" w14:paraId="01B4F13A" w14:textId="77777777">
      <w:pPr>
        <w:pStyle w:val="NormalWeb"/>
        <w:spacing w:before="0" w:beforeAutospacing="0" w:after="120" w:afterAutospacing="0"/>
      </w:pPr>
      <w:r w:rsidRPr="009F5BCA">
        <w:rPr>
          <w:color w:val="000000"/>
        </w:rPr>
        <w:t>NMFS Alaska Region is developing a new integrated system to replace the current data entry platform. Once launched, this system will transition remaining paper-based applications to a fully electronic submission and processing workflow.</w:t>
      </w:r>
    </w:p>
    <w:p w:rsidR="009C01ED" w:rsidRPr="00D75281" w:rsidP="00A83200" w14:paraId="791C801A" w14:textId="77777777">
      <w:pPr>
        <w:widowControl/>
        <w:spacing w:after="240" w:line="276" w:lineRule="auto"/>
      </w:pPr>
    </w:p>
    <w:p w:rsidR="004E123E" w:rsidP="009C01ED" w14:paraId="36B0C3B7" w14:textId="77777777">
      <w:pPr>
        <w:keepNext/>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Describe efforts to identify duplication. Show specifically why any similar information already available cannot be used or modified for use for the purposes described in Question 2</w:t>
      </w:r>
    </w:p>
    <w:p w:rsidR="00960C61" w:rsidP="009C01ED" w14:paraId="2D912E5A" w14:textId="77777777">
      <w:pPr>
        <w:keepNext/>
        <w:widowControl/>
        <w:autoSpaceDE w:val="0"/>
        <w:autoSpaceDN w:val="0"/>
        <w:adjustRightInd w:val="0"/>
        <w:spacing w:after="240" w:line="276" w:lineRule="auto"/>
      </w:pPr>
      <w:r w:rsidRPr="00D20810">
        <w:t xml:space="preserve">NMFS has </w:t>
      </w:r>
      <w:r w:rsidRPr="00D20810">
        <w:t>reviewed this information collection and identified no duplication with other information collections.</w:t>
      </w:r>
    </w:p>
    <w:p w:rsidR="00960C61" w:rsidRPr="00D20810" w:rsidP="00A83200" w14:paraId="34EF0ED1" w14:textId="3A2B6367">
      <w:pPr>
        <w:widowControl/>
        <w:autoSpaceDE w:val="0"/>
        <w:autoSpaceDN w:val="0"/>
        <w:adjustRightInd w:val="0"/>
        <w:spacing w:after="240" w:line="276" w:lineRule="auto"/>
      </w:pPr>
      <w:r w:rsidRPr="00771733">
        <w:t>In general, Alaska Region information collections are prepared and reviewed by staff familiar with all of the information collection requirements for the region. Staff work together to develop information collection requirements for new programs. In addition, NMFS staff work closely with the staff of the Alaska Department of Fish and Game and the International Pacific Halibut Commission to reduce duplication in information collection requirements to the extent possible given overlapping jurisdictions and co</w:t>
      </w:r>
      <w:r w:rsidRPr="00771733">
        <w:t>mplex fisheries. Senior staff at the Alaska Region, NMFS headquarters, and the Department of Commerce General Counsel review all new and revised information collection requirements that are associated with rulemakings. This process minimizes the potential for duplication of information collection requirements for participants in the Federal fisheries off Alaska.</w:t>
      </w:r>
    </w:p>
    <w:p w:rsidR="00960C61" w:rsidP="00A83200" w14:paraId="345F00A1"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 xml:space="preserve">If the collection of information </w:t>
      </w:r>
      <w:r>
        <w:rPr>
          <w:b/>
          <w:color w:val="000000"/>
        </w:rPr>
        <w:t>impacts small businesses or other small entities, describe any methods used to minimize burden.</w:t>
      </w:r>
    </w:p>
    <w:p w:rsidR="00960C61" w:rsidRPr="00960C61" w:rsidP="00A83200" w14:paraId="1010FC31" w14:textId="73286654">
      <w:pPr>
        <w:pBdr>
          <w:top w:val="nil"/>
          <w:left w:val="nil"/>
          <w:bottom w:val="nil"/>
          <w:right w:val="nil"/>
          <w:between w:val="nil"/>
        </w:pBdr>
        <w:tabs>
          <w:tab w:val="left" w:pos="360"/>
        </w:tabs>
        <w:spacing w:after="240" w:line="276" w:lineRule="auto"/>
        <w:rPr>
          <w:b/>
          <w:color w:val="000000"/>
        </w:rPr>
      </w:pPr>
      <w:r w:rsidRPr="00D20810">
        <w:t xml:space="preserve">The CDQ groups are considered small entities under the Regulatory Flexibility Act because they are non-profit corporations. In most cases, </w:t>
      </w:r>
      <w:r w:rsidRPr="00D20810" w:rsidR="00032AC8">
        <w:t>using</w:t>
      </w:r>
      <w:r w:rsidRPr="00D20810">
        <w:t xml:space="preserve"> the online application eFISH to submit applications and requests is the preferred and most </w:t>
      </w:r>
      <w:r w:rsidRPr="00D20810" w:rsidR="003E542E">
        <w:t>cost-effective</w:t>
      </w:r>
      <w:r w:rsidRPr="00D20810">
        <w:t xml:space="preserve"> method for the CDQ groups to submit information to NMFS. Allowing the back-up method of submitting a form by fax or mail provides options in the case of internet outages or other operational difficulties.</w:t>
      </w:r>
    </w:p>
    <w:p w:rsidR="004E123E" w:rsidP="00A83200" w14:paraId="273C6569"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Describe the consequence to Federal program or policy activities if the collection is not conducted or is conducted less frequently, as well as any technical or legal obstacles to reducing burden.</w:t>
      </w:r>
    </w:p>
    <w:p w:rsidR="009F5BCA" w:rsidRPr="009F5BCA" w:rsidP="009F5BCA" w14:paraId="45645C0D" w14:textId="77777777">
      <w:pPr>
        <w:pStyle w:val="Heading2"/>
        <w:spacing w:before="0" w:after="240"/>
        <w:rPr>
          <w:sz w:val="24"/>
          <w:szCs w:val="24"/>
        </w:rPr>
      </w:pPr>
      <w:r w:rsidRPr="009F5BCA">
        <w:rPr>
          <w:b w:val="0"/>
          <w:bCs/>
          <w:color w:val="000000"/>
          <w:sz w:val="24"/>
          <w:szCs w:val="24"/>
        </w:rPr>
        <w:t>NMFS established most components of this collection at the request of the Council and Community Development Quota (CDQ) groups. While these components are used infrequently, they are necessary for CDQ groups to invoke specific regulatory provisions. Although there are no fixed deadlines, groups must submit the required documentation whenever they seek to apply for program benefits or initiate CDQ or Prohibited Species Quota (PSQ) transfers.</w:t>
      </w:r>
    </w:p>
    <w:p w:rsidR="009F5BCA" w:rsidRPr="009F5BCA" w:rsidP="009F5BCA" w14:paraId="362C3929" w14:textId="77777777">
      <w:pPr>
        <w:pStyle w:val="Heading2"/>
        <w:spacing w:before="0" w:after="240"/>
        <w:rPr>
          <w:sz w:val="24"/>
          <w:szCs w:val="24"/>
        </w:rPr>
      </w:pPr>
      <w:r w:rsidRPr="009F5BCA">
        <w:rPr>
          <w:b w:val="0"/>
          <w:bCs/>
          <w:color w:val="000000"/>
          <w:sz w:val="24"/>
          <w:szCs w:val="24"/>
        </w:rPr>
        <w:t>Without this information collection, NMFS would lack a reliable mechanism to gather the data needed to evaluate quota transfers or requests for specific program components.</w:t>
      </w:r>
    </w:p>
    <w:p w:rsidR="00F50E10" w:rsidP="00A83200" w14:paraId="1CBEE03B"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Explain any special circumstances that would cause an information collection to be conducted in a manner inconsistent with OMB guidelines.</w:t>
      </w:r>
    </w:p>
    <w:p w:rsidR="00F50E10" w:rsidP="00A83200" w14:paraId="13DC302E" w14:textId="61ACFF70">
      <w:pPr>
        <w:pBdr>
          <w:top w:val="nil"/>
          <w:left w:val="nil"/>
          <w:bottom w:val="nil"/>
          <w:right w:val="nil"/>
          <w:between w:val="nil"/>
        </w:pBdr>
        <w:tabs>
          <w:tab w:val="left" w:pos="360"/>
        </w:tabs>
        <w:spacing w:after="240" w:line="276" w:lineRule="auto"/>
        <w:rPr>
          <w:color w:val="000000"/>
        </w:rPr>
      </w:pPr>
      <w:r w:rsidRPr="00F50E10">
        <w:rPr>
          <w:color w:val="000000"/>
        </w:rPr>
        <w:t>Except for the groundfish and PSC transfer requests that occur as frequently as CDQ groups wish to transfer groundfish or PSC, this collection does not require respondents to report information to the agency more often than quarterly.</w:t>
      </w:r>
    </w:p>
    <w:p w:rsidR="00BF1A07" w:rsidRPr="00F50E10" w:rsidP="00A83200" w14:paraId="53886C87" w14:textId="17BCFAC1">
      <w:pPr>
        <w:pBdr>
          <w:top w:val="nil"/>
          <w:left w:val="nil"/>
          <w:bottom w:val="nil"/>
          <w:right w:val="nil"/>
          <w:between w:val="nil"/>
        </w:pBdr>
        <w:tabs>
          <w:tab w:val="left" w:pos="360"/>
        </w:tabs>
        <w:spacing w:after="240" w:line="276" w:lineRule="auto"/>
        <w:rPr>
          <w:b/>
          <w:color w:val="000000"/>
        </w:rPr>
      </w:pPr>
      <w:r>
        <w:rPr>
          <w:color w:val="000000"/>
        </w:rPr>
        <w:t>This collection will be conducted in a manner consistent with all other OMB guidelines.</w:t>
      </w:r>
    </w:p>
    <w:p w:rsidR="004E123E" w:rsidP="00A83200" w14:paraId="108B99BD"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BF1A07" w:rsidP="00A83200" w14:paraId="572028BD" w14:textId="4558B0F2">
      <w:pPr>
        <w:widowControl/>
        <w:pBdr>
          <w:top w:val="nil"/>
          <w:left w:val="nil"/>
          <w:bottom w:val="nil"/>
          <w:right w:val="nil"/>
          <w:between w:val="nil"/>
        </w:pBdr>
        <w:spacing w:after="240" w:line="276" w:lineRule="auto"/>
      </w:pPr>
      <w:r w:rsidRPr="00F41C50">
        <w:t xml:space="preserve">A </w:t>
      </w:r>
      <w:r w:rsidRPr="00055CF9">
        <w:rPr>
          <w:i/>
        </w:rPr>
        <w:t xml:space="preserve">Federal </w:t>
      </w:r>
      <w:r w:rsidRPr="00055CF9">
        <w:rPr>
          <w:i/>
        </w:rPr>
        <w:t>Register</w:t>
      </w:r>
      <w:r w:rsidRPr="00F41C50">
        <w:t xml:space="preserve"> Notice published on </w:t>
      </w:r>
      <w:r>
        <w:t>March 16, 2026</w:t>
      </w:r>
      <w:r w:rsidRPr="00F41C50">
        <w:t xml:space="preserve"> (</w:t>
      </w:r>
      <w:hyperlink r:id="rId16" w:history="1">
        <w:r w:rsidRPr="00055CF9">
          <w:rPr>
            <w:rStyle w:val="Hyperlink"/>
          </w:rPr>
          <w:t xml:space="preserve">91 </w:t>
        </w:r>
        <w:r w:rsidRPr="00055CF9">
          <w:rPr>
            <w:rStyle w:val="Hyperlink"/>
          </w:rPr>
          <w:t>F</w:t>
        </w:r>
        <w:r w:rsidRPr="00055CF9">
          <w:rPr>
            <w:rStyle w:val="Hyperlink"/>
          </w:rPr>
          <w:t>R 12584</w:t>
        </w:r>
      </w:hyperlink>
      <w:r>
        <w:rPr>
          <w:rStyle w:val="FootnoteReference"/>
          <w:vertAlign w:val="superscript"/>
        </w:rPr>
        <w:footnoteReference w:id="9"/>
      </w:r>
      <w:r w:rsidRPr="0000311C">
        <w:t>)</w:t>
      </w:r>
      <w:r>
        <w:t>,</w:t>
      </w:r>
      <w:r w:rsidRPr="0000311C">
        <w:t xml:space="preserve"> that solicited public comments. </w:t>
      </w:r>
      <w:r>
        <w:t>No comments were received.</w:t>
      </w:r>
    </w:p>
    <w:p w:rsidR="00055CF9" w:rsidRPr="00996A24" w:rsidP="00A83200" w14:paraId="4248A40B" w14:textId="666E5A29">
      <w:pPr>
        <w:widowControl/>
        <w:pBdr>
          <w:top w:val="nil"/>
          <w:left w:val="nil"/>
          <w:bottom w:val="nil"/>
          <w:right w:val="nil"/>
          <w:between w:val="nil"/>
        </w:pBdr>
        <w:spacing w:after="240" w:line="276" w:lineRule="auto"/>
      </w:pPr>
      <w:r w:rsidRPr="0000311C">
        <w:t xml:space="preserve">In addition to the </w:t>
      </w:r>
      <w:r w:rsidRPr="00055CF9">
        <w:rPr>
          <w:i/>
        </w:rPr>
        <w:t>Federal Register</w:t>
      </w:r>
      <w:r w:rsidRPr="00044872">
        <w:t xml:space="preserve"> notice,</w:t>
      </w:r>
      <w:r>
        <w:t xml:space="preserve"> NMFS </w:t>
      </w:r>
      <w:r w:rsidRPr="000F5B74">
        <w:t>contacted</w:t>
      </w:r>
      <w:r>
        <w:t xml:space="preserve"> </w:t>
      </w:r>
      <w:r w:rsidR="004D4523">
        <w:t>seven</w:t>
      </w:r>
      <w:r w:rsidRPr="00B701D5">
        <w:t xml:space="preserve"> </w:t>
      </w:r>
      <w:r w:rsidRPr="00BE4DC4">
        <w:t>stakeholders to obtain their views</w:t>
      </w:r>
      <w:r w:rsidRPr="00044872">
        <w:t xml:space="preserve"> </w:t>
      </w:r>
      <w:r w:rsidRPr="00055CF9">
        <w:t xml:space="preserve">on the need for and practical utility of the data collected, the accuracy of the burden and frequency of collection, suggestions to minimize the burden, and ways to improve the clarity of instructions and forms. </w:t>
      </w:r>
      <w:r w:rsidRPr="00637B2B">
        <w:t>No comments were received</w:t>
      </w:r>
      <w:r w:rsidRPr="001A6F8A">
        <w:t xml:space="preserve"> from the stakeholders</w:t>
      </w:r>
      <w:r w:rsidRPr="001A6F8A">
        <w:t>.</w:t>
      </w:r>
    </w:p>
    <w:p w:rsidR="00B701D5" w:rsidP="00A83200" w14:paraId="7082EB8A"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Explain any decision to provide any payment or gift to respondents, other than remuneration of contractors or grantees.</w:t>
      </w:r>
    </w:p>
    <w:p w:rsidR="00B701D5" w:rsidRPr="00B701D5" w:rsidP="00A83200" w14:paraId="4071677D" w14:textId="4F8ADDF1">
      <w:pPr>
        <w:pBdr>
          <w:top w:val="nil"/>
          <w:left w:val="nil"/>
          <w:bottom w:val="nil"/>
          <w:right w:val="nil"/>
          <w:between w:val="nil"/>
        </w:pBdr>
        <w:tabs>
          <w:tab w:val="left" w:pos="360"/>
        </w:tabs>
        <w:spacing w:after="240" w:line="276" w:lineRule="auto"/>
        <w:rPr>
          <w:b/>
          <w:color w:val="000000"/>
        </w:rPr>
      </w:pPr>
      <w:r w:rsidRPr="00256F76">
        <w:t>No payment or gift will be provided under this program.</w:t>
      </w:r>
    </w:p>
    <w:p w:rsidR="004E123E" w:rsidP="00A83200" w14:paraId="7346D966"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BF1A07" w:rsidRPr="00B20A7F" w:rsidP="00BF1A07" w14:paraId="05D4486F" w14:textId="77777777">
      <w:pPr>
        <w:pStyle w:val="ListParagraph"/>
        <w:ind w:left="0" w:firstLine="0"/>
      </w:pPr>
      <w:r w:rsidRPr="00B20A7F">
        <w:t>All information collections by NMFS, Alaska Region, are protected under confidentiality provisions of section 402(b) of the Magnuson-Stevens Act as amended in 2006 (16 U.S.C. 1801, et seq.) and under</w:t>
      </w:r>
      <w:hyperlink r:id="rId17" w:history="1">
        <w:r w:rsidRPr="00B20A7F">
          <w:rPr>
            <w:rStyle w:val="Hyperlink"/>
          </w:rPr>
          <w:t xml:space="preserve"> </w:t>
        </w:r>
        <w:r w:rsidRPr="00B20A7F">
          <w:rPr>
            <w:rStyle w:val="Hyperlink"/>
          </w:rPr>
          <w:t xml:space="preserve">NOAA </w:t>
        </w:r>
        <w:r w:rsidRPr="00B20A7F">
          <w:rPr>
            <w:rStyle w:val="Hyperlink"/>
          </w:rPr>
          <w:t>A</w:t>
        </w:r>
        <w:r w:rsidRPr="00B20A7F">
          <w:rPr>
            <w:rStyle w:val="Hyperlink"/>
          </w:rPr>
          <w:t>dministrative Order 216-100</w:t>
        </w:r>
      </w:hyperlink>
      <w:r>
        <w:rPr>
          <w:vertAlign w:val="superscript"/>
        </w:rPr>
        <w:footnoteReference w:id="10"/>
      </w:r>
      <w:r w:rsidRPr="00B20A7F">
        <w:t>, which sets forth procedures to protect confidentiality of fishery statistics.</w:t>
      </w:r>
    </w:p>
    <w:p w:rsidR="00BF1A07" w:rsidRPr="00B20A7F" w:rsidP="00BF1A07" w14:paraId="3BEB7123" w14:textId="77777777">
      <w:pPr>
        <w:pStyle w:val="ListParagraph"/>
        <w:ind w:left="0" w:firstLine="0"/>
      </w:pPr>
      <w:r w:rsidRPr="00B20A7F">
        <w:t xml:space="preserve">The System of Records Notice that covers this information collection is </w:t>
      </w:r>
      <w:hyperlink r:id="rId18" w:history="1">
        <w:r w:rsidRPr="00B20A7F">
          <w:rPr>
            <w:rStyle w:val="Hyperlink"/>
          </w:rPr>
          <w:t>COMMERCE/NOAA-19, Permits an</w:t>
        </w:r>
        <w:r w:rsidRPr="00B20A7F">
          <w:rPr>
            <w:rStyle w:val="Hyperlink"/>
          </w:rPr>
          <w:t>d</w:t>
        </w:r>
        <w:r w:rsidRPr="00B20A7F">
          <w:rPr>
            <w:rStyle w:val="Hyperlink"/>
          </w:rPr>
          <w:t xml:space="preserve"> Registrations for United States Federally Regulated Fisheries</w:t>
        </w:r>
      </w:hyperlink>
      <w:r>
        <w:rPr>
          <w:vertAlign w:val="superscript"/>
        </w:rPr>
        <w:footnoteReference w:id="11"/>
      </w:r>
      <w:r w:rsidRPr="00B20A7F">
        <w:t xml:space="preserve">. </w:t>
      </w:r>
    </w:p>
    <w:p w:rsidR="00BF1A07" w:rsidRPr="00BF1A07" w:rsidP="00BF1A07" w14:paraId="52602900" w14:textId="77777777">
      <w:pPr>
        <w:pStyle w:val="ListParagraph"/>
        <w:ind w:left="0" w:firstLine="0"/>
        <w:rPr>
          <w:rFonts w:eastAsia="Arial"/>
        </w:rPr>
      </w:pPr>
      <w:r w:rsidRPr="00BF1A07">
        <w:rPr>
          <w:rFonts w:eastAsia="Arial"/>
        </w:rPr>
        <w:t xml:space="preserve">The Privacy Impact Assessment that covers this information collection is </w:t>
      </w:r>
      <w:hyperlink r:id="rId19" w:history="1">
        <w:r w:rsidRPr="00BF1A07">
          <w:rPr>
            <w:rStyle w:val="Hyperlink"/>
            <w:rFonts w:eastAsia="Arial"/>
          </w:rPr>
          <w:t xml:space="preserve">NOAA NMFS Alaska Region Local </w:t>
        </w:r>
        <w:r w:rsidRPr="00BF1A07">
          <w:rPr>
            <w:rStyle w:val="Hyperlink"/>
            <w:rFonts w:eastAsia="Arial"/>
          </w:rPr>
          <w:t>A</w:t>
        </w:r>
        <w:r w:rsidRPr="00BF1A07">
          <w:rPr>
            <w:rStyle w:val="Hyperlink"/>
            <w:rFonts w:eastAsia="Arial"/>
          </w:rPr>
          <w:t>rea Network (NOAA4700)</w:t>
        </w:r>
      </w:hyperlink>
      <w:r>
        <w:rPr>
          <w:rFonts w:eastAsia="Arial"/>
          <w:vertAlign w:val="superscript"/>
        </w:rPr>
        <w:footnoteReference w:id="12"/>
      </w:r>
      <w:r w:rsidRPr="00BF1A07">
        <w:rPr>
          <w:rFonts w:eastAsia="Arial"/>
        </w:rPr>
        <w:t>.</w:t>
      </w:r>
    </w:p>
    <w:p w:rsidR="00E56BF1" w:rsidRPr="00996A24" w:rsidP="00A83200" w14:paraId="78B67DD8" w14:textId="77777777">
      <w:pPr>
        <w:keepNext/>
        <w:widowControl/>
        <w:spacing w:after="240" w:line="276" w:lineRule="auto"/>
      </w:pPr>
    </w:p>
    <w:p w:rsidR="00012C3F" w:rsidP="00A83200" w14:paraId="22E3BE14"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 xml:space="preserve">Provide additional justification for any questions of a </w:t>
      </w:r>
      <w:r>
        <w:rPr>
          <w:b/>
          <w:color w:val="000000"/>
        </w:rPr>
        <w:t>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12C3F" w:rsidRPr="00012C3F" w:rsidP="00A83200" w14:paraId="6D283754" w14:textId="3CE47185">
      <w:pPr>
        <w:pBdr>
          <w:top w:val="nil"/>
          <w:left w:val="nil"/>
          <w:bottom w:val="nil"/>
          <w:right w:val="nil"/>
          <w:between w:val="nil"/>
        </w:pBdr>
        <w:tabs>
          <w:tab w:val="left" w:pos="360"/>
        </w:tabs>
        <w:spacing w:after="240" w:line="276" w:lineRule="auto"/>
        <w:rPr>
          <w:b/>
          <w:color w:val="000000"/>
        </w:rPr>
      </w:pPr>
      <w:r w:rsidRPr="00147F3F">
        <w:t>This collection of information does not include questions of a sensitive nature.</w:t>
      </w:r>
    </w:p>
    <w:p w:rsidR="004E123E" w:rsidP="00A83200" w14:paraId="2D415921" w14:textId="77777777">
      <w:pPr>
        <w:spacing w:after="240" w:line="276" w:lineRule="auto"/>
        <w:rPr>
          <w:color w:val="2F5496"/>
        </w:rPr>
        <w:sectPr w:rsidSect="008B412C">
          <w:footerReference w:type="default" r:id="rId20"/>
          <w:pgSz w:w="12240" w:h="15840"/>
          <w:pgMar w:top="990" w:right="1080" w:bottom="1200" w:left="1080" w:header="0" w:footer="714" w:gutter="0"/>
          <w:pgNumType w:start="1"/>
          <w:cols w:space="720"/>
        </w:sectPr>
      </w:pPr>
    </w:p>
    <w:p w:rsidR="004E123E" w:rsidP="00A83200" w14:paraId="3F051F7B" w14:textId="77777777">
      <w:pPr>
        <w:spacing w:after="240" w:line="276" w:lineRule="auto"/>
        <w:rPr>
          <w:color w:val="2F5496"/>
        </w:rPr>
      </w:pPr>
    </w:p>
    <w:p w:rsidR="004E123E" w:rsidP="00A83200" w14:paraId="42957904" w14:textId="3F598324">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Provide estimates of the hour burden of the collection of information.</w:t>
      </w:r>
    </w:p>
    <w:p w:rsidR="004E123E" w:rsidRPr="009C0C91" w:rsidP="009C0C91" w14:paraId="5DD925F2" w14:textId="47E5A191">
      <w:pPr>
        <w:widowControl/>
        <w:spacing w:after="240" w:line="276" w:lineRule="auto"/>
      </w:pPr>
      <w:r>
        <w:t>The rate $</w:t>
      </w:r>
      <w:r w:rsidR="00FB7A63">
        <w:t>63.36</w:t>
      </w:r>
      <w:r>
        <w:t xml:space="preserve"> is the</w:t>
      </w:r>
      <w:r w:rsidRPr="00E97D42">
        <w:t xml:space="preserve"> U. S. Bureau of Labor Statistics</w:t>
      </w:r>
      <w:r>
        <w:t xml:space="preserve"> (BLS) mean </w:t>
      </w:r>
      <w:r w:rsidRPr="004C13EA">
        <w:t>hour</w:t>
      </w:r>
      <w:r>
        <w:t>ly</w:t>
      </w:r>
      <w:r w:rsidRPr="004C13EA">
        <w:t xml:space="preserve"> </w:t>
      </w:r>
      <w:r w:rsidRPr="005057D4">
        <w:t xml:space="preserve">wage for </w:t>
      </w:r>
      <w:r w:rsidRPr="005057D4">
        <w:rPr>
          <w:rStyle w:val="CommentReference"/>
          <w:sz w:val="24"/>
          <w:szCs w:val="24"/>
        </w:rPr>
        <w:t xml:space="preserve">Occupation Code 11-9121 (Natural Sciences Managers; </w:t>
      </w:r>
      <w:hyperlink r:id="rId21" w:history="1">
        <w:r w:rsidRPr="005057D4">
          <w:rPr>
            <w:rStyle w:val="Hyperlink"/>
          </w:rPr>
          <w:t>https://www.bls.gov/oes/current/oes_ak.htm</w:t>
        </w:r>
      </w:hyperlink>
      <w:r w:rsidRPr="005057D4">
        <w:rPr>
          <w:rStyle w:val="CommentReference"/>
          <w:sz w:val="24"/>
          <w:szCs w:val="24"/>
        </w:rPr>
        <w:t>) for Alaska.</w:t>
      </w:r>
      <w:r w:rsidRPr="005057D4">
        <w:t xml:space="preserve"> The rate has been updated to use the most current BLS rate available (May 202</w:t>
      </w:r>
      <w:r w:rsidR="00FB7A63">
        <w:t>5</w:t>
      </w:r>
      <w:r w:rsidRPr="005057D4">
        <w:t>) and to improve consistency in the rates used for the same respondent types in NMFS Alaska Region information collections</w:t>
      </w:r>
      <w:r>
        <w:t>.</w:t>
      </w:r>
    </w:p>
    <w:tbl>
      <w:tblPr>
        <w:tblStyle w:val="a0"/>
        <w:tblW w:w="14415" w:type="dxa"/>
        <w:tblInd w:w="-140" w:type="dxa"/>
        <w:tblLayout w:type="fixed"/>
        <w:tblLook w:val="0400"/>
      </w:tblPr>
      <w:tblGrid>
        <w:gridCol w:w="3510"/>
        <w:gridCol w:w="1890"/>
        <w:gridCol w:w="1185"/>
        <w:gridCol w:w="1320"/>
        <w:gridCol w:w="1215"/>
        <w:gridCol w:w="1080"/>
        <w:gridCol w:w="1185"/>
        <w:gridCol w:w="1440"/>
        <w:gridCol w:w="1590"/>
      </w:tblGrid>
      <w:tr w14:paraId="232BA1D0" w14:textId="77777777">
        <w:tblPrEx>
          <w:tblW w:w="14415" w:type="dxa"/>
          <w:tblInd w:w="-140" w:type="dxa"/>
          <w:tblLayout w:type="fixed"/>
          <w:tblLook w:val="0400"/>
        </w:tblPrEx>
        <w:trPr>
          <w:trHeight w:val="1365"/>
        </w:trPr>
        <w:tc>
          <w:tcPr>
            <w:tcW w:w="3510"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4E123E" w:rsidP="009C0C91" w14:paraId="6E91AB73" w14:textId="77777777">
            <w:pPr>
              <w:widowControl/>
              <w:spacing w:line="276" w:lineRule="auto"/>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890" w:type="dxa"/>
            <w:tcBorders>
              <w:top w:val="single" w:sz="8" w:space="0" w:color="000000"/>
              <w:left w:val="nil"/>
              <w:bottom w:val="single" w:sz="8" w:space="0" w:color="000000"/>
              <w:right w:val="single" w:sz="8" w:space="0" w:color="000000"/>
            </w:tcBorders>
            <w:shd w:val="clear" w:color="auto" w:fill="BDD7EE"/>
            <w:vAlign w:val="center"/>
          </w:tcPr>
          <w:p w:rsidR="004E123E" w:rsidP="009C0C91" w14:paraId="656B4240" w14:textId="77777777">
            <w:pPr>
              <w:widowControl/>
              <w:spacing w:line="27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Type of Respondent (e.g., Occupational Title)</w:t>
            </w:r>
          </w:p>
        </w:tc>
        <w:tc>
          <w:tcPr>
            <w:tcW w:w="1185" w:type="dxa"/>
            <w:tcBorders>
              <w:top w:val="single" w:sz="8" w:space="0" w:color="000000"/>
              <w:left w:val="nil"/>
              <w:bottom w:val="single" w:sz="8" w:space="0" w:color="000000"/>
              <w:right w:val="single" w:sz="8" w:space="0" w:color="000000"/>
            </w:tcBorders>
            <w:shd w:val="clear" w:color="auto" w:fill="BDD7EE"/>
            <w:vAlign w:val="center"/>
          </w:tcPr>
          <w:p w:rsidR="004E123E" w:rsidP="009C0C91" w14:paraId="5ED98B9B" w14:textId="77777777">
            <w:pPr>
              <w:widowControl/>
              <w:spacing w:line="276" w:lineRule="auto"/>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320" w:type="dxa"/>
            <w:tcBorders>
              <w:top w:val="single" w:sz="8" w:space="0" w:color="000000"/>
              <w:left w:val="nil"/>
              <w:bottom w:val="single" w:sz="8" w:space="0" w:color="000000"/>
              <w:right w:val="single" w:sz="8" w:space="0" w:color="000000"/>
            </w:tcBorders>
            <w:shd w:val="clear" w:color="auto" w:fill="BDD7EE"/>
            <w:vAlign w:val="center"/>
          </w:tcPr>
          <w:p w:rsidR="004E123E" w:rsidP="009C0C91" w14:paraId="5ACDAAE6" w14:textId="77777777">
            <w:pPr>
              <w:widowControl/>
              <w:spacing w:line="276" w:lineRule="auto"/>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215" w:type="dxa"/>
            <w:tcBorders>
              <w:top w:val="single" w:sz="8" w:space="0" w:color="000000"/>
              <w:left w:val="nil"/>
              <w:bottom w:val="single" w:sz="8" w:space="0" w:color="000000"/>
              <w:right w:val="single" w:sz="8" w:space="0" w:color="000000"/>
            </w:tcBorders>
            <w:shd w:val="clear" w:color="auto" w:fill="BDD7EE"/>
            <w:vAlign w:val="center"/>
          </w:tcPr>
          <w:p w:rsidR="004E123E" w:rsidP="009C0C91" w14:paraId="1F22217C" w14:textId="77777777">
            <w:pPr>
              <w:widowControl/>
              <w:spacing w:line="276" w:lineRule="auto"/>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Total # of Annual Responses</w:t>
            </w:r>
            <w:r>
              <w:rPr>
                <w:rFonts w:ascii="Calibri" w:eastAsia="Calibri" w:hAnsi="Calibri" w:cs="Calibri"/>
                <w:b/>
                <w:color w:val="000000"/>
                <w:sz w:val="16"/>
                <w:szCs w:val="16"/>
              </w:rPr>
              <w:br/>
              <w:t>(c) = (a) x (b)</w:t>
            </w:r>
          </w:p>
        </w:tc>
        <w:tc>
          <w:tcPr>
            <w:tcW w:w="1080" w:type="dxa"/>
            <w:tcBorders>
              <w:top w:val="single" w:sz="8" w:space="0" w:color="000000"/>
              <w:left w:val="nil"/>
              <w:bottom w:val="single" w:sz="8" w:space="0" w:color="000000"/>
              <w:right w:val="single" w:sz="8" w:space="0" w:color="000000"/>
            </w:tcBorders>
            <w:shd w:val="clear" w:color="auto" w:fill="BDD7EE"/>
            <w:vAlign w:val="center"/>
          </w:tcPr>
          <w:p w:rsidR="004E123E" w:rsidP="009C0C91" w14:paraId="7B6B430C" w14:textId="77777777">
            <w:pPr>
              <w:widowControl/>
              <w:spacing w:line="276" w:lineRule="auto"/>
              <w:jc w:val="center"/>
              <w:rPr>
                <w:rFonts w:ascii="Calibri" w:eastAsia="Calibri" w:hAnsi="Calibri" w:cs="Calibri"/>
                <w:b/>
                <w:color w:val="000000"/>
                <w:sz w:val="16"/>
                <w:szCs w:val="16"/>
              </w:rPr>
            </w:pPr>
            <w:r>
              <w:rPr>
                <w:rFonts w:ascii="Calibri" w:eastAsia="Calibri" w:hAnsi="Calibri" w:cs="Calibri"/>
                <w:b/>
                <w:color w:val="000000"/>
                <w:sz w:val="16"/>
                <w:szCs w:val="16"/>
              </w:rPr>
              <w:t>Burden Hrs / Response</w:t>
            </w:r>
            <w:r>
              <w:rPr>
                <w:rFonts w:ascii="Calibri" w:eastAsia="Calibri" w:hAnsi="Calibri" w:cs="Calibri"/>
                <w:b/>
                <w:color w:val="000000"/>
                <w:sz w:val="16"/>
                <w:szCs w:val="16"/>
              </w:rPr>
              <w:br/>
              <w:t>(d)</w:t>
            </w:r>
          </w:p>
        </w:tc>
        <w:tc>
          <w:tcPr>
            <w:tcW w:w="1185" w:type="dxa"/>
            <w:tcBorders>
              <w:top w:val="single" w:sz="8" w:space="0" w:color="000000"/>
              <w:left w:val="nil"/>
              <w:bottom w:val="single" w:sz="8" w:space="0" w:color="000000"/>
              <w:right w:val="single" w:sz="8" w:space="0" w:color="000000"/>
            </w:tcBorders>
            <w:shd w:val="clear" w:color="auto" w:fill="BDD7EE"/>
            <w:vAlign w:val="center"/>
          </w:tcPr>
          <w:p w:rsidR="004E123E" w:rsidP="009C0C91" w14:paraId="5CF81B9E" w14:textId="1A7BA688">
            <w:pPr>
              <w:widowControl/>
              <w:spacing w:line="27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Total Annual Burden Hrs</w:t>
            </w:r>
            <w:r>
              <w:rPr>
                <w:rFonts w:ascii="Calibri" w:eastAsia="Calibri" w:hAnsi="Calibri" w:cs="Calibri"/>
                <w:b/>
                <w:color w:val="000000"/>
                <w:sz w:val="16"/>
                <w:szCs w:val="16"/>
              </w:rPr>
              <w:br/>
              <w:t>(</w:t>
            </w:r>
            <w:r w:rsidR="00B1110B">
              <w:rPr>
                <w:rFonts w:ascii="Calibri" w:eastAsia="Calibri" w:hAnsi="Calibri" w:cs="Calibri"/>
                <w:b/>
                <w:color w:val="000000"/>
                <w:sz w:val="16"/>
                <w:szCs w:val="16"/>
              </w:rPr>
              <w:t>e) =</w:t>
            </w:r>
            <w:r>
              <w:rPr>
                <w:rFonts w:ascii="Calibri" w:eastAsia="Calibri" w:hAnsi="Calibri" w:cs="Calibri"/>
                <w:b/>
                <w:color w:val="000000"/>
                <w:sz w:val="16"/>
                <w:szCs w:val="16"/>
              </w:rPr>
              <w:t xml:space="preserve"> (c) x (d)</w:t>
            </w:r>
          </w:p>
        </w:tc>
        <w:tc>
          <w:tcPr>
            <w:tcW w:w="1440" w:type="dxa"/>
            <w:tcBorders>
              <w:top w:val="single" w:sz="8" w:space="0" w:color="000000"/>
              <w:left w:val="nil"/>
              <w:bottom w:val="single" w:sz="8" w:space="0" w:color="000000"/>
              <w:right w:val="single" w:sz="8" w:space="0" w:color="000000"/>
            </w:tcBorders>
            <w:shd w:val="clear" w:color="auto" w:fill="BDD7EE"/>
            <w:vAlign w:val="center"/>
          </w:tcPr>
          <w:p w:rsidR="004E123E" w:rsidP="009C0C91" w14:paraId="35486AC5" w14:textId="4FC55324">
            <w:pPr>
              <w:widowControl/>
              <w:spacing w:line="276" w:lineRule="auto"/>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Hourly Wage </w:t>
            </w:r>
            <w:r w:rsidR="00B1110B">
              <w:rPr>
                <w:rFonts w:ascii="Calibri" w:eastAsia="Calibri" w:hAnsi="Calibri" w:cs="Calibri"/>
                <w:b/>
                <w:color w:val="000000"/>
                <w:sz w:val="16"/>
                <w:szCs w:val="16"/>
              </w:rPr>
              <w:t>Rate (</w:t>
            </w:r>
            <w:r>
              <w:rPr>
                <w:rFonts w:ascii="Calibri" w:eastAsia="Calibri" w:hAnsi="Calibri" w:cs="Calibri"/>
                <w:b/>
                <w:color w:val="000000"/>
                <w:sz w:val="16"/>
                <w:szCs w:val="16"/>
              </w:rPr>
              <w:t>for Type of Respondent)</w:t>
            </w:r>
            <w:r>
              <w:rPr>
                <w:rFonts w:ascii="Calibri" w:eastAsia="Calibri" w:hAnsi="Calibri" w:cs="Calibri"/>
                <w:b/>
                <w:color w:val="000000"/>
                <w:sz w:val="16"/>
                <w:szCs w:val="16"/>
              </w:rPr>
              <w:br/>
              <w:t>(f)</w:t>
            </w:r>
          </w:p>
        </w:tc>
        <w:tc>
          <w:tcPr>
            <w:tcW w:w="1590" w:type="dxa"/>
            <w:tcBorders>
              <w:top w:val="single" w:sz="8" w:space="0" w:color="000000"/>
              <w:left w:val="nil"/>
              <w:bottom w:val="single" w:sz="8" w:space="0" w:color="000000"/>
              <w:right w:val="single" w:sz="8" w:space="0" w:color="000000"/>
            </w:tcBorders>
            <w:shd w:val="clear" w:color="auto" w:fill="BDD7EE"/>
            <w:vAlign w:val="center"/>
          </w:tcPr>
          <w:p w:rsidR="004E123E" w:rsidP="009C0C91" w14:paraId="3634D066" w14:textId="77777777">
            <w:pPr>
              <w:widowControl/>
              <w:spacing w:line="276" w:lineRule="auto"/>
              <w:ind w:right="-30"/>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Total Annual </w:t>
            </w:r>
            <w:r>
              <w:rPr>
                <w:rFonts w:ascii="Calibri" w:eastAsia="Calibri" w:hAnsi="Calibri" w:cs="Calibri"/>
                <w:b/>
                <w:color w:val="000000"/>
                <w:sz w:val="16"/>
                <w:szCs w:val="16"/>
              </w:rPr>
              <w:t>Wage Burden Costs</w:t>
            </w:r>
            <w:r>
              <w:rPr>
                <w:rFonts w:ascii="Calibri" w:eastAsia="Calibri" w:hAnsi="Calibri" w:cs="Calibri"/>
                <w:b/>
                <w:color w:val="000000"/>
                <w:sz w:val="16"/>
                <w:szCs w:val="16"/>
              </w:rPr>
              <w:br/>
              <w:t>(g) = (e) x (f)</w:t>
            </w:r>
          </w:p>
        </w:tc>
      </w:tr>
      <w:tr w14:paraId="3F46D233" w14:textId="77777777" w:rsidTr="00A826C4">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vAlign w:val="center"/>
          </w:tcPr>
          <w:p w:rsidR="00A12286" w:rsidRPr="007963B7" w:rsidP="00A12286" w14:paraId="1C257D60" w14:textId="34E7261B">
            <w:pPr>
              <w:widowControl/>
              <w:spacing w:line="276" w:lineRule="auto"/>
              <w:rPr>
                <w:rFonts w:asciiTheme="minorHAnsi" w:hAnsiTheme="minorHAnsi" w:cstheme="minorHAnsi"/>
                <w:color w:val="000000"/>
                <w:sz w:val="18"/>
                <w:szCs w:val="18"/>
              </w:rPr>
            </w:pPr>
            <w:r w:rsidRPr="007963B7">
              <w:rPr>
                <w:rFonts w:asciiTheme="minorHAnsi" w:hAnsiTheme="minorHAnsi" w:cstheme="minorHAnsi"/>
                <w:color w:val="000000"/>
                <w:sz w:val="18"/>
                <w:szCs w:val="18"/>
              </w:rPr>
              <w:t xml:space="preserve">Application for Approval of Use of Non-CDQ Harvest Regulations </w:t>
            </w:r>
            <w:r w:rsidRPr="007963B7">
              <w:rPr>
                <w:rFonts w:asciiTheme="minorHAnsi" w:hAnsiTheme="minorHAnsi" w:cstheme="minorHAnsi"/>
                <w:color w:val="000000"/>
                <w:sz w:val="18"/>
                <w:szCs w:val="18"/>
                <w:vertAlign w:val="superscript"/>
              </w:rPr>
              <w:t>2</w:t>
            </w:r>
          </w:p>
        </w:tc>
        <w:tc>
          <w:tcPr>
            <w:tcW w:w="1890" w:type="dxa"/>
            <w:tcBorders>
              <w:top w:val="nil"/>
              <w:left w:val="nil"/>
              <w:bottom w:val="single" w:sz="4" w:space="0" w:color="000000"/>
              <w:right w:val="single" w:sz="4" w:space="0" w:color="000000"/>
            </w:tcBorders>
            <w:vAlign w:val="center"/>
          </w:tcPr>
          <w:p w:rsidR="00A12286" w:rsidRPr="007963B7" w:rsidP="00A12286" w14:paraId="65477D53" w14:textId="22ADB3BA">
            <w:pPr>
              <w:widowControl/>
              <w:spacing w:line="276" w:lineRule="auto"/>
              <w:jc w:val="center"/>
              <w:rPr>
                <w:rFonts w:asciiTheme="minorHAnsi" w:hAnsiTheme="minorHAnsi" w:cstheme="minorHAnsi"/>
                <w:sz w:val="18"/>
                <w:szCs w:val="18"/>
              </w:rPr>
            </w:pPr>
            <w:r w:rsidRPr="007963B7">
              <w:rPr>
                <w:rFonts w:asciiTheme="minorHAnsi" w:hAnsiTheme="minorHAnsi" w:cstheme="minorHAnsi"/>
                <w:sz w:val="18"/>
                <w:szCs w:val="18"/>
              </w:rPr>
              <w:t>CDQ group representative</w:t>
            </w:r>
          </w:p>
        </w:tc>
        <w:tc>
          <w:tcPr>
            <w:tcW w:w="1185" w:type="dxa"/>
            <w:tcBorders>
              <w:top w:val="nil"/>
              <w:left w:val="nil"/>
              <w:bottom w:val="single" w:sz="4" w:space="0" w:color="000000"/>
              <w:right w:val="single" w:sz="4" w:space="0" w:color="000000"/>
            </w:tcBorders>
            <w:vAlign w:val="center"/>
          </w:tcPr>
          <w:p w:rsidR="00A12286" w:rsidRPr="007963B7" w:rsidP="00A12286" w14:paraId="029FD4DD" w14:textId="7CD498D8">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320" w:type="dxa"/>
            <w:tcBorders>
              <w:top w:val="nil"/>
              <w:left w:val="nil"/>
              <w:bottom w:val="single" w:sz="4" w:space="0" w:color="000000"/>
              <w:right w:val="single" w:sz="4" w:space="0" w:color="000000"/>
            </w:tcBorders>
            <w:vAlign w:val="center"/>
          </w:tcPr>
          <w:p w:rsidR="00A12286" w:rsidRPr="007963B7" w:rsidP="00A12286" w14:paraId="48B5D17D" w14:textId="02F8921B">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215" w:type="dxa"/>
            <w:tcBorders>
              <w:top w:val="nil"/>
              <w:left w:val="nil"/>
              <w:bottom w:val="single" w:sz="4" w:space="0" w:color="000000"/>
              <w:right w:val="single" w:sz="4" w:space="0" w:color="000000"/>
            </w:tcBorders>
            <w:vAlign w:val="center"/>
          </w:tcPr>
          <w:p w:rsidR="00A12286" w:rsidRPr="007963B7" w:rsidP="00A12286" w14:paraId="023292E4" w14:textId="1509BE33">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080" w:type="dxa"/>
            <w:tcBorders>
              <w:top w:val="nil"/>
              <w:left w:val="nil"/>
              <w:bottom w:val="single" w:sz="4" w:space="0" w:color="000000"/>
              <w:right w:val="single" w:sz="4" w:space="0" w:color="000000"/>
            </w:tcBorders>
            <w:vAlign w:val="center"/>
          </w:tcPr>
          <w:p w:rsidR="00A12286" w:rsidRPr="007963B7" w:rsidP="00A12286" w14:paraId="6939DD36" w14:textId="31D25A56">
            <w:pPr>
              <w:widowControl/>
              <w:spacing w:line="276" w:lineRule="auto"/>
              <w:jc w:val="center"/>
              <w:rPr>
                <w:rFonts w:asciiTheme="minorHAnsi" w:hAnsiTheme="minorHAnsi" w:cstheme="minorHAnsi"/>
                <w:color w:val="000000"/>
                <w:sz w:val="18"/>
                <w:szCs w:val="18"/>
              </w:rPr>
            </w:pPr>
            <w:r w:rsidRPr="007963B7">
              <w:rPr>
                <w:rFonts w:asciiTheme="minorHAnsi" w:hAnsiTheme="minorHAnsi" w:cstheme="minorHAnsi"/>
                <w:color w:val="000000"/>
                <w:sz w:val="18"/>
                <w:szCs w:val="18"/>
              </w:rPr>
              <w:t>5 hrs.</w:t>
            </w:r>
          </w:p>
        </w:tc>
        <w:tc>
          <w:tcPr>
            <w:tcW w:w="1185" w:type="dxa"/>
            <w:tcBorders>
              <w:top w:val="nil"/>
              <w:left w:val="nil"/>
              <w:bottom w:val="single" w:sz="4" w:space="0" w:color="000000"/>
              <w:right w:val="single" w:sz="4" w:space="0" w:color="000000"/>
            </w:tcBorders>
            <w:vAlign w:val="center"/>
          </w:tcPr>
          <w:p w:rsidR="00A12286" w:rsidRPr="007963B7" w:rsidP="00A12286" w14:paraId="6BE85D26" w14:textId="6DE05B5F">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440" w:type="dxa"/>
            <w:tcBorders>
              <w:top w:val="nil"/>
              <w:left w:val="nil"/>
              <w:bottom w:val="single" w:sz="4" w:space="0" w:color="000000"/>
              <w:right w:val="single" w:sz="4" w:space="0" w:color="000000"/>
            </w:tcBorders>
            <w:vAlign w:val="center"/>
          </w:tcPr>
          <w:p w:rsidR="00A12286" w:rsidRPr="00FB7A63" w:rsidP="00A12286" w14:paraId="4C4A674D" w14:textId="531E4C50">
            <w:pPr>
              <w:widowControl/>
              <w:spacing w:line="276" w:lineRule="auto"/>
              <w:jc w:val="center"/>
              <w:rPr>
                <w:rFonts w:ascii="Calibri" w:eastAsia="Calibri" w:hAnsi="Calibri" w:cs="Calibri"/>
                <w:color w:val="000000"/>
                <w:sz w:val="18"/>
                <w:szCs w:val="18"/>
              </w:rPr>
            </w:pPr>
            <w:r w:rsidRPr="00FB7A63">
              <w:rPr>
                <w:rFonts w:ascii="Calibri" w:eastAsia="Calibri" w:hAnsi="Calibri" w:cs="Calibri"/>
                <w:color w:val="000000"/>
                <w:sz w:val="18"/>
                <w:szCs w:val="18"/>
              </w:rPr>
              <w:t>$63.36</w:t>
            </w:r>
          </w:p>
        </w:tc>
        <w:tc>
          <w:tcPr>
            <w:tcW w:w="1590" w:type="dxa"/>
            <w:tcBorders>
              <w:top w:val="nil"/>
              <w:left w:val="nil"/>
              <w:bottom w:val="single" w:sz="4" w:space="0" w:color="000000"/>
              <w:right w:val="single" w:sz="8" w:space="0" w:color="000000"/>
            </w:tcBorders>
            <w:vAlign w:val="center"/>
          </w:tcPr>
          <w:p w:rsidR="00A12286" w:rsidRPr="00FB7A63" w:rsidP="00A12286" w14:paraId="5D69CF69" w14:textId="4C627C31">
            <w:pPr>
              <w:widowControl/>
              <w:spacing w:line="276" w:lineRule="auto"/>
              <w:jc w:val="center"/>
              <w:rPr>
                <w:rFonts w:eastAsia="Calibri" w:asciiTheme="minorHAnsi" w:hAnsiTheme="minorHAnsi" w:cstheme="minorHAnsi"/>
                <w:color w:val="000000"/>
                <w:sz w:val="18"/>
                <w:szCs w:val="18"/>
              </w:rPr>
            </w:pPr>
            <w:r w:rsidRPr="00FB7A63">
              <w:rPr>
                <w:rFonts w:eastAsia="Calibri" w:asciiTheme="minorHAnsi" w:hAnsiTheme="minorHAnsi" w:cstheme="minorHAnsi"/>
                <w:color w:val="000000"/>
                <w:sz w:val="18"/>
                <w:szCs w:val="18"/>
              </w:rPr>
              <w:t>0</w:t>
            </w:r>
          </w:p>
        </w:tc>
      </w:tr>
      <w:tr w14:paraId="143459BA" w14:textId="77777777" w:rsidTr="00A826C4">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vAlign w:val="center"/>
          </w:tcPr>
          <w:p w:rsidR="00012C3F" w:rsidP="009C0C91" w14:paraId="720F5B00" w14:textId="10FBD842">
            <w:pPr>
              <w:widowControl/>
              <w:spacing w:line="276" w:lineRule="auto"/>
              <w:rPr>
                <w:rFonts w:ascii="Calibri" w:eastAsia="Calibri" w:hAnsi="Calibri" w:cs="Calibri"/>
                <w:color w:val="000000"/>
                <w:sz w:val="16"/>
                <w:szCs w:val="16"/>
              </w:rPr>
            </w:pPr>
            <w:r w:rsidRPr="007963B7">
              <w:rPr>
                <w:rFonts w:asciiTheme="minorHAnsi" w:hAnsiTheme="minorHAnsi" w:cstheme="minorHAnsi"/>
                <w:color w:val="000000"/>
                <w:sz w:val="18"/>
                <w:szCs w:val="18"/>
              </w:rPr>
              <w:t>Groundfish/Halibut CDQ and Prohibited Species Quota (PSQ) Transfer Request</w:t>
            </w:r>
          </w:p>
        </w:tc>
        <w:tc>
          <w:tcPr>
            <w:tcW w:w="1890" w:type="dxa"/>
            <w:tcBorders>
              <w:top w:val="nil"/>
              <w:left w:val="nil"/>
              <w:bottom w:val="single" w:sz="4" w:space="0" w:color="000000"/>
              <w:right w:val="single" w:sz="4" w:space="0" w:color="000000"/>
            </w:tcBorders>
            <w:vAlign w:val="center"/>
          </w:tcPr>
          <w:p w:rsidR="00012C3F" w:rsidP="009C0C91" w14:paraId="5222FA99" w14:textId="0773134D">
            <w:pPr>
              <w:widowControl/>
              <w:spacing w:line="276" w:lineRule="auto"/>
              <w:jc w:val="center"/>
              <w:rPr>
                <w:rFonts w:ascii="Calibri" w:eastAsia="Calibri" w:hAnsi="Calibri" w:cs="Calibri"/>
                <w:color w:val="000000"/>
                <w:sz w:val="16"/>
                <w:szCs w:val="16"/>
              </w:rPr>
            </w:pPr>
            <w:r w:rsidRPr="007963B7">
              <w:rPr>
                <w:rFonts w:asciiTheme="minorHAnsi" w:hAnsiTheme="minorHAnsi" w:cstheme="minorHAnsi"/>
                <w:sz w:val="18"/>
                <w:szCs w:val="18"/>
              </w:rPr>
              <w:t xml:space="preserve">CDQ group </w:t>
            </w:r>
            <w:r w:rsidRPr="007963B7">
              <w:rPr>
                <w:rFonts w:asciiTheme="minorHAnsi" w:hAnsiTheme="minorHAnsi" w:cstheme="minorHAnsi"/>
                <w:sz w:val="18"/>
                <w:szCs w:val="18"/>
              </w:rPr>
              <w:t>representative</w:t>
            </w:r>
          </w:p>
        </w:tc>
        <w:tc>
          <w:tcPr>
            <w:tcW w:w="1185" w:type="dxa"/>
            <w:tcBorders>
              <w:top w:val="nil"/>
              <w:left w:val="nil"/>
              <w:bottom w:val="single" w:sz="4" w:space="0" w:color="000000"/>
              <w:right w:val="single" w:sz="4" w:space="0" w:color="000000"/>
            </w:tcBorders>
            <w:vAlign w:val="center"/>
          </w:tcPr>
          <w:p w:rsidR="00012C3F" w:rsidP="009C0C91" w14:paraId="22F49321" w14:textId="470094AF">
            <w:pPr>
              <w:widowControl/>
              <w:spacing w:line="276" w:lineRule="auto"/>
              <w:jc w:val="center"/>
              <w:rPr>
                <w:rFonts w:ascii="Calibri" w:eastAsia="Calibri" w:hAnsi="Calibri" w:cs="Calibri"/>
                <w:color w:val="000000"/>
                <w:sz w:val="16"/>
                <w:szCs w:val="16"/>
              </w:rPr>
            </w:pPr>
            <w:r w:rsidRPr="007963B7">
              <w:rPr>
                <w:rFonts w:eastAsia="Calibri" w:asciiTheme="minorHAnsi" w:hAnsiTheme="minorHAnsi" w:cstheme="minorHAnsi"/>
                <w:color w:val="000000"/>
                <w:sz w:val="18"/>
                <w:szCs w:val="18"/>
              </w:rPr>
              <w:t>6</w:t>
            </w:r>
          </w:p>
        </w:tc>
        <w:tc>
          <w:tcPr>
            <w:tcW w:w="1320" w:type="dxa"/>
            <w:tcBorders>
              <w:top w:val="nil"/>
              <w:left w:val="nil"/>
              <w:bottom w:val="single" w:sz="4" w:space="0" w:color="000000"/>
              <w:right w:val="single" w:sz="4" w:space="0" w:color="000000"/>
            </w:tcBorders>
            <w:vAlign w:val="center"/>
          </w:tcPr>
          <w:p w:rsidR="00012C3F" w:rsidP="009C0C91" w14:paraId="1BBD20C6" w14:textId="5B468CCB">
            <w:pPr>
              <w:widowControl/>
              <w:spacing w:line="276" w:lineRule="auto"/>
              <w:jc w:val="center"/>
              <w:rPr>
                <w:rFonts w:ascii="Calibri" w:eastAsia="Calibri" w:hAnsi="Calibri" w:cs="Calibri"/>
                <w:color w:val="000000"/>
                <w:sz w:val="16"/>
                <w:szCs w:val="16"/>
              </w:rPr>
            </w:pPr>
            <w:r w:rsidRPr="007963B7">
              <w:rPr>
                <w:rFonts w:eastAsia="Calibri" w:asciiTheme="minorHAnsi" w:hAnsiTheme="minorHAnsi" w:cstheme="minorHAnsi"/>
                <w:color w:val="000000"/>
                <w:sz w:val="18"/>
                <w:szCs w:val="18"/>
              </w:rPr>
              <w:t>12</w:t>
            </w:r>
          </w:p>
        </w:tc>
        <w:tc>
          <w:tcPr>
            <w:tcW w:w="1215" w:type="dxa"/>
            <w:tcBorders>
              <w:top w:val="nil"/>
              <w:left w:val="nil"/>
              <w:bottom w:val="single" w:sz="4" w:space="0" w:color="000000"/>
              <w:right w:val="single" w:sz="4" w:space="0" w:color="000000"/>
            </w:tcBorders>
            <w:vAlign w:val="center"/>
          </w:tcPr>
          <w:p w:rsidR="00012C3F" w:rsidP="009C0C91" w14:paraId="419EFFDB" w14:textId="1D3D621C">
            <w:pPr>
              <w:widowControl/>
              <w:spacing w:line="276" w:lineRule="auto"/>
              <w:jc w:val="center"/>
              <w:rPr>
                <w:rFonts w:ascii="Calibri" w:eastAsia="Calibri" w:hAnsi="Calibri" w:cs="Calibri"/>
                <w:color w:val="000000"/>
                <w:sz w:val="16"/>
                <w:szCs w:val="16"/>
              </w:rPr>
            </w:pPr>
            <w:r w:rsidRPr="007963B7">
              <w:rPr>
                <w:rFonts w:eastAsia="Calibri" w:asciiTheme="minorHAnsi" w:hAnsiTheme="minorHAnsi" w:cstheme="minorHAnsi"/>
                <w:color w:val="000000"/>
                <w:sz w:val="18"/>
                <w:szCs w:val="18"/>
              </w:rPr>
              <w:t>72</w:t>
            </w:r>
          </w:p>
        </w:tc>
        <w:tc>
          <w:tcPr>
            <w:tcW w:w="1080" w:type="dxa"/>
            <w:tcBorders>
              <w:top w:val="nil"/>
              <w:left w:val="nil"/>
              <w:bottom w:val="single" w:sz="4" w:space="0" w:color="000000"/>
              <w:right w:val="single" w:sz="4" w:space="0" w:color="000000"/>
            </w:tcBorders>
            <w:vAlign w:val="center"/>
          </w:tcPr>
          <w:p w:rsidR="00012C3F" w:rsidP="009C0C91" w14:paraId="0BCA49AE" w14:textId="59F7B0C4">
            <w:pPr>
              <w:widowControl/>
              <w:spacing w:line="276" w:lineRule="auto"/>
              <w:jc w:val="center"/>
              <w:rPr>
                <w:rFonts w:ascii="Calibri" w:eastAsia="Calibri" w:hAnsi="Calibri" w:cs="Calibri"/>
                <w:color w:val="000000"/>
                <w:sz w:val="16"/>
                <w:szCs w:val="16"/>
              </w:rPr>
            </w:pPr>
            <w:r w:rsidRPr="007963B7">
              <w:rPr>
                <w:rFonts w:asciiTheme="minorHAnsi" w:hAnsiTheme="minorHAnsi" w:cstheme="minorHAnsi"/>
                <w:color w:val="000000"/>
                <w:sz w:val="18"/>
                <w:szCs w:val="18"/>
              </w:rPr>
              <w:t>30 min.</w:t>
            </w:r>
          </w:p>
        </w:tc>
        <w:tc>
          <w:tcPr>
            <w:tcW w:w="1185" w:type="dxa"/>
            <w:tcBorders>
              <w:top w:val="nil"/>
              <w:left w:val="nil"/>
              <w:bottom w:val="single" w:sz="4" w:space="0" w:color="000000"/>
              <w:right w:val="single" w:sz="4" w:space="0" w:color="000000"/>
            </w:tcBorders>
            <w:vAlign w:val="center"/>
          </w:tcPr>
          <w:p w:rsidR="00012C3F" w:rsidP="009C0C91" w14:paraId="6A7958DF" w14:textId="0DC0229F">
            <w:pPr>
              <w:widowControl/>
              <w:spacing w:line="276" w:lineRule="auto"/>
              <w:jc w:val="center"/>
              <w:rPr>
                <w:rFonts w:ascii="Calibri" w:eastAsia="Calibri" w:hAnsi="Calibri" w:cs="Calibri"/>
                <w:color w:val="000000"/>
                <w:sz w:val="16"/>
                <w:szCs w:val="16"/>
              </w:rPr>
            </w:pPr>
            <w:r w:rsidRPr="007963B7">
              <w:rPr>
                <w:rFonts w:eastAsia="Calibri" w:asciiTheme="minorHAnsi" w:hAnsiTheme="minorHAnsi" w:cstheme="minorHAnsi"/>
                <w:color w:val="000000"/>
                <w:sz w:val="18"/>
                <w:szCs w:val="18"/>
              </w:rPr>
              <w:t>36</w:t>
            </w:r>
          </w:p>
        </w:tc>
        <w:tc>
          <w:tcPr>
            <w:tcW w:w="1440" w:type="dxa"/>
            <w:tcBorders>
              <w:top w:val="nil"/>
              <w:left w:val="nil"/>
              <w:bottom w:val="single" w:sz="4" w:space="0" w:color="000000"/>
              <w:right w:val="single" w:sz="4" w:space="0" w:color="000000"/>
            </w:tcBorders>
            <w:vAlign w:val="center"/>
          </w:tcPr>
          <w:p w:rsidR="00012C3F" w:rsidRPr="00FB7A63" w:rsidP="009C0C91" w14:paraId="4C5359D9" w14:textId="77EA96DD">
            <w:pPr>
              <w:widowControl/>
              <w:spacing w:line="276" w:lineRule="auto"/>
              <w:jc w:val="center"/>
              <w:rPr>
                <w:rFonts w:ascii="Calibri" w:eastAsia="Calibri" w:hAnsi="Calibri" w:cs="Calibri"/>
                <w:color w:val="000000"/>
                <w:sz w:val="18"/>
                <w:szCs w:val="18"/>
              </w:rPr>
            </w:pPr>
            <w:r w:rsidRPr="00FB7A63">
              <w:rPr>
                <w:rFonts w:ascii="Calibri" w:eastAsia="Calibri" w:hAnsi="Calibri" w:cs="Calibri"/>
                <w:color w:val="000000"/>
                <w:sz w:val="18"/>
                <w:szCs w:val="18"/>
              </w:rPr>
              <w:t>$63.36</w:t>
            </w:r>
          </w:p>
        </w:tc>
        <w:tc>
          <w:tcPr>
            <w:tcW w:w="1590" w:type="dxa"/>
            <w:tcBorders>
              <w:top w:val="nil"/>
              <w:left w:val="nil"/>
              <w:bottom w:val="single" w:sz="4" w:space="0" w:color="000000"/>
              <w:right w:val="single" w:sz="8" w:space="0" w:color="000000"/>
            </w:tcBorders>
            <w:vAlign w:val="center"/>
          </w:tcPr>
          <w:p w:rsidR="00012C3F" w:rsidRPr="00FB7A63" w:rsidP="009C0C91" w14:paraId="34AAB6D2" w14:textId="5542FE3F">
            <w:pPr>
              <w:widowControl/>
              <w:spacing w:line="276" w:lineRule="auto"/>
              <w:jc w:val="center"/>
              <w:rPr>
                <w:rFonts w:ascii="Calibri" w:eastAsia="Calibri" w:hAnsi="Calibri" w:cs="Calibri"/>
                <w:color w:val="000000"/>
                <w:sz w:val="18"/>
                <w:szCs w:val="18"/>
              </w:rPr>
            </w:pPr>
            <w:r w:rsidRPr="00FB7A63">
              <w:rPr>
                <w:rFonts w:ascii="Calibri" w:eastAsia="Calibri" w:hAnsi="Calibri" w:cs="Calibri"/>
                <w:color w:val="000000"/>
                <w:sz w:val="18"/>
                <w:szCs w:val="18"/>
              </w:rPr>
              <w:t>$2,280.96</w:t>
            </w:r>
          </w:p>
        </w:tc>
      </w:tr>
      <w:tr w14:paraId="37A57464" w14:textId="77777777" w:rsidTr="00A826C4">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vAlign w:val="center"/>
          </w:tcPr>
          <w:p w:rsidR="00A12286" w:rsidRPr="007963B7" w:rsidP="00A12286" w14:paraId="5735FC30" w14:textId="15A7D2CE">
            <w:pPr>
              <w:widowControl/>
              <w:spacing w:line="276" w:lineRule="auto"/>
              <w:rPr>
                <w:rFonts w:asciiTheme="minorHAnsi" w:hAnsiTheme="minorHAnsi" w:cstheme="minorHAnsi"/>
                <w:color w:val="000000"/>
                <w:sz w:val="18"/>
                <w:szCs w:val="18"/>
              </w:rPr>
            </w:pPr>
            <w:r w:rsidRPr="007963B7">
              <w:rPr>
                <w:rFonts w:asciiTheme="minorHAnsi" w:hAnsiTheme="minorHAnsi" w:cstheme="minorHAnsi"/>
                <w:color w:val="000000"/>
                <w:sz w:val="18"/>
                <w:szCs w:val="18"/>
              </w:rPr>
              <w:t>CDQ Vessel Registration System</w:t>
            </w:r>
            <w:r w:rsidRPr="007963B7">
              <w:rPr>
                <w:rFonts w:asciiTheme="minorHAnsi" w:hAnsiTheme="minorHAnsi" w:cstheme="minorHAnsi"/>
                <w:color w:val="000000"/>
                <w:sz w:val="18"/>
                <w:szCs w:val="18"/>
                <w:vertAlign w:val="superscript"/>
              </w:rPr>
              <w:t xml:space="preserve"> 1</w:t>
            </w:r>
          </w:p>
        </w:tc>
        <w:tc>
          <w:tcPr>
            <w:tcW w:w="1890" w:type="dxa"/>
            <w:tcBorders>
              <w:top w:val="nil"/>
              <w:left w:val="nil"/>
              <w:bottom w:val="single" w:sz="4" w:space="0" w:color="000000"/>
              <w:right w:val="single" w:sz="4" w:space="0" w:color="000000"/>
            </w:tcBorders>
            <w:vAlign w:val="center"/>
          </w:tcPr>
          <w:p w:rsidR="00A12286" w:rsidRPr="007963B7" w:rsidP="00A12286" w14:paraId="4D18939B" w14:textId="624EDC03">
            <w:pPr>
              <w:widowControl/>
              <w:spacing w:line="276" w:lineRule="auto"/>
              <w:jc w:val="center"/>
              <w:rPr>
                <w:rFonts w:asciiTheme="minorHAnsi" w:hAnsiTheme="minorHAnsi" w:cstheme="minorHAnsi"/>
                <w:sz w:val="18"/>
                <w:szCs w:val="18"/>
              </w:rPr>
            </w:pPr>
            <w:r w:rsidRPr="007963B7">
              <w:rPr>
                <w:rFonts w:asciiTheme="minorHAnsi" w:hAnsiTheme="minorHAnsi" w:cstheme="minorHAnsi"/>
                <w:sz w:val="18"/>
                <w:szCs w:val="18"/>
              </w:rPr>
              <w:t>CDQ group representative</w:t>
            </w:r>
          </w:p>
        </w:tc>
        <w:tc>
          <w:tcPr>
            <w:tcW w:w="1185" w:type="dxa"/>
            <w:tcBorders>
              <w:top w:val="nil"/>
              <w:left w:val="nil"/>
              <w:bottom w:val="single" w:sz="4" w:space="0" w:color="000000"/>
              <w:right w:val="single" w:sz="4" w:space="0" w:color="000000"/>
            </w:tcBorders>
            <w:vAlign w:val="center"/>
          </w:tcPr>
          <w:p w:rsidR="00A12286" w:rsidRPr="007963B7" w:rsidP="00A12286" w14:paraId="42E376CD" w14:textId="065B3B41">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320" w:type="dxa"/>
            <w:tcBorders>
              <w:top w:val="nil"/>
              <w:left w:val="nil"/>
              <w:bottom w:val="single" w:sz="4" w:space="0" w:color="000000"/>
              <w:right w:val="single" w:sz="4" w:space="0" w:color="000000"/>
            </w:tcBorders>
            <w:vAlign w:val="center"/>
          </w:tcPr>
          <w:p w:rsidR="00A12286" w:rsidRPr="007963B7" w:rsidP="00A12286" w14:paraId="2B5179FB" w14:textId="74FCF01F">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215" w:type="dxa"/>
            <w:tcBorders>
              <w:top w:val="nil"/>
              <w:left w:val="nil"/>
              <w:bottom w:val="single" w:sz="4" w:space="0" w:color="000000"/>
              <w:right w:val="single" w:sz="4" w:space="0" w:color="000000"/>
            </w:tcBorders>
            <w:vAlign w:val="center"/>
          </w:tcPr>
          <w:p w:rsidR="00A12286" w:rsidRPr="007963B7" w:rsidP="00A12286" w14:paraId="6FC14E0C" w14:textId="2694C85A">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080" w:type="dxa"/>
            <w:tcBorders>
              <w:top w:val="nil"/>
              <w:left w:val="nil"/>
              <w:bottom w:val="single" w:sz="4" w:space="0" w:color="000000"/>
              <w:right w:val="single" w:sz="4" w:space="0" w:color="000000"/>
            </w:tcBorders>
            <w:vAlign w:val="center"/>
          </w:tcPr>
          <w:p w:rsidR="00A12286" w:rsidRPr="007963B7" w:rsidP="00A12286" w14:paraId="65DC2794" w14:textId="34D6FE89">
            <w:pPr>
              <w:widowControl/>
              <w:spacing w:line="276" w:lineRule="auto"/>
              <w:jc w:val="center"/>
              <w:rPr>
                <w:rFonts w:asciiTheme="minorHAnsi" w:hAnsiTheme="minorHAnsi" w:cstheme="minorHAnsi"/>
                <w:color w:val="000000"/>
                <w:sz w:val="18"/>
                <w:szCs w:val="18"/>
              </w:rPr>
            </w:pPr>
            <w:r w:rsidRPr="007963B7">
              <w:rPr>
                <w:rFonts w:asciiTheme="minorHAnsi" w:hAnsiTheme="minorHAnsi" w:cstheme="minorHAnsi"/>
                <w:color w:val="000000"/>
                <w:sz w:val="18"/>
                <w:szCs w:val="18"/>
              </w:rPr>
              <w:t>10 min.</w:t>
            </w:r>
          </w:p>
        </w:tc>
        <w:tc>
          <w:tcPr>
            <w:tcW w:w="1185" w:type="dxa"/>
            <w:tcBorders>
              <w:top w:val="nil"/>
              <w:left w:val="nil"/>
              <w:bottom w:val="single" w:sz="4" w:space="0" w:color="000000"/>
              <w:right w:val="single" w:sz="4" w:space="0" w:color="000000"/>
            </w:tcBorders>
            <w:vAlign w:val="center"/>
          </w:tcPr>
          <w:p w:rsidR="00A12286" w:rsidRPr="007963B7" w:rsidP="00A12286" w14:paraId="49E75778" w14:textId="36EF9F71">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440" w:type="dxa"/>
            <w:tcBorders>
              <w:top w:val="nil"/>
              <w:left w:val="nil"/>
              <w:bottom w:val="single" w:sz="4" w:space="0" w:color="000000"/>
              <w:right w:val="single" w:sz="4" w:space="0" w:color="000000"/>
            </w:tcBorders>
            <w:vAlign w:val="center"/>
          </w:tcPr>
          <w:p w:rsidR="00A12286" w:rsidRPr="00FB7A63" w:rsidP="00A12286" w14:paraId="4B13765A" w14:textId="21C48B71">
            <w:pPr>
              <w:widowControl/>
              <w:spacing w:line="276" w:lineRule="auto"/>
              <w:jc w:val="center"/>
              <w:rPr>
                <w:rFonts w:ascii="Calibri" w:eastAsia="Calibri" w:hAnsi="Calibri" w:cs="Calibri"/>
                <w:color w:val="000000"/>
                <w:sz w:val="18"/>
                <w:szCs w:val="18"/>
              </w:rPr>
            </w:pPr>
            <w:r w:rsidRPr="00FB7A63">
              <w:rPr>
                <w:rFonts w:ascii="Calibri" w:eastAsia="Calibri" w:hAnsi="Calibri" w:cs="Calibri"/>
                <w:color w:val="000000"/>
                <w:sz w:val="18"/>
                <w:szCs w:val="18"/>
              </w:rPr>
              <w:t>$63.36</w:t>
            </w:r>
          </w:p>
        </w:tc>
        <w:tc>
          <w:tcPr>
            <w:tcW w:w="1590" w:type="dxa"/>
            <w:tcBorders>
              <w:top w:val="nil"/>
              <w:left w:val="nil"/>
              <w:bottom w:val="single" w:sz="4" w:space="0" w:color="000000"/>
              <w:right w:val="single" w:sz="8" w:space="0" w:color="000000"/>
            </w:tcBorders>
            <w:vAlign w:val="center"/>
          </w:tcPr>
          <w:p w:rsidR="00A12286" w:rsidRPr="00FB7A63" w:rsidP="00A12286" w14:paraId="44B039C8" w14:textId="0C263C48">
            <w:pPr>
              <w:widowControl/>
              <w:spacing w:line="276" w:lineRule="auto"/>
              <w:jc w:val="center"/>
              <w:rPr>
                <w:rFonts w:ascii="Calibri" w:eastAsia="Calibri" w:hAnsi="Calibri" w:cs="Calibri"/>
                <w:color w:val="000000"/>
                <w:sz w:val="18"/>
                <w:szCs w:val="18"/>
              </w:rPr>
            </w:pPr>
            <w:r w:rsidRPr="00FB7A63">
              <w:rPr>
                <w:rFonts w:eastAsia="Calibri" w:asciiTheme="minorHAnsi" w:hAnsiTheme="minorHAnsi" w:cstheme="minorHAnsi"/>
                <w:color w:val="000000"/>
                <w:sz w:val="18"/>
                <w:szCs w:val="18"/>
              </w:rPr>
              <w:t>0</w:t>
            </w:r>
          </w:p>
        </w:tc>
      </w:tr>
      <w:tr w14:paraId="71B2DC71" w14:textId="77777777" w:rsidTr="00A826C4">
        <w:tblPrEx>
          <w:tblW w:w="14415" w:type="dxa"/>
          <w:tblInd w:w="-140" w:type="dxa"/>
          <w:tblLayout w:type="fixed"/>
          <w:tblLook w:val="0400"/>
        </w:tblPrEx>
        <w:trPr>
          <w:trHeight w:val="300"/>
        </w:trPr>
        <w:tc>
          <w:tcPr>
            <w:tcW w:w="3510" w:type="dxa"/>
            <w:tcBorders>
              <w:top w:val="nil"/>
              <w:left w:val="single" w:sz="8" w:space="0" w:color="000000"/>
              <w:bottom w:val="single" w:sz="4" w:space="0" w:color="000000"/>
              <w:right w:val="single" w:sz="4" w:space="0" w:color="000000"/>
            </w:tcBorders>
            <w:vAlign w:val="center"/>
          </w:tcPr>
          <w:p w:rsidR="00012C3F" w:rsidP="009C0C91" w14:paraId="0036BE55" w14:textId="73E9FAF7">
            <w:pPr>
              <w:widowControl/>
              <w:spacing w:line="276" w:lineRule="auto"/>
              <w:rPr>
                <w:rFonts w:ascii="Calibri" w:eastAsia="Calibri" w:hAnsi="Calibri" w:cs="Calibri"/>
                <w:color w:val="000000"/>
                <w:sz w:val="16"/>
                <w:szCs w:val="16"/>
              </w:rPr>
            </w:pPr>
            <w:r w:rsidRPr="007963B7">
              <w:rPr>
                <w:rFonts w:asciiTheme="minorHAnsi" w:hAnsiTheme="minorHAnsi" w:cstheme="minorHAnsi"/>
                <w:color w:val="000000"/>
                <w:sz w:val="18"/>
                <w:szCs w:val="18"/>
              </w:rPr>
              <w:t xml:space="preserve">Appeals </w:t>
            </w:r>
            <w:r w:rsidRPr="007963B7">
              <w:rPr>
                <w:rFonts w:asciiTheme="minorHAnsi" w:hAnsiTheme="minorHAnsi" w:cstheme="minorHAnsi"/>
                <w:color w:val="000000"/>
                <w:sz w:val="18"/>
                <w:szCs w:val="18"/>
                <w:vertAlign w:val="superscript"/>
              </w:rPr>
              <w:t>3</w:t>
            </w:r>
          </w:p>
        </w:tc>
        <w:tc>
          <w:tcPr>
            <w:tcW w:w="1890" w:type="dxa"/>
            <w:tcBorders>
              <w:top w:val="nil"/>
              <w:left w:val="nil"/>
              <w:bottom w:val="single" w:sz="4" w:space="0" w:color="000000"/>
              <w:right w:val="single" w:sz="4" w:space="0" w:color="000000"/>
            </w:tcBorders>
            <w:vAlign w:val="center"/>
          </w:tcPr>
          <w:p w:rsidR="00012C3F" w:rsidP="009C0C91" w14:paraId="4F306AD1" w14:textId="0F5693DC">
            <w:pPr>
              <w:widowControl/>
              <w:spacing w:line="276" w:lineRule="auto"/>
              <w:jc w:val="center"/>
              <w:rPr>
                <w:rFonts w:ascii="Calibri" w:eastAsia="Calibri" w:hAnsi="Calibri" w:cs="Calibri"/>
                <w:color w:val="000000"/>
                <w:sz w:val="16"/>
                <w:szCs w:val="16"/>
              </w:rPr>
            </w:pPr>
            <w:r w:rsidRPr="007963B7">
              <w:rPr>
                <w:rFonts w:asciiTheme="minorHAnsi" w:hAnsiTheme="minorHAnsi" w:cstheme="minorHAnsi"/>
                <w:sz w:val="18"/>
                <w:szCs w:val="18"/>
              </w:rPr>
              <w:t>CDQ group representative</w:t>
            </w:r>
          </w:p>
        </w:tc>
        <w:tc>
          <w:tcPr>
            <w:tcW w:w="1185" w:type="dxa"/>
            <w:tcBorders>
              <w:top w:val="nil"/>
              <w:left w:val="nil"/>
              <w:bottom w:val="single" w:sz="4" w:space="0" w:color="000000"/>
              <w:right w:val="single" w:sz="4" w:space="0" w:color="000000"/>
            </w:tcBorders>
            <w:vAlign w:val="center"/>
          </w:tcPr>
          <w:p w:rsidR="00012C3F" w:rsidP="009C0C91" w14:paraId="0F7EA6A7" w14:textId="336FC5FD">
            <w:pPr>
              <w:widowControl/>
              <w:spacing w:line="276" w:lineRule="auto"/>
              <w:jc w:val="center"/>
              <w:rPr>
                <w:rFonts w:ascii="Calibri" w:eastAsia="Calibri" w:hAnsi="Calibri" w:cs="Calibri"/>
                <w:color w:val="000000"/>
                <w:sz w:val="16"/>
                <w:szCs w:val="16"/>
              </w:rPr>
            </w:pPr>
            <w:r w:rsidRPr="007963B7">
              <w:rPr>
                <w:rFonts w:eastAsia="Calibri" w:asciiTheme="minorHAnsi" w:hAnsiTheme="minorHAnsi" w:cstheme="minorHAnsi"/>
                <w:color w:val="000000"/>
                <w:sz w:val="18"/>
                <w:szCs w:val="18"/>
              </w:rPr>
              <w:t>0</w:t>
            </w:r>
          </w:p>
        </w:tc>
        <w:tc>
          <w:tcPr>
            <w:tcW w:w="1320" w:type="dxa"/>
            <w:tcBorders>
              <w:top w:val="nil"/>
              <w:left w:val="nil"/>
              <w:bottom w:val="single" w:sz="4" w:space="0" w:color="000000"/>
              <w:right w:val="single" w:sz="4" w:space="0" w:color="000000"/>
            </w:tcBorders>
            <w:vAlign w:val="center"/>
          </w:tcPr>
          <w:p w:rsidR="00012C3F" w:rsidP="009C0C91" w14:paraId="08CC048D" w14:textId="654C779D">
            <w:pPr>
              <w:widowControl/>
              <w:spacing w:line="276" w:lineRule="auto"/>
              <w:jc w:val="center"/>
              <w:rPr>
                <w:rFonts w:ascii="Calibri" w:eastAsia="Calibri" w:hAnsi="Calibri" w:cs="Calibri"/>
                <w:color w:val="000000"/>
                <w:sz w:val="16"/>
                <w:szCs w:val="16"/>
              </w:rPr>
            </w:pPr>
            <w:r w:rsidRPr="007963B7">
              <w:rPr>
                <w:rFonts w:eastAsia="Calibri" w:asciiTheme="minorHAnsi" w:hAnsiTheme="minorHAnsi" w:cstheme="minorHAnsi"/>
                <w:color w:val="000000"/>
                <w:sz w:val="18"/>
                <w:szCs w:val="18"/>
              </w:rPr>
              <w:t>0</w:t>
            </w:r>
          </w:p>
        </w:tc>
        <w:tc>
          <w:tcPr>
            <w:tcW w:w="1215" w:type="dxa"/>
            <w:tcBorders>
              <w:top w:val="nil"/>
              <w:left w:val="nil"/>
              <w:bottom w:val="single" w:sz="4" w:space="0" w:color="000000"/>
              <w:right w:val="single" w:sz="4" w:space="0" w:color="000000"/>
            </w:tcBorders>
            <w:vAlign w:val="center"/>
          </w:tcPr>
          <w:p w:rsidR="00012C3F" w:rsidP="009C0C91" w14:paraId="15D74B53" w14:textId="25DF9726">
            <w:pPr>
              <w:widowControl/>
              <w:spacing w:line="276" w:lineRule="auto"/>
              <w:jc w:val="center"/>
              <w:rPr>
                <w:rFonts w:ascii="Calibri" w:eastAsia="Calibri" w:hAnsi="Calibri" w:cs="Calibri"/>
                <w:color w:val="000000"/>
                <w:sz w:val="16"/>
                <w:szCs w:val="16"/>
              </w:rPr>
            </w:pPr>
            <w:r w:rsidRPr="007963B7">
              <w:rPr>
                <w:rFonts w:eastAsia="Calibri" w:asciiTheme="minorHAnsi" w:hAnsiTheme="minorHAnsi" w:cstheme="minorHAnsi"/>
                <w:color w:val="000000"/>
                <w:sz w:val="18"/>
                <w:szCs w:val="18"/>
              </w:rPr>
              <w:t>0</w:t>
            </w:r>
          </w:p>
        </w:tc>
        <w:tc>
          <w:tcPr>
            <w:tcW w:w="1080" w:type="dxa"/>
            <w:tcBorders>
              <w:top w:val="nil"/>
              <w:left w:val="nil"/>
              <w:bottom w:val="single" w:sz="4" w:space="0" w:color="000000"/>
              <w:right w:val="single" w:sz="4" w:space="0" w:color="000000"/>
            </w:tcBorders>
            <w:vAlign w:val="center"/>
          </w:tcPr>
          <w:p w:rsidR="00012C3F" w:rsidP="009C0C91" w14:paraId="7F71682B" w14:textId="6DA348FD">
            <w:pPr>
              <w:widowControl/>
              <w:spacing w:line="276" w:lineRule="auto"/>
              <w:jc w:val="center"/>
              <w:rPr>
                <w:rFonts w:ascii="Calibri" w:eastAsia="Calibri" w:hAnsi="Calibri" w:cs="Calibri"/>
                <w:color w:val="000000"/>
                <w:sz w:val="16"/>
                <w:szCs w:val="16"/>
              </w:rPr>
            </w:pPr>
            <w:r w:rsidRPr="007963B7">
              <w:rPr>
                <w:rFonts w:asciiTheme="minorHAnsi" w:hAnsiTheme="minorHAnsi" w:cstheme="minorHAnsi"/>
                <w:color w:val="000000"/>
                <w:sz w:val="18"/>
                <w:szCs w:val="18"/>
              </w:rPr>
              <w:t xml:space="preserve">4 </w:t>
            </w:r>
            <w:r w:rsidRPr="007963B7" w:rsidR="00B1110B">
              <w:rPr>
                <w:rFonts w:asciiTheme="minorHAnsi" w:hAnsiTheme="minorHAnsi" w:cstheme="minorHAnsi"/>
                <w:color w:val="000000"/>
                <w:sz w:val="18"/>
                <w:szCs w:val="18"/>
              </w:rPr>
              <w:t>hrs.</w:t>
            </w:r>
          </w:p>
        </w:tc>
        <w:tc>
          <w:tcPr>
            <w:tcW w:w="1185" w:type="dxa"/>
            <w:tcBorders>
              <w:top w:val="nil"/>
              <w:left w:val="nil"/>
              <w:bottom w:val="single" w:sz="4" w:space="0" w:color="000000"/>
              <w:right w:val="single" w:sz="4" w:space="0" w:color="000000"/>
            </w:tcBorders>
            <w:vAlign w:val="center"/>
          </w:tcPr>
          <w:p w:rsidR="00012C3F" w:rsidP="009C0C91" w14:paraId="3CB64297" w14:textId="18AC1FEC">
            <w:pPr>
              <w:widowControl/>
              <w:spacing w:line="276" w:lineRule="auto"/>
              <w:jc w:val="center"/>
              <w:rPr>
                <w:rFonts w:ascii="Calibri" w:eastAsia="Calibri" w:hAnsi="Calibri" w:cs="Calibri"/>
                <w:color w:val="000000"/>
                <w:sz w:val="16"/>
                <w:szCs w:val="16"/>
              </w:rPr>
            </w:pPr>
            <w:r w:rsidRPr="007963B7">
              <w:rPr>
                <w:rFonts w:eastAsia="Calibri" w:asciiTheme="minorHAnsi" w:hAnsiTheme="minorHAnsi" w:cstheme="minorHAnsi"/>
                <w:color w:val="000000"/>
                <w:sz w:val="18"/>
                <w:szCs w:val="18"/>
              </w:rPr>
              <w:t>0</w:t>
            </w:r>
          </w:p>
        </w:tc>
        <w:tc>
          <w:tcPr>
            <w:tcW w:w="1440" w:type="dxa"/>
            <w:tcBorders>
              <w:top w:val="nil"/>
              <w:left w:val="nil"/>
              <w:bottom w:val="single" w:sz="4" w:space="0" w:color="000000"/>
              <w:right w:val="single" w:sz="4" w:space="0" w:color="000000"/>
            </w:tcBorders>
            <w:vAlign w:val="center"/>
          </w:tcPr>
          <w:p w:rsidR="00012C3F" w:rsidRPr="00FB7A63" w:rsidP="009C0C91" w14:paraId="37257632" w14:textId="11DB4045">
            <w:pPr>
              <w:widowControl/>
              <w:spacing w:line="276" w:lineRule="auto"/>
              <w:jc w:val="center"/>
              <w:rPr>
                <w:rFonts w:ascii="Calibri" w:eastAsia="Calibri" w:hAnsi="Calibri" w:cs="Calibri"/>
                <w:color w:val="000000"/>
                <w:sz w:val="18"/>
                <w:szCs w:val="18"/>
              </w:rPr>
            </w:pPr>
            <w:r w:rsidRPr="00FB7A63">
              <w:rPr>
                <w:rFonts w:ascii="Calibri" w:eastAsia="Calibri" w:hAnsi="Calibri" w:cs="Calibri"/>
                <w:color w:val="000000"/>
                <w:sz w:val="18"/>
                <w:szCs w:val="18"/>
              </w:rPr>
              <w:t>$63.36</w:t>
            </w:r>
          </w:p>
        </w:tc>
        <w:tc>
          <w:tcPr>
            <w:tcW w:w="1590" w:type="dxa"/>
            <w:tcBorders>
              <w:top w:val="nil"/>
              <w:left w:val="nil"/>
              <w:bottom w:val="single" w:sz="4" w:space="0" w:color="000000"/>
              <w:right w:val="single" w:sz="8" w:space="0" w:color="000000"/>
            </w:tcBorders>
            <w:vAlign w:val="center"/>
          </w:tcPr>
          <w:p w:rsidR="00012C3F" w:rsidRPr="00FB7A63" w:rsidP="009C0C91" w14:paraId="33341FC0" w14:textId="25EE93F0">
            <w:pPr>
              <w:widowControl/>
              <w:spacing w:line="276" w:lineRule="auto"/>
              <w:jc w:val="center"/>
              <w:rPr>
                <w:rFonts w:ascii="Calibri" w:eastAsia="Calibri" w:hAnsi="Calibri" w:cs="Calibri"/>
                <w:color w:val="000000"/>
                <w:sz w:val="18"/>
                <w:szCs w:val="18"/>
              </w:rPr>
            </w:pPr>
            <w:r w:rsidRPr="00FB7A63">
              <w:rPr>
                <w:rFonts w:eastAsia="Calibri" w:asciiTheme="minorHAnsi" w:hAnsiTheme="minorHAnsi" w:cstheme="minorHAnsi"/>
                <w:color w:val="000000"/>
                <w:sz w:val="18"/>
                <w:szCs w:val="18"/>
              </w:rPr>
              <w:t>0</w:t>
            </w:r>
          </w:p>
        </w:tc>
      </w:tr>
      <w:tr w14:paraId="20626E77" w14:textId="77777777" w:rsidTr="00FB7A63">
        <w:tblPrEx>
          <w:tblW w:w="14415" w:type="dxa"/>
          <w:tblInd w:w="-140" w:type="dxa"/>
          <w:tblLayout w:type="fixed"/>
          <w:tblLook w:val="0400"/>
        </w:tblPrEx>
        <w:trPr>
          <w:trHeight w:val="615"/>
        </w:trPr>
        <w:tc>
          <w:tcPr>
            <w:tcW w:w="3510" w:type="dxa"/>
            <w:tcBorders>
              <w:top w:val="nil"/>
              <w:left w:val="single" w:sz="8" w:space="0" w:color="000000"/>
              <w:bottom w:val="single" w:sz="8" w:space="0" w:color="000000"/>
              <w:right w:val="single" w:sz="8" w:space="0" w:color="000000"/>
            </w:tcBorders>
            <w:shd w:val="clear" w:color="auto" w:fill="DDEBF7"/>
            <w:vAlign w:val="center"/>
          </w:tcPr>
          <w:p w:rsidR="00012C3F" w:rsidP="009C0C91" w14:paraId="0E8B6DF0" w14:textId="77777777">
            <w:pPr>
              <w:widowControl/>
              <w:spacing w:line="276" w:lineRule="auto"/>
              <w:jc w:val="center"/>
              <w:rPr>
                <w:rFonts w:ascii="Calibri" w:eastAsia="Calibri" w:hAnsi="Calibri" w:cs="Calibri"/>
                <w:b/>
                <w:color w:val="000000"/>
              </w:rPr>
            </w:pPr>
            <w:r>
              <w:rPr>
                <w:rFonts w:ascii="Calibri" w:eastAsia="Calibri" w:hAnsi="Calibri" w:cs="Calibri"/>
                <w:b/>
                <w:color w:val="000000"/>
              </w:rPr>
              <w:t>Totals</w:t>
            </w:r>
          </w:p>
        </w:tc>
        <w:tc>
          <w:tcPr>
            <w:tcW w:w="1890" w:type="dxa"/>
            <w:tcBorders>
              <w:top w:val="nil"/>
              <w:left w:val="nil"/>
              <w:bottom w:val="single" w:sz="8" w:space="0" w:color="000000"/>
              <w:right w:val="single" w:sz="8" w:space="0" w:color="000000"/>
            </w:tcBorders>
            <w:shd w:val="clear" w:color="auto" w:fill="000000"/>
            <w:vAlign w:val="center"/>
          </w:tcPr>
          <w:p w:rsidR="00012C3F" w:rsidP="009C0C91" w14:paraId="16054B76" w14:textId="588A046C">
            <w:pPr>
              <w:widowControl/>
              <w:spacing w:line="276" w:lineRule="auto"/>
              <w:jc w:val="center"/>
              <w:rPr>
                <w:rFonts w:ascii="Calibri" w:eastAsia="Calibri" w:hAnsi="Calibri" w:cs="Calibri"/>
                <w:b/>
                <w:color w:val="000000"/>
              </w:rPr>
            </w:pPr>
          </w:p>
        </w:tc>
        <w:tc>
          <w:tcPr>
            <w:tcW w:w="1185" w:type="dxa"/>
            <w:tcBorders>
              <w:top w:val="nil"/>
              <w:left w:val="nil"/>
              <w:bottom w:val="single" w:sz="8" w:space="0" w:color="000000"/>
              <w:right w:val="single" w:sz="8" w:space="0" w:color="000000"/>
            </w:tcBorders>
            <w:shd w:val="clear" w:color="auto" w:fill="000000"/>
            <w:vAlign w:val="center"/>
          </w:tcPr>
          <w:p w:rsidR="00012C3F" w:rsidP="009C0C91" w14:paraId="642CA07B" w14:textId="41D879ED">
            <w:pPr>
              <w:widowControl/>
              <w:spacing w:line="276" w:lineRule="auto"/>
              <w:jc w:val="center"/>
              <w:rPr>
                <w:rFonts w:ascii="Calibri" w:eastAsia="Calibri" w:hAnsi="Calibri" w:cs="Calibri"/>
                <w:b/>
                <w:color w:val="000000"/>
              </w:rPr>
            </w:pPr>
          </w:p>
        </w:tc>
        <w:tc>
          <w:tcPr>
            <w:tcW w:w="1320" w:type="dxa"/>
            <w:tcBorders>
              <w:top w:val="nil"/>
              <w:left w:val="nil"/>
              <w:bottom w:val="single" w:sz="8" w:space="0" w:color="000000"/>
              <w:right w:val="single" w:sz="8" w:space="0" w:color="000000"/>
            </w:tcBorders>
            <w:shd w:val="clear" w:color="auto" w:fill="000000"/>
            <w:vAlign w:val="center"/>
          </w:tcPr>
          <w:p w:rsidR="00012C3F" w:rsidP="009C0C91" w14:paraId="1F157021" w14:textId="28CA5902">
            <w:pPr>
              <w:widowControl/>
              <w:spacing w:line="276" w:lineRule="auto"/>
              <w:jc w:val="center"/>
              <w:rPr>
                <w:rFonts w:ascii="Calibri" w:eastAsia="Calibri" w:hAnsi="Calibri" w:cs="Calibri"/>
                <w:b/>
                <w:color w:val="000000"/>
              </w:rPr>
            </w:pPr>
          </w:p>
        </w:tc>
        <w:tc>
          <w:tcPr>
            <w:tcW w:w="1215" w:type="dxa"/>
            <w:tcBorders>
              <w:top w:val="nil"/>
              <w:left w:val="nil"/>
              <w:bottom w:val="single" w:sz="8" w:space="0" w:color="000000"/>
              <w:right w:val="single" w:sz="8" w:space="0" w:color="000000"/>
            </w:tcBorders>
            <w:shd w:val="clear" w:color="auto" w:fill="DDEBF7"/>
            <w:vAlign w:val="center"/>
          </w:tcPr>
          <w:p w:rsidR="00012C3F" w:rsidP="009C0C91" w14:paraId="147B7144" w14:textId="1A9636BE">
            <w:pPr>
              <w:widowControl/>
              <w:spacing w:line="276" w:lineRule="auto"/>
              <w:jc w:val="center"/>
              <w:rPr>
                <w:rFonts w:ascii="Calibri" w:eastAsia="Calibri" w:hAnsi="Calibri" w:cs="Calibri"/>
                <w:b/>
                <w:color w:val="000000"/>
              </w:rPr>
            </w:pPr>
            <w:r>
              <w:rPr>
                <w:rFonts w:ascii="Calibri" w:eastAsia="Calibri" w:hAnsi="Calibri" w:cs="Calibri"/>
                <w:b/>
                <w:color w:val="000000"/>
              </w:rPr>
              <w:t>72</w:t>
            </w:r>
          </w:p>
        </w:tc>
        <w:tc>
          <w:tcPr>
            <w:tcW w:w="1080" w:type="dxa"/>
            <w:tcBorders>
              <w:top w:val="nil"/>
              <w:left w:val="nil"/>
              <w:bottom w:val="single" w:sz="8" w:space="0" w:color="000000"/>
              <w:right w:val="single" w:sz="8" w:space="0" w:color="000000"/>
            </w:tcBorders>
            <w:shd w:val="clear" w:color="auto" w:fill="000000"/>
            <w:vAlign w:val="center"/>
          </w:tcPr>
          <w:p w:rsidR="00012C3F" w:rsidP="009C0C91" w14:paraId="5EB4F7EC" w14:textId="0FBED0CC">
            <w:pPr>
              <w:widowControl/>
              <w:spacing w:line="276" w:lineRule="auto"/>
              <w:jc w:val="center"/>
              <w:rPr>
                <w:rFonts w:ascii="Calibri" w:eastAsia="Calibri" w:hAnsi="Calibri" w:cs="Calibri"/>
                <w:b/>
                <w:color w:val="000000"/>
              </w:rPr>
            </w:pPr>
          </w:p>
        </w:tc>
        <w:tc>
          <w:tcPr>
            <w:tcW w:w="1185" w:type="dxa"/>
            <w:tcBorders>
              <w:top w:val="nil"/>
              <w:left w:val="nil"/>
              <w:bottom w:val="single" w:sz="8" w:space="0" w:color="000000"/>
              <w:right w:val="single" w:sz="8" w:space="0" w:color="000000"/>
            </w:tcBorders>
            <w:shd w:val="clear" w:color="auto" w:fill="DDEBF7"/>
            <w:vAlign w:val="center"/>
          </w:tcPr>
          <w:p w:rsidR="00012C3F" w:rsidP="009C0C91" w14:paraId="5F97F7BE" w14:textId="352E5948">
            <w:pPr>
              <w:widowControl/>
              <w:spacing w:line="276" w:lineRule="auto"/>
              <w:jc w:val="center"/>
              <w:rPr>
                <w:rFonts w:ascii="Calibri" w:eastAsia="Calibri" w:hAnsi="Calibri" w:cs="Calibri"/>
                <w:b/>
                <w:color w:val="000000"/>
              </w:rPr>
            </w:pPr>
            <w:r>
              <w:rPr>
                <w:rFonts w:ascii="Calibri" w:eastAsia="Calibri" w:hAnsi="Calibri" w:cs="Calibri"/>
                <w:b/>
                <w:color w:val="000000"/>
              </w:rPr>
              <w:t>36</w:t>
            </w:r>
          </w:p>
        </w:tc>
        <w:tc>
          <w:tcPr>
            <w:tcW w:w="1440" w:type="dxa"/>
            <w:tcBorders>
              <w:top w:val="nil"/>
              <w:left w:val="nil"/>
              <w:bottom w:val="single" w:sz="8" w:space="0" w:color="000000"/>
              <w:right w:val="single" w:sz="8" w:space="0" w:color="000000"/>
            </w:tcBorders>
            <w:shd w:val="clear" w:color="auto" w:fill="000000"/>
            <w:vAlign w:val="center"/>
          </w:tcPr>
          <w:p w:rsidR="00012C3F" w:rsidRPr="00FB7A63" w:rsidP="009C0C91" w14:paraId="64081A26" w14:textId="52BCCA30">
            <w:pPr>
              <w:widowControl/>
              <w:spacing w:line="276" w:lineRule="auto"/>
              <w:jc w:val="center"/>
              <w:rPr>
                <w:rFonts w:ascii="Calibri" w:eastAsia="Calibri" w:hAnsi="Calibri" w:cs="Calibri"/>
                <w:b/>
                <w:color w:val="000000"/>
              </w:rPr>
            </w:pPr>
          </w:p>
        </w:tc>
        <w:tc>
          <w:tcPr>
            <w:tcW w:w="1590" w:type="dxa"/>
            <w:tcBorders>
              <w:top w:val="nil"/>
              <w:left w:val="nil"/>
              <w:bottom w:val="single" w:sz="8" w:space="0" w:color="000000"/>
              <w:right w:val="single" w:sz="8" w:space="0" w:color="000000"/>
            </w:tcBorders>
            <w:shd w:val="clear" w:color="auto" w:fill="DDEBF7"/>
            <w:vAlign w:val="center"/>
          </w:tcPr>
          <w:p w:rsidR="00012C3F" w:rsidRPr="00FB7A63" w:rsidP="009C0C91" w14:paraId="25E013C0" w14:textId="7E2A458A">
            <w:pPr>
              <w:widowControl/>
              <w:spacing w:line="276" w:lineRule="auto"/>
              <w:jc w:val="center"/>
              <w:rPr>
                <w:rFonts w:ascii="Calibri" w:eastAsia="Calibri" w:hAnsi="Calibri" w:cs="Calibri"/>
                <w:b/>
                <w:color w:val="000000"/>
              </w:rPr>
            </w:pPr>
            <w:r w:rsidRPr="00FB7A63">
              <w:rPr>
                <w:rFonts w:ascii="Calibri" w:eastAsia="Calibri" w:hAnsi="Calibri" w:cs="Calibri"/>
                <w:b/>
                <w:color w:val="000000"/>
              </w:rPr>
              <w:t>$2,280.96</w:t>
            </w:r>
          </w:p>
        </w:tc>
      </w:tr>
    </w:tbl>
    <w:p w:rsidR="00857198" w:rsidRPr="007963B7" w:rsidP="009C0C91" w14:paraId="0D9966AB" w14:textId="77777777">
      <w:pPr>
        <w:widowControl/>
        <w:tabs>
          <w:tab w:val="left" w:pos="-1180"/>
          <w:tab w:val="left" w:pos="-720"/>
          <w:tab w:val="left" w:pos="0"/>
          <w:tab w:val="left" w:pos="360"/>
          <w:tab w:val="left" w:pos="720"/>
          <w:tab w:val="left" w:pos="1080"/>
        </w:tabs>
        <w:autoSpaceDE w:val="0"/>
        <w:autoSpaceDN w:val="0"/>
        <w:adjustRightInd w:val="0"/>
        <w:spacing w:line="276" w:lineRule="auto"/>
        <w:rPr>
          <w:rFonts w:asciiTheme="minorHAnsi" w:hAnsiTheme="minorHAnsi" w:cstheme="minorHAnsi"/>
          <w:color w:val="000000"/>
          <w:sz w:val="18"/>
          <w:szCs w:val="18"/>
        </w:rPr>
      </w:pPr>
      <w:r w:rsidRPr="007963B7">
        <w:rPr>
          <w:rFonts w:asciiTheme="minorHAnsi" w:hAnsiTheme="minorHAnsi" w:cstheme="minorHAnsi"/>
          <w:color w:val="000000"/>
          <w:sz w:val="18"/>
          <w:szCs w:val="18"/>
          <w:vertAlign w:val="superscript"/>
        </w:rPr>
        <w:t>1</w:t>
      </w:r>
      <w:r w:rsidRPr="007963B7">
        <w:rPr>
          <w:rFonts w:asciiTheme="minorHAnsi" w:hAnsiTheme="minorHAnsi" w:cstheme="minorHAnsi"/>
          <w:color w:val="000000"/>
          <w:sz w:val="18"/>
          <w:szCs w:val="18"/>
        </w:rPr>
        <w:t xml:space="preserve"> NMFS has not received any registrations through the CDQ Vessel Registration System since it was implemented in 2016. NMFS is not expecting to receive any during the 3-year renewal period of this information collection. </w:t>
      </w:r>
    </w:p>
    <w:p w:rsidR="00857198" w:rsidRPr="007963B7" w:rsidP="009C0C91" w14:paraId="510475C0" w14:textId="42EEFF1D">
      <w:pPr>
        <w:widowControl/>
        <w:tabs>
          <w:tab w:val="left" w:pos="-1180"/>
          <w:tab w:val="left" w:pos="-720"/>
          <w:tab w:val="left" w:pos="0"/>
          <w:tab w:val="left" w:pos="360"/>
          <w:tab w:val="left" w:pos="720"/>
          <w:tab w:val="left" w:pos="1080"/>
        </w:tabs>
        <w:autoSpaceDE w:val="0"/>
        <w:autoSpaceDN w:val="0"/>
        <w:adjustRightInd w:val="0"/>
        <w:spacing w:line="276" w:lineRule="auto"/>
        <w:rPr>
          <w:rFonts w:asciiTheme="minorHAnsi" w:hAnsiTheme="minorHAnsi" w:cstheme="minorHAnsi"/>
          <w:color w:val="000000"/>
          <w:sz w:val="18"/>
          <w:szCs w:val="18"/>
        </w:rPr>
      </w:pPr>
      <w:r w:rsidRPr="007963B7">
        <w:rPr>
          <w:rFonts w:asciiTheme="minorHAnsi" w:hAnsiTheme="minorHAnsi" w:cstheme="minorHAnsi"/>
          <w:color w:val="000000"/>
          <w:sz w:val="18"/>
          <w:szCs w:val="18"/>
          <w:vertAlign w:val="superscript"/>
        </w:rPr>
        <w:t>2</w:t>
      </w:r>
      <w:r w:rsidRPr="007963B7">
        <w:rPr>
          <w:rFonts w:asciiTheme="minorHAnsi" w:hAnsiTheme="minorHAnsi" w:cstheme="minorHAnsi"/>
          <w:color w:val="000000"/>
          <w:sz w:val="18"/>
          <w:szCs w:val="18"/>
        </w:rPr>
        <w:t xml:space="preserve"> NMFS does not expect to receive any </w:t>
      </w:r>
      <w:r w:rsidR="000A1FE7">
        <w:rPr>
          <w:rFonts w:asciiTheme="minorHAnsi" w:hAnsiTheme="minorHAnsi" w:cstheme="minorHAnsi"/>
          <w:color w:val="000000"/>
          <w:sz w:val="18"/>
          <w:szCs w:val="18"/>
        </w:rPr>
        <w:t xml:space="preserve">Applications for Approval of Use of Non-CDQ Harvest Regulations </w:t>
      </w:r>
      <w:r w:rsidRPr="007963B7">
        <w:rPr>
          <w:rFonts w:asciiTheme="minorHAnsi" w:hAnsiTheme="minorHAnsi" w:cstheme="minorHAnsi"/>
          <w:color w:val="000000"/>
          <w:sz w:val="18"/>
          <w:szCs w:val="18"/>
        </w:rPr>
        <w:t>during the 3-year renewal period of this information collection. The one voluntary cooperative that exists in the BSAI groundfish fisheries submitted its application in 2012 and has not submitted any amendments or withdrawn its application since then.</w:t>
      </w:r>
    </w:p>
    <w:p w:rsidR="004E123E" w:rsidP="009C0C91" w14:paraId="7B348A2B" w14:textId="59D18E99">
      <w:pPr>
        <w:widowControl/>
        <w:tabs>
          <w:tab w:val="left" w:pos="-1180"/>
          <w:tab w:val="left" w:pos="-720"/>
          <w:tab w:val="left" w:pos="0"/>
          <w:tab w:val="left" w:pos="360"/>
          <w:tab w:val="left" w:pos="720"/>
          <w:tab w:val="left" w:pos="1080"/>
        </w:tabs>
        <w:autoSpaceDE w:val="0"/>
        <w:autoSpaceDN w:val="0"/>
        <w:adjustRightInd w:val="0"/>
        <w:spacing w:line="276" w:lineRule="auto"/>
        <w:rPr>
          <w:rFonts w:asciiTheme="minorHAnsi" w:hAnsiTheme="minorHAnsi" w:cstheme="minorHAnsi"/>
          <w:color w:val="000000"/>
          <w:sz w:val="18"/>
          <w:szCs w:val="18"/>
        </w:rPr>
      </w:pPr>
      <w:r w:rsidRPr="007963B7">
        <w:rPr>
          <w:rFonts w:asciiTheme="minorHAnsi" w:hAnsiTheme="minorHAnsi" w:cstheme="minorHAnsi"/>
          <w:color w:val="000000"/>
          <w:sz w:val="18"/>
          <w:szCs w:val="18"/>
          <w:vertAlign w:val="superscript"/>
        </w:rPr>
        <w:t>3</w:t>
      </w:r>
      <w:r w:rsidRPr="007963B7">
        <w:rPr>
          <w:rFonts w:asciiTheme="minorHAnsi" w:hAnsiTheme="minorHAnsi" w:cstheme="minorHAnsi"/>
          <w:color w:val="000000"/>
          <w:sz w:val="18"/>
          <w:szCs w:val="18"/>
        </w:rPr>
        <w:t xml:space="preserve"> NMFS has not received any administrative appeals related to this collection because NMFS has not issued any disapprovals of an Application for Approval of Use of Non-CDQ Harvest Regulations, nor does NMFS expect to during the 3-year renewal period of this information collection. The opportunity to submit an administrative appeal must be provided in our regulations, but it is very rarely used except for issuance of initial allocations or permits for Alaska Region catch share programs.</w:t>
      </w:r>
    </w:p>
    <w:p w:rsidR="00FB7A63" w:rsidRPr="00FB7A63" w:rsidP="00A83200" w14:paraId="5758709A" w14:textId="77777777">
      <w:pPr>
        <w:widowControl/>
        <w:tabs>
          <w:tab w:val="left" w:pos="-1180"/>
          <w:tab w:val="left" w:pos="-720"/>
          <w:tab w:val="left" w:pos="0"/>
          <w:tab w:val="left" w:pos="360"/>
          <w:tab w:val="left" w:pos="720"/>
          <w:tab w:val="left" w:pos="1080"/>
        </w:tabs>
        <w:autoSpaceDE w:val="0"/>
        <w:autoSpaceDN w:val="0"/>
        <w:adjustRightInd w:val="0"/>
        <w:spacing w:after="240" w:line="276" w:lineRule="auto"/>
        <w:rPr>
          <w:rFonts w:asciiTheme="minorHAnsi" w:hAnsiTheme="minorHAnsi" w:cstheme="minorHAnsi"/>
          <w:color w:val="000000"/>
          <w:sz w:val="18"/>
          <w:szCs w:val="18"/>
        </w:rPr>
      </w:pPr>
    </w:p>
    <w:p w:rsidR="006E533A" w:rsidP="00A83200" w14:paraId="630820BE" w14:textId="77777777">
      <w:pPr>
        <w:spacing w:after="240" w:line="276" w:lineRule="auto"/>
        <w:ind w:hanging="43"/>
        <w:jc w:val="center"/>
        <w:rPr>
          <w:b/>
          <w:color w:val="0563C1"/>
          <w:highlight w:val="yellow"/>
          <w:u w:val="single"/>
        </w:rPr>
        <w:sectPr w:rsidSect="00857198">
          <w:pgSz w:w="15840" w:h="12240" w:orient="landscape"/>
          <w:pgMar w:top="1080" w:right="640" w:bottom="1080" w:left="1200" w:header="0" w:footer="714" w:gutter="0"/>
          <w:cols w:space="720"/>
          <w:docGrid w:linePitch="326"/>
        </w:sectPr>
      </w:pPr>
    </w:p>
    <w:p w:rsidR="004E123E" w:rsidRPr="009C0C91" w:rsidP="00A83200" w14:paraId="0CB2279A" w14:textId="718CD8CF">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5E1F36" w:rsidRPr="003D4D93" w:rsidP="00A83200" w14:paraId="67A596A5" w14:textId="46C9ADBF">
      <w:pPr>
        <w:widowControl/>
        <w:pBdr>
          <w:top w:val="nil"/>
          <w:left w:val="nil"/>
          <w:bottom w:val="nil"/>
          <w:right w:val="nil"/>
          <w:between w:val="nil"/>
        </w:pBdr>
        <w:spacing w:after="240" w:line="276" w:lineRule="auto"/>
      </w:pPr>
      <w:r w:rsidRPr="006315C6">
        <w:t xml:space="preserve">Operating costs account for the typical inclusive general office services packages that include expenses for email, fax, copying, mailing, printing, and internet. Submission of information for the CDQ Vessel Registration System and the Groundfish/Halibut CDQ and Prohibited Species Quota (PSQ) Transfer Request are </w:t>
      </w:r>
      <w:r w:rsidRPr="006315C6" w:rsidR="000A1FE7">
        <w:t>completed</w:t>
      </w:r>
      <w:r w:rsidRPr="006315C6">
        <w:t xml:space="preserve"> online and assumed to have zero additional cost burden to the respondent because the costs </w:t>
      </w:r>
      <w:r w:rsidRPr="003D4D93">
        <w:t>of using the internet to submit this information through eFISH would not change their overall annual costs for internet services.</w:t>
      </w:r>
    </w:p>
    <w:p w:rsidR="005E1F36" w:rsidRPr="009C0C91" w:rsidP="009C0C91" w14:paraId="6AA4F721" w14:textId="4C111F2B">
      <w:pPr>
        <w:widowControl/>
        <w:pBdr>
          <w:top w:val="nil"/>
          <w:left w:val="nil"/>
          <w:bottom w:val="nil"/>
          <w:right w:val="nil"/>
          <w:between w:val="nil"/>
        </w:pBdr>
        <w:spacing w:after="240" w:line="276" w:lineRule="auto"/>
      </w:pPr>
      <w:r w:rsidRPr="00AB1900">
        <w:rPr>
          <w:color w:val="000000"/>
        </w:rPr>
        <w:t xml:space="preserve">In addition to the 4 hours that are estimated for a CDQ group representative to prepare and submit information necessary for an appeal, the CDQ group would be likely to hire </w:t>
      </w:r>
      <w:r w:rsidRPr="000832A2">
        <w:rPr>
          <w:color w:val="000000"/>
        </w:rPr>
        <w:t xml:space="preserve">an attorney to prepare the actual appeal documents. NMFS estimates that preparation of the appeal would take 4 hours of an attorney’s time. </w:t>
      </w:r>
      <w:r w:rsidRPr="000832A2">
        <w:t>The cost of $</w:t>
      </w:r>
      <w:r>
        <w:t>322.88</w:t>
      </w:r>
      <w:r w:rsidRPr="000832A2">
        <w:t xml:space="preserve"> is based on the BLS mean hourly wage for Occupation Code 23-1011 (Lawyers; $</w:t>
      </w:r>
      <w:r>
        <w:t>80.72</w:t>
      </w:r>
      <w:r w:rsidRPr="000832A2">
        <w:t xml:space="preserve">/hr; </w:t>
      </w:r>
      <w:hyperlink r:id="rId21" w:history="1">
        <w:r w:rsidRPr="000832A2">
          <w:rPr>
            <w:rStyle w:val="Hyperlink"/>
          </w:rPr>
          <w:t>https://www.bls.gov/oes/current/oes_ak.htm</w:t>
        </w:r>
      </w:hyperlink>
      <w:r w:rsidRPr="000832A2">
        <w:t>) for Alaska, May 202</w:t>
      </w:r>
      <w:r>
        <w:t>5</w:t>
      </w:r>
      <w:r w:rsidRPr="000832A2">
        <w:t>.</w:t>
      </w:r>
    </w:p>
    <w:tbl>
      <w:tblPr>
        <w:tblStyle w:val="a10"/>
        <w:tblW w:w="13470" w:type="dxa"/>
        <w:jc w:val="center"/>
        <w:tblLayout w:type="fixed"/>
        <w:tblLook w:val="0400"/>
      </w:tblPr>
      <w:tblGrid>
        <w:gridCol w:w="4670"/>
        <w:gridCol w:w="1710"/>
        <w:gridCol w:w="1620"/>
        <w:gridCol w:w="1578"/>
        <w:gridCol w:w="1887"/>
        <w:gridCol w:w="2005"/>
      </w:tblGrid>
      <w:tr w14:paraId="79CE8170" w14:textId="77777777" w:rsidTr="008B2ED3">
        <w:tblPrEx>
          <w:tblW w:w="13470" w:type="dxa"/>
          <w:jc w:val="center"/>
          <w:tblLayout w:type="fixed"/>
          <w:tblLook w:val="0400"/>
        </w:tblPrEx>
        <w:trPr>
          <w:trHeight w:val="1011"/>
          <w:jc w:val="center"/>
        </w:trPr>
        <w:tc>
          <w:tcPr>
            <w:tcW w:w="4670" w:type="dxa"/>
            <w:tcBorders>
              <w:top w:val="single" w:sz="8" w:space="0" w:color="000000"/>
              <w:left w:val="single" w:sz="8" w:space="0" w:color="000000"/>
              <w:bottom w:val="single" w:sz="8" w:space="0" w:color="000000"/>
              <w:right w:val="single" w:sz="8" w:space="0" w:color="000000"/>
            </w:tcBorders>
            <w:shd w:val="clear" w:color="auto" w:fill="C6D9F0" w:themeFill="text2" w:themeFillTint="33"/>
            <w:vAlign w:val="center"/>
          </w:tcPr>
          <w:p w:rsidR="00857198" w:rsidRPr="0094588B" w:rsidP="009C0C91" w14:paraId="10DACA57" w14:textId="77777777">
            <w:pPr>
              <w:widowControl/>
              <w:spacing w:line="276" w:lineRule="auto"/>
              <w:jc w:val="center"/>
              <w:rPr>
                <w:rFonts w:ascii="Calibri" w:eastAsia="Calibri" w:hAnsi="Calibri" w:cs="Calibri"/>
                <w:b/>
                <w:color w:val="000000"/>
                <w:sz w:val="18"/>
                <w:szCs w:val="18"/>
              </w:rPr>
            </w:pPr>
            <w:r w:rsidRPr="0094588B">
              <w:rPr>
                <w:rFonts w:ascii="Calibri" w:eastAsia="Calibri" w:hAnsi="Calibri" w:cs="Calibri"/>
                <w:b/>
                <w:color w:val="000000"/>
                <w:sz w:val="18"/>
                <w:szCs w:val="18"/>
              </w:rPr>
              <w:t>Information Collection</w:t>
            </w:r>
          </w:p>
        </w:tc>
        <w:tc>
          <w:tcPr>
            <w:tcW w:w="1710" w:type="dxa"/>
            <w:tcBorders>
              <w:top w:val="single" w:sz="8" w:space="0" w:color="000000"/>
              <w:left w:val="nil"/>
              <w:bottom w:val="single" w:sz="8" w:space="0" w:color="000000"/>
              <w:right w:val="single" w:sz="8" w:space="0" w:color="000000"/>
            </w:tcBorders>
            <w:shd w:val="clear" w:color="auto" w:fill="C6D9F0" w:themeFill="text2" w:themeFillTint="33"/>
            <w:vAlign w:val="center"/>
          </w:tcPr>
          <w:p w:rsidR="00857198" w:rsidRPr="0094588B" w:rsidP="009C0C91" w14:paraId="34911F75" w14:textId="77777777">
            <w:pPr>
              <w:widowControl/>
              <w:spacing w:line="276" w:lineRule="auto"/>
              <w:jc w:val="center"/>
              <w:rPr>
                <w:rFonts w:ascii="Calibri" w:eastAsia="Calibri" w:hAnsi="Calibri" w:cs="Calibri"/>
                <w:b/>
                <w:color w:val="000000"/>
                <w:sz w:val="18"/>
                <w:szCs w:val="18"/>
              </w:rPr>
            </w:pPr>
            <w:r w:rsidRPr="0094588B">
              <w:rPr>
                <w:rFonts w:ascii="Calibri" w:eastAsia="Calibri" w:hAnsi="Calibri" w:cs="Calibri"/>
                <w:b/>
                <w:color w:val="000000"/>
                <w:sz w:val="18"/>
                <w:szCs w:val="18"/>
              </w:rPr>
              <w:t># of Respondents/year</w:t>
            </w:r>
            <w:r w:rsidRPr="0094588B">
              <w:rPr>
                <w:rFonts w:ascii="Calibri" w:eastAsia="Calibri" w:hAnsi="Calibri" w:cs="Calibri"/>
                <w:b/>
                <w:color w:val="000000"/>
                <w:sz w:val="18"/>
                <w:szCs w:val="18"/>
              </w:rPr>
              <w:br/>
              <w:t>(a)</w:t>
            </w:r>
          </w:p>
        </w:tc>
        <w:tc>
          <w:tcPr>
            <w:tcW w:w="1620" w:type="dxa"/>
            <w:tcBorders>
              <w:top w:val="single" w:sz="8" w:space="0" w:color="000000"/>
              <w:left w:val="nil"/>
              <w:bottom w:val="single" w:sz="8" w:space="0" w:color="000000"/>
              <w:right w:val="single" w:sz="8" w:space="0" w:color="000000"/>
            </w:tcBorders>
            <w:shd w:val="clear" w:color="auto" w:fill="C6D9F0" w:themeFill="text2" w:themeFillTint="33"/>
            <w:vAlign w:val="center"/>
          </w:tcPr>
          <w:p w:rsidR="00857198" w:rsidRPr="0094588B" w:rsidP="009C0C91" w14:paraId="3E7099A8" w14:textId="77777777">
            <w:pPr>
              <w:widowControl/>
              <w:spacing w:line="276" w:lineRule="auto"/>
              <w:jc w:val="center"/>
              <w:rPr>
                <w:rFonts w:ascii="Calibri" w:eastAsia="Calibri" w:hAnsi="Calibri" w:cs="Calibri"/>
                <w:b/>
                <w:color w:val="000000"/>
                <w:sz w:val="18"/>
                <w:szCs w:val="18"/>
              </w:rPr>
            </w:pPr>
            <w:r w:rsidRPr="0094588B">
              <w:rPr>
                <w:rFonts w:ascii="Calibri" w:eastAsia="Calibri" w:hAnsi="Calibri" w:cs="Calibri"/>
                <w:b/>
                <w:color w:val="000000"/>
                <w:sz w:val="18"/>
                <w:szCs w:val="18"/>
              </w:rPr>
              <w:t>Annual # of Responses / Respondent</w:t>
            </w:r>
            <w:r w:rsidRPr="0094588B">
              <w:rPr>
                <w:rFonts w:ascii="Calibri" w:eastAsia="Calibri" w:hAnsi="Calibri" w:cs="Calibri"/>
                <w:b/>
                <w:color w:val="000000"/>
                <w:sz w:val="18"/>
                <w:szCs w:val="18"/>
              </w:rPr>
              <w:br/>
              <w:t>(b)</w:t>
            </w:r>
          </w:p>
        </w:tc>
        <w:tc>
          <w:tcPr>
            <w:tcW w:w="1578" w:type="dxa"/>
            <w:tcBorders>
              <w:top w:val="single" w:sz="8" w:space="0" w:color="000000"/>
              <w:left w:val="nil"/>
              <w:bottom w:val="single" w:sz="8" w:space="0" w:color="000000"/>
              <w:right w:val="single" w:sz="8" w:space="0" w:color="000000"/>
            </w:tcBorders>
            <w:shd w:val="clear" w:color="auto" w:fill="C6D9F0" w:themeFill="text2" w:themeFillTint="33"/>
            <w:vAlign w:val="center"/>
          </w:tcPr>
          <w:p w:rsidR="00857198" w:rsidRPr="0094588B" w:rsidP="009C0C91" w14:paraId="00C386D2" w14:textId="77777777">
            <w:pPr>
              <w:widowControl/>
              <w:spacing w:line="276" w:lineRule="auto"/>
              <w:jc w:val="center"/>
              <w:rPr>
                <w:rFonts w:ascii="Calibri" w:eastAsia="Calibri" w:hAnsi="Calibri" w:cs="Calibri"/>
                <w:b/>
                <w:color w:val="000000"/>
                <w:sz w:val="18"/>
                <w:szCs w:val="18"/>
              </w:rPr>
            </w:pPr>
            <w:r w:rsidRPr="0094588B">
              <w:rPr>
                <w:rFonts w:ascii="Calibri" w:eastAsia="Calibri" w:hAnsi="Calibri" w:cs="Calibri"/>
                <w:b/>
                <w:color w:val="000000"/>
                <w:sz w:val="18"/>
                <w:szCs w:val="18"/>
              </w:rPr>
              <w:t xml:space="preserve"> Total # of Annual Responses</w:t>
            </w:r>
            <w:r w:rsidRPr="0094588B">
              <w:rPr>
                <w:rFonts w:ascii="Calibri" w:eastAsia="Calibri" w:hAnsi="Calibri" w:cs="Calibri"/>
                <w:b/>
                <w:color w:val="000000"/>
                <w:sz w:val="18"/>
                <w:szCs w:val="18"/>
              </w:rPr>
              <w:br/>
              <w:t>(c) = (a) x (b)</w:t>
            </w:r>
          </w:p>
        </w:tc>
        <w:tc>
          <w:tcPr>
            <w:tcW w:w="1887" w:type="dxa"/>
            <w:tcBorders>
              <w:top w:val="single" w:sz="8" w:space="0" w:color="000000"/>
              <w:left w:val="nil"/>
              <w:bottom w:val="single" w:sz="8" w:space="0" w:color="000000"/>
              <w:right w:val="single" w:sz="8" w:space="0" w:color="000000"/>
            </w:tcBorders>
            <w:shd w:val="clear" w:color="auto" w:fill="C6D9F0" w:themeFill="text2" w:themeFillTint="33"/>
            <w:vAlign w:val="center"/>
          </w:tcPr>
          <w:p w:rsidR="00857198" w:rsidRPr="0094588B" w:rsidP="009C0C91" w14:paraId="6817D006" w14:textId="77777777">
            <w:pPr>
              <w:widowControl/>
              <w:spacing w:line="276" w:lineRule="auto"/>
              <w:jc w:val="center"/>
              <w:rPr>
                <w:rFonts w:ascii="Calibri" w:eastAsia="Calibri" w:hAnsi="Calibri" w:cs="Calibri"/>
                <w:b/>
                <w:color w:val="000000"/>
                <w:sz w:val="18"/>
                <w:szCs w:val="18"/>
              </w:rPr>
            </w:pPr>
            <w:r w:rsidRPr="0094588B">
              <w:rPr>
                <w:rFonts w:ascii="Calibri" w:eastAsia="Calibri" w:hAnsi="Calibri" w:cs="Calibri"/>
                <w:b/>
                <w:color w:val="000000"/>
                <w:sz w:val="18"/>
                <w:szCs w:val="18"/>
              </w:rPr>
              <w:t>Cost Burden / Respondent</w:t>
            </w:r>
            <w:r w:rsidRPr="0094588B">
              <w:rPr>
                <w:rFonts w:ascii="Calibri" w:eastAsia="Calibri" w:hAnsi="Calibri" w:cs="Calibri"/>
                <w:b/>
                <w:color w:val="000000"/>
                <w:sz w:val="18"/>
                <w:szCs w:val="18"/>
              </w:rPr>
              <w:br/>
              <w:t>(h)</w:t>
            </w:r>
          </w:p>
        </w:tc>
        <w:tc>
          <w:tcPr>
            <w:tcW w:w="2005" w:type="dxa"/>
            <w:tcBorders>
              <w:top w:val="single" w:sz="8" w:space="0" w:color="000000"/>
              <w:left w:val="nil"/>
              <w:bottom w:val="single" w:sz="8" w:space="0" w:color="000000"/>
              <w:right w:val="single" w:sz="8" w:space="0" w:color="000000"/>
            </w:tcBorders>
            <w:shd w:val="clear" w:color="auto" w:fill="C6D9F0" w:themeFill="text2" w:themeFillTint="33"/>
            <w:vAlign w:val="center"/>
          </w:tcPr>
          <w:p w:rsidR="00857198" w:rsidRPr="0094588B" w:rsidP="009C0C91" w14:paraId="749456B0" w14:textId="77777777">
            <w:pPr>
              <w:widowControl/>
              <w:spacing w:line="276" w:lineRule="auto"/>
              <w:jc w:val="center"/>
              <w:rPr>
                <w:rFonts w:ascii="Calibri" w:eastAsia="Calibri" w:hAnsi="Calibri" w:cs="Calibri"/>
                <w:b/>
                <w:color w:val="000000"/>
                <w:sz w:val="18"/>
                <w:szCs w:val="18"/>
              </w:rPr>
            </w:pPr>
            <w:r w:rsidRPr="0094588B">
              <w:rPr>
                <w:rFonts w:ascii="Calibri" w:eastAsia="Calibri" w:hAnsi="Calibri" w:cs="Calibri"/>
                <w:b/>
                <w:color w:val="000000"/>
                <w:sz w:val="18"/>
                <w:szCs w:val="18"/>
              </w:rPr>
              <w:t>Total Annual Cost Burden</w:t>
            </w:r>
            <w:r w:rsidRPr="0094588B">
              <w:rPr>
                <w:rFonts w:ascii="Calibri" w:eastAsia="Calibri" w:hAnsi="Calibri" w:cs="Calibri"/>
                <w:b/>
                <w:color w:val="000000"/>
                <w:sz w:val="18"/>
                <w:szCs w:val="18"/>
              </w:rPr>
              <w:br/>
              <w:t>(i) = (c) x (h)</w:t>
            </w:r>
          </w:p>
        </w:tc>
      </w:tr>
      <w:tr w14:paraId="10B59EEB" w14:textId="77777777" w:rsidTr="008B2ED3">
        <w:tblPrEx>
          <w:tblW w:w="13470" w:type="dxa"/>
          <w:jc w:val="center"/>
          <w:tblLayout w:type="fixed"/>
          <w:tblLook w:val="0400"/>
        </w:tblPrEx>
        <w:trPr>
          <w:trHeight w:val="328"/>
          <w:jc w:val="center"/>
        </w:trPr>
        <w:tc>
          <w:tcPr>
            <w:tcW w:w="4670" w:type="dxa"/>
            <w:tcBorders>
              <w:top w:val="nil"/>
              <w:left w:val="single" w:sz="4" w:space="0" w:color="000000"/>
              <w:bottom w:val="single" w:sz="4" w:space="0" w:color="000000"/>
              <w:right w:val="single" w:sz="4" w:space="0" w:color="000000"/>
            </w:tcBorders>
            <w:vAlign w:val="center"/>
          </w:tcPr>
          <w:p w:rsidR="00E66A62" w:rsidRPr="007963B7" w:rsidP="00E66A62" w14:paraId="0CE14275" w14:textId="1E5B3E1D">
            <w:pPr>
              <w:widowControl/>
              <w:spacing w:line="276" w:lineRule="auto"/>
              <w:rPr>
                <w:rFonts w:asciiTheme="minorHAnsi" w:hAnsiTheme="minorHAnsi" w:cstheme="minorHAnsi"/>
                <w:sz w:val="18"/>
                <w:szCs w:val="18"/>
              </w:rPr>
            </w:pPr>
            <w:r w:rsidRPr="007963B7">
              <w:rPr>
                <w:rFonts w:asciiTheme="minorHAnsi" w:hAnsiTheme="minorHAnsi" w:cstheme="minorHAnsi"/>
                <w:sz w:val="18"/>
                <w:szCs w:val="18"/>
              </w:rPr>
              <w:t>Application for Approval of Use of Non-CDQ Harvest Regulations</w:t>
            </w:r>
          </w:p>
        </w:tc>
        <w:tc>
          <w:tcPr>
            <w:tcW w:w="1710" w:type="dxa"/>
            <w:tcBorders>
              <w:top w:val="nil"/>
              <w:left w:val="nil"/>
              <w:bottom w:val="single" w:sz="4" w:space="0" w:color="000000"/>
              <w:right w:val="single" w:sz="4" w:space="0" w:color="000000"/>
            </w:tcBorders>
            <w:shd w:val="clear" w:color="auto" w:fill="FFFFFF"/>
            <w:vAlign w:val="center"/>
          </w:tcPr>
          <w:p w:rsidR="00E66A62" w:rsidRPr="007963B7" w:rsidP="00E66A62" w14:paraId="38BF4591" w14:textId="2D6AAA4A">
            <w:pPr>
              <w:widowControl/>
              <w:spacing w:line="276" w:lineRule="auto"/>
              <w:jc w:val="center"/>
              <w:rPr>
                <w:rFonts w:ascii="Calibri" w:eastAsia="Calibri" w:hAnsi="Calibri" w:cs="Calibri"/>
                <w:color w:val="000000"/>
                <w:sz w:val="18"/>
                <w:szCs w:val="18"/>
              </w:rPr>
            </w:pPr>
            <w:r w:rsidRPr="007963B7">
              <w:rPr>
                <w:rFonts w:ascii="Calibri" w:eastAsia="Calibri" w:hAnsi="Calibri" w:cs="Calibri"/>
                <w:color w:val="000000"/>
                <w:sz w:val="18"/>
                <w:szCs w:val="18"/>
              </w:rPr>
              <w:t>0</w:t>
            </w:r>
          </w:p>
        </w:tc>
        <w:tc>
          <w:tcPr>
            <w:tcW w:w="1620" w:type="dxa"/>
            <w:tcBorders>
              <w:top w:val="nil"/>
              <w:left w:val="nil"/>
              <w:bottom w:val="single" w:sz="4" w:space="0" w:color="000000"/>
              <w:right w:val="single" w:sz="4" w:space="0" w:color="000000"/>
            </w:tcBorders>
            <w:vAlign w:val="center"/>
          </w:tcPr>
          <w:p w:rsidR="00E66A62" w:rsidRPr="007963B7" w:rsidP="00E66A62" w14:paraId="1CDC94F5" w14:textId="7013A4DC">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578" w:type="dxa"/>
            <w:tcBorders>
              <w:top w:val="nil"/>
              <w:left w:val="nil"/>
              <w:bottom w:val="single" w:sz="4" w:space="0" w:color="000000"/>
              <w:right w:val="single" w:sz="4" w:space="0" w:color="000000"/>
            </w:tcBorders>
            <w:vAlign w:val="center"/>
          </w:tcPr>
          <w:p w:rsidR="00E66A62" w:rsidRPr="007963B7" w:rsidP="00E66A62" w14:paraId="554B4734" w14:textId="3CA86CCE">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887" w:type="dxa"/>
            <w:tcBorders>
              <w:top w:val="nil"/>
              <w:left w:val="nil"/>
              <w:bottom w:val="single" w:sz="4" w:space="0" w:color="auto"/>
              <w:right w:val="single" w:sz="4" w:space="0" w:color="auto"/>
            </w:tcBorders>
            <w:shd w:val="clear" w:color="000000" w:fill="FFFFFF"/>
            <w:vAlign w:val="center"/>
          </w:tcPr>
          <w:p w:rsidR="00E66A62" w:rsidRPr="007963B7" w:rsidP="00E66A62" w14:paraId="43F78BAE" w14:textId="2462EF6F">
            <w:pPr>
              <w:widowControl/>
              <w:spacing w:line="276" w:lineRule="auto"/>
              <w:jc w:val="center"/>
              <w:rPr>
                <w:rFonts w:ascii="Calibri" w:hAnsi="Calibri" w:cs="Calibri"/>
                <w:color w:val="000000"/>
                <w:sz w:val="18"/>
                <w:szCs w:val="18"/>
              </w:rPr>
            </w:pPr>
            <w:r w:rsidRPr="007963B7">
              <w:rPr>
                <w:rFonts w:ascii="Calibri" w:hAnsi="Calibri" w:cs="Calibri"/>
                <w:color w:val="000000"/>
                <w:sz w:val="18"/>
                <w:szCs w:val="18"/>
              </w:rPr>
              <w:t>Operating costs - $5</w:t>
            </w:r>
          </w:p>
        </w:tc>
        <w:tc>
          <w:tcPr>
            <w:tcW w:w="2005" w:type="dxa"/>
            <w:tcBorders>
              <w:top w:val="nil"/>
              <w:left w:val="nil"/>
              <w:bottom w:val="single" w:sz="4" w:space="0" w:color="000000"/>
              <w:right w:val="single" w:sz="8" w:space="0" w:color="000000"/>
            </w:tcBorders>
            <w:shd w:val="clear" w:color="auto" w:fill="FFFFFF"/>
            <w:vAlign w:val="center"/>
          </w:tcPr>
          <w:p w:rsidR="00E66A62" w:rsidRPr="007963B7" w:rsidP="00E66A62" w14:paraId="0AB65A5F" w14:textId="02882B94">
            <w:pPr>
              <w:widowControl/>
              <w:spacing w:line="276" w:lineRule="auto"/>
              <w:jc w:val="center"/>
              <w:rPr>
                <w:rFonts w:ascii="Calibri" w:eastAsia="Calibri" w:hAnsi="Calibri" w:cs="Calibri"/>
                <w:color w:val="000000"/>
                <w:sz w:val="18"/>
                <w:szCs w:val="18"/>
              </w:rPr>
            </w:pPr>
            <w:r w:rsidRPr="007963B7">
              <w:rPr>
                <w:rFonts w:ascii="Calibri" w:eastAsia="Calibri" w:hAnsi="Calibri" w:cs="Calibri"/>
                <w:color w:val="000000"/>
                <w:sz w:val="18"/>
                <w:szCs w:val="18"/>
              </w:rPr>
              <w:t>0</w:t>
            </w:r>
          </w:p>
        </w:tc>
      </w:tr>
      <w:tr w14:paraId="2FBE4C19" w14:textId="77777777" w:rsidTr="008B2ED3">
        <w:tblPrEx>
          <w:tblW w:w="13470" w:type="dxa"/>
          <w:jc w:val="center"/>
          <w:tblLayout w:type="fixed"/>
          <w:tblLook w:val="0400"/>
        </w:tblPrEx>
        <w:trPr>
          <w:trHeight w:val="328"/>
          <w:jc w:val="center"/>
        </w:trPr>
        <w:tc>
          <w:tcPr>
            <w:tcW w:w="4670" w:type="dxa"/>
            <w:tcBorders>
              <w:top w:val="nil"/>
              <w:left w:val="single" w:sz="4" w:space="0" w:color="000000"/>
              <w:bottom w:val="single" w:sz="4" w:space="0" w:color="000000"/>
              <w:right w:val="single" w:sz="4" w:space="0" w:color="000000"/>
            </w:tcBorders>
            <w:vAlign w:val="center"/>
          </w:tcPr>
          <w:p w:rsidR="00857198" w:rsidRPr="007963B7" w:rsidP="009C0C91" w14:paraId="1E303CFA" w14:textId="77777777">
            <w:pPr>
              <w:widowControl/>
              <w:spacing w:line="276" w:lineRule="auto"/>
              <w:rPr>
                <w:rFonts w:eastAsia="Calibri" w:asciiTheme="minorHAnsi" w:hAnsiTheme="minorHAnsi" w:cstheme="minorHAnsi"/>
                <w:color w:val="000000"/>
                <w:sz w:val="18"/>
                <w:szCs w:val="18"/>
              </w:rPr>
            </w:pPr>
            <w:r w:rsidRPr="007963B7">
              <w:rPr>
                <w:rFonts w:asciiTheme="minorHAnsi" w:hAnsiTheme="minorHAnsi" w:cstheme="minorHAnsi"/>
                <w:sz w:val="18"/>
                <w:szCs w:val="18"/>
              </w:rPr>
              <w:t>Groundfish/Halibut CDQ and Prohibited Species Quota (PSQ) Transfer Request</w:t>
            </w:r>
          </w:p>
        </w:tc>
        <w:tc>
          <w:tcPr>
            <w:tcW w:w="1710" w:type="dxa"/>
            <w:tcBorders>
              <w:top w:val="nil"/>
              <w:left w:val="nil"/>
              <w:bottom w:val="single" w:sz="4" w:space="0" w:color="000000"/>
              <w:right w:val="single" w:sz="4" w:space="0" w:color="000000"/>
            </w:tcBorders>
            <w:shd w:val="clear" w:color="auto" w:fill="FFFFFF"/>
            <w:vAlign w:val="center"/>
          </w:tcPr>
          <w:p w:rsidR="00857198" w:rsidRPr="007963B7" w:rsidP="009C0C91" w14:paraId="3B9FFB51" w14:textId="77777777">
            <w:pPr>
              <w:widowControl/>
              <w:spacing w:line="276" w:lineRule="auto"/>
              <w:jc w:val="center"/>
              <w:rPr>
                <w:rFonts w:ascii="Calibri" w:eastAsia="Calibri" w:hAnsi="Calibri" w:cs="Calibri"/>
                <w:color w:val="000000"/>
                <w:sz w:val="18"/>
                <w:szCs w:val="18"/>
              </w:rPr>
            </w:pPr>
            <w:r w:rsidRPr="007963B7">
              <w:rPr>
                <w:rFonts w:ascii="Calibri" w:eastAsia="Calibri" w:hAnsi="Calibri" w:cs="Calibri"/>
                <w:color w:val="000000"/>
                <w:sz w:val="18"/>
                <w:szCs w:val="18"/>
              </w:rPr>
              <w:t>6</w:t>
            </w:r>
          </w:p>
        </w:tc>
        <w:tc>
          <w:tcPr>
            <w:tcW w:w="1620" w:type="dxa"/>
            <w:tcBorders>
              <w:top w:val="nil"/>
              <w:left w:val="nil"/>
              <w:bottom w:val="single" w:sz="4" w:space="0" w:color="000000"/>
              <w:right w:val="single" w:sz="4" w:space="0" w:color="000000"/>
            </w:tcBorders>
            <w:vAlign w:val="center"/>
          </w:tcPr>
          <w:p w:rsidR="00857198" w:rsidRPr="007963B7" w:rsidP="009C0C91" w14:paraId="03792A9F" w14:textId="77777777">
            <w:pPr>
              <w:widowControl/>
              <w:spacing w:line="276" w:lineRule="auto"/>
              <w:jc w:val="center"/>
              <w:rPr>
                <w:rFonts w:ascii="Calibri" w:eastAsia="Calibri" w:hAnsi="Calibri" w:cs="Calibri"/>
                <w:color w:val="000000"/>
                <w:sz w:val="18"/>
                <w:szCs w:val="18"/>
              </w:rPr>
            </w:pPr>
            <w:r w:rsidRPr="007963B7">
              <w:rPr>
                <w:rFonts w:eastAsia="Calibri" w:asciiTheme="minorHAnsi" w:hAnsiTheme="minorHAnsi" w:cstheme="minorHAnsi"/>
                <w:color w:val="000000"/>
                <w:sz w:val="18"/>
                <w:szCs w:val="18"/>
              </w:rPr>
              <w:t>12</w:t>
            </w:r>
          </w:p>
        </w:tc>
        <w:tc>
          <w:tcPr>
            <w:tcW w:w="1578" w:type="dxa"/>
            <w:tcBorders>
              <w:top w:val="nil"/>
              <w:left w:val="nil"/>
              <w:bottom w:val="single" w:sz="4" w:space="0" w:color="000000"/>
              <w:right w:val="single" w:sz="4" w:space="0" w:color="000000"/>
            </w:tcBorders>
            <w:vAlign w:val="center"/>
          </w:tcPr>
          <w:p w:rsidR="00857198" w:rsidRPr="007963B7" w:rsidP="009C0C91" w14:paraId="5A64C138" w14:textId="77777777">
            <w:pPr>
              <w:widowControl/>
              <w:spacing w:line="276" w:lineRule="auto"/>
              <w:jc w:val="center"/>
              <w:rPr>
                <w:rFonts w:ascii="Calibri" w:eastAsia="Calibri" w:hAnsi="Calibri" w:cs="Calibri"/>
                <w:color w:val="000000"/>
                <w:sz w:val="18"/>
                <w:szCs w:val="18"/>
              </w:rPr>
            </w:pPr>
            <w:r w:rsidRPr="007963B7">
              <w:rPr>
                <w:rFonts w:eastAsia="Calibri" w:asciiTheme="minorHAnsi" w:hAnsiTheme="minorHAnsi" w:cstheme="minorHAnsi"/>
                <w:color w:val="000000"/>
                <w:sz w:val="18"/>
                <w:szCs w:val="18"/>
              </w:rPr>
              <w:t>72</w:t>
            </w:r>
          </w:p>
        </w:tc>
        <w:tc>
          <w:tcPr>
            <w:tcW w:w="1887" w:type="dxa"/>
            <w:tcBorders>
              <w:top w:val="nil"/>
              <w:left w:val="nil"/>
              <w:bottom w:val="single" w:sz="4" w:space="0" w:color="auto"/>
              <w:right w:val="single" w:sz="4" w:space="0" w:color="auto"/>
            </w:tcBorders>
            <w:shd w:val="clear" w:color="000000" w:fill="FFFFFF"/>
            <w:vAlign w:val="center"/>
          </w:tcPr>
          <w:p w:rsidR="00857198" w:rsidRPr="007963B7" w:rsidP="009C0C91" w14:paraId="665568AB" w14:textId="77777777">
            <w:pPr>
              <w:widowControl/>
              <w:spacing w:line="276" w:lineRule="auto"/>
              <w:jc w:val="center"/>
              <w:rPr>
                <w:rFonts w:ascii="Calibri" w:eastAsia="Calibri" w:hAnsi="Calibri" w:cs="Calibri"/>
                <w:color w:val="000000"/>
                <w:sz w:val="18"/>
                <w:szCs w:val="18"/>
              </w:rPr>
            </w:pPr>
            <w:r w:rsidRPr="007963B7">
              <w:rPr>
                <w:rFonts w:ascii="Calibri" w:hAnsi="Calibri" w:cs="Calibri"/>
                <w:color w:val="000000"/>
                <w:sz w:val="18"/>
                <w:szCs w:val="18"/>
              </w:rPr>
              <w:t>$0</w:t>
            </w:r>
          </w:p>
        </w:tc>
        <w:tc>
          <w:tcPr>
            <w:tcW w:w="2005" w:type="dxa"/>
            <w:tcBorders>
              <w:top w:val="nil"/>
              <w:left w:val="nil"/>
              <w:bottom w:val="single" w:sz="4" w:space="0" w:color="000000"/>
              <w:right w:val="single" w:sz="8" w:space="0" w:color="000000"/>
            </w:tcBorders>
            <w:shd w:val="clear" w:color="auto" w:fill="FFFFFF"/>
            <w:vAlign w:val="center"/>
          </w:tcPr>
          <w:p w:rsidR="00857198" w:rsidRPr="007963B7" w:rsidP="009C0C91" w14:paraId="759D5477" w14:textId="77777777">
            <w:pPr>
              <w:widowControl/>
              <w:spacing w:line="276" w:lineRule="auto"/>
              <w:jc w:val="center"/>
              <w:rPr>
                <w:rFonts w:ascii="Calibri" w:eastAsia="Calibri" w:hAnsi="Calibri" w:cs="Calibri"/>
                <w:color w:val="000000"/>
                <w:sz w:val="18"/>
                <w:szCs w:val="18"/>
              </w:rPr>
            </w:pPr>
            <w:r w:rsidRPr="007963B7">
              <w:rPr>
                <w:rFonts w:ascii="Calibri" w:eastAsia="Calibri" w:hAnsi="Calibri" w:cs="Calibri"/>
                <w:color w:val="000000"/>
                <w:sz w:val="18"/>
                <w:szCs w:val="18"/>
              </w:rPr>
              <w:t>0</w:t>
            </w:r>
          </w:p>
        </w:tc>
      </w:tr>
      <w:tr w14:paraId="261F5237" w14:textId="77777777" w:rsidTr="008B2ED3">
        <w:tblPrEx>
          <w:tblW w:w="13470" w:type="dxa"/>
          <w:jc w:val="center"/>
          <w:tblLayout w:type="fixed"/>
          <w:tblLook w:val="0400"/>
        </w:tblPrEx>
        <w:trPr>
          <w:trHeight w:val="328"/>
          <w:jc w:val="center"/>
        </w:trPr>
        <w:tc>
          <w:tcPr>
            <w:tcW w:w="4670" w:type="dxa"/>
            <w:tcBorders>
              <w:top w:val="nil"/>
              <w:left w:val="single" w:sz="4" w:space="0" w:color="000000"/>
              <w:bottom w:val="single" w:sz="4" w:space="0" w:color="000000"/>
              <w:right w:val="single" w:sz="4" w:space="0" w:color="000000"/>
            </w:tcBorders>
            <w:vAlign w:val="center"/>
          </w:tcPr>
          <w:p w:rsidR="00E66A62" w:rsidRPr="007963B7" w:rsidP="00E66A62" w14:paraId="78B0EFCA" w14:textId="56DB8AB3">
            <w:pPr>
              <w:widowControl/>
              <w:spacing w:line="276" w:lineRule="auto"/>
              <w:rPr>
                <w:rFonts w:asciiTheme="minorHAnsi" w:hAnsiTheme="minorHAnsi" w:cstheme="minorHAnsi"/>
                <w:sz w:val="18"/>
                <w:szCs w:val="18"/>
              </w:rPr>
            </w:pPr>
            <w:r w:rsidRPr="007963B7">
              <w:rPr>
                <w:rFonts w:asciiTheme="minorHAnsi" w:hAnsiTheme="minorHAnsi" w:cstheme="minorHAnsi"/>
                <w:sz w:val="18"/>
                <w:szCs w:val="18"/>
              </w:rPr>
              <w:t>CDQ Vessel Registration System</w:t>
            </w:r>
          </w:p>
        </w:tc>
        <w:tc>
          <w:tcPr>
            <w:tcW w:w="1710" w:type="dxa"/>
            <w:tcBorders>
              <w:top w:val="nil"/>
              <w:left w:val="nil"/>
              <w:bottom w:val="single" w:sz="4" w:space="0" w:color="000000"/>
              <w:right w:val="single" w:sz="4" w:space="0" w:color="000000"/>
            </w:tcBorders>
            <w:shd w:val="clear" w:color="auto" w:fill="FFFFFF"/>
            <w:vAlign w:val="center"/>
          </w:tcPr>
          <w:p w:rsidR="00E66A62" w:rsidRPr="007963B7" w:rsidP="00E66A62" w14:paraId="36EBFF7C" w14:textId="3F64D6E2">
            <w:pPr>
              <w:widowControl/>
              <w:spacing w:line="276" w:lineRule="auto"/>
              <w:jc w:val="center"/>
              <w:rPr>
                <w:rFonts w:ascii="Calibri" w:eastAsia="Calibri" w:hAnsi="Calibri" w:cs="Calibri"/>
                <w:color w:val="000000"/>
                <w:sz w:val="18"/>
                <w:szCs w:val="18"/>
              </w:rPr>
            </w:pPr>
            <w:r w:rsidRPr="007963B7">
              <w:rPr>
                <w:rFonts w:ascii="Calibri" w:eastAsia="Calibri" w:hAnsi="Calibri" w:cs="Calibri"/>
                <w:color w:val="000000"/>
                <w:sz w:val="18"/>
                <w:szCs w:val="18"/>
              </w:rPr>
              <w:t>0</w:t>
            </w:r>
          </w:p>
        </w:tc>
        <w:tc>
          <w:tcPr>
            <w:tcW w:w="1620" w:type="dxa"/>
            <w:tcBorders>
              <w:top w:val="nil"/>
              <w:left w:val="nil"/>
              <w:bottom w:val="single" w:sz="4" w:space="0" w:color="000000"/>
              <w:right w:val="single" w:sz="4" w:space="0" w:color="000000"/>
            </w:tcBorders>
            <w:vAlign w:val="center"/>
          </w:tcPr>
          <w:p w:rsidR="00E66A62" w:rsidRPr="007963B7" w:rsidP="00E66A62" w14:paraId="16B50F7E" w14:textId="1A947E7C">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578" w:type="dxa"/>
            <w:tcBorders>
              <w:top w:val="nil"/>
              <w:left w:val="nil"/>
              <w:bottom w:val="single" w:sz="4" w:space="0" w:color="000000"/>
              <w:right w:val="single" w:sz="4" w:space="0" w:color="000000"/>
            </w:tcBorders>
            <w:vAlign w:val="center"/>
          </w:tcPr>
          <w:p w:rsidR="00E66A62" w:rsidRPr="007963B7" w:rsidP="00E66A62" w14:paraId="3B200747" w14:textId="4DC5217B">
            <w:pPr>
              <w:widowControl/>
              <w:spacing w:line="276" w:lineRule="auto"/>
              <w:jc w:val="center"/>
              <w:rPr>
                <w:rFonts w:eastAsia="Calibri" w:asciiTheme="minorHAnsi" w:hAnsiTheme="minorHAnsi" w:cstheme="minorHAnsi"/>
                <w:color w:val="000000"/>
                <w:sz w:val="18"/>
                <w:szCs w:val="18"/>
              </w:rPr>
            </w:pPr>
            <w:r w:rsidRPr="007963B7">
              <w:rPr>
                <w:rFonts w:eastAsia="Calibri" w:asciiTheme="minorHAnsi" w:hAnsiTheme="minorHAnsi" w:cstheme="minorHAnsi"/>
                <w:color w:val="000000"/>
                <w:sz w:val="18"/>
                <w:szCs w:val="18"/>
              </w:rPr>
              <w:t>0</w:t>
            </w:r>
          </w:p>
        </w:tc>
        <w:tc>
          <w:tcPr>
            <w:tcW w:w="1887" w:type="dxa"/>
            <w:tcBorders>
              <w:top w:val="nil"/>
              <w:left w:val="nil"/>
              <w:bottom w:val="single" w:sz="4" w:space="0" w:color="auto"/>
              <w:right w:val="single" w:sz="4" w:space="0" w:color="auto"/>
            </w:tcBorders>
            <w:shd w:val="clear" w:color="000000" w:fill="FFFFFF"/>
            <w:vAlign w:val="center"/>
          </w:tcPr>
          <w:p w:rsidR="00E66A62" w:rsidRPr="007963B7" w:rsidP="00E66A62" w14:paraId="56C3F29A" w14:textId="1EA23BA2">
            <w:pPr>
              <w:widowControl/>
              <w:spacing w:line="276" w:lineRule="auto"/>
              <w:jc w:val="center"/>
              <w:rPr>
                <w:rFonts w:ascii="Calibri" w:hAnsi="Calibri" w:cs="Calibri"/>
                <w:color w:val="000000"/>
                <w:sz w:val="18"/>
                <w:szCs w:val="18"/>
              </w:rPr>
            </w:pPr>
            <w:r w:rsidRPr="007963B7">
              <w:rPr>
                <w:rFonts w:ascii="Calibri" w:hAnsi="Calibri" w:cs="Calibri"/>
                <w:color w:val="000000"/>
                <w:sz w:val="18"/>
                <w:szCs w:val="18"/>
              </w:rPr>
              <w:t>$0</w:t>
            </w:r>
          </w:p>
        </w:tc>
        <w:tc>
          <w:tcPr>
            <w:tcW w:w="2005" w:type="dxa"/>
            <w:tcBorders>
              <w:top w:val="nil"/>
              <w:left w:val="nil"/>
              <w:bottom w:val="single" w:sz="4" w:space="0" w:color="000000"/>
              <w:right w:val="single" w:sz="8" w:space="0" w:color="000000"/>
            </w:tcBorders>
            <w:shd w:val="clear" w:color="auto" w:fill="FFFFFF"/>
            <w:vAlign w:val="center"/>
          </w:tcPr>
          <w:p w:rsidR="00E66A62" w:rsidRPr="007963B7" w:rsidP="00E66A62" w14:paraId="363EE68C" w14:textId="50D6886C">
            <w:pPr>
              <w:widowControl/>
              <w:spacing w:line="276" w:lineRule="auto"/>
              <w:jc w:val="center"/>
              <w:rPr>
                <w:rFonts w:ascii="Calibri" w:eastAsia="Calibri" w:hAnsi="Calibri" w:cs="Calibri"/>
                <w:color w:val="000000"/>
                <w:sz w:val="18"/>
                <w:szCs w:val="18"/>
              </w:rPr>
            </w:pPr>
            <w:r w:rsidRPr="007963B7">
              <w:rPr>
                <w:rFonts w:ascii="Calibri" w:eastAsia="Calibri" w:hAnsi="Calibri" w:cs="Calibri"/>
                <w:color w:val="000000"/>
                <w:sz w:val="18"/>
                <w:szCs w:val="18"/>
              </w:rPr>
              <w:t>0</w:t>
            </w:r>
          </w:p>
        </w:tc>
      </w:tr>
      <w:tr w14:paraId="615FF1F7" w14:textId="77777777" w:rsidTr="008B2ED3">
        <w:tblPrEx>
          <w:tblW w:w="13470" w:type="dxa"/>
          <w:jc w:val="center"/>
          <w:tblLayout w:type="fixed"/>
          <w:tblLook w:val="0400"/>
        </w:tblPrEx>
        <w:trPr>
          <w:trHeight w:val="328"/>
          <w:jc w:val="center"/>
        </w:trPr>
        <w:tc>
          <w:tcPr>
            <w:tcW w:w="4670" w:type="dxa"/>
            <w:tcBorders>
              <w:top w:val="nil"/>
              <w:left w:val="single" w:sz="4" w:space="0" w:color="000000"/>
              <w:bottom w:val="nil"/>
              <w:right w:val="single" w:sz="4" w:space="0" w:color="000000"/>
            </w:tcBorders>
            <w:vAlign w:val="center"/>
          </w:tcPr>
          <w:p w:rsidR="00857198" w:rsidRPr="007963B7" w:rsidP="009C0C91" w14:paraId="7345A725" w14:textId="77777777">
            <w:pPr>
              <w:widowControl/>
              <w:spacing w:line="276" w:lineRule="auto"/>
              <w:rPr>
                <w:rFonts w:eastAsia="Calibri" w:asciiTheme="minorHAnsi" w:hAnsiTheme="minorHAnsi" w:cstheme="minorHAnsi"/>
                <w:color w:val="000000"/>
                <w:sz w:val="18"/>
                <w:szCs w:val="18"/>
              </w:rPr>
            </w:pPr>
            <w:r w:rsidRPr="007963B7">
              <w:rPr>
                <w:rFonts w:asciiTheme="minorHAnsi" w:hAnsiTheme="minorHAnsi" w:cstheme="minorHAnsi"/>
                <w:sz w:val="18"/>
                <w:szCs w:val="18"/>
              </w:rPr>
              <w:t>Appeals</w:t>
            </w:r>
          </w:p>
        </w:tc>
        <w:tc>
          <w:tcPr>
            <w:tcW w:w="1710" w:type="dxa"/>
            <w:tcBorders>
              <w:top w:val="nil"/>
              <w:left w:val="nil"/>
              <w:bottom w:val="nil"/>
              <w:right w:val="single" w:sz="4" w:space="0" w:color="000000"/>
            </w:tcBorders>
            <w:shd w:val="clear" w:color="auto" w:fill="FFFFFF"/>
            <w:vAlign w:val="center"/>
          </w:tcPr>
          <w:p w:rsidR="00857198" w:rsidRPr="007963B7" w:rsidP="009C0C91" w14:paraId="522A1959" w14:textId="77777777">
            <w:pPr>
              <w:widowControl/>
              <w:spacing w:line="276" w:lineRule="auto"/>
              <w:jc w:val="center"/>
              <w:rPr>
                <w:rFonts w:ascii="Calibri" w:eastAsia="Calibri" w:hAnsi="Calibri" w:cs="Calibri"/>
                <w:color w:val="000000"/>
                <w:sz w:val="18"/>
                <w:szCs w:val="18"/>
              </w:rPr>
            </w:pPr>
            <w:r w:rsidRPr="007963B7">
              <w:rPr>
                <w:rFonts w:ascii="Calibri" w:eastAsia="Calibri" w:hAnsi="Calibri" w:cs="Calibri"/>
                <w:color w:val="000000"/>
                <w:sz w:val="18"/>
                <w:szCs w:val="18"/>
              </w:rPr>
              <w:t>0</w:t>
            </w:r>
          </w:p>
        </w:tc>
        <w:tc>
          <w:tcPr>
            <w:tcW w:w="1620" w:type="dxa"/>
            <w:tcBorders>
              <w:top w:val="nil"/>
              <w:left w:val="nil"/>
              <w:bottom w:val="single" w:sz="4" w:space="0" w:color="000000"/>
              <w:right w:val="single" w:sz="4" w:space="0" w:color="000000"/>
            </w:tcBorders>
            <w:vAlign w:val="center"/>
          </w:tcPr>
          <w:p w:rsidR="00857198" w:rsidRPr="007963B7" w:rsidP="009C0C91" w14:paraId="341B3C2E" w14:textId="77777777">
            <w:pPr>
              <w:widowControl/>
              <w:spacing w:line="276" w:lineRule="auto"/>
              <w:jc w:val="center"/>
              <w:rPr>
                <w:rFonts w:ascii="Calibri" w:eastAsia="Calibri" w:hAnsi="Calibri" w:cs="Calibri"/>
                <w:color w:val="000000"/>
                <w:sz w:val="18"/>
                <w:szCs w:val="18"/>
              </w:rPr>
            </w:pPr>
            <w:r w:rsidRPr="007963B7">
              <w:rPr>
                <w:rFonts w:eastAsia="Calibri" w:asciiTheme="minorHAnsi" w:hAnsiTheme="minorHAnsi" w:cstheme="minorHAnsi"/>
                <w:color w:val="000000"/>
                <w:sz w:val="18"/>
                <w:szCs w:val="18"/>
              </w:rPr>
              <w:t>0</w:t>
            </w:r>
          </w:p>
        </w:tc>
        <w:tc>
          <w:tcPr>
            <w:tcW w:w="1578" w:type="dxa"/>
            <w:tcBorders>
              <w:top w:val="nil"/>
              <w:left w:val="nil"/>
              <w:bottom w:val="single" w:sz="4" w:space="0" w:color="000000"/>
              <w:right w:val="single" w:sz="4" w:space="0" w:color="000000"/>
            </w:tcBorders>
            <w:vAlign w:val="center"/>
          </w:tcPr>
          <w:p w:rsidR="00857198" w:rsidRPr="007963B7" w:rsidP="009C0C91" w14:paraId="13E08A2E" w14:textId="77777777">
            <w:pPr>
              <w:widowControl/>
              <w:spacing w:line="276" w:lineRule="auto"/>
              <w:jc w:val="center"/>
              <w:rPr>
                <w:rFonts w:ascii="Calibri" w:eastAsia="Calibri" w:hAnsi="Calibri" w:cs="Calibri"/>
                <w:color w:val="000000"/>
                <w:sz w:val="18"/>
                <w:szCs w:val="18"/>
              </w:rPr>
            </w:pPr>
            <w:r w:rsidRPr="007963B7">
              <w:rPr>
                <w:rFonts w:eastAsia="Calibri" w:asciiTheme="minorHAnsi" w:hAnsiTheme="minorHAnsi" w:cstheme="minorHAnsi"/>
                <w:color w:val="000000"/>
                <w:sz w:val="18"/>
                <w:szCs w:val="18"/>
              </w:rPr>
              <w:t>0</w:t>
            </w:r>
          </w:p>
        </w:tc>
        <w:tc>
          <w:tcPr>
            <w:tcW w:w="1887" w:type="dxa"/>
            <w:tcBorders>
              <w:top w:val="nil"/>
              <w:left w:val="nil"/>
              <w:bottom w:val="single" w:sz="4" w:space="0" w:color="auto"/>
              <w:right w:val="single" w:sz="4" w:space="0" w:color="auto"/>
            </w:tcBorders>
            <w:shd w:val="clear" w:color="000000" w:fill="FFFFFF"/>
            <w:vAlign w:val="center"/>
          </w:tcPr>
          <w:p w:rsidR="00857198" w:rsidRPr="007963B7" w:rsidP="009C0C91" w14:paraId="2821B58B" w14:textId="52EC62D3">
            <w:pPr>
              <w:keepNext/>
              <w:widowControl/>
              <w:spacing w:line="276" w:lineRule="auto"/>
              <w:jc w:val="center"/>
              <w:rPr>
                <w:rFonts w:ascii="Calibri" w:hAnsi="Calibri" w:cs="Calibri"/>
                <w:color w:val="000000"/>
                <w:sz w:val="18"/>
                <w:szCs w:val="18"/>
              </w:rPr>
            </w:pPr>
            <w:r>
              <w:rPr>
                <w:rFonts w:ascii="Calibri" w:hAnsi="Calibri" w:cs="Calibri"/>
                <w:color w:val="000000"/>
                <w:sz w:val="18"/>
                <w:szCs w:val="18"/>
              </w:rPr>
              <w:t>A</w:t>
            </w:r>
            <w:r w:rsidRPr="007963B7">
              <w:rPr>
                <w:rFonts w:ascii="Calibri" w:hAnsi="Calibri" w:cs="Calibri"/>
                <w:color w:val="000000"/>
                <w:sz w:val="18"/>
                <w:szCs w:val="18"/>
              </w:rPr>
              <w:t>ttorney - $</w:t>
            </w:r>
            <w:r>
              <w:rPr>
                <w:rFonts w:ascii="Calibri" w:hAnsi="Calibri" w:cs="Calibri"/>
                <w:color w:val="000000"/>
                <w:sz w:val="18"/>
                <w:szCs w:val="18"/>
              </w:rPr>
              <w:t>322.88</w:t>
            </w:r>
            <w:r w:rsidRPr="007963B7">
              <w:rPr>
                <w:rFonts w:ascii="Calibri" w:hAnsi="Calibri" w:cs="Calibri"/>
                <w:color w:val="000000"/>
                <w:sz w:val="18"/>
                <w:szCs w:val="18"/>
                <w:vertAlign w:val="superscript"/>
              </w:rPr>
              <w:t>1</w:t>
            </w:r>
          </w:p>
          <w:p w:rsidR="00857198" w:rsidRPr="007963B7" w:rsidP="009C0C91" w14:paraId="303E5D21" w14:textId="77777777">
            <w:pPr>
              <w:widowControl/>
              <w:spacing w:line="276" w:lineRule="auto"/>
              <w:jc w:val="center"/>
              <w:rPr>
                <w:rFonts w:ascii="Calibri" w:eastAsia="Calibri" w:hAnsi="Calibri" w:cs="Calibri"/>
                <w:color w:val="000000"/>
                <w:sz w:val="18"/>
                <w:szCs w:val="18"/>
              </w:rPr>
            </w:pPr>
            <w:r w:rsidRPr="007963B7">
              <w:rPr>
                <w:rFonts w:ascii="Calibri" w:hAnsi="Calibri" w:cs="Calibri"/>
                <w:color w:val="000000"/>
                <w:sz w:val="18"/>
                <w:szCs w:val="18"/>
              </w:rPr>
              <w:t>Operating costs - $5</w:t>
            </w:r>
          </w:p>
        </w:tc>
        <w:tc>
          <w:tcPr>
            <w:tcW w:w="2005" w:type="dxa"/>
            <w:tcBorders>
              <w:top w:val="nil"/>
              <w:left w:val="nil"/>
              <w:bottom w:val="nil"/>
              <w:right w:val="single" w:sz="8" w:space="0" w:color="000000"/>
            </w:tcBorders>
            <w:shd w:val="clear" w:color="auto" w:fill="FFFFFF"/>
            <w:vAlign w:val="center"/>
          </w:tcPr>
          <w:p w:rsidR="00857198" w:rsidRPr="007963B7" w:rsidP="009C0C91" w14:paraId="63878757" w14:textId="77777777">
            <w:pPr>
              <w:widowControl/>
              <w:spacing w:line="276" w:lineRule="auto"/>
              <w:jc w:val="center"/>
              <w:rPr>
                <w:rFonts w:ascii="Calibri" w:eastAsia="Calibri" w:hAnsi="Calibri" w:cs="Calibri"/>
                <w:color w:val="000000"/>
                <w:sz w:val="18"/>
                <w:szCs w:val="18"/>
              </w:rPr>
            </w:pPr>
            <w:r w:rsidRPr="007963B7">
              <w:rPr>
                <w:rFonts w:ascii="Calibri" w:eastAsia="Calibri" w:hAnsi="Calibri" w:cs="Calibri"/>
                <w:color w:val="000000"/>
                <w:sz w:val="18"/>
                <w:szCs w:val="18"/>
              </w:rPr>
              <w:t>0</w:t>
            </w:r>
          </w:p>
        </w:tc>
      </w:tr>
      <w:tr w14:paraId="3790FA59" w14:textId="77777777" w:rsidTr="008B2ED3">
        <w:tblPrEx>
          <w:tblW w:w="13470" w:type="dxa"/>
          <w:jc w:val="center"/>
          <w:tblLayout w:type="fixed"/>
          <w:tblLook w:val="0400"/>
        </w:tblPrEx>
        <w:trPr>
          <w:trHeight w:val="348"/>
          <w:jc w:val="center"/>
        </w:trPr>
        <w:tc>
          <w:tcPr>
            <w:tcW w:w="4670" w:type="dxa"/>
            <w:tcBorders>
              <w:top w:val="single" w:sz="8" w:space="0" w:color="000000"/>
              <w:left w:val="single" w:sz="8" w:space="0" w:color="000000"/>
              <w:bottom w:val="single" w:sz="8" w:space="0" w:color="000000"/>
              <w:right w:val="single" w:sz="4" w:space="0" w:color="000000"/>
            </w:tcBorders>
            <w:shd w:val="clear" w:color="auto" w:fill="C6D9F0" w:themeFill="text2" w:themeFillTint="33"/>
            <w:vAlign w:val="center"/>
          </w:tcPr>
          <w:p w:rsidR="00857198" w:rsidRPr="007963B7" w:rsidP="009C0C91" w14:paraId="38D27702" w14:textId="77777777">
            <w:pPr>
              <w:widowControl/>
              <w:spacing w:line="276" w:lineRule="auto"/>
              <w:jc w:val="right"/>
              <w:rPr>
                <w:rFonts w:ascii="Calibri" w:eastAsia="Calibri" w:hAnsi="Calibri" w:cs="Calibri"/>
                <w:b/>
                <w:color w:val="000000"/>
                <w:sz w:val="18"/>
                <w:szCs w:val="18"/>
              </w:rPr>
            </w:pPr>
            <w:r w:rsidRPr="007963B7">
              <w:rPr>
                <w:rFonts w:ascii="Calibri" w:eastAsia="Calibri" w:hAnsi="Calibri" w:cs="Calibri"/>
                <w:b/>
                <w:color w:val="000000"/>
                <w:sz w:val="18"/>
                <w:szCs w:val="18"/>
              </w:rPr>
              <w:t>TOTALS</w:t>
            </w:r>
          </w:p>
        </w:tc>
        <w:tc>
          <w:tcPr>
            <w:tcW w:w="1710" w:type="dxa"/>
            <w:tcBorders>
              <w:top w:val="single" w:sz="8" w:space="0" w:color="000000"/>
              <w:left w:val="nil"/>
              <w:bottom w:val="single" w:sz="8" w:space="0" w:color="000000"/>
              <w:right w:val="single" w:sz="4" w:space="0" w:color="000000"/>
            </w:tcBorders>
            <w:shd w:val="clear" w:color="auto" w:fill="C6D9F0" w:themeFill="text2" w:themeFillTint="33"/>
            <w:vAlign w:val="center"/>
          </w:tcPr>
          <w:p w:rsidR="00857198" w:rsidRPr="007963B7" w:rsidP="009C0C91" w14:paraId="7D2C5F3D" w14:textId="77777777">
            <w:pPr>
              <w:widowControl/>
              <w:spacing w:line="276" w:lineRule="auto"/>
              <w:jc w:val="center"/>
              <w:rPr>
                <w:rFonts w:ascii="Calibri" w:eastAsia="Calibri" w:hAnsi="Calibri" w:cs="Calibri"/>
                <w:b/>
                <w:color w:val="000000"/>
                <w:sz w:val="18"/>
                <w:szCs w:val="18"/>
              </w:rPr>
            </w:pPr>
            <w:r w:rsidRPr="007963B7">
              <w:rPr>
                <w:rFonts w:ascii="Calibri" w:eastAsia="Calibri" w:hAnsi="Calibri" w:cs="Calibri"/>
                <w:b/>
                <w:color w:val="000000"/>
                <w:sz w:val="18"/>
                <w:szCs w:val="18"/>
              </w:rPr>
              <w:t>6</w:t>
            </w:r>
          </w:p>
        </w:tc>
        <w:tc>
          <w:tcPr>
            <w:tcW w:w="1620" w:type="dxa"/>
            <w:tcBorders>
              <w:top w:val="single" w:sz="8" w:space="0" w:color="000000"/>
              <w:left w:val="nil"/>
              <w:bottom w:val="single" w:sz="8" w:space="0" w:color="000000"/>
              <w:right w:val="single" w:sz="4" w:space="0" w:color="000000"/>
            </w:tcBorders>
            <w:shd w:val="clear" w:color="auto" w:fill="000000" w:themeFill="text1"/>
            <w:vAlign w:val="center"/>
          </w:tcPr>
          <w:p w:rsidR="00857198" w:rsidRPr="007963B7" w:rsidP="009C0C91" w14:paraId="2A4EAD5C" w14:textId="77777777">
            <w:pPr>
              <w:widowControl/>
              <w:spacing w:line="276" w:lineRule="auto"/>
              <w:jc w:val="center"/>
              <w:rPr>
                <w:rFonts w:ascii="Calibri" w:eastAsia="Calibri" w:hAnsi="Calibri" w:cs="Calibri"/>
                <w:b/>
                <w:color w:val="000000"/>
                <w:sz w:val="18"/>
                <w:szCs w:val="18"/>
              </w:rPr>
            </w:pPr>
          </w:p>
        </w:tc>
        <w:tc>
          <w:tcPr>
            <w:tcW w:w="1578" w:type="dxa"/>
            <w:tcBorders>
              <w:top w:val="single" w:sz="8" w:space="0" w:color="000000"/>
              <w:left w:val="nil"/>
              <w:bottom w:val="single" w:sz="8" w:space="0" w:color="000000"/>
              <w:right w:val="single" w:sz="4" w:space="0" w:color="000000"/>
            </w:tcBorders>
            <w:shd w:val="clear" w:color="auto" w:fill="C6D9F0" w:themeFill="text2" w:themeFillTint="33"/>
            <w:vAlign w:val="center"/>
          </w:tcPr>
          <w:p w:rsidR="00857198" w:rsidRPr="007963B7" w:rsidP="009C0C91" w14:paraId="275D6230" w14:textId="77777777">
            <w:pPr>
              <w:widowControl/>
              <w:spacing w:line="276" w:lineRule="auto"/>
              <w:jc w:val="center"/>
              <w:rPr>
                <w:rFonts w:ascii="Calibri" w:eastAsia="Calibri" w:hAnsi="Calibri" w:cs="Calibri"/>
                <w:b/>
                <w:color w:val="000000"/>
                <w:sz w:val="18"/>
                <w:szCs w:val="18"/>
              </w:rPr>
            </w:pPr>
            <w:r w:rsidRPr="007963B7">
              <w:rPr>
                <w:rFonts w:ascii="Calibri" w:eastAsia="Calibri" w:hAnsi="Calibri" w:cs="Calibri"/>
                <w:b/>
                <w:color w:val="000000"/>
                <w:sz w:val="18"/>
                <w:szCs w:val="18"/>
              </w:rPr>
              <w:t>72</w:t>
            </w:r>
          </w:p>
        </w:tc>
        <w:tc>
          <w:tcPr>
            <w:tcW w:w="1887" w:type="dxa"/>
            <w:tcBorders>
              <w:top w:val="single" w:sz="8" w:space="0" w:color="000000"/>
              <w:left w:val="nil"/>
              <w:bottom w:val="single" w:sz="8" w:space="0" w:color="000000"/>
              <w:right w:val="single" w:sz="4" w:space="0" w:color="000000"/>
            </w:tcBorders>
            <w:shd w:val="clear" w:color="auto" w:fill="000000" w:themeFill="text1"/>
            <w:vAlign w:val="center"/>
          </w:tcPr>
          <w:p w:rsidR="00857198" w:rsidRPr="007963B7" w:rsidP="009C0C91" w14:paraId="448C9504" w14:textId="77777777">
            <w:pPr>
              <w:widowControl/>
              <w:spacing w:line="276" w:lineRule="auto"/>
              <w:jc w:val="center"/>
              <w:rPr>
                <w:rFonts w:ascii="Calibri" w:eastAsia="Calibri" w:hAnsi="Calibri" w:cs="Calibri"/>
                <w:b/>
                <w:color w:val="000000"/>
                <w:sz w:val="18"/>
                <w:szCs w:val="18"/>
              </w:rPr>
            </w:pPr>
          </w:p>
        </w:tc>
        <w:tc>
          <w:tcPr>
            <w:tcW w:w="2005" w:type="dxa"/>
            <w:tcBorders>
              <w:top w:val="single" w:sz="8" w:space="0" w:color="000000"/>
              <w:left w:val="nil"/>
              <w:bottom w:val="single" w:sz="8" w:space="0" w:color="000000"/>
              <w:right w:val="single" w:sz="8" w:space="0" w:color="000000"/>
            </w:tcBorders>
            <w:shd w:val="clear" w:color="auto" w:fill="C6D9F0" w:themeFill="text2" w:themeFillTint="33"/>
            <w:vAlign w:val="center"/>
          </w:tcPr>
          <w:p w:rsidR="00857198" w:rsidRPr="007963B7" w:rsidP="009C0C91" w14:paraId="603DA287" w14:textId="77777777">
            <w:pPr>
              <w:widowControl/>
              <w:spacing w:line="276" w:lineRule="auto"/>
              <w:jc w:val="center"/>
              <w:rPr>
                <w:rFonts w:ascii="Calibri" w:eastAsia="Calibri" w:hAnsi="Calibri" w:cs="Calibri"/>
                <w:b/>
                <w:color w:val="000000"/>
                <w:sz w:val="18"/>
                <w:szCs w:val="18"/>
              </w:rPr>
            </w:pPr>
            <w:r w:rsidRPr="007963B7">
              <w:rPr>
                <w:rFonts w:ascii="Calibri" w:eastAsia="Calibri" w:hAnsi="Calibri" w:cs="Calibri"/>
                <w:b/>
                <w:color w:val="000000"/>
                <w:sz w:val="18"/>
                <w:szCs w:val="18"/>
              </w:rPr>
              <w:t>0</w:t>
            </w:r>
          </w:p>
        </w:tc>
      </w:tr>
    </w:tbl>
    <w:p w:rsidR="00857198" w:rsidRPr="007963B7" w:rsidP="00A83200" w14:paraId="03B03F98" w14:textId="534079EE">
      <w:pPr>
        <w:widowControl/>
        <w:tabs>
          <w:tab w:val="left" w:pos="-1180"/>
          <w:tab w:val="left" w:pos="-720"/>
          <w:tab w:val="left" w:pos="0"/>
          <w:tab w:val="left" w:pos="360"/>
          <w:tab w:val="left" w:pos="720"/>
          <w:tab w:val="left" w:pos="1080"/>
        </w:tabs>
        <w:autoSpaceDE w:val="0"/>
        <w:autoSpaceDN w:val="0"/>
        <w:adjustRightInd w:val="0"/>
        <w:spacing w:after="240" w:line="276" w:lineRule="auto"/>
        <w:ind w:left="432"/>
        <w:rPr>
          <w:rFonts w:ascii="Calibri" w:hAnsi="Calibri" w:cs="Calibri"/>
          <w:color w:val="000000"/>
          <w:sz w:val="18"/>
          <w:szCs w:val="18"/>
        </w:rPr>
      </w:pPr>
      <w:r w:rsidRPr="007963B7">
        <w:rPr>
          <w:rFonts w:ascii="Calibri" w:hAnsi="Calibri" w:cs="Calibri"/>
          <w:color w:val="000000"/>
          <w:sz w:val="18"/>
          <w:szCs w:val="18"/>
          <w:vertAlign w:val="superscript"/>
        </w:rPr>
        <w:t>1</w:t>
      </w:r>
      <w:r w:rsidRPr="007963B7">
        <w:rPr>
          <w:rFonts w:ascii="Calibri" w:hAnsi="Calibri" w:cs="Calibri"/>
          <w:color w:val="000000"/>
          <w:sz w:val="18"/>
          <w:szCs w:val="18"/>
        </w:rPr>
        <w:t xml:space="preserve"> 4 hours * $</w:t>
      </w:r>
      <w:r w:rsidR="005E1F36">
        <w:rPr>
          <w:rFonts w:ascii="Calibri" w:hAnsi="Calibri" w:cs="Calibri"/>
          <w:color w:val="000000"/>
          <w:sz w:val="18"/>
          <w:szCs w:val="18"/>
        </w:rPr>
        <w:t>80.72</w:t>
      </w:r>
      <w:r w:rsidRPr="007963B7">
        <w:rPr>
          <w:rFonts w:ascii="Calibri" w:hAnsi="Calibri" w:cs="Calibri"/>
          <w:color w:val="000000"/>
          <w:sz w:val="18"/>
          <w:szCs w:val="18"/>
        </w:rPr>
        <w:t>/hour = $</w:t>
      </w:r>
      <w:r w:rsidR="005E1F36">
        <w:rPr>
          <w:rFonts w:ascii="Calibri" w:hAnsi="Calibri" w:cs="Calibri"/>
          <w:color w:val="000000"/>
          <w:sz w:val="18"/>
          <w:szCs w:val="18"/>
        </w:rPr>
        <w:t>322.88</w:t>
      </w:r>
    </w:p>
    <w:p w:rsidR="004E123E" w:rsidRPr="00D366EA" w:rsidP="00A83200" w14:paraId="7EECD833" w14:textId="77777777">
      <w:pPr>
        <w:pBdr>
          <w:top w:val="nil"/>
          <w:left w:val="nil"/>
          <w:bottom w:val="nil"/>
          <w:right w:val="nil"/>
          <w:between w:val="nil"/>
        </w:pBdr>
        <w:spacing w:after="240" w:line="276" w:lineRule="auto"/>
        <w:rPr>
          <w:b/>
        </w:rPr>
      </w:pPr>
    </w:p>
    <w:p w:rsidR="00857198" w:rsidRPr="00D366EA" w:rsidP="00A83200" w14:paraId="64B860B6" w14:textId="77777777">
      <w:pPr>
        <w:spacing w:after="240" w:line="276" w:lineRule="auto"/>
        <w:rPr>
          <w:b/>
        </w:rPr>
      </w:pPr>
    </w:p>
    <w:p w:rsidR="00D366EA" w:rsidRPr="00D366EA" w:rsidP="00A83200" w14:paraId="2597B2A8" w14:textId="79239281">
      <w:pPr>
        <w:spacing w:after="240" w:line="276" w:lineRule="auto"/>
        <w:rPr>
          <w:b/>
        </w:rPr>
        <w:sectPr w:rsidSect="006E533A">
          <w:pgSz w:w="15840" w:h="12240" w:orient="landscape"/>
          <w:pgMar w:top="1080" w:right="1080" w:bottom="1080" w:left="1200" w:header="0" w:footer="714" w:gutter="0"/>
          <w:cols w:space="720"/>
          <w:docGrid w:linePitch="326"/>
        </w:sectPr>
      </w:pPr>
    </w:p>
    <w:p w:rsidR="004E123E" w:rsidP="00A83200" w14:paraId="4F8036D7"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 xml:space="preserve">Provide estimates of annualized cost to the Federal government. Also, provide a description of the method used to estimate cost, </w:t>
      </w:r>
      <w:r>
        <w:rPr>
          <w:b/>
          <w:color w:val="000000"/>
        </w:rPr>
        <w:t>which should include quantification of hours, operational expenses (such as equipment, overhead, printing, and support staff), and any other expense that would not have been incurred without this collection of information.</w:t>
      </w:r>
    </w:p>
    <w:p w:rsidR="00DE2C97" w:rsidP="00A83200" w14:paraId="1F8E565A" w14:textId="6AABD508">
      <w:pPr>
        <w:spacing w:after="240" w:line="276" w:lineRule="auto"/>
      </w:pPr>
      <w:r w:rsidRPr="00C474DA">
        <w:t>A cost recovery program is in effect for the CDQ Program (81 FR 150; January 5, 2016). Under this cost recovery program, NMFS is authorized to collect direct program costs from the CDQ groups.</w:t>
      </w:r>
      <w:r>
        <w:t xml:space="preserve"> </w:t>
      </w:r>
      <w:r w:rsidR="00D366EA">
        <w:t xml:space="preserve">The direct program costs for the CDQ Program </w:t>
      </w:r>
      <w:r w:rsidRPr="00DE2C97" w:rsidR="00D366EA">
        <w:t>in fiscal year 202</w:t>
      </w:r>
      <w:r w:rsidRPr="00DE2C97">
        <w:t>5</w:t>
      </w:r>
      <w:r w:rsidRPr="00DE2C97" w:rsidR="00D366EA">
        <w:t xml:space="preserve"> were $</w:t>
      </w:r>
      <w:r w:rsidRPr="00DE2C97">
        <w:t>793,287.</w:t>
      </w:r>
      <w:r>
        <w:t xml:space="preserve"> That cost includes $32,124 collected for the Alaska Department of Fish and Game (ADF&amp;G) to cover eLandings program management.</w:t>
      </w:r>
      <w:r w:rsidRPr="00DE2C97">
        <w:t xml:space="preserve"> The</w:t>
      </w:r>
      <w:r>
        <w:t xml:space="preserve"> cost recovery reports are found here: </w:t>
      </w:r>
      <w:hyperlink r:id="rId22" w:history="1">
        <w:r w:rsidRPr="00935EE4">
          <w:rPr>
            <w:rStyle w:val="Hyperlink"/>
          </w:rPr>
          <w:t>https://www.fisheries.noaa.gov/alaska/commercial-fishing/cost-recovery-programs-fee-collection-and-fee-payment-alaska</w:t>
        </w:r>
      </w:hyperlink>
      <w:r>
        <w:t>.</w:t>
      </w:r>
    </w:p>
    <w:p w:rsidR="00D366EA" w:rsidP="00A83200" w14:paraId="261AC85E" w14:textId="0C1C4EB4">
      <w:pPr>
        <w:spacing w:after="240" w:line="276" w:lineRule="auto"/>
      </w:pPr>
      <w:r>
        <w:t>The following are examples of the types of tasks that were included under the 202</w:t>
      </w:r>
      <w:r w:rsidR="00DE2C97">
        <w:t>5</w:t>
      </w:r>
      <w:r>
        <w:t xml:space="preserve"> CDQ direct program costs:</w:t>
      </w:r>
    </w:p>
    <w:p w:rsidR="00D366EA" w:rsidP="009C0C91" w14:paraId="6C858CD2" w14:textId="2B4D78E9">
      <w:pPr>
        <w:pStyle w:val="ListParagraph"/>
        <w:numPr>
          <w:ilvl w:val="0"/>
          <w:numId w:val="17"/>
        </w:numPr>
        <w:spacing w:before="0" w:line="276" w:lineRule="auto"/>
      </w:pPr>
      <w:r>
        <w:t>Patrols, investigations, outreach and education, and compliance assistance,</w:t>
      </w:r>
    </w:p>
    <w:p w:rsidR="00D366EA" w:rsidP="009C0C91" w14:paraId="5A7849DA" w14:textId="56245776">
      <w:pPr>
        <w:pStyle w:val="ListParagraph"/>
        <w:numPr>
          <w:ilvl w:val="0"/>
          <w:numId w:val="17"/>
        </w:numPr>
        <w:spacing w:before="0" w:line="276" w:lineRule="auto"/>
      </w:pPr>
      <w:r>
        <w:t>Analysis and rulemaking activities,</w:t>
      </w:r>
    </w:p>
    <w:p w:rsidR="00D366EA" w:rsidP="009C0C91" w14:paraId="53B609E2" w14:textId="4B3C3B62">
      <w:pPr>
        <w:pStyle w:val="ListParagraph"/>
        <w:numPr>
          <w:ilvl w:val="0"/>
          <w:numId w:val="17"/>
        </w:numPr>
        <w:spacing w:before="0" w:line="276" w:lineRule="auto"/>
      </w:pPr>
      <w:r>
        <w:t>At-sea scale inspections and video equipment inspections,</w:t>
      </w:r>
    </w:p>
    <w:p w:rsidR="00D366EA" w:rsidP="009C0C91" w14:paraId="09A60D34" w14:textId="60BEFF8F">
      <w:pPr>
        <w:pStyle w:val="ListParagraph"/>
        <w:numPr>
          <w:ilvl w:val="0"/>
          <w:numId w:val="17"/>
        </w:numPr>
        <w:spacing w:before="0" w:line="276" w:lineRule="auto"/>
      </w:pPr>
      <w:r>
        <w:t>Cost recovery fee determination and collection process,</w:t>
      </w:r>
    </w:p>
    <w:p w:rsidR="00D366EA" w:rsidP="009C0C91" w14:paraId="42553F29" w14:textId="1A5EEC70">
      <w:pPr>
        <w:pStyle w:val="ListParagraph"/>
        <w:numPr>
          <w:ilvl w:val="0"/>
          <w:numId w:val="17"/>
        </w:numPr>
        <w:spacing w:before="0" w:line="276" w:lineRule="auto"/>
      </w:pPr>
      <w:r>
        <w:t>Responding to questions about permits,</w:t>
      </w:r>
    </w:p>
    <w:p w:rsidR="00D366EA" w:rsidP="009C0C91" w14:paraId="5B64D55E" w14:textId="26F07BC5">
      <w:pPr>
        <w:pStyle w:val="ListParagraph"/>
        <w:numPr>
          <w:ilvl w:val="0"/>
          <w:numId w:val="17"/>
        </w:numPr>
        <w:spacing w:before="0" w:line="276" w:lineRule="auto"/>
      </w:pPr>
      <w:r>
        <w:t>Maintenance of the catch accounting system and eLandings, and</w:t>
      </w:r>
    </w:p>
    <w:p w:rsidR="00DE2C97" w:rsidRPr="00FE4C36" w:rsidP="00A83200" w14:paraId="1C9D3B8D" w14:textId="1165BEAB">
      <w:pPr>
        <w:pStyle w:val="ListParagraph"/>
        <w:numPr>
          <w:ilvl w:val="0"/>
          <w:numId w:val="17"/>
        </w:numPr>
        <w:spacing w:before="0" w:after="240" w:line="276" w:lineRule="auto"/>
      </w:pPr>
      <w:r>
        <w:t>In season</w:t>
      </w:r>
      <w:r w:rsidR="00D366EA">
        <w:t xml:space="preserve"> operations, sampling, and quality control.</w:t>
      </w:r>
    </w:p>
    <w:p w:rsidR="004E123E" w:rsidP="00A83200" w14:paraId="632191A5"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 xml:space="preserve">Explain the reasons for any program changes or adjustments reported in </w:t>
      </w:r>
      <w:r>
        <w:rPr>
          <w:b/>
          <w:color w:val="000000"/>
        </w:rPr>
        <w:t>ROCIS.</w:t>
      </w:r>
    </w:p>
    <w:p w:rsidR="004E123E" w:rsidRPr="00552805" w:rsidP="00552805" w14:paraId="01FE0E06" w14:textId="76DB1F26">
      <w:pPr>
        <w:spacing w:after="240" w:line="276" w:lineRule="auto"/>
        <w:rPr>
          <w:bCs/>
          <w:iCs/>
        </w:rPr>
      </w:pPr>
      <w:r w:rsidRPr="00775F02">
        <w:rPr>
          <w:bCs/>
          <w:iCs/>
        </w:rPr>
        <w:t>There are no changes to the information collection since the last OMB approval.</w:t>
      </w:r>
    </w:p>
    <w:p w:rsidR="004E123E" w:rsidRPr="00B9275B" w:rsidP="00B9275B" w14:paraId="06906435" w14:textId="44CAB880">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 xml:space="preserve">For collections of information whose results will be published, outline plans for tabulation and publication. Address any complex analytical techniques that will be </w:t>
      </w:r>
      <w:r>
        <w:rPr>
          <w:b/>
          <w:color w:val="000000"/>
        </w:rPr>
        <w:t>used. Provide the time schedule for the entire project, including beginning and ending dates of the collection of information, completion of report, publication dates, and other actions.</w:t>
      </w:r>
    </w:p>
    <w:p w:rsidR="000C4E3B" w:rsidRPr="000C4E3B" w:rsidP="000C4E3B" w14:paraId="6927551F" w14:textId="4075660F">
      <w:pPr>
        <w:pStyle w:val="NormalWeb"/>
        <w:spacing w:before="160" w:beforeAutospacing="0" w:after="240" w:afterAutospacing="0"/>
      </w:pPr>
      <w:r w:rsidRPr="000C4E3B">
        <w:rPr>
          <w:color w:val="000000"/>
        </w:rPr>
        <w:t xml:space="preserve">This information collection is designed to meet all applicable information quality guidelines. Pursuant to </w:t>
      </w:r>
      <w:hyperlink r:id="rId23" w:history="1">
        <w:r w:rsidRPr="000C4E3B">
          <w:rPr>
            <w:rStyle w:val="Hyperlink"/>
          </w:rPr>
          <w:t>Section 515 of Public Law 106-554</w:t>
        </w:r>
      </w:hyperlink>
      <w:r>
        <w:rPr>
          <w:rStyle w:val="FootnoteReference"/>
          <w:vertAlign w:val="superscript"/>
        </w:rPr>
        <w:footnoteReference w:id="13"/>
      </w:r>
      <w:r w:rsidRPr="000C4E3B">
        <w:rPr>
          <w:color w:val="000000"/>
        </w:rPr>
        <w:t xml:space="preserve"> (the Information Quality Act), the National Marine Fisheries Service (NMFS) ensures the quality, objectivity, utility, and integrity of publicly disseminated information through quality control measures and pre-dissemination reviews. Public dissemination is further governed by </w:t>
      </w:r>
      <w:hyperlink r:id="rId24" w:history="1">
        <w:r w:rsidRPr="000C4E3B">
          <w:rPr>
            <w:rStyle w:val="Hyperlink"/>
            <w:color w:val="1155CC"/>
          </w:rPr>
          <w:t>NOAA's information quality guidelines</w:t>
        </w:r>
      </w:hyperlink>
      <w:r>
        <w:rPr>
          <w:rStyle w:val="FootnoteReference"/>
          <w:vertAlign w:val="superscript"/>
        </w:rPr>
        <w:footnoteReference w:id="14"/>
      </w:r>
      <w:r w:rsidRPr="000C4E3B">
        <w:rPr>
          <w:color w:val="000000"/>
        </w:rPr>
        <w:t>. NOAA NMFS and the National Appeals Office safeguard collected data from improper access, modification, or destruction, consistent with agency standards for confidentiality and privacy. For more information on these protections, see the response to Question 10 of this Supporting Statement.</w:t>
      </w:r>
    </w:p>
    <w:p w:rsidR="000C4E3B" w:rsidRPr="000C4E3B" w:rsidP="000C4E3B" w14:paraId="24F96AF8" w14:textId="77777777">
      <w:pPr>
        <w:pStyle w:val="NormalWeb"/>
        <w:spacing w:before="160" w:beforeAutospacing="0" w:after="240" w:afterAutospacing="0"/>
      </w:pPr>
      <w:r w:rsidRPr="000C4E3B">
        <w:rPr>
          <w:color w:val="000000"/>
        </w:rPr>
        <w:t>Reports and analyses derived from CDQ and PSQ transfer requests are generally classified as "synthesized products." These products result from the analysis of original data using well-documented, routine scientific methods. Because these procedures are standard, formal peer review is generally not required.</w:t>
      </w:r>
    </w:p>
    <w:p w:rsidR="000C4E3B" w:rsidRPr="000C4E3B" w:rsidP="000C4E3B" w14:paraId="0F89645E" w14:textId="77777777">
      <w:pPr>
        <w:pStyle w:val="NormalWeb"/>
        <w:spacing w:before="160" w:beforeAutospacing="0" w:after="240" w:afterAutospacing="0"/>
      </w:pPr>
      <w:r w:rsidRPr="000C4E3B">
        <w:rPr>
          <w:color w:val="000000"/>
        </w:rPr>
        <w:t>Instead, these products undergo internal agency review by experts familiar with the underlying fisheries data. Additionally, any analyses presented to the North Pacific Fishery Management Council are reviewed by its Scientific and Statistical Committee.</w:t>
      </w:r>
    </w:p>
    <w:p w:rsidR="000C4E3B" w:rsidRPr="000C4E3B" w:rsidP="000C4E3B" w14:paraId="24DC2D70" w14:textId="77777777">
      <w:pPr>
        <w:pStyle w:val="NormalWeb"/>
        <w:spacing w:before="0" w:beforeAutospacing="0" w:after="240" w:afterAutospacing="0"/>
      </w:pPr>
      <w:r w:rsidRPr="000C4E3B">
        <w:rPr>
          <w:color w:val="000000"/>
        </w:rPr>
        <w:t>Information from this collection is not published in dedicated reports. However, data may be summarized qualitatively or quantitatively in general CDQ Program reports or regulatory analyses. Such summaries are provided to the Council or the public only after applying strict confidentiality requirements.</w:t>
      </w:r>
    </w:p>
    <w:p w:rsidR="000C4E3B" w:rsidRPr="000C4E3B" w:rsidP="000C4E3B" w14:paraId="2DC7D983" w14:textId="77777777">
      <w:pPr>
        <w:pStyle w:val="NormalWeb"/>
        <w:spacing w:before="0" w:beforeAutospacing="0" w:after="240" w:afterAutospacing="0"/>
      </w:pPr>
      <w:r w:rsidRPr="000C4E3B">
        <w:rPr>
          <w:color w:val="000000"/>
        </w:rPr>
        <w:t>The CDQ Vessel Registration List tracks vessels exempt from LLP license requirements. When a vessel is registered, its name is posted on the NMFS Alaska Region website for public and law enforcement transparency. To date, no such registrations have been received or disseminated.</w:t>
      </w:r>
    </w:p>
    <w:p w:rsidR="000C4E3B" w:rsidRPr="000C4E3B" w:rsidP="000C4E3B" w14:paraId="66F0366D" w14:textId="77777777">
      <w:pPr>
        <w:pStyle w:val="NormalWeb"/>
        <w:spacing w:before="0" w:beforeAutospacing="0" w:after="240" w:afterAutospacing="0"/>
      </w:pPr>
      <w:r w:rsidRPr="000C4E3B">
        <w:rPr>
          <w:color w:val="000000"/>
        </w:rPr>
        <w:t>When data is released, NMFS ensures it is either non-confidential or presented in an aggregated, synthesized format. For instance, NMFS publicizes approval letters for the use of non-CDQ harvest regulations, including vessel names and LLP license numbers, as this information is not considered confidential.</w:t>
      </w:r>
    </w:p>
    <w:p w:rsidR="000C4E3B" w:rsidRPr="000C4E3B" w:rsidP="000C4E3B" w14:paraId="2864EA83" w14:textId="77777777">
      <w:pPr>
        <w:pStyle w:val="NormalWeb"/>
        <w:spacing w:before="0" w:beforeAutospacing="0" w:after="240" w:afterAutospacing="0"/>
      </w:pPr>
      <w:r w:rsidRPr="000C4E3B">
        <w:rPr>
          <w:color w:val="000000"/>
        </w:rPr>
        <w:t>The National Appeals Office publishes appeal decisions on its website, but redacts all information identifying the appellant or the specific case to protect respondent privacy.</w:t>
      </w:r>
    </w:p>
    <w:p w:rsidR="000C4E3B" w:rsidRPr="000C4E3B" w:rsidP="000C4E3B" w14:paraId="4285612E" w14:textId="77777777">
      <w:pPr>
        <w:pStyle w:val="NormalWeb"/>
        <w:spacing w:before="0" w:beforeAutospacing="0" w:after="240" w:afterAutospacing="0"/>
      </w:pPr>
      <w:r w:rsidRPr="000C4E3B">
        <w:rPr>
          <w:color w:val="000000"/>
        </w:rPr>
        <w:t>Individual CDQ or PSQ transfer details are not public. While summary data regarding the volume or types of transfers may be used in Council management analyses, the identities of the groups and specific transfer amounts remain confidential.</w:t>
      </w:r>
    </w:p>
    <w:p w:rsidR="004E123E" w:rsidP="00A83200" w14:paraId="3F21D2E1"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If seeking approval to not display the expiration date for OMB approval of the information collection, explain the reasons that display would be inappropriate.</w:t>
      </w:r>
    </w:p>
    <w:p w:rsidR="004E123E" w:rsidRPr="00D24C5F" w:rsidP="00A83200" w14:paraId="0B0B26FF" w14:textId="2E959CC2">
      <w:pPr>
        <w:spacing w:after="240" w:line="276" w:lineRule="auto"/>
        <w:rPr>
          <w:iCs/>
        </w:rPr>
      </w:pPr>
      <w:r w:rsidRPr="00D24C5F">
        <w:rPr>
          <w:iCs/>
        </w:rPr>
        <w:t>The agency plans to display the expiration date for OMB approval of the information collection on all instruments.</w:t>
      </w:r>
    </w:p>
    <w:p w:rsidR="004E123E" w:rsidP="00A83200" w14:paraId="45E3AA40" w14:textId="77777777">
      <w:pPr>
        <w:numPr>
          <w:ilvl w:val="0"/>
          <w:numId w:val="9"/>
        </w:numPr>
        <w:pBdr>
          <w:top w:val="nil"/>
          <w:left w:val="nil"/>
          <w:bottom w:val="nil"/>
          <w:right w:val="nil"/>
          <w:between w:val="nil"/>
        </w:pBdr>
        <w:tabs>
          <w:tab w:val="left" w:pos="360"/>
        </w:tabs>
        <w:spacing w:after="240" w:line="276" w:lineRule="auto"/>
        <w:ind w:left="0" w:firstLine="0"/>
        <w:rPr>
          <w:b/>
          <w:color w:val="000000"/>
        </w:rPr>
      </w:pPr>
      <w:r>
        <w:rPr>
          <w:b/>
          <w:color w:val="000000"/>
        </w:rPr>
        <w:t>Explain each exception to the certification statement identified in “Certification for Paperwork Reduction Act Submissions."</w:t>
      </w:r>
    </w:p>
    <w:p w:rsidR="004E123E" w:rsidRPr="00686AC5" w:rsidP="000A1FE7" w14:paraId="6059E887" w14:textId="6F73FA3F">
      <w:pPr>
        <w:spacing w:after="240" w:line="276" w:lineRule="auto"/>
      </w:pPr>
      <w:r>
        <w:t xml:space="preserve">The agency certifies compliance with </w:t>
      </w:r>
      <w:hyperlink r:id="rId25" w:history="1">
        <w:r w:rsidRPr="007F55FA">
          <w:rPr>
            <w:rStyle w:val="Hyperlink"/>
          </w:rPr>
          <w:t>5 CFR 1320.9</w:t>
        </w:r>
      </w:hyperlink>
      <w:hyperlink r:id="rId26">
        <w:r>
          <w:rPr>
            <w:color w:val="0563C1"/>
          </w:rPr>
          <w:t xml:space="preserve"> </w:t>
        </w:r>
      </w:hyperlink>
      <w:r>
        <w:t xml:space="preserve">and the related provisions of </w:t>
      </w:r>
      <w:hyperlink r:id="rId27" w:history="1">
        <w:r w:rsidRPr="00253A7A">
          <w:rPr>
            <w:rStyle w:val="Hyperlink"/>
          </w:rPr>
          <w:t>5 CFR 1320.8(b)(3)</w:t>
        </w:r>
      </w:hyperlink>
      <w:r w:rsidRPr="00253A7A">
        <w:t>.</w:t>
      </w:r>
    </w:p>
    <w:sectPr w:rsidSect="000A1FE7">
      <w:pgSz w:w="12240" w:h="15840"/>
      <w:pgMar w:top="990" w:right="1080" w:bottom="1200" w:left="1080" w:header="0" w:footer="714"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123E" w14:paraId="34B3A12B" w14:textId="7777777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157AE" w14:paraId="727639C1" w14:textId="77777777">
      <w:r>
        <w:separator/>
      </w:r>
    </w:p>
  </w:footnote>
  <w:footnote w:type="continuationSeparator" w:id="1">
    <w:p w:rsidR="00A157AE" w14:paraId="610F8910" w14:textId="77777777">
      <w:r>
        <w:continuationSeparator/>
      </w:r>
    </w:p>
  </w:footnote>
  <w:footnote w:id="2">
    <w:p w:rsidR="008B412C" w14:paraId="0E048197" w14:textId="7F0BF89A">
      <w:pPr>
        <w:pStyle w:val="FootnoteText"/>
      </w:pPr>
      <w:r w:rsidRPr="008B412C">
        <w:rPr>
          <w:rStyle w:val="FootnoteReference"/>
          <w:vertAlign w:val="superscript"/>
        </w:rPr>
        <w:footnoteRef/>
      </w:r>
      <w:r>
        <w:t xml:space="preserve"> </w:t>
      </w:r>
      <w:r w:rsidRPr="008B412C">
        <w:t>https://www.fisheries.noaa.gov/s3/dam-migration/msa-amended-2007.pdf</w:t>
      </w:r>
    </w:p>
  </w:footnote>
  <w:footnote w:id="3">
    <w:p w:rsidR="00A74EFC" w:rsidRPr="00360CDA" w:rsidP="00A74EFC" w14:paraId="6FB9A9F1" w14:textId="77777777">
      <w:pPr>
        <w:pStyle w:val="FootnoteText"/>
      </w:pPr>
      <w:r w:rsidRPr="008B412C">
        <w:rPr>
          <w:rStyle w:val="FootnoteReference"/>
          <w:vertAlign w:val="superscript"/>
        </w:rPr>
        <w:footnoteRef/>
      </w:r>
      <w:r w:rsidRPr="00360CDA">
        <w:t xml:space="preserve"> The CDQ groups also are required under section 305(i)(1)(E)(v) of the Magnuson-Stevens Act to submit an Annual Statement of Compliance to the Secretary of Commerce. Because this statement is required by statute, it does not require OMB approval or inclusion in this supporting statement or information collection budget.</w:t>
      </w:r>
    </w:p>
  </w:footnote>
  <w:footnote w:id="4">
    <w:p w:rsidR="00360CDA" w:rsidRPr="00360CDA" w:rsidP="00360CDA" w14:paraId="4E9736DF" w14:textId="4F1887BF">
      <w:pPr>
        <w:widowControl/>
        <w:rPr>
          <w:rFonts w:eastAsia="Calibri"/>
          <w:sz w:val="20"/>
          <w:szCs w:val="20"/>
        </w:rPr>
      </w:pPr>
      <w:r w:rsidRPr="008B412C">
        <w:rPr>
          <w:rStyle w:val="FootnoteReference"/>
          <w:sz w:val="20"/>
          <w:szCs w:val="20"/>
          <w:vertAlign w:val="superscript"/>
        </w:rPr>
        <w:footnoteRef/>
      </w:r>
      <w:r w:rsidRPr="00360CDA">
        <w:rPr>
          <w:sz w:val="20"/>
          <w:szCs w:val="20"/>
        </w:rPr>
        <w:t xml:space="preserve"> </w:t>
      </w:r>
      <w:r w:rsidRPr="00360CDA">
        <w:rPr>
          <w:rFonts w:eastAsia="Calibri"/>
          <w:b/>
          <w:sz w:val="20"/>
          <w:szCs w:val="20"/>
        </w:rPr>
        <w:t>eFISH</w:t>
      </w:r>
      <w:r w:rsidRPr="00360CDA">
        <w:rPr>
          <w:rFonts w:eastAsia="Calibri"/>
          <w:sz w:val="20"/>
          <w:szCs w:val="20"/>
        </w:rPr>
        <w:t xml:space="preserve">: </w:t>
      </w:r>
      <w:hyperlink r:id="rId1" w:history="1">
        <w:r w:rsidRPr="00360CDA">
          <w:rPr>
            <w:color w:val="0000FF"/>
            <w:sz w:val="20"/>
            <w:szCs w:val="20"/>
            <w:u w:val="single"/>
          </w:rPr>
          <w:t>https://alaskafisheries.noaa.go</w:t>
        </w:r>
        <w:r w:rsidRPr="00360CDA">
          <w:rPr>
            <w:color w:val="0000FF"/>
            <w:sz w:val="20"/>
            <w:szCs w:val="20"/>
            <w:u w:val="single"/>
          </w:rPr>
          <w:t>v</w:t>
        </w:r>
        <w:r w:rsidRPr="00360CDA">
          <w:rPr>
            <w:color w:val="0000FF"/>
            <w:sz w:val="20"/>
            <w:szCs w:val="20"/>
            <w:u w:val="single"/>
          </w:rPr>
          <w:t>/webapps/efish/login</w:t>
        </w:r>
      </w:hyperlink>
      <w:r w:rsidRPr="00360CDA">
        <w:rPr>
          <w:sz w:val="20"/>
          <w:szCs w:val="20"/>
        </w:rPr>
        <w:t xml:space="preserve">; </w:t>
      </w:r>
      <w:r w:rsidRPr="00360CDA">
        <w:rPr>
          <w:rFonts w:eastAsia="Calibri"/>
          <w:b/>
          <w:sz w:val="20"/>
          <w:szCs w:val="20"/>
        </w:rPr>
        <w:t>Fax</w:t>
      </w:r>
      <w:r w:rsidRPr="00360CDA">
        <w:rPr>
          <w:rFonts w:eastAsia="Calibri"/>
          <w:sz w:val="20"/>
          <w:szCs w:val="20"/>
        </w:rPr>
        <w:t xml:space="preserve">: (907) 586-7131; </w:t>
      </w:r>
      <w:r w:rsidRPr="00360CDA">
        <w:rPr>
          <w:rFonts w:eastAsia="Calibri"/>
          <w:b/>
          <w:sz w:val="20"/>
          <w:szCs w:val="20"/>
        </w:rPr>
        <w:t>Mail</w:t>
      </w:r>
      <w:r w:rsidRPr="00360CDA">
        <w:rPr>
          <w:rFonts w:eastAsia="Calibri"/>
          <w:sz w:val="20"/>
          <w:szCs w:val="20"/>
        </w:rPr>
        <w:t>: NMFS Alaska Region, Sustainable Fisheries Division, P.O. Box 21668, Juneau, AK 99802-1668.</w:t>
      </w:r>
    </w:p>
  </w:footnote>
  <w:footnote w:id="5">
    <w:p w:rsidR="00360CDA" w:rsidRPr="00360CDA" w:rsidP="00360CDA" w14:paraId="0ED149E7" w14:textId="392DEAC6">
      <w:pPr>
        <w:pStyle w:val="FootnoteText"/>
      </w:pPr>
      <w:r w:rsidRPr="008B412C">
        <w:rPr>
          <w:rStyle w:val="FootnoteReference"/>
          <w:vertAlign w:val="superscript"/>
        </w:rPr>
        <w:footnoteRef/>
      </w:r>
      <w:r w:rsidRPr="00360CDA">
        <w:t xml:space="preserve"> </w:t>
      </w:r>
      <w:r w:rsidRPr="00360CDA">
        <w:rPr>
          <w:rFonts w:eastAsia="Calibri"/>
        </w:rPr>
        <w:t>Appeals—</w:t>
      </w:r>
      <w:r w:rsidRPr="00360CDA">
        <w:rPr>
          <w:rFonts w:eastAsia="Calibri"/>
          <w:b/>
        </w:rPr>
        <w:t>Fax</w:t>
      </w:r>
      <w:r w:rsidRPr="00360CDA">
        <w:rPr>
          <w:rFonts w:eastAsia="Calibri"/>
        </w:rPr>
        <w:t xml:space="preserve">: (301) 713–2384; </w:t>
      </w:r>
      <w:r w:rsidRPr="00360CDA">
        <w:rPr>
          <w:rFonts w:eastAsia="Calibri"/>
          <w:b/>
        </w:rPr>
        <w:t>Mail or delivery</w:t>
      </w:r>
      <w:r w:rsidRPr="00360CDA">
        <w:rPr>
          <w:rFonts w:eastAsia="Calibri"/>
        </w:rPr>
        <w:t xml:space="preserve">: National Appeals Office, 1315 East-West </w:t>
      </w:r>
      <w:r w:rsidRPr="00360CDA">
        <w:rPr>
          <w:rFonts w:eastAsia="Calibri"/>
        </w:rPr>
        <w:t>Highway, Silver Spring, MD 20910.</w:t>
      </w:r>
    </w:p>
  </w:footnote>
  <w:footnote w:id="6">
    <w:p w:rsidR="00132A38" w14:paraId="7E2442E2" w14:textId="376F3D96">
      <w:pPr>
        <w:pStyle w:val="FootnoteText"/>
      </w:pPr>
      <w:r w:rsidRPr="00132A38">
        <w:rPr>
          <w:rStyle w:val="FootnoteReference"/>
          <w:vertAlign w:val="superscript"/>
        </w:rPr>
        <w:footnoteRef/>
      </w:r>
      <w:r>
        <w:t xml:space="preserve"> </w:t>
      </w:r>
      <w:r w:rsidRPr="00132A38">
        <w:t>https://www.govinfo.gov/content/pkg/FR-2016-05-04/pdf/2016-10356.pdf</w:t>
      </w:r>
    </w:p>
  </w:footnote>
  <w:footnote w:id="7">
    <w:p w:rsidR="008F1608" w14:paraId="11598152" w14:textId="077FC447">
      <w:pPr>
        <w:pStyle w:val="FootnoteText"/>
      </w:pPr>
      <w:r w:rsidRPr="008F1608">
        <w:rPr>
          <w:rStyle w:val="FootnoteReference"/>
          <w:vertAlign w:val="superscript"/>
        </w:rPr>
        <w:footnoteRef/>
      </w:r>
      <w:r>
        <w:t xml:space="preserve"> </w:t>
      </w:r>
      <w:r w:rsidRPr="008F1608">
        <w:t>https://www.federalregister.gov/documents/2012/02/08/2012-2751/fisheries-of-the-exclusive-economic-zone-off-alaska-community-development-quota-program</w:t>
      </w:r>
    </w:p>
  </w:footnote>
  <w:footnote w:id="8">
    <w:p w:rsidR="009F5BCA" w14:paraId="611854F3" w14:textId="2A1CAEB2">
      <w:pPr>
        <w:pStyle w:val="FootnoteText"/>
      </w:pPr>
      <w:r w:rsidRPr="009F5BCA">
        <w:rPr>
          <w:rStyle w:val="FootnoteReference"/>
          <w:vertAlign w:val="superscript"/>
        </w:rPr>
        <w:footnoteRef/>
      </w:r>
      <w:r>
        <w:t xml:space="preserve"> </w:t>
      </w:r>
      <w:r w:rsidRPr="009F5BCA">
        <w:t>https://www.fisheries.noaa.gov/permit/alaska-community-development-quota-cdq-program-applications-and-forms</w:t>
      </w:r>
    </w:p>
  </w:footnote>
  <w:footnote w:id="9">
    <w:p w:rsidR="00BF1A07" w14:paraId="7689122C" w14:textId="30B93CED">
      <w:pPr>
        <w:pStyle w:val="FootnoteText"/>
      </w:pPr>
      <w:r w:rsidRPr="00BF1A07">
        <w:rPr>
          <w:rStyle w:val="FootnoteReference"/>
          <w:vertAlign w:val="superscript"/>
        </w:rPr>
        <w:footnoteRef/>
      </w:r>
      <w:r>
        <w:t xml:space="preserve"> </w:t>
      </w:r>
      <w:r w:rsidRPr="00BF1A07">
        <w:t>https://www.federalregister.gov/documents/2026/03/16/2026-05110/agency-information-collection-activities-submission-to-the-office-of-management-and-budget-omb-for</w:t>
      </w:r>
    </w:p>
  </w:footnote>
  <w:footnote w:id="10">
    <w:p w:rsidR="00BF1A07" w:rsidP="00BF1A07" w14:paraId="4E11C44F" w14:textId="77777777">
      <w:pPr>
        <w:pStyle w:val="FootnoteText"/>
      </w:pPr>
      <w:r w:rsidRPr="00BF1A07">
        <w:rPr>
          <w:rStyle w:val="FootnoteReference"/>
          <w:vertAlign w:val="superscript"/>
        </w:rPr>
        <w:footnoteRef/>
      </w:r>
      <w:r>
        <w:t xml:space="preserve"> </w:t>
      </w:r>
      <w:r w:rsidRPr="00BF1A07">
        <w:t>https://www.noaa.gov/organization/administration/nao-216-100-protection-of-confidential-fisheries-statistics</w:t>
      </w:r>
    </w:p>
  </w:footnote>
  <w:footnote w:id="11">
    <w:p w:rsidR="00BF1A07" w:rsidP="00BF1A07" w14:paraId="1AA4E657" w14:textId="77777777">
      <w:pPr>
        <w:pStyle w:val="FootnoteText"/>
      </w:pPr>
      <w:r w:rsidRPr="000A1FE7">
        <w:rPr>
          <w:rStyle w:val="FootnoteReference"/>
          <w:vertAlign w:val="superscript"/>
        </w:rPr>
        <w:footnoteRef/>
      </w:r>
      <w:r>
        <w:t xml:space="preserve"> </w:t>
      </w:r>
      <w:r w:rsidRPr="000A1FE7">
        <w:t>https://www.commerce.gov/node/4991</w:t>
      </w:r>
    </w:p>
  </w:footnote>
  <w:footnote w:id="12">
    <w:p w:rsidR="00BF1A07" w:rsidP="00BF1A07" w14:paraId="432550B3" w14:textId="77777777">
      <w:pPr>
        <w:pStyle w:val="FootnoteText"/>
      </w:pPr>
      <w:r w:rsidRPr="00BF1A07">
        <w:rPr>
          <w:rStyle w:val="FootnoteReference"/>
          <w:vertAlign w:val="superscript"/>
        </w:rPr>
        <w:footnoteRef/>
      </w:r>
      <w:r>
        <w:t xml:space="preserve"> </w:t>
      </w:r>
      <w:r w:rsidRPr="00BF1A07">
        <w:t>https://www.commerce.gov/sites/default/files/2025-03/NOAA4700%20PIA%20FY25%20SAOP_Approved.pdf</w:t>
      </w:r>
    </w:p>
  </w:footnote>
  <w:footnote w:id="13">
    <w:p w:rsidR="00D34B86" w14:paraId="72D91CB8" w14:textId="4A8522E8">
      <w:pPr>
        <w:pStyle w:val="FootnoteText"/>
      </w:pPr>
      <w:r w:rsidRPr="00D34B86">
        <w:rPr>
          <w:rStyle w:val="FootnoteReference"/>
          <w:vertAlign w:val="superscript"/>
        </w:rPr>
        <w:footnoteRef/>
      </w:r>
      <w:r>
        <w:t xml:space="preserve"> </w:t>
      </w:r>
      <w:r w:rsidRPr="00D34B86">
        <w:t>https://www.congress.gov/106/plaws/publ554/PLAW-106publ554.pdf</w:t>
      </w:r>
    </w:p>
  </w:footnote>
  <w:footnote w:id="14">
    <w:p w:rsidR="00D34B86" w14:paraId="2BDEFE96" w14:textId="3B4D57D0">
      <w:pPr>
        <w:pStyle w:val="FootnoteText"/>
      </w:pPr>
      <w:r w:rsidRPr="00D34B86">
        <w:rPr>
          <w:rStyle w:val="FootnoteReference"/>
          <w:vertAlign w:val="superscript"/>
        </w:rPr>
        <w:footnoteRef/>
      </w:r>
      <w:r>
        <w:t xml:space="preserve"> </w:t>
      </w:r>
      <w:r w:rsidRPr="00D34B86">
        <w:t>https://www.noaa.gov/organization/information-technology/policy-oversight/information-quality/information-quality-guidelines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DA5375"/>
    <w:multiLevelType w:val="multilevel"/>
    <w:tmpl w:val="FB1E7366"/>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1">
    <w:nsid w:val="12B02912"/>
    <w:multiLevelType w:val="hybridMultilevel"/>
    <w:tmpl w:val="99D06C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33212E7"/>
    <w:multiLevelType w:val="multilevel"/>
    <w:tmpl w:val="AACCC384"/>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3">
    <w:nsid w:val="1531390A"/>
    <w:multiLevelType w:val="multilevel"/>
    <w:tmpl w:val="FE4A0638"/>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4">
    <w:nsid w:val="1CA6454F"/>
    <w:multiLevelType w:val="hybridMultilevel"/>
    <w:tmpl w:val="37EA63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D7553B5"/>
    <w:multiLevelType w:val="multilevel"/>
    <w:tmpl w:val="293649D2"/>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6">
    <w:nsid w:val="38666904"/>
    <w:multiLevelType w:val="multilevel"/>
    <w:tmpl w:val="F44A6424"/>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7">
    <w:nsid w:val="41B90546"/>
    <w:multiLevelType w:val="multilevel"/>
    <w:tmpl w:val="1714C6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43EE4CEB"/>
    <w:multiLevelType w:val="hybridMultilevel"/>
    <w:tmpl w:val="34BEA4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A903887"/>
    <w:multiLevelType w:val="multilevel"/>
    <w:tmpl w:val="B45CAA82"/>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10">
    <w:nsid w:val="53DB36BE"/>
    <w:multiLevelType w:val="multilevel"/>
    <w:tmpl w:val="C2C6CFA8"/>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11">
    <w:nsid w:val="558F2652"/>
    <w:multiLevelType w:val="multilevel"/>
    <w:tmpl w:val="A7C487C4"/>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12">
    <w:nsid w:val="5E263139"/>
    <w:multiLevelType w:val="multilevel"/>
    <w:tmpl w:val="2422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662C1C"/>
    <w:multiLevelType w:val="multilevel"/>
    <w:tmpl w:val="BDBA0978"/>
    <w:lvl w:ilvl="0">
      <w:start w:val="1"/>
      <w:numFmt w:val="decimal"/>
      <w:lvlText w:val="%1."/>
      <w:lvlJc w:val="left"/>
      <w:pPr>
        <w:ind w:left="720" w:hanging="360"/>
      </w:pPr>
      <w:rPr>
        <w:rFonts w:ascii="Arial" w:eastAsia="Arial" w:hAnsi="Arial" w:cs="Arial"/>
        <w:color w:val="222222"/>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nsid w:val="65AA793C"/>
    <w:multiLevelType w:val="multilevel"/>
    <w:tmpl w:val="316C880E"/>
    <w:lvl w:ilvl="0">
      <w:start w:val="1"/>
      <w:numFmt w:val="decimal"/>
      <w:lvlText w:val="%1."/>
      <w:lvlJc w:val="left"/>
      <w:pPr>
        <w:ind w:left="3959" w:hanging="269"/>
      </w:pPr>
      <w:rPr>
        <w:rFonts w:ascii="Times New Roman" w:eastAsia="Arial" w:hAnsi="Times New Roman" w:cs="Times New Roman" w:hint="default"/>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15">
    <w:nsid w:val="66A35600"/>
    <w:multiLevelType w:val="multilevel"/>
    <w:tmpl w:val="E7369EA2"/>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6">
    <w:nsid w:val="6FD32F9E"/>
    <w:multiLevelType w:val="multilevel"/>
    <w:tmpl w:val="E3D8618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7">
    <w:nsid w:val="7DA03C6F"/>
    <w:multiLevelType w:val="hybridMultilevel"/>
    <w:tmpl w:val="72362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F053676"/>
    <w:multiLevelType w:val="multilevel"/>
    <w:tmpl w:val="39A4D5F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num w:numId="1" w16cid:durableId="1183469465">
    <w:abstractNumId w:val="18"/>
  </w:num>
  <w:num w:numId="2" w16cid:durableId="521208758">
    <w:abstractNumId w:val="15"/>
  </w:num>
  <w:num w:numId="3" w16cid:durableId="1943610368">
    <w:abstractNumId w:val="2"/>
  </w:num>
  <w:num w:numId="4" w16cid:durableId="125271465">
    <w:abstractNumId w:val="5"/>
  </w:num>
  <w:num w:numId="5" w16cid:durableId="1363096263">
    <w:abstractNumId w:val="9"/>
  </w:num>
  <w:num w:numId="6" w16cid:durableId="861937803">
    <w:abstractNumId w:val="10"/>
  </w:num>
  <w:num w:numId="7" w16cid:durableId="2015497802">
    <w:abstractNumId w:val="0"/>
  </w:num>
  <w:num w:numId="8" w16cid:durableId="1217468276">
    <w:abstractNumId w:val="11"/>
  </w:num>
  <w:num w:numId="9" w16cid:durableId="1864778782">
    <w:abstractNumId w:val="14"/>
  </w:num>
  <w:num w:numId="10" w16cid:durableId="584651165">
    <w:abstractNumId w:val="3"/>
  </w:num>
  <w:num w:numId="11" w16cid:durableId="1818257438">
    <w:abstractNumId w:val="16"/>
  </w:num>
  <w:num w:numId="12" w16cid:durableId="51973846">
    <w:abstractNumId w:val="13"/>
  </w:num>
  <w:num w:numId="13" w16cid:durableId="1056855163">
    <w:abstractNumId w:val="7"/>
  </w:num>
  <w:num w:numId="14" w16cid:durableId="1095125874">
    <w:abstractNumId w:val="6"/>
  </w:num>
  <w:num w:numId="15" w16cid:durableId="2076389916">
    <w:abstractNumId w:val="1"/>
  </w:num>
  <w:num w:numId="16" w16cid:durableId="1092239613">
    <w:abstractNumId w:val="4"/>
  </w:num>
  <w:num w:numId="17" w16cid:durableId="1750035557">
    <w:abstractNumId w:val="17"/>
  </w:num>
  <w:num w:numId="18" w16cid:durableId="1756588787">
    <w:abstractNumId w:val="8"/>
  </w:num>
  <w:num w:numId="19" w16cid:durableId="1907835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23E"/>
    <w:rsid w:val="0000311C"/>
    <w:rsid w:val="00012C3F"/>
    <w:rsid w:val="00015717"/>
    <w:rsid w:val="00016910"/>
    <w:rsid w:val="00032AC8"/>
    <w:rsid w:val="00044872"/>
    <w:rsid w:val="00055CF9"/>
    <w:rsid w:val="0007245D"/>
    <w:rsid w:val="00080137"/>
    <w:rsid w:val="00080E5A"/>
    <w:rsid w:val="000832A2"/>
    <w:rsid w:val="00094CEE"/>
    <w:rsid w:val="000A1FE7"/>
    <w:rsid w:val="000B438D"/>
    <w:rsid w:val="000B7CDA"/>
    <w:rsid w:val="000C4E3B"/>
    <w:rsid w:val="000D4853"/>
    <w:rsid w:val="000E6914"/>
    <w:rsid w:val="000F5B74"/>
    <w:rsid w:val="00132A38"/>
    <w:rsid w:val="00147F3F"/>
    <w:rsid w:val="0019691A"/>
    <w:rsid w:val="001A6F8A"/>
    <w:rsid w:val="001E253F"/>
    <w:rsid w:val="002100EE"/>
    <w:rsid w:val="00253A7A"/>
    <w:rsid w:val="00256F76"/>
    <w:rsid w:val="00272749"/>
    <w:rsid w:val="00280F00"/>
    <w:rsid w:val="0029306C"/>
    <w:rsid w:val="002E6988"/>
    <w:rsid w:val="00360CDA"/>
    <w:rsid w:val="00362169"/>
    <w:rsid w:val="003861A2"/>
    <w:rsid w:val="003930D5"/>
    <w:rsid w:val="003D4D93"/>
    <w:rsid w:val="003E542E"/>
    <w:rsid w:val="004014C9"/>
    <w:rsid w:val="00414074"/>
    <w:rsid w:val="00466570"/>
    <w:rsid w:val="004805D7"/>
    <w:rsid w:val="004C13EA"/>
    <w:rsid w:val="004D1ED0"/>
    <w:rsid w:val="004D4523"/>
    <w:rsid w:val="004D66A7"/>
    <w:rsid w:val="004E123E"/>
    <w:rsid w:val="004F68EC"/>
    <w:rsid w:val="005057D4"/>
    <w:rsid w:val="00511F48"/>
    <w:rsid w:val="00523A4D"/>
    <w:rsid w:val="0052573C"/>
    <w:rsid w:val="00543CDA"/>
    <w:rsid w:val="00552805"/>
    <w:rsid w:val="0059742E"/>
    <w:rsid w:val="005E1F36"/>
    <w:rsid w:val="006315C6"/>
    <w:rsid w:val="00637B2B"/>
    <w:rsid w:val="00686AC5"/>
    <w:rsid w:val="006E533A"/>
    <w:rsid w:val="00743843"/>
    <w:rsid w:val="00750421"/>
    <w:rsid w:val="00771733"/>
    <w:rsid w:val="00774B32"/>
    <w:rsid w:val="00775F02"/>
    <w:rsid w:val="007963B7"/>
    <w:rsid w:val="007B4E27"/>
    <w:rsid w:val="007F55FA"/>
    <w:rsid w:val="00813DB6"/>
    <w:rsid w:val="00821E09"/>
    <w:rsid w:val="00857198"/>
    <w:rsid w:val="00870889"/>
    <w:rsid w:val="008A7AF2"/>
    <w:rsid w:val="008B412C"/>
    <w:rsid w:val="008C446D"/>
    <w:rsid w:val="008F1608"/>
    <w:rsid w:val="009066B2"/>
    <w:rsid w:val="009213F5"/>
    <w:rsid w:val="00935EE4"/>
    <w:rsid w:val="00937DD8"/>
    <w:rsid w:val="0094588B"/>
    <w:rsid w:val="00953765"/>
    <w:rsid w:val="00956F6E"/>
    <w:rsid w:val="00960C61"/>
    <w:rsid w:val="00965325"/>
    <w:rsid w:val="00992460"/>
    <w:rsid w:val="00996A24"/>
    <w:rsid w:val="009B3588"/>
    <w:rsid w:val="009C01ED"/>
    <w:rsid w:val="009C0C91"/>
    <w:rsid w:val="009E369A"/>
    <w:rsid w:val="009F5BCA"/>
    <w:rsid w:val="00A12286"/>
    <w:rsid w:val="00A157AE"/>
    <w:rsid w:val="00A25A4B"/>
    <w:rsid w:val="00A439C5"/>
    <w:rsid w:val="00A72464"/>
    <w:rsid w:val="00A74EFC"/>
    <w:rsid w:val="00A83200"/>
    <w:rsid w:val="00AB0108"/>
    <w:rsid w:val="00AB1900"/>
    <w:rsid w:val="00B05520"/>
    <w:rsid w:val="00B069B5"/>
    <w:rsid w:val="00B1110B"/>
    <w:rsid w:val="00B20A7F"/>
    <w:rsid w:val="00B35F6F"/>
    <w:rsid w:val="00B701D5"/>
    <w:rsid w:val="00B9275B"/>
    <w:rsid w:val="00BD45CB"/>
    <w:rsid w:val="00BE4DC4"/>
    <w:rsid w:val="00BF1A07"/>
    <w:rsid w:val="00BF643E"/>
    <w:rsid w:val="00C1763B"/>
    <w:rsid w:val="00C474DA"/>
    <w:rsid w:val="00C62353"/>
    <w:rsid w:val="00CA662E"/>
    <w:rsid w:val="00CD7F3A"/>
    <w:rsid w:val="00D10B90"/>
    <w:rsid w:val="00D11957"/>
    <w:rsid w:val="00D20810"/>
    <w:rsid w:val="00D24C5F"/>
    <w:rsid w:val="00D34B86"/>
    <w:rsid w:val="00D366EA"/>
    <w:rsid w:val="00D75281"/>
    <w:rsid w:val="00D86F69"/>
    <w:rsid w:val="00D962DB"/>
    <w:rsid w:val="00DD33F3"/>
    <w:rsid w:val="00DE0A82"/>
    <w:rsid w:val="00DE2C97"/>
    <w:rsid w:val="00E46A6B"/>
    <w:rsid w:val="00E5439D"/>
    <w:rsid w:val="00E5614E"/>
    <w:rsid w:val="00E56BF1"/>
    <w:rsid w:val="00E66A62"/>
    <w:rsid w:val="00E91F80"/>
    <w:rsid w:val="00E97D42"/>
    <w:rsid w:val="00EE667B"/>
    <w:rsid w:val="00EF435E"/>
    <w:rsid w:val="00F1297B"/>
    <w:rsid w:val="00F20080"/>
    <w:rsid w:val="00F41C50"/>
    <w:rsid w:val="00F4643C"/>
    <w:rsid w:val="00F50E10"/>
    <w:rsid w:val="00F61085"/>
    <w:rsid w:val="00F644BD"/>
    <w:rsid w:val="00FB650D"/>
    <w:rsid w:val="00FB7A63"/>
    <w:rsid w:val="00FC3517"/>
    <w:rsid w:val="00FC7C52"/>
    <w:rsid w:val="00FD1A69"/>
    <w:rsid w:val="00FE4C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D42510"/>
  <w15:docId w15:val="{CEDE97D0-BD68-4C5F-A6F9-4111D5153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1"/>
    <w:qFormat/>
    <w:pPr>
      <w:spacing w:before="80"/>
      <w:ind w:left="4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Pr>
  </w:style>
  <w:style w:type="table" w:customStyle="1" w:styleId="a5">
    <w:name w:val="a5"/>
    <w:basedOn w:val="TableNormal"/>
    <w:tblPr>
      <w:tblStyleRowBandSize w:val="1"/>
      <w:tblStyleColBandSize w:val="1"/>
      <w:tblCellMar>
        <w:left w:w="0" w:type="dxa"/>
        <w:right w:w="0" w:type="dxa"/>
      </w:tblCellMar>
    </w:tblPr>
  </w:style>
  <w:style w:type="character" w:styleId="FootnoteReference">
    <w:name w:val="footnote reference"/>
    <w:rsid w:val="00543CDA"/>
  </w:style>
  <w:style w:type="paragraph" w:styleId="FootnoteText">
    <w:name w:val="footnote text"/>
    <w:basedOn w:val="Normal"/>
    <w:link w:val="FootnoteTextChar"/>
    <w:rsid w:val="00543CDA"/>
    <w:pPr>
      <w:autoSpaceDE w:val="0"/>
      <w:autoSpaceDN w:val="0"/>
      <w:adjustRightInd w:val="0"/>
    </w:pPr>
    <w:rPr>
      <w:sz w:val="20"/>
      <w:szCs w:val="20"/>
    </w:rPr>
  </w:style>
  <w:style w:type="character" w:customStyle="1" w:styleId="FootnoteTextChar">
    <w:name w:val="Footnote Text Char"/>
    <w:basedOn w:val="DefaultParagraphFont"/>
    <w:link w:val="FootnoteText"/>
    <w:rsid w:val="00543CDA"/>
    <w:rPr>
      <w:sz w:val="20"/>
      <w:szCs w:val="20"/>
    </w:rPr>
  </w:style>
  <w:style w:type="paragraph" w:styleId="CommentSubject">
    <w:name w:val="annotation subject"/>
    <w:basedOn w:val="CommentText"/>
    <w:next w:val="CommentText"/>
    <w:link w:val="CommentSubjectChar"/>
    <w:uiPriority w:val="99"/>
    <w:semiHidden/>
    <w:unhideWhenUsed/>
    <w:rsid w:val="00870889"/>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870889"/>
    <w:rPr>
      <w:rFonts w:ascii="Arial" w:eastAsia="Arial" w:hAnsi="Arial" w:cs="Arial"/>
      <w:b/>
      <w:bCs/>
      <w:color w:val="2E5395"/>
      <w:sz w:val="20"/>
      <w:szCs w:val="20"/>
    </w:rPr>
  </w:style>
  <w:style w:type="character" w:styleId="UnresolvedMention">
    <w:name w:val="Unresolved Mention"/>
    <w:basedOn w:val="DefaultParagraphFont"/>
    <w:uiPriority w:val="99"/>
    <w:semiHidden/>
    <w:unhideWhenUsed/>
    <w:rsid w:val="00055CF9"/>
    <w:rPr>
      <w:color w:val="605E5C"/>
      <w:shd w:val="clear" w:color="auto" w:fill="E1DFDD"/>
    </w:rPr>
  </w:style>
  <w:style w:type="table" w:customStyle="1" w:styleId="a10">
    <w:name w:val="a1_0"/>
    <w:basedOn w:val="TableNormal"/>
    <w:rsid w:val="00857198"/>
    <w:tblPr>
      <w:tblStyleRowBandSize w:val="1"/>
      <w:tblStyleColBandSize w:val="1"/>
      <w:tblCellMar>
        <w:left w:w="115" w:type="dxa"/>
        <w:right w:w="115" w:type="dxa"/>
      </w:tblCellMar>
    </w:tblPr>
  </w:style>
  <w:style w:type="table" w:styleId="TableGrid">
    <w:name w:val="Table Grid"/>
    <w:basedOn w:val="TableNormal"/>
    <w:uiPriority w:val="39"/>
    <w:rsid w:val="00DE2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4EFC"/>
    <w:pPr>
      <w:widowControl/>
    </w:pPr>
  </w:style>
  <w:style w:type="paragraph" w:styleId="NormalWeb">
    <w:name w:val="Normal (Web)"/>
    <w:basedOn w:val="Normal"/>
    <w:uiPriority w:val="99"/>
    <w:semiHidden/>
    <w:unhideWhenUsed/>
    <w:rsid w:val="000C4E3B"/>
    <w:pPr>
      <w:widowControl/>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15/subtitle-B/chapter-IX/subchapter-A/part-906" TargetMode="External" /><Relationship Id="rId11" Type="http://schemas.openxmlformats.org/officeDocument/2006/relationships/hyperlink" Target="https://www.govinfo.gov/content/pkg/FR-2016-05-04/pdf/2016-10356.pdf" TargetMode="External" /><Relationship Id="rId12" Type="http://schemas.openxmlformats.org/officeDocument/2006/relationships/hyperlink" Target="https://www.federalregister.gov/documents/2012/02/08/2012-2751/fisheries-of-the-exclusive-economic-zone-off-alaska-community-development-quota-program" TargetMode="External" /><Relationship Id="rId13" Type="http://schemas.openxmlformats.org/officeDocument/2006/relationships/hyperlink" Target="https://www.fisheries.noaa.gov/national/rules-and-regulations/appeals" TargetMode="External" /><Relationship Id="rId14" Type="http://schemas.openxmlformats.org/officeDocument/2006/relationships/hyperlink" Target="https://alaskafisheries.noaa.gov/webapps/efish/login" TargetMode="External" /><Relationship Id="rId15" Type="http://schemas.openxmlformats.org/officeDocument/2006/relationships/hyperlink" Target="https://www.fisheries.noaa.gov/permit/alaska-community-development-quota-cdq-program-applications-and-forms" TargetMode="External" /><Relationship Id="rId16" Type="http://schemas.openxmlformats.org/officeDocument/2006/relationships/hyperlink" Target="https://www.federalregister.gov/documents/2026/03/16/2026-05110/agency-information-collection-activities-submission-to-the-office-of-management-and-budget-omb-for" TargetMode="External" /><Relationship Id="rId17" Type="http://schemas.openxmlformats.org/officeDocument/2006/relationships/hyperlink" Target="https://www.noaa.gov/organization/administration/nao-216-100-protection-of-confidential-fisheries-statistics" TargetMode="External" /><Relationship Id="rId18" Type="http://schemas.openxmlformats.org/officeDocument/2006/relationships/hyperlink" Target="https://www.commerce.gov/node/4991" TargetMode="External" /><Relationship Id="rId19" Type="http://schemas.openxmlformats.org/officeDocument/2006/relationships/hyperlink" Target="https://www.commerce.gov/sites/default/files/2025-03/NOAA4700%20PIA%20FY25%20SAOP_Approved.pdf" TargetMode="Externa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hyperlink" Target="https://www.bls.gov/oes/current/oes_ak.htm" TargetMode="External" /><Relationship Id="rId22" Type="http://schemas.openxmlformats.org/officeDocument/2006/relationships/hyperlink" Target="https://www.fisheries.noaa.gov/alaska/commercial-fishing/cost-recovery-programs-fee-collection-and-fee-payment-alaska" TargetMode="External" /><Relationship Id="rId23" Type="http://schemas.openxmlformats.org/officeDocument/2006/relationships/hyperlink" Target="https://www.congress.gov/106/plaws/publ554/PLAW-106publ554.pdf" TargetMode="External" /><Relationship Id="rId24" Type="http://schemas.openxmlformats.org/officeDocument/2006/relationships/hyperlink" Target="https://www.cio.noaa.gov/services_programs/IQ_Guidelines_103014.html" TargetMode="External" /><Relationship Id="rId25" Type="http://schemas.openxmlformats.org/officeDocument/2006/relationships/hyperlink" Target="https://www.govinfo.gov/content/pkg/CFR-2014-title5-vol3/pdf/CFR-2014-title5-vol3-sec1320-9.pdf" TargetMode="External" /><Relationship Id="rId26" Type="http://schemas.openxmlformats.org/officeDocument/2006/relationships/hyperlink" Target="http://www.gpo.gov/fdsys/pkg/CFR-2014-title5-vol3/pdf/CFR-2014-title5-vol3-sec1320-9.pdf" TargetMode="External" /><Relationship Id="rId27" Type="http://schemas.openxmlformats.org/officeDocument/2006/relationships/hyperlink" Target="https://www.govinfo.gov/content/pkg/CFR-2014-title5-vol3/pdf/CFR-2014-title5-vol3-sec1320-8.pdf" TargetMode="Externa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webSettings" Target="webSettings.xml" /><Relationship Id="rId30"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fisheries.noaa.gov/resource/document/magnuson-stevens-fishery-conservation-and-management-act" TargetMode="External" /><Relationship Id="rId8" Type="http://schemas.openxmlformats.org/officeDocument/2006/relationships/hyperlink" Target="https://www.ecfr.gov/current/title-50/chapter-VI/part-679/subpart-C/section-679.32" TargetMode="External" /><Relationship Id="rId9" Type="http://schemas.openxmlformats.org/officeDocument/2006/relationships/hyperlink" Target="https://www.ecfr.gov/current/title-50/chapter-VI/part-679/subpart-A/section-679.5"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alaskafisheries.noaa.gov/webapps/efish/log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0X+Rgwo6KWsEiVmTPx4tTOz3gw==">CgMxLjAyCGguZ2pkZ3hzOAByITF2d0x5V2xXM0pkNTI3MGcxN0tHcGVUQzVyZlZhMjZnZw==</go:docsCustomData>
</go:gDocsCustomXmlDataStorage>
</file>

<file path=customXml/itemProps1.xml><?xml version="1.0" encoding="utf-8"?>
<ds:datastoreItem xmlns:ds="http://schemas.openxmlformats.org/officeDocument/2006/customXml" ds:itemID="{2FB40330-0177-4932-BEB2-8E0A3D674A5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12</Pages>
  <Words>4498</Words>
  <Characters>25639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Adrienne.Thomas</cp:lastModifiedBy>
  <cp:revision>5</cp:revision>
  <dcterms:created xsi:type="dcterms:W3CDTF">2026-08-21T16:51:00Z</dcterms:created>
  <dcterms:modified xsi:type="dcterms:W3CDTF">2026-08-21T19:22:00Z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