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27421" w:rsidP="005C21A5" w14:paraId="559280A4" w14:textId="4F1711EE">
      <w:pPr>
        <w:jc w:val="center"/>
        <w:rPr>
          <w:b/>
          <w:bCs/>
          <w:sz w:val="24"/>
          <w:szCs w:val="24"/>
        </w:rPr>
      </w:pPr>
      <w:r>
        <w:rPr>
          <w:b/>
          <w:bCs/>
          <w:sz w:val="24"/>
          <w:szCs w:val="24"/>
        </w:rPr>
        <w:t>SUPPORTING STATEMENT</w:t>
      </w:r>
    </w:p>
    <w:p w:rsidR="00727421" w:rsidP="005C21A5" w14:paraId="705E09E3" w14:textId="77777777">
      <w:pPr>
        <w:jc w:val="center"/>
        <w:rPr>
          <w:b/>
          <w:bCs/>
          <w:sz w:val="24"/>
          <w:szCs w:val="24"/>
        </w:rPr>
      </w:pPr>
      <w:r>
        <w:rPr>
          <w:b/>
          <w:bCs/>
          <w:sz w:val="24"/>
          <w:szCs w:val="24"/>
        </w:rPr>
        <w:t>U.S. Department of Commerce</w:t>
      </w:r>
    </w:p>
    <w:p w:rsidR="00727421" w:rsidP="005C21A5" w14:paraId="62AE4266" w14:textId="77777777">
      <w:pPr>
        <w:jc w:val="center"/>
        <w:rPr>
          <w:b/>
          <w:bCs/>
          <w:sz w:val="24"/>
          <w:szCs w:val="24"/>
        </w:rPr>
      </w:pPr>
      <w:r>
        <w:rPr>
          <w:b/>
          <w:bCs/>
          <w:sz w:val="24"/>
          <w:szCs w:val="24"/>
        </w:rPr>
        <w:t>National Oceanic &amp; Atmospheric Administration</w:t>
      </w:r>
    </w:p>
    <w:p w:rsidR="00727421" w:rsidP="005C21A5" w14:paraId="5236237D" w14:textId="77777777">
      <w:pPr>
        <w:jc w:val="center"/>
        <w:rPr>
          <w:b/>
          <w:bCs/>
          <w:sz w:val="24"/>
          <w:szCs w:val="24"/>
        </w:rPr>
      </w:pPr>
      <w:r>
        <w:rPr>
          <w:b/>
          <w:bCs/>
          <w:sz w:val="24"/>
          <w:szCs w:val="24"/>
        </w:rPr>
        <w:t>Tilefish Individual Fishing Quota Program</w:t>
      </w:r>
    </w:p>
    <w:p w:rsidR="00727421" w:rsidP="005C21A5" w14:paraId="01FC437D" w14:textId="77777777">
      <w:pPr>
        <w:jc w:val="center"/>
        <w:rPr>
          <w:b/>
          <w:bCs/>
          <w:sz w:val="24"/>
          <w:szCs w:val="24"/>
        </w:rPr>
      </w:pPr>
      <w:r>
        <w:rPr>
          <w:b/>
          <w:bCs/>
          <w:sz w:val="24"/>
          <w:szCs w:val="24"/>
        </w:rPr>
        <w:t>OMB CONTROL NO. 0648-0590</w:t>
      </w:r>
    </w:p>
    <w:p w:rsidR="00727421" w:rsidP="00091B2E" w14:paraId="45B5B40E" w14:textId="77777777">
      <w:pPr>
        <w:spacing w:before="240"/>
        <w:rPr>
          <w:b/>
          <w:bCs/>
          <w:sz w:val="24"/>
          <w:szCs w:val="24"/>
          <w:highlight w:val="yellow"/>
        </w:rPr>
      </w:pPr>
    </w:p>
    <w:p w:rsidR="00727421" w:rsidP="00091B2E" w14:paraId="65EC5912" w14:textId="77777777">
      <w:pPr>
        <w:spacing w:before="240"/>
        <w:rPr>
          <w:b/>
          <w:bCs/>
          <w:sz w:val="24"/>
          <w:szCs w:val="24"/>
        </w:rPr>
      </w:pPr>
      <w:r>
        <w:rPr>
          <w:b/>
          <w:bCs/>
          <w:sz w:val="24"/>
          <w:szCs w:val="24"/>
        </w:rPr>
        <w:t>Abstract</w:t>
      </w:r>
    </w:p>
    <w:p w:rsidR="00727421" w:rsidP="00091B2E" w14:paraId="3721F4A3" w14:textId="77777777">
      <w:pPr>
        <w:widowControl w:val="0"/>
        <w:spacing w:before="240"/>
        <w:rPr>
          <w:sz w:val="24"/>
          <w:szCs w:val="24"/>
        </w:rPr>
      </w:pPr>
      <w:r>
        <w:rPr>
          <w:sz w:val="24"/>
          <w:szCs w:val="24"/>
        </w:rPr>
        <w:t>This request is for extension of the current information collection.</w:t>
      </w:r>
    </w:p>
    <w:p w:rsidR="00727421" w:rsidP="00091B2E" w14:paraId="2CB2D6AD" w14:textId="77777777">
      <w:pPr>
        <w:widowControl w:val="0"/>
        <w:spacing w:before="240"/>
        <w:rPr>
          <w:sz w:val="24"/>
          <w:szCs w:val="24"/>
        </w:rPr>
      </w:pPr>
      <w:r>
        <w:rPr>
          <w:sz w:val="24"/>
          <w:szCs w:val="24"/>
        </w:rPr>
        <w:t>National Marine Fisheries Service (NMFS) Greater Atlantic Region manages the golden tilefish fishery of the Exclusive Economic Zone (EEZ) of the Northeastern United States, through the Tilefish Fishery Management Plan (FMP).  The recordkeeping and reporting requirements at § 648.294 form the basis for this collection of information.  NMFS requests information from tilefish individual fishing quota (IFQ) permit holders to process applications that ensure IFQ allocation holders are provided a statement of their annual catch quota and, for enforcement purposes, to ensure vessels are not exceeding an individual quota allocation.  In conjunction with the application, NMFS also collects IFQ share accumulation information to ensure that IFQ allocation holders do not acquire an excessive share of the total limited access privileges, as required by section 303A(d)(5)(C) of the Magnuson-Stevens Act.</w:t>
      </w:r>
    </w:p>
    <w:p w:rsidR="00727421" w:rsidP="00091B2E" w14:paraId="63E26CEF" w14:textId="77777777">
      <w:pPr>
        <w:widowControl w:val="0"/>
        <w:spacing w:before="240"/>
        <w:rPr>
          <w:sz w:val="24"/>
          <w:szCs w:val="24"/>
        </w:rPr>
      </w:pPr>
    </w:p>
    <w:p w:rsidR="00727421" w:rsidP="00091B2E" w14:paraId="0079EE9C" w14:textId="77777777">
      <w:pPr>
        <w:numPr>
          <w:ilvl w:val="0"/>
          <w:numId w:val="1"/>
        </w:numPr>
        <w:spacing w:before="240"/>
        <w:ind w:left="0" w:firstLine="0"/>
        <w:rPr>
          <w:b/>
          <w:bCs/>
          <w:sz w:val="24"/>
          <w:szCs w:val="24"/>
        </w:rPr>
      </w:pPr>
      <w:r>
        <w:rPr>
          <w:b/>
          <w:bCs/>
          <w:sz w:val="24"/>
          <w:szCs w:val="24"/>
        </w:rPr>
        <w:t>JUSTIFICATION</w:t>
      </w:r>
    </w:p>
    <w:p w:rsidR="00727421" w:rsidP="00091B2E" w14:paraId="6A38FED0" w14:textId="41C770BC">
      <w:pPr>
        <w:spacing w:before="240"/>
        <w:rPr>
          <w:sz w:val="24"/>
          <w:szCs w:val="24"/>
        </w:rPr>
      </w:pPr>
      <w:r>
        <w:rPr>
          <w:b/>
          <w:bCs/>
          <w:sz w:val="24"/>
          <w:szCs w:val="24"/>
        </w:rPr>
        <w:t>1</w:t>
      </w:r>
      <w:r w:rsidR="00D13A7B">
        <w:rPr>
          <w:b/>
          <w:bCs/>
          <w:sz w:val="24"/>
          <w:szCs w:val="24"/>
        </w:rPr>
        <w:t xml:space="preserve">. </w:t>
      </w:r>
      <w:r w:rsidRPr="00D964C2" w:rsidR="00D964C2">
        <w:rPr>
          <w:b/>
          <w:bCs/>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727421" w:rsidP="00091B2E" w14:paraId="00AA2E3F" w14:textId="0F1255BA">
      <w:pPr>
        <w:spacing w:before="240"/>
        <w:rPr>
          <w:sz w:val="24"/>
          <w:szCs w:val="24"/>
        </w:rPr>
      </w:pPr>
      <w:r w:rsidRPr="00403FA4">
        <w:rPr>
          <w:sz w:val="24"/>
          <w:szCs w:val="24"/>
        </w:rPr>
        <w:t xml:space="preserve">Under the </w:t>
      </w:r>
      <w:r w:rsidRPr="004F18B0">
        <w:rPr>
          <w:sz w:val="24"/>
          <w:szCs w:val="24"/>
        </w:rPr>
        <w:t>Magnuson-Stevens Fishery Con</w:t>
      </w:r>
      <w:r w:rsidRPr="004F18B0">
        <w:rPr>
          <w:sz w:val="24"/>
          <w:szCs w:val="24"/>
        </w:rPr>
        <w:t>s</w:t>
      </w:r>
      <w:r w:rsidRPr="004F18B0">
        <w:rPr>
          <w:sz w:val="24"/>
          <w:szCs w:val="24"/>
        </w:rPr>
        <w:t>ervation and Management Act</w:t>
      </w:r>
      <w:r>
        <w:rPr>
          <w:rStyle w:val="FootnoteReference"/>
          <w:sz w:val="24"/>
          <w:szCs w:val="24"/>
        </w:rPr>
        <w:footnoteReference w:id="2"/>
      </w:r>
      <w:r w:rsidRPr="00403FA4">
        <w:rPr>
          <w:sz w:val="24"/>
          <w:szCs w:val="24"/>
        </w:rPr>
        <w:t xml:space="preserve"> (MSA), the Secretary of Commerce (Secretary) holds ultimate statutory responsibility for the long-term conservation, stewardship, and management of marine fishery resources within the U.S. Exclusive Economic Zone (EEZ). The primary operational authority and day-to-day regulatory responsibilities under the MSA have been delegated to the National Oceanic and Atmospheric Administration's National Marine Fisheries Service (NMFS) and regional bodies like the Mid-Atlantic Fishery Management Council. The Council is tasked with developing, evaluating, and amending Comprehensive Fishery Management Plans (FMPs) to prevent overfishing and achieve optimum yield. Specifically, the Tilefish FMP governs the commercial harvesting of golden tilefish caught and landed within the designated Tilefish Management Unit, establishing individual quota allocations, monitoring compliance, and ensuring legal harvesting limits.</w:t>
      </w:r>
    </w:p>
    <w:p w:rsidR="00727421" w:rsidP="00091B2E" w14:paraId="7DA03BB9" w14:textId="77777777">
      <w:pPr>
        <w:spacing w:before="240"/>
        <w:rPr>
          <w:sz w:val="24"/>
          <w:szCs w:val="24"/>
          <w:highlight w:val="yellow"/>
        </w:rPr>
      </w:pPr>
    </w:p>
    <w:p w:rsidR="00727421" w:rsidP="00091B2E" w14:paraId="072028A3" w14:textId="286FC684">
      <w:pPr>
        <w:spacing w:before="240"/>
        <w:rPr>
          <w:sz w:val="24"/>
          <w:szCs w:val="24"/>
        </w:rPr>
      </w:pPr>
      <w:r>
        <w:rPr>
          <w:b/>
          <w:bCs/>
          <w:sz w:val="24"/>
          <w:szCs w:val="24"/>
        </w:rPr>
        <w:t>2</w:t>
      </w:r>
      <w:r w:rsidR="000306B9">
        <w:rPr>
          <w:b/>
          <w:bCs/>
          <w:sz w:val="24"/>
          <w:szCs w:val="24"/>
        </w:rPr>
        <w:t xml:space="preserve">. </w:t>
      </w:r>
      <w:r w:rsidRPr="00D964C2" w:rsidR="00D964C2">
        <w:rPr>
          <w:b/>
          <w:bCs/>
          <w:sz w:val="24"/>
          <w:szCs w:val="24"/>
        </w:rPr>
        <w:t>Indicate how, by whom, and for what purpose the information is to be used. Except for a new collection, indicate the actual use the agency has made of the information received from the current collection.</w:t>
      </w:r>
    </w:p>
    <w:p w:rsidR="00727421" w:rsidP="00091B2E" w14:paraId="2A19C9BB" w14:textId="77777777">
      <w:pPr>
        <w:spacing w:before="240"/>
        <w:rPr>
          <w:sz w:val="24"/>
          <w:szCs w:val="24"/>
        </w:rPr>
      </w:pPr>
      <w:r>
        <w:rPr>
          <w:sz w:val="24"/>
          <w:szCs w:val="24"/>
        </w:rPr>
        <w:t xml:space="preserve">The information requested is used by several offices of NMFS and the United States Coast Guard (USCG) for the monitoring, implementation, and enforcement of the provisions outlined in the Tilefish FMP. </w:t>
      </w:r>
    </w:p>
    <w:p w:rsidR="00727421" w:rsidP="00091B2E" w14:paraId="15F871AD" w14:textId="1C6B4057">
      <w:pPr>
        <w:spacing w:before="240"/>
        <w:rPr>
          <w:sz w:val="24"/>
          <w:szCs w:val="24"/>
        </w:rPr>
      </w:pPr>
      <w:r>
        <w:rPr>
          <w:sz w:val="24"/>
          <w:szCs w:val="24"/>
        </w:rPr>
        <w:t>The information gathered is required for the institution of a Limited Access Permit Program (LAPP), as stipulated in the MSA.  This information</w:t>
      </w:r>
      <w:r w:rsidR="005C21A5">
        <w:rPr>
          <w:sz w:val="24"/>
          <w:szCs w:val="24"/>
        </w:rPr>
        <w:t xml:space="preserve"> </w:t>
      </w:r>
      <w:r>
        <w:rPr>
          <w:sz w:val="24"/>
          <w:szCs w:val="24"/>
        </w:rPr>
        <w:t xml:space="preserve">enables NMFS to manage the IFQ program.  </w:t>
      </w:r>
      <w:r w:rsidR="000306B9">
        <w:rPr>
          <w:sz w:val="24"/>
          <w:szCs w:val="24"/>
        </w:rPr>
        <w:t>All</w:t>
      </w:r>
      <w:r>
        <w:rPr>
          <w:sz w:val="24"/>
          <w:szCs w:val="24"/>
        </w:rPr>
        <w:t xml:space="preserve"> the information will be collected annually, with the exception of the IFQ Allocation Transfer form, which will be collected every time an IFQ allocation transfer occurs.</w:t>
      </w:r>
    </w:p>
    <w:p w:rsidR="005C21A5" w:rsidP="005C21A5" w14:paraId="598FFAD5" w14:textId="77777777">
      <w:pPr>
        <w:spacing w:before="240"/>
        <w:rPr>
          <w:b/>
          <w:bCs/>
          <w:sz w:val="24"/>
          <w:szCs w:val="24"/>
        </w:rPr>
      </w:pPr>
      <w:r>
        <w:rPr>
          <w:b/>
          <w:bCs/>
          <w:sz w:val="24"/>
          <w:szCs w:val="24"/>
        </w:rPr>
        <w:t>IFQ Allocation Permit</w:t>
      </w:r>
    </w:p>
    <w:p w:rsidR="005C21A5" w:rsidP="005C21A5" w14:paraId="0396A42F" w14:textId="77777777">
      <w:pPr>
        <w:spacing w:before="240"/>
        <w:rPr>
          <w:sz w:val="24"/>
          <w:szCs w:val="24"/>
        </w:rPr>
      </w:pPr>
      <w:r>
        <w:rPr>
          <w:sz w:val="24"/>
          <w:szCs w:val="24"/>
        </w:rPr>
        <w:t>In 2009, Amendment 1 to the Tilefish Fishery Management Plan (FMP) implemented an individual fishing quota (IFQ) program.  This program requires the issuance of IFQ Allocation permits to all entities that own IFQ.  There are currently 13 tilefish IFQ Allocation permits.  Permanent IFQ transfers may occur at any point after issuance of IFQ Allocation permits, which may change the number of IFQ Allocation permits that are issued annually.  These permits are necessary to ensure that IFQ allocation owners are provided with a statement of their annual catch quota and are necessary for enforcement purposes to ensure vessels are not exceeding an individual quota allocation.</w:t>
      </w:r>
    </w:p>
    <w:p w:rsidR="005C21A5" w:rsidP="005C21A5" w14:paraId="45255AA4" w14:textId="77777777">
      <w:pPr>
        <w:spacing w:before="240"/>
        <w:rPr>
          <w:b/>
          <w:bCs/>
          <w:sz w:val="24"/>
          <w:szCs w:val="24"/>
        </w:rPr>
      </w:pPr>
      <w:r>
        <w:rPr>
          <w:b/>
          <w:bCs/>
          <w:sz w:val="24"/>
          <w:szCs w:val="24"/>
        </w:rPr>
        <w:t>IFQ Permanent &amp; Temporary Transferability</w:t>
      </w:r>
    </w:p>
    <w:p w:rsidR="008A264E" w:rsidP="005C21A5" w14:paraId="3B165B5B" w14:textId="77777777">
      <w:pPr>
        <w:spacing w:before="240"/>
        <w:rPr>
          <w:sz w:val="24"/>
          <w:szCs w:val="24"/>
        </w:rPr>
      </w:pPr>
      <w:r>
        <w:rPr>
          <w:sz w:val="24"/>
          <w:szCs w:val="24"/>
        </w:rPr>
        <w:t xml:space="preserve">To achieve its objectives, it is essential that an IFQ program allow the free transfer of quota shares.  These objectives include reduction in overcapacity, and provision for economic efficiency in the fishery.  Amendment 1 allowed for IFQ quota share or annual quota pounds to be transferred to any entity eligible to own a U.S.-documented vessel.  In order to process an IFQ transfer (quota share or pounds), NMFS requires that an IFQ Allocation permit holder submit an IFQ transfer form.  This IFQ transfer form must include the following information:  </w:t>
      </w:r>
    </w:p>
    <w:p w:rsidR="008A264E" w:rsidP="008A264E" w14:paraId="2D1C28AC" w14:textId="77777777">
      <w:pPr>
        <w:pStyle w:val="ListParagraph"/>
        <w:numPr>
          <w:ilvl w:val="0"/>
          <w:numId w:val="3"/>
        </w:numPr>
        <w:spacing w:before="240"/>
        <w:rPr>
          <w:sz w:val="24"/>
          <w:szCs w:val="24"/>
        </w:rPr>
      </w:pPr>
      <w:r w:rsidRPr="008A264E">
        <w:rPr>
          <w:sz w:val="24"/>
          <w:szCs w:val="24"/>
        </w:rPr>
        <w:t>the type of transfer (either temporary transfer of pounds or permanent transfer of quota share),</w:t>
      </w:r>
    </w:p>
    <w:p w:rsidR="008A264E" w:rsidP="008A264E" w14:paraId="44002CDB" w14:textId="77777777">
      <w:pPr>
        <w:pStyle w:val="ListParagraph"/>
        <w:numPr>
          <w:ilvl w:val="0"/>
          <w:numId w:val="3"/>
        </w:numPr>
        <w:spacing w:before="240"/>
        <w:rPr>
          <w:sz w:val="24"/>
          <w:szCs w:val="24"/>
        </w:rPr>
      </w:pPr>
      <w:r w:rsidRPr="008A264E">
        <w:rPr>
          <w:sz w:val="24"/>
          <w:szCs w:val="24"/>
        </w:rPr>
        <w:t>the signature of both parties involved,</w:t>
      </w:r>
    </w:p>
    <w:p w:rsidR="008A264E" w:rsidP="008A264E" w14:paraId="14ABE7A3" w14:textId="77777777">
      <w:pPr>
        <w:pStyle w:val="ListParagraph"/>
        <w:numPr>
          <w:ilvl w:val="0"/>
          <w:numId w:val="3"/>
        </w:numPr>
        <w:spacing w:before="240"/>
        <w:rPr>
          <w:sz w:val="24"/>
          <w:szCs w:val="24"/>
        </w:rPr>
      </w:pPr>
      <w:r w:rsidRPr="008A264E">
        <w:rPr>
          <w:sz w:val="24"/>
          <w:szCs w:val="24"/>
        </w:rPr>
        <w:t>the cost associated with the transfer,</w:t>
      </w:r>
    </w:p>
    <w:p w:rsidR="008A264E" w:rsidP="008A264E" w14:paraId="224E75CA" w14:textId="77777777">
      <w:pPr>
        <w:pStyle w:val="ListParagraph"/>
        <w:numPr>
          <w:ilvl w:val="0"/>
          <w:numId w:val="3"/>
        </w:numPr>
        <w:spacing w:before="240"/>
        <w:rPr>
          <w:sz w:val="24"/>
          <w:szCs w:val="24"/>
        </w:rPr>
      </w:pPr>
      <w:r w:rsidRPr="008A264E">
        <w:rPr>
          <w:sz w:val="24"/>
          <w:szCs w:val="24"/>
        </w:rPr>
        <w:t>the amount (in either pounds or percent of IFQ allocation) to be transferred, and</w:t>
      </w:r>
    </w:p>
    <w:p w:rsidR="008A264E" w:rsidP="008A264E" w14:paraId="05045706" w14:textId="77777777">
      <w:pPr>
        <w:pStyle w:val="ListParagraph"/>
        <w:numPr>
          <w:ilvl w:val="0"/>
          <w:numId w:val="3"/>
        </w:numPr>
        <w:spacing w:before="240"/>
        <w:rPr>
          <w:sz w:val="24"/>
          <w:szCs w:val="24"/>
        </w:rPr>
      </w:pPr>
      <w:r w:rsidRPr="008A264E">
        <w:rPr>
          <w:sz w:val="24"/>
          <w:szCs w:val="24"/>
        </w:rPr>
        <w:t xml:space="preserve">a declaration of the interest held in tilefish IFQ allocation, with IFQ Allocation permit numbers, for the entity receiving the IFQ.  </w:t>
      </w:r>
    </w:p>
    <w:p w:rsidR="005C21A5" w:rsidRPr="008A264E" w:rsidP="008A264E" w14:paraId="45132EED" w14:textId="370990CA">
      <w:pPr>
        <w:spacing w:before="240"/>
        <w:rPr>
          <w:sz w:val="24"/>
          <w:szCs w:val="24"/>
        </w:rPr>
      </w:pPr>
      <w:r w:rsidRPr="008A264E">
        <w:rPr>
          <w:sz w:val="24"/>
          <w:szCs w:val="24"/>
        </w:rPr>
        <w:t xml:space="preserve">The IFQ Transfer Application Form is made available to IFQ Allocation permit holders annually, along with notification of their annual individual quota.  In addition, IFQ Allocation permit holders are notified that the form is available online through the Greater Atlantic Regional Office web site, at </w:t>
      </w:r>
      <w:hyperlink r:id="rId7" w:history="1">
        <w:r w:rsidRPr="008A264E">
          <w:rPr>
            <w:rStyle w:val="Hyperlink"/>
            <w:sz w:val="24"/>
            <w:szCs w:val="24"/>
          </w:rPr>
          <w:t>www.fisheries.noaa.gov</w:t>
        </w:r>
      </w:hyperlink>
      <w:r w:rsidRPr="008A264E">
        <w:rPr>
          <w:sz w:val="24"/>
          <w:szCs w:val="24"/>
        </w:rPr>
        <w:t xml:space="preserve">. </w:t>
      </w:r>
    </w:p>
    <w:p w:rsidR="005C21A5" w:rsidP="005C21A5" w14:paraId="0BFC22C7" w14:textId="77777777">
      <w:pPr>
        <w:keepNext/>
        <w:spacing w:before="240"/>
        <w:rPr>
          <w:b/>
          <w:bCs/>
          <w:sz w:val="24"/>
          <w:szCs w:val="24"/>
        </w:rPr>
      </w:pPr>
      <w:r>
        <w:rPr>
          <w:b/>
          <w:bCs/>
          <w:sz w:val="24"/>
          <w:szCs w:val="24"/>
        </w:rPr>
        <w:t>IFQ Share Accumulation</w:t>
      </w:r>
    </w:p>
    <w:p w:rsidR="005C21A5" w:rsidP="005C21A5" w14:paraId="62CED640" w14:textId="77777777">
      <w:pPr>
        <w:keepNext/>
        <w:spacing w:before="240"/>
        <w:rPr>
          <w:sz w:val="24"/>
          <w:szCs w:val="24"/>
        </w:rPr>
      </w:pPr>
      <w:r>
        <w:rPr>
          <w:sz w:val="24"/>
          <w:szCs w:val="24"/>
        </w:rPr>
        <w:t>Section 303A(c)(5)(D) of the 2006 reauthorized MSA states that IFQ privilege programs should ensure that limited access privilege holders do not acquire an excessive share of the total limited access privileges in the program by: 1) establishing a maximum share, expressed as a percentage of the total limited access privileges, that a limited access privilege holder is permitted to hold, acquire, or use; 2) establishing any other limitations or measures necessary to prevent an inequitable concentration of limited access privileges; and 3) authorizing limited access privileges to harvest fish to be held, acquired, used by, or issued under the system to persons who substantially participate in the fishery, including in a specific sector of such fishery, as specified by the Council.  Amendment 1 instituted a restriction on the acquisition of IFQ allocation to 49 percent.  No person, corporation, partnership, or other entity eligible to own a U.S.-documented vessel (entity), may hold (permanently or temporarily) more than 49 percent of the total tilefish IFQ allocation.  This prevents the accumulation of an excessive shareholding in the fishery, while still allowing for additional consolidation in the fishery to reduce overcapacity.</w:t>
      </w:r>
    </w:p>
    <w:p w:rsidR="005C21A5" w:rsidP="005C21A5" w14:paraId="33FE4AAA" w14:textId="77777777">
      <w:pPr>
        <w:spacing w:before="240"/>
        <w:rPr>
          <w:sz w:val="24"/>
          <w:szCs w:val="24"/>
        </w:rPr>
      </w:pPr>
      <w:r>
        <w:rPr>
          <w:sz w:val="24"/>
          <w:szCs w:val="24"/>
        </w:rPr>
        <w:t>To ensure that an entity does not acquire more than 49 percent of the overall tilefish IFQ total allowable landings (TAL), NMFS must collect IFQ allocation interest data.  IFQ Allocation permit holders must disclose their interest in IFQ allocations annually, prior to receiving their annual permit.  To facilitate the collection of this information, NMFS requires that an IFQ Allocation Interest Declaration form be submitted prior to issuing an IFQ Allocation permit.  This form includes:</w:t>
      </w:r>
    </w:p>
    <w:p w:rsidR="005C21A5" w:rsidP="005C21A5" w14:paraId="3D832770" w14:textId="77777777">
      <w:pPr>
        <w:pStyle w:val="ListParagraph"/>
        <w:numPr>
          <w:ilvl w:val="0"/>
          <w:numId w:val="2"/>
        </w:numPr>
        <w:spacing w:before="60"/>
        <w:contextualSpacing w:val="0"/>
        <w:rPr>
          <w:sz w:val="24"/>
          <w:szCs w:val="24"/>
        </w:rPr>
      </w:pPr>
      <w:r w:rsidRPr="005C21A5">
        <w:rPr>
          <w:sz w:val="24"/>
          <w:szCs w:val="24"/>
        </w:rPr>
        <w:t>the signature of the owner</w:t>
      </w:r>
    </w:p>
    <w:p w:rsidR="005C21A5" w:rsidP="005C21A5" w14:paraId="6B8CB8B2" w14:textId="77777777">
      <w:pPr>
        <w:pStyle w:val="ListParagraph"/>
        <w:numPr>
          <w:ilvl w:val="0"/>
          <w:numId w:val="2"/>
        </w:numPr>
        <w:spacing w:before="240"/>
        <w:rPr>
          <w:sz w:val="24"/>
          <w:szCs w:val="24"/>
        </w:rPr>
      </w:pPr>
      <w:r w:rsidRPr="005C21A5">
        <w:rPr>
          <w:sz w:val="24"/>
          <w:szCs w:val="24"/>
        </w:rPr>
        <w:t>the complete address and phone number of the owner</w:t>
      </w:r>
    </w:p>
    <w:p w:rsidR="005C21A5" w:rsidP="005C21A5" w14:paraId="109669AC" w14:textId="77777777">
      <w:pPr>
        <w:pStyle w:val="ListParagraph"/>
        <w:numPr>
          <w:ilvl w:val="0"/>
          <w:numId w:val="2"/>
        </w:numPr>
        <w:spacing w:before="240"/>
        <w:rPr>
          <w:sz w:val="24"/>
          <w:szCs w:val="24"/>
        </w:rPr>
      </w:pPr>
      <w:r w:rsidRPr="005C21A5">
        <w:rPr>
          <w:sz w:val="24"/>
          <w:szCs w:val="24"/>
        </w:rPr>
        <w:t xml:space="preserve">an attestation that the owner is a U.S. citizen, and </w:t>
      </w:r>
    </w:p>
    <w:p w:rsidR="005C21A5" w:rsidRPr="005C21A5" w:rsidP="005C21A5" w14:paraId="75609943" w14:textId="77777777">
      <w:pPr>
        <w:pStyle w:val="ListParagraph"/>
        <w:numPr>
          <w:ilvl w:val="0"/>
          <w:numId w:val="2"/>
        </w:numPr>
        <w:spacing w:before="240"/>
        <w:rPr>
          <w:sz w:val="24"/>
          <w:szCs w:val="24"/>
        </w:rPr>
      </w:pPr>
      <w:r w:rsidRPr="005C21A5">
        <w:rPr>
          <w:sz w:val="24"/>
          <w:szCs w:val="24"/>
        </w:rPr>
        <w:t xml:space="preserve">the IFQ Allocation permit number(s) in which they have ownership interest.  </w:t>
      </w:r>
    </w:p>
    <w:p w:rsidR="005C21A5" w:rsidRPr="005C21A5" w:rsidP="005C21A5" w14:paraId="15E49EDF" w14:textId="77777777">
      <w:pPr>
        <w:spacing w:before="240"/>
        <w:rPr>
          <w:sz w:val="24"/>
          <w:szCs w:val="24"/>
        </w:rPr>
      </w:pPr>
      <w:r w:rsidRPr="005C21A5">
        <w:rPr>
          <w:sz w:val="24"/>
          <w:szCs w:val="24"/>
        </w:rPr>
        <w:t>The ITQ allocations of which an individual declares an ownership interest must be identified by both full name (individual or corporation) and by NMFS IFQ Allocation permit number.  An IFQ Allocation permit holder may not transfer IFQ (permanently or temporarily) if it will result in an entity holding more than 49 percent of the total tilefish IFQ TAL.</w:t>
      </w:r>
    </w:p>
    <w:p w:rsidR="005C21A5" w:rsidP="005C21A5" w14:paraId="7EAF8A7A" w14:textId="77777777">
      <w:pPr>
        <w:spacing w:before="240"/>
        <w:rPr>
          <w:b/>
          <w:bCs/>
          <w:sz w:val="24"/>
          <w:szCs w:val="24"/>
        </w:rPr>
      </w:pPr>
      <w:r>
        <w:rPr>
          <w:b/>
          <w:bCs/>
          <w:sz w:val="24"/>
          <w:szCs w:val="24"/>
        </w:rPr>
        <w:t>Fees and Cost Recovery</w:t>
      </w:r>
    </w:p>
    <w:p w:rsidR="005C21A5" w:rsidP="005C21A5" w14:paraId="2F6076BD" w14:textId="77777777">
      <w:pPr>
        <w:spacing w:before="240"/>
        <w:rPr>
          <w:sz w:val="24"/>
          <w:szCs w:val="24"/>
        </w:rPr>
      </w:pPr>
      <w:r>
        <w:rPr>
          <w:sz w:val="24"/>
          <w:szCs w:val="24"/>
        </w:rPr>
        <w:t xml:space="preserve">NMFS is required under the MSA to collect fees to recover the costs directly related to management, data collection and analysis, and enforcement of IFQ programs.  Under section 304(d)(2)(A) of the MSA, the Secretary is authorized to collect a fee to recover these costs.  The fee shall not exceed 3 percent of the ex-vessel value of fish harvested.  The IFQ fees collected are deposited in the Limited Access System Administrative Fund (LASAF) established in the U.S. Treasury.  There is a separate marked account within the LASAF to ensure that the fees collected are only recovered to pay for the incremental costs directly related to management, data collection and analysis, and enforcement costs of the NMFS Greater Atlantic Region Tilefish IFQ Program.  Amendment 1 requires that the IFQ permit holder pay a cost recovery fee for every pound of tilefish that he or she lands.  As soon as possible after the end of the calendar year, NMFS mails a bill for the IFQ fee from the previous calendar year to each IFQ permit holder.  Bills may also be made available electronically via the internet.  Payment of the IFQ fee must be made within 45 days of the date on the NMFS bill.  </w:t>
      </w:r>
    </w:p>
    <w:p w:rsidR="005C21A5" w:rsidP="005C21A5" w14:paraId="22B7F36C" w14:textId="596A2A83">
      <w:pPr>
        <w:spacing w:before="240"/>
        <w:rPr>
          <w:sz w:val="24"/>
          <w:szCs w:val="24"/>
        </w:rPr>
      </w:pPr>
      <w:r>
        <w:rPr>
          <w:sz w:val="24"/>
          <w:szCs w:val="24"/>
        </w:rPr>
        <w:t xml:space="preserve">Payments of the IFQ fee must be made electronically via the Federal web portal, </w:t>
      </w:r>
      <w:r w:rsidRPr="004F18B0">
        <w:rPr>
          <w:sz w:val="24"/>
          <w:szCs w:val="24"/>
        </w:rPr>
        <w:t>ww</w:t>
      </w:r>
      <w:r w:rsidRPr="004F18B0">
        <w:rPr>
          <w:sz w:val="24"/>
          <w:szCs w:val="24"/>
        </w:rPr>
        <w:t>w</w:t>
      </w:r>
      <w:r w:rsidRPr="004F18B0">
        <w:rPr>
          <w:sz w:val="24"/>
          <w:szCs w:val="24"/>
        </w:rPr>
        <w:t>.pay.gov</w:t>
      </w:r>
      <w:r>
        <w:rPr>
          <w:rStyle w:val="FootnoteReference"/>
          <w:sz w:val="24"/>
          <w:szCs w:val="24"/>
        </w:rPr>
        <w:footnoteReference w:id="3"/>
      </w:r>
      <w:r>
        <w:rPr>
          <w:sz w:val="24"/>
          <w:szCs w:val="24"/>
        </w:rPr>
        <w:t>, or other internet sites as designated by the Regional Administrator (RA).  Use of the electronic fee collection system is to minimize paper transactions because the NMFS Greater Atlantic Regional Office is not equipped to process paper collections.  Instructions for electronic payment are available on both the payment website and the paper bill.  Payment options include payment via a credit card (e.g., Visa, MasterCard, Discover, etc.), or direct automated clearing house (ACH) withdrawal from a designated checking account.  Payment by check could be authorized by the RA for any reason, including in the case of an emergency (i.e., the geographical area or an individual is affected by catastrophic conditions).</w:t>
      </w:r>
    </w:p>
    <w:p w:rsidR="00727421" w:rsidP="00091B2E" w14:paraId="46261AD6" w14:textId="77777777">
      <w:pPr>
        <w:spacing w:before="240"/>
        <w:rPr>
          <w:sz w:val="24"/>
          <w:szCs w:val="24"/>
          <w:highlight w:val="yellow"/>
        </w:rPr>
      </w:pPr>
    </w:p>
    <w:p w:rsidR="00727421" w:rsidP="00091B2E" w14:paraId="3EE05783" w14:textId="5E123D73">
      <w:pPr>
        <w:spacing w:before="240"/>
        <w:rPr>
          <w:sz w:val="24"/>
          <w:szCs w:val="24"/>
        </w:rPr>
      </w:pPr>
      <w:r>
        <w:rPr>
          <w:b/>
          <w:bCs/>
          <w:sz w:val="24"/>
          <w:szCs w:val="24"/>
        </w:rPr>
        <w:t>3</w:t>
      </w:r>
      <w:r w:rsidR="000306B9">
        <w:rPr>
          <w:b/>
          <w:bCs/>
          <w:sz w:val="24"/>
          <w:szCs w:val="24"/>
        </w:rPr>
        <w:t xml:space="preserve">. </w:t>
      </w:r>
      <w:r w:rsidRPr="00D964C2" w:rsidR="00D964C2">
        <w:rPr>
          <w:b/>
          <w:bCs/>
          <w:sz w:val="24"/>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727421" w:rsidP="00091B2E" w14:paraId="2FF886B8" w14:textId="0ED5E290">
      <w:pPr>
        <w:spacing w:before="240"/>
        <w:rPr>
          <w:sz w:val="24"/>
          <w:szCs w:val="24"/>
        </w:rPr>
      </w:pPr>
      <w:r>
        <w:rPr>
          <w:sz w:val="24"/>
          <w:szCs w:val="24"/>
        </w:rPr>
        <w:t xml:space="preserve">The collection of cost recovery fees, as required by the MSA for the institution of </w:t>
      </w:r>
      <w:r w:rsidR="008A264E">
        <w:rPr>
          <w:sz w:val="24"/>
          <w:szCs w:val="24"/>
        </w:rPr>
        <w:t>a</w:t>
      </w:r>
      <w:r>
        <w:rPr>
          <w:sz w:val="24"/>
          <w:szCs w:val="24"/>
        </w:rPr>
        <w:t xml:space="preserve"> LAPP, will be accomplished using www.pay.gov, the electronic Federal payment system managed by the Department of the Treasury.</w:t>
      </w:r>
    </w:p>
    <w:p w:rsidR="00727421" w:rsidP="00091B2E" w14:paraId="17638375" w14:textId="659FC522">
      <w:pPr>
        <w:spacing w:before="240"/>
        <w:rPr>
          <w:sz w:val="24"/>
          <w:szCs w:val="24"/>
        </w:rPr>
      </w:pPr>
      <w:r>
        <w:rPr>
          <w:sz w:val="24"/>
          <w:szCs w:val="24"/>
        </w:rPr>
        <w:t xml:space="preserve">The forms that are used to collect the information </w:t>
      </w:r>
      <w:r w:rsidR="00F37324">
        <w:rPr>
          <w:sz w:val="24"/>
          <w:szCs w:val="24"/>
        </w:rPr>
        <w:t>are</w:t>
      </w:r>
      <w:r>
        <w:rPr>
          <w:sz w:val="24"/>
          <w:szCs w:val="24"/>
        </w:rPr>
        <w:t xml:space="preserve"> available for download electronically on the GARFO website, </w:t>
      </w:r>
      <w:hyperlink r:id="rId8" w:history="1">
        <w:r w:rsidRPr="00F37324">
          <w:rPr>
            <w:rStyle w:val="Hyperlink"/>
            <w:sz w:val="24"/>
            <w:szCs w:val="24"/>
          </w:rPr>
          <w:t>www.fisheries.noaa.gov/region/new-england-mid-atlantic</w:t>
        </w:r>
      </w:hyperlink>
      <w:r w:rsidR="00F37324">
        <w:rPr>
          <w:sz w:val="24"/>
          <w:szCs w:val="24"/>
        </w:rPr>
        <w:t>.</w:t>
      </w:r>
      <w:r w:rsidR="000306B9">
        <w:rPr>
          <w:sz w:val="24"/>
          <w:szCs w:val="24"/>
        </w:rPr>
        <w:t xml:space="preserve"> </w:t>
      </w:r>
      <w:r>
        <w:rPr>
          <w:sz w:val="24"/>
          <w:szCs w:val="24"/>
        </w:rPr>
        <w:t xml:space="preserve">Completed forms may be mailed or submitted through email. </w:t>
      </w:r>
    </w:p>
    <w:p w:rsidR="00727421" w:rsidP="00091B2E" w14:paraId="5FB6D8AC" w14:textId="77777777">
      <w:pPr>
        <w:spacing w:before="240"/>
        <w:rPr>
          <w:b/>
          <w:bCs/>
          <w:sz w:val="24"/>
          <w:szCs w:val="24"/>
          <w:highlight w:val="yellow"/>
        </w:rPr>
      </w:pPr>
    </w:p>
    <w:p w:rsidR="00727421" w:rsidP="00091B2E" w14:paraId="04A32F08" w14:textId="5F297F55">
      <w:pPr>
        <w:spacing w:before="240"/>
        <w:rPr>
          <w:b/>
          <w:bCs/>
          <w:sz w:val="24"/>
          <w:szCs w:val="24"/>
        </w:rPr>
      </w:pPr>
      <w:r>
        <w:rPr>
          <w:b/>
          <w:bCs/>
          <w:sz w:val="24"/>
          <w:szCs w:val="24"/>
        </w:rPr>
        <w:t>4</w:t>
      </w:r>
      <w:r w:rsidR="000306B9">
        <w:rPr>
          <w:b/>
          <w:bCs/>
          <w:sz w:val="24"/>
          <w:szCs w:val="24"/>
        </w:rPr>
        <w:t>. Describe</w:t>
      </w:r>
      <w:r>
        <w:rPr>
          <w:b/>
          <w:bCs/>
          <w:sz w:val="24"/>
          <w:szCs w:val="24"/>
        </w:rPr>
        <w:t xml:space="preserve"> efforts to identify duplication. Show specifically why any similar information already available cannot be used or modified for use for the purposes described in Question 2</w:t>
      </w:r>
    </w:p>
    <w:p w:rsidR="00727421" w:rsidP="00091B2E" w14:paraId="30197AAA" w14:textId="7163921E">
      <w:pPr>
        <w:spacing w:before="240"/>
        <w:rPr>
          <w:sz w:val="24"/>
          <w:szCs w:val="24"/>
        </w:rPr>
      </w:pPr>
      <w:r w:rsidRPr="008A264E">
        <w:rPr>
          <w:sz w:val="24"/>
          <w:szCs w:val="24"/>
        </w:rPr>
        <w:t>NMFS is aware of all related fishery management activities, and these requirements do not duplicate any in existence. The data requested from tilefish individual fishing quota (IFQ) permit holders—including specific IFQ allocation transfer details, initial permit applications, and comprehensive share accumulation interest declarations—are unique to the management and enforcement of the Tilefish Fishery Management Plan (FMP). Existing reporting systems across federal and state agencies do not capture the specialized ownership interest structures or exact transfer records necessary to monitor the 49-percent quota allocation cap or calculate cost recovery fees under the Magnuson-Stevens Act. Consequently, no existing data source can be modified or used to satisfy these statutory oversight requirements.</w:t>
      </w:r>
    </w:p>
    <w:p w:rsidR="008A264E" w:rsidP="00091B2E" w14:paraId="1FA9DEBB" w14:textId="77777777">
      <w:pPr>
        <w:spacing w:before="240"/>
        <w:rPr>
          <w:sz w:val="24"/>
          <w:szCs w:val="24"/>
          <w:highlight w:val="yellow"/>
        </w:rPr>
      </w:pPr>
    </w:p>
    <w:p w:rsidR="00727421" w:rsidP="00091B2E" w14:paraId="5C838F44" w14:textId="5D909CAD">
      <w:pPr>
        <w:spacing w:before="240"/>
        <w:rPr>
          <w:sz w:val="24"/>
          <w:szCs w:val="24"/>
        </w:rPr>
      </w:pPr>
      <w:r>
        <w:rPr>
          <w:b/>
          <w:bCs/>
          <w:sz w:val="24"/>
          <w:szCs w:val="24"/>
        </w:rPr>
        <w:t>5</w:t>
      </w:r>
      <w:r w:rsidR="000306B9">
        <w:rPr>
          <w:b/>
          <w:bCs/>
          <w:sz w:val="24"/>
          <w:szCs w:val="24"/>
        </w:rPr>
        <w:t>. If</w:t>
      </w:r>
      <w:r>
        <w:rPr>
          <w:b/>
          <w:bCs/>
          <w:sz w:val="24"/>
          <w:szCs w:val="24"/>
        </w:rPr>
        <w:t xml:space="preserve"> the collection of information involves small businesses or other small entities, describe the methods used to minimize burden.</w:t>
      </w:r>
      <w:r>
        <w:rPr>
          <w:sz w:val="24"/>
          <w:szCs w:val="24"/>
        </w:rPr>
        <w:t xml:space="preserve"> </w:t>
      </w:r>
    </w:p>
    <w:p w:rsidR="00727421" w:rsidP="00091B2E" w14:paraId="5064A32A" w14:textId="512C5DE0">
      <w:pPr>
        <w:spacing w:before="240"/>
        <w:rPr>
          <w:sz w:val="24"/>
          <w:szCs w:val="24"/>
        </w:rPr>
      </w:pPr>
      <w:r w:rsidRPr="008A264E">
        <w:rPr>
          <w:sz w:val="24"/>
          <w:szCs w:val="24"/>
        </w:rPr>
        <w:t>This collection of information does not have a significant economic impact on small entities. Only the minimum data required to meet administrative, monitoring, and statutory oversight needs are requested from participants. To minimize the administrative burden, all required forms—including the IFQ Allocation Permit Application, IFQ Allocation Interest Declaration Form, and IFQ Transfer Form—are made electronically downloadable and computer-fillable via the Greater Atlantic Regional Fisheries Office website. Additionally, clear and detailed instructions are provided with all forms to streamline completion and prevent unnecessary delays. Mandatory cost recovery payments are processed electronically via www.pay.gov to reduce paper transactions and administrative overhead. Because the vast majority of participants in the tilefish IFQ fishery qualify as small businesses, uniform procedures have been established, and separate requirements based on business size are not necessary.</w:t>
      </w:r>
    </w:p>
    <w:p w:rsidR="008A264E" w:rsidP="00091B2E" w14:paraId="5407067D" w14:textId="77777777">
      <w:pPr>
        <w:spacing w:before="240"/>
        <w:rPr>
          <w:sz w:val="24"/>
          <w:szCs w:val="24"/>
          <w:highlight w:val="yellow"/>
        </w:rPr>
      </w:pPr>
    </w:p>
    <w:p w:rsidR="00727421" w:rsidP="00091B2E" w14:paraId="3FD45BA6" w14:textId="57887969">
      <w:pPr>
        <w:spacing w:before="240"/>
        <w:rPr>
          <w:sz w:val="24"/>
          <w:szCs w:val="24"/>
        </w:rPr>
      </w:pPr>
      <w:r>
        <w:rPr>
          <w:b/>
          <w:bCs/>
          <w:sz w:val="24"/>
          <w:szCs w:val="24"/>
        </w:rPr>
        <w:t>6</w:t>
      </w:r>
      <w:r w:rsidR="000306B9">
        <w:rPr>
          <w:b/>
          <w:bCs/>
          <w:sz w:val="24"/>
          <w:szCs w:val="24"/>
        </w:rPr>
        <w:t>. Describe</w:t>
      </w:r>
      <w:r>
        <w:rPr>
          <w:b/>
          <w:bCs/>
          <w:sz w:val="24"/>
          <w:szCs w:val="24"/>
        </w:rPr>
        <w:t xml:space="preserve"> the consequence to Federal program or policy activities if the collection is not conducted or is conducted less frequently, as well as any technical or legal obstacles to reducing burden.</w:t>
      </w:r>
      <w:r>
        <w:rPr>
          <w:sz w:val="24"/>
          <w:szCs w:val="24"/>
        </w:rPr>
        <w:t xml:space="preserve"> </w:t>
      </w:r>
    </w:p>
    <w:p w:rsidR="005106E9" w:rsidP="00091B2E" w14:paraId="213D2D00" w14:textId="12571DC5">
      <w:pPr>
        <w:spacing w:before="240"/>
        <w:rPr>
          <w:sz w:val="24"/>
          <w:szCs w:val="24"/>
        </w:rPr>
      </w:pPr>
      <w:r w:rsidRPr="008A264E">
        <w:rPr>
          <w:sz w:val="24"/>
          <w:szCs w:val="24"/>
        </w:rPr>
        <w:t>Amendment 1 to the Tilefish Fishery Management Plan (FMP) formally established a Limited Access Privilege Program (LAPP) within the tilefish fishery. This creates a binding statutory mandate under the Magnuson-Stevens Fishery Conservation and Management Act (MSA) to execute the specific information collection activities detailed in Question 1. Without collecting this required data, the National Marine Fisheries Service (NMFS) would be completely unable to carry out essential administrative and regulatory functions. These critical responsibilities include issuing mandatory annual IFQ Allocation permits, calculating and assigning individual quota allocations, and reviewing, approving, and tracking both permanent quota share and temporary quota pound transfers among participants. Ultimately, the failure or inability to collect this information would prevent the tilefish IFQ fishery from functioning operationally, undermine statutory oversight, and directly impair NMFS's capacity to ensure proper fishery management, real-time monitoring, and legal compliance.</w:t>
      </w:r>
    </w:p>
    <w:p w:rsidR="008A264E" w:rsidP="00091B2E" w14:paraId="5FF20584" w14:textId="77777777">
      <w:pPr>
        <w:spacing w:before="240"/>
        <w:rPr>
          <w:sz w:val="24"/>
          <w:szCs w:val="24"/>
          <w:highlight w:val="yellow"/>
        </w:rPr>
      </w:pPr>
    </w:p>
    <w:p w:rsidR="00727421" w:rsidP="00091B2E" w14:paraId="6D9C81E4" w14:textId="761D4C7B">
      <w:pPr>
        <w:spacing w:before="240"/>
        <w:rPr>
          <w:sz w:val="24"/>
          <w:szCs w:val="24"/>
        </w:rPr>
      </w:pPr>
      <w:r>
        <w:rPr>
          <w:b/>
          <w:bCs/>
          <w:sz w:val="24"/>
          <w:szCs w:val="24"/>
        </w:rPr>
        <w:t>7</w:t>
      </w:r>
      <w:r w:rsidR="000306B9">
        <w:rPr>
          <w:b/>
          <w:bCs/>
          <w:sz w:val="24"/>
          <w:szCs w:val="24"/>
        </w:rPr>
        <w:t>. Explain</w:t>
      </w:r>
      <w:r>
        <w:rPr>
          <w:b/>
          <w:bCs/>
          <w:sz w:val="24"/>
          <w:szCs w:val="24"/>
        </w:rPr>
        <w:t xml:space="preserve"> any special circumstances that require the collection to be conducted in a manner inconsistent with OMB guidelines. </w:t>
      </w:r>
    </w:p>
    <w:p w:rsidR="00727421" w:rsidP="00091B2E" w14:paraId="54E7B5B4" w14:textId="77777777">
      <w:pPr>
        <w:spacing w:before="240"/>
        <w:rPr>
          <w:sz w:val="24"/>
          <w:szCs w:val="24"/>
        </w:rPr>
      </w:pPr>
      <w:r>
        <w:rPr>
          <w:sz w:val="24"/>
          <w:szCs w:val="24"/>
        </w:rPr>
        <w:t xml:space="preserve">The data collection as described is consistent with OMB guidelines.  </w:t>
      </w:r>
    </w:p>
    <w:p w:rsidR="00727421" w:rsidP="00091B2E" w14:paraId="5832AEAE" w14:textId="77777777">
      <w:pPr>
        <w:spacing w:before="240"/>
        <w:rPr>
          <w:sz w:val="24"/>
          <w:szCs w:val="24"/>
          <w:highlight w:val="yellow"/>
        </w:rPr>
      </w:pPr>
    </w:p>
    <w:p w:rsidR="00727421" w:rsidP="00091B2E" w14:paraId="2B641F74" w14:textId="376EC332">
      <w:pPr>
        <w:spacing w:before="240"/>
        <w:rPr>
          <w:sz w:val="24"/>
          <w:szCs w:val="24"/>
        </w:rPr>
      </w:pPr>
      <w:r>
        <w:rPr>
          <w:b/>
          <w:bCs/>
          <w:sz w:val="24"/>
          <w:szCs w:val="24"/>
        </w:rPr>
        <w:t>8</w:t>
      </w:r>
      <w:r w:rsidR="000306B9">
        <w:rPr>
          <w:b/>
          <w:bCs/>
          <w:sz w:val="24"/>
          <w:szCs w:val="24"/>
        </w:rPr>
        <w:t xml:space="preserve">. </w:t>
      </w:r>
      <w:r w:rsidRPr="00D964C2" w:rsidR="00D964C2">
        <w:rPr>
          <w:b/>
          <w:bCs/>
          <w:sz w:val="24"/>
          <w:szCs w:val="24"/>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727421" w:rsidP="00091B2E" w14:paraId="0FD3D055" w14:textId="77777777">
      <w:pPr>
        <w:spacing w:before="240"/>
        <w:rPr>
          <w:sz w:val="24"/>
          <w:szCs w:val="24"/>
        </w:rPr>
      </w:pPr>
      <w:r>
        <w:rPr>
          <w:sz w:val="24"/>
          <w:szCs w:val="24"/>
        </w:rPr>
        <w:t xml:space="preserve">A </w:t>
      </w:r>
      <w:r>
        <w:rPr>
          <w:i/>
          <w:iCs/>
          <w:sz w:val="24"/>
          <w:szCs w:val="24"/>
        </w:rPr>
        <w:t>Federal Register</w:t>
      </w:r>
      <w:r>
        <w:rPr>
          <w:sz w:val="24"/>
          <w:szCs w:val="24"/>
        </w:rPr>
        <w:t xml:space="preserve"> Notice published June 11, 2026 (91 FR 35467), solicited public comments.  No comments were received.</w:t>
      </w:r>
    </w:p>
    <w:p w:rsidR="00727421" w:rsidP="00091B2E" w14:paraId="3926C59A" w14:textId="77777777">
      <w:pPr>
        <w:spacing w:before="240"/>
        <w:rPr>
          <w:sz w:val="24"/>
          <w:szCs w:val="24"/>
        </w:rPr>
      </w:pPr>
      <w:r>
        <w:rPr>
          <w:sz w:val="24"/>
          <w:szCs w:val="24"/>
        </w:rPr>
        <w:t>NMFS reached out to stakeholders at the New England Fishery Management Council and the Mid-Atlantic Fishery Management Council to obtain their views on the availability of data, frequency of collection, the clarity of instructions and recordkeeping, disclosure, or reporting format (if any), and on the data elements to be recorded, disclosed, or reported.  No comments were received.</w:t>
      </w:r>
    </w:p>
    <w:p w:rsidR="00727421" w:rsidP="00091B2E" w14:paraId="42F1FD1A" w14:textId="270B618A">
      <w:pPr>
        <w:spacing w:before="240"/>
        <w:rPr>
          <w:sz w:val="24"/>
          <w:szCs w:val="24"/>
        </w:rPr>
      </w:pPr>
      <w:r>
        <w:rPr>
          <w:sz w:val="24"/>
          <w:szCs w:val="24"/>
        </w:rPr>
        <w:t xml:space="preserve">NMFS implemented the Tilefish IFQ program in </w:t>
      </w:r>
      <w:r w:rsidR="000306B9">
        <w:rPr>
          <w:sz w:val="24"/>
          <w:szCs w:val="24"/>
        </w:rPr>
        <w:t>2010 and</w:t>
      </w:r>
      <w:r>
        <w:rPr>
          <w:sz w:val="24"/>
          <w:szCs w:val="24"/>
        </w:rPr>
        <w:t xml:space="preserve"> works to maintain open industry/public communication as a part of participation in the program.  Feedback in the form of comments or questions is welcomed and encouraged throughout the fishery management process, and several contact numbers are provided on the application forms and supporting informational materials.</w:t>
      </w:r>
    </w:p>
    <w:p w:rsidR="00F37324" w:rsidP="00091B2E" w14:paraId="3AF13227" w14:textId="77777777">
      <w:pPr>
        <w:spacing w:before="240"/>
        <w:rPr>
          <w:sz w:val="24"/>
          <w:szCs w:val="24"/>
        </w:rPr>
      </w:pPr>
    </w:p>
    <w:p w:rsidR="00727421" w:rsidP="00091B2E" w14:paraId="66B1B14D" w14:textId="599268B2">
      <w:pPr>
        <w:spacing w:before="240"/>
        <w:rPr>
          <w:sz w:val="24"/>
          <w:szCs w:val="24"/>
        </w:rPr>
      </w:pPr>
      <w:r>
        <w:rPr>
          <w:b/>
          <w:bCs/>
          <w:sz w:val="24"/>
          <w:szCs w:val="24"/>
        </w:rPr>
        <w:t>9</w:t>
      </w:r>
      <w:r w:rsidR="000306B9">
        <w:rPr>
          <w:b/>
          <w:bCs/>
          <w:sz w:val="24"/>
          <w:szCs w:val="24"/>
        </w:rPr>
        <w:t>. Explain</w:t>
      </w:r>
      <w:r>
        <w:rPr>
          <w:b/>
          <w:bCs/>
          <w:sz w:val="24"/>
          <w:szCs w:val="24"/>
        </w:rPr>
        <w:t xml:space="preserve"> any decisions to provide payments or gifts to respondents, other than remuneration of contractors or grantees.</w:t>
      </w:r>
    </w:p>
    <w:p w:rsidR="00727421" w:rsidP="00091B2E" w14:paraId="771251DF" w14:textId="77777777">
      <w:pPr>
        <w:widowControl w:val="0"/>
        <w:spacing w:before="240"/>
        <w:rPr>
          <w:sz w:val="24"/>
          <w:szCs w:val="24"/>
        </w:rPr>
      </w:pPr>
      <w:r>
        <w:rPr>
          <w:sz w:val="24"/>
          <w:szCs w:val="24"/>
        </w:rPr>
        <w:t>Respondents will not receive any gifts or payment.</w:t>
      </w:r>
    </w:p>
    <w:p w:rsidR="00727421" w:rsidP="00091B2E" w14:paraId="14DBCC01" w14:textId="77777777">
      <w:pPr>
        <w:spacing w:before="240"/>
        <w:rPr>
          <w:sz w:val="24"/>
          <w:szCs w:val="24"/>
        </w:rPr>
      </w:pPr>
    </w:p>
    <w:p w:rsidR="00727421" w:rsidP="00091B2E" w14:paraId="4F2DFCBB" w14:textId="7FA58863">
      <w:pPr>
        <w:spacing w:before="240"/>
        <w:rPr>
          <w:sz w:val="24"/>
          <w:szCs w:val="24"/>
        </w:rPr>
      </w:pPr>
      <w:r>
        <w:rPr>
          <w:b/>
          <w:bCs/>
          <w:sz w:val="24"/>
          <w:szCs w:val="24"/>
        </w:rPr>
        <w:t>10</w:t>
      </w:r>
      <w:r w:rsidR="000306B9">
        <w:rPr>
          <w:b/>
          <w:bCs/>
          <w:sz w:val="24"/>
          <w:szCs w:val="24"/>
        </w:rPr>
        <w:t xml:space="preserve">. </w:t>
      </w:r>
      <w:r w:rsidRPr="00D964C2" w:rsidR="00D964C2">
        <w:rPr>
          <w:b/>
          <w:bCs/>
          <w:sz w:val="24"/>
          <w:szCs w:val="24"/>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727421" w:rsidP="00091B2E" w14:paraId="2F215BA0" w14:textId="42928D59">
      <w:pPr>
        <w:spacing w:before="240"/>
        <w:rPr>
          <w:sz w:val="24"/>
          <w:szCs w:val="24"/>
        </w:rPr>
      </w:pPr>
      <w:r>
        <w:rPr>
          <w:sz w:val="24"/>
          <w:szCs w:val="24"/>
        </w:rPr>
        <w:t xml:space="preserve">All data is handled in accordance with </w:t>
      </w:r>
      <w:r w:rsidRPr="004F18B0">
        <w:rPr>
          <w:sz w:val="24"/>
          <w:szCs w:val="24"/>
        </w:rPr>
        <w:t>NOAA Adm</w:t>
      </w:r>
      <w:r w:rsidRPr="004F18B0">
        <w:rPr>
          <w:sz w:val="24"/>
          <w:szCs w:val="24"/>
        </w:rPr>
        <w:t>i</w:t>
      </w:r>
      <w:r w:rsidRPr="004F18B0">
        <w:rPr>
          <w:sz w:val="24"/>
          <w:szCs w:val="24"/>
        </w:rPr>
        <w:t>nistrative Order 216-100</w:t>
      </w:r>
      <w:r>
        <w:rPr>
          <w:rStyle w:val="FootnoteReference"/>
          <w:sz w:val="24"/>
          <w:szCs w:val="24"/>
        </w:rPr>
        <w:footnoteReference w:id="4"/>
      </w:r>
      <w:r>
        <w:rPr>
          <w:sz w:val="24"/>
          <w:szCs w:val="24"/>
        </w:rPr>
        <w:t>, Confidentiality of Fisheries Statistics, and is not released for public use except in aggregate statistical form (and without identifying the source of data, e.g., vessel name, owner, etc.).  In addition, any information submitted according to the provisions outlined in Amendment 1, or any other management action implemented by NMFS, is considered confidential and is not disclosed except as provided in Section 402(b) of the Magnuson-Stevens Act.</w:t>
      </w:r>
    </w:p>
    <w:p w:rsidR="00A6154E" w:rsidP="00091B2E" w14:paraId="18EBC390" w14:textId="7D0C8F44">
      <w:pPr>
        <w:spacing w:before="240"/>
        <w:rPr>
          <w:sz w:val="24"/>
          <w:szCs w:val="24"/>
        </w:rPr>
      </w:pPr>
      <w:r>
        <w:rPr>
          <w:sz w:val="24"/>
          <w:szCs w:val="24"/>
        </w:rPr>
        <w:t>System of records notice NOAA-19</w:t>
      </w:r>
      <w:r>
        <w:rPr>
          <w:rStyle w:val="FootnoteReference"/>
          <w:sz w:val="24"/>
          <w:szCs w:val="24"/>
        </w:rPr>
        <w:footnoteReference w:id="5"/>
      </w:r>
      <w:r>
        <w:rPr>
          <w:sz w:val="24"/>
          <w:szCs w:val="24"/>
        </w:rPr>
        <w:t>, Permits and Registrations for United States Federally Regulated Fisheries, applies to the information collected under this OMB control number.  The privacy impact assessment for NOAA4100</w:t>
      </w:r>
      <w:r>
        <w:rPr>
          <w:rStyle w:val="FootnoteReference"/>
          <w:sz w:val="24"/>
          <w:szCs w:val="24"/>
        </w:rPr>
        <w:footnoteReference w:id="6"/>
      </w:r>
      <w:r>
        <w:rPr>
          <w:sz w:val="24"/>
          <w:szCs w:val="24"/>
        </w:rPr>
        <w:t>, Greater Atlantic Regional Office (GARFO) Network, identifies the security and privacy controls implemented to protect this information.</w:t>
      </w:r>
    </w:p>
    <w:p w:rsidR="00727421" w:rsidP="00091B2E" w14:paraId="2DC4D375" w14:textId="77777777">
      <w:pPr>
        <w:spacing w:before="240"/>
        <w:rPr>
          <w:sz w:val="24"/>
          <w:szCs w:val="24"/>
          <w:highlight w:val="yellow"/>
        </w:rPr>
      </w:pPr>
    </w:p>
    <w:p w:rsidR="008B28CD" w:rsidP="00091B2E" w14:paraId="203CD633" w14:textId="77777777">
      <w:pPr>
        <w:spacing w:before="240"/>
        <w:rPr>
          <w:b/>
          <w:bCs/>
          <w:sz w:val="24"/>
          <w:szCs w:val="24"/>
        </w:rPr>
      </w:pPr>
      <w:r>
        <w:rPr>
          <w:b/>
          <w:bCs/>
          <w:sz w:val="24"/>
          <w:szCs w:val="24"/>
        </w:rPr>
        <w:t>11</w:t>
      </w:r>
      <w:r w:rsidR="000306B9">
        <w:rPr>
          <w:b/>
          <w:bCs/>
          <w:sz w:val="24"/>
          <w:szCs w:val="24"/>
        </w:rPr>
        <w:t xml:space="preserve">. </w:t>
      </w:r>
      <w:r w:rsidRPr="008B28CD">
        <w:rPr>
          <w:b/>
          <w:bCs/>
          <w:sz w:val="24"/>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8B28CD">
        <w:rPr>
          <w:b/>
          <w:bCs/>
          <w:sz w:val="24"/>
          <w:szCs w:val="24"/>
        </w:rPr>
        <w:t>persons from whom the information is requested, and any steps to be taken to obtain their consent.</w:t>
      </w:r>
    </w:p>
    <w:p w:rsidR="00727421" w:rsidP="00091B2E" w14:paraId="0736C89B" w14:textId="3D23C4AC">
      <w:pPr>
        <w:spacing w:before="240"/>
        <w:rPr>
          <w:sz w:val="24"/>
          <w:szCs w:val="24"/>
        </w:rPr>
      </w:pPr>
      <w:r>
        <w:rPr>
          <w:sz w:val="24"/>
          <w:szCs w:val="24"/>
        </w:rPr>
        <w:t>There are no questions of a sensitive nature.</w:t>
      </w:r>
    </w:p>
    <w:p w:rsidR="00727421" w:rsidP="00091B2E" w14:paraId="5BBA95B5" w14:textId="77777777">
      <w:pPr>
        <w:spacing w:before="240"/>
        <w:rPr>
          <w:sz w:val="24"/>
          <w:szCs w:val="24"/>
          <w:highlight w:val="yellow"/>
        </w:rPr>
      </w:pPr>
    </w:p>
    <w:p w:rsidR="00727421" w:rsidP="00091B2E" w14:paraId="5B9A22CC" w14:textId="0D94645B">
      <w:pPr>
        <w:spacing w:before="240"/>
        <w:rPr>
          <w:sz w:val="24"/>
          <w:szCs w:val="24"/>
          <w:highlight w:val="yellow"/>
        </w:rPr>
      </w:pPr>
      <w:r>
        <w:rPr>
          <w:b/>
          <w:bCs/>
          <w:sz w:val="24"/>
          <w:szCs w:val="24"/>
        </w:rPr>
        <w:t>12</w:t>
      </w:r>
      <w:r w:rsidR="000306B9">
        <w:rPr>
          <w:b/>
          <w:bCs/>
          <w:sz w:val="24"/>
          <w:szCs w:val="24"/>
        </w:rPr>
        <w:t xml:space="preserve">. </w:t>
      </w:r>
      <w:r w:rsidRPr="008B28CD">
        <w:rPr>
          <w:b/>
          <w:bCs/>
          <w:sz w:val="24"/>
          <w:szCs w:val="24"/>
        </w:rPr>
        <w:t>Provide estimates of the hour burden of the collection of information.</w:t>
      </w:r>
    </w:p>
    <w:tbl>
      <w:tblPr>
        <w:tblStyle w:val="a"/>
        <w:tblW w:w="10800" w:type="dxa"/>
        <w:tblInd w:w="-730" w:type="dxa"/>
        <w:tblLayout w:type="fixed"/>
        <w:tblLook w:val="0400"/>
      </w:tblPr>
      <w:tblGrid>
        <w:gridCol w:w="1825"/>
        <w:gridCol w:w="1313"/>
        <w:gridCol w:w="1182"/>
        <w:gridCol w:w="1058"/>
        <w:gridCol w:w="1012"/>
        <w:gridCol w:w="1000"/>
        <w:gridCol w:w="1070"/>
        <w:gridCol w:w="1170"/>
        <w:gridCol w:w="1170"/>
      </w:tblGrid>
      <w:tr w14:paraId="4DD26BAC" w14:textId="77777777" w:rsidTr="00924846">
        <w:tblPrEx>
          <w:tblW w:w="10800" w:type="dxa"/>
          <w:tblInd w:w="-730" w:type="dxa"/>
          <w:tblLayout w:type="fixed"/>
          <w:tblLook w:val="0400"/>
        </w:tblPrEx>
        <w:trPr>
          <w:trHeight w:val="1015"/>
        </w:trPr>
        <w:tc>
          <w:tcPr>
            <w:tcW w:w="1825"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727421" w:rsidP="00702706" w14:paraId="4335E053"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Information Collection</w:t>
            </w:r>
          </w:p>
        </w:tc>
        <w:tc>
          <w:tcPr>
            <w:tcW w:w="1313"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04EB9F6E"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Type of Respondent (e.g., Profession)</w:t>
            </w:r>
          </w:p>
        </w:tc>
        <w:tc>
          <w:tcPr>
            <w:tcW w:w="1182"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5E4FF92E"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of Respondents</w:t>
            </w:r>
          </w:p>
        </w:tc>
        <w:tc>
          <w:tcPr>
            <w:tcW w:w="1058"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3D1738B8"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Annual # of Responses / Respondent</w:t>
            </w:r>
          </w:p>
        </w:tc>
        <w:tc>
          <w:tcPr>
            <w:tcW w:w="1012"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3EE7D0F9"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 Total # of Annual Responses</w:t>
            </w:r>
          </w:p>
        </w:tc>
        <w:tc>
          <w:tcPr>
            <w:tcW w:w="1000"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5E48AA09"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Burden Hrs / Response</w:t>
            </w:r>
          </w:p>
        </w:tc>
        <w:tc>
          <w:tcPr>
            <w:tcW w:w="1070"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24B00359"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Burden Hrs</w:t>
            </w:r>
          </w:p>
        </w:tc>
        <w:tc>
          <w:tcPr>
            <w:tcW w:w="1170"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0F7D2C46" w14:textId="2FE80FC4">
            <w:pPr>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Hourly Wage </w:t>
            </w:r>
            <w:r w:rsidR="000306B9">
              <w:rPr>
                <w:rFonts w:ascii="Calibri" w:eastAsia="Calibri" w:hAnsi="Calibri" w:cs="Calibri"/>
                <w:b/>
                <w:bCs/>
                <w:color w:val="000000"/>
                <w:sz w:val="16"/>
                <w:szCs w:val="16"/>
              </w:rPr>
              <w:t>Rate (</w:t>
            </w:r>
            <w:r>
              <w:rPr>
                <w:rFonts w:ascii="Calibri" w:eastAsia="Calibri" w:hAnsi="Calibri" w:cs="Calibri"/>
                <w:b/>
                <w:bCs/>
                <w:color w:val="000000"/>
                <w:sz w:val="16"/>
                <w:szCs w:val="16"/>
              </w:rPr>
              <w:t>for Type of Respondent)</w:t>
            </w:r>
          </w:p>
        </w:tc>
        <w:tc>
          <w:tcPr>
            <w:tcW w:w="1170" w:type="dxa"/>
            <w:tcBorders>
              <w:top w:val="single" w:sz="8" w:space="0" w:color="000000"/>
              <w:left w:val="nil"/>
              <w:bottom w:val="single" w:sz="8" w:space="0" w:color="000000"/>
              <w:right w:val="single" w:sz="8" w:space="0" w:color="000000"/>
            </w:tcBorders>
            <w:shd w:val="clear" w:color="auto" w:fill="BDD7EE"/>
            <w:vAlign w:val="center"/>
          </w:tcPr>
          <w:p w:rsidR="00727421" w:rsidP="00702706" w14:paraId="50184315" w14:textId="77777777">
            <w:pPr>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Wage Burden Costs</w:t>
            </w:r>
          </w:p>
        </w:tc>
      </w:tr>
      <w:tr w14:paraId="6014CEF2" w14:textId="77777777" w:rsidTr="00924846">
        <w:tblPrEx>
          <w:tblW w:w="10800" w:type="dxa"/>
          <w:tblInd w:w="-730" w:type="dxa"/>
          <w:tblLayout w:type="fixed"/>
          <w:tblLook w:val="0400"/>
        </w:tblPrEx>
        <w:trPr>
          <w:trHeight w:val="340"/>
        </w:trPr>
        <w:tc>
          <w:tcPr>
            <w:tcW w:w="1825" w:type="dxa"/>
            <w:tcBorders>
              <w:top w:val="nil"/>
              <w:left w:val="single" w:sz="8" w:space="0" w:color="000000"/>
              <w:bottom w:val="single" w:sz="4" w:space="0" w:color="000000"/>
              <w:right w:val="single" w:sz="4" w:space="0" w:color="000000"/>
            </w:tcBorders>
            <w:vAlign w:val="center"/>
          </w:tcPr>
          <w:p w:rsidR="00727421" w:rsidP="00702706" w14:paraId="1C7986AB" w14:textId="154EDDEA">
            <w:pPr>
              <w:rPr>
                <w:rFonts w:ascii="Calibri" w:eastAsia="Calibri" w:hAnsi="Calibri" w:cs="Calibri"/>
                <w:color w:val="000000"/>
                <w:sz w:val="16"/>
                <w:szCs w:val="16"/>
              </w:rPr>
            </w:pPr>
            <w:r w:rsidRPr="00E4485D">
              <w:rPr>
                <w:rFonts w:ascii="Calibri" w:eastAsia="Calibri" w:hAnsi="Calibri" w:cs="Calibri"/>
                <w:color w:val="000000"/>
                <w:sz w:val="16"/>
                <w:szCs w:val="16"/>
              </w:rPr>
              <w:t>Application for IFQ Allocation Permits</w:t>
            </w:r>
          </w:p>
        </w:tc>
        <w:tc>
          <w:tcPr>
            <w:tcW w:w="1313" w:type="dxa"/>
            <w:vMerge w:val="restart"/>
            <w:tcBorders>
              <w:top w:val="nil"/>
              <w:left w:val="nil"/>
              <w:right w:val="single" w:sz="4" w:space="0" w:color="000000"/>
            </w:tcBorders>
            <w:vAlign w:val="center"/>
          </w:tcPr>
          <w:p w:rsidR="00727421" w:rsidP="00702706" w14:paraId="7D301826" w14:textId="08C4B94D">
            <w:pPr>
              <w:jc w:val="center"/>
              <w:rPr>
                <w:rFonts w:ascii="Calibri" w:eastAsia="Calibri" w:hAnsi="Calibri" w:cs="Calibri"/>
                <w:color w:val="000000"/>
              </w:rPr>
            </w:pPr>
            <w:r>
              <w:rPr>
                <w:rFonts w:ascii="Calibri" w:eastAsia="Calibri" w:hAnsi="Calibri" w:cs="Calibri"/>
                <w:color w:val="000000"/>
                <w:sz w:val="16"/>
                <w:szCs w:val="16"/>
              </w:rPr>
              <w:t>45-</w:t>
            </w:r>
            <w:r w:rsidR="000306B9">
              <w:rPr>
                <w:rFonts w:ascii="Calibri" w:eastAsia="Calibri" w:hAnsi="Calibri" w:cs="Calibri"/>
                <w:color w:val="000000"/>
                <w:sz w:val="16"/>
                <w:szCs w:val="16"/>
              </w:rPr>
              <w:t>1011 First</w:t>
            </w:r>
            <w:r>
              <w:rPr>
                <w:rFonts w:ascii="Calibri" w:eastAsia="Calibri" w:hAnsi="Calibri" w:cs="Calibri"/>
                <w:color w:val="000000"/>
                <w:sz w:val="16"/>
                <w:szCs w:val="16"/>
              </w:rPr>
              <w:t>-Line Supervisors of Farming, Fishing, and Forestry Workers</w:t>
            </w:r>
          </w:p>
        </w:tc>
        <w:tc>
          <w:tcPr>
            <w:tcW w:w="1182" w:type="dxa"/>
            <w:tcBorders>
              <w:top w:val="nil"/>
              <w:left w:val="nil"/>
              <w:bottom w:val="single" w:sz="4" w:space="0" w:color="000000"/>
              <w:right w:val="single" w:sz="4" w:space="0" w:color="000000"/>
            </w:tcBorders>
            <w:vAlign w:val="center"/>
          </w:tcPr>
          <w:p w:rsidR="00727421" w:rsidP="00702706" w14:paraId="391B5554"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58" w:type="dxa"/>
            <w:tcBorders>
              <w:top w:val="nil"/>
              <w:left w:val="nil"/>
              <w:bottom w:val="single" w:sz="4" w:space="0" w:color="000000"/>
              <w:right w:val="single" w:sz="4" w:space="0" w:color="000000"/>
            </w:tcBorders>
            <w:vAlign w:val="center"/>
          </w:tcPr>
          <w:p w:rsidR="00727421" w:rsidP="00702706" w14:paraId="68A5442A"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12" w:type="dxa"/>
            <w:tcBorders>
              <w:top w:val="nil"/>
              <w:left w:val="nil"/>
              <w:bottom w:val="single" w:sz="4" w:space="0" w:color="000000"/>
              <w:right w:val="single" w:sz="4" w:space="0" w:color="000000"/>
            </w:tcBorders>
            <w:vAlign w:val="center"/>
          </w:tcPr>
          <w:p w:rsidR="00727421" w:rsidP="00702706" w14:paraId="2734F87E"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00" w:type="dxa"/>
            <w:tcBorders>
              <w:top w:val="nil"/>
              <w:left w:val="nil"/>
              <w:bottom w:val="single" w:sz="4" w:space="0" w:color="000000"/>
              <w:right w:val="single" w:sz="4" w:space="0" w:color="000000"/>
            </w:tcBorders>
            <w:vAlign w:val="center"/>
          </w:tcPr>
          <w:p w:rsidR="00727421" w:rsidP="00702706" w14:paraId="362DCF91"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0.25</w:t>
            </w:r>
          </w:p>
        </w:tc>
        <w:tc>
          <w:tcPr>
            <w:tcW w:w="1070" w:type="dxa"/>
            <w:tcBorders>
              <w:top w:val="nil"/>
              <w:left w:val="nil"/>
              <w:bottom w:val="single" w:sz="4" w:space="0" w:color="000000"/>
              <w:right w:val="single" w:sz="4" w:space="0" w:color="000000"/>
            </w:tcBorders>
            <w:vAlign w:val="center"/>
          </w:tcPr>
          <w:p w:rsidR="00727421" w:rsidP="00702706" w14:paraId="1680C6B2" w14:textId="3C978F81">
            <w:pPr>
              <w:jc w:val="center"/>
              <w:rPr>
                <w:rFonts w:ascii="Calibri" w:eastAsia="Calibri" w:hAnsi="Calibri" w:cs="Calibri"/>
                <w:color w:val="000000"/>
                <w:sz w:val="16"/>
                <w:szCs w:val="16"/>
              </w:rPr>
            </w:pPr>
            <w:r>
              <w:rPr>
                <w:rFonts w:ascii="Calibri" w:eastAsia="Calibri" w:hAnsi="Calibri" w:cs="Calibri"/>
                <w:color w:val="000000"/>
                <w:sz w:val="16"/>
                <w:szCs w:val="16"/>
              </w:rPr>
              <w:t>3</w:t>
            </w:r>
          </w:p>
        </w:tc>
        <w:tc>
          <w:tcPr>
            <w:tcW w:w="1170" w:type="dxa"/>
            <w:vMerge w:val="restart"/>
            <w:tcBorders>
              <w:top w:val="nil"/>
              <w:left w:val="nil"/>
              <w:right w:val="single" w:sz="4" w:space="0" w:color="000000"/>
            </w:tcBorders>
            <w:vAlign w:val="center"/>
          </w:tcPr>
          <w:p w:rsidR="00727421" w:rsidP="00702706" w14:paraId="6553460C"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 </w:t>
            </w:r>
            <w:r>
              <w:rPr>
                <w:rFonts w:ascii="Calibri" w:eastAsia="Calibri" w:hAnsi="Calibri" w:cs="Calibri"/>
                <w:sz w:val="16"/>
                <w:szCs w:val="16"/>
              </w:rPr>
              <w:t>30.16</w:t>
            </w:r>
          </w:p>
        </w:tc>
        <w:tc>
          <w:tcPr>
            <w:tcW w:w="1170" w:type="dxa"/>
            <w:tcBorders>
              <w:top w:val="nil"/>
              <w:left w:val="nil"/>
              <w:bottom w:val="single" w:sz="4" w:space="0" w:color="000000"/>
              <w:right w:val="single" w:sz="8" w:space="0" w:color="000000"/>
            </w:tcBorders>
            <w:vAlign w:val="center"/>
          </w:tcPr>
          <w:p w:rsidR="00727421" w:rsidP="00702706" w14:paraId="46B31AB8" w14:textId="283509E2">
            <w:pPr>
              <w:jc w:val="center"/>
              <w:rPr>
                <w:rFonts w:ascii="Calibri" w:eastAsia="Calibri" w:hAnsi="Calibri" w:cs="Calibri"/>
                <w:color w:val="000000"/>
                <w:sz w:val="16"/>
                <w:szCs w:val="16"/>
              </w:rPr>
            </w:pPr>
            <w:r>
              <w:rPr>
                <w:rFonts w:ascii="Calibri" w:eastAsia="Calibri" w:hAnsi="Calibri" w:cs="Calibri"/>
                <w:color w:val="000000"/>
                <w:sz w:val="16"/>
                <w:szCs w:val="16"/>
              </w:rPr>
              <w:t>$ </w:t>
            </w:r>
            <w:r w:rsidR="000E3362">
              <w:rPr>
                <w:rFonts w:ascii="Calibri" w:eastAsia="Calibri" w:hAnsi="Calibri" w:cs="Calibri"/>
                <w:sz w:val="16"/>
                <w:szCs w:val="16"/>
              </w:rPr>
              <w:t>90</w:t>
            </w:r>
          </w:p>
        </w:tc>
      </w:tr>
      <w:tr w14:paraId="3D5E9A32" w14:textId="77777777" w:rsidTr="00924846">
        <w:tblPrEx>
          <w:tblW w:w="10800" w:type="dxa"/>
          <w:tblInd w:w="-730" w:type="dxa"/>
          <w:tblLayout w:type="fixed"/>
          <w:tblLook w:val="0400"/>
        </w:tblPrEx>
        <w:trPr>
          <w:trHeight w:val="350"/>
        </w:trPr>
        <w:tc>
          <w:tcPr>
            <w:tcW w:w="1825" w:type="dxa"/>
            <w:tcBorders>
              <w:top w:val="nil"/>
              <w:left w:val="single" w:sz="8" w:space="0" w:color="000000"/>
              <w:bottom w:val="single" w:sz="4" w:space="0" w:color="000000"/>
              <w:right w:val="single" w:sz="4" w:space="0" w:color="000000"/>
            </w:tcBorders>
            <w:vAlign w:val="center"/>
          </w:tcPr>
          <w:p w:rsidR="00727421" w:rsidP="00702706" w14:paraId="19540C68" w14:textId="1EF2F1A1">
            <w:pPr>
              <w:rPr>
                <w:rFonts w:ascii="Calibri" w:eastAsia="Calibri" w:hAnsi="Calibri" w:cs="Calibri"/>
                <w:color w:val="000000"/>
                <w:sz w:val="16"/>
                <w:szCs w:val="16"/>
              </w:rPr>
            </w:pPr>
            <w:r w:rsidRPr="00E4485D">
              <w:rPr>
                <w:rFonts w:ascii="Calibri" w:eastAsia="Calibri" w:hAnsi="Calibri" w:cs="Calibri"/>
                <w:color w:val="000000"/>
                <w:sz w:val="16"/>
                <w:szCs w:val="16"/>
              </w:rPr>
              <w:t>Tilefish IFQ Allocation Interest Declaration Form</w:t>
            </w:r>
          </w:p>
        </w:tc>
        <w:tc>
          <w:tcPr>
            <w:tcW w:w="1313" w:type="dxa"/>
            <w:vMerge/>
            <w:tcBorders>
              <w:top w:val="nil"/>
              <w:left w:val="nil"/>
              <w:right w:val="single" w:sz="4" w:space="0" w:color="000000"/>
            </w:tcBorders>
            <w:vAlign w:val="center"/>
          </w:tcPr>
          <w:p w:rsidR="00727421" w:rsidP="00702706" w14:paraId="486CBA3D" w14:textId="77777777">
            <w:pPr>
              <w:widowControl w:val="0"/>
              <w:pBdr>
                <w:top w:val="nil"/>
                <w:left w:val="nil"/>
                <w:bottom w:val="nil"/>
                <w:right w:val="nil"/>
                <w:between w:val="nil"/>
              </w:pBdr>
              <w:rPr>
                <w:rFonts w:ascii="Calibri" w:eastAsia="Calibri" w:hAnsi="Calibri" w:cs="Calibri"/>
                <w:color w:val="000000"/>
                <w:sz w:val="16"/>
                <w:szCs w:val="16"/>
                <w:highlight w:val="yellow"/>
              </w:rPr>
            </w:pPr>
          </w:p>
        </w:tc>
        <w:tc>
          <w:tcPr>
            <w:tcW w:w="1182" w:type="dxa"/>
            <w:tcBorders>
              <w:top w:val="nil"/>
              <w:left w:val="nil"/>
              <w:bottom w:val="single" w:sz="4" w:space="0" w:color="000000"/>
              <w:right w:val="single" w:sz="4" w:space="0" w:color="000000"/>
            </w:tcBorders>
            <w:vAlign w:val="center"/>
          </w:tcPr>
          <w:p w:rsidR="00727421" w:rsidP="00702706" w14:paraId="0E318271"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58" w:type="dxa"/>
            <w:tcBorders>
              <w:top w:val="nil"/>
              <w:left w:val="nil"/>
              <w:bottom w:val="single" w:sz="4" w:space="0" w:color="000000"/>
              <w:right w:val="single" w:sz="4" w:space="0" w:color="000000"/>
            </w:tcBorders>
            <w:vAlign w:val="center"/>
          </w:tcPr>
          <w:p w:rsidR="00727421" w:rsidP="00702706" w14:paraId="1C65D915"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12" w:type="dxa"/>
            <w:tcBorders>
              <w:top w:val="nil"/>
              <w:left w:val="nil"/>
              <w:bottom w:val="single" w:sz="4" w:space="0" w:color="000000"/>
              <w:right w:val="single" w:sz="4" w:space="0" w:color="000000"/>
            </w:tcBorders>
            <w:vAlign w:val="center"/>
          </w:tcPr>
          <w:p w:rsidR="00727421" w:rsidP="00702706" w14:paraId="0A45BEAB"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00" w:type="dxa"/>
            <w:tcBorders>
              <w:top w:val="nil"/>
              <w:left w:val="nil"/>
              <w:bottom w:val="single" w:sz="4" w:space="0" w:color="000000"/>
              <w:right w:val="single" w:sz="4" w:space="0" w:color="000000"/>
            </w:tcBorders>
            <w:vAlign w:val="center"/>
          </w:tcPr>
          <w:p w:rsidR="00727421" w:rsidP="00702706" w14:paraId="30B056E7"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0.083</w:t>
            </w:r>
          </w:p>
        </w:tc>
        <w:tc>
          <w:tcPr>
            <w:tcW w:w="1070" w:type="dxa"/>
            <w:tcBorders>
              <w:top w:val="nil"/>
              <w:left w:val="nil"/>
              <w:bottom w:val="single" w:sz="4" w:space="0" w:color="000000"/>
              <w:right w:val="single" w:sz="4" w:space="0" w:color="000000"/>
            </w:tcBorders>
            <w:vAlign w:val="center"/>
          </w:tcPr>
          <w:p w:rsidR="00727421" w:rsidP="00702706" w14:paraId="780298E8" w14:textId="1DEF96AD">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vMerge/>
            <w:tcBorders>
              <w:top w:val="nil"/>
              <w:left w:val="nil"/>
              <w:right w:val="single" w:sz="4" w:space="0" w:color="000000"/>
            </w:tcBorders>
            <w:vAlign w:val="center"/>
          </w:tcPr>
          <w:p w:rsidR="00727421" w:rsidP="00702706" w14:paraId="16B0F6F1" w14:textId="77777777">
            <w:pPr>
              <w:widowControl w:val="0"/>
              <w:pBdr>
                <w:top w:val="nil"/>
                <w:left w:val="nil"/>
                <w:bottom w:val="nil"/>
                <w:right w:val="nil"/>
                <w:between w:val="nil"/>
              </w:pBdr>
              <w:jc w:val="center"/>
              <w:rPr>
                <w:rFonts w:ascii="Calibri" w:eastAsia="Calibri" w:hAnsi="Calibri" w:cs="Calibri"/>
                <w:color w:val="000000"/>
                <w:sz w:val="16"/>
                <w:szCs w:val="16"/>
                <w:highlight w:val="yellow"/>
              </w:rPr>
            </w:pPr>
          </w:p>
        </w:tc>
        <w:tc>
          <w:tcPr>
            <w:tcW w:w="1170" w:type="dxa"/>
            <w:tcBorders>
              <w:top w:val="nil"/>
              <w:left w:val="nil"/>
              <w:bottom w:val="single" w:sz="4" w:space="0" w:color="000000"/>
              <w:right w:val="single" w:sz="8" w:space="0" w:color="000000"/>
            </w:tcBorders>
            <w:vAlign w:val="center"/>
          </w:tcPr>
          <w:p w:rsidR="00727421" w:rsidP="00702706" w14:paraId="1DFE3C5E" w14:textId="05ABFBE7">
            <w:pPr>
              <w:jc w:val="center"/>
              <w:rPr>
                <w:rFonts w:ascii="Calibri" w:eastAsia="Calibri" w:hAnsi="Calibri" w:cs="Calibri"/>
                <w:color w:val="000000"/>
                <w:sz w:val="16"/>
                <w:szCs w:val="16"/>
              </w:rPr>
            </w:pPr>
            <w:r>
              <w:rPr>
                <w:rFonts w:ascii="Calibri" w:eastAsia="Calibri" w:hAnsi="Calibri" w:cs="Calibri"/>
                <w:color w:val="000000"/>
                <w:sz w:val="16"/>
                <w:szCs w:val="16"/>
              </w:rPr>
              <w:t>$</w:t>
            </w:r>
            <w:r w:rsidR="000E3362">
              <w:rPr>
                <w:rFonts w:ascii="Calibri" w:eastAsia="Calibri" w:hAnsi="Calibri" w:cs="Calibri"/>
                <w:sz w:val="16"/>
                <w:szCs w:val="16"/>
              </w:rPr>
              <w:t>30</w:t>
            </w:r>
          </w:p>
        </w:tc>
      </w:tr>
      <w:tr w14:paraId="74D6D86C" w14:textId="77777777" w:rsidTr="00924846">
        <w:tblPrEx>
          <w:tblW w:w="10800" w:type="dxa"/>
          <w:tblInd w:w="-730" w:type="dxa"/>
          <w:tblLayout w:type="fixed"/>
          <w:tblLook w:val="0400"/>
        </w:tblPrEx>
        <w:trPr>
          <w:trHeight w:val="620"/>
        </w:trPr>
        <w:tc>
          <w:tcPr>
            <w:tcW w:w="1825" w:type="dxa"/>
            <w:tcBorders>
              <w:top w:val="nil"/>
              <w:left w:val="single" w:sz="8" w:space="0" w:color="000000"/>
              <w:bottom w:val="single" w:sz="4" w:space="0" w:color="000000"/>
              <w:right w:val="single" w:sz="4" w:space="0" w:color="000000"/>
            </w:tcBorders>
            <w:vAlign w:val="center"/>
          </w:tcPr>
          <w:p w:rsidR="00727421" w:rsidP="00702706" w14:paraId="714E44E8" w14:textId="5BBE25FE">
            <w:pPr>
              <w:rPr>
                <w:rFonts w:ascii="Calibri" w:eastAsia="Calibri" w:hAnsi="Calibri" w:cs="Calibri"/>
                <w:color w:val="000000"/>
                <w:sz w:val="16"/>
                <w:szCs w:val="16"/>
              </w:rPr>
            </w:pPr>
            <w:r w:rsidRPr="00830D76">
              <w:rPr>
                <w:rFonts w:ascii="Calibri" w:eastAsia="Calibri" w:hAnsi="Calibri" w:cs="Calibri"/>
                <w:color w:val="000000"/>
                <w:sz w:val="16"/>
                <w:szCs w:val="16"/>
              </w:rPr>
              <w:t>Request to Transfer Tilefish IFQ Allocation</w:t>
            </w:r>
          </w:p>
        </w:tc>
        <w:tc>
          <w:tcPr>
            <w:tcW w:w="1313" w:type="dxa"/>
            <w:vMerge/>
            <w:tcBorders>
              <w:top w:val="nil"/>
              <w:left w:val="nil"/>
              <w:right w:val="single" w:sz="4" w:space="0" w:color="000000"/>
            </w:tcBorders>
            <w:vAlign w:val="center"/>
          </w:tcPr>
          <w:p w:rsidR="00727421" w:rsidP="00702706" w14:paraId="62B662D4" w14:textId="77777777">
            <w:pPr>
              <w:widowControl w:val="0"/>
              <w:pBdr>
                <w:top w:val="nil"/>
                <w:left w:val="nil"/>
                <w:bottom w:val="nil"/>
                <w:right w:val="nil"/>
                <w:between w:val="nil"/>
              </w:pBdr>
              <w:rPr>
                <w:rFonts w:ascii="Calibri" w:eastAsia="Calibri" w:hAnsi="Calibri" w:cs="Calibri"/>
                <w:color w:val="000000"/>
                <w:sz w:val="16"/>
                <w:szCs w:val="16"/>
                <w:highlight w:val="yellow"/>
              </w:rPr>
            </w:pPr>
          </w:p>
        </w:tc>
        <w:tc>
          <w:tcPr>
            <w:tcW w:w="1182" w:type="dxa"/>
            <w:tcBorders>
              <w:top w:val="nil"/>
              <w:left w:val="nil"/>
              <w:bottom w:val="single" w:sz="4" w:space="0" w:color="000000"/>
              <w:right w:val="single" w:sz="4" w:space="0" w:color="000000"/>
            </w:tcBorders>
            <w:vAlign w:val="center"/>
          </w:tcPr>
          <w:p w:rsidR="00727421" w:rsidP="00702706" w14:paraId="09FA443F" w14:textId="409FD22F">
            <w:pPr>
              <w:jc w:val="center"/>
              <w:rPr>
                <w:rFonts w:ascii="Calibri" w:eastAsia="Calibri" w:hAnsi="Calibri" w:cs="Calibri"/>
                <w:color w:val="000000"/>
                <w:sz w:val="16"/>
                <w:szCs w:val="16"/>
              </w:rPr>
            </w:pPr>
            <w:r>
              <w:rPr>
                <w:rFonts w:ascii="Calibri" w:eastAsia="Calibri" w:hAnsi="Calibri" w:cs="Calibri"/>
                <w:color w:val="000000"/>
                <w:sz w:val="16"/>
                <w:szCs w:val="16"/>
              </w:rPr>
              <w:t>16</w:t>
            </w:r>
          </w:p>
        </w:tc>
        <w:tc>
          <w:tcPr>
            <w:tcW w:w="1058" w:type="dxa"/>
            <w:tcBorders>
              <w:top w:val="nil"/>
              <w:left w:val="nil"/>
              <w:bottom w:val="single" w:sz="4" w:space="0" w:color="000000"/>
              <w:right w:val="single" w:sz="4" w:space="0" w:color="000000"/>
            </w:tcBorders>
            <w:vAlign w:val="center"/>
          </w:tcPr>
          <w:p w:rsidR="00727421" w:rsidP="00702706" w14:paraId="6118E792" w14:textId="1561125D">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12" w:type="dxa"/>
            <w:tcBorders>
              <w:top w:val="nil"/>
              <w:left w:val="nil"/>
              <w:bottom w:val="single" w:sz="4" w:space="0" w:color="000000"/>
              <w:right w:val="single" w:sz="4" w:space="0" w:color="000000"/>
            </w:tcBorders>
            <w:vAlign w:val="center"/>
          </w:tcPr>
          <w:p w:rsidR="00727421" w:rsidP="00702706" w14:paraId="1378BF35" w14:textId="6D47BE53">
            <w:pPr>
              <w:jc w:val="center"/>
              <w:rPr>
                <w:rFonts w:ascii="Calibri" w:eastAsia="Calibri" w:hAnsi="Calibri" w:cs="Calibri"/>
                <w:color w:val="000000"/>
                <w:sz w:val="16"/>
                <w:szCs w:val="16"/>
              </w:rPr>
            </w:pPr>
            <w:r>
              <w:rPr>
                <w:rFonts w:ascii="Calibri" w:eastAsia="Calibri" w:hAnsi="Calibri" w:cs="Calibri"/>
                <w:color w:val="000000"/>
                <w:sz w:val="16"/>
                <w:szCs w:val="16"/>
              </w:rPr>
              <w:t>16</w:t>
            </w:r>
          </w:p>
        </w:tc>
        <w:tc>
          <w:tcPr>
            <w:tcW w:w="1000" w:type="dxa"/>
            <w:tcBorders>
              <w:top w:val="nil"/>
              <w:left w:val="nil"/>
              <w:bottom w:val="single" w:sz="4" w:space="0" w:color="000000"/>
              <w:right w:val="single" w:sz="4" w:space="0" w:color="000000"/>
            </w:tcBorders>
            <w:vAlign w:val="center"/>
          </w:tcPr>
          <w:p w:rsidR="00727421" w:rsidP="00702706" w14:paraId="1A4C0EB3" w14:textId="717E51E1">
            <w:pPr>
              <w:jc w:val="center"/>
              <w:rPr>
                <w:rFonts w:ascii="Calibri" w:eastAsia="Calibri" w:hAnsi="Calibri" w:cs="Calibri"/>
                <w:color w:val="000000"/>
                <w:sz w:val="16"/>
                <w:szCs w:val="16"/>
              </w:rPr>
            </w:pPr>
            <w:r>
              <w:rPr>
                <w:rFonts w:ascii="Calibri" w:eastAsia="Calibri" w:hAnsi="Calibri" w:cs="Calibri"/>
                <w:color w:val="000000"/>
                <w:sz w:val="16"/>
                <w:szCs w:val="16"/>
              </w:rPr>
              <w:t>0.083</w:t>
            </w:r>
          </w:p>
        </w:tc>
        <w:tc>
          <w:tcPr>
            <w:tcW w:w="1070" w:type="dxa"/>
            <w:tcBorders>
              <w:top w:val="nil"/>
              <w:left w:val="nil"/>
              <w:bottom w:val="single" w:sz="4" w:space="0" w:color="000000"/>
              <w:right w:val="single" w:sz="4" w:space="0" w:color="000000"/>
            </w:tcBorders>
            <w:vAlign w:val="center"/>
          </w:tcPr>
          <w:p w:rsidR="00727421" w:rsidP="00702706" w14:paraId="72DCB693" w14:textId="48901A42">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70" w:type="dxa"/>
            <w:vMerge/>
            <w:tcBorders>
              <w:top w:val="nil"/>
              <w:left w:val="nil"/>
              <w:right w:val="single" w:sz="4" w:space="0" w:color="000000"/>
            </w:tcBorders>
            <w:vAlign w:val="center"/>
          </w:tcPr>
          <w:p w:rsidR="00727421" w:rsidP="00702706" w14:paraId="18552588" w14:textId="77777777">
            <w:pPr>
              <w:widowControl w:val="0"/>
              <w:pBdr>
                <w:top w:val="nil"/>
                <w:left w:val="nil"/>
                <w:bottom w:val="nil"/>
                <w:right w:val="nil"/>
                <w:between w:val="nil"/>
              </w:pBdr>
              <w:jc w:val="center"/>
              <w:rPr>
                <w:rFonts w:ascii="Calibri" w:eastAsia="Calibri" w:hAnsi="Calibri" w:cs="Calibri"/>
                <w:color w:val="000000"/>
                <w:sz w:val="16"/>
                <w:szCs w:val="16"/>
                <w:highlight w:val="yellow"/>
              </w:rPr>
            </w:pPr>
          </w:p>
        </w:tc>
        <w:tc>
          <w:tcPr>
            <w:tcW w:w="1170" w:type="dxa"/>
            <w:tcBorders>
              <w:top w:val="nil"/>
              <w:left w:val="nil"/>
              <w:bottom w:val="single" w:sz="4" w:space="0" w:color="000000"/>
              <w:right w:val="single" w:sz="8" w:space="0" w:color="000000"/>
            </w:tcBorders>
            <w:vAlign w:val="center"/>
          </w:tcPr>
          <w:p w:rsidR="00727421" w:rsidP="00702706" w14:paraId="158D9D43" w14:textId="6726B42F">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 </w:t>
            </w:r>
            <w:r w:rsidR="000E3362">
              <w:rPr>
                <w:rFonts w:ascii="Calibri" w:eastAsia="Calibri" w:hAnsi="Calibri" w:cs="Calibri"/>
                <w:color w:val="000000"/>
                <w:sz w:val="16"/>
                <w:szCs w:val="16"/>
              </w:rPr>
              <w:t>30</w:t>
            </w:r>
          </w:p>
        </w:tc>
      </w:tr>
      <w:tr w14:paraId="6860EA9D" w14:textId="77777777" w:rsidTr="00924846">
        <w:tblPrEx>
          <w:tblW w:w="10800" w:type="dxa"/>
          <w:tblInd w:w="-730" w:type="dxa"/>
          <w:tblLayout w:type="fixed"/>
          <w:tblLook w:val="0400"/>
        </w:tblPrEx>
        <w:trPr>
          <w:trHeight w:val="350"/>
        </w:trPr>
        <w:tc>
          <w:tcPr>
            <w:tcW w:w="1825" w:type="dxa"/>
            <w:tcBorders>
              <w:top w:val="nil"/>
              <w:left w:val="single" w:sz="8" w:space="0" w:color="000000"/>
              <w:bottom w:val="single" w:sz="4" w:space="0" w:color="000000"/>
              <w:right w:val="single" w:sz="4" w:space="0" w:color="000000"/>
            </w:tcBorders>
            <w:vAlign w:val="center"/>
          </w:tcPr>
          <w:p w:rsidR="00727421" w:rsidP="00702706" w14:paraId="71399334" w14:textId="77777777">
            <w:pPr>
              <w:rPr>
                <w:rFonts w:ascii="Calibri" w:eastAsia="Calibri" w:hAnsi="Calibri" w:cs="Calibri"/>
                <w:color w:val="000000"/>
                <w:sz w:val="16"/>
                <w:szCs w:val="16"/>
              </w:rPr>
            </w:pPr>
            <w:r>
              <w:rPr>
                <w:rFonts w:ascii="Calibri" w:eastAsia="Calibri" w:hAnsi="Calibri" w:cs="Calibri"/>
                <w:color w:val="000000"/>
                <w:sz w:val="16"/>
                <w:szCs w:val="16"/>
              </w:rPr>
              <w:t>Fees &amp; Cost Recovery</w:t>
            </w:r>
          </w:p>
        </w:tc>
        <w:tc>
          <w:tcPr>
            <w:tcW w:w="1313" w:type="dxa"/>
            <w:vMerge/>
            <w:tcBorders>
              <w:top w:val="nil"/>
              <w:left w:val="nil"/>
              <w:right w:val="single" w:sz="4" w:space="0" w:color="000000"/>
            </w:tcBorders>
            <w:vAlign w:val="center"/>
          </w:tcPr>
          <w:p w:rsidR="00727421" w:rsidP="00702706" w14:paraId="48D1285A" w14:textId="77777777">
            <w:pPr>
              <w:widowControl w:val="0"/>
              <w:pBdr>
                <w:top w:val="nil"/>
                <w:left w:val="nil"/>
                <w:bottom w:val="nil"/>
                <w:right w:val="nil"/>
                <w:between w:val="nil"/>
              </w:pBdr>
              <w:rPr>
                <w:rFonts w:ascii="Calibri" w:eastAsia="Calibri" w:hAnsi="Calibri" w:cs="Calibri"/>
                <w:color w:val="000000"/>
                <w:sz w:val="16"/>
                <w:szCs w:val="16"/>
                <w:highlight w:val="yellow"/>
              </w:rPr>
            </w:pPr>
          </w:p>
        </w:tc>
        <w:tc>
          <w:tcPr>
            <w:tcW w:w="1182" w:type="dxa"/>
            <w:tcBorders>
              <w:top w:val="nil"/>
              <w:left w:val="nil"/>
              <w:bottom w:val="single" w:sz="4" w:space="0" w:color="000000"/>
              <w:right w:val="single" w:sz="4" w:space="0" w:color="000000"/>
            </w:tcBorders>
            <w:vAlign w:val="center"/>
          </w:tcPr>
          <w:p w:rsidR="00727421" w:rsidP="00702706" w14:paraId="1B05E548"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58" w:type="dxa"/>
            <w:tcBorders>
              <w:top w:val="nil"/>
              <w:left w:val="nil"/>
              <w:bottom w:val="single" w:sz="4" w:space="0" w:color="000000"/>
              <w:right w:val="single" w:sz="4" w:space="0" w:color="000000"/>
            </w:tcBorders>
            <w:vAlign w:val="center"/>
          </w:tcPr>
          <w:p w:rsidR="00727421" w:rsidP="00702706" w14:paraId="4C39B3CD"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12" w:type="dxa"/>
            <w:tcBorders>
              <w:top w:val="nil"/>
              <w:left w:val="nil"/>
              <w:bottom w:val="single" w:sz="4" w:space="0" w:color="000000"/>
              <w:right w:val="single" w:sz="4" w:space="0" w:color="000000"/>
            </w:tcBorders>
            <w:vAlign w:val="center"/>
          </w:tcPr>
          <w:p w:rsidR="00727421" w:rsidP="00702706" w14:paraId="5CB3A599"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000" w:type="dxa"/>
            <w:tcBorders>
              <w:top w:val="nil"/>
              <w:left w:val="nil"/>
              <w:bottom w:val="single" w:sz="4" w:space="0" w:color="000000"/>
              <w:right w:val="single" w:sz="4" w:space="0" w:color="000000"/>
            </w:tcBorders>
            <w:vAlign w:val="center"/>
          </w:tcPr>
          <w:p w:rsidR="00727421" w:rsidP="00702706" w14:paraId="72E4CE86"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070" w:type="dxa"/>
            <w:tcBorders>
              <w:top w:val="nil"/>
              <w:left w:val="nil"/>
              <w:bottom w:val="single" w:sz="4" w:space="0" w:color="000000"/>
              <w:right w:val="single" w:sz="4" w:space="0" w:color="000000"/>
            </w:tcBorders>
            <w:vAlign w:val="center"/>
          </w:tcPr>
          <w:p w:rsidR="00727421" w:rsidP="00702706" w14:paraId="4ED3D2C1" w14:textId="77777777">
            <w:pPr>
              <w:jc w:val="center"/>
              <w:rPr>
                <w:rFonts w:ascii="Calibri" w:eastAsia="Calibri" w:hAnsi="Calibri" w:cs="Calibri"/>
                <w:color w:val="000000"/>
                <w:sz w:val="16"/>
                <w:szCs w:val="16"/>
              </w:rPr>
            </w:pPr>
            <w:r>
              <w:rPr>
                <w:rFonts w:ascii="Calibri" w:eastAsia="Calibri" w:hAnsi="Calibri" w:cs="Calibri"/>
                <w:color w:val="000000"/>
                <w:sz w:val="16"/>
                <w:szCs w:val="16"/>
              </w:rPr>
              <w:t>1</w:t>
            </w:r>
            <w:r>
              <w:rPr>
                <w:rFonts w:ascii="Calibri" w:eastAsia="Calibri" w:hAnsi="Calibri" w:cs="Calibri"/>
                <w:sz w:val="16"/>
                <w:szCs w:val="16"/>
              </w:rPr>
              <w:t>3</w:t>
            </w:r>
          </w:p>
        </w:tc>
        <w:tc>
          <w:tcPr>
            <w:tcW w:w="1170" w:type="dxa"/>
            <w:vMerge/>
            <w:tcBorders>
              <w:top w:val="nil"/>
              <w:left w:val="nil"/>
              <w:right w:val="single" w:sz="4" w:space="0" w:color="000000"/>
            </w:tcBorders>
            <w:vAlign w:val="center"/>
          </w:tcPr>
          <w:p w:rsidR="00727421" w:rsidP="00702706" w14:paraId="2F491B7E" w14:textId="77777777">
            <w:pPr>
              <w:widowControl w:val="0"/>
              <w:pBdr>
                <w:top w:val="nil"/>
                <w:left w:val="nil"/>
                <w:bottom w:val="nil"/>
                <w:right w:val="nil"/>
                <w:between w:val="nil"/>
              </w:pBdr>
              <w:jc w:val="center"/>
              <w:rPr>
                <w:rFonts w:ascii="Calibri" w:eastAsia="Calibri" w:hAnsi="Calibri" w:cs="Calibri"/>
                <w:color w:val="000000"/>
                <w:sz w:val="16"/>
                <w:szCs w:val="16"/>
                <w:highlight w:val="yellow"/>
              </w:rPr>
            </w:pPr>
          </w:p>
        </w:tc>
        <w:tc>
          <w:tcPr>
            <w:tcW w:w="1170" w:type="dxa"/>
            <w:tcBorders>
              <w:top w:val="nil"/>
              <w:left w:val="nil"/>
              <w:bottom w:val="single" w:sz="4" w:space="0" w:color="000000"/>
              <w:right w:val="single" w:sz="8" w:space="0" w:color="000000"/>
            </w:tcBorders>
            <w:vAlign w:val="center"/>
          </w:tcPr>
          <w:p w:rsidR="00727421" w:rsidP="00702706" w14:paraId="22B08166" w14:textId="449CA73F">
            <w:pPr>
              <w:jc w:val="center"/>
              <w:rPr>
                <w:rFonts w:ascii="Calibri" w:eastAsia="Calibri" w:hAnsi="Calibri" w:cs="Calibri"/>
                <w:color w:val="000000"/>
                <w:sz w:val="16"/>
                <w:szCs w:val="16"/>
              </w:rPr>
            </w:pPr>
            <w:r>
              <w:rPr>
                <w:rFonts w:ascii="Calibri" w:eastAsia="Calibri" w:hAnsi="Calibri" w:cs="Calibri"/>
                <w:color w:val="000000"/>
                <w:sz w:val="16"/>
                <w:szCs w:val="16"/>
              </w:rPr>
              <w:t>$</w:t>
            </w:r>
            <w:r>
              <w:rPr>
                <w:rFonts w:ascii="Calibri" w:eastAsia="Calibri" w:hAnsi="Calibri" w:cs="Calibri"/>
                <w:sz w:val="16"/>
                <w:szCs w:val="16"/>
              </w:rPr>
              <w:t>392</w:t>
            </w:r>
          </w:p>
        </w:tc>
      </w:tr>
      <w:tr w14:paraId="75E1E008" w14:textId="77777777" w:rsidTr="00924846">
        <w:tblPrEx>
          <w:tblW w:w="10800" w:type="dxa"/>
          <w:tblInd w:w="-730" w:type="dxa"/>
          <w:tblLayout w:type="fixed"/>
          <w:tblLook w:val="0400"/>
        </w:tblPrEx>
        <w:trPr>
          <w:trHeight w:val="315"/>
        </w:trPr>
        <w:tc>
          <w:tcPr>
            <w:tcW w:w="1825" w:type="dxa"/>
            <w:tcBorders>
              <w:top w:val="nil"/>
              <w:left w:val="single" w:sz="8" w:space="0" w:color="000000"/>
              <w:bottom w:val="single" w:sz="8" w:space="0" w:color="000000"/>
              <w:right w:val="single" w:sz="8" w:space="0" w:color="000000"/>
            </w:tcBorders>
            <w:shd w:val="clear" w:color="auto" w:fill="DDEBF7"/>
            <w:vAlign w:val="bottom"/>
          </w:tcPr>
          <w:p w:rsidR="00727421" w:rsidP="00702706" w14:paraId="69156A97" w14:textId="77777777">
            <w:pPr>
              <w:rPr>
                <w:rFonts w:ascii="Calibri" w:eastAsia="Calibri" w:hAnsi="Calibri" w:cs="Calibri"/>
                <w:b/>
                <w:bCs/>
                <w:color w:val="000000"/>
                <w:sz w:val="22"/>
                <w:szCs w:val="22"/>
              </w:rPr>
            </w:pPr>
            <w:r>
              <w:rPr>
                <w:rFonts w:ascii="Calibri" w:eastAsia="Calibri" w:hAnsi="Calibri" w:cs="Calibri"/>
                <w:b/>
                <w:bCs/>
                <w:color w:val="000000"/>
                <w:sz w:val="22"/>
                <w:szCs w:val="22"/>
              </w:rPr>
              <w:t>Totals</w:t>
            </w:r>
          </w:p>
        </w:tc>
        <w:tc>
          <w:tcPr>
            <w:tcW w:w="1313" w:type="dxa"/>
            <w:tcBorders>
              <w:top w:val="nil"/>
              <w:left w:val="nil"/>
              <w:bottom w:val="single" w:sz="8" w:space="0" w:color="000000"/>
              <w:right w:val="single" w:sz="8" w:space="0" w:color="000000"/>
            </w:tcBorders>
            <w:shd w:val="clear" w:color="auto" w:fill="000000"/>
            <w:vAlign w:val="bottom"/>
          </w:tcPr>
          <w:p w:rsidR="00727421" w:rsidP="00702706" w14:paraId="75A70FB9" w14:textId="77777777">
            <w:pPr>
              <w:rPr>
                <w:rFonts w:ascii="Calibri" w:eastAsia="Calibri" w:hAnsi="Calibri" w:cs="Calibri"/>
                <w:b/>
                <w:bCs/>
                <w:color w:val="000000"/>
                <w:sz w:val="22"/>
                <w:szCs w:val="22"/>
              </w:rPr>
            </w:pPr>
            <w:r>
              <w:rPr>
                <w:rFonts w:ascii="Calibri" w:eastAsia="Calibri" w:hAnsi="Calibri" w:cs="Calibri"/>
                <w:b/>
                <w:bCs/>
                <w:color w:val="000000"/>
                <w:sz w:val="22"/>
                <w:szCs w:val="22"/>
              </w:rPr>
              <w:t> </w:t>
            </w:r>
          </w:p>
        </w:tc>
        <w:tc>
          <w:tcPr>
            <w:tcW w:w="1182" w:type="dxa"/>
            <w:tcBorders>
              <w:top w:val="nil"/>
              <w:left w:val="nil"/>
              <w:bottom w:val="single" w:sz="8" w:space="0" w:color="000000"/>
              <w:right w:val="single" w:sz="8" w:space="0" w:color="000000"/>
            </w:tcBorders>
            <w:shd w:val="clear" w:color="auto" w:fill="DBE5F1" w:themeFill="accent1" w:themeFillTint="33"/>
            <w:vAlign w:val="center"/>
          </w:tcPr>
          <w:p w:rsidR="00727421" w:rsidP="00702706" w14:paraId="2513297D" w14:textId="72F389DE">
            <w:pPr>
              <w:jc w:val="center"/>
              <w:rPr>
                <w:rFonts w:ascii="Calibri" w:eastAsia="Calibri" w:hAnsi="Calibri" w:cs="Calibri"/>
                <w:b/>
                <w:bCs/>
                <w:color w:val="000000"/>
                <w:sz w:val="22"/>
                <w:szCs w:val="22"/>
              </w:rPr>
            </w:pPr>
            <w:r>
              <w:rPr>
                <w:rFonts w:ascii="Calibri" w:eastAsia="Calibri" w:hAnsi="Calibri" w:cs="Calibri"/>
                <w:b/>
                <w:bCs/>
                <w:sz w:val="22"/>
                <w:szCs w:val="22"/>
              </w:rPr>
              <w:t>55</w:t>
            </w:r>
          </w:p>
        </w:tc>
        <w:tc>
          <w:tcPr>
            <w:tcW w:w="1058" w:type="dxa"/>
            <w:tcBorders>
              <w:top w:val="nil"/>
              <w:left w:val="nil"/>
              <w:bottom w:val="single" w:sz="8" w:space="0" w:color="000000"/>
              <w:right w:val="single" w:sz="8" w:space="0" w:color="000000"/>
            </w:tcBorders>
            <w:shd w:val="clear" w:color="auto" w:fill="000000"/>
            <w:vAlign w:val="center"/>
          </w:tcPr>
          <w:p w:rsidR="00727421" w:rsidP="00702706" w14:paraId="6B2B6EDC" w14:textId="0F9ED098">
            <w:pPr>
              <w:jc w:val="center"/>
              <w:rPr>
                <w:rFonts w:ascii="Calibri" w:eastAsia="Calibri" w:hAnsi="Calibri" w:cs="Calibri"/>
                <w:b/>
                <w:bCs/>
                <w:color w:val="000000"/>
                <w:sz w:val="22"/>
                <w:szCs w:val="22"/>
              </w:rPr>
            </w:pPr>
          </w:p>
        </w:tc>
        <w:tc>
          <w:tcPr>
            <w:tcW w:w="1012" w:type="dxa"/>
            <w:tcBorders>
              <w:top w:val="nil"/>
              <w:left w:val="nil"/>
              <w:bottom w:val="single" w:sz="8" w:space="0" w:color="000000"/>
              <w:right w:val="single" w:sz="8" w:space="0" w:color="000000"/>
            </w:tcBorders>
            <w:shd w:val="clear" w:color="auto" w:fill="DDEBF7"/>
            <w:vAlign w:val="center"/>
          </w:tcPr>
          <w:p w:rsidR="00727421" w:rsidP="00702706" w14:paraId="7C48CE93" w14:textId="2753784F">
            <w:pPr>
              <w:jc w:val="center"/>
              <w:rPr>
                <w:rFonts w:ascii="Calibri" w:eastAsia="Calibri" w:hAnsi="Calibri" w:cs="Calibri"/>
                <w:b/>
                <w:bCs/>
                <w:color w:val="000000"/>
                <w:sz w:val="22"/>
                <w:szCs w:val="22"/>
              </w:rPr>
            </w:pPr>
            <w:r>
              <w:rPr>
                <w:rFonts w:ascii="Calibri" w:eastAsia="Calibri" w:hAnsi="Calibri" w:cs="Calibri"/>
                <w:b/>
                <w:bCs/>
                <w:color w:val="000000"/>
                <w:sz w:val="22"/>
                <w:szCs w:val="22"/>
              </w:rPr>
              <w:t>55</w:t>
            </w:r>
          </w:p>
        </w:tc>
        <w:tc>
          <w:tcPr>
            <w:tcW w:w="1000" w:type="dxa"/>
            <w:tcBorders>
              <w:top w:val="nil"/>
              <w:left w:val="nil"/>
              <w:bottom w:val="single" w:sz="8" w:space="0" w:color="000000"/>
              <w:right w:val="single" w:sz="8" w:space="0" w:color="000000"/>
            </w:tcBorders>
            <w:shd w:val="clear" w:color="auto" w:fill="000000"/>
            <w:vAlign w:val="center"/>
          </w:tcPr>
          <w:p w:rsidR="00727421" w:rsidP="00702706" w14:paraId="1029E9E5" w14:textId="5AB5073F">
            <w:pPr>
              <w:jc w:val="center"/>
              <w:rPr>
                <w:rFonts w:ascii="Calibri" w:eastAsia="Calibri" w:hAnsi="Calibri" w:cs="Calibri"/>
                <w:b/>
                <w:bCs/>
                <w:color w:val="000000"/>
                <w:sz w:val="22"/>
                <w:szCs w:val="22"/>
              </w:rPr>
            </w:pPr>
          </w:p>
        </w:tc>
        <w:tc>
          <w:tcPr>
            <w:tcW w:w="1070" w:type="dxa"/>
            <w:tcBorders>
              <w:top w:val="nil"/>
              <w:left w:val="nil"/>
              <w:bottom w:val="single" w:sz="8" w:space="0" w:color="000000"/>
              <w:right w:val="single" w:sz="8" w:space="0" w:color="000000"/>
            </w:tcBorders>
            <w:shd w:val="clear" w:color="auto" w:fill="DDEBF7"/>
            <w:vAlign w:val="center"/>
          </w:tcPr>
          <w:p w:rsidR="00727421" w:rsidP="00702706" w14:paraId="32FEBFD9" w14:textId="55CFA424">
            <w:pPr>
              <w:jc w:val="center"/>
              <w:rPr>
                <w:rFonts w:ascii="Calibri" w:eastAsia="Calibri" w:hAnsi="Calibri" w:cs="Calibri"/>
                <w:b/>
                <w:bCs/>
                <w:color w:val="000000"/>
                <w:sz w:val="22"/>
                <w:szCs w:val="22"/>
              </w:rPr>
            </w:pPr>
            <w:r>
              <w:rPr>
                <w:rFonts w:ascii="Calibri" w:eastAsia="Calibri" w:hAnsi="Calibri" w:cs="Calibri"/>
                <w:b/>
                <w:bCs/>
                <w:sz w:val="22"/>
                <w:szCs w:val="22"/>
              </w:rPr>
              <w:t>18</w:t>
            </w:r>
          </w:p>
        </w:tc>
        <w:tc>
          <w:tcPr>
            <w:tcW w:w="1170" w:type="dxa"/>
            <w:tcBorders>
              <w:top w:val="nil"/>
              <w:left w:val="nil"/>
              <w:bottom w:val="single" w:sz="8" w:space="0" w:color="000000"/>
              <w:right w:val="single" w:sz="8" w:space="0" w:color="000000"/>
            </w:tcBorders>
            <w:shd w:val="clear" w:color="auto" w:fill="000000"/>
            <w:vAlign w:val="center"/>
          </w:tcPr>
          <w:p w:rsidR="00727421" w:rsidP="00702706" w14:paraId="7212B082" w14:textId="6DE3E648">
            <w:pPr>
              <w:jc w:val="center"/>
              <w:rPr>
                <w:rFonts w:ascii="Calibri" w:eastAsia="Calibri" w:hAnsi="Calibri" w:cs="Calibri"/>
                <w:b/>
                <w:bCs/>
                <w:color w:val="000000"/>
                <w:sz w:val="22"/>
                <w:szCs w:val="22"/>
              </w:rPr>
            </w:pPr>
          </w:p>
        </w:tc>
        <w:tc>
          <w:tcPr>
            <w:tcW w:w="1170" w:type="dxa"/>
            <w:tcBorders>
              <w:top w:val="nil"/>
              <w:left w:val="nil"/>
              <w:bottom w:val="single" w:sz="8" w:space="0" w:color="000000"/>
              <w:right w:val="single" w:sz="8" w:space="0" w:color="000000"/>
            </w:tcBorders>
            <w:shd w:val="clear" w:color="auto" w:fill="DDEBF7"/>
            <w:vAlign w:val="center"/>
          </w:tcPr>
          <w:p w:rsidR="00727421" w:rsidP="00702706" w14:paraId="520A72C5" w14:textId="5B0655A9">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 </w:t>
            </w:r>
            <w:r w:rsidR="000E3362">
              <w:rPr>
                <w:rFonts w:ascii="Calibri" w:eastAsia="Calibri" w:hAnsi="Calibri" w:cs="Calibri"/>
                <w:b/>
                <w:bCs/>
                <w:sz w:val="22"/>
                <w:szCs w:val="22"/>
              </w:rPr>
              <w:t>542</w:t>
            </w:r>
          </w:p>
        </w:tc>
      </w:tr>
    </w:tbl>
    <w:p w:rsidR="00727421" w:rsidP="00091B2E" w14:paraId="755C8565" w14:textId="0500EEA9">
      <w:pPr>
        <w:spacing w:before="240"/>
        <w:rPr>
          <w:sz w:val="18"/>
          <w:szCs w:val="18"/>
        </w:rPr>
      </w:pPr>
      <w:r w:rsidRPr="00ED7366">
        <w:rPr>
          <w:sz w:val="18"/>
          <w:szCs w:val="18"/>
        </w:rPr>
        <w:t xml:space="preserve">*All totals were rounded to the nearest whole number to reflect the </w:t>
      </w:r>
      <w:r>
        <w:rPr>
          <w:sz w:val="18"/>
          <w:szCs w:val="18"/>
        </w:rPr>
        <w:t>total</w:t>
      </w:r>
      <w:r w:rsidRPr="00ED7366">
        <w:rPr>
          <w:sz w:val="18"/>
          <w:szCs w:val="18"/>
        </w:rPr>
        <w:t xml:space="preserve"> calculated via ROCIS</w:t>
      </w:r>
      <w:r>
        <w:rPr>
          <w:sz w:val="18"/>
          <w:szCs w:val="18"/>
        </w:rPr>
        <w:t>.</w:t>
      </w:r>
    </w:p>
    <w:p w:rsidR="004F18B0" w:rsidRPr="004F18B0" w:rsidP="00091B2E" w14:paraId="53006970" w14:textId="5BFD0406">
      <w:pPr>
        <w:spacing w:before="240"/>
        <w:rPr>
          <w:sz w:val="24"/>
          <w:szCs w:val="24"/>
        </w:rPr>
      </w:pPr>
      <w:r w:rsidRPr="004F18B0">
        <w:rPr>
          <w:sz w:val="24"/>
          <w:szCs w:val="24"/>
        </w:rPr>
        <w:t xml:space="preserve">The wage rate for Occupational Code 45-1011 was used to determine the hourly wage rate. </w:t>
      </w:r>
      <w:r w:rsidRPr="004F18B0">
        <w:rPr>
          <w:sz w:val="24"/>
          <w:szCs w:val="24"/>
        </w:rPr>
        <w:t>https://data.bls.gov/oes/#/area/0000000/2025</w:t>
      </w:r>
    </w:p>
    <w:p w:rsidR="00727421" w:rsidP="00091B2E" w14:paraId="79766282" w14:textId="1F4AFF8C">
      <w:pPr>
        <w:spacing w:before="240"/>
        <w:rPr>
          <w:b/>
          <w:bCs/>
          <w:sz w:val="24"/>
          <w:szCs w:val="24"/>
        </w:rPr>
      </w:pPr>
      <w:r>
        <w:rPr>
          <w:b/>
          <w:bCs/>
          <w:sz w:val="24"/>
          <w:szCs w:val="24"/>
        </w:rPr>
        <w:t>There are currently 13 individual respondents estimated under this submission.</w:t>
      </w:r>
      <w:r>
        <w:rPr>
          <w:sz w:val="24"/>
          <w:szCs w:val="24"/>
        </w:rPr>
        <w:t xml:space="preserve">  These respondents represent those entities that are currently issued a tilefish IFQ Allocation permit.  This number includes all entities that are affected by this information collection, although different provisions affect different numbers of entities.  The burdens included in this information collection request are described in further detail below and summarized in the Table at the end of the text.  </w:t>
      </w:r>
      <w:r>
        <w:rPr>
          <w:b/>
          <w:bCs/>
          <w:sz w:val="24"/>
          <w:szCs w:val="24"/>
        </w:rPr>
        <w:t xml:space="preserve">There are </w:t>
      </w:r>
      <w:r w:rsidR="00702706">
        <w:rPr>
          <w:b/>
          <w:bCs/>
          <w:sz w:val="24"/>
          <w:szCs w:val="24"/>
        </w:rPr>
        <w:t>47</w:t>
      </w:r>
      <w:r>
        <w:rPr>
          <w:b/>
          <w:bCs/>
          <w:sz w:val="24"/>
          <w:szCs w:val="24"/>
        </w:rPr>
        <w:t xml:space="preserve"> responses and approximately</w:t>
      </w:r>
      <w:r w:rsidR="000E3362">
        <w:rPr>
          <w:b/>
          <w:bCs/>
          <w:sz w:val="24"/>
          <w:szCs w:val="24"/>
        </w:rPr>
        <w:t xml:space="preserve"> 18</w:t>
      </w:r>
      <w:r>
        <w:rPr>
          <w:b/>
          <w:bCs/>
          <w:sz w:val="24"/>
          <w:szCs w:val="24"/>
        </w:rPr>
        <w:t xml:space="preserve"> hours estimated.</w:t>
      </w:r>
    </w:p>
    <w:p w:rsidR="00727421" w:rsidP="00091B2E" w14:paraId="287385FD" w14:textId="77777777">
      <w:pPr>
        <w:spacing w:before="240"/>
        <w:rPr>
          <w:b/>
          <w:bCs/>
          <w:sz w:val="24"/>
          <w:szCs w:val="24"/>
        </w:rPr>
      </w:pPr>
      <w:r>
        <w:rPr>
          <w:b/>
          <w:bCs/>
          <w:sz w:val="24"/>
          <w:szCs w:val="24"/>
        </w:rPr>
        <w:t>IFQ Permit Application</w:t>
      </w:r>
    </w:p>
    <w:p w:rsidR="00727421" w:rsidP="00091B2E" w14:paraId="49999C24" w14:textId="77777777">
      <w:pPr>
        <w:spacing w:before="240"/>
        <w:rPr>
          <w:sz w:val="24"/>
          <w:szCs w:val="24"/>
        </w:rPr>
      </w:pPr>
      <w:r>
        <w:rPr>
          <w:sz w:val="24"/>
          <w:szCs w:val="24"/>
        </w:rPr>
        <w:t xml:space="preserve">There are currently 13 IFQ Allocation permits.  A new allocation permit application will take approximately 30 minutes to complete, while a renewal of an existing allocation permit will take approximately 15 minutes to complete.  In recent years, all allocation permit applications have been renewals.  Therefore, the total estimated burden is 3.25 hours per year (13 x 15 minutes/60 minutes = 3.25).  </w:t>
      </w:r>
    </w:p>
    <w:p w:rsidR="00727421" w:rsidP="00091B2E" w14:paraId="3CC33FEC" w14:textId="77777777">
      <w:pPr>
        <w:spacing w:before="240"/>
        <w:rPr>
          <w:b/>
          <w:bCs/>
          <w:sz w:val="24"/>
          <w:szCs w:val="24"/>
        </w:rPr>
      </w:pPr>
      <w:r>
        <w:rPr>
          <w:b/>
          <w:bCs/>
          <w:sz w:val="24"/>
          <w:szCs w:val="24"/>
        </w:rPr>
        <w:t>IFQ Allocation Interest Declaration Form (Ownership Cap Form)</w:t>
      </w:r>
    </w:p>
    <w:p w:rsidR="00727421" w:rsidP="00091B2E" w14:paraId="7E305BA0" w14:textId="77777777">
      <w:pPr>
        <w:spacing w:before="240"/>
        <w:rPr>
          <w:sz w:val="24"/>
          <w:szCs w:val="24"/>
        </w:rPr>
      </w:pPr>
      <w:r>
        <w:rPr>
          <w:sz w:val="24"/>
          <w:szCs w:val="24"/>
        </w:rPr>
        <w:t xml:space="preserve">To administer the 49-percent limit on IFQ Allocation holdings, IFQ Allocation permit holders are required to submit an IFQ Allocation Interest Declaration (IFQ Ownership Cap) form prior to each IFQ permit year.  Because there are 13 IFQ Allocation permits, there would be 13 forms submitted </w:t>
      </w:r>
      <w:r>
        <w:rPr>
          <w:sz w:val="24"/>
          <w:szCs w:val="24"/>
        </w:rPr>
        <w:t xml:space="preserve">each year.  It is estimated it takes 5 minutes to complete each ownership form; therefore, the annual reporting burden would be 1.1 hours (13 x 5 minutes/60 minutes).  </w:t>
      </w:r>
    </w:p>
    <w:p w:rsidR="00727421" w:rsidP="00091B2E" w14:paraId="1F497E98" w14:textId="77777777">
      <w:pPr>
        <w:spacing w:before="240"/>
        <w:rPr>
          <w:b/>
          <w:bCs/>
          <w:sz w:val="24"/>
          <w:szCs w:val="24"/>
        </w:rPr>
      </w:pPr>
      <w:r>
        <w:rPr>
          <w:b/>
          <w:bCs/>
          <w:sz w:val="24"/>
          <w:szCs w:val="24"/>
        </w:rPr>
        <w:t>IFQ Transfer Form</w:t>
      </w:r>
    </w:p>
    <w:p w:rsidR="00727421" w:rsidP="00091B2E" w14:paraId="131F78F7" w14:textId="6FADCBD8">
      <w:pPr>
        <w:spacing w:before="240"/>
        <w:rPr>
          <w:sz w:val="24"/>
          <w:szCs w:val="24"/>
        </w:rPr>
      </w:pPr>
      <w:r>
        <w:rPr>
          <w:sz w:val="24"/>
          <w:szCs w:val="24"/>
        </w:rPr>
        <w:t xml:space="preserve">It is estimated that each transfer form takes approximately 5 minutes to complete for each of the two parties to the transfer.  In recent years an average of 8 transfers have been completed annually.  Assuming 2 respondents per transfer, there would be </w:t>
      </w:r>
      <w:r w:rsidR="003A58CF">
        <w:rPr>
          <w:sz w:val="24"/>
          <w:szCs w:val="24"/>
        </w:rPr>
        <w:t>16</w:t>
      </w:r>
      <w:r>
        <w:rPr>
          <w:sz w:val="24"/>
          <w:szCs w:val="24"/>
        </w:rPr>
        <w:t xml:space="preserve"> total responses </w:t>
      </w:r>
      <w:r w:rsidR="003A58CF">
        <w:rPr>
          <w:sz w:val="24"/>
          <w:szCs w:val="24"/>
        </w:rPr>
        <w:t>for 8 transfers</w:t>
      </w:r>
      <w:r>
        <w:rPr>
          <w:sz w:val="24"/>
          <w:szCs w:val="24"/>
        </w:rPr>
        <w:t xml:space="preserve">.  This would result in an annual burden of approximately </w:t>
      </w:r>
      <w:r w:rsidR="003A58CF">
        <w:rPr>
          <w:sz w:val="24"/>
          <w:szCs w:val="24"/>
        </w:rPr>
        <w:t>1.33</w:t>
      </w:r>
      <w:r>
        <w:rPr>
          <w:sz w:val="24"/>
          <w:szCs w:val="24"/>
        </w:rPr>
        <w:t xml:space="preserve"> hours (</w:t>
      </w:r>
      <w:r w:rsidR="003A58CF">
        <w:rPr>
          <w:sz w:val="24"/>
          <w:szCs w:val="24"/>
        </w:rPr>
        <w:t>16</w:t>
      </w:r>
      <w:r>
        <w:rPr>
          <w:sz w:val="24"/>
          <w:szCs w:val="24"/>
        </w:rPr>
        <w:t xml:space="preserve"> x </w:t>
      </w:r>
      <w:r w:rsidR="00BA422F">
        <w:rPr>
          <w:sz w:val="24"/>
          <w:szCs w:val="24"/>
        </w:rPr>
        <w:t>5</w:t>
      </w:r>
      <w:r>
        <w:rPr>
          <w:sz w:val="24"/>
          <w:szCs w:val="24"/>
        </w:rPr>
        <w:t xml:space="preserve"> minutes/60 minutes).</w:t>
      </w:r>
    </w:p>
    <w:p w:rsidR="00727421" w:rsidP="00091B2E" w14:paraId="244819AE" w14:textId="77777777">
      <w:pPr>
        <w:spacing w:before="240"/>
        <w:rPr>
          <w:b/>
          <w:bCs/>
          <w:sz w:val="24"/>
          <w:szCs w:val="24"/>
        </w:rPr>
      </w:pPr>
      <w:r>
        <w:rPr>
          <w:b/>
          <w:bCs/>
          <w:sz w:val="24"/>
          <w:szCs w:val="24"/>
        </w:rPr>
        <w:t>Fees and Cost Recovery</w:t>
      </w:r>
    </w:p>
    <w:p w:rsidR="00727421" w:rsidP="00091B2E" w14:paraId="184A19C2" w14:textId="77777777">
      <w:pPr>
        <w:spacing w:before="240"/>
        <w:rPr>
          <w:b/>
          <w:bCs/>
          <w:sz w:val="24"/>
          <w:szCs w:val="24"/>
        </w:rPr>
      </w:pPr>
      <w:r>
        <w:rPr>
          <w:sz w:val="24"/>
          <w:szCs w:val="24"/>
        </w:rPr>
        <w:t>Each IFQ permit holder would be required to submit a cost recovery payment once annually.  It is estimated that the full payment process could take up to one hour, including time to review the bill, to collect and review landings records, to log into the online web portal, and to submit electronic payment.  Therefore, 13 payments would take 13 hours.</w:t>
      </w:r>
    </w:p>
    <w:p w:rsidR="00727421" w:rsidP="00091B2E" w14:paraId="6DCAE657" w14:textId="77777777">
      <w:pPr>
        <w:spacing w:before="240"/>
        <w:rPr>
          <w:b/>
          <w:bCs/>
          <w:sz w:val="24"/>
          <w:szCs w:val="24"/>
          <w:highlight w:val="yellow"/>
        </w:rPr>
      </w:pPr>
    </w:p>
    <w:p w:rsidR="00727421" w:rsidP="00091B2E" w14:paraId="1BF380A8" w14:textId="638E86AD">
      <w:pPr>
        <w:spacing w:before="240"/>
        <w:rPr>
          <w:b/>
          <w:bCs/>
          <w:sz w:val="24"/>
          <w:szCs w:val="24"/>
        </w:rPr>
      </w:pPr>
      <w:r>
        <w:rPr>
          <w:b/>
          <w:bCs/>
          <w:sz w:val="24"/>
          <w:szCs w:val="24"/>
        </w:rPr>
        <w:t>13</w:t>
      </w:r>
      <w:r w:rsidR="000306B9">
        <w:rPr>
          <w:b/>
          <w:bCs/>
          <w:sz w:val="24"/>
          <w:szCs w:val="24"/>
        </w:rPr>
        <w:t xml:space="preserve">. </w:t>
      </w:r>
      <w:r w:rsidRPr="008B28CD">
        <w:rPr>
          <w:b/>
          <w:bCs/>
          <w:sz w:val="24"/>
          <w:szCs w:val="24"/>
        </w:rPr>
        <w:t>Provide an estimate for the total annual cost burden to respondents or record keepers resulting from the collection of information. (Do not include the cost of any hour burden already reflected on the burden worksheet).</w:t>
      </w:r>
    </w:p>
    <w:p w:rsidR="00727421" w:rsidP="00091B2E" w14:paraId="52A380ED" w14:textId="77777777">
      <w:pPr>
        <w:spacing w:before="240"/>
        <w:rPr>
          <w:sz w:val="24"/>
          <w:szCs w:val="24"/>
          <w:highlight w:val="yellow"/>
        </w:rPr>
      </w:pPr>
    </w:p>
    <w:tbl>
      <w:tblPr>
        <w:tblStyle w:val="a0"/>
        <w:tblW w:w="9530" w:type="dxa"/>
        <w:jc w:val="center"/>
        <w:tblInd w:w="0" w:type="dxa"/>
        <w:tblLayout w:type="fixed"/>
        <w:tblLook w:val="0400"/>
      </w:tblPr>
      <w:tblGrid>
        <w:gridCol w:w="2160"/>
        <w:gridCol w:w="1250"/>
        <w:gridCol w:w="1350"/>
        <w:gridCol w:w="1170"/>
        <w:gridCol w:w="1530"/>
        <w:gridCol w:w="2070"/>
      </w:tblGrid>
      <w:tr w14:paraId="56C35971" w14:textId="77777777" w:rsidTr="00091B2E">
        <w:tblPrEx>
          <w:tblW w:w="9530" w:type="dxa"/>
          <w:jc w:val="center"/>
          <w:tblInd w:w="0" w:type="dxa"/>
          <w:tblLayout w:type="fixed"/>
          <w:tblLook w:val="0400"/>
        </w:tblPrEx>
        <w:trPr>
          <w:trHeight w:val="502"/>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727421" w:rsidRPr="00091B2E" w:rsidP="00091B2E" w14:paraId="6595EFC5"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Information Collection</w:t>
            </w:r>
          </w:p>
        </w:tc>
        <w:tc>
          <w:tcPr>
            <w:tcW w:w="1250" w:type="dxa"/>
            <w:tcBorders>
              <w:top w:val="single" w:sz="8" w:space="0" w:color="000000"/>
              <w:left w:val="nil"/>
              <w:bottom w:val="single" w:sz="8" w:space="0" w:color="000000"/>
              <w:right w:val="single" w:sz="8" w:space="0" w:color="000000"/>
            </w:tcBorders>
            <w:shd w:val="clear" w:color="auto" w:fill="BDD7EE"/>
            <w:vAlign w:val="center"/>
          </w:tcPr>
          <w:p w:rsidR="00727421" w:rsidRPr="00091B2E" w:rsidP="00091B2E" w14:paraId="441C3314"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 of Respondents</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727421" w:rsidRPr="00091B2E" w:rsidP="00091B2E" w14:paraId="08E0704B"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Annual # of Responses / Respondent</w:t>
            </w:r>
          </w:p>
        </w:tc>
        <w:tc>
          <w:tcPr>
            <w:tcW w:w="1170" w:type="dxa"/>
            <w:tcBorders>
              <w:top w:val="single" w:sz="8" w:space="0" w:color="000000"/>
              <w:left w:val="nil"/>
              <w:bottom w:val="single" w:sz="8" w:space="0" w:color="000000"/>
              <w:right w:val="single" w:sz="8" w:space="0" w:color="000000"/>
            </w:tcBorders>
            <w:shd w:val="clear" w:color="auto" w:fill="BDD7EE"/>
            <w:vAlign w:val="center"/>
          </w:tcPr>
          <w:p w:rsidR="00727421" w:rsidRPr="00091B2E" w:rsidP="00091B2E" w14:paraId="2540A18C" w14:textId="56602435">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Total # of Annual Responses</w:t>
            </w:r>
          </w:p>
        </w:tc>
        <w:tc>
          <w:tcPr>
            <w:tcW w:w="1530" w:type="dxa"/>
            <w:tcBorders>
              <w:top w:val="single" w:sz="8" w:space="0" w:color="000000"/>
              <w:left w:val="nil"/>
              <w:bottom w:val="single" w:sz="8" w:space="0" w:color="000000"/>
              <w:right w:val="single" w:sz="8" w:space="0" w:color="000000"/>
            </w:tcBorders>
            <w:shd w:val="clear" w:color="auto" w:fill="BDD7EE"/>
            <w:vAlign w:val="center"/>
          </w:tcPr>
          <w:p w:rsidR="00727421" w:rsidRPr="00091B2E" w:rsidP="00091B2E" w14:paraId="3B824975" w14:textId="742DD1D6">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Cost Burden / Respon</w:t>
            </w:r>
            <w:r w:rsidR="00091B2E">
              <w:rPr>
                <w:rFonts w:ascii="Calibri" w:eastAsia="Calibri" w:hAnsi="Calibri" w:cs="Calibri"/>
                <w:b/>
                <w:bCs/>
                <w:color w:val="000000"/>
                <w:sz w:val="18"/>
                <w:szCs w:val="18"/>
              </w:rPr>
              <w:t>se</w:t>
            </w:r>
          </w:p>
        </w:tc>
        <w:tc>
          <w:tcPr>
            <w:tcW w:w="2070" w:type="dxa"/>
            <w:tcBorders>
              <w:top w:val="single" w:sz="8" w:space="0" w:color="000000"/>
              <w:left w:val="nil"/>
              <w:bottom w:val="single" w:sz="8" w:space="0" w:color="000000"/>
              <w:right w:val="single" w:sz="8" w:space="0" w:color="000000"/>
            </w:tcBorders>
            <w:shd w:val="clear" w:color="auto" w:fill="BDD7EE"/>
            <w:vAlign w:val="center"/>
          </w:tcPr>
          <w:p w:rsidR="00727421" w:rsidRPr="00091B2E" w:rsidP="00091B2E" w14:paraId="1048DFEE"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Total Annual Cost Burden</w:t>
            </w:r>
          </w:p>
        </w:tc>
      </w:tr>
      <w:tr w14:paraId="58C1A4C8" w14:textId="77777777" w:rsidTr="00091B2E">
        <w:tblPrEx>
          <w:tblW w:w="9530" w:type="dxa"/>
          <w:jc w:val="center"/>
          <w:tblInd w:w="0" w:type="dxa"/>
          <w:tblLayout w:type="fixed"/>
          <w:tblLook w:val="0400"/>
        </w:tblPrEx>
        <w:trPr>
          <w:trHeight w:val="250"/>
          <w:jc w:val="center"/>
        </w:trPr>
        <w:tc>
          <w:tcPr>
            <w:tcW w:w="2160" w:type="dxa"/>
            <w:tcBorders>
              <w:top w:val="nil"/>
              <w:left w:val="single" w:sz="8" w:space="0" w:color="000000"/>
              <w:bottom w:val="single" w:sz="4" w:space="0" w:color="000000"/>
              <w:right w:val="single" w:sz="4" w:space="0" w:color="000000"/>
            </w:tcBorders>
            <w:vAlign w:val="center"/>
          </w:tcPr>
          <w:p w:rsidR="00727421" w:rsidRPr="00091B2E" w:rsidP="00091B2E" w14:paraId="1F4B35CB" w14:textId="15C632DF">
            <w:pPr>
              <w:rPr>
                <w:rFonts w:ascii="Calibri" w:eastAsia="Calibri" w:hAnsi="Calibri" w:cs="Calibri"/>
                <w:color w:val="000000"/>
                <w:sz w:val="18"/>
                <w:szCs w:val="18"/>
              </w:rPr>
            </w:pPr>
            <w:r w:rsidRPr="00091B2E">
              <w:rPr>
                <w:rFonts w:ascii="Calibri" w:eastAsia="Calibri" w:hAnsi="Calibri" w:cs="Calibri"/>
                <w:color w:val="000000"/>
                <w:sz w:val="18"/>
                <w:szCs w:val="18"/>
              </w:rPr>
              <w:t>Application for IFQ Allocation Permits</w:t>
            </w:r>
          </w:p>
        </w:tc>
        <w:tc>
          <w:tcPr>
            <w:tcW w:w="1250" w:type="dxa"/>
            <w:tcBorders>
              <w:top w:val="nil"/>
              <w:left w:val="nil"/>
              <w:bottom w:val="single" w:sz="4" w:space="0" w:color="000000"/>
              <w:right w:val="single" w:sz="4" w:space="0" w:color="000000"/>
            </w:tcBorders>
            <w:shd w:val="clear" w:color="auto" w:fill="FFFFFF"/>
            <w:vAlign w:val="center"/>
          </w:tcPr>
          <w:p w:rsidR="00727421" w:rsidRPr="00091B2E" w:rsidP="00091B2E" w14:paraId="235B7C3F"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350" w:type="dxa"/>
            <w:tcBorders>
              <w:top w:val="nil"/>
              <w:left w:val="nil"/>
              <w:bottom w:val="single" w:sz="4" w:space="0" w:color="000000"/>
              <w:right w:val="single" w:sz="4" w:space="0" w:color="000000"/>
            </w:tcBorders>
            <w:shd w:val="clear" w:color="auto" w:fill="FFFFFF"/>
            <w:vAlign w:val="center"/>
          </w:tcPr>
          <w:p w:rsidR="00727421" w:rsidRPr="00091B2E" w:rsidP="00091B2E" w14:paraId="07BA4C04"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p>
        </w:tc>
        <w:tc>
          <w:tcPr>
            <w:tcW w:w="1170" w:type="dxa"/>
            <w:tcBorders>
              <w:top w:val="nil"/>
              <w:left w:val="nil"/>
              <w:bottom w:val="single" w:sz="4" w:space="0" w:color="000000"/>
              <w:right w:val="single" w:sz="4" w:space="0" w:color="000000"/>
            </w:tcBorders>
            <w:shd w:val="clear" w:color="auto" w:fill="FFFFFF"/>
            <w:vAlign w:val="center"/>
          </w:tcPr>
          <w:p w:rsidR="00727421" w:rsidRPr="00091B2E" w:rsidP="00091B2E" w14:paraId="1102E1BD"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530" w:type="dxa"/>
            <w:tcBorders>
              <w:top w:val="nil"/>
              <w:left w:val="nil"/>
              <w:bottom w:val="single" w:sz="4" w:space="0" w:color="000000"/>
              <w:right w:val="single" w:sz="4" w:space="0" w:color="000000"/>
            </w:tcBorders>
            <w:shd w:val="clear" w:color="auto" w:fill="FFFFFF"/>
            <w:vAlign w:val="center"/>
          </w:tcPr>
          <w:p w:rsidR="00727421" w:rsidRPr="00091B2E" w:rsidP="00091B2E" w14:paraId="369AD08D" w14:textId="1CD7F80E">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$ 0.</w:t>
            </w:r>
            <w:r w:rsidRPr="00091B2E">
              <w:rPr>
                <w:rFonts w:ascii="Calibri" w:eastAsia="Calibri" w:hAnsi="Calibri" w:cs="Calibri"/>
                <w:sz w:val="18"/>
                <w:szCs w:val="18"/>
              </w:rPr>
              <w:t>78</w:t>
            </w:r>
          </w:p>
        </w:tc>
        <w:tc>
          <w:tcPr>
            <w:tcW w:w="2070" w:type="dxa"/>
            <w:tcBorders>
              <w:top w:val="nil"/>
              <w:left w:val="nil"/>
              <w:bottom w:val="single" w:sz="4" w:space="0" w:color="000000"/>
              <w:right w:val="single" w:sz="8" w:space="0" w:color="000000"/>
            </w:tcBorders>
            <w:shd w:val="clear" w:color="auto" w:fill="FFFFFF"/>
            <w:vAlign w:val="center"/>
          </w:tcPr>
          <w:p w:rsidR="00727421" w:rsidRPr="00091B2E" w:rsidP="00091B2E" w14:paraId="6C3F703C" w14:textId="50B506DE">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 xml:space="preserve">$ </w:t>
            </w:r>
            <w:r w:rsidRPr="00091B2E">
              <w:rPr>
                <w:rFonts w:ascii="Calibri" w:eastAsia="Calibri" w:hAnsi="Calibri" w:cs="Calibri"/>
                <w:sz w:val="18"/>
                <w:szCs w:val="18"/>
              </w:rPr>
              <w:t>10</w:t>
            </w:r>
          </w:p>
        </w:tc>
      </w:tr>
      <w:tr w14:paraId="55FD5DDD" w14:textId="77777777" w:rsidTr="00091B2E">
        <w:tblPrEx>
          <w:tblW w:w="9530" w:type="dxa"/>
          <w:jc w:val="center"/>
          <w:tblInd w:w="0" w:type="dxa"/>
          <w:tblLayout w:type="fixed"/>
          <w:tblLook w:val="0400"/>
        </w:tblPrEx>
        <w:trPr>
          <w:trHeight w:val="260"/>
          <w:jc w:val="center"/>
        </w:trPr>
        <w:tc>
          <w:tcPr>
            <w:tcW w:w="2160" w:type="dxa"/>
            <w:tcBorders>
              <w:top w:val="nil"/>
              <w:left w:val="single" w:sz="8" w:space="0" w:color="000000"/>
              <w:bottom w:val="single" w:sz="4" w:space="0" w:color="000000"/>
              <w:right w:val="single" w:sz="4" w:space="0" w:color="000000"/>
            </w:tcBorders>
            <w:vAlign w:val="center"/>
          </w:tcPr>
          <w:p w:rsidR="00727421" w:rsidRPr="00091B2E" w:rsidP="00091B2E" w14:paraId="17DB7795" w14:textId="74EBD2A4">
            <w:pPr>
              <w:rPr>
                <w:rFonts w:ascii="Calibri" w:eastAsia="Calibri" w:hAnsi="Calibri" w:cs="Calibri"/>
                <w:color w:val="000000"/>
                <w:sz w:val="18"/>
                <w:szCs w:val="18"/>
              </w:rPr>
            </w:pPr>
            <w:r w:rsidRPr="00091B2E">
              <w:rPr>
                <w:rFonts w:ascii="Calibri" w:eastAsia="Calibri" w:hAnsi="Calibri" w:cs="Calibri"/>
                <w:color w:val="000000"/>
                <w:sz w:val="18"/>
                <w:szCs w:val="18"/>
              </w:rPr>
              <w:t>Tilefish IFQ Allocation Interest Declaration Form</w:t>
            </w:r>
          </w:p>
        </w:tc>
        <w:tc>
          <w:tcPr>
            <w:tcW w:w="1250" w:type="dxa"/>
            <w:tcBorders>
              <w:top w:val="nil"/>
              <w:left w:val="nil"/>
              <w:bottom w:val="single" w:sz="4" w:space="0" w:color="000000"/>
              <w:right w:val="single" w:sz="4" w:space="0" w:color="000000"/>
            </w:tcBorders>
            <w:shd w:val="clear" w:color="auto" w:fill="FFFFFF"/>
            <w:vAlign w:val="center"/>
          </w:tcPr>
          <w:p w:rsidR="00727421" w:rsidRPr="00091B2E" w:rsidP="00091B2E" w14:paraId="59874A52"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350" w:type="dxa"/>
            <w:tcBorders>
              <w:top w:val="nil"/>
              <w:left w:val="nil"/>
              <w:bottom w:val="single" w:sz="4" w:space="0" w:color="000000"/>
              <w:right w:val="single" w:sz="4" w:space="0" w:color="000000"/>
            </w:tcBorders>
            <w:shd w:val="clear" w:color="auto" w:fill="FFFFFF"/>
            <w:vAlign w:val="center"/>
          </w:tcPr>
          <w:p w:rsidR="00727421" w:rsidRPr="00091B2E" w:rsidP="00091B2E" w14:paraId="363B18A9"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p>
        </w:tc>
        <w:tc>
          <w:tcPr>
            <w:tcW w:w="1170" w:type="dxa"/>
            <w:tcBorders>
              <w:top w:val="nil"/>
              <w:left w:val="nil"/>
              <w:bottom w:val="single" w:sz="4" w:space="0" w:color="000000"/>
              <w:right w:val="single" w:sz="4" w:space="0" w:color="000000"/>
            </w:tcBorders>
            <w:shd w:val="clear" w:color="auto" w:fill="FFFFFF"/>
            <w:vAlign w:val="center"/>
          </w:tcPr>
          <w:p w:rsidR="00727421" w:rsidRPr="00091B2E" w:rsidP="00091B2E" w14:paraId="142DE250"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530" w:type="dxa"/>
            <w:tcBorders>
              <w:top w:val="nil"/>
              <w:left w:val="nil"/>
              <w:bottom w:val="single" w:sz="4" w:space="0" w:color="000000"/>
              <w:right w:val="single" w:sz="4" w:space="0" w:color="000000"/>
            </w:tcBorders>
            <w:shd w:val="clear" w:color="auto" w:fill="FFFFFF"/>
            <w:vAlign w:val="center"/>
          </w:tcPr>
          <w:p w:rsidR="00727421" w:rsidRPr="00091B2E" w:rsidP="00091B2E" w14:paraId="3F4FE583" w14:textId="6CE97F05">
            <w:pPr>
              <w:jc w:val="center"/>
              <w:rPr>
                <w:rFonts w:ascii="Calibri" w:eastAsia="Calibri" w:hAnsi="Calibri" w:cs="Calibri"/>
                <w:sz w:val="18"/>
                <w:szCs w:val="18"/>
              </w:rPr>
            </w:pPr>
            <w:r w:rsidRPr="00091B2E">
              <w:rPr>
                <w:rFonts w:ascii="Calibri" w:eastAsia="Calibri" w:hAnsi="Calibri" w:cs="Calibri"/>
                <w:color w:val="000000"/>
                <w:sz w:val="18"/>
                <w:szCs w:val="18"/>
              </w:rPr>
              <w:t>$ 0.</w:t>
            </w:r>
            <w:r w:rsidRPr="00091B2E">
              <w:rPr>
                <w:rFonts w:ascii="Calibri" w:eastAsia="Calibri" w:hAnsi="Calibri" w:cs="Calibri"/>
                <w:sz w:val="18"/>
                <w:szCs w:val="18"/>
              </w:rPr>
              <w:t>78</w:t>
            </w:r>
          </w:p>
        </w:tc>
        <w:tc>
          <w:tcPr>
            <w:tcW w:w="2070" w:type="dxa"/>
            <w:tcBorders>
              <w:top w:val="nil"/>
              <w:left w:val="nil"/>
              <w:bottom w:val="single" w:sz="4" w:space="0" w:color="000000"/>
              <w:right w:val="single" w:sz="8" w:space="0" w:color="000000"/>
            </w:tcBorders>
            <w:shd w:val="clear" w:color="auto" w:fill="FFFFFF"/>
            <w:vAlign w:val="center"/>
          </w:tcPr>
          <w:p w:rsidR="00727421" w:rsidRPr="00091B2E" w:rsidP="00091B2E" w14:paraId="7724B33F" w14:textId="0E6485A8">
            <w:pPr>
              <w:jc w:val="center"/>
              <w:rPr>
                <w:rFonts w:ascii="Calibri" w:eastAsia="Calibri" w:hAnsi="Calibri" w:cs="Calibri"/>
                <w:sz w:val="18"/>
                <w:szCs w:val="18"/>
              </w:rPr>
            </w:pPr>
            <w:r w:rsidRPr="00091B2E">
              <w:rPr>
                <w:rFonts w:ascii="Calibri" w:eastAsia="Calibri" w:hAnsi="Calibri" w:cs="Calibri"/>
                <w:sz w:val="18"/>
                <w:szCs w:val="18"/>
              </w:rPr>
              <w:t>$ 10</w:t>
            </w:r>
          </w:p>
        </w:tc>
      </w:tr>
      <w:tr w14:paraId="35F3553C" w14:textId="77777777" w:rsidTr="00091B2E">
        <w:tblPrEx>
          <w:tblW w:w="9530" w:type="dxa"/>
          <w:jc w:val="center"/>
          <w:tblInd w:w="0" w:type="dxa"/>
          <w:tblLayout w:type="fixed"/>
          <w:tblLook w:val="0400"/>
        </w:tblPrEx>
        <w:trPr>
          <w:trHeight w:val="440"/>
          <w:jc w:val="center"/>
        </w:trPr>
        <w:tc>
          <w:tcPr>
            <w:tcW w:w="2160" w:type="dxa"/>
            <w:tcBorders>
              <w:top w:val="nil"/>
              <w:left w:val="single" w:sz="8" w:space="0" w:color="000000"/>
              <w:bottom w:val="single" w:sz="4" w:space="0" w:color="000000"/>
              <w:right w:val="single" w:sz="4" w:space="0" w:color="000000"/>
            </w:tcBorders>
            <w:vAlign w:val="center"/>
          </w:tcPr>
          <w:p w:rsidR="00727421" w:rsidRPr="00091B2E" w:rsidP="00091B2E" w14:paraId="7406C95D" w14:textId="0F37BFE8">
            <w:pPr>
              <w:rPr>
                <w:rFonts w:ascii="Calibri" w:eastAsia="Calibri" w:hAnsi="Calibri" w:cs="Calibri"/>
                <w:color w:val="000000"/>
                <w:sz w:val="18"/>
                <w:szCs w:val="18"/>
              </w:rPr>
            </w:pPr>
            <w:r w:rsidRPr="00091B2E">
              <w:rPr>
                <w:rFonts w:ascii="Calibri" w:eastAsia="Calibri" w:hAnsi="Calibri" w:cs="Calibri"/>
                <w:color w:val="000000"/>
                <w:sz w:val="18"/>
                <w:szCs w:val="18"/>
              </w:rPr>
              <w:t>Request to Transfer Tilefish IFQ Allocation</w:t>
            </w:r>
          </w:p>
        </w:tc>
        <w:tc>
          <w:tcPr>
            <w:tcW w:w="1250" w:type="dxa"/>
            <w:tcBorders>
              <w:top w:val="nil"/>
              <w:left w:val="nil"/>
              <w:bottom w:val="single" w:sz="4" w:space="0" w:color="000000"/>
              <w:right w:val="single" w:sz="4" w:space="0" w:color="000000"/>
            </w:tcBorders>
            <w:shd w:val="clear" w:color="auto" w:fill="FFFFFF"/>
            <w:vAlign w:val="center"/>
          </w:tcPr>
          <w:p w:rsidR="00727421" w:rsidRPr="00091B2E" w:rsidP="00091B2E" w14:paraId="4367EC12" w14:textId="52637BAC">
            <w:pPr>
              <w:jc w:val="center"/>
              <w:rPr>
                <w:rFonts w:ascii="Calibri" w:eastAsia="Calibri" w:hAnsi="Calibri" w:cs="Calibri"/>
                <w:color w:val="000000"/>
                <w:sz w:val="18"/>
                <w:szCs w:val="18"/>
              </w:rPr>
            </w:pPr>
            <w:r>
              <w:rPr>
                <w:rFonts w:ascii="Calibri" w:eastAsia="Calibri" w:hAnsi="Calibri" w:cs="Calibri"/>
                <w:color w:val="000000"/>
                <w:sz w:val="18"/>
                <w:szCs w:val="18"/>
              </w:rPr>
              <w:t>16</w:t>
            </w:r>
          </w:p>
        </w:tc>
        <w:tc>
          <w:tcPr>
            <w:tcW w:w="1350" w:type="dxa"/>
            <w:tcBorders>
              <w:top w:val="nil"/>
              <w:left w:val="nil"/>
              <w:bottom w:val="single" w:sz="4" w:space="0" w:color="000000"/>
              <w:right w:val="single" w:sz="4" w:space="0" w:color="000000"/>
            </w:tcBorders>
            <w:shd w:val="clear" w:color="auto" w:fill="FFFFFF"/>
            <w:vAlign w:val="center"/>
          </w:tcPr>
          <w:p w:rsidR="00727421" w:rsidRPr="00091B2E" w:rsidP="00091B2E" w14:paraId="04D84EFA" w14:textId="5A90B75D">
            <w:pPr>
              <w:jc w:val="center"/>
              <w:rPr>
                <w:rFonts w:ascii="Calibri" w:eastAsia="Calibri" w:hAnsi="Calibri" w:cs="Calibri"/>
                <w:color w:val="000000"/>
                <w:sz w:val="18"/>
                <w:szCs w:val="18"/>
              </w:rPr>
            </w:pPr>
            <w:r>
              <w:rPr>
                <w:rFonts w:ascii="Calibri" w:eastAsia="Calibri" w:hAnsi="Calibri" w:cs="Calibri"/>
                <w:color w:val="000000"/>
                <w:sz w:val="18"/>
                <w:szCs w:val="18"/>
              </w:rPr>
              <w:t>1</w:t>
            </w:r>
          </w:p>
        </w:tc>
        <w:tc>
          <w:tcPr>
            <w:tcW w:w="1170" w:type="dxa"/>
            <w:tcBorders>
              <w:top w:val="nil"/>
              <w:left w:val="nil"/>
              <w:bottom w:val="single" w:sz="4" w:space="0" w:color="000000"/>
              <w:right w:val="single" w:sz="4" w:space="0" w:color="000000"/>
            </w:tcBorders>
            <w:shd w:val="clear" w:color="auto" w:fill="FFFFFF"/>
            <w:vAlign w:val="center"/>
          </w:tcPr>
          <w:p w:rsidR="00727421" w:rsidRPr="00091B2E" w:rsidP="00091B2E" w14:paraId="795A7787" w14:textId="1B671A39">
            <w:pPr>
              <w:jc w:val="center"/>
              <w:rPr>
                <w:rFonts w:ascii="Calibri" w:eastAsia="Calibri" w:hAnsi="Calibri" w:cs="Calibri"/>
                <w:color w:val="000000"/>
                <w:sz w:val="18"/>
                <w:szCs w:val="18"/>
              </w:rPr>
            </w:pPr>
            <w:r>
              <w:rPr>
                <w:rFonts w:ascii="Calibri" w:eastAsia="Calibri" w:hAnsi="Calibri" w:cs="Calibri"/>
                <w:color w:val="000000"/>
                <w:sz w:val="18"/>
                <w:szCs w:val="18"/>
              </w:rPr>
              <w:t>16</w:t>
            </w:r>
          </w:p>
        </w:tc>
        <w:tc>
          <w:tcPr>
            <w:tcW w:w="1530" w:type="dxa"/>
            <w:tcBorders>
              <w:top w:val="nil"/>
              <w:left w:val="nil"/>
              <w:bottom w:val="single" w:sz="4" w:space="0" w:color="000000"/>
              <w:right w:val="single" w:sz="4" w:space="0" w:color="000000"/>
            </w:tcBorders>
            <w:shd w:val="clear" w:color="auto" w:fill="FFFFFF"/>
            <w:vAlign w:val="center"/>
          </w:tcPr>
          <w:p w:rsidR="00727421" w:rsidRPr="00091B2E" w:rsidP="00091B2E" w14:paraId="1EA8646A" w14:textId="20C7BEAF">
            <w:pPr>
              <w:jc w:val="center"/>
              <w:rPr>
                <w:rFonts w:ascii="Calibri" w:eastAsia="Calibri" w:hAnsi="Calibri" w:cs="Calibri"/>
                <w:color w:val="000000"/>
                <w:sz w:val="18"/>
                <w:szCs w:val="18"/>
                <w:highlight w:val="yellow"/>
              </w:rPr>
            </w:pPr>
            <w:r w:rsidRPr="00091B2E">
              <w:rPr>
                <w:rFonts w:ascii="Calibri" w:eastAsia="Calibri" w:hAnsi="Calibri" w:cs="Calibri"/>
                <w:color w:val="000000"/>
                <w:sz w:val="18"/>
                <w:szCs w:val="18"/>
              </w:rPr>
              <w:t>$ 0.</w:t>
            </w:r>
            <w:r>
              <w:rPr>
                <w:rFonts w:ascii="Calibri" w:eastAsia="Calibri" w:hAnsi="Calibri" w:cs="Calibri"/>
                <w:color w:val="000000"/>
                <w:sz w:val="18"/>
                <w:szCs w:val="18"/>
              </w:rPr>
              <w:t>8</w:t>
            </w:r>
            <w:r w:rsidRPr="00091B2E">
              <w:rPr>
                <w:rFonts w:ascii="Calibri" w:eastAsia="Calibri" w:hAnsi="Calibri" w:cs="Calibri"/>
                <w:sz w:val="18"/>
                <w:szCs w:val="18"/>
              </w:rPr>
              <w:t>8</w:t>
            </w:r>
          </w:p>
        </w:tc>
        <w:tc>
          <w:tcPr>
            <w:tcW w:w="2070" w:type="dxa"/>
            <w:tcBorders>
              <w:top w:val="nil"/>
              <w:left w:val="nil"/>
              <w:bottom w:val="single" w:sz="4" w:space="0" w:color="000000"/>
              <w:right w:val="single" w:sz="8" w:space="0" w:color="000000"/>
            </w:tcBorders>
            <w:shd w:val="clear" w:color="auto" w:fill="FFFFFF"/>
            <w:vAlign w:val="center"/>
          </w:tcPr>
          <w:p w:rsidR="00727421" w:rsidRPr="00091B2E" w:rsidP="00091B2E" w14:paraId="3D20FF6A" w14:textId="4886FB1A">
            <w:pPr>
              <w:jc w:val="center"/>
              <w:rPr>
                <w:rFonts w:ascii="Calibri" w:eastAsia="Calibri" w:hAnsi="Calibri" w:cs="Calibri"/>
                <w:color w:val="000000"/>
                <w:sz w:val="18"/>
                <w:szCs w:val="18"/>
                <w:highlight w:val="yellow"/>
              </w:rPr>
            </w:pPr>
            <w:r w:rsidRPr="00091B2E">
              <w:rPr>
                <w:rFonts w:ascii="Calibri" w:eastAsia="Calibri" w:hAnsi="Calibri" w:cs="Calibri"/>
                <w:color w:val="000000"/>
                <w:sz w:val="18"/>
                <w:szCs w:val="18"/>
              </w:rPr>
              <w:t xml:space="preserve">$ </w:t>
            </w:r>
            <w:r w:rsidR="0067298D">
              <w:rPr>
                <w:rFonts w:ascii="Calibri" w:eastAsia="Calibri" w:hAnsi="Calibri" w:cs="Calibri"/>
                <w:color w:val="000000"/>
                <w:sz w:val="18"/>
                <w:szCs w:val="18"/>
              </w:rPr>
              <w:t>14</w:t>
            </w:r>
          </w:p>
        </w:tc>
      </w:tr>
      <w:tr w14:paraId="398F4617" w14:textId="77777777" w:rsidTr="00091B2E">
        <w:tblPrEx>
          <w:tblW w:w="9530" w:type="dxa"/>
          <w:jc w:val="center"/>
          <w:tblInd w:w="0" w:type="dxa"/>
          <w:tblLayout w:type="fixed"/>
          <w:tblLook w:val="0400"/>
        </w:tblPrEx>
        <w:trPr>
          <w:trHeight w:val="260"/>
          <w:jc w:val="center"/>
        </w:trPr>
        <w:tc>
          <w:tcPr>
            <w:tcW w:w="2160" w:type="dxa"/>
            <w:tcBorders>
              <w:top w:val="nil"/>
              <w:left w:val="single" w:sz="8" w:space="0" w:color="000000"/>
              <w:bottom w:val="single" w:sz="4" w:space="0" w:color="000000"/>
              <w:right w:val="single" w:sz="4" w:space="0" w:color="000000"/>
            </w:tcBorders>
            <w:vAlign w:val="center"/>
          </w:tcPr>
          <w:p w:rsidR="00727421" w:rsidRPr="00091B2E" w:rsidP="00091B2E" w14:paraId="53199C76" w14:textId="77777777">
            <w:pPr>
              <w:rPr>
                <w:rFonts w:ascii="Calibri" w:eastAsia="Calibri" w:hAnsi="Calibri" w:cs="Calibri"/>
                <w:color w:val="000000"/>
                <w:sz w:val="18"/>
                <w:szCs w:val="18"/>
              </w:rPr>
            </w:pPr>
            <w:r w:rsidRPr="00091B2E">
              <w:rPr>
                <w:rFonts w:ascii="Calibri" w:eastAsia="Calibri" w:hAnsi="Calibri" w:cs="Calibri"/>
                <w:color w:val="000000"/>
                <w:sz w:val="18"/>
                <w:szCs w:val="18"/>
              </w:rPr>
              <w:t>Fees &amp; Cost Recovery</w:t>
            </w:r>
          </w:p>
        </w:tc>
        <w:tc>
          <w:tcPr>
            <w:tcW w:w="1250" w:type="dxa"/>
            <w:tcBorders>
              <w:top w:val="nil"/>
              <w:left w:val="nil"/>
              <w:bottom w:val="nil"/>
              <w:right w:val="single" w:sz="4" w:space="0" w:color="000000"/>
            </w:tcBorders>
            <w:shd w:val="clear" w:color="auto" w:fill="FFFFFF"/>
            <w:vAlign w:val="center"/>
          </w:tcPr>
          <w:p w:rsidR="00727421" w:rsidRPr="00091B2E" w:rsidP="00091B2E" w14:paraId="18944784"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350" w:type="dxa"/>
            <w:tcBorders>
              <w:top w:val="nil"/>
              <w:left w:val="nil"/>
              <w:bottom w:val="nil"/>
              <w:right w:val="single" w:sz="4" w:space="0" w:color="000000"/>
            </w:tcBorders>
            <w:shd w:val="clear" w:color="auto" w:fill="FFFFFF"/>
            <w:vAlign w:val="center"/>
          </w:tcPr>
          <w:p w:rsidR="00727421" w:rsidRPr="00091B2E" w:rsidP="00091B2E" w14:paraId="0B8854F8"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p>
        </w:tc>
        <w:tc>
          <w:tcPr>
            <w:tcW w:w="1170" w:type="dxa"/>
            <w:tcBorders>
              <w:top w:val="nil"/>
              <w:left w:val="nil"/>
              <w:bottom w:val="nil"/>
              <w:right w:val="single" w:sz="4" w:space="0" w:color="000000"/>
            </w:tcBorders>
            <w:shd w:val="clear" w:color="auto" w:fill="FFFFFF"/>
            <w:vAlign w:val="center"/>
          </w:tcPr>
          <w:p w:rsidR="00727421" w:rsidRPr="00091B2E" w:rsidP="00091B2E" w14:paraId="0830628C" w14:textId="77777777">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1</w:t>
            </w:r>
            <w:r w:rsidRPr="00091B2E">
              <w:rPr>
                <w:rFonts w:ascii="Calibri" w:eastAsia="Calibri" w:hAnsi="Calibri" w:cs="Calibri"/>
                <w:sz w:val="18"/>
                <w:szCs w:val="18"/>
              </w:rPr>
              <w:t>3</w:t>
            </w:r>
          </w:p>
        </w:tc>
        <w:tc>
          <w:tcPr>
            <w:tcW w:w="1530" w:type="dxa"/>
            <w:tcBorders>
              <w:top w:val="nil"/>
              <w:left w:val="nil"/>
              <w:bottom w:val="nil"/>
              <w:right w:val="single" w:sz="4" w:space="0" w:color="000000"/>
            </w:tcBorders>
            <w:shd w:val="clear" w:color="auto" w:fill="FFFFFF"/>
            <w:vAlign w:val="center"/>
          </w:tcPr>
          <w:p w:rsidR="00727421" w:rsidRPr="00091B2E" w:rsidP="00091B2E" w14:paraId="43414E08" w14:textId="4FDB6DF4">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$ 0</w:t>
            </w:r>
          </w:p>
        </w:tc>
        <w:tc>
          <w:tcPr>
            <w:tcW w:w="2070" w:type="dxa"/>
            <w:tcBorders>
              <w:top w:val="nil"/>
              <w:left w:val="nil"/>
              <w:bottom w:val="nil"/>
              <w:right w:val="single" w:sz="8" w:space="0" w:color="000000"/>
            </w:tcBorders>
            <w:shd w:val="clear" w:color="auto" w:fill="FFFFFF"/>
            <w:vAlign w:val="center"/>
          </w:tcPr>
          <w:p w:rsidR="00727421" w:rsidRPr="00091B2E" w:rsidP="00091B2E" w14:paraId="3B5B5316" w14:textId="78D21E99">
            <w:pPr>
              <w:jc w:val="center"/>
              <w:rPr>
                <w:rFonts w:ascii="Calibri" w:eastAsia="Calibri" w:hAnsi="Calibri" w:cs="Calibri"/>
                <w:color w:val="000000"/>
                <w:sz w:val="18"/>
                <w:szCs w:val="18"/>
              </w:rPr>
            </w:pPr>
            <w:r w:rsidRPr="00091B2E">
              <w:rPr>
                <w:rFonts w:ascii="Calibri" w:eastAsia="Calibri" w:hAnsi="Calibri" w:cs="Calibri"/>
                <w:color w:val="000000"/>
                <w:sz w:val="18"/>
                <w:szCs w:val="18"/>
              </w:rPr>
              <w:t>$</w:t>
            </w:r>
            <w:r w:rsidR="00091B2E">
              <w:rPr>
                <w:rFonts w:ascii="Calibri" w:eastAsia="Calibri" w:hAnsi="Calibri" w:cs="Calibri"/>
                <w:color w:val="000000"/>
                <w:sz w:val="18"/>
                <w:szCs w:val="18"/>
              </w:rPr>
              <w:t xml:space="preserve"> 0</w:t>
            </w:r>
            <w:r w:rsidRPr="00091B2E">
              <w:rPr>
                <w:rFonts w:ascii="Calibri" w:eastAsia="Calibri" w:hAnsi="Calibri" w:cs="Calibri"/>
                <w:color w:val="000000"/>
                <w:sz w:val="18"/>
                <w:szCs w:val="18"/>
              </w:rPr>
              <w:t>-</w:t>
            </w:r>
          </w:p>
        </w:tc>
      </w:tr>
      <w:tr w14:paraId="6F646ACC" w14:textId="77777777" w:rsidTr="00091B2E">
        <w:tblPrEx>
          <w:tblW w:w="9530" w:type="dxa"/>
          <w:jc w:val="center"/>
          <w:tblInd w:w="0" w:type="dxa"/>
          <w:tblLayout w:type="fixed"/>
          <w:tblLook w:val="0400"/>
        </w:tblPrEx>
        <w:trPr>
          <w:trHeight w:val="160"/>
          <w:jc w:val="center"/>
        </w:trPr>
        <w:tc>
          <w:tcPr>
            <w:tcW w:w="2160" w:type="dxa"/>
            <w:tcBorders>
              <w:top w:val="single" w:sz="8" w:space="0" w:color="000000"/>
              <w:left w:val="single" w:sz="8" w:space="0" w:color="000000"/>
              <w:bottom w:val="single" w:sz="8" w:space="0" w:color="000000"/>
              <w:right w:val="single" w:sz="4" w:space="0" w:color="000000"/>
            </w:tcBorders>
            <w:shd w:val="clear" w:color="auto" w:fill="DDEBF7"/>
            <w:vAlign w:val="center"/>
          </w:tcPr>
          <w:p w:rsidR="00727421" w:rsidRPr="00091B2E" w:rsidP="00091B2E" w14:paraId="4880A4B1"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TOTALS</w:t>
            </w:r>
          </w:p>
        </w:tc>
        <w:tc>
          <w:tcPr>
            <w:tcW w:w="1250" w:type="dxa"/>
            <w:tcBorders>
              <w:top w:val="single" w:sz="8" w:space="0" w:color="000000"/>
              <w:left w:val="nil"/>
              <w:bottom w:val="single" w:sz="8" w:space="0" w:color="000000"/>
              <w:right w:val="single" w:sz="4" w:space="0" w:color="000000"/>
            </w:tcBorders>
            <w:shd w:val="clear" w:color="auto" w:fill="DDEBF7"/>
            <w:vAlign w:val="center"/>
          </w:tcPr>
          <w:p w:rsidR="00727421" w:rsidRPr="00091B2E" w:rsidP="00091B2E" w14:paraId="0A3AE6F5" w14:textId="53F430E6">
            <w:pPr>
              <w:jc w:val="center"/>
              <w:rPr>
                <w:rFonts w:ascii="Calibri" w:eastAsia="Calibri" w:hAnsi="Calibri" w:cs="Calibri"/>
                <w:b/>
                <w:bCs/>
                <w:color w:val="000000"/>
                <w:sz w:val="18"/>
                <w:szCs w:val="18"/>
              </w:rPr>
            </w:pPr>
            <w:r>
              <w:rPr>
                <w:rFonts w:ascii="Calibri" w:eastAsia="Calibri" w:hAnsi="Calibri" w:cs="Calibri"/>
                <w:b/>
                <w:bCs/>
                <w:color w:val="000000"/>
                <w:sz w:val="18"/>
                <w:szCs w:val="18"/>
              </w:rPr>
              <w:t>55</w:t>
            </w:r>
          </w:p>
        </w:tc>
        <w:tc>
          <w:tcPr>
            <w:tcW w:w="1350" w:type="dxa"/>
            <w:tcBorders>
              <w:top w:val="single" w:sz="8" w:space="0" w:color="000000"/>
              <w:left w:val="nil"/>
              <w:bottom w:val="single" w:sz="8" w:space="0" w:color="000000"/>
              <w:right w:val="single" w:sz="4" w:space="0" w:color="000000"/>
            </w:tcBorders>
            <w:shd w:val="clear" w:color="auto" w:fill="000000" w:themeFill="text1"/>
            <w:vAlign w:val="center"/>
          </w:tcPr>
          <w:p w:rsidR="00727421" w:rsidRPr="00091B2E" w:rsidP="00091B2E" w14:paraId="10BAF184" w14:textId="77777777">
            <w:pPr>
              <w:jc w:val="center"/>
              <w:rPr>
                <w:rFonts w:ascii="Calibri" w:eastAsia="Calibri" w:hAnsi="Calibri" w:cs="Calibri"/>
                <w:b/>
                <w:bCs/>
                <w:color w:val="000000"/>
                <w:sz w:val="18"/>
                <w:szCs w:val="18"/>
                <w:highlight w:val="yellow"/>
              </w:rPr>
            </w:pPr>
          </w:p>
        </w:tc>
        <w:tc>
          <w:tcPr>
            <w:tcW w:w="1170" w:type="dxa"/>
            <w:tcBorders>
              <w:top w:val="single" w:sz="8" w:space="0" w:color="000000"/>
              <w:left w:val="nil"/>
              <w:bottom w:val="single" w:sz="8" w:space="0" w:color="000000"/>
              <w:right w:val="single" w:sz="4" w:space="0" w:color="000000"/>
            </w:tcBorders>
            <w:shd w:val="clear" w:color="auto" w:fill="DDEBF7"/>
            <w:vAlign w:val="center"/>
          </w:tcPr>
          <w:p w:rsidR="00727421" w:rsidRPr="00091B2E" w:rsidP="00091B2E" w14:paraId="6ED00461" w14:textId="7777777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5</w:t>
            </w:r>
            <w:r w:rsidRPr="00091B2E">
              <w:rPr>
                <w:rFonts w:ascii="Calibri" w:eastAsia="Calibri" w:hAnsi="Calibri" w:cs="Calibri"/>
                <w:b/>
                <w:bCs/>
                <w:sz w:val="18"/>
                <w:szCs w:val="18"/>
              </w:rPr>
              <w:t>5</w:t>
            </w:r>
          </w:p>
        </w:tc>
        <w:tc>
          <w:tcPr>
            <w:tcW w:w="1530" w:type="dxa"/>
            <w:tcBorders>
              <w:top w:val="single" w:sz="8" w:space="0" w:color="000000"/>
              <w:left w:val="nil"/>
              <w:bottom w:val="single" w:sz="8" w:space="0" w:color="000000"/>
              <w:right w:val="single" w:sz="4" w:space="0" w:color="000000"/>
            </w:tcBorders>
            <w:shd w:val="clear" w:color="auto" w:fill="000000" w:themeFill="text1"/>
            <w:vAlign w:val="center"/>
          </w:tcPr>
          <w:p w:rsidR="00727421" w:rsidRPr="00091B2E" w:rsidP="00091B2E" w14:paraId="3D44FC9E" w14:textId="651508D3">
            <w:pPr>
              <w:jc w:val="center"/>
              <w:rPr>
                <w:rFonts w:ascii="Calibri" w:eastAsia="Calibri" w:hAnsi="Calibri" w:cs="Calibri"/>
                <w:b/>
                <w:bCs/>
                <w:color w:val="000000"/>
                <w:sz w:val="18"/>
                <w:szCs w:val="18"/>
              </w:rPr>
            </w:pPr>
          </w:p>
        </w:tc>
        <w:tc>
          <w:tcPr>
            <w:tcW w:w="2070" w:type="dxa"/>
            <w:tcBorders>
              <w:top w:val="single" w:sz="8" w:space="0" w:color="000000"/>
              <w:left w:val="nil"/>
              <w:bottom w:val="single" w:sz="8" w:space="0" w:color="000000"/>
              <w:right w:val="single" w:sz="8" w:space="0" w:color="000000"/>
            </w:tcBorders>
            <w:shd w:val="clear" w:color="auto" w:fill="DDEBF7"/>
            <w:vAlign w:val="center"/>
          </w:tcPr>
          <w:p w:rsidR="00727421" w:rsidRPr="00091B2E" w:rsidP="00091B2E" w14:paraId="1A9C0B26" w14:textId="7B4C7C47">
            <w:pPr>
              <w:jc w:val="center"/>
              <w:rPr>
                <w:rFonts w:ascii="Calibri" w:eastAsia="Calibri" w:hAnsi="Calibri" w:cs="Calibri"/>
                <w:b/>
                <w:bCs/>
                <w:color w:val="000000"/>
                <w:sz w:val="18"/>
                <w:szCs w:val="18"/>
              </w:rPr>
            </w:pPr>
            <w:r w:rsidRPr="00091B2E">
              <w:rPr>
                <w:rFonts w:ascii="Calibri" w:eastAsia="Calibri" w:hAnsi="Calibri" w:cs="Calibri"/>
                <w:b/>
                <w:bCs/>
                <w:color w:val="000000"/>
                <w:sz w:val="18"/>
                <w:szCs w:val="18"/>
              </w:rPr>
              <w:t xml:space="preserve">$ </w:t>
            </w:r>
            <w:r w:rsidR="0067298D">
              <w:rPr>
                <w:rFonts w:ascii="Calibri" w:eastAsia="Calibri" w:hAnsi="Calibri" w:cs="Calibri"/>
                <w:b/>
                <w:bCs/>
                <w:color w:val="000000"/>
                <w:sz w:val="18"/>
                <w:szCs w:val="18"/>
              </w:rPr>
              <w:t>34</w:t>
            </w:r>
          </w:p>
        </w:tc>
      </w:tr>
    </w:tbl>
    <w:p w:rsidR="00727421" w:rsidRPr="00ED7366" w:rsidP="00091B2E" w14:paraId="7A620493" w14:textId="2ACDB628">
      <w:pPr>
        <w:spacing w:before="240"/>
        <w:rPr>
          <w:sz w:val="18"/>
          <w:szCs w:val="18"/>
        </w:rPr>
      </w:pPr>
      <w:r w:rsidRPr="00ED7366">
        <w:rPr>
          <w:sz w:val="18"/>
          <w:szCs w:val="18"/>
        </w:rPr>
        <w:t xml:space="preserve">*All totals were rounded to the nearest whole number to reflect the </w:t>
      </w:r>
      <w:r>
        <w:rPr>
          <w:sz w:val="18"/>
          <w:szCs w:val="18"/>
        </w:rPr>
        <w:t>total</w:t>
      </w:r>
      <w:r w:rsidRPr="00ED7366">
        <w:rPr>
          <w:sz w:val="18"/>
          <w:szCs w:val="18"/>
        </w:rPr>
        <w:t xml:space="preserve"> calculated via ROCIS</w:t>
      </w:r>
      <w:r>
        <w:rPr>
          <w:sz w:val="18"/>
          <w:szCs w:val="18"/>
        </w:rPr>
        <w:t>.</w:t>
      </w:r>
    </w:p>
    <w:p w:rsidR="00727421" w:rsidP="00091B2E" w14:paraId="1D566DF8" w14:textId="77777777">
      <w:pPr>
        <w:keepNext/>
        <w:spacing w:before="240"/>
        <w:rPr>
          <w:b/>
          <w:bCs/>
          <w:sz w:val="24"/>
          <w:szCs w:val="24"/>
        </w:rPr>
      </w:pPr>
      <w:r>
        <w:rPr>
          <w:b/>
          <w:bCs/>
          <w:sz w:val="24"/>
          <w:szCs w:val="24"/>
        </w:rPr>
        <w:t>IFQ Permit Application</w:t>
      </w:r>
    </w:p>
    <w:p w:rsidR="00727421" w:rsidP="00091B2E" w14:paraId="1195A059" w14:textId="77777777">
      <w:pPr>
        <w:keepNext/>
        <w:spacing w:before="240"/>
        <w:rPr>
          <w:sz w:val="24"/>
          <w:szCs w:val="24"/>
        </w:rPr>
      </w:pPr>
      <w:r>
        <w:rPr>
          <w:sz w:val="24"/>
          <w:szCs w:val="24"/>
        </w:rPr>
        <w:t xml:space="preserve">It is estimated that it would cost $0.78 in postage fees to submit an IFQ permit application or a renewal.  Therefore, it would cost on average over a three-year period an estimated </w:t>
      </w:r>
      <w:r>
        <w:rPr>
          <w:b/>
          <w:bCs/>
          <w:sz w:val="24"/>
          <w:szCs w:val="24"/>
        </w:rPr>
        <w:t>$10.14</w:t>
      </w:r>
      <w:r>
        <w:rPr>
          <w:sz w:val="24"/>
          <w:szCs w:val="24"/>
        </w:rPr>
        <w:t xml:space="preserve"> per year in postage fees (13 applications x $0.78 = $10.14). </w:t>
      </w:r>
    </w:p>
    <w:p w:rsidR="00727421" w:rsidP="00091B2E" w14:paraId="757DC849" w14:textId="77777777">
      <w:pPr>
        <w:spacing w:before="240"/>
        <w:rPr>
          <w:b/>
          <w:bCs/>
          <w:sz w:val="24"/>
          <w:szCs w:val="24"/>
        </w:rPr>
      </w:pPr>
      <w:r>
        <w:rPr>
          <w:b/>
          <w:bCs/>
          <w:sz w:val="24"/>
          <w:szCs w:val="24"/>
        </w:rPr>
        <w:t>IFQ Allocation Interest Declaration Form (Ownership Cap Form)</w:t>
      </w:r>
    </w:p>
    <w:p w:rsidR="00727421" w:rsidP="00091B2E" w14:paraId="50DFB140" w14:textId="77777777">
      <w:pPr>
        <w:spacing w:before="240"/>
        <w:rPr>
          <w:sz w:val="24"/>
          <w:szCs w:val="24"/>
        </w:rPr>
      </w:pPr>
      <w:r>
        <w:rPr>
          <w:sz w:val="24"/>
          <w:szCs w:val="24"/>
        </w:rPr>
        <w:t xml:space="preserve">It is estimated that it would cost $0.78 in mailing fees to submit an ownership cap form.  Since there are 13 IFQ Allocation permits, 13 IFQ Allocation Interest Declaration forms are submitted annually, the additional expense resulting from this requirement would be </w:t>
      </w:r>
      <w:r>
        <w:rPr>
          <w:b/>
          <w:bCs/>
          <w:sz w:val="24"/>
          <w:szCs w:val="24"/>
        </w:rPr>
        <w:t>$10.14</w:t>
      </w:r>
      <w:r>
        <w:rPr>
          <w:sz w:val="24"/>
          <w:szCs w:val="24"/>
        </w:rPr>
        <w:t xml:space="preserve"> (13 forms x $0.78 = $10.14).</w:t>
      </w:r>
    </w:p>
    <w:p w:rsidR="00727421" w:rsidP="00091B2E" w14:paraId="7EE9E062" w14:textId="77777777">
      <w:pPr>
        <w:spacing w:before="240"/>
        <w:rPr>
          <w:b/>
          <w:bCs/>
          <w:sz w:val="24"/>
          <w:szCs w:val="24"/>
        </w:rPr>
      </w:pPr>
      <w:r>
        <w:rPr>
          <w:b/>
          <w:bCs/>
          <w:sz w:val="24"/>
          <w:szCs w:val="24"/>
        </w:rPr>
        <w:t>IFQ Transfer Form</w:t>
      </w:r>
    </w:p>
    <w:p w:rsidR="00727421" w:rsidP="00091B2E" w14:paraId="7CBFCB69" w14:textId="77777777">
      <w:pPr>
        <w:spacing w:before="240"/>
        <w:rPr>
          <w:sz w:val="24"/>
          <w:szCs w:val="24"/>
        </w:rPr>
      </w:pPr>
      <w:r>
        <w:rPr>
          <w:sz w:val="24"/>
          <w:szCs w:val="24"/>
        </w:rPr>
        <w:t xml:space="preserve">It is estimated that IFQ transfer submission would cost $0.78 postage and $0.10 copy fees per transfer application ($0.88 total).  Since there has been an average of 8 transfers per year, and 2 responses per form, the resultant cost burden would be </w:t>
      </w:r>
      <w:r>
        <w:rPr>
          <w:b/>
          <w:bCs/>
          <w:sz w:val="24"/>
          <w:szCs w:val="24"/>
        </w:rPr>
        <w:t>$14.08 (</w:t>
      </w:r>
      <w:r>
        <w:rPr>
          <w:sz w:val="24"/>
          <w:szCs w:val="24"/>
        </w:rPr>
        <w:t xml:space="preserve">8 x 2 x $0.88 = $14.08). </w:t>
      </w:r>
    </w:p>
    <w:p w:rsidR="00727421" w:rsidP="00091B2E" w14:paraId="3A634602" w14:textId="77777777">
      <w:pPr>
        <w:spacing w:before="240"/>
        <w:rPr>
          <w:b/>
          <w:bCs/>
          <w:sz w:val="24"/>
          <w:szCs w:val="24"/>
        </w:rPr>
      </w:pPr>
      <w:r>
        <w:rPr>
          <w:b/>
          <w:bCs/>
          <w:sz w:val="24"/>
          <w:szCs w:val="24"/>
        </w:rPr>
        <w:t xml:space="preserve">Fees and Cost Recovery </w:t>
      </w:r>
    </w:p>
    <w:p w:rsidR="00727421" w:rsidP="00091B2E" w14:paraId="3F1EF0FF" w14:textId="77777777">
      <w:pPr>
        <w:spacing w:before="240"/>
        <w:rPr>
          <w:sz w:val="24"/>
          <w:szCs w:val="24"/>
        </w:rPr>
      </w:pPr>
      <w:r>
        <w:rPr>
          <w:sz w:val="24"/>
          <w:szCs w:val="24"/>
        </w:rPr>
        <w:t xml:space="preserve">The Cost Recovery Fee must be paid online.  Because internet access is readily available, it is not expected that this requirement will result in any additional burden from internet use or costs associated with acquiring access.  </w:t>
      </w:r>
    </w:p>
    <w:p w:rsidR="00727421" w:rsidP="00091B2E" w14:paraId="04CBD96C" w14:textId="77777777">
      <w:pPr>
        <w:spacing w:before="240"/>
        <w:rPr>
          <w:sz w:val="24"/>
          <w:szCs w:val="24"/>
          <w:highlight w:val="yellow"/>
        </w:rPr>
      </w:pPr>
    </w:p>
    <w:p w:rsidR="00727421" w:rsidP="00091B2E" w14:paraId="1B60BB3C" w14:textId="191948CF">
      <w:pPr>
        <w:spacing w:before="240"/>
        <w:rPr>
          <w:b/>
          <w:bCs/>
          <w:sz w:val="24"/>
          <w:szCs w:val="24"/>
        </w:rPr>
      </w:pPr>
      <w:r>
        <w:rPr>
          <w:b/>
          <w:bCs/>
          <w:sz w:val="24"/>
          <w:szCs w:val="24"/>
        </w:rPr>
        <w:t>14</w:t>
      </w:r>
      <w:r w:rsidR="000306B9">
        <w:rPr>
          <w:b/>
          <w:bCs/>
          <w:sz w:val="24"/>
          <w:szCs w:val="24"/>
        </w:rPr>
        <w:t xml:space="preserve">. </w:t>
      </w:r>
      <w:r w:rsidRPr="008B28CD">
        <w:rPr>
          <w:b/>
          <w:bCs/>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52681F" w:rsidP="00091B2E" w14:paraId="7B987047" w14:textId="77777777">
      <w:pPr>
        <w:spacing w:before="240"/>
        <w:rPr>
          <w:b/>
          <w:bCs/>
          <w:sz w:val="24"/>
          <w:szCs w:val="24"/>
        </w:rPr>
      </w:pPr>
    </w:p>
    <w:tbl>
      <w:tblPr>
        <w:tblW w:w="0" w:type="auto"/>
        <w:jc w:val="center"/>
        <w:tblCellMar>
          <w:top w:w="15" w:type="dxa"/>
          <w:left w:w="15" w:type="dxa"/>
          <w:bottom w:w="15" w:type="dxa"/>
          <w:right w:w="15" w:type="dxa"/>
        </w:tblCellMar>
        <w:tblLook w:val="04A0"/>
      </w:tblPr>
      <w:tblGrid>
        <w:gridCol w:w="2282"/>
        <w:gridCol w:w="1306"/>
        <w:gridCol w:w="1565"/>
        <w:gridCol w:w="968"/>
        <w:gridCol w:w="1626"/>
        <w:gridCol w:w="1953"/>
      </w:tblGrid>
      <w:tr w14:paraId="5B8B879F" w14:textId="77777777" w:rsidTr="00977551">
        <w:tblPrEx>
          <w:tblW w:w="0" w:type="auto"/>
          <w:jc w:val="center"/>
          <w:tblCellMar>
            <w:top w:w="15" w:type="dxa"/>
            <w:left w:w="15" w:type="dxa"/>
            <w:bottom w:w="15" w:type="dxa"/>
            <w:right w:w="15" w:type="dxa"/>
          </w:tblCellMar>
          <w:tblLook w:val="04A0"/>
        </w:tblPrEx>
        <w:trPr>
          <w:trHeight w:val="450"/>
          <w:jc w:val="center"/>
        </w:trPr>
        <w:tc>
          <w:tcPr>
            <w:tcW w:w="0" w:type="auto"/>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795AC2FF" w14:textId="77777777">
            <w:pPr>
              <w:jc w:val="center"/>
              <w:rPr>
                <w:sz w:val="18"/>
                <w:szCs w:val="18"/>
                <w:lang w:val="en-US"/>
              </w:rPr>
            </w:pPr>
            <w:r w:rsidRPr="00977551">
              <w:rPr>
                <w:rFonts w:ascii="Calibri" w:hAnsi="Calibri" w:cs="Calibri"/>
                <w:b/>
                <w:bCs/>
                <w:color w:val="000000"/>
                <w:sz w:val="18"/>
                <w:szCs w:val="18"/>
                <w:lang w:val="en-US"/>
              </w:rPr>
              <w:t>Cost Descriptions</w:t>
            </w:r>
          </w:p>
        </w:tc>
        <w:tc>
          <w:tcPr>
            <w:tcW w:w="1306" w:type="dxa"/>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29F7ADC5" w14:textId="77777777">
            <w:pPr>
              <w:jc w:val="center"/>
              <w:rPr>
                <w:sz w:val="18"/>
                <w:szCs w:val="18"/>
                <w:lang w:val="en-US"/>
              </w:rPr>
            </w:pPr>
            <w:r w:rsidRPr="00977551">
              <w:rPr>
                <w:rFonts w:ascii="Calibri" w:hAnsi="Calibri" w:cs="Calibri"/>
                <w:b/>
                <w:bCs/>
                <w:color w:val="000000"/>
                <w:sz w:val="18"/>
                <w:szCs w:val="18"/>
                <w:lang w:val="en-US"/>
              </w:rPr>
              <w:t>Grade/Step</w:t>
            </w:r>
          </w:p>
        </w:tc>
        <w:tc>
          <w:tcPr>
            <w:tcW w:w="1565" w:type="dxa"/>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1DD21F3B" w14:textId="77777777">
            <w:pPr>
              <w:jc w:val="center"/>
              <w:rPr>
                <w:sz w:val="18"/>
                <w:szCs w:val="18"/>
                <w:lang w:val="en-US"/>
              </w:rPr>
            </w:pPr>
            <w:r w:rsidRPr="00977551">
              <w:rPr>
                <w:rFonts w:ascii="Calibri" w:hAnsi="Calibri" w:cs="Calibri"/>
                <w:b/>
                <w:bCs/>
                <w:color w:val="000000"/>
                <w:sz w:val="18"/>
                <w:szCs w:val="18"/>
                <w:lang w:val="en-US"/>
              </w:rPr>
              <w:t>Loaded Salary /Cost</w:t>
            </w:r>
          </w:p>
        </w:tc>
        <w:tc>
          <w:tcPr>
            <w:tcW w:w="0" w:type="auto"/>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2104EAE9" w14:textId="77777777">
            <w:pPr>
              <w:jc w:val="center"/>
              <w:rPr>
                <w:sz w:val="18"/>
                <w:szCs w:val="18"/>
                <w:lang w:val="en-US"/>
              </w:rPr>
            </w:pPr>
            <w:r w:rsidRPr="00977551">
              <w:rPr>
                <w:rFonts w:ascii="Calibri" w:hAnsi="Calibri" w:cs="Calibri"/>
                <w:b/>
                <w:bCs/>
                <w:color w:val="000000"/>
                <w:sz w:val="18"/>
                <w:szCs w:val="18"/>
                <w:lang w:val="en-US"/>
              </w:rPr>
              <w:t>% of Effort</w:t>
            </w:r>
          </w:p>
        </w:tc>
        <w:tc>
          <w:tcPr>
            <w:tcW w:w="0" w:type="auto"/>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54B4A344" w14:textId="77777777">
            <w:pPr>
              <w:jc w:val="center"/>
              <w:rPr>
                <w:sz w:val="18"/>
                <w:szCs w:val="18"/>
                <w:lang w:val="en-US"/>
              </w:rPr>
            </w:pPr>
            <w:r w:rsidRPr="00977551">
              <w:rPr>
                <w:rFonts w:ascii="Calibri" w:hAnsi="Calibri" w:cs="Calibri"/>
                <w:b/>
                <w:bCs/>
                <w:color w:val="000000"/>
                <w:sz w:val="18"/>
                <w:szCs w:val="18"/>
                <w:lang w:val="en-US"/>
              </w:rPr>
              <w:t>Fringe (if Applicable)</w:t>
            </w:r>
          </w:p>
        </w:tc>
        <w:tc>
          <w:tcPr>
            <w:tcW w:w="0" w:type="auto"/>
            <w:tcBorders>
              <w:top w:val="single" w:sz="8" w:space="0" w:color="000000"/>
              <w:left w:val="single" w:sz="8" w:space="0" w:color="000000"/>
              <w:bottom w:val="single" w:sz="4" w:space="0" w:color="000000"/>
              <w:right w:val="single" w:sz="8" w:space="0" w:color="000000"/>
            </w:tcBorders>
            <w:shd w:val="clear" w:color="auto" w:fill="BDD7EE"/>
            <w:tcMar>
              <w:top w:w="0" w:type="dxa"/>
              <w:left w:w="115" w:type="dxa"/>
              <w:bottom w:w="0" w:type="dxa"/>
              <w:right w:w="115" w:type="dxa"/>
            </w:tcMar>
            <w:vAlign w:val="center"/>
            <w:hideMark/>
          </w:tcPr>
          <w:p w:rsidR="0052681F" w:rsidRPr="00977551" w:rsidP="00091B2E" w14:paraId="30E85181" w14:textId="77777777">
            <w:pPr>
              <w:jc w:val="center"/>
              <w:rPr>
                <w:sz w:val="18"/>
                <w:szCs w:val="18"/>
                <w:lang w:val="en-US"/>
              </w:rPr>
            </w:pPr>
            <w:r w:rsidRPr="00977551">
              <w:rPr>
                <w:rFonts w:ascii="Calibri" w:hAnsi="Calibri" w:cs="Calibri"/>
                <w:b/>
                <w:bCs/>
                <w:color w:val="000000"/>
                <w:sz w:val="18"/>
                <w:szCs w:val="18"/>
                <w:lang w:val="en-US"/>
              </w:rPr>
              <w:t>Total Cost to Government</w:t>
            </w:r>
          </w:p>
        </w:tc>
      </w:tr>
      <w:tr w14:paraId="0E79F014" w14:textId="77777777" w:rsidTr="00977551">
        <w:tblPrEx>
          <w:tblW w:w="0" w:type="auto"/>
          <w:jc w:val="center"/>
          <w:tblCellMar>
            <w:top w:w="15" w:type="dxa"/>
            <w:left w:w="15" w:type="dxa"/>
            <w:bottom w:w="15" w:type="dxa"/>
            <w:right w:w="15" w:type="dxa"/>
          </w:tblCellMar>
          <w:tblLook w:val="04A0"/>
        </w:tblPrEx>
        <w:trPr>
          <w:trHeight w:val="465"/>
          <w:jc w:val="center"/>
        </w:trPr>
        <w:tc>
          <w:tcPr>
            <w:tcW w:w="0" w:type="auto"/>
            <w:tcBorders>
              <w:top w:val="single" w:sz="4"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12DEBCBA" w14:textId="77777777">
            <w:pPr>
              <w:rPr>
                <w:sz w:val="18"/>
                <w:szCs w:val="18"/>
                <w:lang w:val="en-US"/>
              </w:rPr>
            </w:pPr>
            <w:r w:rsidRPr="00977551">
              <w:rPr>
                <w:rFonts w:ascii="Calibri" w:hAnsi="Calibri" w:cs="Calibri"/>
                <w:b/>
                <w:bCs/>
                <w:color w:val="000000"/>
                <w:sz w:val="18"/>
                <w:szCs w:val="18"/>
                <w:lang w:val="en-US"/>
              </w:rPr>
              <w:t>Federal Oversight</w:t>
            </w:r>
          </w:p>
        </w:tc>
        <w:tc>
          <w:tcPr>
            <w:tcW w:w="1306" w:type="dxa"/>
            <w:tcBorders>
              <w:top w:val="single" w:sz="4" w:space="0" w:color="000000"/>
              <w:left w:val="single" w:sz="8"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05FAD682" w14:textId="49DA229B">
            <w:pPr>
              <w:jc w:val="center"/>
              <w:rPr>
                <w:sz w:val="18"/>
                <w:szCs w:val="18"/>
                <w:lang w:val="en-US"/>
              </w:rPr>
            </w:pPr>
            <w:r w:rsidRPr="00977551">
              <w:rPr>
                <w:rFonts w:ascii="Calibri" w:hAnsi="Calibri" w:cs="Calibri"/>
                <w:color w:val="000000"/>
                <w:sz w:val="18"/>
                <w:szCs w:val="18"/>
                <w:lang w:val="en-US"/>
              </w:rPr>
              <w:t>GS10/ Step 8</w:t>
            </w:r>
          </w:p>
        </w:tc>
        <w:tc>
          <w:tcPr>
            <w:tcW w:w="15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P="00091B2E" w14:paraId="58ACF8B3" w14:textId="77777777">
            <w:pPr>
              <w:jc w:val="center"/>
              <w:rPr>
                <w:rFonts w:ascii="Calibri" w:hAnsi="Calibri" w:cs="Calibri"/>
                <w:color w:val="000000"/>
                <w:sz w:val="18"/>
                <w:szCs w:val="18"/>
                <w:lang w:val="en-US"/>
              </w:rPr>
            </w:pPr>
            <w:r w:rsidRPr="00977551">
              <w:rPr>
                <w:rFonts w:ascii="Calibri" w:hAnsi="Calibri" w:cs="Calibri"/>
                <w:color w:val="000000"/>
                <w:sz w:val="18"/>
                <w:szCs w:val="18"/>
                <w:lang w:val="en-US"/>
              </w:rPr>
              <w:t>$125,738</w:t>
            </w:r>
            <w:r w:rsidR="00977551">
              <w:rPr>
                <w:rFonts w:ascii="Calibri" w:hAnsi="Calibri" w:cs="Calibri"/>
                <w:color w:val="000000"/>
                <w:sz w:val="18"/>
                <w:szCs w:val="18"/>
                <w:lang w:val="en-US"/>
              </w:rPr>
              <w:t xml:space="preserve"> (annual)</w:t>
            </w:r>
          </w:p>
          <w:p w:rsidR="00977551" w:rsidRPr="00977551" w:rsidP="00091B2E" w14:paraId="0303EFC7" w14:textId="3495556B">
            <w:pPr>
              <w:jc w:val="center"/>
              <w:rPr>
                <w:sz w:val="18"/>
                <w:szCs w:val="18"/>
                <w:lang w:val="en-US"/>
              </w:rPr>
            </w:pPr>
            <w:r>
              <w:rPr>
                <w:rFonts w:ascii="Calibri" w:hAnsi="Calibri" w:cs="Calibri"/>
                <w:color w:val="000000"/>
                <w:sz w:val="18"/>
                <w:szCs w:val="18"/>
                <w:lang w:val="en-US"/>
              </w:rPr>
              <w:t>$60.45 (hourly)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491261C3" w14:textId="64DA3F01">
            <w:pPr>
              <w:jc w:val="center"/>
              <w:rPr>
                <w:sz w:val="18"/>
                <w:szCs w:val="18"/>
                <w:lang w:val="en-US"/>
              </w:rPr>
            </w:pPr>
            <w:r w:rsidRPr="00977551">
              <w:rPr>
                <w:rFonts w:ascii="Calibri" w:hAnsi="Calibri" w:cs="Calibri"/>
                <w:color w:val="000000"/>
                <w:sz w:val="18"/>
                <w:szCs w:val="18"/>
                <w:lang w:val="en-US"/>
              </w:rPr>
              <w:t>0.</w:t>
            </w:r>
            <w:r w:rsidR="003B3E18">
              <w:rPr>
                <w:rFonts w:ascii="Calibri" w:hAnsi="Calibri" w:cs="Calibri"/>
                <w:color w:val="000000"/>
                <w:sz w:val="18"/>
                <w:szCs w:val="18"/>
                <w:lang w:val="en-US"/>
              </w:rPr>
              <w:t>922</w:t>
            </w:r>
            <w:r w:rsidRPr="00977551">
              <w:rPr>
                <w:rFonts w:ascii="Calibri" w:hAnsi="Calibri" w:cs="Calibri"/>
                <w:color w:val="000000"/>
                <w:sz w:val="18"/>
                <w:szCs w:val="18"/>
                <w:lang w:val="en-US"/>
              </w:rPr>
              <w:t>%</w:t>
            </w:r>
          </w:p>
        </w:tc>
        <w:tc>
          <w:tcPr>
            <w:tcW w:w="0" w:type="auto"/>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613D3FB8" w14:textId="0D772250">
            <w:pPr>
              <w:jc w:val="center"/>
              <w:rPr>
                <w:sz w:val="18"/>
                <w:szCs w:val="18"/>
                <w:lang w:val="en-US"/>
              </w:rPr>
            </w:pPr>
          </w:p>
        </w:tc>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05C26A70" w14:textId="24475898">
            <w:pPr>
              <w:jc w:val="center"/>
              <w:rPr>
                <w:sz w:val="18"/>
                <w:szCs w:val="18"/>
                <w:lang w:val="en-US"/>
              </w:rPr>
            </w:pPr>
            <w:r>
              <w:rPr>
                <w:sz w:val="18"/>
                <w:szCs w:val="18"/>
                <w:lang w:val="en-US"/>
              </w:rPr>
              <w:t>$ 1,159</w:t>
            </w:r>
          </w:p>
        </w:tc>
      </w:tr>
      <w:tr w14:paraId="6581B68C" w14:textId="77777777" w:rsidTr="00977551">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4"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76FBFB3D" w14:textId="77777777">
            <w:pPr>
              <w:rPr>
                <w:sz w:val="18"/>
                <w:szCs w:val="18"/>
                <w:lang w:val="en-US"/>
              </w:rPr>
            </w:pPr>
            <w:r w:rsidRPr="00977551">
              <w:rPr>
                <w:rFonts w:ascii="Calibri" w:hAnsi="Calibri" w:cs="Calibri"/>
                <w:color w:val="000000"/>
                <w:sz w:val="18"/>
                <w:szCs w:val="18"/>
                <w:lang w:val="en-US"/>
              </w:rPr>
              <w:t>Other Federal Positions</w:t>
            </w:r>
          </w:p>
        </w:tc>
        <w:tc>
          <w:tcPr>
            <w:tcW w:w="1306" w:type="dxa"/>
            <w:tcBorders>
              <w:top w:val="single" w:sz="4" w:space="0" w:color="000000"/>
              <w:left w:val="single" w:sz="8"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3BE25A68" w14:textId="02CBB713">
            <w:pPr>
              <w:jc w:val="center"/>
              <w:rPr>
                <w:sz w:val="18"/>
                <w:szCs w:val="18"/>
                <w:lang w:val="en-US"/>
              </w:rPr>
            </w:pPr>
          </w:p>
        </w:tc>
        <w:tc>
          <w:tcPr>
            <w:tcW w:w="15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75B31C5F" w14:textId="5C3B0A26">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73546B7C" w14:textId="60014120">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08AC615F" w14:textId="2B2C59FE">
            <w:pPr>
              <w:jc w:val="center"/>
              <w:rPr>
                <w:sz w:val="18"/>
                <w:szCs w:val="18"/>
                <w:lang w:val="en-US"/>
              </w:rPr>
            </w:pPr>
          </w:p>
        </w:tc>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58202D96" w14:textId="5F85384B">
            <w:pPr>
              <w:jc w:val="center"/>
              <w:rPr>
                <w:sz w:val="18"/>
                <w:szCs w:val="18"/>
                <w:lang w:val="en-US"/>
              </w:rPr>
            </w:pPr>
          </w:p>
        </w:tc>
      </w:tr>
      <w:tr w14:paraId="352DCFA5" w14:textId="77777777" w:rsidTr="00091B2E">
        <w:tblPrEx>
          <w:tblW w:w="0" w:type="auto"/>
          <w:jc w:val="center"/>
          <w:tblCellMar>
            <w:top w:w="15" w:type="dxa"/>
            <w:left w:w="15" w:type="dxa"/>
            <w:bottom w:w="15" w:type="dxa"/>
            <w:right w:w="15" w:type="dxa"/>
          </w:tblCellMar>
          <w:tblLook w:val="04A0"/>
        </w:tblPrEx>
        <w:trPr>
          <w:trHeight w:val="305"/>
          <w:jc w:val="center"/>
        </w:trPr>
        <w:tc>
          <w:tcPr>
            <w:tcW w:w="0" w:type="auto"/>
            <w:tcBorders>
              <w:top w:val="single" w:sz="4"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65B0A91B" w14:textId="77777777">
            <w:pPr>
              <w:rPr>
                <w:sz w:val="18"/>
                <w:szCs w:val="18"/>
                <w:lang w:val="en-US"/>
              </w:rPr>
            </w:pPr>
            <w:r w:rsidRPr="00977551">
              <w:rPr>
                <w:rFonts w:ascii="Calibri" w:hAnsi="Calibri" w:cs="Calibri"/>
                <w:b/>
                <w:bCs/>
                <w:color w:val="000000"/>
                <w:sz w:val="18"/>
                <w:szCs w:val="18"/>
                <w:lang w:val="en-US"/>
              </w:rPr>
              <w:t>Contractor Cost</w:t>
            </w:r>
          </w:p>
        </w:tc>
        <w:tc>
          <w:tcPr>
            <w:tcW w:w="1306" w:type="dxa"/>
            <w:tcBorders>
              <w:top w:val="single" w:sz="4" w:space="0" w:color="000000"/>
              <w:left w:val="single" w:sz="8"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4554537D" w14:textId="14CD78FB">
            <w:pPr>
              <w:jc w:val="center"/>
              <w:rPr>
                <w:sz w:val="18"/>
                <w:szCs w:val="18"/>
                <w:lang w:val="en-US"/>
              </w:rPr>
            </w:pPr>
          </w:p>
        </w:tc>
        <w:tc>
          <w:tcPr>
            <w:tcW w:w="15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4F13C4B7" w14:textId="29A6DF98">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446E864F" w14:textId="01DC9CB8">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2681F" w:rsidRPr="00977551" w:rsidP="00091B2E" w14:paraId="5F2358C4" w14:textId="0774F1CC">
            <w:pPr>
              <w:jc w:val="center"/>
              <w:rPr>
                <w:sz w:val="18"/>
                <w:szCs w:val="18"/>
                <w:lang w:val="en-US"/>
              </w:rPr>
            </w:pPr>
          </w:p>
        </w:tc>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6A114FC3" w14:textId="2C6CE65F">
            <w:pPr>
              <w:jc w:val="center"/>
              <w:rPr>
                <w:sz w:val="18"/>
                <w:szCs w:val="18"/>
                <w:lang w:val="en-US"/>
              </w:rPr>
            </w:pPr>
          </w:p>
        </w:tc>
      </w:tr>
      <w:tr w14:paraId="30A9ECC3" w14:textId="77777777" w:rsidTr="00977551">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4"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5B976993" w14:textId="77777777">
            <w:pPr>
              <w:rPr>
                <w:sz w:val="18"/>
                <w:szCs w:val="18"/>
                <w:lang w:val="en-US"/>
              </w:rPr>
            </w:pPr>
            <w:r w:rsidRPr="00977551">
              <w:rPr>
                <w:rFonts w:ascii="Calibri" w:hAnsi="Calibri" w:cs="Calibri"/>
                <w:b/>
                <w:bCs/>
                <w:color w:val="000000"/>
                <w:sz w:val="18"/>
                <w:szCs w:val="18"/>
                <w:lang w:val="en-US"/>
              </w:rPr>
              <w:t>Travel</w:t>
            </w:r>
          </w:p>
        </w:tc>
        <w:tc>
          <w:tcPr>
            <w:tcW w:w="1306" w:type="dxa"/>
            <w:tcBorders>
              <w:top w:val="single" w:sz="4" w:space="0" w:color="000000"/>
              <w:left w:val="single" w:sz="8"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5ABA0D0F" w14:textId="68CE8B03">
            <w:pPr>
              <w:jc w:val="center"/>
              <w:rPr>
                <w:sz w:val="18"/>
                <w:szCs w:val="18"/>
                <w:lang w:val="en-US"/>
              </w:rPr>
            </w:pPr>
          </w:p>
        </w:tc>
        <w:tc>
          <w:tcPr>
            <w:tcW w:w="1565" w:type="dxa"/>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2E93DE6E" w14:textId="56B7F21B">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79C8DD9A" w14:textId="69CFC947">
            <w:pPr>
              <w:jc w:val="center"/>
              <w:rPr>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29EA4D44" w14:textId="63698FF8">
            <w:pPr>
              <w:jc w:val="center"/>
              <w:rPr>
                <w:sz w:val="18"/>
                <w:szCs w:val="18"/>
                <w:lang w:val="en-US"/>
              </w:rPr>
            </w:pPr>
          </w:p>
        </w:tc>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vAlign w:val="center"/>
            <w:hideMark/>
          </w:tcPr>
          <w:p w:rsidR="0052681F" w:rsidRPr="00977551" w:rsidP="00091B2E" w14:paraId="1CA2E7F9" w14:textId="63C4FB80">
            <w:pPr>
              <w:jc w:val="center"/>
              <w:rPr>
                <w:sz w:val="18"/>
                <w:szCs w:val="18"/>
                <w:lang w:val="en-US"/>
              </w:rPr>
            </w:pPr>
          </w:p>
        </w:tc>
      </w:tr>
      <w:tr w14:paraId="7ADA1F7D" w14:textId="77777777" w:rsidTr="00977551">
        <w:tblPrEx>
          <w:tblW w:w="0" w:type="auto"/>
          <w:jc w:val="center"/>
          <w:tblCellMar>
            <w:top w:w="15" w:type="dxa"/>
            <w:left w:w="15" w:type="dxa"/>
            <w:bottom w:w="15" w:type="dxa"/>
            <w:right w:w="15" w:type="dxa"/>
          </w:tblCellMar>
          <w:tblLook w:val="04A0"/>
        </w:tblPrEx>
        <w:trPr>
          <w:trHeight w:val="332"/>
          <w:jc w:val="center"/>
        </w:trPr>
        <w:tc>
          <w:tcPr>
            <w:tcW w:w="0" w:type="auto"/>
            <w:tcBorders>
              <w:top w:val="single" w:sz="4"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52681F" w:rsidRPr="00977551" w:rsidP="00091B2E" w14:paraId="01ECBC40" w14:textId="76AB3245">
            <w:pPr>
              <w:rPr>
                <w:sz w:val="18"/>
                <w:szCs w:val="18"/>
                <w:lang w:val="en-US"/>
              </w:rPr>
            </w:pPr>
            <w:r w:rsidRPr="00977551">
              <w:rPr>
                <w:rFonts w:ascii="Calibri" w:hAnsi="Calibri" w:cs="Calibri"/>
                <w:b/>
                <w:bCs/>
                <w:color w:val="000000"/>
                <w:sz w:val="18"/>
                <w:szCs w:val="18"/>
                <w:lang w:val="en-US"/>
              </w:rPr>
              <w:t>Other Costs:</w:t>
            </w:r>
            <w:r w:rsidR="003B3E18">
              <w:rPr>
                <w:rFonts w:ascii="Calibri" w:hAnsi="Calibri" w:cs="Calibri"/>
                <w:b/>
                <w:bCs/>
                <w:color w:val="000000"/>
                <w:sz w:val="18"/>
                <w:szCs w:val="18"/>
                <w:lang w:val="en-US"/>
              </w:rPr>
              <w:t xml:space="preserve"> postage &amp; printing</w:t>
            </w:r>
          </w:p>
        </w:tc>
        <w:tc>
          <w:tcPr>
            <w:tcW w:w="1306" w:type="dxa"/>
            <w:tcBorders>
              <w:top w:val="single" w:sz="4" w:space="0" w:color="000000"/>
              <w:left w:val="single" w:sz="8" w:space="0" w:color="000000"/>
              <w:bottom w:val="single" w:sz="8"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71FE9AB2" w14:textId="43E11CDB">
            <w:pPr>
              <w:jc w:val="center"/>
              <w:rPr>
                <w:sz w:val="18"/>
                <w:szCs w:val="18"/>
                <w:lang w:val="en-US"/>
              </w:rPr>
            </w:pPr>
          </w:p>
        </w:tc>
        <w:tc>
          <w:tcPr>
            <w:tcW w:w="1565" w:type="dxa"/>
            <w:tcBorders>
              <w:top w:val="single" w:sz="4" w:space="0" w:color="000000"/>
              <w:left w:val="single" w:sz="4" w:space="0" w:color="000000"/>
              <w:bottom w:val="single" w:sz="8"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4F818864" w14:textId="2E1CE2A3">
            <w:pPr>
              <w:jc w:val="center"/>
              <w:rPr>
                <w:sz w:val="18"/>
                <w:szCs w:val="18"/>
                <w:lang w:val="en-US"/>
              </w:rPr>
            </w:pPr>
          </w:p>
        </w:tc>
        <w:tc>
          <w:tcPr>
            <w:tcW w:w="0" w:type="auto"/>
            <w:tcBorders>
              <w:top w:val="single" w:sz="4" w:space="0" w:color="000000"/>
              <w:left w:val="single" w:sz="4" w:space="0" w:color="000000"/>
              <w:bottom w:val="single" w:sz="8"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375A3A1F" w14:textId="252F6254">
            <w:pPr>
              <w:jc w:val="center"/>
              <w:rPr>
                <w:sz w:val="18"/>
                <w:szCs w:val="18"/>
                <w:lang w:val="en-US"/>
              </w:rPr>
            </w:pPr>
          </w:p>
        </w:tc>
        <w:tc>
          <w:tcPr>
            <w:tcW w:w="0" w:type="auto"/>
            <w:tcBorders>
              <w:top w:val="single" w:sz="4" w:space="0" w:color="000000"/>
              <w:left w:val="single" w:sz="4" w:space="0" w:color="000000"/>
              <w:bottom w:val="single" w:sz="8" w:space="0" w:color="000000"/>
              <w:right w:val="single" w:sz="4" w:space="0" w:color="000000"/>
            </w:tcBorders>
            <w:shd w:val="clear" w:color="auto" w:fill="808080"/>
            <w:tcMar>
              <w:top w:w="0" w:type="dxa"/>
              <w:left w:w="115" w:type="dxa"/>
              <w:bottom w:w="0" w:type="dxa"/>
              <w:right w:w="115" w:type="dxa"/>
            </w:tcMar>
            <w:vAlign w:val="center"/>
            <w:hideMark/>
          </w:tcPr>
          <w:p w:rsidR="0052681F" w:rsidRPr="00977551" w:rsidP="00091B2E" w14:paraId="1B749047" w14:textId="25DC0590">
            <w:pPr>
              <w:jc w:val="center"/>
              <w:rPr>
                <w:sz w:val="18"/>
                <w:szCs w:val="18"/>
                <w:lang w:val="en-US"/>
              </w:rPr>
            </w:pPr>
          </w:p>
        </w:tc>
        <w:tc>
          <w:tcPr>
            <w:tcW w:w="0" w:type="auto"/>
            <w:tcBorders>
              <w:top w:val="single" w:sz="4" w:space="0" w:color="000000"/>
              <w:left w:val="single" w:sz="4" w:space="0" w:color="000000"/>
              <w:bottom w:val="single" w:sz="8" w:space="0" w:color="000000"/>
              <w:right w:val="single" w:sz="8" w:space="0" w:color="000000"/>
            </w:tcBorders>
            <w:tcMar>
              <w:top w:w="0" w:type="dxa"/>
              <w:left w:w="115" w:type="dxa"/>
              <w:bottom w:w="0" w:type="dxa"/>
              <w:right w:w="115" w:type="dxa"/>
            </w:tcMar>
            <w:vAlign w:val="center"/>
            <w:hideMark/>
          </w:tcPr>
          <w:p w:rsidR="0052681F" w:rsidRPr="00977551" w:rsidP="00091B2E" w14:paraId="61CFC58A" w14:textId="76C8ED2C">
            <w:pPr>
              <w:jc w:val="center"/>
              <w:rPr>
                <w:sz w:val="18"/>
                <w:szCs w:val="18"/>
                <w:lang w:val="en-US"/>
              </w:rPr>
            </w:pPr>
            <w:r>
              <w:rPr>
                <w:sz w:val="18"/>
                <w:szCs w:val="18"/>
                <w:lang w:val="en-US"/>
              </w:rPr>
              <w:t>$ 18</w:t>
            </w:r>
          </w:p>
        </w:tc>
      </w:tr>
      <w:tr w14:paraId="65EAFF37" w14:textId="77777777" w:rsidTr="00977551">
        <w:tblPrEx>
          <w:tblW w:w="0" w:type="auto"/>
          <w:jc w:val="center"/>
          <w:tblCellMar>
            <w:top w:w="15" w:type="dxa"/>
            <w:left w:w="15" w:type="dxa"/>
            <w:bottom w:w="15" w:type="dxa"/>
            <w:right w:w="15" w:type="dxa"/>
          </w:tblCellMar>
          <w:tblLook w:val="04A0"/>
        </w:tblPrEx>
        <w:trPr>
          <w:trHeight w:val="315"/>
          <w:jc w:val="center"/>
        </w:trPr>
        <w:tc>
          <w:tcPr>
            <w:tcW w:w="0" w:type="auto"/>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hideMark/>
          </w:tcPr>
          <w:p w:rsidR="0052681F" w:rsidRPr="00977551" w:rsidP="00091B2E" w14:paraId="1CF6EEE1" w14:textId="77777777">
            <w:pPr>
              <w:jc w:val="center"/>
              <w:rPr>
                <w:sz w:val="18"/>
                <w:szCs w:val="18"/>
                <w:lang w:val="en-US"/>
              </w:rPr>
            </w:pPr>
            <w:r w:rsidRPr="00977551">
              <w:rPr>
                <w:rFonts w:ascii="Calibri" w:hAnsi="Calibri" w:cs="Calibri"/>
                <w:b/>
                <w:bCs/>
                <w:color w:val="000000"/>
                <w:sz w:val="18"/>
                <w:szCs w:val="18"/>
                <w:lang w:val="en-US"/>
              </w:rPr>
              <w:t>TOTAL</w:t>
            </w:r>
          </w:p>
        </w:tc>
        <w:tc>
          <w:tcPr>
            <w:tcW w:w="1306" w:type="dxa"/>
            <w:tcBorders>
              <w:top w:val="single" w:sz="8" w:space="0" w:color="000000"/>
              <w:left w:val="single" w:sz="8" w:space="0" w:color="000000"/>
              <w:bottom w:val="single" w:sz="8" w:space="0" w:color="000000"/>
              <w:right w:val="single" w:sz="8" w:space="0" w:color="000000"/>
            </w:tcBorders>
            <w:shd w:val="clear" w:color="auto" w:fill="808080"/>
            <w:tcMar>
              <w:top w:w="0" w:type="dxa"/>
              <w:left w:w="115" w:type="dxa"/>
              <w:bottom w:w="0" w:type="dxa"/>
              <w:right w:w="115" w:type="dxa"/>
            </w:tcMar>
            <w:vAlign w:val="center"/>
            <w:hideMark/>
          </w:tcPr>
          <w:p w:rsidR="0052681F" w:rsidRPr="00977551" w:rsidP="00091B2E" w14:paraId="4836F9F1" w14:textId="72886451">
            <w:pPr>
              <w:jc w:val="center"/>
              <w:rPr>
                <w:sz w:val="18"/>
                <w:szCs w:val="18"/>
                <w:lang w:val="en-US"/>
              </w:rPr>
            </w:pPr>
          </w:p>
        </w:tc>
        <w:tc>
          <w:tcPr>
            <w:tcW w:w="1565" w:type="dxa"/>
            <w:tcBorders>
              <w:top w:val="single" w:sz="8" w:space="0" w:color="000000"/>
              <w:left w:val="single" w:sz="8" w:space="0" w:color="000000"/>
              <w:bottom w:val="single" w:sz="8" w:space="0" w:color="000000"/>
              <w:right w:val="single" w:sz="8" w:space="0" w:color="000000"/>
            </w:tcBorders>
            <w:shd w:val="clear" w:color="auto" w:fill="808080"/>
            <w:tcMar>
              <w:top w:w="0" w:type="dxa"/>
              <w:left w:w="115" w:type="dxa"/>
              <w:bottom w:w="0" w:type="dxa"/>
              <w:right w:w="115" w:type="dxa"/>
            </w:tcMar>
            <w:vAlign w:val="center"/>
            <w:hideMark/>
          </w:tcPr>
          <w:p w:rsidR="0052681F" w:rsidRPr="00977551" w:rsidP="00091B2E" w14:paraId="001F61FB" w14:textId="757D7A66">
            <w:pPr>
              <w:jc w:val="center"/>
              <w:rPr>
                <w:sz w:val="18"/>
                <w:szCs w:val="18"/>
                <w:lang w:val="en-US"/>
              </w:rPr>
            </w:pPr>
          </w:p>
        </w:tc>
        <w:tc>
          <w:tcPr>
            <w:tcW w:w="0" w:type="auto"/>
            <w:tcBorders>
              <w:top w:val="single" w:sz="8" w:space="0" w:color="000000"/>
              <w:left w:val="single" w:sz="8" w:space="0" w:color="000000"/>
              <w:bottom w:val="single" w:sz="8" w:space="0" w:color="000000"/>
              <w:right w:val="single" w:sz="8" w:space="0" w:color="000000"/>
            </w:tcBorders>
            <w:shd w:val="clear" w:color="auto" w:fill="757171"/>
            <w:tcMar>
              <w:top w:w="0" w:type="dxa"/>
              <w:left w:w="115" w:type="dxa"/>
              <w:bottom w:w="0" w:type="dxa"/>
              <w:right w:w="115" w:type="dxa"/>
            </w:tcMar>
            <w:vAlign w:val="center"/>
            <w:hideMark/>
          </w:tcPr>
          <w:p w:rsidR="0052681F" w:rsidRPr="00977551" w:rsidP="00091B2E" w14:paraId="4EFE7BFA" w14:textId="69CD885F">
            <w:pPr>
              <w:jc w:val="center"/>
              <w:rPr>
                <w:sz w:val="18"/>
                <w:szCs w:val="18"/>
                <w:lang w:val="en-US"/>
              </w:rPr>
            </w:pPr>
          </w:p>
        </w:tc>
        <w:tc>
          <w:tcPr>
            <w:tcW w:w="0" w:type="auto"/>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hideMark/>
          </w:tcPr>
          <w:p w:rsidR="0052681F" w:rsidRPr="00977551" w:rsidP="00091B2E" w14:paraId="13E6FC97" w14:textId="0CF5A551">
            <w:pPr>
              <w:jc w:val="center"/>
              <w:rPr>
                <w:b/>
                <w:bCs/>
                <w:sz w:val="18"/>
                <w:szCs w:val="18"/>
                <w:lang w:val="en-US"/>
              </w:rPr>
            </w:pPr>
          </w:p>
        </w:tc>
        <w:tc>
          <w:tcPr>
            <w:tcW w:w="0" w:type="auto"/>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hideMark/>
          </w:tcPr>
          <w:p w:rsidR="0052681F" w:rsidRPr="00977551" w:rsidP="00091B2E" w14:paraId="1F74FBC2" w14:textId="44F2736A">
            <w:pPr>
              <w:jc w:val="center"/>
              <w:rPr>
                <w:b/>
                <w:bCs/>
                <w:sz w:val="18"/>
                <w:szCs w:val="18"/>
                <w:lang w:val="en-US"/>
              </w:rPr>
            </w:pPr>
            <w:r w:rsidRPr="00977551">
              <w:rPr>
                <w:rFonts w:ascii="Calibri" w:hAnsi="Calibri" w:cs="Calibri"/>
                <w:b/>
                <w:bCs/>
                <w:color w:val="000000"/>
                <w:sz w:val="18"/>
                <w:szCs w:val="18"/>
                <w:lang w:val="en-US"/>
              </w:rPr>
              <w:t>$</w:t>
            </w:r>
            <w:r w:rsidR="003B3E18">
              <w:rPr>
                <w:rFonts w:ascii="Calibri" w:hAnsi="Calibri" w:cs="Calibri"/>
                <w:b/>
                <w:bCs/>
                <w:color w:val="000000"/>
                <w:sz w:val="18"/>
                <w:szCs w:val="18"/>
                <w:lang w:val="en-US"/>
              </w:rPr>
              <w:t xml:space="preserve"> 1,177</w:t>
            </w:r>
          </w:p>
        </w:tc>
      </w:tr>
    </w:tbl>
    <w:p w:rsidR="0052681F" w:rsidRPr="00977551" w:rsidP="00091B2E" w14:paraId="1B32C5C3" w14:textId="286A8587">
      <w:pPr>
        <w:spacing w:before="240"/>
      </w:pPr>
      <w:r w:rsidRPr="00977551">
        <w:t>*OPM's General Schedule (GS) table for the Rest of U.S. locality was used since NOAA employees are geographically dispersed.  Step 8 was used as the base salary and a multiplier of 1.5 was used to calculate the loaded salary.</w:t>
      </w:r>
      <w:r w:rsidRPr="00977551" w:rsidR="00977551">
        <w:t xml:space="preserve"> The hourly rate was determined by dividing the annual loaded salary by 2,080 hours.</w:t>
      </w:r>
    </w:p>
    <w:p w:rsidR="0071234A" w:rsidP="00091B2E" w14:paraId="575370F8" w14:textId="77777777">
      <w:pPr>
        <w:spacing w:before="240"/>
        <w:rPr>
          <w:sz w:val="24"/>
          <w:szCs w:val="24"/>
        </w:rPr>
      </w:pPr>
    </w:p>
    <w:tbl>
      <w:tblPr>
        <w:tblStyle w:val="a1"/>
        <w:tblW w:w="97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308"/>
        <w:gridCol w:w="924"/>
        <w:gridCol w:w="1266"/>
        <w:gridCol w:w="1022"/>
        <w:gridCol w:w="1123"/>
        <w:gridCol w:w="1067"/>
      </w:tblGrid>
      <w:tr w14:paraId="7C9BBBAE" w14:textId="77777777" w:rsidTr="00D643ED">
        <w:tblPrEx>
          <w:tblW w:w="97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9710" w:type="dxa"/>
            <w:gridSpan w:val="6"/>
            <w:tcBorders>
              <w:bottom w:val="single" w:sz="4" w:space="0" w:color="000000"/>
            </w:tcBorders>
            <w:vAlign w:val="center"/>
          </w:tcPr>
          <w:p w:rsidR="00727421" w:rsidP="00091B2E" w14:paraId="1A1D99A3" w14:textId="77777777">
            <w:pPr>
              <w:jc w:val="center"/>
              <w:rPr>
                <w:b/>
                <w:bCs/>
                <w:sz w:val="24"/>
                <w:szCs w:val="24"/>
              </w:rPr>
            </w:pPr>
            <w:r>
              <w:rPr>
                <w:b/>
                <w:bCs/>
                <w:sz w:val="24"/>
                <w:szCs w:val="24"/>
              </w:rPr>
              <w:t>Table 2 – Government Cost</w:t>
            </w:r>
          </w:p>
        </w:tc>
      </w:tr>
      <w:tr w14:paraId="3A27EEBD" w14:textId="77777777" w:rsidTr="00D643ED">
        <w:tblPrEx>
          <w:tblW w:w="9710" w:type="dxa"/>
          <w:tblInd w:w="0" w:type="dxa"/>
          <w:tblLayout w:type="fixed"/>
          <w:tblLook w:val="0400"/>
        </w:tblPrEx>
        <w:tc>
          <w:tcPr>
            <w:tcW w:w="4308" w:type="dxa"/>
            <w:shd w:val="clear" w:color="auto" w:fill="BFBFBF"/>
            <w:vAlign w:val="center"/>
          </w:tcPr>
          <w:p w:rsidR="00727421" w:rsidP="00091B2E" w14:paraId="7D7C0EA0" w14:textId="77777777">
            <w:pPr>
              <w:jc w:val="center"/>
              <w:rPr>
                <w:b/>
                <w:bCs/>
              </w:rPr>
            </w:pPr>
            <w:r>
              <w:rPr>
                <w:b/>
                <w:bCs/>
              </w:rPr>
              <w:t>Requirements</w:t>
            </w:r>
          </w:p>
        </w:tc>
        <w:tc>
          <w:tcPr>
            <w:tcW w:w="924" w:type="dxa"/>
            <w:shd w:val="clear" w:color="auto" w:fill="BFBFBF"/>
            <w:vAlign w:val="center"/>
          </w:tcPr>
          <w:p w:rsidR="00727421" w:rsidP="00091B2E" w14:paraId="1B49F941" w14:textId="77777777">
            <w:pPr>
              <w:jc w:val="center"/>
              <w:rPr>
                <w:b/>
                <w:bCs/>
              </w:rPr>
            </w:pPr>
            <w:r>
              <w:rPr>
                <w:b/>
                <w:bCs/>
              </w:rPr>
              <w:t># entities</w:t>
            </w:r>
          </w:p>
        </w:tc>
        <w:tc>
          <w:tcPr>
            <w:tcW w:w="1266" w:type="dxa"/>
            <w:shd w:val="clear" w:color="auto" w:fill="BFBFBF"/>
            <w:vAlign w:val="center"/>
          </w:tcPr>
          <w:p w:rsidR="00727421" w:rsidP="00091B2E" w14:paraId="7FEBE017" w14:textId="77777777">
            <w:pPr>
              <w:jc w:val="center"/>
              <w:rPr>
                <w:b/>
                <w:bCs/>
              </w:rPr>
            </w:pPr>
            <w:r>
              <w:rPr>
                <w:b/>
                <w:bCs/>
              </w:rPr>
              <w:t>Items per entity</w:t>
            </w:r>
          </w:p>
        </w:tc>
        <w:tc>
          <w:tcPr>
            <w:tcW w:w="1022" w:type="dxa"/>
            <w:shd w:val="clear" w:color="auto" w:fill="BFBFBF"/>
            <w:vAlign w:val="center"/>
          </w:tcPr>
          <w:p w:rsidR="00727421" w:rsidP="00091B2E" w14:paraId="1700DC60" w14:textId="77777777">
            <w:pPr>
              <w:jc w:val="center"/>
              <w:rPr>
                <w:b/>
                <w:bCs/>
              </w:rPr>
            </w:pPr>
            <w:r>
              <w:rPr>
                <w:b/>
                <w:bCs/>
              </w:rPr>
              <w:t>Total Items</w:t>
            </w:r>
          </w:p>
        </w:tc>
        <w:tc>
          <w:tcPr>
            <w:tcW w:w="1123" w:type="dxa"/>
            <w:shd w:val="clear" w:color="auto" w:fill="BFBFBF"/>
            <w:vAlign w:val="center"/>
          </w:tcPr>
          <w:p w:rsidR="00727421" w:rsidP="00091B2E" w14:paraId="171318D5" w14:textId="77777777">
            <w:pPr>
              <w:jc w:val="center"/>
              <w:rPr>
                <w:b/>
                <w:bCs/>
              </w:rPr>
            </w:pPr>
            <w:r>
              <w:rPr>
                <w:b/>
                <w:bCs/>
              </w:rPr>
              <w:t>Cost per item</w:t>
            </w:r>
          </w:p>
        </w:tc>
        <w:tc>
          <w:tcPr>
            <w:tcW w:w="1067" w:type="dxa"/>
            <w:shd w:val="clear" w:color="auto" w:fill="BFBFBF"/>
            <w:vAlign w:val="center"/>
          </w:tcPr>
          <w:p w:rsidR="00727421" w:rsidP="00091B2E" w14:paraId="52AC6192" w14:textId="77777777">
            <w:pPr>
              <w:jc w:val="center"/>
              <w:rPr>
                <w:b/>
                <w:bCs/>
              </w:rPr>
            </w:pPr>
            <w:r>
              <w:rPr>
                <w:b/>
                <w:bCs/>
              </w:rPr>
              <w:t>Total cost</w:t>
            </w:r>
          </w:p>
        </w:tc>
      </w:tr>
      <w:tr w14:paraId="1703F323" w14:textId="77777777" w:rsidTr="00D643ED">
        <w:tblPrEx>
          <w:tblW w:w="9710" w:type="dxa"/>
          <w:tblInd w:w="0" w:type="dxa"/>
          <w:tblLayout w:type="fixed"/>
          <w:tblLook w:val="0400"/>
        </w:tblPrEx>
        <w:tc>
          <w:tcPr>
            <w:tcW w:w="4308" w:type="dxa"/>
            <w:vAlign w:val="center"/>
          </w:tcPr>
          <w:p w:rsidR="00727421" w:rsidP="00091B2E" w14:paraId="28FE9431" w14:textId="40F23559">
            <w:pPr>
              <w:rPr>
                <w:b/>
                <w:bCs/>
              </w:rPr>
            </w:pPr>
            <w:r>
              <w:rPr>
                <w:b/>
                <w:bCs/>
              </w:rPr>
              <w:t>IFQ Permit Application</w:t>
            </w:r>
          </w:p>
        </w:tc>
        <w:tc>
          <w:tcPr>
            <w:tcW w:w="924" w:type="dxa"/>
            <w:vAlign w:val="center"/>
          </w:tcPr>
          <w:p w:rsidR="00727421" w:rsidP="00091B2E" w14:paraId="4987D2DF" w14:textId="77777777">
            <w:pPr>
              <w:jc w:val="center"/>
            </w:pPr>
            <w:r>
              <w:t>13</w:t>
            </w:r>
          </w:p>
        </w:tc>
        <w:tc>
          <w:tcPr>
            <w:tcW w:w="1266" w:type="dxa"/>
            <w:vAlign w:val="center"/>
          </w:tcPr>
          <w:p w:rsidR="00727421" w:rsidP="00091B2E" w14:paraId="7AB1A241" w14:textId="77777777">
            <w:pPr>
              <w:jc w:val="center"/>
            </w:pPr>
            <w:r>
              <w:t>1</w:t>
            </w:r>
          </w:p>
        </w:tc>
        <w:tc>
          <w:tcPr>
            <w:tcW w:w="1022" w:type="dxa"/>
            <w:vAlign w:val="center"/>
          </w:tcPr>
          <w:p w:rsidR="00727421" w:rsidP="00091B2E" w14:paraId="0BAA9160" w14:textId="77777777">
            <w:pPr>
              <w:jc w:val="center"/>
            </w:pPr>
            <w:r>
              <w:t>13</w:t>
            </w:r>
          </w:p>
        </w:tc>
        <w:tc>
          <w:tcPr>
            <w:tcW w:w="1123" w:type="dxa"/>
            <w:vAlign w:val="center"/>
          </w:tcPr>
          <w:p w:rsidR="00727421" w:rsidP="00091B2E" w14:paraId="2997C9CC" w14:textId="12261599">
            <w:pPr>
              <w:jc w:val="center"/>
            </w:pPr>
            <w:r>
              <w:t xml:space="preserve">$ </w:t>
            </w:r>
            <w:r w:rsidR="00C35801">
              <w:t>80.58</w:t>
            </w:r>
          </w:p>
        </w:tc>
        <w:tc>
          <w:tcPr>
            <w:tcW w:w="1067" w:type="dxa"/>
            <w:vAlign w:val="center"/>
          </w:tcPr>
          <w:p w:rsidR="00727421" w:rsidP="00091B2E" w14:paraId="3F255A3F" w14:textId="055DABF8">
            <w:pPr>
              <w:jc w:val="center"/>
            </w:pPr>
            <w:r>
              <w:t xml:space="preserve">$ </w:t>
            </w:r>
            <w:r w:rsidR="004946DC">
              <w:t>786</w:t>
            </w:r>
          </w:p>
        </w:tc>
      </w:tr>
      <w:tr w14:paraId="176AD882" w14:textId="77777777" w:rsidTr="00D643ED">
        <w:tblPrEx>
          <w:tblW w:w="9710" w:type="dxa"/>
          <w:tblInd w:w="0" w:type="dxa"/>
          <w:tblLayout w:type="fixed"/>
          <w:tblLook w:val="0400"/>
        </w:tblPrEx>
        <w:tc>
          <w:tcPr>
            <w:tcW w:w="4308" w:type="dxa"/>
            <w:vAlign w:val="center"/>
          </w:tcPr>
          <w:p w:rsidR="00727421" w:rsidP="00091B2E" w14:paraId="0D934DCD" w14:textId="77777777">
            <w:pPr>
              <w:rPr>
                <w:b/>
                <w:bCs/>
              </w:rPr>
            </w:pPr>
            <w:r>
              <w:rPr>
                <w:b/>
                <w:bCs/>
              </w:rPr>
              <w:t>Ownership Cap Forms</w:t>
            </w:r>
          </w:p>
        </w:tc>
        <w:tc>
          <w:tcPr>
            <w:tcW w:w="924" w:type="dxa"/>
            <w:vAlign w:val="center"/>
          </w:tcPr>
          <w:p w:rsidR="00727421" w:rsidP="00091B2E" w14:paraId="671C5AE8" w14:textId="77777777">
            <w:pPr>
              <w:jc w:val="center"/>
            </w:pPr>
            <w:r>
              <w:t>13</w:t>
            </w:r>
          </w:p>
        </w:tc>
        <w:tc>
          <w:tcPr>
            <w:tcW w:w="1266" w:type="dxa"/>
            <w:vAlign w:val="center"/>
          </w:tcPr>
          <w:p w:rsidR="00727421" w:rsidP="00091B2E" w14:paraId="45D86147" w14:textId="77777777">
            <w:pPr>
              <w:jc w:val="center"/>
            </w:pPr>
            <w:r>
              <w:t>1</w:t>
            </w:r>
          </w:p>
        </w:tc>
        <w:tc>
          <w:tcPr>
            <w:tcW w:w="1022" w:type="dxa"/>
            <w:vAlign w:val="center"/>
          </w:tcPr>
          <w:p w:rsidR="00727421" w:rsidP="00091B2E" w14:paraId="1918C952" w14:textId="77777777">
            <w:pPr>
              <w:jc w:val="center"/>
            </w:pPr>
            <w:r>
              <w:t>13</w:t>
            </w:r>
          </w:p>
        </w:tc>
        <w:tc>
          <w:tcPr>
            <w:tcW w:w="1123" w:type="dxa"/>
            <w:vAlign w:val="center"/>
          </w:tcPr>
          <w:p w:rsidR="00727421" w:rsidP="00091B2E" w14:paraId="66F0112C" w14:textId="489F6C81">
            <w:pPr>
              <w:jc w:val="center"/>
            </w:pPr>
            <w:r>
              <w:t xml:space="preserve">$ </w:t>
            </w:r>
            <w:r w:rsidR="00EA3F85">
              <w:t>10.08</w:t>
            </w:r>
          </w:p>
        </w:tc>
        <w:tc>
          <w:tcPr>
            <w:tcW w:w="1067" w:type="dxa"/>
            <w:vAlign w:val="center"/>
          </w:tcPr>
          <w:p w:rsidR="00727421" w:rsidP="00091B2E" w14:paraId="22CFC2A4" w14:textId="36E296AB">
            <w:pPr>
              <w:jc w:val="center"/>
            </w:pPr>
            <w:r>
              <w:t>$ 131</w:t>
            </w:r>
          </w:p>
        </w:tc>
      </w:tr>
      <w:tr w14:paraId="51693D70" w14:textId="77777777" w:rsidTr="00D643ED">
        <w:tblPrEx>
          <w:tblW w:w="9710" w:type="dxa"/>
          <w:tblInd w:w="0" w:type="dxa"/>
          <w:tblLayout w:type="fixed"/>
          <w:tblLook w:val="0400"/>
        </w:tblPrEx>
        <w:tc>
          <w:tcPr>
            <w:tcW w:w="4308" w:type="dxa"/>
            <w:vAlign w:val="center"/>
          </w:tcPr>
          <w:p w:rsidR="00727421" w:rsidP="00091B2E" w14:paraId="7900BF47" w14:textId="77777777">
            <w:pPr>
              <w:rPr>
                <w:b/>
                <w:bCs/>
              </w:rPr>
            </w:pPr>
            <w:r>
              <w:rPr>
                <w:b/>
                <w:bCs/>
              </w:rPr>
              <w:t>IFQ Allocation Transfer Applications (temporary and permanent)</w:t>
            </w:r>
          </w:p>
        </w:tc>
        <w:tc>
          <w:tcPr>
            <w:tcW w:w="924" w:type="dxa"/>
            <w:vAlign w:val="center"/>
          </w:tcPr>
          <w:p w:rsidR="00727421" w:rsidP="00091B2E" w14:paraId="2CB6EEA5" w14:textId="77777777">
            <w:pPr>
              <w:jc w:val="center"/>
            </w:pPr>
            <w:r>
              <w:t>8</w:t>
            </w:r>
          </w:p>
        </w:tc>
        <w:tc>
          <w:tcPr>
            <w:tcW w:w="1266" w:type="dxa"/>
            <w:vAlign w:val="center"/>
          </w:tcPr>
          <w:p w:rsidR="00727421" w:rsidP="00091B2E" w14:paraId="00EE007E" w14:textId="77777777">
            <w:pPr>
              <w:jc w:val="center"/>
            </w:pPr>
            <w:r>
              <w:t>1</w:t>
            </w:r>
          </w:p>
        </w:tc>
        <w:tc>
          <w:tcPr>
            <w:tcW w:w="1022" w:type="dxa"/>
            <w:vAlign w:val="center"/>
          </w:tcPr>
          <w:p w:rsidR="00727421" w:rsidP="00091B2E" w14:paraId="45959F5D" w14:textId="77777777">
            <w:pPr>
              <w:jc w:val="center"/>
            </w:pPr>
            <w:r>
              <w:t>8</w:t>
            </w:r>
          </w:p>
        </w:tc>
        <w:tc>
          <w:tcPr>
            <w:tcW w:w="1123" w:type="dxa"/>
            <w:vAlign w:val="center"/>
          </w:tcPr>
          <w:p w:rsidR="00727421" w:rsidP="00091B2E" w14:paraId="180F9877" w14:textId="19AF6A35">
            <w:pPr>
              <w:jc w:val="center"/>
            </w:pPr>
            <w:r>
              <w:t xml:space="preserve">$ </w:t>
            </w:r>
            <w:r w:rsidR="00EA3F85">
              <w:t>30.23</w:t>
            </w:r>
          </w:p>
        </w:tc>
        <w:tc>
          <w:tcPr>
            <w:tcW w:w="1067" w:type="dxa"/>
            <w:vAlign w:val="center"/>
          </w:tcPr>
          <w:p w:rsidR="00727421" w:rsidP="00091B2E" w14:paraId="2958DED4" w14:textId="5A6D442E">
            <w:pPr>
              <w:jc w:val="center"/>
            </w:pPr>
            <w:r>
              <w:t>$ 242</w:t>
            </w:r>
          </w:p>
        </w:tc>
      </w:tr>
      <w:tr w14:paraId="008ED944" w14:textId="77777777" w:rsidTr="00D643ED">
        <w:tblPrEx>
          <w:tblW w:w="9710" w:type="dxa"/>
          <w:tblInd w:w="0" w:type="dxa"/>
          <w:tblLayout w:type="fixed"/>
          <w:tblLook w:val="0400"/>
        </w:tblPrEx>
        <w:tc>
          <w:tcPr>
            <w:tcW w:w="4308" w:type="dxa"/>
            <w:vAlign w:val="center"/>
          </w:tcPr>
          <w:p w:rsidR="00727421" w:rsidP="00091B2E" w14:paraId="4D66C408" w14:textId="77777777">
            <w:pPr>
              <w:rPr>
                <w:b/>
                <w:bCs/>
              </w:rPr>
            </w:pPr>
            <w:r>
              <w:rPr>
                <w:b/>
                <w:bCs/>
              </w:rPr>
              <w:t>Cost Recovery Billing</w:t>
            </w:r>
          </w:p>
        </w:tc>
        <w:tc>
          <w:tcPr>
            <w:tcW w:w="924" w:type="dxa"/>
            <w:vAlign w:val="center"/>
          </w:tcPr>
          <w:p w:rsidR="00727421" w:rsidP="00091B2E" w14:paraId="7A7B58A5" w14:textId="77777777">
            <w:pPr>
              <w:jc w:val="center"/>
            </w:pPr>
            <w:r>
              <w:t>13</w:t>
            </w:r>
          </w:p>
        </w:tc>
        <w:tc>
          <w:tcPr>
            <w:tcW w:w="1266" w:type="dxa"/>
            <w:vAlign w:val="center"/>
          </w:tcPr>
          <w:p w:rsidR="00727421" w:rsidP="00091B2E" w14:paraId="6904A7CD" w14:textId="77777777">
            <w:pPr>
              <w:jc w:val="center"/>
            </w:pPr>
            <w:r>
              <w:t>1</w:t>
            </w:r>
          </w:p>
        </w:tc>
        <w:tc>
          <w:tcPr>
            <w:tcW w:w="1022" w:type="dxa"/>
            <w:vAlign w:val="center"/>
          </w:tcPr>
          <w:p w:rsidR="00727421" w:rsidP="00091B2E" w14:paraId="72A65908" w14:textId="77777777">
            <w:pPr>
              <w:jc w:val="center"/>
            </w:pPr>
            <w:r>
              <w:t>13</w:t>
            </w:r>
          </w:p>
        </w:tc>
        <w:tc>
          <w:tcPr>
            <w:tcW w:w="1123" w:type="dxa"/>
            <w:vAlign w:val="center"/>
          </w:tcPr>
          <w:p w:rsidR="00727421" w:rsidP="00091B2E" w14:paraId="72B287E2" w14:textId="77777777">
            <w:pPr>
              <w:jc w:val="center"/>
            </w:pPr>
            <w:r>
              <w:t>$ 1.38</w:t>
            </w:r>
          </w:p>
        </w:tc>
        <w:tc>
          <w:tcPr>
            <w:tcW w:w="1067" w:type="dxa"/>
            <w:vAlign w:val="center"/>
          </w:tcPr>
          <w:p w:rsidR="00727421" w:rsidP="00091B2E" w14:paraId="4613CC3B" w14:textId="6300D1FB">
            <w:pPr>
              <w:jc w:val="center"/>
            </w:pPr>
            <w:r>
              <w:t>$18</w:t>
            </w:r>
          </w:p>
        </w:tc>
      </w:tr>
      <w:tr w14:paraId="75DBDBAE" w14:textId="77777777" w:rsidTr="00D643ED">
        <w:tblPrEx>
          <w:tblW w:w="9710" w:type="dxa"/>
          <w:tblInd w:w="0" w:type="dxa"/>
          <w:tblLayout w:type="fixed"/>
          <w:tblLook w:val="0400"/>
        </w:tblPrEx>
        <w:tc>
          <w:tcPr>
            <w:tcW w:w="4308" w:type="dxa"/>
            <w:vAlign w:val="center"/>
          </w:tcPr>
          <w:p w:rsidR="00727421" w:rsidP="00091B2E" w14:paraId="0331B36A" w14:textId="77777777">
            <w:pPr>
              <w:jc w:val="center"/>
              <w:rPr>
                <w:b/>
                <w:bCs/>
              </w:rPr>
            </w:pPr>
            <w:r>
              <w:rPr>
                <w:b/>
                <w:bCs/>
              </w:rPr>
              <w:t>TOTAL</w:t>
            </w:r>
          </w:p>
        </w:tc>
        <w:tc>
          <w:tcPr>
            <w:tcW w:w="924" w:type="dxa"/>
            <w:vAlign w:val="center"/>
          </w:tcPr>
          <w:p w:rsidR="00727421" w:rsidP="00091B2E" w14:paraId="24BC9558" w14:textId="77777777">
            <w:pPr>
              <w:jc w:val="center"/>
            </w:pPr>
            <w:r>
              <w:t>-</w:t>
            </w:r>
          </w:p>
        </w:tc>
        <w:tc>
          <w:tcPr>
            <w:tcW w:w="1266" w:type="dxa"/>
            <w:vAlign w:val="center"/>
          </w:tcPr>
          <w:p w:rsidR="00727421" w:rsidP="00091B2E" w14:paraId="71BA19E8" w14:textId="77777777">
            <w:pPr>
              <w:jc w:val="center"/>
            </w:pPr>
            <w:r>
              <w:t>-</w:t>
            </w:r>
          </w:p>
        </w:tc>
        <w:tc>
          <w:tcPr>
            <w:tcW w:w="1022" w:type="dxa"/>
            <w:vAlign w:val="center"/>
          </w:tcPr>
          <w:p w:rsidR="00727421" w:rsidP="00091B2E" w14:paraId="0B80CF09" w14:textId="77777777">
            <w:pPr>
              <w:jc w:val="center"/>
            </w:pPr>
            <w:r>
              <w:t>-</w:t>
            </w:r>
          </w:p>
        </w:tc>
        <w:tc>
          <w:tcPr>
            <w:tcW w:w="1123" w:type="dxa"/>
            <w:vAlign w:val="center"/>
          </w:tcPr>
          <w:p w:rsidR="00727421" w:rsidP="00091B2E" w14:paraId="67933DCC" w14:textId="77777777">
            <w:pPr>
              <w:jc w:val="center"/>
            </w:pPr>
            <w:r>
              <w:t>-</w:t>
            </w:r>
          </w:p>
        </w:tc>
        <w:tc>
          <w:tcPr>
            <w:tcW w:w="1067" w:type="dxa"/>
            <w:vAlign w:val="center"/>
          </w:tcPr>
          <w:p w:rsidR="00727421" w:rsidP="00091B2E" w14:paraId="16B6976D" w14:textId="5B299289">
            <w:pPr>
              <w:jc w:val="center"/>
            </w:pPr>
            <w:r>
              <w:rPr>
                <w:b/>
                <w:bCs/>
              </w:rPr>
              <w:t>$</w:t>
            </w:r>
            <w:r w:rsidR="00EA3F85">
              <w:rPr>
                <w:b/>
                <w:bCs/>
              </w:rPr>
              <w:t xml:space="preserve"> 1,177</w:t>
            </w:r>
          </w:p>
        </w:tc>
      </w:tr>
    </w:tbl>
    <w:p w:rsidR="00727421" w:rsidP="00091B2E" w14:paraId="013B5331" w14:textId="730518C8">
      <w:pPr>
        <w:spacing w:before="240"/>
        <w:rPr>
          <w:sz w:val="24"/>
          <w:szCs w:val="24"/>
          <w:highlight w:val="yellow"/>
        </w:rPr>
      </w:pPr>
      <w:bookmarkStart w:id="0" w:name="_heading=h.32osaodi1iqa" w:colFirst="0" w:colLast="0"/>
      <w:bookmarkEnd w:id="0"/>
      <w:r>
        <w:rPr>
          <w:sz w:val="24"/>
          <w:szCs w:val="24"/>
        </w:rPr>
        <w:t xml:space="preserve">All forms submitted to the Greater Atlantic Regional Permit Office, either electronically or in hard copy, are reviewed and processed by a Legal Instruments Examiner (GS-10, Step 8, </w:t>
      </w:r>
      <w:r w:rsidR="00977551">
        <w:rPr>
          <w:sz w:val="24"/>
          <w:szCs w:val="24"/>
        </w:rPr>
        <w:t xml:space="preserve">loaded </w:t>
      </w:r>
      <w:r>
        <w:rPr>
          <w:sz w:val="24"/>
          <w:szCs w:val="24"/>
        </w:rPr>
        <w:t>hourly rate of $</w:t>
      </w:r>
      <w:r w:rsidR="00977551">
        <w:rPr>
          <w:sz w:val="24"/>
          <w:szCs w:val="24"/>
        </w:rPr>
        <w:t>60.45</w:t>
      </w:r>
      <w:r>
        <w:rPr>
          <w:sz w:val="24"/>
          <w:szCs w:val="24"/>
        </w:rPr>
        <w:t xml:space="preserve">). </w:t>
      </w:r>
      <w:r>
        <w:rPr>
          <w:sz w:val="24"/>
          <w:szCs w:val="24"/>
          <w:highlight w:val="yellow"/>
        </w:rPr>
        <w:t xml:space="preserve"> </w:t>
      </w:r>
    </w:p>
    <w:p w:rsidR="00727421" w:rsidP="00091B2E" w14:paraId="1BABC1AB" w14:textId="77777777">
      <w:pPr>
        <w:spacing w:before="240"/>
        <w:rPr>
          <w:b/>
          <w:bCs/>
          <w:sz w:val="24"/>
          <w:szCs w:val="24"/>
        </w:rPr>
      </w:pPr>
      <w:r>
        <w:rPr>
          <w:b/>
          <w:bCs/>
          <w:sz w:val="24"/>
          <w:szCs w:val="24"/>
        </w:rPr>
        <w:t>IFQ Permit Application</w:t>
      </w:r>
    </w:p>
    <w:p w:rsidR="00727421" w:rsidP="00091B2E" w14:paraId="2F6027C1" w14:textId="07278C75">
      <w:pPr>
        <w:spacing w:before="240"/>
        <w:rPr>
          <w:sz w:val="24"/>
          <w:szCs w:val="24"/>
        </w:rPr>
      </w:pPr>
      <w:r>
        <w:rPr>
          <w:sz w:val="24"/>
          <w:szCs w:val="24"/>
        </w:rPr>
        <w:t>Applications for new permits take 1 hour and 20 minutes to fully review and process.  The average cost to the Federal Government to issue a new Federal fishery permit (including the time to process all applications) is $</w:t>
      </w:r>
      <w:r w:rsidR="004946DC">
        <w:rPr>
          <w:sz w:val="24"/>
          <w:szCs w:val="24"/>
        </w:rPr>
        <w:t>80.58</w:t>
      </w:r>
      <w:r>
        <w:rPr>
          <w:sz w:val="24"/>
          <w:szCs w:val="24"/>
        </w:rPr>
        <w:t xml:space="preserve"> per permit (1 hour and 20 minutes, at an hourly rate of $</w:t>
      </w:r>
      <w:r w:rsidR="004946DC">
        <w:rPr>
          <w:sz w:val="24"/>
          <w:szCs w:val="24"/>
        </w:rPr>
        <w:t>60.45</w:t>
      </w:r>
      <w:r>
        <w:rPr>
          <w:sz w:val="24"/>
          <w:szCs w:val="24"/>
        </w:rPr>
        <w:t xml:space="preserve">), including labor, printing, distribution, computer time, and handling.  Applications to renew an existing permit require some added time to print and mail the renewal application but can be processed more quickly because most of the information has already been verified and </w:t>
      </w:r>
      <w:r w:rsidR="000306B9">
        <w:rPr>
          <w:sz w:val="24"/>
          <w:szCs w:val="24"/>
        </w:rPr>
        <w:t>entered</w:t>
      </w:r>
      <w:r>
        <w:rPr>
          <w:sz w:val="24"/>
          <w:szCs w:val="24"/>
        </w:rPr>
        <w:t xml:space="preserve"> the database.  In total, a renewal application takes 1 hour of staff time, so the average cost to the Federal Government to renew a permit is $</w:t>
      </w:r>
      <w:r w:rsidR="004946DC">
        <w:rPr>
          <w:sz w:val="24"/>
          <w:szCs w:val="24"/>
        </w:rPr>
        <w:t>60.45</w:t>
      </w:r>
      <w:r>
        <w:rPr>
          <w:sz w:val="24"/>
          <w:szCs w:val="24"/>
        </w:rPr>
        <w:t xml:space="preserve"> per permit (1 hour, at an hourly rate of $</w:t>
      </w:r>
      <w:r w:rsidR="004946DC">
        <w:rPr>
          <w:sz w:val="24"/>
          <w:szCs w:val="24"/>
        </w:rPr>
        <w:t>60.45</w:t>
      </w:r>
      <w:r>
        <w:rPr>
          <w:sz w:val="24"/>
          <w:szCs w:val="24"/>
        </w:rPr>
        <w:t xml:space="preserve">).  In recent years, all permit applications have been renewals.  </w:t>
      </w:r>
      <w:r w:rsidR="000306B9">
        <w:rPr>
          <w:sz w:val="24"/>
          <w:szCs w:val="24"/>
        </w:rPr>
        <w:t>Therefore,</w:t>
      </w:r>
      <w:r>
        <w:rPr>
          <w:sz w:val="24"/>
          <w:szCs w:val="24"/>
        </w:rPr>
        <w:t xml:space="preserve"> the total estimated burden is </w:t>
      </w:r>
      <w:r>
        <w:rPr>
          <w:b/>
          <w:bCs/>
          <w:sz w:val="24"/>
          <w:szCs w:val="24"/>
        </w:rPr>
        <w:t>$</w:t>
      </w:r>
      <w:r w:rsidR="004946DC">
        <w:rPr>
          <w:b/>
          <w:bCs/>
          <w:sz w:val="24"/>
          <w:szCs w:val="24"/>
        </w:rPr>
        <w:t>785.85</w:t>
      </w:r>
      <w:r>
        <w:rPr>
          <w:sz w:val="24"/>
          <w:szCs w:val="24"/>
        </w:rPr>
        <w:t xml:space="preserve"> (13 x 1 hour x $</w:t>
      </w:r>
      <w:r w:rsidR="004946DC">
        <w:rPr>
          <w:sz w:val="24"/>
          <w:szCs w:val="24"/>
        </w:rPr>
        <w:t>60.45</w:t>
      </w:r>
      <w:r>
        <w:rPr>
          <w:sz w:val="24"/>
          <w:szCs w:val="24"/>
        </w:rPr>
        <w:t xml:space="preserve"> = $</w:t>
      </w:r>
      <w:r w:rsidR="004946DC">
        <w:rPr>
          <w:sz w:val="24"/>
          <w:szCs w:val="24"/>
        </w:rPr>
        <w:t>785.85</w:t>
      </w:r>
      <w:r>
        <w:rPr>
          <w:sz w:val="24"/>
          <w:szCs w:val="24"/>
        </w:rPr>
        <w:t>)</w:t>
      </w:r>
    </w:p>
    <w:p w:rsidR="00727421" w:rsidP="00091B2E" w14:paraId="73812259" w14:textId="77777777">
      <w:pPr>
        <w:spacing w:before="240"/>
        <w:rPr>
          <w:b/>
          <w:bCs/>
          <w:sz w:val="24"/>
          <w:szCs w:val="24"/>
        </w:rPr>
      </w:pPr>
      <w:r>
        <w:rPr>
          <w:b/>
          <w:bCs/>
          <w:sz w:val="24"/>
          <w:szCs w:val="24"/>
        </w:rPr>
        <w:t>IFQ Allocation Interest Declaration Form (Ownership Cap Form)</w:t>
      </w:r>
    </w:p>
    <w:p w:rsidR="00727421" w:rsidP="00091B2E" w14:paraId="3C0F9603" w14:textId="21224661">
      <w:pPr>
        <w:keepNext/>
        <w:spacing w:before="240"/>
        <w:rPr>
          <w:sz w:val="24"/>
          <w:szCs w:val="24"/>
        </w:rPr>
      </w:pPr>
      <w:r>
        <w:rPr>
          <w:sz w:val="24"/>
          <w:szCs w:val="24"/>
        </w:rPr>
        <w:t>It takes 10 minutes to process each IFQ Allocation Ownership Interest Declaration form.  There are 13 forms per year, at an hourly rate of $</w:t>
      </w:r>
      <w:r w:rsidR="00D643ED">
        <w:rPr>
          <w:sz w:val="24"/>
          <w:szCs w:val="24"/>
        </w:rPr>
        <w:t>60.45</w:t>
      </w:r>
      <w:r>
        <w:rPr>
          <w:sz w:val="24"/>
          <w:szCs w:val="24"/>
        </w:rPr>
        <w:t xml:space="preserve">, the annual government burden would be </w:t>
      </w:r>
      <w:r>
        <w:rPr>
          <w:b/>
          <w:bCs/>
          <w:sz w:val="24"/>
          <w:szCs w:val="24"/>
        </w:rPr>
        <w:t xml:space="preserve">$ </w:t>
      </w:r>
      <w:r w:rsidR="00D643ED">
        <w:rPr>
          <w:b/>
          <w:bCs/>
          <w:sz w:val="24"/>
          <w:szCs w:val="24"/>
        </w:rPr>
        <w:t>130.98</w:t>
      </w:r>
      <w:r>
        <w:rPr>
          <w:sz w:val="24"/>
          <w:szCs w:val="24"/>
        </w:rPr>
        <w:t xml:space="preserve"> (13 x 10 minutes/60 minutes x $</w:t>
      </w:r>
      <w:r w:rsidR="00D643ED">
        <w:rPr>
          <w:sz w:val="24"/>
          <w:szCs w:val="24"/>
        </w:rPr>
        <w:t>60.45</w:t>
      </w:r>
      <w:r>
        <w:rPr>
          <w:sz w:val="24"/>
          <w:szCs w:val="24"/>
        </w:rPr>
        <w:t xml:space="preserve"> = $</w:t>
      </w:r>
      <w:r w:rsidR="00D643ED">
        <w:rPr>
          <w:sz w:val="24"/>
          <w:szCs w:val="24"/>
        </w:rPr>
        <w:t>130.98</w:t>
      </w:r>
      <w:r>
        <w:rPr>
          <w:sz w:val="24"/>
          <w:szCs w:val="24"/>
        </w:rPr>
        <w:t>).</w:t>
      </w:r>
    </w:p>
    <w:p w:rsidR="00727421" w:rsidP="00091B2E" w14:paraId="7956C003" w14:textId="77777777">
      <w:pPr>
        <w:spacing w:before="240"/>
        <w:rPr>
          <w:b/>
          <w:bCs/>
          <w:sz w:val="24"/>
          <w:szCs w:val="24"/>
        </w:rPr>
      </w:pPr>
      <w:r>
        <w:rPr>
          <w:b/>
          <w:bCs/>
          <w:sz w:val="24"/>
          <w:szCs w:val="24"/>
        </w:rPr>
        <w:t>IFQ Permanent &amp; Temporary Transferability</w:t>
      </w:r>
    </w:p>
    <w:p w:rsidR="00727421" w:rsidP="00091B2E" w14:paraId="7FAD0D32" w14:textId="61ED2FD1">
      <w:pPr>
        <w:spacing w:before="240"/>
        <w:rPr>
          <w:sz w:val="24"/>
          <w:szCs w:val="24"/>
        </w:rPr>
      </w:pPr>
      <w:r>
        <w:rPr>
          <w:sz w:val="24"/>
          <w:szCs w:val="24"/>
        </w:rPr>
        <w:t>It takes 30 minutes to process each transfer request.  Since there are approximately eight transfers per year, the annual government cost would be $</w:t>
      </w:r>
      <w:r w:rsidR="00D643ED">
        <w:rPr>
          <w:b/>
          <w:bCs/>
          <w:sz w:val="24"/>
          <w:szCs w:val="24"/>
        </w:rPr>
        <w:t>241.80</w:t>
      </w:r>
      <w:r>
        <w:rPr>
          <w:sz w:val="24"/>
          <w:szCs w:val="24"/>
        </w:rPr>
        <w:t xml:space="preserve"> (8 x 30 minutes/60 minutes x $</w:t>
      </w:r>
      <w:r w:rsidR="00D643ED">
        <w:rPr>
          <w:sz w:val="24"/>
          <w:szCs w:val="24"/>
        </w:rPr>
        <w:t>60.45</w:t>
      </w:r>
      <w:r>
        <w:rPr>
          <w:sz w:val="24"/>
          <w:szCs w:val="24"/>
        </w:rPr>
        <w:t xml:space="preserve"> = $</w:t>
      </w:r>
      <w:r w:rsidR="00D643ED">
        <w:rPr>
          <w:sz w:val="24"/>
          <w:szCs w:val="24"/>
        </w:rPr>
        <w:t>241.80</w:t>
      </w:r>
    </w:p>
    <w:p w:rsidR="00727421" w:rsidP="00091B2E" w14:paraId="2FF28BE5" w14:textId="77777777">
      <w:pPr>
        <w:spacing w:before="240"/>
        <w:rPr>
          <w:b/>
          <w:bCs/>
          <w:sz w:val="24"/>
          <w:szCs w:val="24"/>
        </w:rPr>
      </w:pPr>
      <w:r>
        <w:rPr>
          <w:b/>
          <w:bCs/>
          <w:sz w:val="24"/>
          <w:szCs w:val="24"/>
        </w:rPr>
        <w:t xml:space="preserve">Fees and Cost Recovery </w:t>
      </w:r>
    </w:p>
    <w:p w:rsidR="00727421" w:rsidP="00091B2E" w14:paraId="6544F639" w14:textId="3E580EC1">
      <w:pPr>
        <w:spacing w:before="240"/>
        <w:rPr>
          <w:sz w:val="24"/>
          <w:szCs w:val="24"/>
        </w:rPr>
      </w:pPr>
      <w:r>
        <w:rPr>
          <w:sz w:val="24"/>
          <w:szCs w:val="24"/>
        </w:rPr>
        <w:t xml:space="preserve">It costs $0.78 in postage and $0.10 per page in copy fees to copy and mail a cost recovery annual bill.  Since there are 13 permanent IFQ Allocation permit holders that each receive a six-page bill and report, annually, the expense resulting from this requirement would be </w:t>
      </w:r>
      <w:r>
        <w:rPr>
          <w:b/>
          <w:bCs/>
          <w:sz w:val="24"/>
          <w:szCs w:val="24"/>
        </w:rPr>
        <w:t>$17.</w:t>
      </w:r>
      <w:r w:rsidR="000306B9">
        <w:rPr>
          <w:b/>
          <w:bCs/>
          <w:sz w:val="24"/>
          <w:szCs w:val="24"/>
        </w:rPr>
        <w:t>94</w:t>
      </w:r>
      <w:r w:rsidR="000306B9">
        <w:rPr>
          <w:sz w:val="24"/>
          <w:szCs w:val="24"/>
        </w:rPr>
        <w:t xml:space="preserve"> (</w:t>
      </w:r>
      <w:r>
        <w:rPr>
          <w:sz w:val="24"/>
          <w:szCs w:val="24"/>
        </w:rPr>
        <w:t>13 x $1.38= $17.94).</w:t>
      </w:r>
    </w:p>
    <w:p w:rsidR="00727421" w:rsidP="00091B2E" w14:paraId="1B2DE539" w14:textId="77777777">
      <w:pPr>
        <w:spacing w:before="240"/>
        <w:rPr>
          <w:sz w:val="24"/>
          <w:szCs w:val="24"/>
        </w:rPr>
      </w:pPr>
      <w:r>
        <w:rPr>
          <w:sz w:val="24"/>
          <w:szCs w:val="24"/>
        </w:rPr>
        <w:t xml:space="preserve">Cost recovery payments are collected through </w:t>
      </w:r>
      <w:hyperlink r:id="rId9">
        <w:r>
          <w:rPr>
            <w:color w:val="0000FF"/>
            <w:sz w:val="24"/>
            <w:szCs w:val="24"/>
            <w:u w:val="single"/>
          </w:rPr>
          <w:t>www.pay.gov</w:t>
        </w:r>
      </w:hyperlink>
      <w:r>
        <w:rPr>
          <w:sz w:val="24"/>
          <w:szCs w:val="24"/>
        </w:rPr>
        <w:t xml:space="preserve">, an established government payment collection program.  Since the program is programmed to accept payment from </w:t>
      </w:r>
      <w:hyperlink r:id="rId9">
        <w:r>
          <w:rPr>
            <w:color w:val="0000FF"/>
            <w:sz w:val="24"/>
            <w:szCs w:val="24"/>
            <w:u w:val="single"/>
          </w:rPr>
          <w:t>www.pay.gov</w:t>
        </w:r>
      </w:hyperlink>
      <w:r>
        <w:rPr>
          <w:sz w:val="24"/>
          <w:szCs w:val="24"/>
        </w:rPr>
        <w:t>, there are no additional costs to the government.</w:t>
      </w:r>
    </w:p>
    <w:p w:rsidR="00727421" w:rsidP="00091B2E" w14:paraId="4ABF8B95" w14:textId="77777777">
      <w:pPr>
        <w:spacing w:before="240"/>
        <w:rPr>
          <w:sz w:val="24"/>
          <w:szCs w:val="24"/>
          <w:highlight w:val="yellow"/>
        </w:rPr>
      </w:pPr>
    </w:p>
    <w:p w:rsidR="00727421" w:rsidP="00091B2E" w14:paraId="147EDC5F" w14:textId="14DFDB1D">
      <w:pPr>
        <w:spacing w:before="240"/>
        <w:rPr>
          <w:b/>
          <w:bCs/>
          <w:sz w:val="24"/>
          <w:szCs w:val="24"/>
        </w:rPr>
      </w:pPr>
      <w:r>
        <w:rPr>
          <w:b/>
          <w:bCs/>
          <w:sz w:val="24"/>
          <w:szCs w:val="24"/>
        </w:rPr>
        <w:t>15</w:t>
      </w:r>
      <w:r w:rsidR="000306B9">
        <w:rPr>
          <w:b/>
          <w:bCs/>
          <w:sz w:val="24"/>
          <w:szCs w:val="24"/>
        </w:rPr>
        <w:t xml:space="preserve">. </w:t>
      </w:r>
      <w:r w:rsidRPr="008B28CD">
        <w:rPr>
          <w:b/>
          <w:bCs/>
          <w:sz w:val="24"/>
          <w:szCs w:val="24"/>
        </w:rPr>
        <w:t>Explain the reasons for any program changes or adjustments reported in ROCIS.</w:t>
      </w:r>
    </w:p>
    <w:p w:rsidR="008B28CD" w:rsidP="00091B2E" w14:paraId="6AEF9D5E" w14:textId="77777777">
      <w:pPr>
        <w:spacing w:before="240"/>
        <w:rPr>
          <w:sz w:val="24"/>
          <w:szCs w:val="24"/>
        </w:rPr>
      </w:pPr>
    </w:p>
    <w:tbl>
      <w:tblPr>
        <w:tblW w:w="10980" w:type="dxa"/>
        <w:tblInd w:w="-730" w:type="dxa"/>
        <w:tblCellMar>
          <w:top w:w="15" w:type="dxa"/>
          <w:left w:w="15" w:type="dxa"/>
          <w:bottom w:w="15" w:type="dxa"/>
          <w:right w:w="15" w:type="dxa"/>
        </w:tblCellMar>
        <w:tblLook w:val="04A0"/>
      </w:tblPr>
      <w:tblGrid>
        <w:gridCol w:w="2631"/>
        <w:gridCol w:w="1020"/>
        <w:gridCol w:w="987"/>
        <w:gridCol w:w="987"/>
        <w:gridCol w:w="987"/>
        <w:gridCol w:w="1018"/>
        <w:gridCol w:w="1010"/>
        <w:gridCol w:w="2340"/>
      </w:tblGrid>
      <w:tr w14:paraId="40FFF716"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vMerge w:val="restart"/>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hideMark/>
          </w:tcPr>
          <w:p w:rsidR="003F7254" w:rsidRPr="00977551" w:rsidP="00091B2E" w14:paraId="6BE50B83"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Information Collection</w:t>
            </w:r>
          </w:p>
        </w:tc>
        <w:tc>
          <w:tcPr>
            <w:tcW w:w="2007"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hideMark/>
          </w:tcPr>
          <w:p w:rsidR="003F7254" w:rsidRPr="00977551" w:rsidP="00091B2E" w14:paraId="4CF79E3E"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Respondents</w:t>
            </w:r>
          </w:p>
        </w:tc>
        <w:tc>
          <w:tcPr>
            <w:tcW w:w="1974"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hideMark/>
          </w:tcPr>
          <w:p w:rsidR="003F7254" w:rsidRPr="00977551" w:rsidP="00091B2E" w14:paraId="527EA1E4"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Responses</w:t>
            </w:r>
          </w:p>
        </w:tc>
        <w:tc>
          <w:tcPr>
            <w:tcW w:w="2028"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hideMark/>
          </w:tcPr>
          <w:p w:rsidR="003F7254" w:rsidRPr="00977551" w:rsidP="00091B2E" w14:paraId="5F157AD9"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Burden Hours</w:t>
            </w:r>
          </w:p>
        </w:tc>
        <w:tc>
          <w:tcPr>
            <w:tcW w:w="2340" w:type="dxa"/>
            <w:vMerge w:val="restart"/>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hideMark/>
          </w:tcPr>
          <w:p w:rsidR="003F7254" w:rsidRPr="00977551" w:rsidP="00091B2E" w14:paraId="5616BA90"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Reason for change or adjustment</w:t>
            </w:r>
          </w:p>
        </w:tc>
      </w:tr>
      <w:tr w14:paraId="3F7B1F81" w14:textId="77777777" w:rsidTr="00977551">
        <w:tblPrEx>
          <w:tblW w:w="10980" w:type="dxa"/>
          <w:tblInd w:w="-730" w:type="dxa"/>
          <w:tblCellMar>
            <w:top w:w="15" w:type="dxa"/>
            <w:left w:w="15" w:type="dxa"/>
            <w:bottom w:w="15" w:type="dxa"/>
            <w:right w:w="15" w:type="dxa"/>
          </w:tblCellMar>
          <w:tblLook w:val="04A0"/>
        </w:tblPrEx>
        <w:trPr>
          <w:trHeight w:val="690"/>
        </w:trPr>
        <w:tc>
          <w:tcPr>
            <w:tcW w:w="2631" w:type="dxa"/>
            <w:vMerge/>
            <w:tcBorders>
              <w:top w:val="single" w:sz="8" w:space="0" w:color="000000"/>
              <w:left w:val="single" w:sz="8" w:space="0" w:color="000000"/>
              <w:bottom w:val="single" w:sz="8" w:space="0" w:color="000000"/>
              <w:right w:val="single" w:sz="8" w:space="0" w:color="000000"/>
            </w:tcBorders>
            <w:vAlign w:val="center"/>
            <w:hideMark/>
          </w:tcPr>
          <w:p w:rsidR="003F7254" w:rsidRPr="00977551" w:rsidP="00091B2E" w14:paraId="36B6D97D" w14:textId="77777777">
            <w:pPr>
              <w:rPr>
                <w:rFonts w:asciiTheme="majorHAnsi" w:hAnsiTheme="majorHAnsi" w:cstheme="majorHAnsi"/>
                <w:sz w:val="18"/>
                <w:szCs w:val="18"/>
                <w:lang w:val="en-US"/>
              </w:rPr>
            </w:pPr>
          </w:p>
        </w:tc>
        <w:tc>
          <w:tcPr>
            <w:tcW w:w="1020" w:type="dxa"/>
            <w:tcBorders>
              <w:top w:val="single" w:sz="8" w:space="0" w:color="000000"/>
              <w:left w:val="single" w:sz="8" w:space="0" w:color="000000"/>
              <w:bottom w:val="single" w:sz="8" w:space="0" w:color="000000"/>
              <w:right w:val="dashed" w:sz="8" w:space="0" w:color="000000"/>
            </w:tcBorders>
            <w:shd w:val="clear" w:color="auto" w:fill="FCE5CD"/>
            <w:tcMar>
              <w:top w:w="0" w:type="dxa"/>
              <w:left w:w="115" w:type="dxa"/>
              <w:bottom w:w="0" w:type="dxa"/>
              <w:right w:w="115" w:type="dxa"/>
            </w:tcMar>
            <w:vAlign w:val="center"/>
            <w:hideMark/>
          </w:tcPr>
          <w:p w:rsidR="003F7254" w:rsidRPr="00977551" w:rsidP="00091B2E" w14:paraId="1FC269BA"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Current Renewal / Revision</w:t>
            </w:r>
          </w:p>
        </w:tc>
        <w:tc>
          <w:tcPr>
            <w:tcW w:w="987" w:type="dxa"/>
            <w:tcBorders>
              <w:top w:val="single" w:sz="8" w:space="0" w:color="000000"/>
              <w:left w:val="dashed" w:sz="8" w:space="0" w:color="000000"/>
              <w:bottom w:val="single" w:sz="8" w:space="0" w:color="000000"/>
              <w:right w:val="single" w:sz="8" w:space="0" w:color="000000"/>
            </w:tcBorders>
            <w:shd w:val="clear" w:color="auto" w:fill="FCE5CD"/>
            <w:tcMar>
              <w:top w:w="0" w:type="dxa"/>
              <w:left w:w="115" w:type="dxa"/>
              <w:bottom w:w="0" w:type="dxa"/>
              <w:right w:w="115" w:type="dxa"/>
            </w:tcMar>
            <w:vAlign w:val="center"/>
            <w:hideMark/>
          </w:tcPr>
          <w:p w:rsidR="003F7254" w:rsidRPr="00977551" w:rsidP="00091B2E" w14:paraId="005ECBD5"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Previous Renewal / Revision</w:t>
            </w:r>
          </w:p>
        </w:tc>
        <w:tc>
          <w:tcPr>
            <w:tcW w:w="987" w:type="dxa"/>
            <w:tcBorders>
              <w:top w:val="single" w:sz="8" w:space="0" w:color="000000"/>
              <w:left w:val="single" w:sz="8" w:space="0" w:color="000000"/>
              <w:bottom w:val="single" w:sz="8" w:space="0" w:color="000000"/>
              <w:right w:val="dashed" w:sz="8" w:space="0" w:color="000000"/>
            </w:tcBorders>
            <w:shd w:val="clear" w:color="auto" w:fill="FBE4D5"/>
            <w:tcMar>
              <w:top w:w="0" w:type="dxa"/>
              <w:left w:w="115" w:type="dxa"/>
              <w:bottom w:w="0" w:type="dxa"/>
              <w:right w:w="115" w:type="dxa"/>
            </w:tcMar>
            <w:vAlign w:val="center"/>
            <w:hideMark/>
          </w:tcPr>
          <w:p w:rsidR="003F7254" w:rsidRPr="00977551" w:rsidP="00091B2E" w14:paraId="4FBE53E3"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Current Renewal / Revision</w:t>
            </w:r>
          </w:p>
        </w:tc>
        <w:tc>
          <w:tcPr>
            <w:tcW w:w="987" w:type="dxa"/>
            <w:tcBorders>
              <w:top w:val="single" w:sz="8" w:space="0" w:color="000000"/>
              <w:left w:val="dashed" w:sz="8" w:space="0" w:color="000000"/>
              <w:bottom w:val="single" w:sz="8" w:space="0" w:color="000000"/>
              <w:right w:val="single" w:sz="8" w:space="0" w:color="000000"/>
            </w:tcBorders>
            <w:shd w:val="clear" w:color="auto" w:fill="FBE4D5"/>
            <w:tcMar>
              <w:top w:w="0" w:type="dxa"/>
              <w:left w:w="115" w:type="dxa"/>
              <w:bottom w:w="0" w:type="dxa"/>
              <w:right w:w="115" w:type="dxa"/>
            </w:tcMar>
            <w:vAlign w:val="center"/>
            <w:hideMark/>
          </w:tcPr>
          <w:p w:rsidR="003F7254" w:rsidRPr="00977551" w:rsidP="00091B2E" w14:paraId="53A51D6E"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Previous Renewal / Revision</w:t>
            </w:r>
          </w:p>
        </w:tc>
        <w:tc>
          <w:tcPr>
            <w:tcW w:w="1018" w:type="dxa"/>
            <w:tcBorders>
              <w:top w:val="single" w:sz="8" w:space="0" w:color="000000"/>
              <w:left w:val="single" w:sz="8" w:space="0" w:color="000000"/>
              <w:bottom w:val="single" w:sz="8" w:space="0" w:color="000000"/>
              <w:right w:val="dashed" w:sz="8" w:space="0" w:color="000000"/>
            </w:tcBorders>
            <w:shd w:val="clear" w:color="auto" w:fill="FBE4D5"/>
            <w:tcMar>
              <w:top w:w="0" w:type="dxa"/>
              <w:left w:w="115" w:type="dxa"/>
              <w:bottom w:w="0" w:type="dxa"/>
              <w:right w:w="115" w:type="dxa"/>
            </w:tcMar>
            <w:vAlign w:val="center"/>
            <w:hideMark/>
          </w:tcPr>
          <w:p w:rsidR="003F7254" w:rsidRPr="00977551" w:rsidP="00091B2E" w14:paraId="0066F7C1"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Current Renewal / Revision</w:t>
            </w:r>
          </w:p>
        </w:tc>
        <w:tc>
          <w:tcPr>
            <w:tcW w:w="1010" w:type="dxa"/>
            <w:tcBorders>
              <w:top w:val="single" w:sz="8" w:space="0" w:color="000000"/>
              <w:left w:val="dashed" w:sz="8" w:space="0" w:color="000000"/>
              <w:bottom w:val="single" w:sz="8" w:space="0" w:color="000000"/>
              <w:right w:val="single" w:sz="8" w:space="0" w:color="000000"/>
            </w:tcBorders>
            <w:shd w:val="clear" w:color="auto" w:fill="FBE4D5"/>
            <w:tcMar>
              <w:top w:w="0" w:type="dxa"/>
              <w:left w:w="115" w:type="dxa"/>
              <w:bottom w:w="0" w:type="dxa"/>
              <w:right w:w="115" w:type="dxa"/>
            </w:tcMar>
            <w:vAlign w:val="center"/>
            <w:hideMark/>
          </w:tcPr>
          <w:p w:rsidR="003F7254" w:rsidRPr="00977551" w:rsidP="00091B2E" w14:paraId="093B6515"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Previous Renewal / Revision</w:t>
            </w:r>
          </w:p>
        </w:tc>
        <w:tc>
          <w:tcPr>
            <w:tcW w:w="2340" w:type="dxa"/>
            <w:vMerge/>
            <w:tcBorders>
              <w:top w:val="single" w:sz="8" w:space="0" w:color="000000"/>
              <w:left w:val="single" w:sz="8" w:space="0" w:color="000000"/>
              <w:bottom w:val="single" w:sz="8" w:space="0" w:color="000000"/>
              <w:right w:val="single" w:sz="8" w:space="0" w:color="000000"/>
            </w:tcBorders>
            <w:vAlign w:val="center"/>
            <w:hideMark/>
          </w:tcPr>
          <w:p w:rsidR="003F7254" w:rsidRPr="00977551" w:rsidP="00091B2E" w14:paraId="46A1926C" w14:textId="77777777">
            <w:pPr>
              <w:rPr>
                <w:rFonts w:asciiTheme="majorHAnsi" w:hAnsiTheme="majorHAnsi" w:cstheme="majorHAnsi"/>
                <w:sz w:val="18"/>
                <w:szCs w:val="18"/>
                <w:lang w:val="en-US"/>
              </w:rPr>
            </w:pPr>
          </w:p>
        </w:tc>
      </w:tr>
      <w:tr w14:paraId="7CBC9649"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C95EEB" w:rsidRPr="00977551" w:rsidP="00091B2E" w14:paraId="71746017" w14:textId="6AD203FA">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Application for IFQ Allocation Permits</w:t>
            </w:r>
          </w:p>
        </w:tc>
        <w:tc>
          <w:tcPr>
            <w:tcW w:w="1020"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18975675" w14:textId="3DD7B5A4">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00DC82FA" w14:textId="1A586A6C">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987"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26995457" w14:textId="4F5F6953">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634544D4" w14:textId="4FA84E43">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1018"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736E5955" w14:textId="59B2F1DA">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3</w:t>
            </w:r>
          </w:p>
        </w:tc>
        <w:tc>
          <w:tcPr>
            <w:tcW w:w="1010"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6B661201" w14:textId="4E5C941E">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3</w:t>
            </w:r>
          </w:p>
        </w:tc>
        <w:tc>
          <w:tcPr>
            <w:tcW w:w="2340" w:type="dxa"/>
            <w:tcBorders>
              <w:top w:val="single" w:sz="8"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45CDA194" w14:textId="07DE6070">
            <w:pP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 </w:t>
            </w:r>
            <w:r w:rsidRPr="00977551" w:rsidR="007715DD">
              <w:rPr>
                <w:rFonts w:asciiTheme="majorHAnsi" w:hAnsiTheme="majorHAnsi" w:cstheme="majorHAnsi"/>
                <w:color w:val="000000"/>
                <w:sz w:val="18"/>
                <w:szCs w:val="18"/>
                <w:lang w:val="en-US"/>
              </w:rPr>
              <w:t>Increase in # of respondents</w:t>
            </w:r>
          </w:p>
        </w:tc>
      </w:tr>
      <w:tr w14:paraId="5395B625"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C95EEB" w:rsidRPr="00977551" w:rsidP="00091B2E" w14:paraId="69DE6175" w14:textId="1F794CC3">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Tilefish IFQ Allocation Interest Declaration Form</w:t>
            </w:r>
          </w:p>
        </w:tc>
        <w:tc>
          <w:tcPr>
            <w:tcW w:w="1020"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134DB7EC" w14:textId="176037B6">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27959A39" w14:textId="4CF77FD5">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987"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314A4D1B" w14:textId="40BA8A7B">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0A7CDAD4" w14:textId="06CF4486">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1018"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72E3BE92" w14:textId="40F5261E">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w:t>
            </w:r>
          </w:p>
        </w:tc>
        <w:tc>
          <w:tcPr>
            <w:tcW w:w="1010"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2612D2CA" w14:textId="50AB1DF0">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w:t>
            </w:r>
          </w:p>
        </w:tc>
        <w:tc>
          <w:tcPr>
            <w:tcW w:w="2340" w:type="dxa"/>
            <w:tcBorders>
              <w:top w:val="dotted" w:sz="4"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3B2D4AA7" w14:textId="79265245">
            <w:pP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 </w:t>
            </w:r>
            <w:r w:rsidRPr="00977551" w:rsidR="007715DD">
              <w:rPr>
                <w:rFonts w:asciiTheme="majorHAnsi" w:hAnsiTheme="majorHAnsi" w:cstheme="majorHAnsi"/>
                <w:color w:val="000000"/>
                <w:sz w:val="18"/>
                <w:szCs w:val="18"/>
                <w:lang w:val="en-US"/>
              </w:rPr>
              <w:t>Increase in # of respondents</w:t>
            </w:r>
          </w:p>
        </w:tc>
      </w:tr>
      <w:tr w14:paraId="00C8D735"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rsidR="00C95EEB" w:rsidRPr="00977551" w:rsidP="00091B2E" w14:paraId="533D259A" w14:textId="0B82A1B8">
            <w:pPr>
              <w:rPr>
                <w:rFonts w:asciiTheme="majorHAnsi" w:hAnsiTheme="majorHAnsi" w:cstheme="majorHAnsi"/>
                <w:color w:val="000000"/>
                <w:sz w:val="18"/>
                <w:szCs w:val="18"/>
                <w:lang w:val="en-US"/>
              </w:rPr>
            </w:pPr>
            <w:r w:rsidRPr="00977551">
              <w:rPr>
                <w:rFonts w:eastAsia="Calibri" w:asciiTheme="majorHAnsi" w:hAnsiTheme="majorHAnsi" w:cstheme="majorHAnsi"/>
                <w:color w:val="000000"/>
                <w:sz w:val="18"/>
                <w:szCs w:val="18"/>
              </w:rPr>
              <w:t>Request to Transfer Tilefish IFQ Allocation</w:t>
            </w:r>
          </w:p>
        </w:tc>
        <w:tc>
          <w:tcPr>
            <w:tcW w:w="1020"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C95EEB" w:rsidRPr="00977551" w:rsidP="00091B2E" w14:paraId="6BD8606E" w14:textId="4C2A42C1">
            <w:pPr>
              <w:jc w:val="center"/>
              <w:rPr>
                <w:rFonts w:asciiTheme="majorHAnsi" w:hAnsiTheme="majorHAnsi" w:cstheme="majorHAnsi"/>
                <w:color w:val="000000"/>
                <w:sz w:val="18"/>
                <w:szCs w:val="18"/>
                <w:lang w:val="en-US"/>
              </w:rPr>
            </w:pPr>
            <w:r w:rsidRPr="00496291">
              <w:rPr>
                <w:rFonts w:asciiTheme="majorHAnsi" w:hAnsiTheme="majorHAnsi" w:cstheme="majorHAnsi"/>
                <w:color w:val="000000"/>
                <w:sz w:val="18"/>
                <w:szCs w:val="18"/>
                <w:lang w:val="en-US"/>
              </w:rPr>
              <w:t>16</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C95EEB" w:rsidRPr="00977551" w:rsidP="00091B2E" w14:paraId="66F853D8" w14:textId="12D423FF">
            <w:pPr>
              <w:jc w:val="center"/>
              <w:rPr>
                <w:rFonts w:asciiTheme="majorHAnsi" w:hAnsiTheme="majorHAnsi" w:cstheme="majorHAnsi"/>
                <w:color w:val="000000"/>
                <w:sz w:val="18"/>
                <w:szCs w:val="18"/>
                <w:lang w:val="en-US"/>
              </w:rPr>
            </w:pPr>
            <w:r w:rsidRPr="00977551">
              <w:rPr>
                <w:rFonts w:asciiTheme="majorHAnsi" w:hAnsiTheme="majorHAnsi" w:cstheme="majorHAnsi"/>
                <w:color w:val="000000"/>
                <w:sz w:val="18"/>
                <w:szCs w:val="18"/>
                <w:lang w:val="en-US"/>
              </w:rPr>
              <w:t>18</w:t>
            </w:r>
          </w:p>
        </w:tc>
        <w:tc>
          <w:tcPr>
            <w:tcW w:w="987"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C95EEB" w:rsidRPr="00977551" w:rsidP="00091B2E" w14:paraId="5FB57749" w14:textId="7534D68D">
            <w:pPr>
              <w:jc w:val="center"/>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16</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C95EEB" w:rsidRPr="00977551" w:rsidP="00091B2E" w14:paraId="4FAE01FC" w14:textId="2395234A">
            <w:pPr>
              <w:jc w:val="center"/>
              <w:rPr>
                <w:rFonts w:asciiTheme="majorHAnsi" w:hAnsiTheme="majorHAnsi" w:cstheme="majorHAnsi"/>
                <w:color w:val="000000"/>
                <w:sz w:val="18"/>
                <w:szCs w:val="18"/>
                <w:lang w:val="en-US"/>
              </w:rPr>
            </w:pPr>
            <w:r w:rsidRPr="00977551">
              <w:rPr>
                <w:rFonts w:asciiTheme="majorHAnsi" w:hAnsiTheme="majorHAnsi" w:cstheme="majorHAnsi"/>
                <w:color w:val="000000"/>
                <w:sz w:val="18"/>
                <w:szCs w:val="18"/>
                <w:lang w:val="en-US"/>
              </w:rPr>
              <w:t>18</w:t>
            </w:r>
          </w:p>
        </w:tc>
        <w:tc>
          <w:tcPr>
            <w:tcW w:w="1018"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C95EEB" w:rsidRPr="00977551" w:rsidP="00091B2E" w14:paraId="618F11E9" w14:textId="310C494F">
            <w:pPr>
              <w:jc w:val="center"/>
              <w:rPr>
                <w:rFonts w:asciiTheme="majorHAnsi" w:hAnsiTheme="majorHAnsi" w:cstheme="majorHAnsi"/>
                <w:color w:val="000000"/>
                <w:sz w:val="18"/>
                <w:szCs w:val="18"/>
                <w:lang w:val="en-US"/>
              </w:rPr>
            </w:pPr>
            <w:r w:rsidRPr="00977551">
              <w:rPr>
                <w:rFonts w:asciiTheme="majorHAnsi" w:hAnsiTheme="majorHAnsi" w:cstheme="majorHAnsi"/>
                <w:color w:val="000000"/>
                <w:sz w:val="18"/>
                <w:szCs w:val="18"/>
                <w:lang w:val="en-US"/>
              </w:rPr>
              <w:t>1</w:t>
            </w:r>
          </w:p>
        </w:tc>
        <w:tc>
          <w:tcPr>
            <w:tcW w:w="1010"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C95EEB" w:rsidRPr="00977551" w:rsidP="00091B2E" w14:paraId="48AF1107" w14:textId="2B779C09">
            <w:pPr>
              <w:jc w:val="center"/>
              <w:rPr>
                <w:rFonts w:asciiTheme="majorHAnsi" w:hAnsiTheme="majorHAnsi" w:cstheme="majorHAnsi"/>
                <w:color w:val="000000"/>
                <w:sz w:val="18"/>
                <w:szCs w:val="18"/>
                <w:lang w:val="en-US"/>
              </w:rPr>
            </w:pPr>
            <w:r w:rsidRPr="00977551">
              <w:rPr>
                <w:rFonts w:asciiTheme="majorHAnsi" w:hAnsiTheme="majorHAnsi" w:cstheme="majorHAnsi"/>
                <w:color w:val="000000"/>
                <w:sz w:val="18"/>
                <w:szCs w:val="18"/>
                <w:lang w:val="en-US"/>
              </w:rPr>
              <w:t>2</w:t>
            </w:r>
          </w:p>
        </w:tc>
        <w:tc>
          <w:tcPr>
            <w:tcW w:w="2340" w:type="dxa"/>
            <w:tcBorders>
              <w:top w:val="dotted" w:sz="4"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C95EEB" w:rsidRPr="00977551" w:rsidP="00091B2E" w14:paraId="7F2D1D45" w14:textId="3961AE43">
            <w:pPr>
              <w:rPr>
                <w:rFonts w:asciiTheme="majorHAnsi" w:hAnsiTheme="majorHAnsi" w:cstheme="majorHAnsi"/>
                <w:color w:val="000000"/>
                <w:sz w:val="18"/>
                <w:szCs w:val="18"/>
                <w:lang w:val="en-US"/>
              </w:rPr>
            </w:pPr>
            <w:r w:rsidRPr="00977551">
              <w:rPr>
                <w:rFonts w:asciiTheme="majorHAnsi" w:hAnsiTheme="majorHAnsi" w:cstheme="majorHAnsi"/>
                <w:color w:val="000000"/>
                <w:sz w:val="18"/>
                <w:szCs w:val="18"/>
                <w:lang w:val="en-US"/>
              </w:rPr>
              <w:t>Standard avg of 9 transfers from last renewal has decreased to 8.</w:t>
            </w:r>
          </w:p>
        </w:tc>
      </w:tr>
      <w:tr w14:paraId="7C26B3B5"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C95EEB" w:rsidRPr="00977551" w:rsidP="00091B2E" w14:paraId="31797C3D" w14:textId="0EA29A69">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Fees &amp; Cost Recovery</w:t>
            </w:r>
          </w:p>
        </w:tc>
        <w:tc>
          <w:tcPr>
            <w:tcW w:w="1020"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1C9FFEFD" w14:textId="61460081">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4105E6AF" w14:textId="4DEFFCF9">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987"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1A6F98F3" w14:textId="6CC445E6">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987"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464B5FCB" w14:textId="58847689">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1018"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hideMark/>
          </w:tcPr>
          <w:p w:rsidR="00C95EEB" w:rsidRPr="00977551" w:rsidP="00091B2E" w14:paraId="54A6CD74" w14:textId="17C41249">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13</w:t>
            </w:r>
          </w:p>
        </w:tc>
        <w:tc>
          <w:tcPr>
            <w:tcW w:w="1010"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1E24CBC3" w14:textId="57FE35A3">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12</w:t>
            </w:r>
          </w:p>
        </w:tc>
        <w:tc>
          <w:tcPr>
            <w:tcW w:w="2340" w:type="dxa"/>
            <w:tcBorders>
              <w:top w:val="dotted" w:sz="4"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hideMark/>
          </w:tcPr>
          <w:p w:rsidR="00C95EEB" w:rsidRPr="00977551" w:rsidP="00091B2E" w14:paraId="04A9AB8B" w14:textId="0C248837">
            <w:pP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 </w:t>
            </w:r>
            <w:r w:rsidRPr="00977551" w:rsidR="007715DD">
              <w:rPr>
                <w:rFonts w:asciiTheme="majorHAnsi" w:hAnsiTheme="majorHAnsi" w:cstheme="majorHAnsi"/>
                <w:color w:val="000000"/>
                <w:sz w:val="18"/>
                <w:szCs w:val="18"/>
                <w:lang w:val="en-US"/>
              </w:rPr>
              <w:t>Increase in # of respondents</w:t>
            </w:r>
          </w:p>
        </w:tc>
      </w:tr>
      <w:tr w14:paraId="70E0EBF8" w14:textId="77777777" w:rsidTr="00977551">
        <w:tblPrEx>
          <w:tblW w:w="10980" w:type="dxa"/>
          <w:tblInd w:w="-730" w:type="dxa"/>
          <w:tblCellMar>
            <w:top w:w="15" w:type="dxa"/>
            <w:left w:w="15" w:type="dxa"/>
            <w:bottom w:w="15" w:type="dxa"/>
            <w:right w:w="15" w:type="dxa"/>
          </w:tblCellMar>
          <w:tblLook w:val="04A0"/>
        </w:tblPrEx>
        <w:trPr>
          <w:trHeight w:val="465"/>
        </w:trPr>
        <w:tc>
          <w:tcPr>
            <w:tcW w:w="2631" w:type="dxa"/>
            <w:tcBorders>
              <w:top w:val="single" w:sz="8" w:space="0" w:color="000000"/>
              <w:left w:val="single"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hideMark/>
          </w:tcPr>
          <w:p w:rsidR="003F7254" w:rsidRPr="00977551" w:rsidP="00091B2E" w14:paraId="73C91A24"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Total for Collection</w:t>
            </w:r>
          </w:p>
        </w:tc>
        <w:tc>
          <w:tcPr>
            <w:tcW w:w="1020"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hideMark/>
          </w:tcPr>
          <w:p w:rsidR="003F7254" w:rsidRPr="00977551" w:rsidP="00091B2E" w14:paraId="04FCCCCB" w14:textId="088AA122">
            <w:pPr>
              <w:jc w:val="center"/>
              <w:rPr>
                <w:rFonts w:asciiTheme="majorHAnsi" w:hAnsiTheme="majorHAnsi" w:cstheme="majorHAnsi"/>
                <w:sz w:val="18"/>
                <w:szCs w:val="18"/>
                <w:lang w:val="en-US"/>
              </w:rPr>
            </w:pPr>
            <w:r>
              <w:rPr>
                <w:rFonts w:asciiTheme="majorHAnsi" w:hAnsiTheme="majorHAnsi" w:cstheme="majorHAnsi"/>
                <w:b/>
                <w:bCs/>
                <w:color w:val="000000"/>
                <w:sz w:val="18"/>
                <w:szCs w:val="18"/>
                <w:lang w:val="en-US"/>
              </w:rPr>
              <w:t>55</w:t>
            </w:r>
          </w:p>
        </w:tc>
        <w:tc>
          <w:tcPr>
            <w:tcW w:w="987"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hideMark/>
          </w:tcPr>
          <w:p w:rsidR="003F7254" w:rsidRPr="00977551" w:rsidP="00091B2E" w14:paraId="71494902" w14:textId="133D9DB4">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54</w:t>
            </w:r>
          </w:p>
        </w:tc>
        <w:tc>
          <w:tcPr>
            <w:tcW w:w="987"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hideMark/>
          </w:tcPr>
          <w:p w:rsidR="003F7254" w:rsidRPr="00977551" w:rsidP="00091B2E" w14:paraId="2382B396" w14:textId="277A2080">
            <w:pPr>
              <w:jc w:val="center"/>
              <w:rPr>
                <w:rFonts w:asciiTheme="majorHAnsi" w:hAnsiTheme="majorHAnsi" w:cstheme="majorHAnsi"/>
                <w:sz w:val="18"/>
                <w:szCs w:val="18"/>
                <w:lang w:val="en-US"/>
              </w:rPr>
            </w:pPr>
            <w:r w:rsidRPr="00496291">
              <w:rPr>
                <w:rFonts w:asciiTheme="majorHAnsi" w:hAnsiTheme="majorHAnsi" w:cstheme="majorHAnsi"/>
                <w:b/>
                <w:bCs/>
                <w:color w:val="000000"/>
                <w:sz w:val="18"/>
                <w:szCs w:val="18"/>
                <w:lang w:val="en-US"/>
              </w:rPr>
              <w:t>55</w:t>
            </w:r>
          </w:p>
        </w:tc>
        <w:tc>
          <w:tcPr>
            <w:tcW w:w="987"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hideMark/>
          </w:tcPr>
          <w:p w:rsidR="003F7254" w:rsidRPr="00977551" w:rsidP="00091B2E" w14:paraId="68303DA8" w14:textId="61034CDC">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54</w:t>
            </w:r>
          </w:p>
        </w:tc>
        <w:tc>
          <w:tcPr>
            <w:tcW w:w="1018"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hideMark/>
          </w:tcPr>
          <w:p w:rsidR="003F7254" w:rsidRPr="00977551" w:rsidP="00091B2E" w14:paraId="1DBA50C4" w14:textId="519BCC8E">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18</w:t>
            </w:r>
          </w:p>
        </w:tc>
        <w:tc>
          <w:tcPr>
            <w:tcW w:w="1010"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hideMark/>
          </w:tcPr>
          <w:p w:rsidR="003F7254" w:rsidRPr="00977551" w:rsidP="00091B2E" w14:paraId="0FB936EA" w14:textId="0AC8BA32">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18</w:t>
            </w:r>
          </w:p>
        </w:tc>
        <w:tc>
          <w:tcPr>
            <w:tcW w:w="2340" w:type="dxa"/>
            <w:tcBorders>
              <w:top w:val="dotted" w:sz="4"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hideMark/>
          </w:tcPr>
          <w:p w:rsidR="003F7254" w:rsidRPr="00977551" w:rsidP="00091B2E" w14:paraId="4F7C5BF7"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 </w:t>
            </w:r>
          </w:p>
        </w:tc>
      </w:tr>
      <w:tr w14:paraId="580C0A0B" w14:textId="77777777" w:rsidTr="00977551">
        <w:tblPrEx>
          <w:tblW w:w="10980" w:type="dxa"/>
          <w:tblInd w:w="-730" w:type="dxa"/>
          <w:tblCellMar>
            <w:top w:w="15" w:type="dxa"/>
            <w:left w:w="15" w:type="dxa"/>
            <w:bottom w:w="15" w:type="dxa"/>
            <w:right w:w="15" w:type="dxa"/>
          </w:tblCellMar>
          <w:tblLook w:val="04A0"/>
        </w:tblPrEx>
        <w:trPr>
          <w:trHeight w:val="315"/>
        </w:trPr>
        <w:tc>
          <w:tcPr>
            <w:tcW w:w="2631" w:type="dxa"/>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hideMark/>
          </w:tcPr>
          <w:p w:rsidR="003F7254" w:rsidRPr="00977551" w:rsidP="00091B2E" w14:paraId="7FC96FBE"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Difference</w:t>
            </w:r>
          </w:p>
        </w:tc>
        <w:tc>
          <w:tcPr>
            <w:tcW w:w="2007" w:type="dxa"/>
            <w:gridSpan w:val="2"/>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hideMark/>
          </w:tcPr>
          <w:p w:rsidR="003F7254" w:rsidRPr="00977551" w:rsidP="00091B2E" w14:paraId="6DD0C687" w14:textId="36A63DE5">
            <w:pPr>
              <w:jc w:val="center"/>
              <w:rPr>
                <w:rFonts w:asciiTheme="majorHAnsi" w:hAnsiTheme="majorHAnsi" w:cstheme="majorHAnsi"/>
                <w:sz w:val="18"/>
                <w:szCs w:val="18"/>
                <w:lang w:val="en-US"/>
              </w:rPr>
            </w:pPr>
            <w:r>
              <w:rPr>
                <w:rFonts w:asciiTheme="majorHAnsi" w:hAnsiTheme="majorHAnsi" w:cstheme="majorHAnsi"/>
                <w:color w:val="000000"/>
                <w:sz w:val="18"/>
                <w:szCs w:val="18"/>
                <w:lang w:val="en-US"/>
              </w:rPr>
              <w:t>1</w:t>
            </w:r>
          </w:p>
        </w:tc>
        <w:tc>
          <w:tcPr>
            <w:tcW w:w="1974" w:type="dxa"/>
            <w:gridSpan w:val="2"/>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hideMark/>
          </w:tcPr>
          <w:p w:rsidR="003F7254" w:rsidRPr="00977551" w:rsidP="00091B2E" w14:paraId="7D5D28A4" w14:textId="17B575EF">
            <w:pPr>
              <w:jc w:val="center"/>
              <w:rPr>
                <w:rFonts w:asciiTheme="majorHAnsi" w:hAnsiTheme="majorHAnsi" w:cstheme="majorHAnsi"/>
                <w:sz w:val="18"/>
                <w:szCs w:val="18"/>
                <w:lang w:val="en-US"/>
              </w:rPr>
            </w:pPr>
            <w:r w:rsidRPr="00496291">
              <w:rPr>
                <w:rFonts w:asciiTheme="majorHAnsi" w:hAnsiTheme="majorHAnsi" w:cstheme="majorHAnsi"/>
                <w:color w:val="000000"/>
                <w:sz w:val="18"/>
                <w:szCs w:val="18"/>
                <w:lang w:val="en-US"/>
              </w:rPr>
              <w:t>1</w:t>
            </w:r>
          </w:p>
        </w:tc>
        <w:tc>
          <w:tcPr>
            <w:tcW w:w="2028" w:type="dxa"/>
            <w:gridSpan w:val="2"/>
            <w:tcBorders>
              <w:top w:val="single" w:sz="8" w:space="0" w:color="000000"/>
              <w:left w:val="single" w:sz="8" w:space="0" w:color="000000"/>
              <w:bottom w:val="single" w:sz="8" w:space="0" w:color="000000"/>
              <w:right w:val="single" w:sz="4" w:space="0" w:color="000000"/>
            </w:tcBorders>
            <w:shd w:val="clear" w:color="auto" w:fill="FCE4D6"/>
            <w:tcMar>
              <w:top w:w="0" w:type="dxa"/>
              <w:left w:w="115" w:type="dxa"/>
              <w:bottom w:w="0" w:type="dxa"/>
              <w:right w:w="115" w:type="dxa"/>
            </w:tcMar>
            <w:vAlign w:val="bottom"/>
            <w:hideMark/>
          </w:tcPr>
          <w:p w:rsidR="003F7254" w:rsidRPr="00977551" w:rsidP="00091B2E" w14:paraId="79ED28AA" w14:textId="56A875A1">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0</w:t>
            </w:r>
          </w:p>
        </w:tc>
        <w:tc>
          <w:tcPr>
            <w:tcW w:w="2340" w:type="dxa"/>
            <w:tcBorders>
              <w:top w:val="single" w:sz="8" w:space="0" w:color="000000"/>
              <w:left w:val="single" w:sz="4" w:space="0" w:color="000000"/>
              <w:bottom w:val="single" w:sz="8" w:space="0" w:color="000000"/>
              <w:right w:val="single" w:sz="8" w:space="0" w:color="000000"/>
            </w:tcBorders>
            <w:shd w:val="clear" w:color="auto" w:fill="000000"/>
            <w:tcMar>
              <w:top w:w="0" w:type="dxa"/>
              <w:left w:w="115" w:type="dxa"/>
              <w:bottom w:w="0" w:type="dxa"/>
              <w:right w:w="115" w:type="dxa"/>
            </w:tcMar>
            <w:vAlign w:val="bottom"/>
            <w:hideMark/>
          </w:tcPr>
          <w:p w:rsidR="003F7254" w:rsidRPr="00977551" w:rsidP="00091B2E" w14:paraId="1A3E0329" w14:textId="77777777">
            <w:pP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 </w:t>
            </w:r>
          </w:p>
        </w:tc>
      </w:tr>
    </w:tbl>
    <w:p w:rsidR="00C95EEB" w:rsidP="00091B2E" w14:paraId="537F7FAF" w14:textId="77777777">
      <w:pPr>
        <w:spacing w:before="240"/>
        <w:rPr>
          <w:sz w:val="24"/>
          <w:szCs w:val="24"/>
          <w:highlight w:val="yellow"/>
        </w:rPr>
      </w:pPr>
    </w:p>
    <w:tbl>
      <w:tblPr>
        <w:tblW w:w="0" w:type="auto"/>
        <w:jc w:val="center"/>
        <w:tblCellMar>
          <w:top w:w="15" w:type="dxa"/>
          <w:left w:w="15" w:type="dxa"/>
          <w:bottom w:w="15" w:type="dxa"/>
          <w:right w:w="15" w:type="dxa"/>
        </w:tblCellMar>
        <w:tblLook w:val="04A0"/>
      </w:tblPr>
      <w:tblGrid>
        <w:gridCol w:w="3590"/>
        <w:gridCol w:w="805"/>
        <w:gridCol w:w="900"/>
        <w:gridCol w:w="3060"/>
      </w:tblGrid>
      <w:tr w14:paraId="0C83A7E1"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E10EF4" w:rsidRPr="00977551" w:rsidP="00091B2E" w14:paraId="7EC92F3F"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Information Collection</w:t>
            </w:r>
          </w:p>
        </w:tc>
        <w:tc>
          <w:tcPr>
            <w:tcW w:w="1705" w:type="dxa"/>
            <w:gridSpan w:val="2"/>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E10EF4" w:rsidRPr="00977551" w:rsidP="00091B2E" w14:paraId="072673AF"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Miscellaneous Costs</w:t>
            </w:r>
          </w:p>
        </w:tc>
        <w:tc>
          <w:tcPr>
            <w:tcW w:w="3060" w:type="dxa"/>
            <w:vMerge w:val="restart"/>
            <w:tcBorders>
              <w:top w:val="single" w:sz="12" w:space="0" w:color="000000"/>
              <w:left w:val="single" w:sz="12" w:space="0" w:color="000000"/>
              <w:bottom w:val="single" w:sz="12" w:space="0" w:color="000000"/>
              <w:right w:val="single" w:sz="12" w:space="0" w:color="000000"/>
            </w:tcBorders>
            <w:shd w:val="clear" w:color="auto" w:fill="5B9BD5"/>
            <w:tcMar>
              <w:top w:w="0" w:type="dxa"/>
              <w:left w:w="40" w:type="dxa"/>
              <w:bottom w:w="0" w:type="dxa"/>
              <w:right w:w="40" w:type="dxa"/>
            </w:tcMar>
            <w:vAlign w:val="center"/>
            <w:hideMark/>
          </w:tcPr>
          <w:p w:rsidR="00E10EF4" w:rsidRPr="00977551" w:rsidP="00091B2E" w14:paraId="6930B459"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Reason for change or adjustment</w:t>
            </w:r>
          </w:p>
        </w:tc>
      </w:tr>
      <w:tr w14:paraId="56F339AC"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E10EF4" w:rsidRPr="00977551" w:rsidP="00091B2E" w14:paraId="31CC2BA5" w14:textId="77777777">
            <w:pPr>
              <w:rPr>
                <w:rFonts w:asciiTheme="majorHAnsi" w:hAnsiTheme="majorHAnsi" w:cstheme="majorHAnsi"/>
                <w:sz w:val="18"/>
                <w:szCs w:val="18"/>
                <w:lang w:val="en-US"/>
              </w:rPr>
            </w:pPr>
          </w:p>
        </w:tc>
        <w:tc>
          <w:tcPr>
            <w:tcW w:w="805" w:type="dxa"/>
            <w:tcBorders>
              <w:top w:val="single" w:sz="12" w:space="0" w:color="000000"/>
              <w:left w:val="single" w:sz="12" w:space="0" w:color="000000"/>
              <w:bottom w:val="single" w:sz="12" w:space="0" w:color="000000"/>
              <w:right w:val="single" w:sz="6" w:space="0" w:color="CCCCCC"/>
            </w:tcBorders>
            <w:shd w:val="clear" w:color="auto" w:fill="FBE4D5"/>
            <w:tcMar>
              <w:top w:w="0" w:type="dxa"/>
              <w:left w:w="40" w:type="dxa"/>
              <w:bottom w:w="0" w:type="dxa"/>
              <w:right w:w="40" w:type="dxa"/>
            </w:tcMar>
            <w:vAlign w:val="center"/>
            <w:hideMark/>
          </w:tcPr>
          <w:p w:rsidR="00E10EF4" w:rsidRPr="00977551" w:rsidP="00091B2E" w14:paraId="00B328AB"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Current</w:t>
            </w:r>
          </w:p>
        </w:tc>
        <w:tc>
          <w:tcPr>
            <w:tcW w:w="900" w:type="dxa"/>
            <w:tcBorders>
              <w:top w:val="single" w:sz="12" w:space="0" w:color="000000"/>
              <w:left w:val="single" w:sz="6" w:space="0" w:color="CCCCCC"/>
              <w:bottom w:val="single" w:sz="12" w:space="0" w:color="000000"/>
              <w:right w:val="single" w:sz="12" w:space="0" w:color="000000"/>
            </w:tcBorders>
            <w:shd w:val="clear" w:color="auto" w:fill="FBE4D5"/>
            <w:tcMar>
              <w:top w:w="0" w:type="dxa"/>
              <w:left w:w="40" w:type="dxa"/>
              <w:bottom w:w="0" w:type="dxa"/>
              <w:right w:w="40" w:type="dxa"/>
            </w:tcMar>
            <w:vAlign w:val="center"/>
            <w:hideMark/>
          </w:tcPr>
          <w:p w:rsidR="00E10EF4" w:rsidRPr="00977551" w:rsidP="00091B2E" w14:paraId="742BE5C9" w14:textId="77777777">
            <w:pPr>
              <w:jc w:val="center"/>
              <w:rPr>
                <w:rFonts w:asciiTheme="majorHAnsi" w:hAnsiTheme="majorHAnsi" w:cstheme="majorHAnsi"/>
                <w:sz w:val="18"/>
                <w:szCs w:val="18"/>
                <w:lang w:val="en-US"/>
              </w:rPr>
            </w:pPr>
            <w:r w:rsidRPr="00977551">
              <w:rPr>
                <w:rFonts w:asciiTheme="majorHAnsi" w:hAnsiTheme="majorHAnsi" w:cstheme="majorHAnsi"/>
                <w:color w:val="000000"/>
                <w:sz w:val="18"/>
                <w:szCs w:val="18"/>
                <w:lang w:val="en-US"/>
              </w:rPr>
              <w:t>Previous</w:t>
            </w:r>
          </w:p>
        </w:tc>
        <w:tc>
          <w:tcPr>
            <w:tcW w:w="3060" w:type="dxa"/>
            <w:vMerge/>
            <w:tcBorders>
              <w:top w:val="single" w:sz="12" w:space="0" w:color="000000"/>
              <w:left w:val="single" w:sz="12" w:space="0" w:color="000000"/>
              <w:bottom w:val="single" w:sz="12" w:space="0" w:color="000000"/>
              <w:right w:val="single" w:sz="12" w:space="0" w:color="000000"/>
            </w:tcBorders>
            <w:vAlign w:val="center"/>
            <w:hideMark/>
          </w:tcPr>
          <w:p w:rsidR="00E10EF4" w:rsidRPr="00977551" w:rsidP="00091B2E" w14:paraId="531B3CAA" w14:textId="77777777">
            <w:pPr>
              <w:rPr>
                <w:rFonts w:asciiTheme="majorHAnsi" w:hAnsiTheme="majorHAnsi" w:cstheme="majorHAnsi"/>
                <w:sz w:val="18"/>
                <w:szCs w:val="18"/>
                <w:lang w:val="en-US"/>
              </w:rPr>
            </w:pPr>
          </w:p>
        </w:tc>
      </w:tr>
      <w:tr w14:paraId="25A58518"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center"/>
            <w:hideMark/>
          </w:tcPr>
          <w:p w:rsidR="00E10EF4" w:rsidRPr="00977551" w:rsidP="00091B2E" w14:paraId="4BF85540" w14:textId="28FB0D9B">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Application for IFQ Allocation Permits</w:t>
            </w:r>
          </w:p>
        </w:tc>
        <w:tc>
          <w:tcPr>
            <w:tcW w:w="805" w:type="dxa"/>
            <w:tcBorders>
              <w:top w:val="single" w:sz="12" w:space="0" w:color="000000"/>
              <w:left w:val="single" w:sz="12" w:space="0" w:color="000000"/>
              <w:bottom w:val="single" w:sz="6" w:space="0" w:color="CCCCCC"/>
              <w:right w:val="single" w:sz="6" w:space="0" w:color="CCCCCC"/>
            </w:tcBorders>
            <w:tcMar>
              <w:top w:w="0" w:type="dxa"/>
              <w:left w:w="40" w:type="dxa"/>
              <w:bottom w:w="0" w:type="dxa"/>
              <w:right w:w="40" w:type="dxa"/>
            </w:tcMar>
            <w:vAlign w:val="center"/>
            <w:hideMark/>
          </w:tcPr>
          <w:p w:rsidR="00E10EF4" w:rsidRPr="00977551" w:rsidP="00091B2E" w14:paraId="10EB42F5" w14:textId="25C99CAB">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$10</w:t>
            </w:r>
          </w:p>
        </w:tc>
        <w:tc>
          <w:tcPr>
            <w:tcW w:w="900" w:type="dxa"/>
            <w:tcBorders>
              <w:top w:val="single" w:sz="12" w:space="0" w:color="000000"/>
              <w:left w:val="single" w:sz="6" w:space="0" w:color="CCCCCC"/>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2C746827" w14:textId="11076098">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$8</w:t>
            </w:r>
          </w:p>
        </w:tc>
        <w:tc>
          <w:tcPr>
            <w:tcW w:w="3060" w:type="dxa"/>
            <w:tcBorders>
              <w:top w:val="single" w:sz="12" w:space="0" w:color="000000"/>
              <w:left w:val="single" w:sz="12" w:space="0" w:color="000000"/>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08CC6E06" w14:textId="167E43C3">
            <w:pPr>
              <w:rPr>
                <w:rFonts w:asciiTheme="majorHAnsi" w:hAnsiTheme="majorHAnsi" w:cstheme="majorHAnsi"/>
                <w:sz w:val="18"/>
                <w:szCs w:val="18"/>
                <w:lang w:val="en-US"/>
              </w:rPr>
            </w:pPr>
            <w:r w:rsidRPr="00977551">
              <w:rPr>
                <w:rFonts w:asciiTheme="majorHAnsi" w:hAnsiTheme="majorHAnsi" w:cstheme="majorHAnsi"/>
                <w:sz w:val="18"/>
                <w:szCs w:val="18"/>
                <w:lang w:val="en-US"/>
              </w:rPr>
              <w:t>Increase of postage</w:t>
            </w:r>
          </w:p>
        </w:tc>
      </w:tr>
      <w:tr w14:paraId="38FE79BA"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center"/>
            <w:hideMark/>
          </w:tcPr>
          <w:p w:rsidR="00E10EF4" w:rsidRPr="00977551" w:rsidP="00091B2E" w14:paraId="59EFA3F0" w14:textId="4245C402">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Tilefish IFQ Allocation Interest Declaration Form</w:t>
            </w:r>
          </w:p>
        </w:tc>
        <w:tc>
          <w:tcPr>
            <w:tcW w:w="805" w:type="dxa"/>
            <w:tcBorders>
              <w:top w:val="single" w:sz="6" w:space="0" w:color="CCCCCC"/>
              <w:left w:val="single" w:sz="12" w:space="0" w:color="000000"/>
              <w:bottom w:val="single" w:sz="6" w:space="0" w:color="CCCCCC"/>
              <w:right w:val="single" w:sz="6" w:space="0" w:color="CCCCCC"/>
            </w:tcBorders>
            <w:tcMar>
              <w:top w:w="0" w:type="dxa"/>
              <w:left w:w="40" w:type="dxa"/>
              <w:bottom w:w="0" w:type="dxa"/>
              <w:right w:w="40" w:type="dxa"/>
            </w:tcMar>
            <w:vAlign w:val="center"/>
            <w:hideMark/>
          </w:tcPr>
          <w:p w:rsidR="00E10EF4" w:rsidRPr="00977551" w:rsidP="00091B2E" w14:paraId="59710D32" w14:textId="661E30F2">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$10</w:t>
            </w:r>
          </w:p>
        </w:tc>
        <w:tc>
          <w:tcPr>
            <w:tcW w:w="900" w:type="dxa"/>
            <w:tcBorders>
              <w:top w:val="single" w:sz="6" w:space="0" w:color="CCCCCC"/>
              <w:left w:val="single" w:sz="6" w:space="0" w:color="CCCCCC"/>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61141D4A" w14:textId="2EEA8CA5">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$8</w:t>
            </w:r>
          </w:p>
        </w:tc>
        <w:tc>
          <w:tcPr>
            <w:tcW w:w="3060" w:type="dxa"/>
            <w:tcBorders>
              <w:top w:val="single" w:sz="6" w:space="0" w:color="CCCCCC"/>
              <w:left w:val="single" w:sz="12" w:space="0" w:color="000000"/>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5BB48FD3" w14:textId="143C7AD4">
            <w:pPr>
              <w:rPr>
                <w:rFonts w:asciiTheme="majorHAnsi" w:hAnsiTheme="majorHAnsi" w:cstheme="majorHAnsi"/>
                <w:sz w:val="18"/>
                <w:szCs w:val="18"/>
                <w:lang w:val="en-US"/>
              </w:rPr>
            </w:pPr>
            <w:r w:rsidRPr="00977551">
              <w:rPr>
                <w:rFonts w:asciiTheme="majorHAnsi" w:hAnsiTheme="majorHAnsi" w:cstheme="majorHAnsi"/>
                <w:sz w:val="18"/>
                <w:szCs w:val="18"/>
                <w:lang w:val="en-US"/>
              </w:rPr>
              <w:t>Increase of postage</w:t>
            </w:r>
          </w:p>
        </w:tc>
      </w:tr>
      <w:tr w14:paraId="4165689E"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center"/>
            <w:hideMark/>
          </w:tcPr>
          <w:p w:rsidR="00E10EF4" w:rsidRPr="00977551" w:rsidP="00091B2E" w14:paraId="1590B9E0" w14:textId="097D4C42">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Request to Transfer Tilefish IFQ Allocation</w:t>
            </w:r>
          </w:p>
        </w:tc>
        <w:tc>
          <w:tcPr>
            <w:tcW w:w="805" w:type="dxa"/>
            <w:tcBorders>
              <w:top w:val="single" w:sz="6" w:space="0" w:color="CCCCCC"/>
              <w:left w:val="single" w:sz="12" w:space="0" w:color="000000"/>
              <w:bottom w:val="single" w:sz="6" w:space="0" w:color="CCCCCC"/>
              <w:right w:val="single" w:sz="6" w:space="0" w:color="CCCCCC"/>
            </w:tcBorders>
            <w:tcMar>
              <w:top w:w="0" w:type="dxa"/>
              <w:left w:w="40" w:type="dxa"/>
              <w:bottom w:w="0" w:type="dxa"/>
              <w:right w:w="40" w:type="dxa"/>
            </w:tcMar>
            <w:vAlign w:val="center"/>
            <w:hideMark/>
          </w:tcPr>
          <w:p w:rsidR="00E10EF4" w:rsidRPr="00977551" w:rsidP="00091B2E" w14:paraId="6C379007" w14:textId="138B7112">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$14</w:t>
            </w:r>
          </w:p>
        </w:tc>
        <w:tc>
          <w:tcPr>
            <w:tcW w:w="900" w:type="dxa"/>
            <w:tcBorders>
              <w:top w:val="single" w:sz="6" w:space="0" w:color="CCCCCC"/>
              <w:left w:val="single" w:sz="6" w:space="0" w:color="CCCCCC"/>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2A9D4B97" w14:textId="01A529DD">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$14</w:t>
            </w:r>
          </w:p>
        </w:tc>
        <w:tc>
          <w:tcPr>
            <w:tcW w:w="3060" w:type="dxa"/>
            <w:tcBorders>
              <w:top w:val="single" w:sz="6" w:space="0" w:color="CCCCCC"/>
              <w:left w:val="single" w:sz="12" w:space="0" w:color="000000"/>
              <w:bottom w:val="single" w:sz="6" w:space="0" w:color="CCCCCC"/>
              <w:right w:val="single" w:sz="12" w:space="0" w:color="000000"/>
            </w:tcBorders>
            <w:tcMar>
              <w:top w:w="0" w:type="dxa"/>
              <w:left w:w="40" w:type="dxa"/>
              <w:bottom w:w="0" w:type="dxa"/>
              <w:right w:w="40" w:type="dxa"/>
            </w:tcMar>
            <w:vAlign w:val="center"/>
            <w:hideMark/>
          </w:tcPr>
          <w:p w:rsidR="00E10EF4" w:rsidRPr="00977551" w:rsidP="00091B2E" w14:paraId="6F699AD2" w14:textId="4485B105">
            <w:pPr>
              <w:rPr>
                <w:rFonts w:asciiTheme="majorHAnsi" w:hAnsiTheme="majorHAnsi" w:cstheme="majorHAnsi"/>
                <w:sz w:val="18"/>
                <w:szCs w:val="18"/>
                <w:lang w:val="en-US"/>
              </w:rPr>
            </w:pPr>
            <w:r w:rsidRPr="00977551">
              <w:rPr>
                <w:rFonts w:asciiTheme="majorHAnsi" w:hAnsiTheme="majorHAnsi" w:cstheme="majorHAnsi"/>
                <w:sz w:val="18"/>
                <w:szCs w:val="18"/>
                <w:lang w:val="en-US"/>
              </w:rPr>
              <w:t>No Change</w:t>
            </w:r>
          </w:p>
        </w:tc>
      </w:tr>
      <w:tr w14:paraId="3D5D39BB"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center"/>
            <w:hideMark/>
          </w:tcPr>
          <w:p w:rsidR="00E10EF4" w:rsidRPr="00977551" w:rsidP="00091B2E" w14:paraId="6A6B58D3" w14:textId="26E3370D">
            <w:pPr>
              <w:rPr>
                <w:rFonts w:asciiTheme="majorHAnsi" w:hAnsiTheme="majorHAnsi" w:cstheme="majorHAnsi"/>
                <w:sz w:val="18"/>
                <w:szCs w:val="18"/>
                <w:lang w:val="en-US"/>
              </w:rPr>
            </w:pPr>
            <w:r w:rsidRPr="00977551">
              <w:rPr>
                <w:rFonts w:eastAsia="Calibri" w:asciiTheme="majorHAnsi" w:hAnsiTheme="majorHAnsi" w:cstheme="majorHAnsi"/>
                <w:color w:val="000000"/>
                <w:sz w:val="18"/>
                <w:szCs w:val="18"/>
              </w:rPr>
              <w:t>Fees &amp; Cost Recovery</w:t>
            </w:r>
          </w:p>
        </w:tc>
        <w:tc>
          <w:tcPr>
            <w:tcW w:w="805" w:type="dxa"/>
            <w:tcBorders>
              <w:top w:val="single" w:sz="6" w:space="0" w:color="CCCCCC"/>
              <w:left w:val="single" w:sz="12" w:space="0" w:color="000000"/>
              <w:bottom w:val="single" w:sz="6" w:space="0" w:color="000000"/>
              <w:right w:val="single" w:sz="6" w:space="0" w:color="CCCCCC"/>
            </w:tcBorders>
            <w:tcMar>
              <w:top w:w="0" w:type="dxa"/>
              <w:left w:w="40" w:type="dxa"/>
              <w:bottom w:w="0" w:type="dxa"/>
              <w:right w:w="40" w:type="dxa"/>
            </w:tcMar>
            <w:vAlign w:val="center"/>
            <w:hideMark/>
          </w:tcPr>
          <w:p w:rsidR="00E10EF4" w:rsidRPr="00977551" w:rsidP="00091B2E" w14:paraId="333B9848" w14:textId="5244F70A">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$0</w:t>
            </w:r>
          </w:p>
        </w:tc>
        <w:tc>
          <w:tcPr>
            <w:tcW w:w="900" w:type="dxa"/>
            <w:tcBorders>
              <w:top w:val="single" w:sz="6" w:space="0" w:color="CCCCCC"/>
              <w:left w:val="single" w:sz="6" w:space="0" w:color="CCCCCC"/>
              <w:bottom w:val="single" w:sz="6" w:space="0" w:color="000000"/>
              <w:right w:val="single" w:sz="12" w:space="0" w:color="000000"/>
            </w:tcBorders>
            <w:tcMar>
              <w:top w:w="0" w:type="dxa"/>
              <w:left w:w="40" w:type="dxa"/>
              <w:bottom w:w="0" w:type="dxa"/>
              <w:right w:w="40" w:type="dxa"/>
            </w:tcMar>
            <w:vAlign w:val="center"/>
            <w:hideMark/>
          </w:tcPr>
          <w:p w:rsidR="00E10EF4" w:rsidRPr="00977551" w:rsidP="00091B2E" w14:paraId="104DBEC7" w14:textId="5C73B2F9">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$0</w:t>
            </w:r>
          </w:p>
        </w:tc>
        <w:tc>
          <w:tcPr>
            <w:tcW w:w="3060" w:type="dxa"/>
            <w:tcBorders>
              <w:top w:val="single" w:sz="6" w:space="0" w:color="CCCCCC"/>
              <w:left w:val="single" w:sz="12" w:space="0" w:color="000000"/>
              <w:bottom w:val="single" w:sz="6" w:space="0" w:color="000000"/>
              <w:right w:val="single" w:sz="12" w:space="0" w:color="000000"/>
            </w:tcBorders>
            <w:tcMar>
              <w:top w:w="0" w:type="dxa"/>
              <w:left w:w="40" w:type="dxa"/>
              <w:bottom w:w="0" w:type="dxa"/>
              <w:right w:w="40" w:type="dxa"/>
            </w:tcMar>
            <w:vAlign w:val="center"/>
            <w:hideMark/>
          </w:tcPr>
          <w:p w:rsidR="00E10EF4" w:rsidRPr="00977551" w:rsidP="00091B2E" w14:paraId="119C89C0" w14:textId="2763EF8F">
            <w:pPr>
              <w:rPr>
                <w:rFonts w:asciiTheme="majorHAnsi" w:hAnsiTheme="majorHAnsi" w:cstheme="majorHAnsi"/>
                <w:sz w:val="18"/>
                <w:szCs w:val="18"/>
                <w:lang w:val="en-US"/>
              </w:rPr>
            </w:pPr>
            <w:r w:rsidRPr="00977551">
              <w:rPr>
                <w:rFonts w:asciiTheme="majorHAnsi" w:hAnsiTheme="majorHAnsi" w:cstheme="majorHAnsi"/>
                <w:sz w:val="18"/>
                <w:szCs w:val="18"/>
                <w:lang w:val="en-US"/>
              </w:rPr>
              <w:t>No Change</w:t>
            </w:r>
          </w:p>
        </w:tc>
      </w:tr>
      <w:tr w14:paraId="33D57A51" w14:textId="77777777" w:rsidTr="00091B2E">
        <w:tblPrEx>
          <w:tblW w:w="0" w:type="auto"/>
          <w:jc w:val="center"/>
          <w:tblCellMar>
            <w:top w:w="15" w:type="dxa"/>
            <w:left w:w="15" w:type="dxa"/>
            <w:bottom w:w="15" w:type="dxa"/>
            <w:right w:w="15" w:type="dxa"/>
          </w:tblCellMar>
          <w:tblLook w:val="04A0"/>
        </w:tblPrEx>
        <w:trPr>
          <w:trHeight w:val="465"/>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BDD6EE"/>
            <w:tcMar>
              <w:top w:w="0" w:type="dxa"/>
              <w:left w:w="40" w:type="dxa"/>
              <w:bottom w:w="0" w:type="dxa"/>
              <w:right w:w="40" w:type="dxa"/>
            </w:tcMar>
            <w:vAlign w:val="center"/>
            <w:hideMark/>
          </w:tcPr>
          <w:p w:rsidR="00E10EF4" w:rsidRPr="00977551" w:rsidP="00091B2E" w14:paraId="3C7C9081"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Total for Collection</w:t>
            </w:r>
          </w:p>
        </w:tc>
        <w:tc>
          <w:tcPr>
            <w:tcW w:w="805" w:type="dxa"/>
            <w:tcBorders>
              <w:top w:val="single" w:sz="6" w:space="0" w:color="000000"/>
              <w:left w:val="single" w:sz="12" w:space="0" w:color="000000"/>
              <w:bottom w:val="single" w:sz="12" w:space="0" w:color="000000"/>
              <w:right w:val="single" w:sz="6" w:space="0" w:color="CCCCCC"/>
            </w:tcBorders>
            <w:shd w:val="clear" w:color="auto" w:fill="BDD6EE"/>
            <w:tcMar>
              <w:top w:w="0" w:type="dxa"/>
              <w:left w:w="40" w:type="dxa"/>
              <w:bottom w:w="0" w:type="dxa"/>
              <w:right w:w="40" w:type="dxa"/>
            </w:tcMar>
            <w:vAlign w:val="center"/>
            <w:hideMark/>
          </w:tcPr>
          <w:p w:rsidR="00E10EF4" w:rsidRPr="00977551" w:rsidP="00091B2E" w14:paraId="11C068FA" w14:textId="69BB627D">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$34</w:t>
            </w:r>
          </w:p>
        </w:tc>
        <w:tc>
          <w:tcPr>
            <w:tcW w:w="900" w:type="dxa"/>
            <w:tcBorders>
              <w:top w:val="single" w:sz="6" w:space="0" w:color="000000"/>
              <w:left w:val="single" w:sz="6" w:space="0" w:color="CCCCCC"/>
              <w:bottom w:val="single" w:sz="12" w:space="0" w:color="000000"/>
              <w:right w:val="single" w:sz="12" w:space="0" w:color="000000"/>
            </w:tcBorders>
            <w:shd w:val="clear" w:color="auto" w:fill="BDD6EE"/>
            <w:tcMar>
              <w:top w:w="0" w:type="dxa"/>
              <w:left w:w="40" w:type="dxa"/>
              <w:bottom w:w="0" w:type="dxa"/>
              <w:right w:w="40" w:type="dxa"/>
            </w:tcMar>
            <w:vAlign w:val="center"/>
            <w:hideMark/>
          </w:tcPr>
          <w:p w:rsidR="00E10EF4" w:rsidRPr="00977551" w:rsidP="00091B2E" w14:paraId="1D87F692" w14:textId="585E5DF4">
            <w:pPr>
              <w:jc w:val="center"/>
              <w:rPr>
                <w:rFonts w:asciiTheme="majorHAnsi" w:hAnsiTheme="majorHAnsi" w:cstheme="majorHAnsi"/>
                <w:sz w:val="18"/>
                <w:szCs w:val="18"/>
                <w:lang w:val="en-US"/>
              </w:rPr>
            </w:pPr>
            <w:r w:rsidRPr="00977551">
              <w:rPr>
                <w:rFonts w:asciiTheme="majorHAnsi" w:hAnsiTheme="majorHAnsi" w:cstheme="majorHAnsi"/>
                <w:sz w:val="18"/>
                <w:szCs w:val="18"/>
                <w:lang w:val="en-US"/>
              </w:rPr>
              <w:t>$30</w:t>
            </w:r>
          </w:p>
        </w:tc>
        <w:tc>
          <w:tcPr>
            <w:tcW w:w="3060" w:type="dxa"/>
            <w:tcBorders>
              <w:top w:val="single" w:sz="6" w:space="0" w:color="000000"/>
              <w:left w:val="single" w:sz="12" w:space="0" w:color="000000"/>
              <w:bottom w:val="single" w:sz="12" w:space="0" w:color="000000"/>
              <w:right w:val="single" w:sz="12" w:space="0" w:color="000000"/>
            </w:tcBorders>
            <w:shd w:val="clear" w:color="auto" w:fill="000000"/>
            <w:tcMar>
              <w:top w:w="0" w:type="dxa"/>
              <w:left w:w="40" w:type="dxa"/>
              <w:bottom w:w="0" w:type="dxa"/>
              <w:right w:w="40" w:type="dxa"/>
            </w:tcMar>
            <w:vAlign w:val="center"/>
            <w:hideMark/>
          </w:tcPr>
          <w:p w:rsidR="00E10EF4" w:rsidRPr="00977551" w:rsidP="00091B2E" w14:paraId="040AF7EA" w14:textId="77777777">
            <w:pPr>
              <w:rPr>
                <w:rFonts w:asciiTheme="majorHAnsi" w:hAnsiTheme="majorHAnsi" w:cstheme="majorHAnsi"/>
                <w:sz w:val="18"/>
                <w:szCs w:val="18"/>
                <w:lang w:val="en-US"/>
              </w:rPr>
            </w:pPr>
          </w:p>
        </w:tc>
      </w:tr>
      <w:tr w14:paraId="5C123A8C" w14:textId="77777777" w:rsidTr="00091B2E">
        <w:tblPrEx>
          <w:tblW w:w="0" w:type="auto"/>
          <w:jc w:val="center"/>
          <w:tblCellMar>
            <w:top w:w="15" w:type="dxa"/>
            <w:left w:w="15" w:type="dxa"/>
            <w:bottom w:w="15" w:type="dxa"/>
            <w:right w:w="15" w:type="dxa"/>
          </w:tblCellMar>
          <w:tblLook w:val="04A0"/>
        </w:tblPrEx>
        <w:trPr>
          <w:trHeight w:val="300"/>
          <w:jc w:val="center"/>
        </w:trPr>
        <w:tc>
          <w:tcPr>
            <w:tcW w:w="0" w:type="auto"/>
            <w:tcBorders>
              <w:top w:val="single" w:sz="12" w:space="0" w:color="000000"/>
              <w:left w:val="single" w:sz="12" w:space="0" w:color="000000"/>
              <w:bottom w:val="single" w:sz="12" w:space="0" w:color="000000"/>
              <w:right w:val="single" w:sz="6" w:space="0" w:color="000000"/>
            </w:tcBorders>
            <w:shd w:val="clear" w:color="auto" w:fill="FBE4D5"/>
            <w:tcMar>
              <w:top w:w="0" w:type="dxa"/>
              <w:left w:w="40" w:type="dxa"/>
              <w:bottom w:w="0" w:type="dxa"/>
              <w:right w:w="40" w:type="dxa"/>
            </w:tcMar>
            <w:vAlign w:val="bottom"/>
            <w:hideMark/>
          </w:tcPr>
          <w:p w:rsidR="00E10EF4" w:rsidRPr="00977551" w:rsidP="00091B2E" w14:paraId="1FC232A5" w14:textId="77777777">
            <w:pPr>
              <w:jc w:val="center"/>
              <w:rPr>
                <w:rFonts w:asciiTheme="majorHAnsi" w:hAnsiTheme="majorHAnsi" w:cstheme="majorHAnsi"/>
                <w:sz w:val="18"/>
                <w:szCs w:val="18"/>
                <w:lang w:val="en-US"/>
              </w:rPr>
            </w:pPr>
            <w:r w:rsidRPr="00977551">
              <w:rPr>
                <w:rFonts w:asciiTheme="majorHAnsi" w:hAnsiTheme="majorHAnsi" w:cstheme="majorHAnsi"/>
                <w:b/>
                <w:bCs/>
                <w:color w:val="000000"/>
                <w:sz w:val="18"/>
                <w:szCs w:val="18"/>
                <w:lang w:val="en-US"/>
              </w:rPr>
              <w:t>Difference</w:t>
            </w:r>
          </w:p>
        </w:tc>
        <w:tc>
          <w:tcPr>
            <w:tcW w:w="1705" w:type="dxa"/>
            <w:gridSpan w:val="2"/>
            <w:tcBorders>
              <w:top w:val="single" w:sz="12" w:space="0" w:color="000000"/>
              <w:left w:val="single" w:sz="6" w:space="0" w:color="000000"/>
              <w:bottom w:val="single" w:sz="12" w:space="0" w:color="000000"/>
              <w:right w:val="single" w:sz="6" w:space="0" w:color="000000"/>
            </w:tcBorders>
            <w:shd w:val="clear" w:color="auto" w:fill="FBE4D5"/>
            <w:tcMar>
              <w:top w:w="0" w:type="dxa"/>
              <w:left w:w="40" w:type="dxa"/>
              <w:bottom w:w="0" w:type="dxa"/>
              <w:right w:w="40" w:type="dxa"/>
            </w:tcMar>
            <w:vAlign w:val="bottom"/>
            <w:hideMark/>
          </w:tcPr>
          <w:p w:rsidR="00E10EF4" w:rsidRPr="00091B2E" w:rsidP="00091B2E" w14:paraId="781DA6C6" w14:textId="4509DF44">
            <w:pPr>
              <w:jc w:val="center"/>
              <w:rPr>
                <w:rFonts w:asciiTheme="majorHAnsi" w:hAnsiTheme="majorHAnsi" w:cstheme="majorHAnsi"/>
                <w:b/>
                <w:bCs/>
                <w:sz w:val="18"/>
                <w:szCs w:val="18"/>
                <w:lang w:val="en-US"/>
              </w:rPr>
            </w:pPr>
            <w:r w:rsidRPr="00091B2E">
              <w:rPr>
                <w:rFonts w:asciiTheme="majorHAnsi" w:hAnsiTheme="majorHAnsi" w:cstheme="majorHAnsi"/>
                <w:b/>
                <w:bCs/>
                <w:sz w:val="18"/>
                <w:szCs w:val="18"/>
                <w:lang w:val="en-US"/>
              </w:rPr>
              <w:t>$4</w:t>
            </w:r>
          </w:p>
        </w:tc>
        <w:tc>
          <w:tcPr>
            <w:tcW w:w="3060" w:type="dxa"/>
            <w:tcBorders>
              <w:top w:val="single" w:sz="12" w:space="0" w:color="000000"/>
              <w:left w:val="single" w:sz="6" w:space="0" w:color="000000"/>
              <w:bottom w:val="single" w:sz="12" w:space="0" w:color="000000"/>
              <w:right w:val="single" w:sz="12" w:space="0" w:color="000000"/>
            </w:tcBorders>
            <w:shd w:val="clear" w:color="auto" w:fill="000000"/>
            <w:tcMar>
              <w:top w:w="0" w:type="dxa"/>
              <w:left w:w="40" w:type="dxa"/>
              <w:bottom w:w="0" w:type="dxa"/>
              <w:right w:w="40" w:type="dxa"/>
            </w:tcMar>
            <w:vAlign w:val="bottom"/>
            <w:hideMark/>
          </w:tcPr>
          <w:p w:rsidR="00E10EF4" w:rsidRPr="00977551" w:rsidP="00091B2E" w14:paraId="2493FB08" w14:textId="77777777">
            <w:pPr>
              <w:rPr>
                <w:rFonts w:asciiTheme="majorHAnsi" w:hAnsiTheme="majorHAnsi" w:cstheme="majorHAnsi"/>
                <w:sz w:val="18"/>
                <w:szCs w:val="18"/>
                <w:lang w:val="en-US"/>
              </w:rPr>
            </w:pPr>
          </w:p>
        </w:tc>
      </w:tr>
    </w:tbl>
    <w:p w:rsidR="00C95EEB" w:rsidP="00091B2E" w14:paraId="1422F8E4" w14:textId="77777777">
      <w:pPr>
        <w:spacing w:before="240"/>
        <w:rPr>
          <w:sz w:val="24"/>
          <w:szCs w:val="24"/>
          <w:highlight w:val="yellow"/>
        </w:rPr>
      </w:pPr>
    </w:p>
    <w:p w:rsidR="00727421" w:rsidP="00091B2E" w14:paraId="6044F843" w14:textId="17086937">
      <w:pPr>
        <w:spacing w:before="240"/>
        <w:rPr>
          <w:sz w:val="24"/>
          <w:szCs w:val="24"/>
        </w:rPr>
      </w:pPr>
      <w:r>
        <w:rPr>
          <w:b/>
          <w:bCs/>
          <w:sz w:val="24"/>
          <w:szCs w:val="24"/>
        </w:rPr>
        <w:t>16</w:t>
      </w:r>
      <w:r w:rsidR="000306B9">
        <w:rPr>
          <w:b/>
          <w:bCs/>
          <w:sz w:val="24"/>
          <w:szCs w:val="24"/>
        </w:rPr>
        <w:t xml:space="preserve">. </w:t>
      </w:r>
      <w:r w:rsidRPr="008B28CD">
        <w:rPr>
          <w:b/>
          <w:bCs/>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C21A5" w:rsidP="005C21A5" w14:paraId="059D0A31" w14:textId="1C8DF778">
      <w:pPr>
        <w:spacing w:before="240"/>
        <w:rPr>
          <w:sz w:val="24"/>
          <w:szCs w:val="24"/>
        </w:rPr>
      </w:pPr>
      <w:r>
        <w:rPr>
          <w:sz w:val="24"/>
          <w:szCs w:val="24"/>
        </w:rPr>
        <w:t xml:space="preserve">It is anticipated that the information collected will be disseminated to the public or used to support publicly disseminated information.  NMFS retains control over the information and safeguards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Prior to dissemination, the information is subjected to quality control measures, and a pre-dissemination review pursuant to </w:t>
      </w:r>
      <w:r w:rsidRPr="004F18B0">
        <w:rPr>
          <w:sz w:val="24"/>
          <w:szCs w:val="24"/>
        </w:rPr>
        <w:t xml:space="preserve">Section 515 of Public Law </w:t>
      </w:r>
      <w:r w:rsidRPr="004F18B0">
        <w:rPr>
          <w:sz w:val="24"/>
          <w:szCs w:val="24"/>
        </w:rPr>
        <w:t>1</w:t>
      </w:r>
      <w:r w:rsidRPr="004F18B0">
        <w:rPr>
          <w:sz w:val="24"/>
          <w:szCs w:val="24"/>
        </w:rPr>
        <w:t>06-554</w:t>
      </w:r>
      <w:r>
        <w:rPr>
          <w:rStyle w:val="FootnoteReference"/>
          <w:sz w:val="24"/>
          <w:szCs w:val="24"/>
        </w:rPr>
        <w:footnoteReference w:id="7"/>
      </w:r>
      <w:r>
        <w:rPr>
          <w:sz w:val="24"/>
          <w:szCs w:val="24"/>
        </w:rPr>
        <w:t xml:space="preserve">. </w:t>
      </w:r>
    </w:p>
    <w:p w:rsidR="00727421" w:rsidP="00091B2E" w14:paraId="57AE81B6" w14:textId="5948B69E">
      <w:pPr>
        <w:spacing w:before="240"/>
        <w:rPr>
          <w:sz w:val="24"/>
          <w:szCs w:val="24"/>
        </w:rPr>
      </w:pPr>
      <w:r>
        <w:rPr>
          <w:sz w:val="24"/>
          <w:szCs w:val="24"/>
        </w:rPr>
        <w:t xml:space="preserve">Results from this collection may be used in scientific, management, technical or general informational publications such as </w:t>
      </w:r>
      <w:r>
        <w:rPr>
          <w:i/>
          <w:iCs/>
          <w:sz w:val="24"/>
          <w:szCs w:val="24"/>
        </w:rPr>
        <w:t>Fisheries of the United States</w:t>
      </w:r>
      <w:r>
        <w:rPr>
          <w:sz w:val="24"/>
          <w:szCs w:val="24"/>
        </w:rPr>
        <w:t xml:space="preserve"> which follows prescribed statistical tabulations and summary table formats.  Data are available to the </w:t>
      </w:r>
      <w:r w:rsidR="000306B9">
        <w:rPr>
          <w:sz w:val="24"/>
          <w:szCs w:val="24"/>
        </w:rPr>
        <w:t>public</w:t>
      </w:r>
      <w:r>
        <w:rPr>
          <w:sz w:val="24"/>
          <w:szCs w:val="24"/>
        </w:rPr>
        <w:t xml:space="preserve"> on request in summary form only; data are available to NMFS employees in detailed form on a need-to-know</w:t>
      </w:r>
      <w:r w:rsidR="00091B2E">
        <w:rPr>
          <w:sz w:val="24"/>
          <w:szCs w:val="24"/>
        </w:rPr>
        <w:t xml:space="preserve"> </w:t>
      </w:r>
      <w:r>
        <w:rPr>
          <w:sz w:val="24"/>
          <w:szCs w:val="24"/>
        </w:rPr>
        <w:t>basis only.</w:t>
      </w:r>
    </w:p>
    <w:p w:rsidR="00727421" w:rsidP="00091B2E" w14:paraId="5CB30798" w14:textId="77777777">
      <w:pPr>
        <w:spacing w:before="240"/>
        <w:rPr>
          <w:b/>
          <w:bCs/>
          <w:sz w:val="24"/>
          <w:szCs w:val="24"/>
        </w:rPr>
      </w:pPr>
    </w:p>
    <w:p w:rsidR="00727421" w:rsidP="00091B2E" w14:paraId="5B37424F" w14:textId="14A00FE6">
      <w:pPr>
        <w:spacing w:before="240"/>
        <w:rPr>
          <w:sz w:val="24"/>
          <w:szCs w:val="24"/>
        </w:rPr>
      </w:pPr>
      <w:r>
        <w:rPr>
          <w:b/>
          <w:bCs/>
          <w:sz w:val="24"/>
          <w:szCs w:val="24"/>
        </w:rPr>
        <w:t>17</w:t>
      </w:r>
      <w:r w:rsidR="000306B9">
        <w:rPr>
          <w:b/>
          <w:bCs/>
          <w:sz w:val="24"/>
          <w:szCs w:val="24"/>
        </w:rPr>
        <w:t>. If</w:t>
      </w:r>
      <w:r>
        <w:rPr>
          <w:b/>
          <w:bCs/>
          <w:sz w:val="24"/>
          <w:szCs w:val="24"/>
        </w:rPr>
        <w:t xml:space="preserve"> seeking approval to not display the expiration date for OMB approval of the information collection, explain the reasons why that display would be inappropriate.</w:t>
      </w:r>
    </w:p>
    <w:p w:rsidR="00727421" w:rsidP="00091B2E" w14:paraId="498F112E" w14:textId="77777777">
      <w:pPr>
        <w:widowControl w:val="0"/>
        <w:pBdr>
          <w:top w:val="nil"/>
          <w:left w:val="nil"/>
          <w:bottom w:val="nil"/>
          <w:right w:val="nil"/>
          <w:between w:val="nil"/>
        </w:pBdr>
        <w:spacing w:before="240"/>
        <w:rPr>
          <w:color w:val="000000"/>
          <w:sz w:val="24"/>
          <w:szCs w:val="24"/>
        </w:rPr>
      </w:pPr>
      <w:r>
        <w:rPr>
          <w:color w:val="000000"/>
          <w:sz w:val="24"/>
          <w:szCs w:val="24"/>
        </w:rPr>
        <w:t>The expiration date will be displayed on this information collection.</w:t>
      </w:r>
    </w:p>
    <w:p w:rsidR="00727421" w:rsidP="00091B2E" w14:paraId="1092DC45" w14:textId="77777777">
      <w:pPr>
        <w:spacing w:before="240"/>
        <w:rPr>
          <w:rFonts w:ascii="ESRI US Forestry 2" w:eastAsia="ESRI US Forestry 2" w:hAnsi="ESRI US Forestry 2" w:cs="ESRI US Forestry 2"/>
          <w:sz w:val="24"/>
          <w:szCs w:val="24"/>
          <w:highlight w:val="yellow"/>
        </w:rPr>
      </w:pPr>
    </w:p>
    <w:p w:rsidR="00727421" w:rsidP="00091B2E" w14:paraId="6D18EC46" w14:textId="376ACF6C">
      <w:pPr>
        <w:spacing w:before="240"/>
        <w:rPr>
          <w:b/>
          <w:bCs/>
          <w:sz w:val="24"/>
          <w:szCs w:val="24"/>
        </w:rPr>
      </w:pPr>
      <w:r>
        <w:rPr>
          <w:b/>
          <w:bCs/>
          <w:sz w:val="24"/>
          <w:szCs w:val="24"/>
        </w:rPr>
        <w:t>18</w:t>
      </w:r>
      <w:r w:rsidR="000306B9">
        <w:rPr>
          <w:b/>
          <w:bCs/>
          <w:sz w:val="24"/>
          <w:szCs w:val="24"/>
        </w:rPr>
        <w:t xml:space="preserve">. </w:t>
      </w:r>
      <w:r w:rsidRPr="008B28CD">
        <w:rPr>
          <w:b/>
          <w:bCs/>
          <w:sz w:val="24"/>
          <w:szCs w:val="24"/>
        </w:rPr>
        <w:t>Explain each exception to the certification statement identified in “Certification for Paperwork Reduction Act Submissions."</w:t>
      </w:r>
    </w:p>
    <w:p w:rsidR="00727421" w:rsidP="00091B2E" w14:paraId="11791411" w14:textId="77777777">
      <w:pPr>
        <w:widowControl w:val="0"/>
        <w:pBdr>
          <w:top w:val="nil"/>
          <w:left w:val="nil"/>
          <w:bottom w:val="nil"/>
          <w:right w:val="nil"/>
          <w:between w:val="nil"/>
        </w:pBdr>
        <w:spacing w:before="240"/>
        <w:rPr>
          <w:sz w:val="24"/>
          <w:szCs w:val="24"/>
        </w:rPr>
      </w:pPr>
      <w:r>
        <w:rPr>
          <w:sz w:val="24"/>
          <w:szCs w:val="24"/>
        </w:rPr>
        <w:t>The agency certifies compliance with 5 CFR 1320.9 and the related provisions of 5 CFR 1320.8(b)(3).</w:t>
      </w:r>
    </w:p>
    <w:p w:rsidR="00727421" w:rsidP="00091B2E" w14:paraId="6D03987B" w14:textId="77777777">
      <w:pPr>
        <w:spacing w:before="240"/>
        <w:rPr>
          <w:b/>
          <w:bCs/>
          <w:sz w:val="24"/>
          <w:szCs w:val="24"/>
        </w:rPr>
      </w:pPr>
    </w:p>
    <w:p w:rsidR="00727421" w:rsidP="00091B2E" w14:paraId="3DFD8B63" w14:textId="77777777">
      <w:pPr>
        <w:spacing w:before="240"/>
        <w:rPr>
          <w:b/>
          <w:bCs/>
          <w:sz w:val="24"/>
          <w:szCs w:val="24"/>
        </w:rPr>
      </w:pPr>
    </w:p>
    <w:p w:rsidR="00727421" w:rsidP="00091B2E" w14:paraId="42D93399" w14:textId="77777777">
      <w:pPr>
        <w:spacing w:before="240"/>
        <w:rPr>
          <w:sz w:val="24"/>
          <w:szCs w:val="24"/>
        </w:rPr>
      </w:pPr>
      <w:r>
        <w:rPr>
          <w:b/>
          <w:bCs/>
          <w:sz w:val="24"/>
          <w:szCs w:val="24"/>
        </w:rPr>
        <w:t>B.  COLLECTIONS OF INFORMATION EMPLOYING STATISTICAL METHODS</w:t>
      </w:r>
    </w:p>
    <w:p w:rsidR="00727421" w:rsidP="00091B2E" w14:paraId="2D34DB9F" w14:textId="77777777">
      <w:pPr>
        <w:spacing w:before="240"/>
        <w:rPr>
          <w:sz w:val="24"/>
          <w:szCs w:val="24"/>
        </w:rPr>
      </w:pPr>
      <w:r>
        <w:rPr>
          <w:sz w:val="24"/>
          <w:szCs w:val="24"/>
        </w:rPr>
        <w:t>No statistical methods are employed in the information collection procedures.</w:t>
      </w:r>
      <w:bookmarkStart w:id="1" w:name="bookmark=id.yub261kf7w5e" w:colFirst="0" w:colLast="0"/>
      <w:bookmarkStart w:id="2" w:name="bookmark=id.azxpyw966npj" w:colFirst="0" w:colLast="0"/>
      <w:bookmarkEnd w:id="1"/>
      <w:bookmarkEnd w:id="2"/>
    </w:p>
    <w:sectPr>
      <w:footerReference w:type="even" r:id="rId10"/>
      <w:footerReference w:type="default" r:id="rId11"/>
      <w:pgSz w:w="12240" w:h="15840"/>
      <w:pgMar w:top="1440" w:right="1080" w:bottom="1440" w:left="1440" w:header="1440" w:footer="144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76BE10F-2867-42EB-92F9-EE80AC55A717}"/>
  </w:font>
  <w:font w:name="Calibri">
    <w:panose1 w:val="020F0502020204030204"/>
    <w:charset w:val="00"/>
    <w:family w:val="swiss"/>
    <w:pitch w:val="variable"/>
    <w:sig w:usb0="E4002EFF" w:usb1="C200247B" w:usb2="00000009" w:usb3="00000000" w:csb0="000001FF" w:csb1="00000000"/>
    <w:embedRegular r:id="rId2" w:fontKey="{2F74DB03-7640-4258-9E55-0F12DAC45634}"/>
    <w:embedBold r:id="rId3" w:fontKey="{9C91AFBB-8EB2-4422-A3FE-DB1981686C35}"/>
  </w:font>
  <w:font w:name="ESRI US Forestry 2">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6D38675F-8E46-4E57-B10B-E898D0716F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7421" w14:paraId="153F75D0" w14:textId="7777777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6A780F">
      <w:rPr>
        <w:color w:val="000000"/>
      </w:rPr>
      <w:fldChar w:fldCharType="separate"/>
    </w:r>
    <w:r>
      <w:rPr>
        <w:color w:val="000000"/>
      </w:rPr>
      <w:fldChar w:fldCharType="end"/>
    </w:r>
  </w:p>
  <w:p w:rsidR="00727421" w14:paraId="3E976F06"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7421" w14:paraId="0606945A" w14:textId="7777777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B28CD" w14:paraId="0C24D31C" w14:textId="77777777">
      <w:r>
        <w:separator/>
      </w:r>
    </w:p>
  </w:footnote>
  <w:footnote w:type="continuationSeparator" w:id="1">
    <w:p w:rsidR="008B28CD" w14:paraId="050FDFC0" w14:textId="77777777">
      <w:r>
        <w:continuationSeparator/>
      </w:r>
    </w:p>
  </w:footnote>
  <w:footnote w:id="2">
    <w:p w:rsidR="004F18B0" w:rsidRPr="004F18B0" w14:paraId="4D6F7F0F" w14:textId="65A39F5C">
      <w:pPr>
        <w:pStyle w:val="FootnoteText"/>
        <w:rPr>
          <w:lang w:val="en-US"/>
        </w:rPr>
      </w:pPr>
      <w:r>
        <w:rPr>
          <w:rStyle w:val="FootnoteReference"/>
        </w:rPr>
        <w:footnoteRef/>
      </w:r>
      <w:r>
        <w:t xml:space="preserve"> </w:t>
      </w:r>
      <w:r w:rsidRPr="004F18B0">
        <w:t>https://www.fisheries.noaa.gov/resource/document/magnuson-stevens-fishery-conservation-and-management-act</w:t>
      </w:r>
    </w:p>
  </w:footnote>
  <w:footnote w:id="3">
    <w:p w:rsidR="004F18B0" w:rsidRPr="004F18B0" w14:paraId="58EDD4CE" w14:textId="33F6A6A7">
      <w:pPr>
        <w:pStyle w:val="FootnoteText"/>
        <w:rPr>
          <w:lang w:val="en-US"/>
        </w:rPr>
      </w:pPr>
      <w:r>
        <w:rPr>
          <w:rStyle w:val="FootnoteReference"/>
        </w:rPr>
        <w:footnoteRef/>
      </w:r>
      <w:r>
        <w:t xml:space="preserve"> </w:t>
      </w:r>
      <w:r w:rsidRPr="004F18B0">
        <w:t>https://www.pay.gov/public/home</w:t>
      </w:r>
    </w:p>
  </w:footnote>
  <w:footnote w:id="4">
    <w:p w:rsidR="004F18B0" w:rsidRPr="004F18B0" w14:paraId="0B4571F1" w14:textId="07F1AF18">
      <w:pPr>
        <w:pStyle w:val="FootnoteText"/>
        <w:rPr>
          <w:lang w:val="en-US"/>
        </w:rPr>
      </w:pPr>
      <w:r>
        <w:rPr>
          <w:rStyle w:val="FootnoteReference"/>
        </w:rPr>
        <w:footnoteRef/>
      </w:r>
      <w:r>
        <w:t xml:space="preserve"> </w:t>
      </w:r>
      <w:r w:rsidRPr="004F18B0">
        <w:t>https://www.noaa.gov/organization/administration/nao-216-100-protection-of-confidential-fisheries-statistics</w:t>
      </w:r>
    </w:p>
  </w:footnote>
  <w:footnote w:id="5">
    <w:p w:rsidR="00A6154E" w:rsidRPr="00A6154E" w14:paraId="1704EA9F" w14:textId="368BA06E">
      <w:pPr>
        <w:pStyle w:val="FootnoteText"/>
        <w:rPr>
          <w:lang w:val="en-US"/>
        </w:rPr>
      </w:pPr>
      <w:r>
        <w:rPr>
          <w:rStyle w:val="FootnoteReference"/>
        </w:rPr>
        <w:footnoteRef/>
      </w:r>
      <w:r>
        <w:t xml:space="preserve"> </w:t>
      </w:r>
      <w:r w:rsidRPr="00A6154E">
        <w:t>https://www.commerce.gov/node/4991</w:t>
      </w:r>
    </w:p>
  </w:footnote>
  <w:footnote w:id="6">
    <w:p w:rsidR="00A6154E" w:rsidRPr="00A6154E" w14:paraId="65E11CA3" w14:textId="735AE799">
      <w:pPr>
        <w:pStyle w:val="FootnoteText"/>
        <w:rPr>
          <w:lang w:val="en-US"/>
        </w:rPr>
      </w:pPr>
      <w:r>
        <w:rPr>
          <w:rStyle w:val="FootnoteReference"/>
        </w:rPr>
        <w:footnoteRef/>
      </w:r>
      <w:r>
        <w:t xml:space="preserve"> </w:t>
      </w:r>
      <w:r w:rsidRPr="00A6154E">
        <w:t>https://www.commerce.gov/sites/default/files/2024-05/NOAA4100-PIA-FY2024_SAOP-Approved-Delegated.pdf</w:t>
      </w:r>
    </w:p>
  </w:footnote>
  <w:footnote w:id="7">
    <w:p w:rsidR="004F18B0" w:rsidRPr="004F18B0" w14:paraId="0D5B8772" w14:textId="63B4D2FE">
      <w:pPr>
        <w:pStyle w:val="FootnoteText"/>
        <w:rPr>
          <w:lang w:val="en-US"/>
        </w:rPr>
      </w:pPr>
      <w:r>
        <w:rPr>
          <w:rStyle w:val="FootnoteReference"/>
        </w:rPr>
        <w:footnoteRef/>
      </w:r>
      <w:r>
        <w:t xml:space="preserve"> </w:t>
      </w:r>
      <w:r w:rsidRPr="004F18B0">
        <w:t>https://www.federalregister.gov/documents/2002/02/22/R2-59/guidelines-for-ensuring-and-maximizing-the-quality-objectivity-utility-and-integrity-of-information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7949E6"/>
    <w:multiLevelType w:val="hybridMultilevel"/>
    <w:tmpl w:val="9BBC1A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DC76020"/>
    <w:multiLevelType w:val="hybridMultilevel"/>
    <w:tmpl w:val="F5E879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CC17BD3"/>
    <w:multiLevelType w:val="multilevel"/>
    <w:tmpl w:val="F9A8668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8030786">
    <w:abstractNumId w:val="2"/>
  </w:num>
  <w:num w:numId="2" w16cid:durableId="1695033335">
    <w:abstractNumId w:val="1"/>
  </w:num>
  <w:num w:numId="3" w16cid:durableId="68347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421"/>
    <w:rsid w:val="000306B9"/>
    <w:rsid w:val="00091B2E"/>
    <w:rsid w:val="000B3FA7"/>
    <w:rsid w:val="000E3362"/>
    <w:rsid w:val="00170212"/>
    <w:rsid w:val="002A03D8"/>
    <w:rsid w:val="002B602C"/>
    <w:rsid w:val="003A58CF"/>
    <w:rsid w:val="003B14FC"/>
    <w:rsid w:val="003B3E18"/>
    <w:rsid w:val="003D20FD"/>
    <w:rsid w:val="003F7254"/>
    <w:rsid w:val="00400D3D"/>
    <w:rsid w:val="00403FA4"/>
    <w:rsid w:val="00427478"/>
    <w:rsid w:val="004946DC"/>
    <w:rsid w:val="00496291"/>
    <w:rsid w:val="004F18B0"/>
    <w:rsid w:val="005106E9"/>
    <w:rsid w:val="0052681F"/>
    <w:rsid w:val="00554CBA"/>
    <w:rsid w:val="00577AD1"/>
    <w:rsid w:val="005C21A5"/>
    <w:rsid w:val="0067298D"/>
    <w:rsid w:val="006A780F"/>
    <w:rsid w:val="00702706"/>
    <w:rsid w:val="0071234A"/>
    <w:rsid w:val="00727421"/>
    <w:rsid w:val="007715DD"/>
    <w:rsid w:val="007E3B09"/>
    <w:rsid w:val="00830D76"/>
    <w:rsid w:val="008A264E"/>
    <w:rsid w:val="008B28CD"/>
    <w:rsid w:val="00924846"/>
    <w:rsid w:val="00975DCC"/>
    <w:rsid w:val="00977551"/>
    <w:rsid w:val="009F6AC1"/>
    <w:rsid w:val="00A052F2"/>
    <w:rsid w:val="00A17EA9"/>
    <w:rsid w:val="00A6154E"/>
    <w:rsid w:val="00BA2E1E"/>
    <w:rsid w:val="00BA422F"/>
    <w:rsid w:val="00BB2410"/>
    <w:rsid w:val="00C35801"/>
    <w:rsid w:val="00C53EA2"/>
    <w:rsid w:val="00C54FE3"/>
    <w:rsid w:val="00C8605D"/>
    <w:rsid w:val="00C95EEB"/>
    <w:rsid w:val="00D13A7B"/>
    <w:rsid w:val="00D367A8"/>
    <w:rsid w:val="00D643ED"/>
    <w:rsid w:val="00D964C2"/>
    <w:rsid w:val="00E10EF4"/>
    <w:rsid w:val="00E4485D"/>
    <w:rsid w:val="00EA3F85"/>
    <w:rsid w:val="00EA484E"/>
    <w:rsid w:val="00ED7366"/>
    <w:rsid w:val="00F023DF"/>
    <w:rsid w:val="00F37324"/>
    <w:rsid w:val="00FE50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B3E8B8"/>
  <w15:docId w15:val="{ECAE7572-B830-4A3E-9BF1-27DA1FA8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24"/>
      <w:szCs w:val="24"/>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3F7254"/>
    <w:pPr>
      <w:tabs>
        <w:tab w:val="center" w:pos="4680"/>
        <w:tab w:val="right" w:pos="9360"/>
      </w:tabs>
    </w:pPr>
  </w:style>
  <w:style w:type="character" w:customStyle="1" w:styleId="HeaderChar">
    <w:name w:val="Header Char"/>
    <w:basedOn w:val="DefaultParagraphFont"/>
    <w:link w:val="Header"/>
    <w:uiPriority w:val="99"/>
    <w:rsid w:val="003F7254"/>
  </w:style>
  <w:style w:type="paragraph" w:styleId="Footer">
    <w:name w:val="footer"/>
    <w:basedOn w:val="Normal"/>
    <w:link w:val="FooterChar"/>
    <w:uiPriority w:val="99"/>
    <w:unhideWhenUsed/>
    <w:rsid w:val="003F7254"/>
    <w:pPr>
      <w:tabs>
        <w:tab w:val="center" w:pos="4680"/>
        <w:tab w:val="right" w:pos="9360"/>
      </w:tabs>
    </w:pPr>
  </w:style>
  <w:style w:type="character" w:customStyle="1" w:styleId="FooterChar">
    <w:name w:val="Footer Char"/>
    <w:basedOn w:val="DefaultParagraphFont"/>
    <w:link w:val="Footer"/>
    <w:uiPriority w:val="99"/>
    <w:rsid w:val="003F7254"/>
  </w:style>
  <w:style w:type="character" w:styleId="CommentReference">
    <w:name w:val="annotation reference"/>
    <w:basedOn w:val="DefaultParagraphFont"/>
    <w:uiPriority w:val="99"/>
    <w:semiHidden/>
    <w:unhideWhenUsed/>
    <w:rsid w:val="00F37324"/>
    <w:rPr>
      <w:sz w:val="16"/>
      <w:szCs w:val="16"/>
    </w:rPr>
  </w:style>
  <w:style w:type="paragraph" w:styleId="CommentText">
    <w:name w:val="annotation text"/>
    <w:basedOn w:val="Normal"/>
    <w:link w:val="CommentTextChar"/>
    <w:uiPriority w:val="99"/>
    <w:semiHidden/>
    <w:unhideWhenUsed/>
    <w:rsid w:val="00F37324"/>
  </w:style>
  <w:style w:type="character" w:customStyle="1" w:styleId="CommentTextChar">
    <w:name w:val="Comment Text Char"/>
    <w:basedOn w:val="DefaultParagraphFont"/>
    <w:link w:val="CommentText"/>
    <w:uiPriority w:val="99"/>
    <w:semiHidden/>
    <w:rsid w:val="00F37324"/>
  </w:style>
  <w:style w:type="paragraph" w:styleId="CommentSubject">
    <w:name w:val="annotation subject"/>
    <w:basedOn w:val="CommentText"/>
    <w:next w:val="CommentText"/>
    <w:link w:val="CommentSubjectChar"/>
    <w:uiPriority w:val="99"/>
    <w:semiHidden/>
    <w:unhideWhenUsed/>
    <w:rsid w:val="00F37324"/>
    <w:rPr>
      <w:b/>
      <w:bCs/>
    </w:rPr>
  </w:style>
  <w:style w:type="character" w:customStyle="1" w:styleId="CommentSubjectChar">
    <w:name w:val="Comment Subject Char"/>
    <w:basedOn w:val="CommentTextChar"/>
    <w:link w:val="CommentSubject"/>
    <w:uiPriority w:val="99"/>
    <w:semiHidden/>
    <w:rsid w:val="00F37324"/>
    <w:rPr>
      <w:b/>
      <w:bCs/>
    </w:rPr>
  </w:style>
  <w:style w:type="character" w:styleId="Hyperlink">
    <w:name w:val="Hyperlink"/>
    <w:basedOn w:val="DefaultParagraphFont"/>
    <w:uiPriority w:val="99"/>
    <w:unhideWhenUsed/>
    <w:rsid w:val="00F37324"/>
    <w:rPr>
      <w:color w:val="0000FF" w:themeColor="hyperlink"/>
      <w:u w:val="single"/>
    </w:rPr>
  </w:style>
  <w:style w:type="character" w:styleId="UnresolvedMention">
    <w:name w:val="Unresolved Mention"/>
    <w:basedOn w:val="DefaultParagraphFont"/>
    <w:uiPriority w:val="99"/>
    <w:semiHidden/>
    <w:unhideWhenUsed/>
    <w:rsid w:val="00F37324"/>
    <w:rPr>
      <w:color w:val="605E5C"/>
      <w:shd w:val="clear" w:color="auto" w:fill="E1DFDD"/>
    </w:rPr>
  </w:style>
  <w:style w:type="paragraph" w:styleId="ListParagraph">
    <w:name w:val="List Paragraph"/>
    <w:basedOn w:val="Normal"/>
    <w:uiPriority w:val="34"/>
    <w:qFormat/>
    <w:rsid w:val="005C21A5"/>
    <w:pPr>
      <w:ind w:left="720"/>
      <w:contextualSpacing/>
    </w:pPr>
  </w:style>
  <w:style w:type="paragraph" w:styleId="FootnoteText">
    <w:name w:val="footnote text"/>
    <w:basedOn w:val="Normal"/>
    <w:link w:val="FootnoteTextChar"/>
    <w:uiPriority w:val="99"/>
    <w:semiHidden/>
    <w:unhideWhenUsed/>
    <w:rsid w:val="00A6154E"/>
  </w:style>
  <w:style w:type="character" w:customStyle="1" w:styleId="FootnoteTextChar">
    <w:name w:val="Footnote Text Char"/>
    <w:basedOn w:val="DefaultParagraphFont"/>
    <w:link w:val="FootnoteText"/>
    <w:uiPriority w:val="99"/>
    <w:semiHidden/>
    <w:rsid w:val="00A6154E"/>
  </w:style>
  <w:style w:type="character" w:styleId="FootnoteReference">
    <w:name w:val="footnote reference"/>
    <w:basedOn w:val="DefaultParagraphFont"/>
    <w:uiPriority w:val="99"/>
    <w:semiHidden/>
    <w:unhideWhenUsed/>
    <w:rsid w:val="00A6154E"/>
    <w:rPr>
      <w:vertAlign w:val="superscript"/>
    </w:rPr>
  </w:style>
  <w:style w:type="character" w:styleId="FollowedHyperlink">
    <w:name w:val="FollowedHyperlink"/>
    <w:basedOn w:val="DefaultParagraphFont"/>
    <w:uiPriority w:val="99"/>
    <w:semiHidden/>
    <w:unhideWhenUsed/>
    <w:rsid w:val="004F18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www.fisheries.noaa.gov" TargetMode="External" /><Relationship Id="rId8" Type="http://schemas.openxmlformats.org/officeDocument/2006/relationships/hyperlink" Target="www.fisheries.noaa.gov/region/new-england-mid-atlantic" TargetMode="External" /><Relationship Id="rId9" Type="http://schemas.openxmlformats.org/officeDocument/2006/relationships/hyperlink" Target="http://www.pay.gov"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tT+39+kYaJ9IC0zLic6IqnVDdQ==">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11579A-A69F-4176-953F-71BA35CB5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4379</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20</cp:revision>
  <dcterms:created xsi:type="dcterms:W3CDTF">2026-10-01T18:41:00Z</dcterms:created>
  <dcterms:modified xsi:type="dcterms:W3CDTF">2026-10-02T18:44:00Z</dcterms:modified>
</cp:coreProperties>
</file>