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B1C0F" w14:paraId="00000001" w14:textId="77777777">
      <w:pPr>
        <w:pStyle w:val="Heading1"/>
        <w:ind w:left="0"/>
        <w:jc w:val="center"/>
      </w:pPr>
      <w:bookmarkStart w:id="0" w:name="_heading=h.c349547qde7k" w:colFirst="0" w:colLast="0"/>
      <w:bookmarkEnd w:id="0"/>
      <w:r>
        <w:t>SUPPORTING STATEMENT</w:t>
      </w:r>
    </w:p>
    <w:p w:rsidR="00BB1C0F" w14:paraId="00000002" w14:textId="77777777">
      <w:pPr>
        <w:spacing w:before="22" w:line="259" w:lineRule="auto"/>
        <w:ind w:firstLine="14"/>
        <w:jc w:val="center"/>
        <w:rPr>
          <w:b/>
          <w:bCs/>
        </w:rPr>
      </w:pPr>
      <w:r>
        <w:rPr>
          <w:b/>
          <w:bCs/>
        </w:rPr>
        <w:t>U.S. Department of Commerce</w:t>
      </w:r>
    </w:p>
    <w:p w:rsidR="00BB1C0F" w14:paraId="00000003" w14:textId="77777777">
      <w:pPr>
        <w:spacing w:before="22" w:line="259" w:lineRule="auto"/>
        <w:ind w:firstLine="14"/>
        <w:jc w:val="center"/>
        <w:rPr>
          <w:b/>
          <w:bCs/>
        </w:rPr>
      </w:pPr>
      <w:r>
        <w:rPr>
          <w:b/>
          <w:bCs/>
        </w:rPr>
        <w:t>National Oceanic &amp; Atmospheric Administration</w:t>
      </w:r>
    </w:p>
    <w:p w:rsidR="00BB1C0F" w14:paraId="00000004" w14:textId="77777777">
      <w:pPr>
        <w:spacing w:line="259" w:lineRule="auto"/>
        <w:jc w:val="center"/>
        <w:rPr>
          <w:b/>
          <w:bCs/>
        </w:rPr>
      </w:pPr>
      <w:r>
        <w:rPr>
          <w:b/>
          <w:bCs/>
        </w:rPr>
        <w:t>The Ocean Enterprise:  A study of US business activity in ocean measurement, observation, and forecasting.</w:t>
      </w:r>
    </w:p>
    <w:p w:rsidR="00BB1C0F" w14:paraId="00000005" w14:textId="77777777">
      <w:pPr>
        <w:spacing w:line="259" w:lineRule="auto"/>
        <w:ind w:hanging="6"/>
        <w:jc w:val="center"/>
        <w:rPr>
          <w:b/>
          <w:bCs/>
        </w:rPr>
      </w:pPr>
      <w:r>
        <w:rPr>
          <w:b/>
          <w:bCs/>
        </w:rPr>
        <w:t>OMB Control No. 0648-0712</w:t>
      </w:r>
    </w:p>
    <w:p w:rsidR="00BB1C0F" w14:paraId="00000006" w14:textId="77777777">
      <w:pPr>
        <w:spacing w:before="80"/>
        <w:rPr>
          <w:b/>
          <w:bCs/>
          <w:color w:val="FF0000"/>
        </w:rPr>
      </w:pPr>
    </w:p>
    <w:p w:rsidR="00BB1C0F" w:rsidP="005A6DD8" w14:paraId="00000007" w14:textId="77777777">
      <w:pPr>
        <w:spacing w:before="240"/>
        <w:rPr>
          <w:b/>
          <w:bCs/>
        </w:rPr>
      </w:pPr>
      <w:r>
        <w:rPr>
          <w:b/>
          <w:bCs/>
          <w:color w:val="FF0000"/>
        </w:rPr>
        <w:t>SUPPORTING STATEMENT PART B</w:t>
      </w:r>
    </w:p>
    <w:p w:rsidR="00BB1C0F" w:rsidP="005A6DD8" w14:paraId="00000009" w14:textId="77777777">
      <w:pPr>
        <w:pStyle w:val="Heading1"/>
        <w:numPr>
          <w:ilvl w:val="0"/>
          <w:numId w:val="1"/>
        </w:numPr>
        <w:tabs>
          <w:tab w:val="left" w:pos="360"/>
        </w:tabs>
        <w:spacing w:before="240"/>
        <w:ind w:left="0" w:firstLine="0"/>
      </w:pPr>
      <w:r>
        <w:t>Describe (including a numerical estimate) the potential respondent universe and any sampling or other respondent selection method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collection as a whole. If the collection had been conducted previously, include the actual response rate achieved during the last collection.</w:t>
      </w:r>
    </w:p>
    <w:p w:rsidR="00BB1C0F" w:rsidP="005A6DD8" w14:paraId="0000000B" w14:textId="77777777">
      <w:pPr>
        <w:spacing w:before="240"/>
      </w:pPr>
      <w:r>
        <w:t>The Ocean Enterprise Study investigates the scale and scope of commercial activity in the for-profit and not-for-profit business sectors which support ocean measurement, observation, and forecasting. The objective of this study is to raise visibility and awareness of this important business cluster, to understand how its scale and scope changes over time, and to understand its linkages with the National Oceanic and Atmospheric Administration (NOAA) and the U.S. Integrated Ocean Observing System (IOOS®) Program. Three versions of the Ocean Enterprise Study have been published: in 2015, 2020, and 2026.</w:t>
      </w:r>
    </w:p>
    <w:p w:rsidR="00BB1C0F" w:rsidP="005A6DD8" w14:paraId="0000000D" w14:textId="77777777">
      <w:pPr>
        <w:tabs>
          <w:tab w:val="left" w:pos="360"/>
        </w:tabs>
        <w:spacing w:before="240"/>
        <w:rPr>
          <w:i/>
          <w:iCs/>
        </w:rPr>
      </w:pPr>
      <w:r>
        <w:rPr>
          <w:i/>
          <w:iCs/>
        </w:rPr>
        <w:t>Potential Respondent Universe</w:t>
      </w:r>
    </w:p>
    <w:p w:rsidR="00BB1C0F" w:rsidP="005A6DD8" w14:paraId="0000000F" w14:textId="77777777">
      <w:pPr>
        <w:tabs>
          <w:tab w:val="left" w:pos="360"/>
        </w:tabs>
        <w:spacing w:before="240"/>
      </w:pPr>
      <w:r>
        <w:t xml:space="preserve">This information request seeks to update the first two survey’s data collection in order to better understand the trends and changes in this important business sector. The units of analysis for this project are </w:t>
      </w:r>
      <w:r>
        <w:rPr>
          <w:i/>
          <w:iCs/>
        </w:rPr>
        <w:t>individual businesses</w:t>
      </w:r>
      <w:r>
        <w:t xml:space="preserve"> who fit pre-specified criteria. The preliminary stage of this project involves updating data collection by identifying new employers who meet the following criteria: (1) </w:t>
      </w:r>
      <w:r>
        <w:rPr>
          <w:u w:val="single"/>
        </w:rPr>
        <w:t xml:space="preserve">providers </w:t>
      </w:r>
      <w:r>
        <w:t xml:space="preserve">of observing system infrastructure; and/or (2) </w:t>
      </w:r>
      <w:r>
        <w:rPr>
          <w:u w:val="single"/>
        </w:rPr>
        <w:t>intermediaries</w:t>
      </w:r>
      <w:r>
        <w:t xml:space="preserve"> who use ocean, coastal, and Great Lakes observational and model information to create value-added products tailored for specific end-use.  These new employers will be identified by compiling lists of organizations from industry associations, and then removing businesses that would not qualify based on visual inspection against inclusion criteria (e.g., the business was foreign-based or a non-profit educational institution).  New businesses who meet the criteria will be added to the original database. </w:t>
      </w:r>
    </w:p>
    <w:p w:rsidR="00BB1C0F" w:rsidP="005A6DD8" w14:paraId="00000011" w14:textId="77777777">
      <w:pPr>
        <w:tabs>
          <w:tab w:val="left" w:pos="360"/>
        </w:tabs>
        <w:spacing w:before="240"/>
      </w:pPr>
      <w:r>
        <w:t xml:space="preserve">It is likely that almost all of the organizations added to the database will be qualified to take part in the survey. However, the first question of the included survey provides further screening (and is included in the estimated burden).  The question lists a number of functions that would qualify them for the survey. If they do not perform any of the listed four broad functions, they are thanked for their time and the survey ends.  </w:t>
      </w:r>
    </w:p>
    <w:p w:rsidR="00BB1C0F" w:rsidP="005A6DD8" w14:paraId="00000013" w14:textId="77777777">
      <w:pPr>
        <w:tabs>
          <w:tab w:val="left" w:pos="360"/>
        </w:tabs>
        <w:spacing w:before="240"/>
      </w:pPr>
      <w:r>
        <w:t xml:space="preserve">The 2026 survey incorporates new modules to evaluate the adoption, importance, and application of artificial intelligence and machine learning (AI/ML) across ocean technology, products, and </w:t>
      </w:r>
      <w:r>
        <w:t>services.</w:t>
      </w:r>
    </w:p>
    <w:p w:rsidR="00BB1C0F" w:rsidP="005A6DD8" w14:paraId="00000015" w14:textId="77777777">
      <w:pPr>
        <w:tabs>
          <w:tab w:val="left" w:pos="360"/>
        </w:tabs>
        <w:spacing w:before="240"/>
        <w:rPr>
          <w:i/>
          <w:iCs/>
        </w:rPr>
      </w:pPr>
      <w:r>
        <w:rPr>
          <w:i/>
          <w:iCs/>
        </w:rPr>
        <w:t>Number of Entities</w:t>
      </w:r>
    </w:p>
    <w:p w:rsidR="00BB1C0F" w:rsidP="005A6DD8" w14:paraId="00000017" w14:textId="07DB8262">
      <w:pPr>
        <w:tabs>
          <w:tab w:val="left" w:pos="360"/>
        </w:tabs>
        <w:spacing w:before="240"/>
      </w:pPr>
      <w:r>
        <w:t>For the 2026 renewal, the study targets roughly 1,100 organizations, with an expected 250 responses.</w:t>
      </w:r>
      <w:r w:rsidR="005A6DD8">
        <w:t xml:space="preserve">  </w:t>
      </w:r>
      <w:r w:rsidR="005A6DD8">
        <w:t>This anticipated response rate was estimated based on previous Ocean Enterprise</w:t>
      </w:r>
      <w:r w:rsidR="005A6DD8">
        <w:t xml:space="preserve"> </w:t>
      </w:r>
      <w:r w:rsidR="005A6DD8">
        <w:t>survey response rates. The streamlined branch and skip-logic survey process is being used to</w:t>
      </w:r>
      <w:r w:rsidR="005A6DD8">
        <w:t xml:space="preserve"> </w:t>
      </w:r>
      <w:r w:rsidR="005A6DD8">
        <w:t>significantly decrease the burden and improve response rates. However, 250 is a sufficient</w:t>
      </w:r>
      <w:r w:rsidR="005A6DD8">
        <w:t xml:space="preserve"> </w:t>
      </w:r>
      <w:r w:rsidR="005A6DD8">
        <w:t>response to serve the purposes of the survey as this instrument is assessed in supplement to</w:t>
      </w:r>
      <w:r w:rsidR="005A6DD8">
        <w:t xml:space="preserve"> </w:t>
      </w:r>
      <w:r w:rsidR="005A6DD8">
        <w:t>other public and private data that we collect passively to support the overall Ocean Enterprise</w:t>
      </w:r>
      <w:r w:rsidR="005A6DD8">
        <w:t xml:space="preserve"> </w:t>
      </w:r>
      <w:r w:rsidR="005A6DD8">
        <w:t>Study. Where appropriate, key variables of respondents will be assessed against aggregate</w:t>
      </w:r>
      <w:r w:rsidR="005A6DD8">
        <w:t xml:space="preserve"> </w:t>
      </w:r>
      <w:r w:rsidR="005A6DD8">
        <w:t>information of the entire target population to identify and address any systematic structural</w:t>
      </w:r>
      <w:r w:rsidR="005A6DD8">
        <w:t xml:space="preserve"> </w:t>
      </w:r>
      <w:r w:rsidR="005A6DD8">
        <w:t>imbalances.</w:t>
      </w:r>
    </w:p>
    <w:p w:rsidR="00BB1C0F" w:rsidP="005A6DD8" w14:paraId="00000018" w14:textId="77777777">
      <w:pPr>
        <w:tabs>
          <w:tab w:val="left" w:pos="360"/>
        </w:tabs>
        <w:spacing w:before="240"/>
      </w:pPr>
    </w:p>
    <w:p w:rsidR="00BB1C0F" w:rsidP="005A6DD8" w14:paraId="00000019" w14:textId="77777777">
      <w:pPr>
        <w:pStyle w:val="Heading1"/>
        <w:numPr>
          <w:ilvl w:val="0"/>
          <w:numId w:val="1"/>
        </w:numPr>
        <w:tabs>
          <w:tab w:val="left" w:pos="360"/>
        </w:tabs>
        <w:spacing w:before="240"/>
        <w:ind w:left="0" w:firstLine="0"/>
      </w:pPr>
      <w:r>
        <w:t>Describe the procedures for the collection of information including:</w:t>
      </w:r>
    </w:p>
    <w:p w:rsidR="00BB1C0F" w:rsidP="005A6DD8" w14:paraId="0000001A" w14:textId="77777777">
      <w:pPr>
        <w:widowControl/>
        <w:numPr>
          <w:ilvl w:val="0"/>
          <w:numId w:val="2"/>
        </w:numPr>
        <w:pBdr>
          <w:top w:val="nil"/>
          <w:left w:val="nil"/>
          <w:bottom w:val="nil"/>
          <w:right w:val="nil"/>
          <w:between w:val="nil"/>
        </w:pBdr>
        <w:spacing w:before="240"/>
        <w:rPr>
          <w:color w:val="2F5496"/>
        </w:rPr>
      </w:pPr>
      <w:r>
        <w:rPr>
          <w:color w:val="000000"/>
        </w:rPr>
        <w:t>Statistical methodology for stratification and sample selection,</w:t>
      </w:r>
    </w:p>
    <w:p w:rsidR="00BB1C0F" w:rsidP="005A6DD8" w14:paraId="0000001B" w14:textId="77777777">
      <w:pPr>
        <w:widowControl/>
        <w:numPr>
          <w:ilvl w:val="0"/>
          <w:numId w:val="2"/>
        </w:numPr>
        <w:pBdr>
          <w:top w:val="nil"/>
          <w:left w:val="nil"/>
          <w:bottom w:val="nil"/>
          <w:right w:val="nil"/>
          <w:between w:val="nil"/>
        </w:pBdr>
        <w:spacing w:before="240"/>
        <w:rPr>
          <w:color w:val="2F5496"/>
        </w:rPr>
      </w:pPr>
      <w:r>
        <w:rPr>
          <w:color w:val="000000"/>
        </w:rPr>
        <w:t>Estimation procedure,</w:t>
      </w:r>
    </w:p>
    <w:p w:rsidR="00BB1C0F" w:rsidP="005A6DD8" w14:paraId="0000001C" w14:textId="77777777">
      <w:pPr>
        <w:widowControl/>
        <w:numPr>
          <w:ilvl w:val="0"/>
          <w:numId w:val="2"/>
        </w:numPr>
        <w:pBdr>
          <w:top w:val="nil"/>
          <w:left w:val="nil"/>
          <w:bottom w:val="nil"/>
          <w:right w:val="nil"/>
          <w:between w:val="nil"/>
        </w:pBdr>
        <w:spacing w:before="240"/>
        <w:rPr>
          <w:color w:val="2F5496"/>
        </w:rPr>
      </w:pPr>
      <w:r>
        <w:rPr>
          <w:color w:val="000000"/>
        </w:rPr>
        <w:t>Degree of accuracy needed for the purpose described in the justification,</w:t>
      </w:r>
    </w:p>
    <w:p w:rsidR="00BB1C0F" w:rsidP="005A6DD8" w14:paraId="0000001D" w14:textId="77777777">
      <w:pPr>
        <w:widowControl/>
        <w:numPr>
          <w:ilvl w:val="0"/>
          <w:numId w:val="2"/>
        </w:numPr>
        <w:pBdr>
          <w:top w:val="nil"/>
          <w:left w:val="nil"/>
          <w:bottom w:val="nil"/>
          <w:right w:val="nil"/>
          <w:between w:val="nil"/>
        </w:pBdr>
        <w:spacing w:before="240"/>
        <w:rPr>
          <w:color w:val="2F5496"/>
        </w:rPr>
      </w:pPr>
      <w:r>
        <w:rPr>
          <w:color w:val="000000"/>
        </w:rPr>
        <w:t>Unusual problems requiring specialized sampling procedures, and</w:t>
      </w:r>
    </w:p>
    <w:p w:rsidR="00BB1C0F" w:rsidP="005A6DD8" w14:paraId="0000001E" w14:textId="77777777">
      <w:pPr>
        <w:widowControl/>
        <w:numPr>
          <w:ilvl w:val="0"/>
          <w:numId w:val="2"/>
        </w:numPr>
        <w:pBdr>
          <w:top w:val="nil"/>
          <w:left w:val="nil"/>
          <w:bottom w:val="nil"/>
          <w:right w:val="nil"/>
          <w:between w:val="nil"/>
        </w:pBdr>
        <w:spacing w:before="240"/>
        <w:rPr>
          <w:color w:val="2F5496"/>
        </w:rPr>
      </w:pPr>
      <w:r>
        <w:rPr>
          <w:color w:val="000000"/>
        </w:rPr>
        <w:t>Any use of periodic (less frequent than annual) data collection cycles to reduce burden.</w:t>
      </w:r>
    </w:p>
    <w:p w:rsidR="00BB1C0F" w:rsidP="005A6DD8" w14:paraId="00000020" w14:textId="77777777">
      <w:pPr>
        <w:spacing w:before="240"/>
      </w:pPr>
      <w:bookmarkStart w:id="1" w:name="_heading=h.imht32lwo3lq" w:colFirst="0" w:colLast="0"/>
      <w:bookmarkEnd w:id="1"/>
      <w:r>
        <w:t>The survey will be web-based. Invitations to participate in the survey will be sent to the universe of organizations in a series of four waves over one month, with each wave one week after the last. The survey utilizes advanced conditional skip logic to bypass non-applicable modules, ensuring a more streamlined and accurate data collection process. Every attempt will be made to ensure that the final database of respondents is representative of the universe of organizations by stratifying by size, function, and geographic region.</w:t>
      </w:r>
    </w:p>
    <w:p w:rsidR="00BB1C0F" w:rsidP="005A6DD8" w14:paraId="00000021" w14:textId="77777777">
      <w:pPr>
        <w:spacing w:before="240"/>
      </w:pPr>
    </w:p>
    <w:p w:rsidR="00BB1C0F" w:rsidP="005A6DD8" w14:paraId="00000022" w14:textId="77777777">
      <w:pPr>
        <w:pStyle w:val="Heading1"/>
        <w:numPr>
          <w:ilvl w:val="0"/>
          <w:numId w:val="1"/>
        </w:numPr>
        <w:tabs>
          <w:tab w:val="left" w:pos="360"/>
        </w:tabs>
        <w:spacing w:before="240"/>
        <w:ind w:left="0" w:firstLine="0"/>
      </w:pPr>
      <w:r>
        <w:t>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00BB1C0F" w:rsidP="005A6DD8" w14:paraId="00000025" w14:textId="118C4819">
      <w:pPr>
        <w:tabs>
          <w:tab w:val="left" w:pos="360"/>
        </w:tabs>
        <w:spacing w:before="240"/>
      </w:pPr>
      <w:r>
        <w:t>A Federal Register Notice published on June 3, 2026 (91 FR 33152) solicited public comment.</w:t>
      </w:r>
      <w:r w:rsidR="005A6DD8">
        <w:t xml:space="preserve">  </w:t>
      </w:r>
      <w:r>
        <w:t>Consultations with non-NOAA stakeholders, industry representatives, and regional ocean association members were conducted in 2026 to evaluate the clarity and utility of the new AI/ML modules.</w:t>
      </w:r>
    </w:p>
    <w:p w:rsidR="00BB1C0F" w:rsidP="005A6DD8" w14:paraId="00000026" w14:textId="5BB10974">
      <w:pPr>
        <w:tabs>
          <w:tab w:val="left" w:pos="360"/>
        </w:tabs>
        <w:spacing w:before="240"/>
      </w:pPr>
      <w:r>
        <w:t xml:space="preserve">Pre-survey information campaigns utilizing trade publications and electronic media will be conducted to familiarize potential participants with the upcoming survey.  After the initial email, reminder emails will be sent to non-responding organizations, up to a maximum of four emails, </w:t>
      </w:r>
      <w:r>
        <w:t>one week apart.  Respondents will be removed from the list for subsequent reminder email invitations, as will organizations that have opted out of participation.  The web survey has been designed to be as simple as possible, with a limited number of questions.  It will be clearly outlined in the information in the invitation emails that the respondent may skip any question they choose not to answer, and that the survey should take only 30 minutes to complete.  The survey will be conducted on behalf of NOAA, an organization with which this universe of respondents is familiar with and, in many cases, has a working relationship.  It will be clearly stated in the informational email that the data collected during the survey will be kept in strictest confidence, and the results only reported at the aggregate level.</w:t>
      </w:r>
    </w:p>
    <w:p w:rsidR="00BB1C0F" w:rsidP="005A6DD8" w14:paraId="00000028" w14:textId="77777777">
      <w:pPr>
        <w:tabs>
          <w:tab w:val="left" w:pos="360"/>
        </w:tabs>
        <w:spacing w:before="240"/>
      </w:pPr>
      <w:r>
        <w:t xml:space="preserve">Although every effort will be made to obtain as many responses as possible, response rates of 75% or more are rare in web-surveys, with rates in the 30% to 40% range more typical except in the case of internal, mandated situations.  Therefore, it will be important that the resulting database of responses is representative of the overall universe of organizations as specified in B.1.  Furthermore, as all analyses will be descriptive in nature (e.g., no statistical tests or hypothesis testing), the issue of power and response rate becomes less important given a sufficient number of responses (although it is acknowledged that the confidence intervals will be wider for smaller sample sizes.)  Additionally, if a </w:t>
      </w:r>
      <w:r>
        <w:t>specific strata</w:t>
      </w:r>
      <w:r>
        <w:t xml:space="preserve"> (e.g., region) is not deemed to have sufficient responses (e.g., &gt;20) or to not be proportionally representative of the universe, then analysis will not be conducted at that level of stratification in order to avoid inaccurate representation of true values.</w:t>
      </w:r>
    </w:p>
    <w:p w:rsidR="00BB1C0F" w:rsidP="005A6DD8" w14:paraId="0000002A" w14:textId="77777777">
      <w:pPr>
        <w:tabs>
          <w:tab w:val="left" w:pos="360"/>
        </w:tabs>
        <w:spacing w:before="240"/>
      </w:pPr>
      <w:r>
        <w:t xml:space="preserve">Non-respondents will be sent periodic reminders to participate in the survey. Additionally, those who do not respond due to wrong or old contact information (e.g., bounced email addresses) will be further researched in order to identify an individual at the business who can be re-sent the survey.  </w:t>
      </w:r>
    </w:p>
    <w:p w:rsidR="00BB1C0F" w:rsidP="005A6DD8" w14:paraId="0000002B" w14:textId="77777777">
      <w:pPr>
        <w:pBdr>
          <w:top w:val="nil"/>
          <w:left w:val="nil"/>
          <w:bottom w:val="nil"/>
          <w:right w:val="nil"/>
          <w:between w:val="nil"/>
        </w:pBdr>
        <w:spacing w:before="240"/>
        <w:rPr>
          <w:color w:val="000000"/>
        </w:rPr>
      </w:pPr>
    </w:p>
    <w:p w:rsidR="00BB1C0F" w:rsidP="005A6DD8" w14:paraId="0000002C" w14:textId="77777777">
      <w:pPr>
        <w:pStyle w:val="Heading1"/>
        <w:numPr>
          <w:ilvl w:val="0"/>
          <w:numId w:val="1"/>
        </w:numPr>
        <w:tabs>
          <w:tab w:val="left" w:pos="360"/>
        </w:tabs>
        <w:spacing w:before="240"/>
        <w:ind w:left="0" w:firstLine="0"/>
      </w:pPr>
      <w:r>
        <w:t>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separately or in combination with the main collection of information.</w:t>
      </w:r>
    </w:p>
    <w:p w:rsidR="00BB1C0F" w:rsidP="005A6DD8" w14:paraId="0000002E" w14:textId="77777777">
      <w:pPr>
        <w:tabs>
          <w:tab w:val="left" w:pos="360"/>
        </w:tabs>
        <w:spacing w:before="240"/>
      </w:pPr>
      <w:r>
        <w:t>No test procedures involving 10 or more organizations are currently planned before deployment of the web-survey.  ERISS Corporation has an internal staff that will extensively test the web-survey and platform, and address any technical or usability issues before large scale deployment.</w:t>
      </w:r>
    </w:p>
    <w:p w:rsidR="00BB1C0F" w:rsidP="005A6DD8" w14:paraId="0000002F" w14:textId="77777777">
      <w:pPr>
        <w:pBdr>
          <w:top w:val="nil"/>
          <w:left w:val="nil"/>
          <w:bottom w:val="nil"/>
          <w:right w:val="nil"/>
          <w:between w:val="nil"/>
        </w:pBdr>
        <w:spacing w:before="240"/>
        <w:rPr>
          <w:color w:val="000000"/>
        </w:rPr>
      </w:pPr>
    </w:p>
    <w:p w:rsidR="00BB1C0F" w:rsidP="005A6DD8" w14:paraId="00000030" w14:textId="77777777">
      <w:pPr>
        <w:pStyle w:val="Heading1"/>
        <w:numPr>
          <w:ilvl w:val="0"/>
          <w:numId w:val="1"/>
        </w:numPr>
        <w:tabs>
          <w:tab w:val="left" w:pos="360"/>
        </w:tabs>
        <w:spacing w:before="240"/>
        <w:ind w:left="0" w:firstLine="0"/>
      </w:pPr>
      <w:r>
        <w:t>Provide the name and telephone number of individuals consulted on statistical aspects of the design and the name of the agency unit, contractor(s), grantee(s), or other person(s) who will actually collect and/or analyze the information for the agency.</w:t>
      </w:r>
    </w:p>
    <w:p w:rsidR="00BB1C0F" w:rsidP="005A6DD8" w14:paraId="00000034" w14:textId="72D23AD5">
      <w:pPr>
        <w:tabs>
          <w:tab w:val="left" w:pos="360"/>
        </w:tabs>
        <w:spacing w:before="240"/>
      </w:pPr>
      <w:bookmarkStart w:id="2" w:name="_heading=h.4fmzo0ddeutd" w:colFirst="0" w:colLast="0"/>
      <w:bookmarkEnd w:id="2"/>
      <w:r>
        <w:t xml:space="preserve">Statistical consulting regarding the survey design, data collection, and data analysis will be provided by Steven Tally, Ph.D. of the ERISS Corporation.  Dr. Tally has extensive experience with statistical methods and research design.  Dr. Tally can be contacted at: 858-442-4058, </w:t>
      </w:r>
      <w:r>
        <w:rPr>
          <w:color w:val="0000FF"/>
        </w:rPr>
        <w:t>steven.tally@eriss.com</w:t>
      </w:r>
      <w:r>
        <w:t>.</w:t>
      </w:r>
    </w:p>
    <w:sectPr w:rsidSect="005A6DD8">
      <w:pgSz w:w="12240" w:h="15840"/>
      <w:pgMar w:top="1080" w:right="1440" w:bottom="1440" w:left="1440" w:header="0" w:footer="1014"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AB72C317-91A6-4DC3-8C84-F54D82D11B4A}"/>
  </w:font>
  <w:font w:name="Georgia">
    <w:panose1 w:val="02040502050405020303"/>
    <w:charset w:val="00"/>
    <w:family w:val="roman"/>
    <w:pitch w:val="variable"/>
    <w:sig w:usb0="00000287" w:usb1="00000000" w:usb2="00000000" w:usb3="00000000" w:csb0="0000009F" w:csb1="00000000"/>
    <w:embedItalic r:id="rId2" w:fontKey="{51C35280-F001-44DF-BBE9-4DFD9881B787}"/>
  </w:font>
  <w:font w:name="Calibri">
    <w:panose1 w:val="020F0502020204030204"/>
    <w:charset w:val="00"/>
    <w:family w:val="swiss"/>
    <w:pitch w:val="variable"/>
    <w:sig w:usb0="E4002EFF" w:usb1="C200247B" w:usb2="00000009" w:usb3="00000000" w:csb0="000001FF" w:csb1="00000000"/>
    <w:embedRegular r:id="rId3" w:fontKey="{205279B8-82E7-43E6-9E0E-2C3E4D5465AF}"/>
  </w:font>
  <w:font w:name="Cambria">
    <w:panose1 w:val="02040503050406030204"/>
    <w:charset w:val="00"/>
    <w:family w:val="roman"/>
    <w:pitch w:val="variable"/>
    <w:sig w:usb0="E00006FF" w:usb1="420024FF" w:usb2="02000000" w:usb3="00000000" w:csb0="0000019F" w:csb1="00000000"/>
    <w:embedRegular r:id="rId4" w:fontKey="{342A1168-FC99-4E6A-A4A8-C48B0F47D36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C2F4E57"/>
    <w:multiLevelType w:val="multilevel"/>
    <w:tmpl w:val="2872296A"/>
    <w:lvl w:ilvl="0">
      <w:start w:val="1"/>
      <w:numFmt w:val="decimal"/>
      <w:lvlText w:val="%1."/>
      <w:lvlJc w:val="left"/>
      <w:pPr>
        <w:ind w:left="400" w:hanging="269"/>
      </w:pPr>
      <w:rPr>
        <w:rFonts w:ascii="Arial" w:eastAsia="Arial" w:hAnsi="Arial" w:cs="Arial"/>
        <w:b/>
        <w:bCs/>
        <w:sz w:val="24"/>
        <w:szCs w:val="24"/>
      </w:rPr>
    </w:lvl>
    <w:lvl w:ilvl="1">
      <w:start w:val="0"/>
      <w:numFmt w:val="bullet"/>
      <w:lvlText w:val="●"/>
      <w:lvlJc w:val="left"/>
      <w:pPr>
        <w:ind w:left="1120" w:hanging="360"/>
      </w:pPr>
      <w:rPr>
        <w:rFonts w:ascii="Noto Sans Symbols" w:eastAsia="Noto Sans Symbols" w:hAnsi="Noto Sans Symbols" w:cs="Noto Sans Symbols"/>
        <w:color w:val="2F5496"/>
        <w:sz w:val="20"/>
        <w:szCs w:val="20"/>
      </w:rPr>
    </w:lvl>
    <w:lvl w:ilvl="2">
      <w:start w:val="0"/>
      <w:numFmt w:val="bullet"/>
      <w:lvlText w:val="•"/>
      <w:lvlJc w:val="left"/>
      <w:pPr>
        <w:ind w:left="2273" w:hanging="360"/>
      </w:pPr>
    </w:lvl>
    <w:lvl w:ilvl="3">
      <w:start w:val="0"/>
      <w:numFmt w:val="bullet"/>
      <w:lvlText w:val="•"/>
      <w:lvlJc w:val="left"/>
      <w:pPr>
        <w:ind w:left="3426" w:hanging="360"/>
      </w:pPr>
    </w:lvl>
    <w:lvl w:ilvl="4">
      <w:start w:val="0"/>
      <w:numFmt w:val="bullet"/>
      <w:lvlText w:val="•"/>
      <w:lvlJc w:val="left"/>
      <w:pPr>
        <w:ind w:left="4580" w:hanging="360"/>
      </w:pPr>
    </w:lvl>
    <w:lvl w:ilvl="5">
      <w:start w:val="0"/>
      <w:numFmt w:val="bullet"/>
      <w:lvlText w:val="•"/>
      <w:lvlJc w:val="left"/>
      <w:pPr>
        <w:ind w:left="5733" w:hanging="360"/>
      </w:pPr>
    </w:lvl>
    <w:lvl w:ilvl="6">
      <w:start w:val="0"/>
      <w:numFmt w:val="bullet"/>
      <w:lvlText w:val="•"/>
      <w:lvlJc w:val="left"/>
      <w:pPr>
        <w:ind w:left="6886" w:hanging="360"/>
      </w:pPr>
    </w:lvl>
    <w:lvl w:ilvl="7">
      <w:start w:val="0"/>
      <w:numFmt w:val="bullet"/>
      <w:lvlText w:val="•"/>
      <w:lvlJc w:val="left"/>
      <w:pPr>
        <w:ind w:left="8040" w:hanging="360"/>
      </w:pPr>
    </w:lvl>
    <w:lvl w:ilvl="8">
      <w:start w:val="0"/>
      <w:numFmt w:val="bullet"/>
      <w:lvlText w:val="•"/>
      <w:lvlJc w:val="left"/>
      <w:pPr>
        <w:ind w:left="9193" w:hanging="360"/>
      </w:pPr>
    </w:lvl>
  </w:abstractNum>
  <w:abstractNum w:abstractNumId="1">
    <w:nsid w:val="6B0B5E4B"/>
    <w:multiLevelType w:val="multilevel"/>
    <w:tmpl w:val="40EE444C"/>
    <w:lvl w:ilvl="0">
      <w:start w:val="1"/>
      <w:numFmt w:val="bullet"/>
      <w:lvlText w:val="●"/>
      <w:lvlJc w:val="left"/>
      <w:pPr>
        <w:ind w:left="400" w:hanging="269"/>
      </w:pPr>
      <w:rPr>
        <w:rFonts w:ascii="Noto Sans Symbols" w:eastAsia="Noto Sans Symbols" w:hAnsi="Noto Sans Symbols" w:cs="Noto Sans Symbols"/>
        <w:b/>
        <w:bCs/>
        <w:sz w:val="24"/>
        <w:szCs w:val="24"/>
      </w:rPr>
    </w:lvl>
    <w:lvl w:ilvl="1">
      <w:start w:val="0"/>
      <w:numFmt w:val="bullet"/>
      <w:lvlText w:val="●"/>
      <w:lvlJc w:val="left"/>
      <w:pPr>
        <w:ind w:left="1120" w:hanging="360"/>
      </w:pPr>
      <w:rPr>
        <w:rFonts w:ascii="Noto Sans Symbols" w:eastAsia="Noto Sans Symbols" w:hAnsi="Noto Sans Symbols" w:cs="Noto Sans Symbols"/>
        <w:color w:val="2F5496"/>
        <w:sz w:val="20"/>
        <w:szCs w:val="20"/>
      </w:rPr>
    </w:lvl>
    <w:lvl w:ilvl="2">
      <w:start w:val="0"/>
      <w:numFmt w:val="bullet"/>
      <w:lvlText w:val="•"/>
      <w:lvlJc w:val="left"/>
      <w:pPr>
        <w:ind w:left="2273" w:hanging="360"/>
      </w:pPr>
    </w:lvl>
    <w:lvl w:ilvl="3">
      <w:start w:val="0"/>
      <w:numFmt w:val="bullet"/>
      <w:lvlText w:val="•"/>
      <w:lvlJc w:val="left"/>
      <w:pPr>
        <w:ind w:left="3426" w:hanging="360"/>
      </w:pPr>
    </w:lvl>
    <w:lvl w:ilvl="4">
      <w:start w:val="0"/>
      <w:numFmt w:val="bullet"/>
      <w:lvlText w:val="•"/>
      <w:lvlJc w:val="left"/>
      <w:pPr>
        <w:ind w:left="4580" w:hanging="360"/>
      </w:pPr>
    </w:lvl>
    <w:lvl w:ilvl="5">
      <w:start w:val="0"/>
      <w:numFmt w:val="bullet"/>
      <w:lvlText w:val="•"/>
      <w:lvlJc w:val="left"/>
      <w:pPr>
        <w:ind w:left="5733" w:hanging="360"/>
      </w:pPr>
    </w:lvl>
    <w:lvl w:ilvl="6">
      <w:start w:val="0"/>
      <w:numFmt w:val="bullet"/>
      <w:lvlText w:val="•"/>
      <w:lvlJc w:val="left"/>
      <w:pPr>
        <w:ind w:left="6886" w:hanging="360"/>
      </w:pPr>
    </w:lvl>
    <w:lvl w:ilvl="7">
      <w:start w:val="0"/>
      <w:numFmt w:val="bullet"/>
      <w:lvlText w:val="•"/>
      <w:lvlJc w:val="left"/>
      <w:pPr>
        <w:ind w:left="8040" w:hanging="360"/>
      </w:pPr>
    </w:lvl>
    <w:lvl w:ilvl="8">
      <w:start w:val="0"/>
      <w:numFmt w:val="bullet"/>
      <w:lvlText w:val="•"/>
      <w:lvlJc w:val="left"/>
      <w:pPr>
        <w:ind w:left="9193" w:hanging="360"/>
      </w:pPr>
    </w:lvl>
  </w:abstractNum>
  <w:num w:numId="1" w16cid:durableId="1214120901">
    <w:abstractNumId w:val="0"/>
  </w:num>
  <w:num w:numId="2" w16cid:durableId="1132870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C0F"/>
    <w:rsid w:val="005A6DD8"/>
    <w:rsid w:val="006413D9"/>
    <w:rsid w:val="009F7E99"/>
    <w:rsid w:val="00BB1C0F"/>
    <w:rsid w:val="00BD65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AEB790"/>
  <w15:docId w15:val="{B248B066-3DE2-49E5-8C24-8D182E29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A7D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D3B"/>
    <w:rPr>
      <w:rFonts w:ascii="Segoe UI" w:hAnsi="Segoe UI" w:cs="Segoe UI"/>
      <w:sz w:val="18"/>
      <w:szCs w:val="18"/>
    </w:rPr>
  </w:style>
  <w:style w:type="paragraph" w:styleId="NormalWeb">
    <w:name w:val="Normal (Web)"/>
    <w:basedOn w:val="Normal"/>
    <w:uiPriority w:val="99"/>
    <w:semiHidden/>
    <w:unhideWhenUsed/>
    <w:rsid w:val="00A50FC6"/>
    <w:pPr>
      <w:widowControl/>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Ul3TPmo9zpwEaqp28YQq7wrDPw==">CgMxLjAyDmguYzM0OTU0N3FkZTdrMg5oLmltaHQzMmx3bzNscTIOaC40Zm16bzBkZGV1dGQ4AHIhMTBIR0ZrVEZDd3ZkV2M3YnZ0ajBFQWh1MExCSlF5akEx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1364</Words>
  <Characters>7780</Characters>
  <Application>Microsoft Office Word</Application>
  <DocSecurity>0</DocSecurity>
  <Lines>64</Lines>
  <Paragraphs>18</Paragraphs>
  <ScaleCrop>false</ScaleCrop>
  <Company>NOAA 1200 CORPSRV</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3</cp:revision>
  <dcterms:created xsi:type="dcterms:W3CDTF">2026-08-31T16:43:00Z</dcterms:created>
  <dcterms:modified xsi:type="dcterms:W3CDTF">2026-10-17T21:01:00Z</dcterms:modified>
</cp:coreProperties>
</file>