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6553" w14:paraId="36D58503" w14:textId="77777777">
      <w:pPr>
        <w:pStyle w:val="Heading1"/>
        <w:ind w:left="0"/>
        <w:jc w:val="center"/>
      </w:pPr>
      <w:r>
        <w:t>SUPPORTING STATEMENT</w:t>
      </w:r>
    </w:p>
    <w:p w:rsidR="009E6553" w14:paraId="385C9025" w14:textId="77777777">
      <w:pPr>
        <w:spacing w:before="22" w:line="259" w:lineRule="auto"/>
        <w:ind w:firstLine="14"/>
        <w:jc w:val="center"/>
        <w:rPr>
          <w:b/>
          <w:bCs/>
        </w:rPr>
      </w:pPr>
      <w:r>
        <w:rPr>
          <w:b/>
          <w:bCs/>
        </w:rPr>
        <w:t>U.S. Department of Commerce</w:t>
      </w:r>
    </w:p>
    <w:p w:rsidR="009E6553" w14:paraId="52129CEE" w14:textId="77777777">
      <w:pPr>
        <w:spacing w:before="22" w:line="259" w:lineRule="auto"/>
        <w:ind w:firstLine="14"/>
        <w:jc w:val="center"/>
        <w:rPr>
          <w:b/>
          <w:bCs/>
        </w:rPr>
      </w:pPr>
      <w:r>
        <w:rPr>
          <w:b/>
          <w:bCs/>
        </w:rPr>
        <w:t>National Oceanic &amp; Atmospheric Administration</w:t>
      </w:r>
    </w:p>
    <w:p w:rsidR="009E6553" w14:paraId="2F1B26DC" w14:textId="77777777">
      <w:pPr>
        <w:spacing w:line="259" w:lineRule="auto"/>
        <w:ind w:hanging="6"/>
        <w:jc w:val="center"/>
        <w:rPr>
          <w:b/>
          <w:bCs/>
        </w:rPr>
      </w:pPr>
      <w:r>
        <w:rPr>
          <w:b/>
          <w:bCs/>
        </w:rPr>
        <w:t>The Ocean Enterprise: A study of US business activity in ocean measurement,</w:t>
      </w:r>
    </w:p>
    <w:p w:rsidR="009E6553" w14:paraId="3FAE9BF1" w14:textId="77777777">
      <w:pPr>
        <w:spacing w:line="259" w:lineRule="auto"/>
        <w:ind w:hanging="6"/>
        <w:jc w:val="center"/>
        <w:rPr>
          <w:b/>
          <w:bCs/>
        </w:rPr>
      </w:pPr>
      <w:r>
        <w:rPr>
          <w:b/>
          <w:bCs/>
        </w:rPr>
        <w:t xml:space="preserve"> observation, and forecasting </w:t>
      </w:r>
    </w:p>
    <w:p w:rsidR="009E6553" w14:paraId="28A1341C" w14:textId="77777777">
      <w:pPr>
        <w:spacing w:line="259" w:lineRule="auto"/>
        <w:ind w:hanging="6"/>
        <w:jc w:val="center"/>
        <w:rPr>
          <w:b/>
          <w:bCs/>
        </w:rPr>
      </w:pPr>
      <w:r>
        <w:rPr>
          <w:b/>
          <w:bCs/>
        </w:rPr>
        <w:t>OMB Control No. 0648-0712</w:t>
      </w:r>
    </w:p>
    <w:p w:rsidR="009E6553" w14:paraId="4B58DB8E" w14:textId="77777777">
      <w:pPr>
        <w:pBdr>
          <w:top w:val="nil"/>
          <w:left w:val="nil"/>
          <w:bottom w:val="nil"/>
          <w:right w:val="nil"/>
          <w:between w:val="nil"/>
        </w:pBdr>
        <w:spacing w:before="1"/>
        <w:jc w:val="center"/>
        <w:rPr>
          <w:b/>
          <w:bCs/>
          <w:color w:val="000000"/>
        </w:rPr>
      </w:pPr>
    </w:p>
    <w:p w:rsidR="00B574DE" w:rsidP="00B574DE" w14:paraId="6A8017DC" w14:textId="77777777">
      <w:pPr>
        <w:spacing w:before="240"/>
        <w:rPr>
          <w:b/>
          <w:bCs/>
        </w:rPr>
      </w:pPr>
    </w:p>
    <w:p w:rsidR="009E6553" w:rsidP="00B574DE" w14:paraId="2AEBB812" w14:textId="52859A5F">
      <w:pPr>
        <w:spacing w:before="240"/>
        <w:rPr>
          <w:b/>
          <w:bCs/>
        </w:rPr>
      </w:pPr>
      <w:r>
        <w:rPr>
          <w:b/>
          <w:bCs/>
        </w:rPr>
        <w:t>Abstract</w:t>
      </w:r>
    </w:p>
    <w:p w:rsidR="009E6553" w:rsidP="00B574DE" w14:paraId="30014A14" w14:textId="77777777">
      <w:pPr>
        <w:spacing w:before="240"/>
      </w:pPr>
      <w:r>
        <w:t xml:space="preserve">This request is for an extension of a currently approved information collection. This quadrennial web-based study updates and expands upon previous survey iterations (2015, 2020, and 2025) to track trendlines, structural shifts, and economic growth within the U.S. Ocean Enterprise business sector. The 2025/2026 instrument incorporates new modules to evaluate the adoption, importance, and application of artificial intelligence and machine learning (AI/ML) across ocean technology, products, and services. The </w:t>
      </w:r>
      <w:r>
        <w:t xml:space="preserve">purpose of this collection is to provide NOAA, the U.S. Integrated Ocean Observing System (IOOS) Program Office, and federal policymakers with quantitative data regarding business scale, revenue attribution, U.S. employment, export activity, and the practical utility of public ocean observing systems. </w:t>
      </w:r>
    </w:p>
    <w:p w:rsidR="009E6553" w:rsidP="00B574DE" w14:paraId="3C83BC4E" w14:textId="77777777">
      <w:pPr>
        <w:pStyle w:val="Heading1"/>
        <w:spacing w:before="240"/>
        <w:ind w:left="0"/>
      </w:pPr>
    </w:p>
    <w:p w:rsidR="009E6553" w:rsidP="00B574DE" w14:paraId="24DBCA6A" w14:textId="77777777">
      <w:pPr>
        <w:pStyle w:val="Heading1"/>
        <w:spacing w:before="240"/>
        <w:ind w:left="0"/>
      </w:pPr>
      <w:r>
        <w:t>Justification</w:t>
      </w:r>
    </w:p>
    <w:p w:rsidR="009E6553" w:rsidP="00B574DE" w14:paraId="1EF10253"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9E6553" w:rsidP="00B574DE" w14:paraId="1EF2FE60" w14:textId="77777777">
      <w:pPr>
        <w:widowControl/>
        <w:spacing w:before="240"/>
        <w:rPr>
          <w:rFonts w:ascii="Arial" w:eastAsia="Arial" w:hAnsi="Arial" w:cs="Arial"/>
          <w:sz w:val="22"/>
          <w:szCs w:val="22"/>
        </w:rPr>
      </w:pPr>
      <w:r>
        <w:t>The National Oceanic and Atmospheric Administration (NOAA) and the U.S. Integrated Ocean Observing System (IOOS) Office execute their mandates pursuant to the statutory authority conferred by the Integrated Coastal and Ocean Observation System (ICOOS) Act of 2009 (33 U.S.C. §§ 3601–3610). The statute mandates that NOAA establish, operate, and maintain an integrated national network for ocean, coastal, and Great Lakes observations while actively fostering strategic partnerships with commercial entities, priv</w:t>
      </w:r>
      <w:r>
        <w:t>ate sector data providers, and regional associations.</w:t>
      </w:r>
    </w:p>
    <w:p w:rsidR="009E6553" w:rsidP="00B574DE" w14:paraId="6B1562A4" w14:textId="77777777">
      <w:pPr>
        <w:widowControl/>
        <w:spacing w:before="240"/>
        <w:rPr>
          <w:rFonts w:ascii="Arial" w:eastAsia="Arial" w:hAnsi="Arial" w:cs="Arial"/>
          <w:sz w:val="22"/>
          <w:szCs w:val="22"/>
        </w:rPr>
      </w:pPr>
      <w:r>
        <w:t>The Ocean Enterprise Study comprehensively assesses the scope, scale, and operational dynamics of commercial activities within both commercial and non-profit enterprises supporting ocean measurement, observation, and forecasting. The primary objectives of this assessment are to enhance visibility for this critical enterprise sector, monitor longitudinal trends in its market capacity, and evaluate its operational integration with NOAA and the U.S. IOOS® Program.</w:t>
      </w:r>
    </w:p>
    <w:p w:rsidR="009E6553" w:rsidP="00B574DE" w14:paraId="2E762F81" w14:textId="77777777">
      <w:pPr>
        <w:widowControl/>
        <w:spacing w:before="240"/>
      </w:pPr>
      <w:r>
        <w:t>Because standard North American Industry Classification System (NAICS) codes lack the granular categorization required to isolate and quantify ocean measurement, observation, and forecasting activities, direct empirical data collection is imperative to rigorously establish the sector's economic footprint, workforce composition, and operational capabilities.</w:t>
      </w:r>
    </w:p>
    <w:p w:rsidR="002929E0" w:rsidP="00B574DE" w14:paraId="08B22763" w14:textId="77777777">
      <w:pPr>
        <w:widowControl/>
        <w:spacing w:before="240"/>
      </w:pPr>
    </w:p>
    <w:p w:rsidR="009E6553" w:rsidP="00B574DE" w14:paraId="07094082" w14:textId="77777777">
      <w:pPr>
        <w:pStyle w:val="Heading1"/>
        <w:numPr>
          <w:ilvl w:val="0"/>
          <w:numId w:val="1"/>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9E6553" w:rsidP="00B574DE" w14:paraId="08FC6A23" w14:textId="77777777">
      <w:pPr>
        <w:widowControl/>
        <w:spacing w:before="240"/>
      </w:pPr>
      <w:r>
        <w:t>The information collected is used by NOAA leadership, the IOOS Program Office, federal decision-makers, and industry stakeholders to quantify the economic value generated by ocean data infrastructure commercial activity. This information will be collected every 5 years as part of a quinquennial analysis.</w:t>
      </w:r>
    </w:p>
    <w:p w:rsidR="009E6553" w:rsidP="00B574DE" w14:paraId="568068F3" w14:textId="77777777">
      <w:pPr>
        <w:widowControl/>
        <w:spacing w:before="240"/>
        <w:rPr>
          <w:rFonts w:ascii="Arial" w:eastAsia="Arial" w:hAnsi="Arial" w:cs="Arial"/>
          <w:sz w:val="22"/>
          <w:szCs w:val="22"/>
        </w:rPr>
      </w:pPr>
      <w:r>
        <w:t>The data collected through this information collection encompasses a broad range of operational, financial, and market indicators, including organizational traits, structural attributes, total and U.S.-based employment, revenue numbers and attribution, primary customer segments, product and service types, artificial intelligence and machine learning (AI/ML) usage, export market participation, and specific IOOS engagement metrics. These data are sourced from U.S. Ocean Enterprise and Ocean Economy businesses</w:t>
      </w:r>
      <w:r>
        <w:t>, sole proprietorships, single- and multi-location companies, subsidiaries, intermediaries, and end-users operating within the ocean measurement, observation, and forecasting sector. The primary collection mechanism is a 100% electronic, web-based survey instrument designed to minimize respondent burden through automated conditional skip logic, piping, branching functionality, and interactive hyperlinked definitions. Ultimately, the purpose of this collection is to allow NOAA, the IOOS Program Office, feder</w:t>
      </w:r>
      <w:r>
        <w:t>al decision-makers, and industry stakeholders to quantify the economic value generated by ocean data infrastructure, assess the scale and revenue trends of the Ocean Enterprise, measure private sector job growth and export capabilities, identify existing technology gaps, and inform strategic public-private partnerships, workforce development, and targeted outreach efforts.</w:t>
      </w:r>
    </w:p>
    <w:p w:rsidR="009E6553" w:rsidP="00B574DE" w14:paraId="174720E0" w14:textId="77777777">
      <w:pPr>
        <w:widowControl/>
        <w:spacing w:before="240"/>
      </w:pPr>
    </w:p>
    <w:tbl>
      <w:tblPr>
        <w:tblStyle w:val="af1"/>
        <w:tblW w:w="9444" w:type="dxa"/>
        <w:tblBorders>
          <w:top w:val="nil"/>
          <w:left w:val="nil"/>
          <w:bottom w:val="nil"/>
          <w:right w:val="nil"/>
          <w:insideH w:val="nil"/>
          <w:insideV w:val="nil"/>
        </w:tblBorders>
        <w:tblLayout w:type="fixed"/>
        <w:tblLook w:val="0600"/>
      </w:tblPr>
      <w:tblGrid>
        <w:gridCol w:w="804"/>
        <w:gridCol w:w="1530"/>
        <w:gridCol w:w="1440"/>
        <w:gridCol w:w="1260"/>
        <w:gridCol w:w="1170"/>
        <w:gridCol w:w="3240"/>
      </w:tblGrid>
      <w:tr w14:paraId="02E88601" w14:textId="77777777" w:rsidTr="002929E0">
        <w:tblPrEx>
          <w:tblW w:w="9444" w:type="dxa"/>
          <w:tblBorders>
            <w:top w:val="nil"/>
            <w:left w:val="nil"/>
            <w:bottom w:val="nil"/>
            <w:right w:val="nil"/>
            <w:insideH w:val="nil"/>
            <w:insideV w:val="nil"/>
          </w:tblBorders>
          <w:tblLayout w:type="fixed"/>
          <w:tblLook w:val="0600"/>
        </w:tblPrEx>
        <w:trPr>
          <w:trHeight w:val="774"/>
        </w:trPr>
        <w:tc>
          <w:tcPr>
            <w:tcW w:w="804" w:type="dxa"/>
            <w:tcBorders>
              <w:top w:val="single" w:sz="5" w:space="0" w:color="C4C7C5"/>
              <w:left w:val="single" w:sz="5" w:space="0" w:color="C4C7C5"/>
              <w:bottom w:val="single" w:sz="5" w:space="0" w:color="C4C7C5"/>
              <w:right w:val="single" w:sz="5" w:space="0" w:color="C4C7C5"/>
            </w:tcBorders>
            <w:tcMar>
              <w:top w:w="100" w:type="dxa"/>
              <w:left w:w="100" w:type="dxa"/>
              <w:bottom w:w="100" w:type="dxa"/>
              <w:right w:w="100" w:type="dxa"/>
            </w:tcMar>
          </w:tcPr>
          <w:p w:rsidR="009E6553" w14:paraId="1EC4E8C0" w14:textId="77777777">
            <w:pPr>
              <w:widowControl/>
              <w:spacing w:before="120" w:after="120"/>
              <w:rPr>
                <w:b/>
                <w:bCs/>
                <w:color w:val="000000"/>
                <w:sz w:val="20"/>
                <w:szCs w:val="20"/>
              </w:rPr>
            </w:pPr>
            <w:r>
              <w:rPr>
                <w:b/>
                <w:bCs/>
                <w:color w:val="000000"/>
                <w:sz w:val="20"/>
                <w:szCs w:val="20"/>
              </w:rPr>
              <w:t>Item #</w:t>
            </w:r>
          </w:p>
        </w:tc>
        <w:tc>
          <w:tcPr>
            <w:tcW w:w="1530" w:type="dxa"/>
            <w:tcBorders>
              <w:top w:val="single" w:sz="5" w:space="0" w:color="C4C7C5"/>
              <w:left w:val="nil"/>
              <w:bottom w:val="single" w:sz="5" w:space="0" w:color="C4C7C5"/>
              <w:right w:val="single" w:sz="5" w:space="0" w:color="C4C7C5"/>
            </w:tcBorders>
            <w:tcMar>
              <w:top w:w="100" w:type="dxa"/>
              <w:left w:w="100" w:type="dxa"/>
              <w:bottom w:w="100" w:type="dxa"/>
              <w:right w:w="100" w:type="dxa"/>
            </w:tcMar>
          </w:tcPr>
          <w:p w:rsidR="009E6553" w14:paraId="0321CA25" w14:textId="77777777">
            <w:pPr>
              <w:widowControl/>
              <w:spacing w:before="120" w:after="120"/>
              <w:rPr>
                <w:b/>
                <w:bCs/>
                <w:color w:val="000000"/>
                <w:sz w:val="20"/>
                <w:szCs w:val="20"/>
              </w:rPr>
            </w:pPr>
            <w:r>
              <w:rPr>
                <w:b/>
                <w:bCs/>
                <w:color w:val="000000"/>
                <w:sz w:val="20"/>
                <w:szCs w:val="20"/>
              </w:rPr>
              <w:t>Requirement</w:t>
            </w:r>
          </w:p>
        </w:tc>
        <w:tc>
          <w:tcPr>
            <w:tcW w:w="1440" w:type="dxa"/>
            <w:tcBorders>
              <w:top w:val="single" w:sz="5" w:space="0" w:color="C4C7C5"/>
              <w:left w:val="nil"/>
              <w:bottom w:val="single" w:sz="5" w:space="0" w:color="C4C7C5"/>
              <w:right w:val="single" w:sz="5" w:space="0" w:color="C4C7C5"/>
            </w:tcBorders>
            <w:tcMar>
              <w:top w:w="100" w:type="dxa"/>
              <w:left w:w="100" w:type="dxa"/>
              <w:bottom w:w="100" w:type="dxa"/>
              <w:right w:w="100" w:type="dxa"/>
            </w:tcMar>
          </w:tcPr>
          <w:p w:rsidR="009E6553" w14:paraId="4254B05A" w14:textId="77777777">
            <w:pPr>
              <w:widowControl/>
              <w:spacing w:before="120" w:after="120"/>
              <w:rPr>
                <w:b/>
                <w:bCs/>
                <w:color w:val="000000"/>
                <w:sz w:val="20"/>
                <w:szCs w:val="20"/>
              </w:rPr>
            </w:pPr>
            <w:r>
              <w:rPr>
                <w:b/>
                <w:bCs/>
                <w:color w:val="000000"/>
                <w:sz w:val="20"/>
                <w:szCs w:val="20"/>
              </w:rPr>
              <w:t>Statute</w:t>
            </w:r>
          </w:p>
        </w:tc>
        <w:tc>
          <w:tcPr>
            <w:tcW w:w="1260" w:type="dxa"/>
            <w:tcBorders>
              <w:top w:val="single" w:sz="5" w:space="0" w:color="C4C7C5"/>
              <w:left w:val="nil"/>
              <w:bottom w:val="single" w:sz="5" w:space="0" w:color="C4C7C5"/>
              <w:right w:val="single" w:sz="5" w:space="0" w:color="C4C7C5"/>
            </w:tcBorders>
            <w:tcMar>
              <w:top w:w="100" w:type="dxa"/>
              <w:left w:w="100" w:type="dxa"/>
              <w:bottom w:w="100" w:type="dxa"/>
              <w:right w:w="100" w:type="dxa"/>
            </w:tcMar>
          </w:tcPr>
          <w:p w:rsidR="009E6553" w14:paraId="45FE4E67" w14:textId="77777777">
            <w:pPr>
              <w:widowControl/>
              <w:spacing w:before="120" w:after="120"/>
              <w:rPr>
                <w:b/>
                <w:bCs/>
                <w:color w:val="000000"/>
                <w:sz w:val="20"/>
                <w:szCs w:val="20"/>
              </w:rPr>
            </w:pPr>
            <w:r>
              <w:rPr>
                <w:b/>
                <w:bCs/>
                <w:color w:val="000000"/>
                <w:sz w:val="20"/>
                <w:szCs w:val="20"/>
              </w:rPr>
              <w:t>Regulation</w:t>
            </w:r>
          </w:p>
        </w:tc>
        <w:tc>
          <w:tcPr>
            <w:tcW w:w="1170" w:type="dxa"/>
            <w:tcBorders>
              <w:top w:val="single" w:sz="5" w:space="0" w:color="C4C7C5"/>
              <w:left w:val="nil"/>
              <w:bottom w:val="single" w:sz="5" w:space="0" w:color="C4C7C5"/>
              <w:right w:val="single" w:sz="5" w:space="0" w:color="C4C7C5"/>
            </w:tcBorders>
            <w:tcMar>
              <w:top w:w="100" w:type="dxa"/>
              <w:left w:w="100" w:type="dxa"/>
              <w:bottom w:w="100" w:type="dxa"/>
              <w:right w:w="100" w:type="dxa"/>
            </w:tcMar>
          </w:tcPr>
          <w:p w:rsidR="009E6553" w14:paraId="4812B0DD" w14:textId="77777777">
            <w:pPr>
              <w:widowControl/>
              <w:spacing w:before="120" w:after="120"/>
              <w:rPr>
                <w:b/>
                <w:bCs/>
                <w:color w:val="000000"/>
                <w:sz w:val="20"/>
                <w:szCs w:val="20"/>
              </w:rPr>
            </w:pPr>
            <w:r>
              <w:rPr>
                <w:b/>
                <w:bCs/>
                <w:color w:val="000000"/>
                <w:sz w:val="20"/>
                <w:szCs w:val="20"/>
              </w:rPr>
              <w:t>Form #</w:t>
            </w:r>
          </w:p>
        </w:tc>
        <w:tc>
          <w:tcPr>
            <w:tcW w:w="3240" w:type="dxa"/>
            <w:tcBorders>
              <w:top w:val="single" w:sz="5" w:space="0" w:color="C4C7C5"/>
              <w:left w:val="nil"/>
              <w:bottom w:val="single" w:sz="5" w:space="0" w:color="C4C7C5"/>
              <w:right w:val="single" w:sz="5" w:space="0" w:color="C4C7C5"/>
            </w:tcBorders>
            <w:tcMar>
              <w:top w:w="100" w:type="dxa"/>
              <w:left w:w="100" w:type="dxa"/>
              <w:bottom w:w="100" w:type="dxa"/>
              <w:right w:w="100" w:type="dxa"/>
            </w:tcMar>
          </w:tcPr>
          <w:p w:rsidR="009E6553" w14:paraId="1017FA43" w14:textId="77777777">
            <w:pPr>
              <w:widowControl/>
              <w:spacing w:before="120" w:after="120"/>
              <w:rPr>
                <w:b/>
                <w:bCs/>
                <w:color w:val="000000"/>
                <w:sz w:val="20"/>
                <w:szCs w:val="20"/>
              </w:rPr>
            </w:pPr>
            <w:r>
              <w:rPr>
                <w:b/>
                <w:bCs/>
                <w:color w:val="000000"/>
                <w:sz w:val="20"/>
                <w:szCs w:val="20"/>
              </w:rPr>
              <w:t>Needs and Uses</w:t>
            </w:r>
          </w:p>
        </w:tc>
      </w:tr>
      <w:tr w14:paraId="46C241E8" w14:textId="77777777" w:rsidTr="002929E0">
        <w:tblPrEx>
          <w:tblW w:w="9444" w:type="dxa"/>
          <w:tblLayout w:type="fixed"/>
          <w:tblLook w:val="0600"/>
        </w:tblPrEx>
        <w:trPr>
          <w:trHeight w:val="1277"/>
        </w:trPr>
        <w:tc>
          <w:tcPr>
            <w:tcW w:w="804"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2D69878A" w14:textId="77777777">
            <w:pPr>
              <w:widowControl/>
              <w:spacing w:before="120" w:after="120"/>
              <w:rPr>
                <w:color w:val="000000"/>
                <w:sz w:val="20"/>
                <w:szCs w:val="20"/>
              </w:rPr>
            </w:pPr>
            <w:r>
              <w:rPr>
                <w:color w:val="000000"/>
                <w:sz w:val="20"/>
                <w:szCs w:val="20"/>
              </w:rPr>
              <w:t>1</w:t>
            </w:r>
          </w:p>
        </w:tc>
        <w:tc>
          <w:tcPr>
            <w:tcW w:w="153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4481954C" w14:textId="77777777">
            <w:pPr>
              <w:widowControl/>
              <w:spacing w:before="120" w:after="120"/>
              <w:rPr>
                <w:color w:val="000000"/>
                <w:sz w:val="20"/>
                <w:szCs w:val="20"/>
              </w:rPr>
            </w:pPr>
            <w:r>
              <w:rPr>
                <w:color w:val="000000"/>
                <w:sz w:val="20"/>
                <w:szCs w:val="20"/>
              </w:rPr>
              <w:t>Ocean Enterprise Economic Survey</w:t>
            </w:r>
          </w:p>
        </w:tc>
        <w:tc>
          <w:tcPr>
            <w:tcW w:w="144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3A495F20" w14:textId="77777777">
            <w:pPr>
              <w:widowControl/>
              <w:spacing w:before="120" w:after="120"/>
              <w:rPr>
                <w:color w:val="000000"/>
                <w:sz w:val="20"/>
                <w:szCs w:val="20"/>
              </w:rPr>
            </w:pPr>
            <w:r>
              <w:rPr>
                <w:color w:val="000000"/>
                <w:sz w:val="20"/>
                <w:szCs w:val="20"/>
              </w:rPr>
              <w:t>33 U.S.C. § 3601-3610</w:t>
            </w:r>
          </w:p>
        </w:tc>
        <w:tc>
          <w:tcPr>
            <w:tcW w:w="126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2BD31249" w14:textId="77777777">
            <w:pPr>
              <w:widowControl/>
              <w:spacing w:before="120" w:after="120"/>
              <w:rPr>
                <w:color w:val="000000"/>
                <w:sz w:val="20"/>
                <w:szCs w:val="20"/>
              </w:rPr>
            </w:pPr>
            <w:r>
              <w:rPr>
                <w:color w:val="000000"/>
                <w:sz w:val="20"/>
                <w:szCs w:val="20"/>
              </w:rPr>
              <w:t>N/A</w:t>
            </w:r>
          </w:p>
        </w:tc>
        <w:tc>
          <w:tcPr>
            <w:tcW w:w="117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5B71552E" w14:textId="77777777">
            <w:pPr>
              <w:widowControl/>
              <w:spacing w:before="120" w:after="120"/>
              <w:rPr>
                <w:color w:val="000000"/>
                <w:sz w:val="20"/>
                <w:szCs w:val="20"/>
              </w:rPr>
            </w:pPr>
            <w:r>
              <w:rPr>
                <w:color w:val="000000"/>
                <w:sz w:val="20"/>
                <w:szCs w:val="20"/>
              </w:rPr>
              <w:t>Electronic Web Survey</w:t>
            </w:r>
          </w:p>
        </w:tc>
        <w:tc>
          <w:tcPr>
            <w:tcW w:w="324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25DDBDAC" w14:textId="77777777">
            <w:pPr>
              <w:widowControl/>
              <w:spacing w:before="120" w:after="120"/>
              <w:rPr>
                <w:color w:val="000000"/>
                <w:sz w:val="20"/>
                <w:szCs w:val="20"/>
              </w:rPr>
            </w:pPr>
            <w:r>
              <w:rPr>
                <w:color w:val="000000"/>
                <w:sz w:val="20"/>
                <w:szCs w:val="20"/>
              </w:rPr>
              <w:t>Used by NOAA/IOOS to measure private sector activity, job growth, revenue attribution, export markets, and the commercial utility of federal ocean data.</w:t>
            </w:r>
          </w:p>
        </w:tc>
      </w:tr>
    </w:tbl>
    <w:p w:rsidR="009E6553" w:rsidP="00B574DE" w14:paraId="256733A1" w14:textId="77777777">
      <w:pPr>
        <w:pBdr>
          <w:top w:val="nil"/>
          <w:left w:val="nil"/>
          <w:bottom w:val="nil"/>
          <w:right w:val="nil"/>
          <w:between w:val="nil"/>
        </w:pBdr>
        <w:tabs>
          <w:tab w:val="left" w:pos="360"/>
        </w:tabs>
        <w:spacing w:before="240"/>
        <w:ind w:left="400"/>
        <w:rPr>
          <w:b/>
          <w:bCs/>
        </w:rPr>
      </w:pPr>
    </w:p>
    <w:p w:rsidR="009E6553" w:rsidP="00B574DE" w14:paraId="033472DF"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9E6553" w:rsidP="00B574DE" w14:paraId="0E277E27" w14:textId="77777777">
      <w:pPr>
        <w:spacing w:before="240"/>
      </w:pPr>
      <w:r>
        <w:t xml:space="preserve">The collection is 100% electronic. The survey instrument uses conditional skip logic, piping, and branching functionality to minimize burden. Respondents only navigate questions relevant to their specific organizational structure (e.g., single vs. multi-location), geographic scope, and IOOS familiarity. Non-qualifying respondents who select "None of the Above" during initial screening exit the survey immediately. </w:t>
      </w:r>
    </w:p>
    <w:p w:rsidR="009E6553" w:rsidP="00B574DE" w14:paraId="1C1F46EF" w14:textId="77777777">
      <w:pPr>
        <w:spacing w:before="240"/>
      </w:pPr>
    </w:p>
    <w:p w:rsidR="009E6553" w:rsidP="00B574DE" w14:paraId="76F1021B"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efforts to identify duplication. Show specifically why any similar information already available cannot be used or modified for use for the purposes described in Question 2</w:t>
      </w:r>
    </w:p>
    <w:p w:rsidR="009E6553" w:rsidP="00B574DE" w14:paraId="4861EB56" w14:textId="77777777">
      <w:pPr>
        <w:pBdr>
          <w:top w:val="nil"/>
          <w:left w:val="nil"/>
          <w:bottom w:val="nil"/>
          <w:right w:val="nil"/>
          <w:between w:val="nil"/>
        </w:pBdr>
        <w:spacing w:before="240"/>
      </w:pPr>
      <w:r>
        <w:t xml:space="preserve">No other federal agency or private organization collects comprehensive economic, employment, and technology data specifically tailored to the U.S. Ocean Enterprise cluster. Standard federal statistics (such as Bureau of Labor Statistics or Census Bureau datasets) rely on broad NAICS codes that mix ocean-specific technology providers with general manufacturing or engineering services. </w:t>
      </w:r>
    </w:p>
    <w:p w:rsidR="009E6553" w:rsidP="00B574DE" w14:paraId="6F8E19C1" w14:textId="77777777">
      <w:pPr>
        <w:pBdr>
          <w:top w:val="nil"/>
          <w:left w:val="nil"/>
          <w:bottom w:val="nil"/>
          <w:right w:val="nil"/>
          <w:between w:val="nil"/>
        </w:pBdr>
        <w:spacing w:before="240"/>
      </w:pPr>
    </w:p>
    <w:p w:rsidR="009E6553" w:rsidP="00B574DE" w14:paraId="397F0750"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the collection of information impacts small businesses or other small entities, describe any methods used to minimize burden.</w:t>
      </w:r>
    </w:p>
    <w:p w:rsidR="009E6553" w:rsidP="00B574DE" w14:paraId="594847D3" w14:textId="77777777">
      <w:pPr>
        <w:widowControl/>
        <w:spacing w:before="240"/>
        <w:rPr>
          <w:rFonts w:ascii="Arial" w:eastAsia="Arial" w:hAnsi="Arial" w:cs="Arial"/>
          <w:sz w:val="22"/>
          <w:szCs w:val="22"/>
        </w:rPr>
      </w:pPr>
      <w:r>
        <w:t>A significant proportion of respondents within this sector comprise small business entities and sole proprietorships. To mitigate administrative burden, the instrument incorporates the following measures:</w:t>
      </w:r>
    </w:p>
    <w:p w:rsidR="009E6553" w:rsidP="002929E0" w14:paraId="44F85998" w14:textId="77777777">
      <w:pPr>
        <w:widowControl/>
        <w:numPr>
          <w:ilvl w:val="0"/>
          <w:numId w:val="3"/>
        </w:numPr>
        <w:spacing w:before="120"/>
        <w:rPr>
          <w:rFonts w:ascii="Arial" w:eastAsia="Arial" w:hAnsi="Arial" w:cs="Arial"/>
          <w:sz w:val="22"/>
          <w:szCs w:val="22"/>
        </w:rPr>
      </w:pPr>
      <w:r>
        <w:t>Advanced conditional skip logic automatically bypasses non-applicable modules pertaining to multi-location, multinational, or parent-company operations.</w:t>
      </w:r>
    </w:p>
    <w:p w:rsidR="009E6553" w:rsidP="002929E0" w14:paraId="0692044C" w14:textId="77777777">
      <w:pPr>
        <w:widowControl/>
        <w:numPr>
          <w:ilvl w:val="0"/>
          <w:numId w:val="3"/>
        </w:numPr>
        <w:spacing w:before="120"/>
        <w:rPr>
          <w:rFonts w:ascii="Arial" w:eastAsia="Arial" w:hAnsi="Arial" w:cs="Arial"/>
          <w:sz w:val="22"/>
          <w:szCs w:val="22"/>
        </w:rPr>
      </w:pPr>
      <w:r>
        <w:t>With the exception of initial screening and routing inquiries, completion of individual survey items remains optional.</w:t>
      </w:r>
    </w:p>
    <w:p w:rsidR="009E6553" w:rsidP="002929E0" w14:paraId="2ABB968D" w14:textId="77777777">
      <w:pPr>
        <w:widowControl/>
        <w:numPr>
          <w:ilvl w:val="0"/>
          <w:numId w:val="3"/>
        </w:numPr>
        <w:spacing w:before="120"/>
        <w:rPr>
          <w:rFonts w:ascii="Arial" w:eastAsia="Arial" w:hAnsi="Arial" w:cs="Arial"/>
          <w:sz w:val="22"/>
          <w:szCs w:val="22"/>
        </w:rPr>
      </w:pPr>
      <w:r>
        <w:t xml:space="preserve">Embedded hyperlinked terminology (e.g., </w:t>
      </w:r>
      <w:r>
        <w:rPr>
          <w:i/>
          <w:iCs/>
        </w:rPr>
        <w:t>Provider</w:t>
      </w:r>
      <w:r>
        <w:t xml:space="preserve">, </w:t>
      </w:r>
      <w:r>
        <w:rPr>
          <w:i/>
          <w:iCs/>
        </w:rPr>
        <w:t>Intermediary</w:t>
      </w:r>
      <w:r>
        <w:t xml:space="preserve">, </w:t>
      </w:r>
      <w:r>
        <w:rPr>
          <w:i/>
          <w:iCs/>
        </w:rPr>
        <w:t>End-User</w:t>
      </w:r>
      <w:r>
        <w:t>) is integrated directly within the survey interface, enabling respondents to complete the questionnaire efficiently without consulting external reference documentation.</w:t>
      </w:r>
    </w:p>
    <w:p w:rsidR="009E6553" w:rsidP="00B574DE" w14:paraId="798B68E0" w14:textId="77777777">
      <w:pPr>
        <w:pBdr>
          <w:top w:val="nil"/>
          <w:left w:val="nil"/>
          <w:bottom w:val="nil"/>
          <w:right w:val="nil"/>
          <w:between w:val="nil"/>
        </w:pBdr>
        <w:spacing w:before="240"/>
        <w:rPr>
          <w:color w:val="2F5496"/>
        </w:rPr>
      </w:pPr>
    </w:p>
    <w:p w:rsidR="009E6553" w:rsidP="00B574DE" w14:paraId="7443486A"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2929E0" w:rsidP="002929E0" w14:paraId="2FEEE957" w14:textId="77777777">
      <w:pPr>
        <w:pStyle w:val="NormalWeb"/>
        <w:shd w:val="clear" w:color="auto" w:fill="FFFFFF"/>
        <w:spacing w:before="240" w:beforeAutospacing="0" w:after="0" w:afterAutospacing="0"/>
        <w:rPr>
          <w:color w:val="000000"/>
        </w:rPr>
      </w:pPr>
      <w:r w:rsidRPr="002929E0">
        <w:rPr>
          <w:color w:val="000000"/>
        </w:rPr>
        <w:t>If this collection is not conducted or if its frequency is reduced, NOAA and the U.S. Integrated Ocean Observing System (IOOS) Office will lack crucial, current empirical baseline data needed to measure how public investments in ocean observing systems directly drive private-sector innovation, revenue attribution, export competitiveness, and job creation. Without periodic updates, the agency cannot track long-term longitudinal growth trends, evaluate structural shifts within the Ocean Enterprise, or determine the degree to which commercial entities integrate with and leverage federal data assets.</w:t>
      </w:r>
    </w:p>
    <w:p w:rsidR="002929E0" w:rsidRPr="002929E0" w:rsidP="002929E0" w14:paraId="7B7A8B37" w14:textId="77777777">
      <w:pPr>
        <w:pStyle w:val="NormalWeb"/>
        <w:shd w:val="clear" w:color="auto" w:fill="FFFFFF"/>
        <w:spacing w:before="240" w:beforeAutospacing="0" w:after="0" w:afterAutospacing="0"/>
      </w:pPr>
      <w:r w:rsidRPr="002929E0">
        <w:rPr>
          <w:color w:val="000000"/>
        </w:rPr>
        <w:t>Furthermore, the absence of timely data will impair NOAA’s ability to meet reporting mandates under the Government Performance and Results Act (GPRA), obscure emerging ocean technology and workforce capability gaps, and severely hinder strategic, data-driven planning for public-private partnerships. Ultimately, federal decision-makers and ocean policy leaders would be unable to accurately articulate the national economic return on investment generated by federal ocean observation infrastructure.</w:t>
      </w:r>
    </w:p>
    <w:p w:rsidR="009E6553" w:rsidP="00B574DE" w14:paraId="6C4D2CEE" w14:textId="77777777">
      <w:pPr>
        <w:pBdr>
          <w:top w:val="nil"/>
          <w:left w:val="nil"/>
          <w:bottom w:val="nil"/>
          <w:right w:val="nil"/>
          <w:between w:val="nil"/>
        </w:pBdr>
        <w:spacing w:before="240"/>
      </w:pPr>
    </w:p>
    <w:p w:rsidR="009E6553" w:rsidP="00B574DE" w14:paraId="67C190B5"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any special circumstances that would cause an information collection to be conducted in a manner inconsistent with OMB guidelines.</w:t>
      </w:r>
    </w:p>
    <w:p w:rsidR="009E6553" w:rsidP="00B574DE" w14:paraId="07D95F7A" w14:textId="77777777">
      <w:pPr>
        <w:pBdr>
          <w:top w:val="nil"/>
          <w:left w:val="nil"/>
          <w:bottom w:val="nil"/>
          <w:right w:val="nil"/>
          <w:between w:val="nil"/>
        </w:pBdr>
        <w:spacing w:before="240"/>
      </w:pPr>
      <w:r>
        <w:t>This collection complies fully with OMB guidelines (5 CFR 1320.5).</w:t>
      </w:r>
    </w:p>
    <w:p w:rsidR="009E6553" w:rsidP="002929E0" w14:paraId="39307821" w14:textId="77777777">
      <w:pPr>
        <w:numPr>
          <w:ilvl w:val="0"/>
          <w:numId w:val="2"/>
        </w:numPr>
        <w:spacing w:before="120"/>
      </w:pPr>
      <w:r>
        <w:t>Respondents are not required to report more frequently than annually (this is a quadrennial survey).</w:t>
      </w:r>
    </w:p>
    <w:p w:rsidR="009E6553" w:rsidP="002929E0" w14:paraId="137D554B" w14:textId="77777777">
      <w:pPr>
        <w:numPr>
          <w:ilvl w:val="0"/>
          <w:numId w:val="2"/>
        </w:numPr>
        <w:spacing w:before="120"/>
      </w:pPr>
      <w:r>
        <w:t>Respondents are given more than 30 days to complete the voluntary submission.</w:t>
      </w:r>
    </w:p>
    <w:p w:rsidR="009E6553" w:rsidP="002929E0" w14:paraId="4A3DE6C7" w14:textId="332104A7">
      <w:pPr>
        <w:numPr>
          <w:ilvl w:val="0"/>
          <w:numId w:val="2"/>
        </w:numPr>
        <w:spacing w:before="120"/>
      </w:pPr>
      <w:r>
        <w:t xml:space="preserve">Respondents are not required to submit any original </w:t>
      </w:r>
      <w:r w:rsidR="002929E0">
        <w:t>documentation;</w:t>
      </w:r>
      <w:r>
        <w:t xml:space="preserve"> it is a web survey.</w:t>
      </w:r>
    </w:p>
    <w:p w:rsidR="009E6553" w:rsidP="002929E0" w14:paraId="43CB338A" w14:textId="77777777">
      <w:pPr>
        <w:numPr>
          <w:ilvl w:val="0"/>
          <w:numId w:val="2"/>
        </w:numPr>
        <w:spacing w:before="120"/>
      </w:pPr>
      <w:r>
        <w:t>Respondents are not required to retain any records of their submission.</w:t>
      </w:r>
    </w:p>
    <w:p w:rsidR="009E6553" w:rsidP="002929E0" w14:paraId="65850767" w14:textId="77777777">
      <w:pPr>
        <w:numPr>
          <w:ilvl w:val="0"/>
          <w:numId w:val="2"/>
        </w:numPr>
        <w:spacing w:before="120"/>
      </w:pPr>
      <w:r>
        <w:t>The information collection is not in connection with a statistical survey that is not designed to produce valid and reliable results that can be generalized to the universe of the study.</w:t>
      </w:r>
    </w:p>
    <w:p w:rsidR="009E6553" w:rsidP="002929E0" w14:paraId="3B79E531" w14:textId="77777777">
      <w:pPr>
        <w:numPr>
          <w:ilvl w:val="0"/>
          <w:numId w:val="2"/>
        </w:numPr>
        <w:spacing w:before="120"/>
      </w:pPr>
      <w:r>
        <w:t>No statistical data classification unapproved by OMB is required.</w:t>
      </w:r>
    </w:p>
    <w:p w:rsidR="009E6553" w:rsidP="002929E0" w14:paraId="4E5A5C6C" w14:textId="77777777">
      <w:pPr>
        <w:numPr>
          <w:ilvl w:val="0"/>
          <w:numId w:val="2"/>
        </w:numPr>
        <w:spacing w:before="120"/>
      </w:pPr>
      <w:r>
        <w:t>No confidentiality pledge is required.</w:t>
      </w:r>
    </w:p>
    <w:p w:rsidR="009E6553" w:rsidP="002929E0" w14:paraId="7B9869FB" w14:textId="77777777">
      <w:pPr>
        <w:numPr>
          <w:ilvl w:val="0"/>
          <w:numId w:val="2"/>
        </w:numPr>
        <w:spacing w:before="120"/>
      </w:pPr>
      <w:r>
        <w:t xml:space="preserve">No proprietary trade secrets are requested; all economic metrics are reported at an aggregate </w:t>
      </w:r>
      <w:r>
        <w:t>level.</w:t>
      </w:r>
    </w:p>
    <w:p w:rsidR="009E6553" w:rsidP="00B574DE" w14:paraId="2126BEB7" w14:textId="77777777">
      <w:pPr>
        <w:pBdr>
          <w:top w:val="nil"/>
          <w:left w:val="nil"/>
          <w:bottom w:val="nil"/>
          <w:right w:val="nil"/>
          <w:between w:val="nil"/>
        </w:pBdr>
        <w:spacing w:before="240"/>
        <w:rPr>
          <w:color w:val="2F5496"/>
        </w:rPr>
      </w:pPr>
    </w:p>
    <w:p w:rsidR="009E6553" w:rsidP="00B574DE" w14:paraId="666F481F"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9E6553" w:rsidP="00B574DE" w14:paraId="562EBEB4" w14:textId="77777777">
      <w:pPr>
        <w:pBdr>
          <w:top w:val="nil"/>
          <w:left w:val="nil"/>
          <w:bottom w:val="nil"/>
          <w:right w:val="nil"/>
          <w:between w:val="nil"/>
        </w:pBdr>
        <w:spacing w:before="240"/>
      </w:pPr>
      <w:r>
        <w:t xml:space="preserve">A Federal Register Notice published on June 3, 2026, (91 FR 33152) solicited public comment.  No public comments were received in response to this notice. </w:t>
      </w:r>
    </w:p>
    <w:p w:rsidR="009E6553" w:rsidP="00B574DE" w14:paraId="5A56D961" w14:textId="77777777">
      <w:pPr>
        <w:pBdr>
          <w:top w:val="nil"/>
          <w:left w:val="nil"/>
          <w:bottom w:val="nil"/>
          <w:right w:val="nil"/>
          <w:between w:val="nil"/>
        </w:pBdr>
        <w:spacing w:before="240"/>
      </w:pPr>
      <w:r>
        <w:t xml:space="preserve">Outreach &amp; Stakeholder Consultations: NOAA consulted with non-NOAA stakeholders, industry representatives, and regional ocean association members to evaluate the clarity of instructions, survey utility, and burden estimates. Feedback confirmed that the electronic skip logic significantly improved survey flow and minimized time investment. </w:t>
      </w:r>
    </w:p>
    <w:p w:rsidR="009E6553" w:rsidP="00B574DE" w14:paraId="50DE3DD9" w14:textId="77777777">
      <w:pPr>
        <w:pBdr>
          <w:top w:val="nil"/>
          <w:left w:val="nil"/>
          <w:bottom w:val="nil"/>
          <w:right w:val="nil"/>
          <w:between w:val="nil"/>
        </w:pBdr>
        <w:spacing w:before="240"/>
      </w:pPr>
    </w:p>
    <w:p w:rsidR="009E6553" w:rsidP="00B574DE" w14:paraId="78F77EFA"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any decision to provide any payment or gift to respondents, other than remuneration of contractors or grantees.</w:t>
      </w:r>
    </w:p>
    <w:p w:rsidR="009E6553" w:rsidP="00B574DE" w14:paraId="49CF3228" w14:textId="77777777">
      <w:pPr>
        <w:pBdr>
          <w:top w:val="nil"/>
          <w:left w:val="nil"/>
          <w:bottom w:val="nil"/>
          <w:right w:val="nil"/>
          <w:between w:val="nil"/>
        </w:pBdr>
        <w:spacing w:before="240"/>
      </w:pPr>
      <w:r>
        <w:t xml:space="preserve">No payments, incentives, or gifts are offered or provided to respondents for participating in this voluntary collection. </w:t>
      </w:r>
    </w:p>
    <w:p w:rsidR="009E6553" w:rsidP="00B574DE" w14:paraId="2CC413C1" w14:textId="77777777">
      <w:pPr>
        <w:pBdr>
          <w:top w:val="nil"/>
          <w:left w:val="nil"/>
          <w:bottom w:val="nil"/>
          <w:right w:val="nil"/>
          <w:between w:val="nil"/>
        </w:pBdr>
        <w:spacing w:before="240"/>
        <w:rPr>
          <w:color w:val="2F5496"/>
        </w:rPr>
      </w:pPr>
    </w:p>
    <w:p w:rsidR="009E6553" w:rsidP="00B574DE" w14:paraId="7936AA2D"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9E6553" w:rsidP="00B574DE" w14:paraId="412B8319" w14:textId="77777777">
      <w:pPr>
        <w:widowControl/>
        <w:spacing w:before="240"/>
      </w:pPr>
      <w:r>
        <w:t>Section 402(b) of the Magnuson-Stevens Fishery Conservation and Management Act and general Commerce data protection protocols apply where relevant.  The introductory screen explicitly states that all survey responses will be kept strictly confidential. Data will be analyzed and published only in aggregated formats so no individual company's financial or operational metrics can be identified.</w:t>
      </w:r>
    </w:p>
    <w:p w:rsidR="009E6553" w:rsidP="00B574DE" w14:paraId="3D512E93" w14:textId="77777777">
      <w:pPr>
        <w:widowControl/>
        <w:spacing w:before="240"/>
      </w:pPr>
      <w:r>
        <w:t>Consistent with OMB’s guidance implementing the Privacy Act of 1974, “an agency record-keeping system on firms it regulates may contain “records” (i.e., personal information) about officers of the firm incident to evaluating the firm’s performance.  Even though these are clearly “records” under the “control of” an agency, they would not be considered part of a system as defined by the Act unless the agency accessed them by reference to a personal identifier (name, etc.).  That is, if these hypothetical “rec</w:t>
      </w:r>
      <w:r>
        <w:t>ords” are never retrieved except by reference to company identifier or some other nonpersonal indexing scheme (e.g., type of firm) they are not a part of a system of records.”  NOAA believes that this guidance speaks directly to this scenario and suggests that while the information system certainly will collect and maintain personally identifiable information (PII), they are not maintained in a system of records.</w:t>
      </w:r>
    </w:p>
    <w:p w:rsidR="00B574DE" w:rsidP="00B574DE" w14:paraId="786C9270" w14:textId="77777777">
      <w:pPr>
        <w:widowControl/>
        <w:spacing w:before="240"/>
      </w:pPr>
    </w:p>
    <w:p w:rsidR="009E6553" w:rsidP="00B574DE" w14:paraId="6E7484BB"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E6553" w:rsidP="00B574DE" w14:paraId="4A59E7A2" w14:textId="77777777">
      <w:pPr>
        <w:spacing w:before="240"/>
        <w:sectPr w:rsidSect="00B574DE">
          <w:footerReference w:type="default" r:id="rId6"/>
          <w:type w:val="continuous"/>
          <w:pgSz w:w="12240" w:h="15840"/>
          <w:pgMar w:top="1440" w:right="1440" w:bottom="1440" w:left="1440" w:header="0" w:footer="714" w:gutter="0"/>
          <w:pgNumType w:start="1"/>
          <w:cols w:space="720"/>
          <w:docGrid w:linePitch="326"/>
        </w:sectPr>
      </w:pPr>
      <w:r>
        <w:t xml:space="preserve">No questions of a sensitive nature (e.g., personal religious beliefs, sexual orientation, or personal Social Security Numbers) are included in this survey instrument. </w:t>
      </w:r>
    </w:p>
    <w:p w:rsidR="009E6553" w14:paraId="76181D98" w14:textId="77777777">
      <w:pPr>
        <w:numPr>
          <w:ilvl w:val="0"/>
          <w:numId w:val="1"/>
        </w:numPr>
        <w:pBdr>
          <w:top w:val="nil"/>
          <w:left w:val="nil"/>
          <w:bottom w:val="nil"/>
          <w:right w:val="nil"/>
          <w:between w:val="nil"/>
        </w:pBdr>
        <w:tabs>
          <w:tab w:val="left" w:pos="360"/>
        </w:tabs>
        <w:spacing w:before="80"/>
        <w:ind w:left="0" w:firstLine="0"/>
        <w:rPr>
          <w:color w:val="000000"/>
        </w:rPr>
      </w:pPr>
      <w:r>
        <w:rPr>
          <w:b/>
          <w:bCs/>
          <w:color w:val="000000"/>
        </w:rPr>
        <w:t>Provide estimates of the hour burden of the collection of information.</w:t>
      </w:r>
    </w:p>
    <w:p w:rsidR="009E6553" w14:paraId="16345811" w14:textId="77777777">
      <w:pPr>
        <w:spacing w:line="259" w:lineRule="auto"/>
        <w:ind w:hanging="43"/>
        <w:jc w:val="center"/>
        <w:rPr>
          <w:b/>
          <w:bCs/>
          <w:color w:val="FF0000"/>
        </w:rPr>
      </w:pPr>
    </w:p>
    <w:p w:rsidR="009E6553" w14:paraId="712343CA" w14:textId="77777777">
      <w:pPr>
        <w:spacing w:line="259" w:lineRule="auto"/>
        <w:ind w:hanging="43"/>
        <w:jc w:val="center"/>
        <w:rPr>
          <w:b/>
          <w:bCs/>
          <w:color w:val="0563C1"/>
          <w:highlight w:val="yellow"/>
          <w:u w:val="single"/>
        </w:rPr>
      </w:pPr>
    </w:p>
    <w:p w:rsidR="009E6553" w14:paraId="70EC7E63" w14:textId="77777777">
      <w:pPr>
        <w:spacing w:line="259" w:lineRule="auto"/>
        <w:ind w:hanging="43"/>
        <w:jc w:val="center"/>
        <w:rPr>
          <w:b/>
          <w:bCs/>
          <w:color w:val="0563C1"/>
          <w:highlight w:val="yellow"/>
          <w:u w:val="single"/>
        </w:rPr>
      </w:pPr>
    </w:p>
    <w:tbl>
      <w:tblPr>
        <w:tblStyle w:val="af3"/>
        <w:tblW w:w="14325" w:type="dxa"/>
        <w:tblInd w:w="-360" w:type="dxa"/>
        <w:tblBorders>
          <w:top w:val="nil"/>
          <w:left w:val="nil"/>
          <w:bottom w:val="nil"/>
          <w:right w:val="nil"/>
          <w:insideH w:val="nil"/>
          <w:insideV w:val="nil"/>
        </w:tblBorders>
        <w:tblLayout w:type="fixed"/>
        <w:tblLook w:val="0600"/>
      </w:tblPr>
      <w:tblGrid>
        <w:gridCol w:w="2040"/>
        <w:gridCol w:w="1410"/>
        <w:gridCol w:w="1500"/>
        <w:gridCol w:w="1740"/>
        <w:gridCol w:w="1785"/>
        <w:gridCol w:w="1455"/>
        <w:gridCol w:w="1515"/>
        <w:gridCol w:w="1260"/>
        <w:gridCol w:w="1620"/>
      </w:tblGrid>
      <w:tr w14:paraId="7E0B315F" w14:textId="77777777">
        <w:tblPrEx>
          <w:tblW w:w="14325" w:type="dxa"/>
          <w:tblInd w:w="-360" w:type="dxa"/>
          <w:tblBorders>
            <w:top w:val="nil"/>
            <w:left w:val="nil"/>
            <w:bottom w:val="nil"/>
            <w:right w:val="nil"/>
            <w:insideH w:val="nil"/>
            <w:insideV w:val="nil"/>
          </w:tblBorders>
          <w:tblLayout w:type="fixed"/>
          <w:tblLook w:val="0600"/>
        </w:tblPrEx>
        <w:trPr>
          <w:trHeight w:val="1470"/>
        </w:trPr>
        <w:tc>
          <w:tcPr>
            <w:tcW w:w="2040" w:type="dxa"/>
            <w:tcBorders>
              <w:top w:val="single" w:sz="5" w:space="0" w:color="C4C7C5"/>
              <w:left w:val="single" w:sz="5" w:space="0" w:color="C4C7C5"/>
              <w:bottom w:val="single" w:sz="5" w:space="0" w:color="C4C7C5"/>
              <w:right w:val="single" w:sz="5" w:space="0" w:color="C4C7C5"/>
            </w:tcBorders>
            <w:shd w:val="clear" w:color="auto" w:fill="A4C2F4"/>
            <w:tcMar>
              <w:top w:w="100" w:type="dxa"/>
              <w:left w:w="100" w:type="dxa"/>
              <w:bottom w:w="100" w:type="dxa"/>
              <w:right w:w="100" w:type="dxa"/>
            </w:tcMar>
          </w:tcPr>
          <w:p w:rsidR="009E6553" w14:paraId="3BB98C48"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Information Collection</w:t>
            </w:r>
          </w:p>
        </w:tc>
        <w:tc>
          <w:tcPr>
            <w:tcW w:w="1410"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58478AC9"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Type of Respondent</w:t>
            </w:r>
          </w:p>
        </w:tc>
        <w:tc>
          <w:tcPr>
            <w:tcW w:w="1500"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4BA418AF"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 xml:space="preserve"># of Respondents / year </w:t>
            </w:r>
          </w:p>
          <w:p w:rsidR="009E6553" w14:paraId="7153DF57"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(a)</w:t>
            </w:r>
          </w:p>
        </w:tc>
        <w:tc>
          <w:tcPr>
            <w:tcW w:w="1740"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39AC10C8"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Annual # of Responses /</w:t>
            </w:r>
          </w:p>
          <w:p w:rsidR="009E6553" w14:paraId="190C8C05"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Respondent</w:t>
            </w:r>
          </w:p>
          <w:p w:rsidR="009E6553" w14:paraId="11645A9C"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(b)</w:t>
            </w:r>
          </w:p>
        </w:tc>
        <w:tc>
          <w:tcPr>
            <w:tcW w:w="1785"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51F4CE64"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Total # of Annual Responses</w:t>
            </w:r>
          </w:p>
          <w:p w:rsidR="009E6553" w14:paraId="379EA340"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(c) = (a) x (b)</w:t>
            </w:r>
          </w:p>
        </w:tc>
        <w:tc>
          <w:tcPr>
            <w:tcW w:w="1455"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5BE9AEAE"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Burden Hrs / Response</w:t>
            </w:r>
          </w:p>
          <w:p w:rsidR="009E6553" w14:paraId="2EDF40A6"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(d)</w:t>
            </w:r>
          </w:p>
        </w:tc>
        <w:tc>
          <w:tcPr>
            <w:tcW w:w="1515"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45BFE850"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Total Annual Burden Hrs</w:t>
            </w:r>
          </w:p>
          <w:p w:rsidR="009E6553" w14:paraId="6E400DE4"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(e) = (c) x (d)</w:t>
            </w:r>
          </w:p>
        </w:tc>
        <w:tc>
          <w:tcPr>
            <w:tcW w:w="1260"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2A61D2F3"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 xml:space="preserve">Hourly Wage Rate </w:t>
            </w:r>
          </w:p>
          <w:p w:rsidR="009E6553" w14:paraId="05E67625"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(f)*</w:t>
            </w:r>
          </w:p>
        </w:tc>
        <w:tc>
          <w:tcPr>
            <w:tcW w:w="1620" w:type="dxa"/>
            <w:tcBorders>
              <w:top w:val="single" w:sz="5" w:space="0" w:color="C4C7C5"/>
              <w:left w:val="nil"/>
              <w:bottom w:val="single" w:sz="5" w:space="0" w:color="C4C7C5"/>
              <w:right w:val="single" w:sz="5" w:space="0" w:color="C4C7C5"/>
            </w:tcBorders>
            <w:shd w:val="clear" w:color="auto" w:fill="A4C2F4"/>
            <w:tcMar>
              <w:top w:w="100" w:type="dxa"/>
              <w:left w:w="100" w:type="dxa"/>
              <w:bottom w:w="100" w:type="dxa"/>
              <w:right w:w="100" w:type="dxa"/>
            </w:tcMar>
          </w:tcPr>
          <w:p w:rsidR="009E6553" w14:paraId="754F0FF4"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Total Annual Wage Burden Costs</w:t>
            </w:r>
          </w:p>
          <w:p w:rsidR="009E6553" w14:paraId="7523EB6A"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(g) = (e) x (f)</w:t>
            </w:r>
          </w:p>
        </w:tc>
      </w:tr>
      <w:tr w14:paraId="4471AD3C" w14:textId="77777777" w:rsidTr="00B574DE">
        <w:tblPrEx>
          <w:tblW w:w="14325" w:type="dxa"/>
          <w:tblInd w:w="-360" w:type="dxa"/>
          <w:tblLayout w:type="fixed"/>
          <w:tblLook w:val="0600"/>
        </w:tblPrEx>
        <w:trPr>
          <w:trHeight w:val="755"/>
        </w:trPr>
        <w:tc>
          <w:tcPr>
            <w:tcW w:w="2040"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0E72110F"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Ocean Enterprise Survey</w:t>
            </w:r>
          </w:p>
        </w:tc>
        <w:tc>
          <w:tcPr>
            <w:tcW w:w="141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4905368E"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Corporate Executive / Manager</w:t>
            </w:r>
          </w:p>
        </w:tc>
        <w:tc>
          <w:tcPr>
            <w:tcW w:w="150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680AB1B6"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250</w:t>
            </w:r>
          </w:p>
        </w:tc>
        <w:tc>
          <w:tcPr>
            <w:tcW w:w="174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7D5081EF"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1</w:t>
            </w:r>
          </w:p>
        </w:tc>
        <w:tc>
          <w:tcPr>
            <w:tcW w:w="178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495A078"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250</w:t>
            </w:r>
          </w:p>
        </w:tc>
        <w:tc>
          <w:tcPr>
            <w:tcW w:w="145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4B39CBC6"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0.40 (24 min)</w:t>
            </w:r>
          </w:p>
        </w:tc>
        <w:tc>
          <w:tcPr>
            <w:tcW w:w="151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034B3CE8"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100</w:t>
            </w:r>
          </w:p>
        </w:tc>
        <w:tc>
          <w:tcPr>
            <w:tcW w:w="126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786C38D0"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$69.84</w:t>
            </w:r>
          </w:p>
        </w:tc>
        <w:tc>
          <w:tcPr>
            <w:tcW w:w="162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6ACC8E08"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$6,984</w:t>
            </w:r>
          </w:p>
        </w:tc>
      </w:tr>
      <w:tr w14:paraId="62B46572" w14:textId="77777777" w:rsidTr="00B574DE">
        <w:tblPrEx>
          <w:tblW w:w="14325" w:type="dxa"/>
          <w:tblInd w:w="-360" w:type="dxa"/>
          <w:tblLayout w:type="fixed"/>
          <w:tblLook w:val="0600"/>
        </w:tblPrEx>
        <w:trPr>
          <w:trHeight w:val="305"/>
        </w:trPr>
        <w:tc>
          <w:tcPr>
            <w:tcW w:w="2040"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580FB907" w14:textId="77777777">
            <w:pPr>
              <w:spacing w:line="259" w:lineRule="auto"/>
              <w:ind w:hanging="43"/>
              <w:jc w:val="center"/>
              <w:rPr>
                <w:rFonts w:ascii="Calibri" w:eastAsia="Calibri" w:hAnsi="Calibri" w:cs="Calibri"/>
                <w:b/>
                <w:bCs/>
                <w:color w:val="0563C1"/>
                <w:sz w:val="22"/>
                <w:szCs w:val="22"/>
                <w:u w:val="single"/>
              </w:rPr>
            </w:pPr>
            <w:r>
              <w:rPr>
                <w:rFonts w:ascii="Calibri" w:eastAsia="Calibri" w:hAnsi="Calibri" w:cs="Calibri"/>
                <w:b/>
                <w:bCs/>
                <w:sz w:val="22"/>
                <w:szCs w:val="22"/>
              </w:rPr>
              <w:t>Totals</w:t>
            </w:r>
          </w:p>
        </w:tc>
        <w:tc>
          <w:tcPr>
            <w:tcW w:w="1410" w:type="dxa"/>
            <w:tcBorders>
              <w:top w:val="nil"/>
              <w:left w:val="nil"/>
              <w:bottom w:val="single" w:sz="5" w:space="0" w:color="C4C7C5"/>
              <w:right w:val="single" w:sz="5" w:space="0" w:color="C4C7C5"/>
            </w:tcBorders>
            <w:shd w:val="clear" w:color="auto" w:fill="000000"/>
            <w:tcMar>
              <w:top w:w="100" w:type="dxa"/>
              <w:left w:w="100" w:type="dxa"/>
              <w:bottom w:w="100" w:type="dxa"/>
              <w:right w:w="100" w:type="dxa"/>
            </w:tcMar>
          </w:tcPr>
          <w:p w:rsidR="009E6553" w14:paraId="6E3A2066"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 xml:space="preserve"> </w:t>
            </w:r>
          </w:p>
        </w:tc>
        <w:tc>
          <w:tcPr>
            <w:tcW w:w="150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46F9E79C"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250</w:t>
            </w:r>
          </w:p>
        </w:tc>
        <w:tc>
          <w:tcPr>
            <w:tcW w:w="1740" w:type="dxa"/>
            <w:tcBorders>
              <w:top w:val="nil"/>
              <w:left w:val="nil"/>
              <w:bottom w:val="single" w:sz="5" w:space="0" w:color="C4C7C5"/>
              <w:right w:val="single" w:sz="5" w:space="0" w:color="C4C7C5"/>
            </w:tcBorders>
            <w:shd w:val="clear" w:color="auto" w:fill="000000"/>
            <w:tcMar>
              <w:top w:w="100" w:type="dxa"/>
              <w:left w:w="100" w:type="dxa"/>
              <w:bottom w:w="100" w:type="dxa"/>
              <w:right w:w="100" w:type="dxa"/>
            </w:tcMar>
          </w:tcPr>
          <w:p w:rsidR="009E6553" w14:paraId="7C371D91"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 xml:space="preserve"> </w:t>
            </w:r>
          </w:p>
        </w:tc>
        <w:tc>
          <w:tcPr>
            <w:tcW w:w="178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697631F8" w14:textId="77777777">
            <w:pPr>
              <w:spacing w:line="259" w:lineRule="auto"/>
              <w:ind w:hanging="43"/>
              <w:jc w:val="center"/>
              <w:rPr>
                <w:rFonts w:ascii="Calibri" w:eastAsia="Calibri" w:hAnsi="Calibri" w:cs="Calibri"/>
                <w:b/>
                <w:bCs/>
                <w:color w:val="0563C1"/>
                <w:sz w:val="20"/>
                <w:szCs w:val="20"/>
                <w:u w:val="single"/>
              </w:rPr>
            </w:pPr>
            <w:r>
              <w:rPr>
                <w:rFonts w:ascii="Calibri" w:eastAsia="Calibri" w:hAnsi="Calibri" w:cs="Calibri"/>
                <w:b/>
                <w:bCs/>
                <w:sz w:val="20"/>
                <w:szCs w:val="20"/>
              </w:rPr>
              <w:t>250</w:t>
            </w:r>
          </w:p>
        </w:tc>
        <w:tc>
          <w:tcPr>
            <w:tcW w:w="1455" w:type="dxa"/>
            <w:tcBorders>
              <w:top w:val="nil"/>
              <w:left w:val="nil"/>
              <w:bottom w:val="single" w:sz="5" w:space="0" w:color="C4C7C5"/>
              <w:right w:val="single" w:sz="5" w:space="0" w:color="C4C7C5"/>
            </w:tcBorders>
            <w:shd w:val="clear" w:color="auto" w:fill="000000"/>
            <w:tcMar>
              <w:top w:w="100" w:type="dxa"/>
              <w:left w:w="100" w:type="dxa"/>
              <w:bottom w:w="100" w:type="dxa"/>
              <w:right w:w="100" w:type="dxa"/>
            </w:tcMar>
          </w:tcPr>
          <w:p w:rsidR="009E6553" w14:paraId="7667DF51"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 xml:space="preserve"> </w:t>
            </w:r>
          </w:p>
        </w:tc>
        <w:tc>
          <w:tcPr>
            <w:tcW w:w="151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09EF19AB" w14:textId="77777777">
            <w:pPr>
              <w:spacing w:line="259" w:lineRule="auto"/>
              <w:ind w:hanging="43"/>
              <w:jc w:val="center"/>
              <w:rPr>
                <w:rFonts w:ascii="Calibri" w:eastAsia="Calibri" w:hAnsi="Calibri" w:cs="Calibri"/>
                <w:b/>
                <w:bCs/>
                <w:sz w:val="20"/>
                <w:szCs w:val="20"/>
              </w:rPr>
            </w:pPr>
            <w:r>
              <w:rPr>
                <w:rFonts w:ascii="Calibri" w:eastAsia="Calibri" w:hAnsi="Calibri" w:cs="Calibri"/>
                <w:b/>
                <w:bCs/>
                <w:sz w:val="20"/>
                <w:szCs w:val="20"/>
              </w:rPr>
              <w:t>100</w:t>
            </w:r>
          </w:p>
        </w:tc>
        <w:tc>
          <w:tcPr>
            <w:tcW w:w="1260" w:type="dxa"/>
            <w:tcBorders>
              <w:top w:val="nil"/>
              <w:left w:val="nil"/>
              <w:bottom w:val="single" w:sz="5" w:space="0" w:color="C4C7C5"/>
              <w:right w:val="single" w:sz="5" w:space="0" w:color="C4C7C5"/>
            </w:tcBorders>
            <w:shd w:val="clear" w:color="auto" w:fill="000000"/>
            <w:tcMar>
              <w:top w:w="100" w:type="dxa"/>
              <w:left w:w="100" w:type="dxa"/>
              <w:bottom w:w="100" w:type="dxa"/>
              <w:right w:w="100" w:type="dxa"/>
            </w:tcMar>
          </w:tcPr>
          <w:p w:rsidR="009E6553" w14:paraId="34B876AF"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 xml:space="preserve"> </w:t>
            </w:r>
          </w:p>
        </w:tc>
        <w:tc>
          <w:tcPr>
            <w:tcW w:w="162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23ADEEF1" w14:textId="77777777">
            <w:pPr>
              <w:spacing w:line="259" w:lineRule="auto"/>
              <w:ind w:hanging="43"/>
              <w:jc w:val="center"/>
              <w:rPr>
                <w:rFonts w:ascii="Calibri" w:eastAsia="Calibri" w:hAnsi="Calibri" w:cs="Calibri"/>
                <w:color w:val="0563C1"/>
                <w:sz w:val="20"/>
                <w:szCs w:val="20"/>
                <w:u w:val="single"/>
              </w:rPr>
            </w:pPr>
            <w:r>
              <w:rPr>
                <w:rFonts w:ascii="Calibri" w:eastAsia="Calibri" w:hAnsi="Calibri" w:cs="Calibri"/>
                <w:sz w:val="20"/>
                <w:szCs w:val="20"/>
              </w:rPr>
              <w:t>$6,984</w:t>
            </w:r>
          </w:p>
        </w:tc>
      </w:tr>
    </w:tbl>
    <w:p w:rsidR="009E6553" w14:paraId="3DA4B4B5" w14:textId="77777777">
      <w:pPr>
        <w:spacing w:line="259" w:lineRule="auto"/>
        <w:ind w:hanging="43"/>
        <w:jc w:val="center"/>
        <w:rPr>
          <w:u w:val="single"/>
        </w:rPr>
      </w:pPr>
    </w:p>
    <w:p w:rsidR="009E6553" w14:paraId="72B56BFA" w14:textId="77777777">
      <w:pPr>
        <w:spacing w:line="259" w:lineRule="auto"/>
        <w:ind w:hanging="43"/>
        <w:jc w:val="center"/>
        <w:rPr>
          <w:u w:val="single"/>
        </w:rPr>
      </w:pPr>
    </w:p>
    <w:p w:rsidR="009E6553" w14:paraId="34FC4910" w14:textId="77777777">
      <w:pPr>
        <w:spacing w:line="259" w:lineRule="auto"/>
        <w:ind w:hanging="43"/>
      </w:pPr>
      <w:r>
        <w:t>*Hourly wage rates estimated using BLS Occupational Employment Statistics (e.g., Management Occupations code 11-0000).</w:t>
      </w:r>
    </w:p>
    <w:p w:rsidR="009E6553" w14:paraId="4D8BAC60" w14:textId="77777777">
      <w:pPr>
        <w:spacing w:line="259" w:lineRule="auto"/>
        <w:ind w:hanging="43"/>
        <w:jc w:val="center"/>
        <w:sectPr w:rsidSect="00B574DE">
          <w:type w:val="continuous"/>
          <w:pgSz w:w="15840" w:h="12240" w:orient="landscape"/>
          <w:pgMar w:top="1440" w:right="1440" w:bottom="1440" w:left="1440" w:header="0" w:footer="714" w:gutter="0"/>
          <w:cols w:space="720"/>
          <w:docGrid w:linePitch="326"/>
        </w:sectPr>
      </w:pPr>
      <w:r>
        <w:rPr>
          <w:u w:val="single"/>
        </w:rPr>
        <w:t xml:space="preserve"> </w:t>
      </w:r>
    </w:p>
    <w:p w:rsidR="009E6553" w:rsidP="00B574DE" w14:paraId="533C3A6B"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9E6553" w:rsidP="00B574DE" w14:paraId="585E8F7C" w14:textId="77777777">
      <w:pPr>
        <w:spacing w:before="240"/>
      </w:pPr>
      <w:r>
        <w:t>There are no capital, start-up, or ongoing operation/maintenance costs associated with this information collection. All information is submitted electronically.</w:t>
      </w:r>
    </w:p>
    <w:p w:rsidR="009E6553" w:rsidP="00B574DE" w14:paraId="3EB37238" w14:textId="77777777">
      <w:pPr>
        <w:pBdr>
          <w:top w:val="nil"/>
          <w:left w:val="nil"/>
          <w:bottom w:val="nil"/>
          <w:right w:val="nil"/>
          <w:between w:val="nil"/>
        </w:pBdr>
        <w:spacing w:before="240"/>
        <w:rPr>
          <w:b/>
          <w:bCs/>
          <w:color w:val="000000"/>
        </w:rPr>
      </w:pPr>
    </w:p>
    <w:p w:rsidR="009E6553" w:rsidP="00B574DE" w14:paraId="0531B6F3"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9E6553" w:rsidP="00B574DE" w14:paraId="553CC93C" w14:textId="77777777">
      <w:pPr>
        <w:spacing w:before="240"/>
      </w:pPr>
      <w:r>
        <w:t xml:space="preserve">Federal costs involve oversight, contractor administration for web hosting, data aggregation, and final report publication. </w:t>
      </w:r>
    </w:p>
    <w:p w:rsidR="009E6553" w:rsidP="00B574DE" w14:paraId="1800F477" w14:textId="77777777">
      <w:pPr>
        <w:spacing w:before="240"/>
      </w:pPr>
      <w:r>
        <w:t>OPM’s General Schedule (GS) pay table</w:t>
      </w:r>
      <w:r>
        <w:rPr>
          <w:vertAlign w:val="superscript"/>
        </w:rPr>
        <w:footnoteReference w:id="2"/>
      </w:r>
      <w:r>
        <w:t xml:space="preserve"> for the </w:t>
      </w:r>
      <w:r>
        <w:t>Rest of U.S. locality rates were used to determine the base salary.  The Rest of U.S. locality was used since NOAA staff are geographically dispersed.  Step 5 was used as the base salary and a multiplier of 1.5 was used to calculate the loaded salary.</w:t>
      </w:r>
    </w:p>
    <w:p w:rsidR="009E6553" w14:paraId="77AF41C2" w14:textId="77777777">
      <w:pPr>
        <w:spacing w:before="9" w:after="1"/>
        <w:rPr>
          <w:b/>
          <w:bCs/>
        </w:rPr>
      </w:pPr>
    </w:p>
    <w:tbl>
      <w:tblPr>
        <w:tblStyle w:val="af6"/>
        <w:tblW w:w="8230" w:type="dxa"/>
        <w:tblBorders>
          <w:top w:val="nil"/>
          <w:left w:val="nil"/>
          <w:bottom w:val="nil"/>
          <w:right w:val="nil"/>
          <w:insideH w:val="nil"/>
          <w:insideV w:val="nil"/>
        </w:tblBorders>
        <w:tblLayout w:type="fixed"/>
        <w:tblLook w:val="0600"/>
      </w:tblPr>
      <w:tblGrid>
        <w:gridCol w:w="1865"/>
        <w:gridCol w:w="1700"/>
        <w:gridCol w:w="1550"/>
        <w:gridCol w:w="1265"/>
        <w:gridCol w:w="1850"/>
      </w:tblGrid>
      <w:tr w14:paraId="46B518A3" w14:textId="77777777">
        <w:tblPrEx>
          <w:tblW w:w="8230" w:type="dxa"/>
          <w:tblBorders>
            <w:top w:val="nil"/>
            <w:left w:val="nil"/>
            <w:bottom w:val="nil"/>
            <w:right w:val="nil"/>
            <w:insideH w:val="nil"/>
            <w:insideV w:val="nil"/>
          </w:tblBorders>
          <w:tblLayout w:type="fixed"/>
          <w:tblLook w:val="0600"/>
        </w:tblPrEx>
        <w:trPr>
          <w:trHeight w:val="825"/>
        </w:trPr>
        <w:tc>
          <w:tcPr>
            <w:tcW w:w="1865" w:type="dxa"/>
            <w:tcBorders>
              <w:top w:val="single" w:sz="5" w:space="0" w:color="C4C7C5"/>
              <w:left w:val="single" w:sz="5" w:space="0" w:color="C4C7C5"/>
              <w:bottom w:val="single" w:sz="5" w:space="0" w:color="C4C7C5"/>
              <w:right w:val="single" w:sz="5" w:space="0" w:color="C4C7C5"/>
            </w:tcBorders>
            <w:shd w:val="clear" w:color="auto" w:fill="6D9EEB"/>
            <w:tcMar>
              <w:top w:w="100" w:type="dxa"/>
              <w:left w:w="100" w:type="dxa"/>
              <w:bottom w:w="100" w:type="dxa"/>
              <w:right w:w="100" w:type="dxa"/>
            </w:tcMar>
          </w:tcPr>
          <w:p w:rsidR="009E6553" w14:paraId="197AA916" w14:textId="77777777">
            <w:pPr>
              <w:spacing w:before="60"/>
              <w:rPr>
                <w:rFonts w:ascii="Calibri" w:eastAsia="Calibri" w:hAnsi="Calibri" w:cs="Calibri"/>
                <w:b/>
                <w:bCs/>
                <w:sz w:val="20"/>
                <w:szCs w:val="20"/>
              </w:rPr>
            </w:pPr>
            <w:r>
              <w:rPr>
                <w:rFonts w:ascii="Calibri" w:eastAsia="Calibri" w:hAnsi="Calibri" w:cs="Calibri"/>
                <w:b/>
                <w:bCs/>
                <w:sz w:val="20"/>
                <w:szCs w:val="20"/>
              </w:rPr>
              <w:t>Cost Descriptions</w:t>
            </w:r>
          </w:p>
        </w:tc>
        <w:tc>
          <w:tcPr>
            <w:tcW w:w="1700" w:type="dxa"/>
            <w:tcBorders>
              <w:top w:val="single" w:sz="5" w:space="0" w:color="C4C7C5"/>
              <w:left w:val="nil"/>
              <w:bottom w:val="single" w:sz="5" w:space="0" w:color="C4C7C5"/>
              <w:right w:val="single" w:sz="5" w:space="0" w:color="C4C7C5"/>
            </w:tcBorders>
            <w:shd w:val="clear" w:color="auto" w:fill="6D9EEB"/>
            <w:tcMar>
              <w:top w:w="100" w:type="dxa"/>
              <w:left w:w="100" w:type="dxa"/>
              <w:bottom w:w="100" w:type="dxa"/>
              <w:right w:w="100" w:type="dxa"/>
            </w:tcMar>
          </w:tcPr>
          <w:p w:rsidR="009E6553" w14:paraId="11B58357" w14:textId="77777777">
            <w:pPr>
              <w:spacing w:before="60"/>
              <w:rPr>
                <w:rFonts w:ascii="Calibri" w:eastAsia="Calibri" w:hAnsi="Calibri" w:cs="Calibri"/>
                <w:b/>
                <w:bCs/>
                <w:sz w:val="20"/>
                <w:szCs w:val="20"/>
              </w:rPr>
            </w:pPr>
            <w:r>
              <w:rPr>
                <w:rFonts w:ascii="Calibri" w:eastAsia="Calibri" w:hAnsi="Calibri" w:cs="Calibri"/>
                <w:b/>
                <w:bCs/>
                <w:sz w:val="20"/>
                <w:szCs w:val="20"/>
              </w:rPr>
              <w:t>Grade/Step or Role</w:t>
            </w:r>
          </w:p>
        </w:tc>
        <w:tc>
          <w:tcPr>
            <w:tcW w:w="1550" w:type="dxa"/>
            <w:tcBorders>
              <w:top w:val="single" w:sz="5" w:space="0" w:color="C4C7C5"/>
              <w:left w:val="nil"/>
              <w:bottom w:val="single" w:sz="5" w:space="0" w:color="C4C7C5"/>
              <w:right w:val="single" w:sz="5" w:space="0" w:color="C4C7C5"/>
            </w:tcBorders>
            <w:shd w:val="clear" w:color="auto" w:fill="6D9EEB"/>
            <w:tcMar>
              <w:top w:w="100" w:type="dxa"/>
              <w:left w:w="100" w:type="dxa"/>
              <w:bottom w:w="100" w:type="dxa"/>
              <w:right w:w="100" w:type="dxa"/>
            </w:tcMar>
          </w:tcPr>
          <w:p w:rsidR="009E6553" w14:paraId="7B7C6BFB" w14:textId="77777777">
            <w:pPr>
              <w:spacing w:before="60"/>
              <w:rPr>
                <w:rFonts w:ascii="Calibri" w:eastAsia="Calibri" w:hAnsi="Calibri" w:cs="Calibri"/>
                <w:b/>
                <w:bCs/>
                <w:sz w:val="20"/>
                <w:szCs w:val="20"/>
              </w:rPr>
            </w:pPr>
            <w:r>
              <w:rPr>
                <w:rFonts w:ascii="Calibri" w:eastAsia="Calibri" w:hAnsi="Calibri" w:cs="Calibri"/>
                <w:b/>
                <w:bCs/>
                <w:sz w:val="20"/>
                <w:szCs w:val="20"/>
              </w:rPr>
              <w:t>Loaded Salary / Cost</w:t>
            </w:r>
          </w:p>
        </w:tc>
        <w:tc>
          <w:tcPr>
            <w:tcW w:w="1265" w:type="dxa"/>
            <w:tcBorders>
              <w:top w:val="single" w:sz="5" w:space="0" w:color="C4C7C5"/>
              <w:left w:val="nil"/>
              <w:bottom w:val="single" w:sz="5" w:space="0" w:color="C4C7C5"/>
              <w:right w:val="single" w:sz="5" w:space="0" w:color="C4C7C5"/>
            </w:tcBorders>
            <w:shd w:val="clear" w:color="auto" w:fill="6D9EEB"/>
            <w:tcMar>
              <w:top w:w="100" w:type="dxa"/>
              <w:left w:w="100" w:type="dxa"/>
              <w:bottom w:w="100" w:type="dxa"/>
              <w:right w:w="100" w:type="dxa"/>
            </w:tcMar>
          </w:tcPr>
          <w:p w:rsidR="009E6553" w14:paraId="6F47720B" w14:textId="77777777">
            <w:pPr>
              <w:spacing w:before="60"/>
              <w:rPr>
                <w:rFonts w:ascii="Calibri" w:eastAsia="Calibri" w:hAnsi="Calibri" w:cs="Calibri"/>
                <w:b/>
                <w:bCs/>
                <w:sz w:val="20"/>
                <w:szCs w:val="20"/>
              </w:rPr>
            </w:pPr>
            <w:r>
              <w:rPr>
                <w:rFonts w:ascii="Calibri" w:eastAsia="Calibri" w:hAnsi="Calibri" w:cs="Calibri"/>
                <w:b/>
                <w:bCs/>
                <w:sz w:val="20"/>
                <w:szCs w:val="20"/>
              </w:rPr>
              <w:t>% of Effort</w:t>
            </w:r>
          </w:p>
        </w:tc>
        <w:tc>
          <w:tcPr>
            <w:tcW w:w="1850" w:type="dxa"/>
            <w:tcBorders>
              <w:top w:val="single" w:sz="5" w:space="0" w:color="C4C7C5"/>
              <w:left w:val="nil"/>
              <w:bottom w:val="single" w:sz="5" w:space="0" w:color="C4C7C5"/>
              <w:right w:val="single" w:sz="5" w:space="0" w:color="C4C7C5"/>
            </w:tcBorders>
            <w:shd w:val="clear" w:color="auto" w:fill="6D9EEB"/>
            <w:tcMar>
              <w:top w:w="100" w:type="dxa"/>
              <w:left w:w="100" w:type="dxa"/>
              <w:bottom w:w="100" w:type="dxa"/>
              <w:right w:w="100" w:type="dxa"/>
            </w:tcMar>
          </w:tcPr>
          <w:p w:rsidR="009E6553" w14:paraId="22EF0590" w14:textId="77777777">
            <w:pPr>
              <w:spacing w:before="60"/>
              <w:rPr>
                <w:rFonts w:ascii="Calibri" w:eastAsia="Calibri" w:hAnsi="Calibri" w:cs="Calibri"/>
                <w:b/>
                <w:bCs/>
                <w:sz w:val="20"/>
                <w:szCs w:val="20"/>
              </w:rPr>
            </w:pPr>
            <w:r>
              <w:rPr>
                <w:rFonts w:ascii="Calibri" w:eastAsia="Calibri" w:hAnsi="Calibri" w:cs="Calibri"/>
                <w:b/>
                <w:bCs/>
                <w:sz w:val="20"/>
                <w:szCs w:val="20"/>
              </w:rPr>
              <w:t>Total Cost to Government</w:t>
            </w:r>
          </w:p>
        </w:tc>
      </w:tr>
      <w:tr w14:paraId="1A6F13AA" w14:textId="77777777">
        <w:tblPrEx>
          <w:tblW w:w="8230" w:type="dxa"/>
          <w:tblLayout w:type="fixed"/>
          <w:tblLook w:val="0600"/>
        </w:tblPrEx>
        <w:trPr>
          <w:trHeight w:val="705"/>
        </w:trPr>
        <w:tc>
          <w:tcPr>
            <w:tcW w:w="1865"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2C7F0F51" w14:textId="77777777">
            <w:pPr>
              <w:spacing w:before="60"/>
              <w:rPr>
                <w:rFonts w:ascii="Calibri" w:eastAsia="Calibri" w:hAnsi="Calibri" w:cs="Calibri"/>
                <w:sz w:val="20"/>
                <w:szCs w:val="20"/>
              </w:rPr>
            </w:pPr>
            <w:r>
              <w:rPr>
                <w:rFonts w:ascii="Calibri" w:eastAsia="Calibri" w:hAnsi="Calibri" w:cs="Calibri"/>
                <w:sz w:val="20"/>
                <w:szCs w:val="20"/>
              </w:rPr>
              <w:t>Federal Oversight</w:t>
            </w:r>
          </w:p>
        </w:tc>
        <w:tc>
          <w:tcPr>
            <w:tcW w:w="170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217B51B2" w14:textId="77777777">
            <w:pPr>
              <w:spacing w:before="60"/>
              <w:rPr>
                <w:rFonts w:ascii="Calibri" w:eastAsia="Calibri" w:hAnsi="Calibri" w:cs="Calibri"/>
                <w:sz w:val="20"/>
                <w:szCs w:val="20"/>
              </w:rPr>
            </w:pPr>
            <w:r>
              <w:rPr>
                <w:rFonts w:ascii="Calibri" w:eastAsia="Calibri" w:hAnsi="Calibri" w:cs="Calibri"/>
                <w:sz w:val="20"/>
                <w:szCs w:val="20"/>
              </w:rPr>
              <w:t>GS-14/Step 5</w:t>
            </w:r>
          </w:p>
        </w:tc>
        <w:tc>
          <w:tcPr>
            <w:tcW w:w="15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2F9E725" w14:textId="77777777">
            <w:pPr>
              <w:spacing w:before="60"/>
              <w:rPr>
                <w:rFonts w:ascii="Calibri" w:eastAsia="Calibri" w:hAnsi="Calibri" w:cs="Calibri"/>
                <w:sz w:val="20"/>
                <w:szCs w:val="20"/>
              </w:rPr>
            </w:pPr>
            <w:r>
              <w:rPr>
                <w:rFonts w:ascii="Calibri" w:eastAsia="Calibri" w:hAnsi="Calibri" w:cs="Calibri"/>
                <w:sz w:val="20"/>
                <w:szCs w:val="20"/>
              </w:rPr>
              <w:t>$213,824</w:t>
            </w:r>
          </w:p>
        </w:tc>
        <w:tc>
          <w:tcPr>
            <w:tcW w:w="126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82522E0" w14:textId="77777777">
            <w:pPr>
              <w:spacing w:before="60"/>
              <w:rPr>
                <w:rFonts w:ascii="Calibri" w:eastAsia="Calibri" w:hAnsi="Calibri" w:cs="Calibri"/>
                <w:sz w:val="20"/>
                <w:szCs w:val="20"/>
              </w:rPr>
            </w:pPr>
            <w:r>
              <w:rPr>
                <w:rFonts w:ascii="Calibri" w:eastAsia="Calibri" w:hAnsi="Calibri" w:cs="Calibri"/>
                <w:sz w:val="20"/>
                <w:szCs w:val="20"/>
              </w:rPr>
              <w:t>10%</w:t>
            </w:r>
          </w:p>
        </w:tc>
        <w:tc>
          <w:tcPr>
            <w:tcW w:w="18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63B7BA33" w14:textId="77777777">
            <w:pPr>
              <w:spacing w:before="60"/>
              <w:rPr>
                <w:rFonts w:ascii="Calibri" w:eastAsia="Calibri" w:hAnsi="Calibri" w:cs="Calibri"/>
                <w:sz w:val="20"/>
                <w:szCs w:val="20"/>
              </w:rPr>
            </w:pPr>
            <w:r>
              <w:rPr>
                <w:rFonts w:ascii="Calibri" w:eastAsia="Calibri" w:hAnsi="Calibri" w:cs="Calibri"/>
                <w:sz w:val="20"/>
                <w:szCs w:val="20"/>
              </w:rPr>
              <w:t>$21,382</w:t>
            </w:r>
          </w:p>
        </w:tc>
      </w:tr>
      <w:tr w14:paraId="0E5F083A" w14:textId="77777777">
        <w:tblPrEx>
          <w:tblW w:w="8230" w:type="dxa"/>
          <w:tblLayout w:type="fixed"/>
          <w:tblLook w:val="0600"/>
        </w:tblPrEx>
        <w:trPr>
          <w:trHeight w:val="1125"/>
        </w:trPr>
        <w:tc>
          <w:tcPr>
            <w:tcW w:w="1865"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32523222" w14:textId="77777777">
            <w:pPr>
              <w:spacing w:before="60"/>
              <w:rPr>
                <w:rFonts w:ascii="Calibri" w:eastAsia="Calibri" w:hAnsi="Calibri" w:cs="Calibri"/>
                <w:sz w:val="20"/>
                <w:szCs w:val="20"/>
              </w:rPr>
            </w:pPr>
            <w:r>
              <w:rPr>
                <w:rFonts w:ascii="Calibri" w:eastAsia="Calibri" w:hAnsi="Calibri" w:cs="Calibri"/>
                <w:sz w:val="20"/>
                <w:szCs w:val="20"/>
              </w:rPr>
              <w:t>Contractor Support (Web Survey &amp; Analysis)</w:t>
            </w:r>
          </w:p>
        </w:tc>
        <w:tc>
          <w:tcPr>
            <w:tcW w:w="170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659FFDF" w14:textId="77777777">
            <w:pPr>
              <w:spacing w:before="60"/>
              <w:rPr>
                <w:rFonts w:ascii="Calibri" w:eastAsia="Calibri" w:hAnsi="Calibri" w:cs="Calibri"/>
                <w:sz w:val="20"/>
                <w:szCs w:val="20"/>
              </w:rPr>
            </w:pPr>
            <w:r>
              <w:rPr>
                <w:rFonts w:ascii="Calibri" w:eastAsia="Calibri" w:hAnsi="Calibri" w:cs="Calibri"/>
                <w:sz w:val="20"/>
                <w:szCs w:val="20"/>
              </w:rPr>
              <w:t>Contractor</w:t>
            </w:r>
          </w:p>
        </w:tc>
        <w:tc>
          <w:tcPr>
            <w:tcW w:w="15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5B9C65C" w14:textId="77777777">
            <w:pPr>
              <w:spacing w:before="60"/>
              <w:rPr>
                <w:rFonts w:ascii="Calibri" w:eastAsia="Calibri" w:hAnsi="Calibri" w:cs="Calibri"/>
                <w:sz w:val="20"/>
                <w:szCs w:val="20"/>
              </w:rPr>
            </w:pPr>
            <w:r>
              <w:rPr>
                <w:rFonts w:ascii="Calibri" w:eastAsia="Calibri" w:hAnsi="Calibri" w:cs="Calibri"/>
                <w:sz w:val="20"/>
                <w:szCs w:val="20"/>
              </w:rPr>
              <w:t>N/A</w:t>
            </w:r>
          </w:p>
        </w:tc>
        <w:tc>
          <w:tcPr>
            <w:tcW w:w="126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2FB81AE" w14:textId="77777777">
            <w:pPr>
              <w:spacing w:before="60"/>
              <w:rPr>
                <w:rFonts w:ascii="Calibri" w:eastAsia="Calibri" w:hAnsi="Calibri" w:cs="Calibri"/>
                <w:sz w:val="20"/>
                <w:szCs w:val="20"/>
              </w:rPr>
            </w:pPr>
            <w:r>
              <w:rPr>
                <w:rFonts w:ascii="Calibri" w:eastAsia="Calibri" w:hAnsi="Calibri" w:cs="Calibri"/>
                <w:sz w:val="20"/>
                <w:szCs w:val="20"/>
              </w:rPr>
              <w:t>Fixed Cost</w:t>
            </w:r>
          </w:p>
        </w:tc>
        <w:tc>
          <w:tcPr>
            <w:tcW w:w="18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55AAA3E9" w14:textId="77777777">
            <w:pPr>
              <w:spacing w:before="60"/>
              <w:rPr>
                <w:rFonts w:ascii="Calibri" w:eastAsia="Calibri" w:hAnsi="Calibri" w:cs="Calibri"/>
                <w:sz w:val="20"/>
                <w:szCs w:val="20"/>
              </w:rPr>
            </w:pPr>
            <w:r>
              <w:rPr>
                <w:rFonts w:ascii="Calibri" w:eastAsia="Calibri" w:hAnsi="Calibri" w:cs="Calibri"/>
                <w:sz w:val="20"/>
                <w:szCs w:val="20"/>
              </w:rPr>
              <w:t>$130,000</w:t>
            </w:r>
          </w:p>
        </w:tc>
      </w:tr>
      <w:tr w14:paraId="75EE41D0" w14:textId="77777777">
        <w:tblPrEx>
          <w:tblW w:w="8230" w:type="dxa"/>
          <w:tblLayout w:type="fixed"/>
          <w:tblLook w:val="0600"/>
        </w:tblPrEx>
        <w:trPr>
          <w:trHeight w:val="650"/>
        </w:trPr>
        <w:tc>
          <w:tcPr>
            <w:tcW w:w="1865" w:type="dxa"/>
            <w:tcBorders>
              <w:top w:val="nil"/>
              <w:left w:val="single" w:sz="5" w:space="0" w:color="C4C7C5"/>
              <w:bottom w:val="single" w:sz="5" w:space="0" w:color="C4C7C5"/>
              <w:right w:val="single" w:sz="5" w:space="0" w:color="C4C7C5"/>
            </w:tcBorders>
            <w:tcMar>
              <w:top w:w="100" w:type="dxa"/>
              <w:left w:w="100" w:type="dxa"/>
              <w:bottom w:w="100" w:type="dxa"/>
              <w:right w:w="100" w:type="dxa"/>
            </w:tcMar>
          </w:tcPr>
          <w:p w:rsidR="009E6553" w14:paraId="6ECB3FBB" w14:textId="77777777">
            <w:pPr>
              <w:spacing w:before="60"/>
              <w:rPr>
                <w:rFonts w:ascii="Calibri" w:eastAsia="Calibri" w:hAnsi="Calibri" w:cs="Calibri"/>
                <w:b/>
                <w:bCs/>
                <w:sz w:val="20"/>
                <w:szCs w:val="20"/>
              </w:rPr>
            </w:pPr>
            <w:r>
              <w:rPr>
                <w:rFonts w:ascii="Calibri" w:eastAsia="Calibri" w:hAnsi="Calibri" w:cs="Calibri"/>
                <w:b/>
                <w:bCs/>
                <w:sz w:val="20"/>
                <w:szCs w:val="20"/>
              </w:rPr>
              <w:t>TOTAL</w:t>
            </w:r>
          </w:p>
        </w:tc>
        <w:tc>
          <w:tcPr>
            <w:tcW w:w="170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0658DEA6" w14:textId="77777777">
            <w:pPr>
              <w:spacing w:before="60"/>
              <w:rPr>
                <w:rFonts w:ascii="Calibri" w:eastAsia="Calibri" w:hAnsi="Calibri" w:cs="Calibri"/>
                <w:sz w:val="20"/>
                <w:szCs w:val="20"/>
              </w:rPr>
            </w:pPr>
            <w:r>
              <w:rPr>
                <w:rFonts w:ascii="Calibri" w:eastAsia="Calibri" w:hAnsi="Calibri" w:cs="Calibri"/>
                <w:sz w:val="20"/>
                <w:szCs w:val="20"/>
              </w:rPr>
              <w:t xml:space="preserve"> </w:t>
            </w:r>
          </w:p>
        </w:tc>
        <w:tc>
          <w:tcPr>
            <w:tcW w:w="15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1A624792" w14:textId="77777777">
            <w:pPr>
              <w:spacing w:before="60"/>
              <w:rPr>
                <w:rFonts w:ascii="Calibri" w:eastAsia="Calibri" w:hAnsi="Calibri" w:cs="Calibri"/>
                <w:sz w:val="20"/>
                <w:szCs w:val="20"/>
              </w:rPr>
            </w:pPr>
            <w:r>
              <w:rPr>
                <w:rFonts w:ascii="Calibri" w:eastAsia="Calibri" w:hAnsi="Calibri" w:cs="Calibri"/>
                <w:sz w:val="20"/>
                <w:szCs w:val="20"/>
              </w:rPr>
              <w:t xml:space="preserve"> </w:t>
            </w:r>
          </w:p>
        </w:tc>
        <w:tc>
          <w:tcPr>
            <w:tcW w:w="1265"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47606788" w14:textId="77777777">
            <w:pPr>
              <w:spacing w:before="60"/>
              <w:rPr>
                <w:rFonts w:ascii="Calibri" w:eastAsia="Calibri" w:hAnsi="Calibri" w:cs="Calibri"/>
                <w:sz w:val="20"/>
                <w:szCs w:val="20"/>
              </w:rPr>
            </w:pPr>
            <w:r>
              <w:rPr>
                <w:rFonts w:ascii="Calibri" w:eastAsia="Calibri" w:hAnsi="Calibri" w:cs="Calibri"/>
                <w:sz w:val="20"/>
                <w:szCs w:val="20"/>
              </w:rPr>
              <w:t xml:space="preserve"> </w:t>
            </w:r>
          </w:p>
        </w:tc>
        <w:tc>
          <w:tcPr>
            <w:tcW w:w="1850" w:type="dxa"/>
            <w:tcBorders>
              <w:top w:val="nil"/>
              <w:left w:val="nil"/>
              <w:bottom w:val="single" w:sz="5" w:space="0" w:color="C4C7C5"/>
              <w:right w:val="single" w:sz="5" w:space="0" w:color="C4C7C5"/>
            </w:tcBorders>
            <w:tcMar>
              <w:top w:w="100" w:type="dxa"/>
              <w:left w:w="100" w:type="dxa"/>
              <w:bottom w:w="100" w:type="dxa"/>
              <w:right w:w="100" w:type="dxa"/>
            </w:tcMar>
          </w:tcPr>
          <w:p w:rsidR="009E6553" w14:paraId="5870AEC9" w14:textId="582A06E5">
            <w:pPr>
              <w:spacing w:before="60"/>
              <w:rPr>
                <w:rFonts w:ascii="Calibri" w:eastAsia="Calibri" w:hAnsi="Calibri" w:cs="Calibri"/>
                <w:b/>
                <w:bCs/>
                <w:sz w:val="20"/>
                <w:szCs w:val="20"/>
              </w:rPr>
            </w:pPr>
            <w:r>
              <w:rPr>
                <w:rFonts w:ascii="Calibri" w:eastAsia="Calibri" w:hAnsi="Calibri" w:cs="Calibri"/>
                <w:b/>
                <w:bCs/>
                <w:sz w:val="20"/>
                <w:szCs w:val="20"/>
              </w:rPr>
              <w:t>$151,382</w:t>
            </w:r>
          </w:p>
        </w:tc>
      </w:tr>
    </w:tbl>
    <w:p w:rsidR="009E6553" w14:paraId="505FBEE0" w14:textId="77777777">
      <w:pPr>
        <w:spacing w:before="9" w:after="1"/>
        <w:rPr>
          <w:b/>
          <w:bCs/>
        </w:rPr>
        <w:sectPr w:rsidSect="00B574DE">
          <w:type w:val="continuous"/>
          <w:pgSz w:w="12240" w:h="15840"/>
          <w:pgMar w:top="1440" w:right="1440" w:bottom="1440" w:left="1440" w:header="0" w:footer="714" w:gutter="0"/>
          <w:cols w:space="720"/>
          <w:docGrid w:linePitch="326"/>
        </w:sectPr>
      </w:pPr>
    </w:p>
    <w:p w:rsidR="009E6553" w:rsidP="00B574DE" w14:paraId="6A322911"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the reasons for any program changes or adjustments reported in ROCIS.</w:t>
      </w:r>
    </w:p>
    <w:p w:rsidR="009E6553" w:rsidP="00B574DE" w14:paraId="3B2B5636" w14:textId="77777777">
      <w:pPr>
        <w:spacing w:before="240"/>
      </w:pPr>
      <w:r>
        <w:t>This quadrennial web-based study updates and expands upon previous survey iterations (2015, 2020, and 2025) to track trendlines, structural shifts, and economic growth within the U.S. Ocean Enterprise business sector. The 2025/2026 instrument incorporates new modules to evaluate the adoption, importance, and application of artificial intelligence and machine learning (AI/ML) across ocean technology, products, and services.</w:t>
      </w:r>
    </w:p>
    <w:p w:rsidR="009E6553" w:rsidP="00B574DE" w14:paraId="27D411E8" w14:textId="77777777">
      <w:pPr>
        <w:pBdr>
          <w:top w:val="nil"/>
          <w:left w:val="nil"/>
          <w:bottom w:val="nil"/>
          <w:right w:val="nil"/>
          <w:between w:val="nil"/>
        </w:pBdr>
        <w:spacing w:before="240"/>
      </w:pPr>
      <w:r>
        <w:rPr>
          <w:b/>
          <w:bCs/>
        </w:rPr>
        <w:t>Adjustments</w:t>
      </w:r>
      <w:r>
        <w:t>: Small revisions in burden hours account for the addition of Section 8 AI/ML questions and streamlined skip logic pathways. Additionally, the number of respondents decreased as NOAA anticipates utilizing automated public data to collect information.</w:t>
      </w:r>
    </w:p>
    <w:p w:rsidR="009E6553" w:rsidP="00B574DE" w14:paraId="0EFA974E" w14:textId="77777777">
      <w:pPr>
        <w:pBdr>
          <w:top w:val="nil"/>
          <w:left w:val="nil"/>
          <w:bottom w:val="nil"/>
          <w:right w:val="nil"/>
          <w:between w:val="nil"/>
        </w:pBdr>
        <w:spacing w:before="240"/>
      </w:pPr>
    </w:p>
    <w:tbl>
      <w:tblPr>
        <w:tblStyle w:val="af7"/>
        <w:tblW w:w="13260" w:type="dxa"/>
        <w:tblBorders>
          <w:top w:val="nil"/>
          <w:left w:val="nil"/>
          <w:bottom w:val="nil"/>
          <w:right w:val="nil"/>
          <w:insideH w:val="nil"/>
          <w:insideV w:val="nil"/>
        </w:tblBorders>
        <w:tblLayout w:type="fixed"/>
        <w:tblLook w:val="0600"/>
      </w:tblPr>
      <w:tblGrid>
        <w:gridCol w:w="2460"/>
        <w:gridCol w:w="900"/>
        <w:gridCol w:w="945"/>
        <w:gridCol w:w="1140"/>
        <w:gridCol w:w="1125"/>
        <w:gridCol w:w="1170"/>
        <w:gridCol w:w="1230"/>
        <w:gridCol w:w="4290"/>
      </w:tblGrid>
      <w:tr w14:paraId="79548BAD" w14:textId="77777777">
        <w:tblPrEx>
          <w:tblW w:w="13260" w:type="dxa"/>
          <w:tblBorders>
            <w:top w:val="nil"/>
            <w:left w:val="nil"/>
            <w:bottom w:val="nil"/>
            <w:right w:val="nil"/>
            <w:insideH w:val="nil"/>
            <w:insideV w:val="nil"/>
          </w:tblBorders>
          <w:tblLayout w:type="fixed"/>
          <w:tblLook w:val="0600"/>
        </w:tblPrEx>
        <w:trPr>
          <w:trHeight w:val="300"/>
        </w:trPr>
        <w:tc>
          <w:tcPr>
            <w:tcW w:w="2460" w:type="dxa"/>
            <w:vMerge w:val="restart"/>
            <w:tcBorders>
              <w:top w:val="single" w:sz="11" w:space="0" w:color="000000"/>
              <w:left w:val="single" w:sz="11" w:space="0" w:color="000000"/>
              <w:bottom w:val="single" w:sz="11" w:space="0" w:color="000000"/>
              <w:right w:val="single" w:sz="11" w:space="0" w:color="000000"/>
            </w:tcBorders>
            <w:shd w:val="clear" w:color="auto" w:fill="5B9BD5"/>
            <w:tcMar>
              <w:top w:w="0" w:type="dxa"/>
              <w:left w:w="40" w:type="dxa"/>
              <w:bottom w:w="0" w:type="dxa"/>
              <w:right w:w="40" w:type="dxa"/>
            </w:tcMar>
            <w:vAlign w:val="center"/>
          </w:tcPr>
          <w:p w:rsidR="009E6553" w14:paraId="3E8B336C" w14:textId="77777777">
            <w:pPr>
              <w:spacing w:line="276" w:lineRule="auto"/>
              <w:jc w:val="center"/>
              <w:rPr>
                <w:rFonts w:ascii="Calibri" w:eastAsia="Calibri" w:hAnsi="Calibri" w:cs="Calibri"/>
                <w:b/>
                <w:bCs/>
                <w:sz w:val="18"/>
                <w:szCs w:val="18"/>
              </w:rPr>
            </w:pPr>
            <w:r>
              <w:rPr>
                <w:rFonts w:ascii="Calibri" w:eastAsia="Calibri" w:hAnsi="Calibri" w:cs="Calibri"/>
                <w:b/>
                <w:bCs/>
                <w:sz w:val="18"/>
                <w:szCs w:val="18"/>
              </w:rPr>
              <w:t>Information Collection</w:t>
            </w:r>
          </w:p>
        </w:tc>
        <w:tc>
          <w:tcPr>
            <w:tcW w:w="1845" w:type="dxa"/>
            <w:gridSpan w:val="2"/>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9E6553" w14:paraId="7D4096E3" w14:textId="77777777">
            <w:pPr>
              <w:spacing w:line="276" w:lineRule="auto"/>
              <w:jc w:val="center"/>
              <w:rPr>
                <w:rFonts w:ascii="Calibri" w:eastAsia="Calibri" w:hAnsi="Calibri" w:cs="Calibri"/>
                <w:sz w:val="18"/>
                <w:szCs w:val="18"/>
              </w:rPr>
            </w:pPr>
            <w:r>
              <w:rPr>
                <w:rFonts w:ascii="Calibri" w:eastAsia="Calibri" w:hAnsi="Calibri" w:cs="Calibri"/>
                <w:b/>
                <w:bCs/>
                <w:sz w:val="18"/>
                <w:szCs w:val="18"/>
              </w:rPr>
              <w:t>Respondents</w:t>
            </w:r>
          </w:p>
        </w:tc>
        <w:tc>
          <w:tcPr>
            <w:tcW w:w="2265" w:type="dxa"/>
            <w:gridSpan w:val="2"/>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9E6553" w14:paraId="31E98ECF" w14:textId="77777777">
            <w:pPr>
              <w:spacing w:line="276" w:lineRule="auto"/>
              <w:jc w:val="center"/>
              <w:rPr>
                <w:rFonts w:ascii="Calibri" w:eastAsia="Calibri" w:hAnsi="Calibri" w:cs="Calibri"/>
                <w:sz w:val="18"/>
                <w:szCs w:val="18"/>
              </w:rPr>
            </w:pPr>
            <w:r>
              <w:rPr>
                <w:rFonts w:ascii="Calibri" w:eastAsia="Calibri" w:hAnsi="Calibri" w:cs="Calibri"/>
                <w:b/>
                <w:bCs/>
                <w:sz w:val="18"/>
                <w:szCs w:val="18"/>
              </w:rPr>
              <w:t>Responses</w:t>
            </w:r>
          </w:p>
        </w:tc>
        <w:tc>
          <w:tcPr>
            <w:tcW w:w="2400" w:type="dxa"/>
            <w:gridSpan w:val="2"/>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9E6553" w14:paraId="681856EA" w14:textId="77777777">
            <w:pPr>
              <w:spacing w:line="276" w:lineRule="auto"/>
              <w:jc w:val="center"/>
              <w:rPr>
                <w:rFonts w:ascii="Calibri" w:eastAsia="Calibri" w:hAnsi="Calibri" w:cs="Calibri"/>
                <w:sz w:val="18"/>
                <w:szCs w:val="18"/>
              </w:rPr>
            </w:pPr>
            <w:r>
              <w:rPr>
                <w:rFonts w:ascii="Calibri" w:eastAsia="Calibri" w:hAnsi="Calibri" w:cs="Calibri"/>
                <w:b/>
                <w:bCs/>
                <w:sz w:val="18"/>
                <w:szCs w:val="18"/>
              </w:rPr>
              <w:t>Burden Hours</w:t>
            </w:r>
          </w:p>
        </w:tc>
        <w:tc>
          <w:tcPr>
            <w:tcW w:w="4290" w:type="dxa"/>
            <w:vMerge w:val="restart"/>
            <w:tcBorders>
              <w:top w:val="single" w:sz="11" w:space="0" w:color="000000"/>
              <w:left w:val="single" w:sz="5" w:space="0" w:color="CCCCCC"/>
              <w:bottom w:val="single" w:sz="11" w:space="0" w:color="000000"/>
              <w:right w:val="single" w:sz="11" w:space="0" w:color="000000"/>
            </w:tcBorders>
            <w:shd w:val="clear" w:color="auto" w:fill="5B9BD5"/>
            <w:tcMar>
              <w:top w:w="0" w:type="dxa"/>
              <w:left w:w="40" w:type="dxa"/>
              <w:bottom w:w="0" w:type="dxa"/>
              <w:right w:w="40" w:type="dxa"/>
            </w:tcMar>
            <w:vAlign w:val="center"/>
          </w:tcPr>
          <w:p w:rsidR="009E6553" w14:paraId="08CB464C" w14:textId="77777777">
            <w:pPr>
              <w:spacing w:line="276" w:lineRule="auto"/>
              <w:jc w:val="center"/>
              <w:rPr>
                <w:rFonts w:ascii="Calibri" w:eastAsia="Calibri" w:hAnsi="Calibri" w:cs="Calibri"/>
                <w:b/>
                <w:bCs/>
                <w:sz w:val="18"/>
                <w:szCs w:val="18"/>
              </w:rPr>
            </w:pPr>
            <w:r>
              <w:rPr>
                <w:rFonts w:ascii="Calibri" w:eastAsia="Calibri" w:hAnsi="Calibri" w:cs="Calibri"/>
                <w:b/>
                <w:bCs/>
                <w:sz w:val="18"/>
                <w:szCs w:val="18"/>
              </w:rPr>
              <w:t>Reason for change or adjustment</w:t>
            </w:r>
          </w:p>
        </w:tc>
      </w:tr>
      <w:tr w14:paraId="73880419" w14:textId="77777777">
        <w:tblPrEx>
          <w:tblW w:w="13260" w:type="dxa"/>
          <w:tblLayout w:type="fixed"/>
          <w:tblLook w:val="0600"/>
        </w:tblPrEx>
        <w:trPr>
          <w:trHeight w:val="585"/>
        </w:trPr>
        <w:tc>
          <w:tcPr>
            <w:tcW w:w="2460" w:type="dxa"/>
            <w:vMerge/>
            <w:tcBorders>
              <w:top w:val="single" w:sz="11" w:space="0" w:color="000000"/>
              <w:left w:val="single" w:sz="11" w:space="0" w:color="000000"/>
              <w:bottom w:val="single" w:sz="11" w:space="0" w:color="000000"/>
              <w:right w:val="single" w:sz="11" w:space="0" w:color="000000"/>
            </w:tcBorders>
            <w:shd w:val="clear" w:color="auto" w:fill="auto"/>
            <w:tcMar>
              <w:top w:w="100" w:type="dxa"/>
              <w:left w:w="100" w:type="dxa"/>
              <w:bottom w:w="100" w:type="dxa"/>
              <w:right w:w="100" w:type="dxa"/>
            </w:tcMar>
          </w:tcPr>
          <w:p w:rsidR="009E6553" w14:paraId="3B7F6349" w14:textId="77777777">
            <w:pPr>
              <w:spacing w:line="276" w:lineRule="auto"/>
              <w:rPr>
                <w:rFonts w:ascii="Calibri" w:eastAsia="Calibri" w:hAnsi="Calibri" w:cs="Calibri"/>
                <w:sz w:val="22"/>
                <w:szCs w:val="22"/>
              </w:rPr>
            </w:pPr>
          </w:p>
        </w:tc>
        <w:tc>
          <w:tcPr>
            <w:tcW w:w="900" w:type="dxa"/>
            <w:tcBorders>
              <w:top w:val="single" w:sz="5" w:space="0" w:color="CCCCCC"/>
              <w:left w:val="single" w:sz="5" w:space="0" w:color="CCCCCC"/>
              <w:bottom w:val="single" w:sz="11" w:space="0" w:color="000000"/>
              <w:right w:val="dashed" w:sz="11" w:space="0" w:color="000000"/>
            </w:tcBorders>
            <w:shd w:val="clear" w:color="auto" w:fill="FBE4D5"/>
            <w:tcMar>
              <w:top w:w="0" w:type="dxa"/>
              <w:left w:w="40" w:type="dxa"/>
              <w:bottom w:w="0" w:type="dxa"/>
              <w:right w:w="40" w:type="dxa"/>
            </w:tcMar>
            <w:vAlign w:val="center"/>
          </w:tcPr>
          <w:p w:rsidR="009E6553" w14:paraId="2110AFAD" w14:textId="77777777">
            <w:pPr>
              <w:spacing w:line="276" w:lineRule="auto"/>
              <w:jc w:val="center"/>
              <w:rPr>
                <w:rFonts w:ascii="Calibri" w:eastAsia="Calibri" w:hAnsi="Calibri" w:cs="Calibri"/>
                <w:sz w:val="18"/>
                <w:szCs w:val="18"/>
              </w:rPr>
            </w:pPr>
            <w:r>
              <w:rPr>
                <w:rFonts w:ascii="Calibri" w:eastAsia="Calibri" w:hAnsi="Calibri" w:cs="Calibri"/>
                <w:sz w:val="18"/>
                <w:szCs w:val="18"/>
              </w:rPr>
              <w:t>Current Renewal / Revision</w:t>
            </w:r>
          </w:p>
        </w:tc>
        <w:tc>
          <w:tcPr>
            <w:tcW w:w="945" w:type="dxa"/>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center"/>
          </w:tcPr>
          <w:p w:rsidR="009E6553" w14:paraId="1830569E" w14:textId="77777777">
            <w:pPr>
              <w:spacing w:line="276" w:lineRule="auto"/>
              <w:jc w:val="center"/>
              <w:rPr>
                <w:rFonts w:ascii="Calibri" w:eastAsia="Calibri" w:hAnsi="Calibri" w:cs="Calibri"/>
                <w:sz w:val="18"/>
                <w:szCs w:val="18"/>
              </w:rPr>
            </w:pPr>
            <w:r>
              <w:rPr>
                <w:rFonts w:ascii="Calibri" w:eastAsia="Calibri" w:hAnsi="Calibri" w:cs="Calibri"/>
                <w:sz w:val="18"/>
                <w:szCs w:val="18"/>
              </w:rPr>
              <w:t>Previous Renewal / Revision</w:t>
            </w:r>
          </w:p>
        </w:tc>
        <w:tc>
          <w:tcPr>
            <w:tcW w:w="1140" w:type="dxa"/>
            <w:tcBorders>
              <w:top w:val="single" w:sz="5" w:space="0" w:color="CCCCCC"/>
              <w:left w:val="single" w:sz="5" w:space="0" w:color="CCCCCC"/>
              <w:bottom w:val="single" w:sz="11" w:space="0" w:color="000000"/>
              <w:right w:val="dashed" w:sz="11" w:space="0" w:color="000000"/>
            </w:tcBorders>
            <w:shd w:val="clear" w:color="auto" w:fill="FBE4D5"/>
            <w:tcMar>
              <w:top w:w="0" w:type="dxa"/>
              <w:left w:w="40" w:type="dxa"/>
              <w:bottom w:w="0" w:type="dxa"/>
              <w:right w:w="40" w:type="dxa"/>
            </w:tcMar>
            <w:vAlign w:val="center"/>
          </w:tcPr>
          <w:p w:rsidR="009E6553" w14:paraId="1177ABEA" w14:textId="77777777">
            <w:pPr>
              <w:spacing w:line="276" w:lineRule="auto"/>
              <w:jc w:val="center"/>
              <w:rPr>
                <w:rFonts w:ascii="Calibri" w:eastAsia="Calibri" w:hAnsi="Calibri" w:cs="Calibri"/>
                <w:sz w:val="18"/>
                <w:szCs w:val="18"/>
              </w:rPr>
            </w:pPr>
            <w:r>
              <w:rPr>
                <w:rFonts w:ascii="Calibri" w:eastAsia="Calibri" w:hAnsi="Calibri" w:cs="Calibri"/>
                <w:sz w:val="18"/>
                <w:szCs w:val="18"/>
              </w:rPr>
              <w:t>Current Renewal / Revision</w:t>
            </w:r>
          </w:p>
        </w:tc>
        <w:tc>
          <w:tcPr>
            <w:tcW w:w="1125" w:type="dxa"/>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center"/>
          </w:tcPr>
          <w:p w:rsidR="009E6553" w14:paraId="370AF28C" w14:textId="77777777">
            <w:pPr>
              <w:spacing w:line="276" w:lineRule="auto"/>
              <w:jc w:val="center"/>
              <w:rPr>
                <w:rFonts w:ascii="Calibri" w:eastAsia="Calibri" w:hAnsi="Calibri" w:cs="Calibri"/>
                <w:sz w:val="18"/>
                <w:szCs w:val="18"/>
              </w:rPr>
            </w:pPr>
            <w:r>
              <w:rPr>
                <w:rFonts w:ascii="Calibri" w:eastAsia="Calibri" w:hAnsi="Calibri" w:cs="Calibri"/>
                <w:sz w:val="18"/>
                <w:szCs w:val="18"/>
              </w:rPr>
              <w:t>Previous Renewal / Revision</w:t>
            </w:r>
          </w:p>
        </w:tc>
        <w:tc>
          <w:tcPr>
            <w:tcW w:w="1170" w:type="dxa"/>
            <w:tcBorders>
              <w:top w:val="single" w:sz="5" w:space="0" w:color="CCCCCC"/>
              <w:left w:val="single" w:sz="5" w:space="0" w:color="CCCCCC"/>
              <w:bottom w:val="single" w:sz="11" w:space="0" w:color="000000"/>
              <w:right w:val="dashed" w:sz="11" w:space="0" w:color="000000"/>
            </w:tcBorders>
            <w:shd w:val="clear" w:color="auto" w:fill="FBE4D5"/>
            <w:tcMar>
              <w:top w:w="0" w:type="dxa"/>
              <w:left w:w="40" w:type="dxa"/>
              <w:bottom w:w="0" w:type="dxa"/>
              <w:right w:w="40" w:type="dxa"/>
            </w:tcMar>
            <w:vAlign w:val="center"/>
          </w:tcPr>
          <w:p w:rsidR="009E6553" w14:paraId="3A07A3BA" w14:textId="77777777">
            <w:pPr>
              <w:spacing w:line="276" w:lineRule="auto"/>
              <w:jc w:val="center"/>
              <w:rPr>
                <w:rFonts w:ascii="Calibri" w:eastAsia="Calibri" w:hAnsi="Calibri" w:cs="Calibri"/>
                <w:sz w:val="18"/>
                <w:szCs w:val="18"/>
              </w:rPr>
            </w:pPr>
            <w:r>
              <w:rPr>
                <w:rFonts w:ascii="Calibri" w:eastAsia="Calibri" w:hAnsi="Calibri" w:cs="Calibri"/>
                <w:sz w:val="18"/>
                <w:szCs w:val="18"/>
              </w:rPr>
              <w:t>Current Renewal / Revision</w:t>
            </w:r>
          </w:p>
        </w:tc>
        <w:tc>
          <w:tcPr>
            <w:tcW w:w="1230" w:type="dxa"/>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center"/>
          </w:tcPr>
          <w:p w:rsidR="009E6553" w14:paraId="5220D941" w14:textId="77777777">
            <w:pPr>
              <w:spacing w:line="276" w:lineRule="auto"/>
              <w:jc w:val="center"/>
              <w:rPr>
                <w:rFonts w:ascii="Calibri" w:eastAsia="Calibri" w:hAnsi="Calibri" w:cs="Calibri"/>
                <w:sz w:val="18"/>
                <w:szCs w:val="18"/>
              </w:rPr>
            </w:pPr>
            <w:r>
              <w:rPr>
                <w:rFonts w:ascii="Calibri" w:eastAsia="Calibri" w:hAnsi="Calibri" w:cs="Calibri"/>
                <w:sz w:val="18"/>
                <w:szCs w:val="18"/>
              </w:rPr>
              <w:t>Previous Renewal / Revision</w:t>
            </w:r>
          </w:p>
        </w:tc>
        <w:tc>
          <w:tcPr>
            <w:tcW w:w="4290" w:type="dxa"/>
            <w:vMerge/>
            <w:tcBorders>
              <w:top w:val="single" w:sz="11" w:space="0" w:color="000000"/>
              <w:left w:val="single" w:sz="5" w:space="0" w:color="CCCCCC"/>
              <w:bottom w:val="single" w:sz="11" w:space="0" w:color="000000"/>
              <w:right w:val="single" w:sz="11" w:space="0" w:color="000000"/>
            </w:tcBorders>
            <w:shd w:val="clear" w:color="auto" w:fill="auto"/>
            <w:tcMar>
              <w:top w:w="100" w:type="dxa"/>
              <w:left w:w="100" w:type="dxa"/>
              <w:bottom w:w="100" w:type="dxa"/>
              <w:right w:w="100" w:type="dxa"/>
            </w:tcMar>
          </w:tcPr>
          <w:p w:rsidR="009E6553" w14:paraId="513B85C7" w14:textId="77777777">
            <w:pPr>
              <w:spacing w:line="276" w:lineRule="auto"/>
              <w:rPr>
                <w:rFonts w:ascii="Calibri" w:eastAsia="Calibri" w:hAnsi="Calibri" w:cs="Calibri"/>
                <w:sz w:val="22"/>
                <w:szCs w:val="22"/>
              </w:rPr>
            </w:pPr>
          </w:p>
        </w:tc>
      </w:tr>
      <w:tr w14:paraId="73B01369" w14:textId="77777777">
        <w:tblPrEx>
          <w:tblW w:w="13260" w:type="dxa"/>
          <w:tblLayout w:type="fixed"/>
          <w:tblLook w:val="0600"/>
        </w:tblPrEx>
        <w:trPr>
          <w:trHeight w:val="300"/>
        </w:trPr>
        <w:tc>
          <w:tcPr>
            <w:tcW w:w="2460" w:type="dxa"/>
            <w:tcBorders>
              <w:top w:val="single" w:sz="5" w:space="0" w:color="CCCCCC"/>
              <w:left w:val="single" w:sz="11" w:space="0" w:color="000000"/>
              <w:bottom w:val="single" w:sz="11" w:space="0" w:color="000000"/>
              <w:right w:val="single" w:sz="11" w:space="0" w:color="000000"/>
            </w:tcBorders>
            <w:shd w:val="clear" w:color="auto" w:fill="auto"/>
            <w:tcMar>
              <w:top w:w="0" w:type="dxa"/>
              <w:left w:w="40" w:type="dxa"/>
              <w:bottom w:w="0" w:type="dxa"/>
              <w:right w:w="40" w:type="dxa"/>
            </w:tcMar>
            <w:vAlign w:val="center"/>
          </w:tcPr>
          <w:p w:rsidR="009E6553" w14:paraId="441226FF" w14:textId="77777777">
            <w:pPr>
              <w:spacing w:line="276" w:lineRule="auto"/>
              <w:rPr>
                <w:rFonts w:ascii="Calibri" w:eastAsia="Calibri" w:hAnsi="Calibri" w:cs="Calibri"/>
                <w:sz w:val="22"/>
                <w:szCs w:val="22"/>
              </w:rPr>
            </w:pPr>
            <w:r>
              <w:rPr>
                <w:rFonts w:ascii="Calibri" w:eastAsia="Calibri" w:hAnsi="Calibri" w:cs="Calibri"/>
                <w:sz w:val="22"/>
                <w:szCs w:val="22"/>
              </w:rPr>
              <w:t>Ocean Enterprise Survey</w:t>
            </w:r>
          </w:p>
        </w:tc>
        <w:tc>
          <w:tcPr>
            <w:tcW w:w="900" w:type="dxa"/>
            <w:tcBorders>
              <w:top w:val="single" w:sz="5" w:space="0" w:color="CCCCCC"/>
              <w:left w:val="single" w:sz="5" w:space="0" w:color="CCCCCC"/>
              <w:bottom w:val="dashed" w:sz="5" w:space="0" w:color="000000"/>
              <w:right w:val="dashed" w:sz="11" w:space="0" w:color="000000"/>
            </w:tcBorders>
            <w:shd w:val="clear" w:color="auto" w:fill="auto"/>
            <w:tcMar>
              <w:top w:w="0" w:type="dxa"/>
              <w:left w:w="40" w:type="dxa"/>
              <w:bottom w:w="0" w:type="dxa"/>
              <w:right w:w="40" w:type="dxa"/>
            </w:tcMar>
            <w:vAlign w:val="center"/>
          </w:tcPr>
          <w:p w:rsidR="009E6553" w14:paraId="076EDE7B" w14:textId="77777777">
            <w:pPr>
              <w:spacing w:line="276" w:lineRule="auto"/>
              <w:jc w:val="center"/>
              <w:rPr>
                <w:rFonts w:ascii="Calibri" w:eastAsia="Calibri" w:hAnsi="Calibri" w:cs="Calibri"/>
                <w:sz w:val="22"/>
                <w:szCs w:val="22"/>
              </w:rPr>
            </w:pPr>
            <w:r>
              <w:rPr>
                <w:rFonts w:ascii="Calibri" w:eastAsia="Calibri" w:hAnsi="Calibri" w:cs="Calibri"/>
                <w:sz w:val="22"/>
                <w:szCs w:val="22"/>
              </w:rPr>
              <w:t>250</w:t>
            </w:r>
          </w:p>
        </w:tc>
        <w:tc>
          <w:tcPr>
            <w:tcW w:w="945" w:type="dxa"/>
            <w:tcBorders>
              <w:top w:val="single" w:sz="5" w:space="0" w:color="CCCCCC"/>
              <w:left w:val="single" w:sz="5" w:space="0" w:color="CCCCCC"/>
              <w:bottom w:val="dashed" w:sz="5" w:space="0" w:color="000000"/>
              <w:right w:val="single" w:sz="11" w:space="0" w:color="000000"/>
            </w:tcBorders>
            <w:shd w:val="clear" w:color="auto" w:fill="auto"/>
            <w:tcMar>
              <w:top w:w="0" w:type="dxa"/>
              <w:left w:w="40" w:type="dxa"/>
              <w:bottom w:w="0" w:type="dxa"/>
              <w:right w:w="40" w:type="dxa"/>
            </w:tcMar>
            <w:vAlign w:val="center"/>
          </w:tcPr>
          <w:p w:rsidR="009E6553" w14:paraId="4359BFFE" w14:textId="77777777">
            <w:pPr>
              <w:spacing w:line="276" w:lineRule="auto"/>
              <w:jc w:val="center"/>
              <w:rPr>
                <w:rFonts w:ascii="Calibri" w:eastAsia="Calibri" w:hAnsi="Calibri" w:cs="Calibri"/>
                <w:sz w:val="22"/>
                <w:szCs w:val="22"/>
              </w:rPr>
            </w:pPr>
            <w:r>
              <w:rPr>
                <w:rFonts w:ascii="Calibri" w:eastAsia="Calibri" w:hAnsi="Calibri" w:cs="Calibri"/>
                <w:sz w:val="22"/>
                <w:szCs w:val="22"/>
              </w:rPr>
              <w:t>315</w:t>
            </w:r>
          </w:p>
        </w:tc>
        <w:tc>
          <w:tcPr>
            <w:tcW w:w="1140" w:type="dxa"/>
            <w:tcBorders>
              <w:top w:val="single" w:sz="5" w:space="0" w:color="CCCCCC"/>
              <w:left w:val="single" w:sz="5" w:space="0" w:color="CCCCCC"/>
              <w:bottom w:val="dashed" w:sz="5" w:space="0" w:color="000000"/>
              <w:right w:val="dashed" w:sz="11" w:space="0" w:color="000000"/>
            </w:tcBorders>
            <w:shd w:val="clear" w:color="auto" w:fill="auto"/>
            <w:tcMar>
              <w:top w:w="0" w:type="dxa"/>
              <w:left w:w="40" w:type="dxa"/>
              <w:bottom w:w="0" w:type="dxa"/>
              <w:right w:w="40" w:type="dxa"/>
            </w:tcMar>
            <w:vAlign w:val="center"/>
          </w:tcPr>
          <w:p w:rsidR="009E6553" w14:paraId="65274CA9" w14:textId="77777777">
            <w:pPr>
              <w:spacing w:line="276" w:lineRule="auto"/>
              <w:jc w:val="center"/>
              <w:rPr>
                <w:rFonts w:ascii="Calibri" w:eastAsia="Calibri" w:hAnsi="Calibri" w:cs="Calibri"/>
                <w:sz w:val="22"/>
                <w:szCs w:val="22"/>
              </w:rPr>
            </w:pPr>
            <w:r>
              <w:rPr>
                <w:rFonts w:ascii="Calibri" w:eastAsia="Calibri" w:hAnsi="Calibri" w:cs="Calibri"/>
                <w:sz w:val="22"/>
                <w:szCs w:val="22"/>
              </w:rPr>
              <w:t>250</w:t>
            </w:r>
          </w:p>
        </w:tc>
        <w:tc>
          <w:tcPr>
            <w:tcW w:w="1125" w:type="dxa"/>
            <w:tcBorders>
              <w:top w:val="single" w:sz="5" w:space="0" w:color="CCCCCC"/>
              <w:left w:val="single" w:sz="5" w:space="0" w:color="CCCCCC"/>
              <w:bottom w:val="dashed" w:sz="5" w:space="0" w:color="000000"/>
              <w:right w:val="single" w:sz="11" w:space="0" w:color="000000"/>
            </w:tcBorders>
            <w:shd w:val="clear" w:color="auto" w:fill="auto"/>
            <w:tcMar>
              <w:top w:w="0" w:type="dxa"/>
              <w:left w:w="40" w:type="dxa"/>
              <w:bottom w:w="0" w:type="dxa"/>
              <w:right w:w="40" w:type="dxa"/>
            </w:tcMar>
            <w:vAlign w:val="center"/>
          </w:tcPr>
          <w:p w:rsidR="009E6553" w14:paraId="2FB4E3FC" w14:textId="77777777">
            <w:pPr>
              <w:spacing w:line="276" w:lineRule="auto"/>
              <w:jc w:val="center"/>
              <w:rPr>
                <w:rFonts w:ascii="Calibri" w:eastAsia="Calibri" w:hAnsi="Calibri" w:cs="Calibri"/>
                <w:sz w:val="22"/>
                <w:szCs w:val="22"/>
              </w:rPr>
            </w:pPr>
            <w:r>
              <w:rPr>
                <w:rFonts w:ascii="Calibri" w:eastAsia="Calibri" w:hAnsi="Calibri" w:cs="Calibri"/>
                <w:sz w:val="22"/>
                <w:szCs w:val="22"/>
              </w:rPr>
              <w:t>315</w:t>
            </w:r>
          </w:p>
        </w:tc>
        <w:tc>
          <w:tcPr>
            <w:tcW w:w="1170" w:type="dxa"/>
            <w:tcBorders>
              <w:top w:val="single" w:sz="5" w:space="0" w:color="CCCCCC"/>
              <w:left w:val="single" w:sz="5" w:space="0" w:color="CCCCCC"/>
              <w:bottom w:val="dashed" w:sz="5" w:space="0" w:color="000000"/>
              <w:right w:val="dashed" w:sz="11" w:space="0" w:color="000000"/>
            </w:tcBorders>
            <w:shd w:val="clear" w:color="auto" w:fill="auto"/>
            <w:tcMar>
              <w:top w:w="0" w:type="dxa"/>
              <w:left w:w="40" w:type="dxa"/>
              <w:bottom w:w="0" w:type="dxa"/>
              <w:right w:w="40" w:type="dxa"/>
            </w:tcMar>
            <w:vAlign w:val="center"/>
          </w:tcPr>
          <w:p w:rsidR="009E6553" w14:paraId="499B064D" w14:textId="77777777">
            <w:pPr>
              <w:spacing w:line="276" w:lineRule="auto"/>
              <w:jc w:val="center"/>
              <w:rPr>
                <w:rFonts w:ascii="Calibri" w:eastAsia="Calibri" w:hAnsi="Calibri" w:cs="Calibri"/>
                <w:sz w:val="22"/>
                <w:szCs w:val="22"/>
              </w:rPr>
            </w:pPr>
            <w:r>
              <w:rPr>
                <w:rFonts w:ascii="Calibri" w:eastAsia="Calibri" w:hAnsi="Calibri" w:cs="Calibri"/>
                <w:sz w:val="22"/>
                <w:szCs w:val="22"/>
              </w:rPr>
              <w:t>100</w:t>
            </w:r>
          </w:p>
        </w:tc>
        <w:tc>
          <w:tcPr>
            <w:tcW w:w="1230" w:type="dxa"/>
            <w:tcBorders>
              <w:top w:val="single" w:sz="5" w:space="0" w:color="CCCCCC"/>
              <w:left w:val="single" w:sz="5" w:space="0" w:color="CCCCCC"/>
              <w:bottom w:val="dashed" w:sz="5" w:space="0" w:color="000000"/>
              <w:right w:val="single" w:sz="11" w:space="0" w:color="000000"/>
            </w:tcBorders>
            <w:shd w:val="clear" w:color="auto" w:fill="auto"/>
            <w:tcMar>
              <w:top w:w="0" w:type="dxa"/>
              <w:left w:w="40" w:type="dxa"/>
              <w:bottom w:w="0" w:type="dxa"/>
              <w:right w:w="40" w:type="dxa"/>
            </w:tcMar>
            <w:vAlign w:val="center"/>
          </w:tcPr>
          <w:p w:rsidR="009E6553" w14:paraId="5B4D83F3" w14:textId="77777777">
            <w:pPr>
              <w:spacing w:line="276" w:lineRule="auto"/>
              <w:jc w:val="center"/>
              <w:rPr>
                <w:rFonts w:ascii="Calibri" w:eastAsia="Calibri" w:hAnsi="Calibri" w:cs="Calibri"/>
                <w:sz w:val="22"/>
                <w:szCs w:val="22"/>
              </w:rPr>
            </w:pPr>
            <w:r>
              <w:rPr>
                <w:rFonts w:ascii="Calibri" w:eastAsia="Calibri" w:hAnsi="Calibri" w:cs="Calibri"/>
                <w:sz w:val="22"/>
                <w:szCs w:val="22"/>
              </w:rPr>
              <w:t>158</w:t>
            </w:r>
          </w:p>
        </w:tc>
        <w:tc>
          <w:tcPr>
            <w:tcW w:w="4290" w:type="dxa"/>
            <w:tcBorders>
              <w:top w:val="single" w:sz="5" w:space="0" w:color="CCCCCC"/>
              <w:left w:val="single" w:sz="5" w:space="0" w:color="CCCCCC"/>
              <w:bottom w:val="dashed" w:sz="5" w:space="0" w:color="000000"/>
              <w:right w:val="single" w:sz="11" w:space="0" w:color="000000"/>
            </w:tcBorders>
            <w:shd w:val="clear" w:color="auto" w:fill="auto"/>
            <w:tcMar>
              <w:top w:w="0" w:type="dxa"/>
              <w:left w:w="40" w:type="dxa"/>
              <w:bottom w:w="0" w:type="dxa"/>
              <w:right w:w="40" w:type="dxa"/>
            </w:tcMar>
            <w:vAlign w:val="center"/>
          </w:tcPr>
          <w:p w:rsidR="009E6553" w14:paraId="47CBE229" w14:textId="77777777">
            <w:pPr>
              <w:spacing w:line="276" w:lineRule="auto"/>
              <w:rPr>
                <w:rFonts w:ascii="Calibri" w:eastAsia="Calibri" w:hAnsi="Calibri" w:cs="Calibri"/>
                <w:sz w:val="22"/>
                <w:szCs w:val="22"/>
              </w:rPr>
            </w:pPr>
          </w:p>
        </w:tc>
      </w:tr>
      <w:tr w14:paraId="1298D704" w14:textId="77777777">
        <w:tblPrEx>
          <w:tblW w:w="13260" w:type="dxa"/>
          <w:tblLayout w:type="fixed"/>
          <w:tblLook w:val="0600"/>
        </w:tblPrEx>
        <w:trPr>
          <w:trHeight w:val="465"/>
        </w:trPr>
        <w:tc>
          <w:tcPr>
            <w:tcW w:w="2460" w:type="dxa"/>
            <w:tcBorders>
              <w:top w:val="single" w:sz="5" w:space="0" w:color="CCCCCC"/>
              <w:left w:val="single" w:sz="11" w:space="0" w:color="000000"/>
              <w:bottom w:val="single" w:sz="11" w:space="0" w:color="000000"/>
              <w:right w:val="single" w:sz="11" w:space="0" w:color="000000"/>
            </w:tcBorders>
            <w:shd w:val="clear" w:color="auto" w:fill="BDD6EE"/>
            <w:tcMar>
              <w:top w:w="0" w:type="dxa"/>
              <w:left w:w="40" w:type="dxa"/>
              <w:bottom w:w="0" w:type="dxa"/>
              <w:right w:w="40" w:type="dxa"/>
            </w:tcMar>
            <w:vAlign w:val="center"/>
          </w:tcPr>
          <w:p w:rsidR="009E6553" w14:paraId="44E59F27" w14:textId="77777777">
            <w:pPr>
              <w:spacing w:line="276" w:lineRule="auto"/>
              <w:jc w:val="center"/>
              <w:rPr>
                <w:rFonts w:ascii="Calibri" w:eastAsia="Calibri" w:hAnsi="Calibri" w:cs="Calibri"/>
                <w:sz w:val="22"/>
                <w:szCs w:val="22"/>
              </w:rPr>
            </w:pPr>
            <w:r>
              <w:rPr>
                <w:rFonts w:ascii="Calibri" w:eastAsia="Calibri" w:hAnsi="Calibri" w:cs="Calibri"/>
                <w:b/>
                <w:bCs/>
                <w:sz w:val="16"/>
                <w:szCs w:val="16"/>
              </w:rPr>
              <w:t>Total for Collection</w:t>
            </w:r>
          </w:p>
        </w:tc>
        <w:tc>
          <w:tcPr>
            <w:tcW w:w="900" w:type="dxa"/>
            <w:tcBorders>
              <w:top w:val="single" w:sz="5" w:space="0" w:color="CCCCCC"/>
              <w:left w:val="single" w:sz="5" w:space="0" w:color="CCCCCC"/>
              <w:bottom w:val="single" w:sz="11" w:space="0" w:color="000000"/>
              <w:right w:val="dashed" w:sz="11" w:space="0" w:color="000000"/>
            </w:tcBorders>
            <w:shd w:val="clear" w:color="auto" w:fill="BDD6EE"/>
            <w:tcMar>
              <w:top w:w="0" w:type="dxa"/>
              <w:left w:w="40" w:type="dxa"/>
              <w:bottom w:w="0" w:type="dxa"/>
              <w:right w:w="40" w:type="dxa"/>
            </w:tcMar>
            <w:vAlign w:val="center"/>
          </w:tcPr>
          <w:p w:rsidR="009E6553" w14:paraId="38176652" w14:textId="77777777">
            <w:pPr>
              <w:spacing w:line="276" w:lineRule="auto"/>
              <w:jc w:val="center"/>
              <w:rPr>
                <w:rFonts w:ascii="Calibri" w:eastAsia="Calibri" w:hAnsi="Calibri" w:cs="Calibri"/>
                <w:sz w:val="22"/>
                <w:szCs w:val="22"/>
              </w:rPr>
            </w:pPr>
            <w:r>
              <w:rPr>
                <w:rFonts w:ascii="Calibri" w:eastAsia="Calibri" w:hAnsi="Calibri" w:cs="Calibri"/>
                <w:sz w:val="22"/>
                <w:szCs w:val="22"/>
              </w:rPr>
              <w:t>250</w:t>
            </w:r>
          </w:p>
        </w:tc>
        <w:tc>
          <w:tcPr>
            <w:tcW w:w="945" w:type="dxa"/>
            <w:tcBorders>
              <w:top w:val="single" w:sz="5" w:space="0" w:color="CCCCCC"/>
              <w:left w:val="single" w:sz="5"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9E6553" w14:paraId="74BD38BE" w14:textId="77777777">
            <w:pPr>
              <w:spacing w:line="276" w:lineRule="auto"/>
              <w:jc w:val="center"/>
              <w:rPr>
                <w:rFonts w:ascii="Calibri" w:eastAsia="Calibri" w:hAnsi="Calibri" w:cs="Calibri"/>
                <w:sz w:val="22"/>
                <w:szCs w:val="22"/>
              </w:rPr>
            </w:pPr>
            <w:r>
              <w:rPr>
                <w:rFonts w:ascii="Calibri" w:eastAsia="Calibri" w:hAnsi="Calibri" w:cs="Calibri"/>
                <w:sz w:val="22"/>
                <w:szCs w:val="22"/>
              </w:rPr>
              <w:t>315</w:t>
            </w:r>
          </w:p>
        </w:tc>
        <w:tc>
          <w:tcPr>
            <w:tcW w:w="1140" w:type="dxa"/>
            <w:tcBorders>
              <w:top w:val="single" w:sz="5" w:space="0" w:color="CCCCCC"/>
              <w:left w:val="single" w:sz="5" w:space="0" w:color="CCCCCC"/>
              <w:bottom w:val="single" w:sz="11" w:space="0" w:color="000000"/>
              <w:right w:val="dashed" w:sz="11" w:space="0" w:color="000000"/>
            </w:tcBorders>
            <w:shd w:val="clear" w:color="auto" w:fill="BDD6EE"/>
            <w:tcMar>
              <w:top w:w="0" w:type="dxa"/>
              <w:left w:w="40" w:type="dxa"/>
              <w:bottom w:w="0" w:type="dxa"/>
              <w:right w:w="40" w:type="dxa"/>
            </w:tcMar>
            <w:vAlign w:val="center"/>
          </w:tcPr>
          <w:p w:rsidR="009E6553" w14:paraId="1A36D2E0" w14:textId="77777777">
            <w:pPr>
              <w:spacing w:line="276" w:lineRule="auto"/>
              <w:jc w:val="center"/>
              <w:rPr>
                <w:rFonts w:ascii="Calibri" w:eastAsia="Calibri" w:hAnsi="Calibri" w:cs="Calibri"/>
                <w:sz w:val="22"/>
                <w:szCs w:val="22"/>
              </w:rPr>
            </w:pPr>
            <w:r>
              <w:rPr>
                <w:rFonts w:ascii="Calibri" w:eastAsia="Calibri" w:hAnsi="Calibri" w:cs="Calibri"/>
                <w:sz w:val="22"/>
                <w:szCs w:val="22"/>
              </w:rPr>
              <w:t>250</w:t>
            </w:r>
          </w:p>
        </w:tc>
        <w:tc>
          <w:tcPr>
            <w:tcW w:w="1125" w:type="dxa"/>
            <w:tcBorders>
              <w:top w:val="single" w:sz="5" w:space="0" w:color="CCCCCC"/>
              <w:left w:val="single" w:sz="5"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9E6553" w14:paraId="4444ACF9" w14:textId="77777777">
            <w:pPr>
              <w:spacing w:line="276" w:lineRule="auto"/>
              <w:jc w:val="center"/>
              <w:rPr>
                <w:rFonts w:ascii="Calibri" w:eastAsia="Calibri" w:hAnsi="Calibri" w:cs="Calibri"/>
                <w:sz w:val="22"/>
                <w:szCs w:val="22"/>
              </w:rPr>
            </w:pPr>
            <w:r>
              <w:rPr>
                <w:rFonts w:ascii="Calibri" w:eastAsia="Calibri" w:hAnsi="Calibri" w:cs="Calibri"/>
                <w:sz w:val="22"/>
                <w:szCs w:val="22"/>
              </w:rPr>
              <w:t>315</w:t>
            </w:r>
          </w:p>
        </w:tc>
        <w:tc>
          <w:tcPr>
            <w:tcW w:w="1170" w:type="dxa"/>
            <w:tcBorders>
              <w:top w:val="single" w:sz="5" w:space="0" w:color="CCCCCC"/>
              <w:left w:val="single" w:sz="5" w:space="0" w:color="CCCCCC"/>
              <w:bottom w:val="single" w:sz="11" w:space="0" w:color="000000"/>
              <w:right w:val="dashed" w:sz="11" w:space="0" w:color="000000"/>
            </w:tcBorders>
            <w:shd w:val="clear" w:color="auto" w:fill="BDD6EE"/>
            <w:tcMar>
              <w:top w:w="0" w:type="dxa"/>
              <w:left w:w="40" w:type="dxa"/>
              <w:bottom w:w="0" w:type="dxa"/>
              <w:right w:w="40" w:type="dxa"/>
            </w:tcMar>
            <w:vAlign w:val="center"/>
          </w:tcPr>
          <w:p w:rsidR="009E6553" w14:paraId="19AC9EE1" w14:textId="77777777">
            <w:pPr>
              <w:spacing w:line="276" w:lineRule="auto"/>
              <w:jc w:val="center"/>
              <w:rPr>
                <w:rFonts w:ascii="Calibri" w:eastAsia="Calibri" w:hAnsi="Calibri" w:cs="Calibri"/>
                <w:sz w:val="22"/>
                <w:szCs w:val="22"/>
              </w:rPr>
            </w:pPr>
            <w:r>
              <w:rPr>
                <w:rFonts w:ascii="Calibri" w:eastAsia="Calibri" w:hAnsi="Calibri" w:cs="Calibri"/>
                <w:sz w:val="22"/>
                <w:szCs w:val="22"/>
              </w:rPr>
              <w:t>100</w:t>
            </w:r>
          </w:p>
        </w:tc>
        <w:tc>
          <w:tcPr>
            <w:tcW w:w="1230" w:type="dxa"/>
            <w:tcBorders>
              <w:top w:val="single" w:sz="5" w:space="0" w:color="CCCCCC"/>
              <w:left w:val="single" w:sz="5"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9E6553" w14:paraId="0E57F016" w14:textId="77777777">
            <w:pPr>
              <w:spacing w:line="276" w:lineRule="auto"/>
              <w:jc w:val="center"/>
              <w:rPr>
                <w:rFonts w:ascii="Calibri" w:eastAsia="Calibri" w:hAnsi="Calibri" w:cs="Calibri"/>
                <w:sz w:val="22"/>
                <w:szCs w:val="22"/>
              </w:rPr>
            </w:pPr>
            <w:r>
              <w:rPr>
                <w:rFonts w:ascii="Calibri" w:eastAsia="Calibri" w:hAnsi="Calibri" w:cs="Calibri"/>
                <w:sz w:val="22"/>
                <w:szCs w:val="22"/>
              </w:rPr>
              <w:t>158</w:t>
            </w:r>
          </w:p>
        </w:tc>
        <w:tc>
          <w:tcPr>
            <w:tcW w:w="4290" w:type="dxa"/>
            <w:tcBorders>
              <w:top w:val="single" w:sz="5" w:space="0" w:color="CCCCCC"/>
              <w:left w:val="single" w:sz="5"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9E6553" w14:paraId="5EA2475E" w14:textId="77777777">
            <w:pPr>
              <w:spacing w:line="276" w:lineRule="auto"/>
              <w:rPr>
                <w:rFonts w:ascii="Calibri" w:eastAsia="Calibri" w:hAnsi="Calibri" w:cs="Calibri"/>
                <w:sz w:val="22"/>
                <w:szCs w:val="22"/>
              </w:rPr>
            </w:pPr>
          </w:p>
        </w:tc>
      </w:tr>
      <w:tr w14:paraId="266C94B9" w14:textId="77777777">
        <w:tblPrEx>
          <w:tblW w:w="13260" w:type="dxa"/>
          <w:tblLayout w:type="fixed"/>
          <w:tblLook w:val="0600"/>
        </w:tblPrEx>
        <w:trPr>
          <w:trHeight w:val="300"/>
        </w:trPr>
        <w:tc>
          <w:tcPr>
            <w:tcW w:w="2460" w:type="dxa"/>
            <w:tcBorders>
              <w:top w:val="single" w:sz="5" w:space="0" w:color="CCCCCC"/>
              <w:left w:val="single" w:sz="11" w:space="0" w:color="000000"/>
              <w:bottom w:val="single" w:sz="11" w:space="0" w:color="000000"/>
              <w:right w:val="single" w:sz="11" w:space="0" w:color="000000"/>
            </w:tcBorders>
            <w:shd w:val="clear" w:color="auto" w:fill="FBE4D5"/>
            <w:tcMar>
              <w:top w:w="0" w:type="dxa"/>
              <w:left w:w="40" w:type="dxa"/>
              <w:bottom w:w="0" w:type="dxa"/>
              <w:right w:w="40" w:type="dxa"/>
            </w:tcMar>
            <w:vAlign w:val="bottom"/>
          </w:tcPr>
          <w:p w:rsidR="009E6553" w14:paraId="0C7D5D38" w14:textId="77777777">
            <w:pPr>
              <w:spacing w:line="276" w:lineRule="auto"/>
              <w:jc w:val="center"/>
              <w:rPr>
                <w:rFonts w:ascii="Calibri" w:eastAsia="Calibri" w:hAnsi="Calibri" w:cs="Calibri"/>
                <w:sz w:val="22"/>
                <w:szCs w:val="22"/>
              </w:rPr>
            </w:pPr>
            <w:r>
              <w:rPr>
                <w:rFonts w:ascii="Calibri" w:eastAsia="Calibri" w:hAnsi="Calibri" w:cs="Calibri"/>
                <w:b/>
                <w:bCs/>
                <w:sz w:val="16"/>
                <w:szCs w:val="16"/>
              </w:rPr>
              <w:t>Difference</w:t>
            </w:r>
          </w:p>
        </w:tc>
        <w:tc>
          <w:tcPr>
            <w:tcW w:w="1845" w:type="dxa"/>
            <w:gridSpan w:val="2"/>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bottom"/>
          </w:tcPr>
          <w:p w:rsidR="009E6553" w14:paraId="406DD9A0" w14:textId="77777777">
            <w:pPr>
              <w:spacing w:line="276" w:lineRule="auto"/>
              <w:jc w:val="center"/>
              <w:rPr>
                <w:rFonts w:ascii="Calibri" w:eastAsia="Calibri" w:hAnsi="Calibri" w:cs="Calibri"/>
                <w:sz w:val="22"/>
                <w:szCs w:val="22"/>
              </w:rPr>
            </w:pPr>
            <w:r>
              <w:rPr>
                <w:rFonts w:ascii="Calibri" w:eastAsia="Calibri" w:hAnsi="Calibri" w:cs="Calibri"/>
                <w:sz w:val="22"/>
                <w:szCs w:val="22"/>
              </w:rPr>
              <w:t>-65</w:t>
            </w:r>
          </w:p>
        </w:tc>
        <w:tc>
          <w:tcPr>
            <w:tcW w:w="2265" w:type="dxa"/>
            <w:gridSpan w:val="2"/>
            <w:tcBorders>
              <w:top w:val="single" w:sz="5" w:space="0" w:color="CCCCCC"/>
              <w:left w:val="single" w:sz="5" w:space="0" w:color="CCCCCC"/>
              <w:bottom w:val="single" w:sz="11" w:space="0" w:color="000000"/>
              <w:right w:val="single" w:sz="11" w:space="0" w:color="000000"/>
            </w:tcBorders>
            <w:shd w:val="clear" w:color="auto" w:fill="FBE4D5"/>
            <w:tcMar>
              <w:top w:w="0" w:type="dxa"/>
              <w:left w:w="40" w:type="dxa"/>
              <w:bottom w:w="0" w:type="dxa"/>
              <w:right w:w="40" w:type="dxa"/>
            </w:tcMar>
            <w:vAlign w:val="bottom"/>
          </w:tcPr>
          <w:p w:rsidR="009E6553" w14:paraId="5142B660" w14:textId="77777777">
            <w:pPr>
              <w:spacing w:line="276" w:lineRule="auto"/>
              <w:jc w:val="center"/>
              <w:rPr>
                <w:rFonts w:ascii="Calibri" w:eastAsia="Calibri" w:hAnsi="Calibri" w:cs="Calibri"/>
                <w:sz w:val="22"/>
                <w:szCs w:val="22"/>
              </w:rPr>
            </w:pPr>
            <w:r>
              <w:rPr>
                <w:rFonts w:ascii="Calibri" w:eastAsia="Calibri" w:hAnsi="Calibri" w:cs="Calibri"/>
                <w:sz w:val="22"/>
                <w:szCs w:val="22"/>
              </w:rPr>
              <w:t>-65 (adjustment)</w:t>
            </w:r>
          </w:p>
        </w:tc>
        <w:tc>
          <w:tcPr>
            <w:tcW w:w="2400" w:type="dxa"/>
            <w:gridSpan w:val="2"/>
            <w:tcBorders>
              <w:top w:val="single" w:sz="5" w:space="0" w:color="CCCCCC"/>
              <w:left w:val="single" w:sz="5" w:space="0" w:color="CCCCCC"/>
              <w:bottom w:val="single" w:sz="11" w:space="0" w:color="000000"/>
              <w:right w:val="single" w:sz="5" w:space="0" w:color="000000"/>
            </w:tcBorders>
            <w:shd w:val="clear" w:color="auto" w:fill="FBE4D5"/>
            <w:tcMar>
              <w:top w:w="0" w:type="dxa"/>
              <w:left w:w="40" w:type="dxa"/>
              <w:bottom w:w="0" w:type="dxa"/>
              <w:right w:w="40" w:type="dxa"/>
            </w:tcMar>
            <w:vAlign w:val="bottom"/>
          </w:tcPr>
          <w:p w:rsidR="009E6553" w14:paraId="075B6642" w14:textId="77777777">
            <w:pPr>
              <w:spacing w:line="276" w:lineRule="auto"/>
              <w:jc w:val="center"/>
              <w:rPr>
                <w:rFonts w:ascii="Calibri" w:eastAsia="Calibri" w:hAnsi="Calibri" w:cs="Calibri"/>
                <w:sz w:val="22"/>
                <w:szCs w:val="22"/>
              </w:rPr>
            </w:pPr>
            <w:r>
              <w:rPr>
                <w:rFonts w:ascii="Calibri" w:eastAsia="Calibri" w:hAnsi="Calibri" w:cs="Calibri"/>
                <w:sz w:val="22"/>
                <w:szCs w:val="22"/>
              </w:rPr>
              <w:t>-58 (adjustment)</w:t>
            </w:r>
          </w:p>
        </w:tc>
        <w:tc>
          <w:tcPr>
            <w:tcW w:w="4290" w:type="dxa"/>
            <w:tcBorders>
              <w:top w:val="single" w:sz="5" w:space="0" w:color="CCCCCC"/>
              <w:left w:val="single" w:sz="5" w:space="0" w:color="CCCCCC"/>
              <w:bottom w:val="single" w:sz="11" w:space="0" w:color="000000"/>
              <w:right w:val="single" w:sz="11" w:space="0" w:color="000000"/>
            </w:tcBorders>
            <w:shd w:val="clear" w:color="auto" w:fill="000000"/>
            <w:tcMar>
              <w:top w:w="0" w:type="dxa"/>
              <w:left w:w="40" w:type="dxa"/>
              <w:bottom w:w="0" w:type="dxa"/>
              <w:right w:w="40" w:type="dxa"/>
            </w:tcMar>
            <w:vAlign w:val="bottom"/>
          </w:tcPr>
          <w:p w:rsidR="009E6553" w14:paraId="586E9C3C" w14:textId="77777777">
            <w:pPr>
              <w:spacing w:line="276" w:lineRule="auto"/>
              <w:rPr>
                <w:rFonts w:ascii="Calibri" w:eastAsia="Calibri" w:hAnsi="Calibri" w:cs="Calibri"/>
                <w:sz w:val="22"/>
                <w:szCs w:val="22"/>
              </w:rPr>
            </w:pPr>
          </w:p>
        </w:tc>
      </w:tr>
    </w:tbl>
    <w:p w:rsidR="009E6553" w14:paraId="2E923867" w14:textId="77777777">
      <w:pPr>
        <w:pBdr>
          <w:top w:val="nil"/>
          <w:left w:val="nil"/>
          <w:bottom w:val="nil"/>
          <w:right w:val="nil"/>
          <w:between w:val="nil"/>
        </w:pBdr>
        <w:spacing w:before="7"/>
        <w:sectPr w:rsidSect="00B574DE">
          <w:type w:val="continuous"/>
          <w:pgSz w:w="15840" w:h="12240" w:orient="landscape"/>
          <w:pgMar w:top="1440" w:right="1440" w:bottom="1440" w:left="1440" w:header="0" w:footer="714" w:gutter="0"/>
          <w:cols w:space="720"/>
          <w:docGrid w:linePitch="326"/>
        </w:sectPr>
      </w:pPr>
    </w:p>
    <w:p w:rsidR="009E6553" w:rsidP="00B574DE" w14:paraId="3A8A8DED"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9E6553" w:rsidP="00B574DE" w14:paraId="70739403" w14:textId="77777777">
      <w:pPr>
        <w:widowControl/>
        <w:spacing w:before="240"/>
      </w:pPr>
      <w:r>
        <w:t>Collected data will be aggregated and analyzed to produce a public report detailing the scope, scale, and workforce trends of the U.S. Ocean Enterprise.  Data collection takes place over a 3 to 6-month period, followed by 3 months of analysis and report generation.</w:t>
      </w:r>
    </w:p>
    <w:p w:rsidR="009E6553" w:rsidP="00B574DE" w14:paraId="1D022BE8" w14:textId="77777777">
      <w:pPr>
        <w:widowControl/>
        <w:spacing w:before="240"/>
      </w:pPr>
      <w:r>
        <w:t>It is anticipated that the information collected will be disseminated to the public or used to support publicly disseminated information. NOAA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w:t>
      </w:r>
      <w:r>
        <w:t>eet all applicable information quality guidelines. Prior to dissemination, the information will be subjected to quality control measures and a pre-dissemination review pursuant to Section 515 of Public Law 106-554.</w:t>
      </w:r>
    </w:p>
    <w:p w:rsidR="009E6553" w:rsidP="00B574DE" w14:paraId="775B1DA6" w14:textId="77777777">
      <w:pPr>
        <w:pBdr>
          <w:top w:val="nil"/>
          <w:left w:val="nil"/>
          <w:bottom w:val="nil"/>
          <w:right w:val="nil"/>
          <w:between w:val="nil"/>
        </w:pBdr>
        <w:spacing w:before="240"/>
        <w:rPr>
          <w:color w:val="2F5496"/>
        </w:rPr>
      </w:pPr>
    </w:p>
    <w:p w:rsidR="009E6553" w:rsidP="00B574DE" w14:paraId="7D8D563F"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seeking approval to not display the expiration date for OMB approval of the information collection, explain the reasons that display would be inappropriate.</w:t>
      </w:r>
    </w:p>
    <w:p w:rsidR="009E6553" w:rsidP="00B574DE" w14:paraId="3232B349" w14:textId="77777777">
      <w:pPr>
        <w:spacing w:before="240"/>
      </w:pPr>
      <w:r>
        <w:t>The agency plans to display the expiration date for OMB approval of the information collection on all instruments.</w:t>
      </w:r>
    </w:p>
    <w:p w:rsidR="009E6553" w:rsidP="00B574DE" w14:paraId="5E14CFDC" w14:textId="77777777">
      <w:pPr>
        <w:spacing w:before="240"/>
        <w:rPr>
          <w:i/>
          <w:iCs/>
        </w:rPr>
      </w:pPr>
    </w:p>
    <w:p w:rsidR="009E6553" w:rsidP="00B574DE" w14:paraId="5F770AAE"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each exception to the certification statement identified in “Certification for Paperwork Reduction Act Submissions."</w:t>
      </w:r>
    </w:p>
    <w:p w:rsidR="009E6553" w:rsidP="00B574DE" w14:paraId="74E1944B" w14:textId="77777777">
      <w:pPr>
        <w:spacing w:before="240"/>
      </w:pPr>
      <w:r>
        <w:t xml:space="preserve">The agency certifies compliance with </w:t>
      </w:r>
      <w:hyperlink r:id="rId7">
        <w:r>
          <w:rPr>
            <w:u w:val="single"/>
          </w:rPr>
          <w:t>5 CFR 1320.9</w:t>
        </w:r>
      </w:hyperlink>
      <w:hyperlink r:id="rId7">
        <w:r>
          <w:t xml:space="preserve"> </w:t>
        </w:r>
      </w:hyperlink>
      <w:r>
        <w:t xml:space="preserve">and the related provisions of </w:t>
      </w:r>
      <w:hyperlink r:id="rId8">
        <w:r>
          <w:rPr>
            <w:u w:val="single"/>
          </w:rPr>
          <w:t>5 CFR</w:t>
        </w:r>
      </w:hyperlink>
      <w:r>
        <w:t xml:space="preserve"> </w:t>
      </w:r>
      <w:hyperlink r:id="rId8">
        <w:r>
          <w:rPr>
            <w:u w:val="single"/>
          </w:rPr>
          <w:t>1320.8(b)(3)</w:t>
        </w:r>
      </w:hyperlink>
      <w:r>
        <w:rPr>
          <w:u w:val="single"/>
        </w:rPr>
        <w:t xml:space="preserve"> </w:t>
      </w:r>
      <w:r>
        <w:t>without exception.</w:t>
      </w:r>
    </w:p>
    <w:p w:rsidR="009E6553" w14:paraId="0D02EE58" w14:textId="77777777">
      <w:pPr>
        <w:spacing w:before="221" w:line="259" w:lineRule="auto"/>
        <w:jc w:val="both"/>
        <w:rPr>
          <w:color w:val="1F497D"/>
        </w:rPr>
      </w:pPr>
      <w:bookmarkStart w:id="0" w:name="_heading=h.gjdgxs" w:colFirst="0" w:colLast="0"/>
      <w:bookmarkEnd w:id="0"/>
    </w:p>
    <w:sectPr w:rsidSect="00B574DE">
      <w:type w:val="continuous"/>
      <w:pgSz w:w="12240" w:h="15840"/>
      <w:pgMar w:top="1440" w:right="1440" w:bottom="1440" w:left="1440" w:header="0" w:footer="71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E28B182-B4A1-4E8F-9ED4-C8E2C7B7C987}"/>
  </w:font>
  <w:font w:name="Georgia">
    <w:panose1 w:val="02040502050405020303"/>
    <w:charset w:val="00"/>
    <w:family w:val="roman"/>
    <w:pitch w:val="variable"/>
    <w:sig w:usb0="00000287" w:usb1="00000000" w:usb2="00000000" w:usb3="00000000" w:csb0="0000009F" w:csb1="00000000"/>
    <w:embedItalic r:id="rId2" w:fontKey="{93F1D232-B634-48D1-8A19-8326FC9486C1}"/>
  </w:font>
  <w:font w:name="Calibri">
    <w:panose1 w:val="020F0502020204030204"/>
    <w:charset w:val="00"/>
    <w:family w:val="swiss"/>
    <w:pitch w:val="variable"/>
    <w:sig w:usb0="E4002EFF" w:usb1="C200247B" w:usb2="00000009" w:usb3="00000000" w:csb0="000001FF" w:csb1="00000000"/>
    <w:embedRegular r:id="rId3" w:fontKey="{47DD8C93-CC1C-4BC0-883A-3C341E89A7CC}"/>
    <w:embedBold r:id="rId4" w:fontKey="{5C8555E6-CD51-43DF-B7A3-58CC5AC54C33}"/>
  </w:font>
  <w:font w:name="Cambria">
    <w:panose1 w:val="02040503050406030204"/>
    <w:charset w:val="00"/>
    <w:family w:val="roman"/>
    <w:pitch w:val="variable"/>
    <w:sig w:usb0="E00006FF" w:usb1="420024FF" w:usb2="02000000" w:usb3="00000000" w:csb0="0000019F" w:csb1="00000000"/>
    <w:embedRegular r:id="rId5" w:fontKey="{4138D804-A8F5-42C5-A285-63D67F57C3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6553" w14:paraId="12616371" w14:textId="7777777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6476" w14:paraId="40EC1D0C" w14:textId="77777777">
      <w:r>
        <w:separator/>
      </w:r>
    </w:p>
  </w:footnote>
  <w:footnote w:type="continuationSeparator" w:id="1">
    <w:p w:rsidR="00176476" w14:paraId="0B073B7F" w14:textId="77777777">
      <w:r>
        <w:continuationSeparator/>
      </w:r>
    </w:p>
  </w:footnote>
  <w:footnote w:id="2">
    <w:p w:rsidR="009E6553" w14:paraId="0C69EA69" w14:textId="77777777">
      <w:pPr>
        <w:rPr>
          <w:sz w:val="20"/>
          <w:szCs w:val="20"/>
        </w:rPr>
      </w:pPr>
      <w:r>
        <w:rPr>
          <w:vertAlign w:val="superscript"/>
        </w:rPr>
        <w:footnoteRef/>
      </w:r>
      <w:r>
        <w:rPr>
          <w:sz w:val="20"/>
          <w:szCs w:val="20"/>
        </w:rPr>
        <w:t xml:space="preserve"> https://www.opm.gov/policy-data-oversight/pay-leave/salaries-wages/salary-tables/pdf/2026/RUS.pdf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650C6C"/>
    <w:multiLevelType w:val="multilevel"/>
    <w:tmpl w:val="585EA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83D1D52"/>
    <w:multiLevelType w:val="multilevel"/>
    <w:tmpl w:val="0E1C8730"/>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2">
    <w:nsid w:val="6AC97552"/>
    <w:multiLevelType w:val="multilevel"/>
    <w:tmpl w:val="48EAB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7783274">
    <w:abstractNumId w:val="1"/>
  </w:num>
  <w:num w:numId="2" w16cid:durableId="1168597958">
    <w:abstractNumId w:val="0"/>
  </w:num>
  <w:num w:numId="3" w16cid:durableId="12800668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553"/>
    <w:rsid w:val="00176476"/>
    <w:rsid w:val="002929E0"/>
    <w:rsid w:val="00322F6E"/>
    <w:rsid w:val="009E6553"/>
    <w:rsid w:val="00B574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650653"/>
  <w15:docId w15:val="{3DB4BBD0-7B49-4DDD-8535-B970CBB6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table" w:customStyle="1" w:styleId="TableNormal1">
    <w:name w:val="TableNormal_1"/>
    <w:tblPr>
      <w:tblCellMar>
        <w:top w:w="100" w:type="dxa"/>
        <w:left w:w="100" w:type="dxa"/>
        <w:bottom w:w="100" w:type="dxa"/>
        <w:right w:w="100" w:type="dxa"/>
      </w:tblCellMar>
    </w:tbl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semiHidden/>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semiHidden/>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CellMar>
        <w:left w:w="0" w:type="dxa"/>
        <w:right w:w="0" w:type="dxa"/>
      </w:tblCellMar>
    </w:tblPr>
  </w:style>
  <w:style w:type="table" w:customStyle="1" w:styleId="a6">
    <w:name w:val="a6"/>
    <w:basedOn w:val="TableNormal"/>
    <w:tblPr>
      <w:tblStyleRowBandSize w:val="1"/>
      <w:tblStyleColBandSize w:val="1"/>
      <w:tblCellMar>
        <w:left w:w="0" w:type="dxa"/>
        <w:right w:w="0" w:type="dxa"/>
      </w:tblCellMar>
    </w:tblPr>
  </w:style>
  <w:style w:type="table" w:customStyle="1" w:styleId="a7">
    <w:name w:val="a7"/>
    <w:basedOn w:val="TableNormal"/>
    <w:tblPr>
      <w:tblStyleRowBandSize w:val="1"/>
      <w:tblStyleColBandSize w:val="1"/>
    </w:tblPr>
  </w:style>
  <w:style w:type="table" w:customStyle="1" w:styleId="a8">
    <w:name w:val="a8"/>
    <w:basedOn w:val="TableNormal"/>
    <w:tblPr>
      <w:tblStyleRowBandSize w:val="1"/>
      <w:tblStyleColBandSize w:val="1"/>
      <w:tblCellMar>
        <w:left w:w="115" w:type="dxa"/>
        <w:right w:w="115" w:type="dxa"/>
      </w:tblCellMar>
    </w:tblPr>
  </w:style>
  <w:style w:type="table" w:customStyle="1" w:styleId="a9">
    <w:name w:val="a9"/>
    <w:basedOn w:val="TableNormal"/>
    <w:tblPr>
      <w:tblStyleRowBandSize w:val="1"/>
      <w:tblStyleColBandSize w:val="1"/>
    </w:tblPr>
  </w:style>
  <w:style w:type="table" w:customStyle="1" w:styleId="aa">
    <w:name w:val="aa"/>
    <w:basedOn w:val="TableNormal"/>
    <w:tblPr>
      <w:tblStyleRowBandSize w:val="1"/>
      <w:tblStyleColBandSize w:val="1"/>
      <w:tblCellMar>
        <w:left w:w="115" w:type="dxa"/>
        <w:right w:w="115" w:type="dxa"/>
      </w:tblCellMar>
    </w:tblPr>
  </w:style>
  <w:style w:type="table" w:customStyle="1" w:styleId="ab">
    <w:name w:val="ab"/>
    <w:basedOn w:val="TableNormal"/>
    <w:tblPr>
      <w:tblStyleRowBandSize w:val="1"/>
      <w:tblStyleColBandSize w:val="1"/>
      <w:tblCellMar>
        <w:left w:w="115" w:type="dxa"/>
        <w:right w:w="115" w:type="dxa"/>
      </w:tblCellMar>
    </w:tblPr>
  </w:style>
  <w:style w:type="table" w:customStyle="1" w:styleId="ac">
    <w:name w:val="ac"/>
    <w:basedOn w:val="TableNormal"/>
    <w:tblPr>
      <w:tblStyleRowBandSize w:val="1"/>
      <w:tblStyleColBandSize w:val="1"/>
    </w:tblPr>
  </w:style>
  <w:style w:type="table" w:customStyle="1" w:styleId="ad">
    <w:name w:val="ad"/>
    <w:basedOn w:val="TableNormal"/>
    <w:tblPr>
      <w:tblStyleRowBandSize w:val="1"/>
      <w:tblStyleColBandSize w:val="1"/>
      <w:tblCellMar>
        <w:left w:w="115" w:type="dxa"/>
        <w:right w:w="115" w:type="dxa"/>
      </w:tblCellMar>
    </w:tblPr>
  </w:style>
  <w:style w:type="table" w:customStyle="1" w:styleId="ae">
    <w:name w:val="ae"/>
    <w:basedOn w:val="TableNormal"/>
    <w:tblPr>
      <w:tblStyleRowBandSize w:val="1"/>
      <w:tblStyleColBandSize w:val="1"/>
    </w:tblPr>
  </w:style>
  <w:style w:type="table" w:customStyle="1" w:styleId="af">
    <w:name w:val="af"/>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0">
    <w:name w:val="af0"/>
    <w:basedOn w:val="TableNormal"/>
    <w:tblPr>
      <w:tblStyleRowBandSize w:val="1"/>
      <w:tblStyleColBandSize w:val="1"/>
      <w:tblCellMar>
        <w:left w:w="0" w:type="dxa"/>
        <w:right w:w="0" w:type="dxa"/>
      </w:tblCellMar>
    </w:tblPr>
  </w:style>
  <w:style w:type="table" w:customStyle="1" w:styleId="af1">
    <w:name w:val="af1"/>
    <w:basedOn w:val="TableNormal"/>
    <w:tblPr>
      <w:tblStyleRowBandSize w:val="1"/>
      <w:tblStyleColBandSize w:val="1"/>
    </w:tblPr>
  </w:style>
  <w:style w:type="table" w:customStyle="1" w:styleId="af2">
    <w:name w:val="af2"/>
    <w:basedOn w:val="TableNormal"/>
    <w:tblPr>
      <w:tblStyleRowBandSize w:val="1"/>
      <w:tblStyleColBandSize w:val="1"/>
      <w:tblCellMar>
        <w:left w:w="115" w:type="dxa"/>
        <w:right w:w="115" w:type="dxa"/>
      </w:tblCellMar>
    </w:tblPr>
  </w:style>
  <w:style w:type="table" w:customStyle="1" w:styleId="af3">
    <w:name w:val="af3"/>
    <w:basedOn w:val="TableNormal"/>
    <w:tblPr>
      <w:tblStyleRowBandSize w:val="1"/>
      <w:tblStyleColBandSize w:val="1"/>
    </w:tblPr>
  </w:style>
  <w:style w:type="table" w:customStyle="1" w:styleId="af4">
    <w:name w:val="af4"/>
    <w:basedOn w:val="TableNormal"/>
    <w:tblPr>
      <w:tblStyleRowBandSize w:val="1"/>
      <w:tblStyleColBandSize w:val="1"/>
      <w:tblCellMar>
        <w:left w:w="115" w:type="dxa"/>
        <w:right w:w="115" w:type="dxa"/>
      </w:tblCellMar>
    </w:tblPr>
  </w:style>
  <w:style w:type="table" w:customStyle="1" w:styleId="af5">
    <w:name w:val="af5"/>
    <w:basedOn w:val="TableNormal"/>
    <w:tblPr>
      <w:tblStyleRowBandSize w:val="1"/>
      <w:tblStyleColBandSize w:val="1"/>
      <w:tblCellMar>
        <w:left w:w="115" w:type="dxa"/>
        <w:right w:w="115" w:type="dxa"/>
      </w:tblCellMar>
    </w:tblPr>
  </w:style>
  <w:style w:type="table" w:customStyle="1" w:styleId="af6">
    <w:name w:val="af6"/>
    <w:basedOn w:val="TableNormal"/>
    <w:tblPr>
      <w:tblStyleRowBandSize w:val="1"/>
      <w:tblStyleColBandSize w:val="1"/>
    </w:tblPr>
  </w:style>
  <w:style w:type="table" w:customStyle="1" w:styleId="af7">
    <w:name w:val="af7"/>
    <w:basedOn w:val="TableNormal"/>
    <w:tblPr>
      <w:tblStyleRowBandSize w:val="1"/>
      <w:tblStyleColBandSize w:val="1"/>
    </w:tblPr>
  </w:style>
  <w:style w:type="paragraph" w:styleId="NormalWeb">
    <w:name w:val="Normal (Web)"/>
    <w:basedOn w:val="Normal"/>
    <w:uiPriority w:val="99"/>
    <w:semiHidden/>
    <w:unhideWhenUsed/>
    <w:rsid w:val="002929E0"/>
    <w:pPr>
      <w:widowControl/>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hyperlink" Target="http://www.gpo.gov/fdsys/pkg/CFR-2014-title5-vol3/pdf/CFR-2014-title5-vol3-sec1320-9.pdf" TargetMode="External" /><Relationship Id="rId8" Type="http://schemas.openxmlformats.org/officeDocument/2006/relationships/hyperlink" Target="http://www.gpo.gov/fdsys/pkg/CFR-2014-title5-vol3/pdf/CFR-2014-title5-vol3-sec1320-8.pdf" TargetMode="Externa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qhlEg6Y8KqZHyT3sd2VDkiJ+6w==">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2741</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NOAA 1200 CORPSRV</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2</cp:revision>
  <dcterms:created xsi:type="dcterms:W3CDTF">2020-05-07T13:39:00Z</dcterms:created>
  <dcterms:modified xsi:type="dcterms:W3CDTF">2026-10-19T15:08:00Z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