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5E0A0F" w:rsidRPr="001A12A1" w:rsidP="005E0A0F" w14:paraId="73E78422" w14:textId="77777777">
      <w:pPr>
        <w:pStyle w:val="NormalWeb"/>
        <w:spacing w:line="288" w:lineRule="atLeast"/>
        <w:ind w:firstLine="480"/>
        <w:jc w:val="center"/>
        <w:rPr>
          <w:u w:val="single"/>
        </w:rPr>
      </w:pPr>
      <w:r w:rsidRPr="52BE37B1">
        <w:rPr>
          <w:u w:val="single"/>
        </w:rPr>
        <w:t>SUPPORTING STATEMENT</w:t>
      </w:r>
      <w:r w:rsidRPr="52BE37B1" w:rsidR="006F3F40">
        <w:rPr>
          <w:u w:val="single"/>
        </w:rPr>
        <w:t xml:space="preserve"> – PART B</w:t>
      </w:r>
    </w:p>
    <w:p w:rsidR="005E0A0F" w:rsidRPr="001A12A1" w:rsidP="005A634E" w14:paraId="13C510AE" w14:textId="29D43070">
      <w:pPr>
        <w:pStyle w:val="NormalWeb"/>
        <w:numPr>
          <w:ilvl w:val="0"/>
          <w:numId w:val="16"/>
        </w:numPr>
        <w:spacing w:line="288" w:lineRule="atLeast"/>
      </w:pPr>
      <w:r w:rsidRPr="52BE37B1">
        <w:rPr>
          <w:u w:val="single"/>
        </w:rPr>
        <w:t>COLLECTIONS OF INFORMATION EMPLOYING STATISTICAL METHODS</w:t>
      </w:r>
    </w:p>
    <w:p w:rsidR="00A93CBF" w:rsidRPr="001A12A1" w:rsidP="005A634E" w14:paraId="0A1D8E4C" w14:textId="77777777">
      <w:pPr>
        <w:pStyle w:val="NormalWeb"/>
        <w:spacing w:line="288" w:lineRule="atLeast"/>
      </w:pPr>
      <w:r>
        <w:t>If the collection of information employs statistical methods, the following information should be provided in this Supporting Statement:</w:t>
      </w:r>
    </w:p>
    <w:p w:rsidR="005E0A0F" w:rsidRPr="00A925D8" w:rsidP="005D789B" w14:paraId="2AE8BE18" w14:textId="4DDD9B29">
      <w:pPr>
        <w:pStyle w:val="NormalWeb"/>
        <w:numPr>
          <w:ilvl w:val="0"/>
          <w:numId w:val="13"/>
        </w:numPr>
        <w:spacing w:line="288" w:lineRule="atLeast"/>
        <w:rPr>
          <w:b/>
        </w:rPr>
      </w:pPr>
      <w:r w:rsidRPr="008D0361">
        <w:rPr>
          <w:b/>
          <w:u w:val="single"/>
        </w:rPr>
        <w:t>Description</w:t>
      </w:r>
      <w:r w:rsidRPr="00A925D8">
        <w:rPr>
          <w:b/>
          <w:u w:val="single"/>
        </w:rPr>
        <w:t xml:space="preserve"> of the Activity</w:t>
      </w:r>
    </w:p>
    <w:p w:rsidR="001A12A1" w:rsidRPr="00A925D8" w:rsidP="00A925D8" w14:paraId="28279654" w14:textId="09E1148E">
      <w:pPr>
        <w:pStyle w:val="NormalWeb"/>
        <w:spacing w:line="288" w:lineRule="atLeast"/>
      </w:pPr>
      <w:r w:rsidRPr="6549DC7A">
        <w:rPr>
          <w:b/>
          <w:bCs/>
        </w:rPr>
        <w:t>Background</w:t>
      </w:r>
      <w:r>
        <w:t xml:space="preserve">: The survey is </w:t>
      </w:r>
      <w:r w:rsidR="00E22BF8">
        <w:t xml:space="preserve">designed to be </w:t>
      </w:r>
      <w:r>
        <w:t>part of a</w:t>
      </w:r>
      <w:r w:rsidR="00E22BF8">
        <w:t>n ongoing</w:t>
      </w:r>
      <w:r>
        <w:t xml:space="preserve"> portfolio analysis of work experience programs</w:t>
      </w:r>
      <w:r w:rsidR="00C76563">
        <w:t>, or “WEPs” (</w:t>
      </w:r>
      <w:r>
        <w:t>e.g., internships, apprenticeships, post-doctoral positions) that promote science, technology, engineering, and mathematics (STEM) capabilities</w:t>
      </w:r>
      <w:r w:rsidR="00170FD1">
        <w:t xml:space="preserve"> and are affiliated with the Department of </w:t>
      </w:r>
      <w:r w:rsidR="00DF5790">
        <w:t xml:space="preserve">War </w:t>
      </w:r>
      <w:r w:rsidR="00170FD1">
        <w:t>(Do</w:t>
      </w:r>
      <w:r w:rsidR="00DF5790">
        <w:t>W</w:t>
      </w:r>
      <w:r w:rsidR="00170FD1">
        <w:t>)</w:t>
      </w:r>
      <w:r>
        <w:t xml:space="preserve">. The purpose of the survey is to gain a better understanding of WEP participants’ educational and professional backgrounds, what they gain from completing WEPs, potential barriers to their success, and how programs may be improved for future cohorts.  </w:t>
      </w:r>
    </w:p>
    <w:p w:rsidR="001A12A1" w:rsidP="001A12A1" w14:paraId="11BEEB10" w14:textId="3D128435">
      <w:r w:rsidRPr="6549DC7A">
        <w:rPr>
          <w:b/>
          <w:bCs/>
        </w:rPr>
        <w:t>Recruitment and Sampling</w:t>
      </w:r>
      <w:r>
        <w:t>: The universe of potential respondents includes adults (age 18 and up) who, within the 12</w:t>
      </w:r>
      <w:r w:rsidR="008F2CBA">
        <w:t>-24</w:t>
      </w:r>
      <w:r>
        <w:t xml:space="preserve"> months prior to the survey, attended any of the Do</w:t>
      </w:r>
      <w:r w:rsidR="00DF5790">
        <w:t>W</w:t>
      </w:r>
      <w:r>
        <w:t xml:space="preserve"> STEM WEPs that </w:t>
      </w:r>
      <w:r w:rsidR="00105A1B">
        <w:t xml:space="preserve">have chosen to </w:t>
      </w:r>
      <w:r>
        <w:t>participat</w:t>
      </w:r>
      <w:r w:rsidR="00105A1B">
        <w:t>e</w:t>
      </w:r>
      <w:r>
        <w:t xml:space="preserve"> in the portfolio analysis. </w:t>
      </w:r>
      <w:r w:rsidR="00AE3227">
        <w:t>WEP sponsors</w:t>
      </w:r>
      <w:r>
        <w:t xml:space="preserve"> will distribute a</w:t>
      </w:r>
      <w:r w:rsidR="00105A1B">
        <w:t xml:space="preserve"> study</w:t>
      </w:r>
      <w:r>
        <w:t xml:space="preserve"> invitation </w:t>
      </w:r>
      <w:r w:rsidR="00105A1B">
        <w:t>that contains</w:t>
      </w:r>
      <w:r>
        <w:t xml:space="preserve"> a link to the online survey and a description of the effort to their most recent cohort of participants</w:t>
      </w:r>
      <w:r w:rsidR="005D2572">
        <w:t xml:space="preserve">. </w:t>
      </w:r>
      <w:r>
        <w:t xml:space="preserve">Potential respondents will read the invitation and then decide whether they wish to provide feedback on the most recent program </w:t>
      </w:r>
      <w:r w:rsidR="00170FD1">
        <w:t xml:space="preserve">that </w:t>
      </w:r>
      <w:r>
        <w:t xml:space="preserve">they attended by clicking a static link that takes them to the survey.  The </w:t>
      </w:r>
      <w:r w:rsidR="00A65428">
        <w:t>table below</w:t>
      </w:r>
      <w:r>
        <w:t xml:space="preserve"> provides a summary of the projected recruitment efforts.  </w:t>
      </w:r>
      <w:r w:rsidR="00FF7C34">
        <w:t xml:space="preserve">The initial collection was conducted in </w:t>
      </w:r>
      <w:r w:rsidR="6EA20B31">
        <w:t>2023,</w:t>
      </w:r>
      <w:r w:rsidR="000C03A3">
        <w:t xml:space="preserve"> and the proposed update is t</w:t>
      </w:r>
      <w:r w:rsidR="00D336EF">
        <w:t>o</w:t>
      </w:r>
      <w:r w:rsidR="6ED11497">
        <w:t xml:space="preserve"> allow</w:t>
      </w:r>
      <w:r w:rsidR="00D336EF">
        <w:t xml:space="preserve"> use </w:t>
      </w:r>
      <w:r w:rsidR="08E9BBA8">
        <w:t xml:space="preserve">of </w:t>
      </w:r>
      <w:r w:rsidR="00D336EF">
        <w:t>the survey instrument</w:t>
      </w:r>
      <w:r w:rsidR="7DE10AA4">
        <w:t xml:space="preserve"> by WEP sponsors</w:t>
      </w:r>
      <w:r w:rsidR="00D336EF">
        <w:t xml:space="preserve"> on an annual basis.</w:t>
      </w:r>
      <w:r>
        <w:t xml:space="preserve"> </w:t>
      </w:r>
    </w:p>
    <w:p w:rsidR="001A12A1" w:rsidP="001A12A1" w14:paraId="644C706B" w14:textId="77777777"/>
    <w:tbl>
      <w:tblPr>
        <w:tblStyle w:val="TableGrid"/>
        <w:tblW w:w="0" w:type="auto"/>
        <w:tblLook w:val="04A0"/>
      </w:tblPr>
      <w:tblGrid>
        <w:gridCol w:w="1795"/>
        <w:gridCol w:w="1561"/>
        <w:gridCol w:w="2118"/>
        <w:gridCol w:w="1936"/>
        <w:gridCol w:w="1940"/>
      </w:tblGrid>
      <w:tr w14:paraId="15ADE378" w14:textId="77777777" w:rsidTr="6549DC7A">
        <w:tblPrEx>
          <w:tblW w:w="0" w:type="auto"/>
          <w:tblLook w:val="04A0"/>
        </w:tblPrEx>
        <w:tc>
          <w:tcPr>
            <w:tcW w:w="1795" w:type="dxa"/>
            <w:shd w:val="clear" w:color="auto" w:fill="D9E2F3" w:themeFill="accent5" w:themeFillTint="33"/>
          </w:tcPr>
          <w:p w:rsidR="001A12A1" w:rsidRPr="00A925D8" w:rsidP="00A925D8" w14:paraId="6381AE22" w14:textId="77777777">
            <w:pPr>
              <w:rPr>
                <w:b/>
                <w:sz w:val="20"/>
                <w:szCs w:val="20"/>
              </w:rPr>
            </w:pPr>
            <w:r w:rsidRPr="00A925D8">
              <w:rPr>
                <w:b/>
                <w:sz w:val="20"/>
                <w:szCs w:val="20"/>
              </w:rPr>
              <w:t>Collection Round</w:t>
            </w:r>
          </w:p>
        </w:tc>
        <w:tc>
          <w:tcPr>
            <w:tcW w:w="1561" w:type="dxa"/>
            <w:shd w:val="clear" w:color="auto" w:fill="D9E2F3" w:themeFill="accent5" w:themeFillTint="33"/>
          </w:tcPr>
          <w:p w:rsidR="001A12A1" w:rsidRPr="00A925D8" w:rsidP="00A925D8" w14:paraId="01023276" w14:textId="77777777">
            <w:pPr>
              <w:rPr>
                <w:b/>
                <w:sz w:val="20"/>
                <w:szCs w:val="20"/>
              </w:rPr>
            </w:pPr>
            <w:r w:rsidRPr="00A925D8">
              <w:rPr>
                <w:b/>
                <w:sz w:val="20"/>
                <w:szCs w:val="20"/>
              </w:rPr>
              <w:t>Strata</w:t>
            </w:r>
          </w:p>
        </w:tc>
        <w:tc>
          <w:tcPr>
            <w:tcW w:w="2118" w:type="dxa"/>
            <w:shd w:val="clear" w:color="auto" w:fill="D9E2F3" w:themeFill="accent5" w:themeFillTint="33"/>
          </w:tcPr>
          <w:p w:rsidR="001A12A1" w:rsidRPr="00A925D8" w:rsidP="00A925D8" w14:paraId="4C567FC1" w14:textId="77777777">
            <w:pPr>
              <w:jc w:val="right"/>
              <w:rPr>
                <w:b/>
                <w:sz w:val="20"/>
                <w:szCs w:val="20"/>
              </w:rPr>
            </w:pPr>
            <w:r w:rsidRPr="00A925D8">
              <w:rPr>
                <w:b/>
                <w:sz w:val="20"/>
                <w:szCs w:val="20"/>
              </w:rPr>
              <w:t>Universe of Potential Respondents (estimated)</w:t>
            </w:r>
          </w:p>
        </w:tc>
        <w:tc>
          <w:tcPr>
            <w:tcW w:w="1936" w:type="dxa"/>
            <w:shd w:val="clear" w:color="auto" w:fill="D9E2F3" w:themeFill="accent5" w:themeFillTint="33"/>
          </w:tcPr>
          <w:p w:rsidR="001A12A1" w:rsidRPr="00A925D8" w:rsidP="00A925D8" w14:paraId="2D6FF35F" w14:textId="77777777">
            <w:pPr>
              <w:jc w:val="right"/>
              <w:rPr>
                <w:b/>
                <w:sz w:val="20"/>
                <w:szCs w:val="20"/>
              </w:rPr>
            </w:pPr>
            <w:r w:rsidRPr="00A925D8">
              <w:rPr>
                <w:b/>
                <w:sz w:val="20"/>
                <w:szCs w:val="20"/>
              </w:rPr>
              <w:t>Enrolled Respondents (estimated)</w:t>
            </w:r>
          </w:p>
        </w:tc>
        <w:tc>
          <w:tcPr>
            <w:tcW w:w="1940" w:type="dxa"/>
            <w:shd w:val="clear" w:color="auto" w:fill="D9E2F3" w:themeFill="accent5" w:themeFillTint="33"/>
          </w:tcPr>
          <w:p w:rsidR="001A12A1" w:rsidRPr="00A925D8" w:rsidP="00A925D8" w14:paraId="3AD843CD" w14:textId="77777777">
            <w:pPr>
              <w:jc w:val="right"/>
              <w:rPr>
                <w:b/>
                <w:sz w:val="20"/>
                <w:szCs w:val="20"/>
              </w:rPr>
            </w:pPr>
            <w:r w:rsidRPr="00A925D8">
              <w:rPr>
                <w:b/>
                <w:sz w:val="20"/>
                <w:szCs w:val="20"/>
              </w:rPr>
              <w:t>Response Rate (estimated)</w:t>
            </w:r>
          </w:p>
        </w:tc>
      </w:tr>
      <w:tr w14:paraId="0D9D4504" w14:textId="77777777" w:rsidTr="6549DC7A">
        <w:tblPrEx>
          <w:tblW w:w="0" w:type="auto"/>
          <w:tblLook w:val="04A0"/>
        </w:tblPrEx>
        <w:tc>
          <w:tcPr>
            <w:tcW w:w="1795" w:type="dxa"/>
          </w:tcPr>
          <w:p w:rsidR="00EC635F" w:rsidP="6549DC7A" w14:paraId="4AFC3DD2" w14:textId="0075E1D3">
            <w:r>
              <w:t>Annually for a 5-year period</w:t>
            </w:r>
          </w:p>
        </w:tc>
        <w:tc>
          <w:tcPr>
            <w:tcW w:w="1561" w:type="dxa"/>
          </w:tcPr>
          <w:p w:rsidR="001A12A1" w:rsidP="00A925D8" w14:paraId="49DC8937" w14:textId="77777777">
            <w:r>
              <w:t>None</w:t>
            </w:r>
          </w:p>
        </w:tc>
        <w:tc>
          <w:tcPr>
            <w:tcW w:w="2118" w:type="dxa"/>
          </w:tcPr>
          <w:p w:rsidR="001A12A1" w:rsidP="00A925D8" w14:paraId="2C88DA59" w14:textId="17878493">
            <w:pPr>
              <w:jc w:val="right"/>
            </w:pPr>
            <w:r>
              <w:t>1</w:t>
            </w:r>
            <w:r w:rsidR="005D2572">
              <w:t xml:space="preserve">500 </w:t>
            </w:r>
            <w:r w:rsidR="00711B6C">
              <w:t xml:space="preserve">per </w:t>
            </w:r>
            <w:r w:rsidR="005E3541">
              <w:t>year</w:t>
            </w:r>
          </w:p>
        </w:tc>
        <w:tc>
          <w:tcPr>
            <w:tcW w:w="1936" w:type="dxa"/>
          </w:tcPr>
          <w:p w:rsidR="001A12A1" w:rsidP="00A925D8" w14:paraId="192D5A3B" w14:textId="5326A956">
            <w:pPr>
              <w:jc w:val="right"/>
            </w:pPr>
            <w:r>
              <w:t>500</w:t>
            </w:r>
          </w:p>
        </w:tc>
        <w:tc>
          <w:tcPr>
            <w:tcW w:w="1940" w:type="dxa"/>
          </w:tcPr>
          <w:p w:rsidR="001A12A1" w:rsidP="00A925D8" w14:paraId="7BEB515D" w14:textId="110D855F">
            <w:pPr>
              <w:jc w:val="right"/>
            </w:pPr>
            <w:r>
              <w:t>33.3</w:t>
            </w:r>
            <w:r>
              <w:t>%</w:t>
            </w:r>
          </w:p>
        </w:tc>
      </w:tr>
    </w:tbl>
    <w:p w:rsidR="00FB7AE7" w:rsidRPr="001A12A1" w:rsidP="000A65B3" w14:paraId="5A4EDD8C" w14:textId="77777777">
      <w:pPr>
        <w:pStyle w:val="NormalWeb"/>
        <w:spacing w:line="288" w:lineRule="atLeast"/>
      </w:pPr>
    </w:p>
    <w:p w:rsidR="005E0A0F" w:rsidRPr="00A925D8" w:rsidP="005D789B" w14:paraId="1E961E60" w14:textId="19F5831B">
      <w:pPr>
        <w:pStyle w:val="NormalWeb"/>
        <w:numPr>
          <w:ilvl w:val="0"/>
          <w:numId w:val="13"/>
        </w:numPr>
        <w:spacing w:line="288" w:lineRule="atLeast"/>
        <w:rPr>
          <w:b/>
        </w:rPr>
      </w:pPr>
      <w:r w:rsidRPr="008D0361">
        <w:rPr>
          <w:b/>
          <w:u w:val="single"/>
        </w:rPr>
        <w:t>Procedures</w:t>
      </w:r>
      <w:r w:rsidRPr="00A925D8">
        <w:rPr>
          <w:b/>
          <w:u w:val="single"/>
        </w:rPr>
        <w:t xml:space="preserve"> for the Collection of Information</w:t>
      </w:r>
    </w:p>
    <w:p w:rsidR="00BC0495" w:rsidRPr="00000C16" w:rsidP="00A925D8" w14:paraId="2FB8F34D" w14:textId="4190C218">
      <w:pPr>
        <w:pStyle w:val="NormalWeb"/>
        <w:spacing w:line="288" w:lineRule="atLeast"/>
      </w:pPr>
      <w:r>
        <w:t>No</w:t>
      </w:r>
      <w:r>
        <w:t xml:space="preserve"> statistical methodologies or estimation procedures </w:t>
      </w:r>
      <w:r>
        <w:t xml:space="preserve">are being </w:t>
      </w:r>
      <w:r>
        <w:t xml:space="preserve">employed to stratify or otherwise structure the sample selection.  Programs that voluntarily opt into the study </w:t>
      </w:r>
      <w:r w:rsidR="00C971C9">
        <w:t xml:space="preserve">each year </w:t>
      </w:r>
      <w:r>
        <w:t xml:space="preserve">are advised to invite all people who participated in their programs within the </w:t>
      </w:r>
      <w:r w:rsidR="00170FD1">
        <w:t>past</w:t>
      </w:r>
      <w:r>
        <w:t xml:space="preserve"> 12</w:t>
      </w:r>
      <w:r w:rsidR="00B478D5">
        <w:t>-24</w:t>
      </w:r>
      <w:r>
        <w:t xml:space="preserve"> months to take the survey.  Potential respondents then decide whether they wish to voluntarily opt into taking the survey. </w:t>
      </w:r>
    </w:p>
    <w:p w:rsidR="00FB7AE7" w:rsidRPr="00A925D8" w:rsidP="00A925D8" w14:paraId="655AAB69" w14:textId="183C7DAE">
      <w:pPr>
        <w:pStyle w:val="NormalWeb"/>
        <w:spacing w:line="288" w:lineRule="atLeast"/>
      </w:pPr>
      <w:r>
        <w:t>This was initially prop</w:t>
      </w:r>
      <w:r w:rsidR="00E1668A">
        <w:t>osed as a one-time collection event</w:t>
      </w:r>
      <w:r w:rsidR="004454C7">
        <w:t xml:space="preserve">, but </w:t>
      </w:r>
      <w:r w:rsidR="00213308">
        <w:t xml:space="preserve">the current </w:t>
      </w:r>
      <w:r w:rsidR="00433E52">
        <w:t>update requested</w:t>
      </w:r>
      <w:r w:rsidR="00213308">
        <w:t xml:space="preserve"> is for this to be a generic request</w:t>
      </w:r>
      <w:r w:rsidR="00BF793E">
        <w:t xml:space="preserve"> that can be used in subsequent years</w:t>
      </w:r>
      <w:r w:rsidR="00433E52">
        <w:t xml:space="preserve"> by STEM-oriented WEP </w:t>
      </w:r>
      <w:r w:rsidR="00433E52">
        <w:t>affiliated with DoW</w:t>
      </w:r>
      <w:r w:rsidR="00BF793E">
        <w:t>.</w:t>
      </w:r>
      <w:r w:rsidR="00020F9A">
        <w:t xml:space="preserve"> </w:t>
      </w:r>
      <w:r w:rsidR="00B866B0">
        <w:t>The survey participants will be a unique cohort each year</w:t>
      </w:r>
      <w:r w:rsidR="003560F0">
        <w:t xml:space="preserve"> so as not to increase the burden on individual participants.</w:t>
      </w:r>
    </w:p>
    <w:p w:rsidR="005E0A0F" w:rsidRPr="00A925D8" w:rsidP="005D789B" w14:paraId="626EBE33" w14:textId="1DAD761F">
      <w:pPr>
        <w:pStyle w:val="NormalWeb"/>
        <w:numPr>
          <w:ilvl w:val="0"/>
          <w:numId w:val="13"/>
        </w:numPr>
        <w:spacing w:line="288" w:lineRule="atLeast"/>
        <w:rPr>
          <w:b/>
          <w:bCs/>
        </w:rPr>
      </w:pPr>
      <w:r w:rsidRPr="008D0361">
        <w:rPr>
          <w:b/>
          <w:bCs/>
          <w:u w:val="single"/>
        </w:rPr>
        <w:t>Maximization</w:t>
      </w:r>
      <w:r w:rsidRPr="52BE37B1">
        <w:rPr>
          <w:b/>
          <w:bCs/>
          <w:u w:val="single"/>
        </w:rPr>
        <w:t xml:space="preserve"> of Response Rates, Non-response, and Reliability</w:t>
      </w:r>
    </w:p>
    <w:p w:rsidR="6025746C" w:rsidP="52BE37B1" w14:paraId="4CE0FC8C" w14:textId="3C82698A">
      <w:pPr>
        <w:spacing w:after="120"/>
      </w:pPr>
      <w:r>
        <w:t xml:space="preserve">This guidance outlines baseline recommendations and proven practices for evaluation partners deploying the ongoing collection tool. Evaluation partners are encouraged to use </w:t>
      </w:r>
      <w:r w:rsidR="0B87D2FD">
        <w:t xml:space="preserve">the </w:t>
      </w:r>
      <w:r>
        <w:t>foundational strategies</w:t>
      </w:r>
      <w:r w:rsidR="305CFB70">
        <w:t xml:space="preserve"> outlined below</w:t>
      </w:r>
      <w:r>
        <w:t>, originally established during the initial Institute for Defense Analyses (IDA) baseline evaluation, while maintaining the flexibility to tailor specific methodologies to their program environments.</w:t>
      </w:r>
    </w:p>
    <w:p w:rsidR="00827BC1" w:rsidP="52BE37B1" w14:paraId="511A2D76" w14:textId="2669A174">
      <w:pPr>
        <w:pStyle w:val="ListParagraph"/>
        <w:numPr>
          <w:ilvl w:val="0"/>
          <w:numId w:val="10"/>
        </w:numPr>
        <w:spacing w:after="120"/>
      </w:pPr>
      <w:r>
        <w:t xml:space="preserve">Participant recruitment should be routed through trusted program intermediaries </w:t>
      </w:r>
      <w:r w:rsidR="65544214">
        <w:t>(</w:t>
      </w:r>
      <w:r w:rsidR="69E1B83C">
        <w:t xml:space="preserve">e.g., </w:t>
      </w:r>
      <w:r w:rsidR="65544214">
        <w:t xml:space="preserve">WEP representatives, mentors, and </w:t>
      </w:r>
      <w:r>
        <w:t>site coordinators</w:t>
      </w:r>
      <w:r w:rsidR="7E1FDB42">
        <w:t xml:space="preserve">) </w:t>
      </w:r>
      <w:r>
        <w:t xml:space="preserve">rather than cold outreach. This approach </w:t>
      </w:r>
      <w:r w:rsidR="338E4A71">
        <w:t>has potential to enhance perceived credibility and provides additional anonymity between evaluators and respondents.</w:t>
      </w:r>
    </w:p>
    <w:p w:rsidR="00F569C1" w:rsidP="52BE37B1" w14:paraId="744EEED1" w14:textId="7BD6C42C">
      <w:pPr>
        <w:pStyle w:val="ListParagraph"/>
        <w:numPr>
          <w:ilvl w:val="0"/>
          <w:numId w:val="10"/>
        </w:numPr>
        <w:spacing w:after="120"/>
      </w:pPr>
      <w:r>
        <w:t xml:space="preserve">Recruitment messaging should use clear, nontechnical language that outlines the study purpose, data protection protocols, estimated time commitment, and voluntary participation. </w:t>
      </w:r>
      <w:r w:rsidR="5F063074">
        <w:t xml:space="preserve">It is recommended to also customize email communication templates to match program specific branding. </w:t>
      </w:r>
    </w:p>
    <w:p w:rsidR="00F569C1" w:rsidRPr="00A925D8" w:rsidP="52BE37B1" w14:paraId="23FC2CC7" w14:textId="12252B9F">
      <w:pPr>
        <w:pStyle w:val="ListParagraph"/>
        <w:numPr>
          <w:ilvl w:val="0"/>
          <w:numId w:val="10"/>
        </w:numPr>
      </w:pPr>
      <w:r>
        <w:t>The survey instrument was designed so that closed</w:t>
      </w:r>
      <w:r w:rsidR="708A6A28">
        <w:t xml:space="preserve"> </w:t>
      </w:r>
      <w:r>
        <w:t xml:space="preserve">ended or discrete choice items comprise </w:t>
      </w:r>
      <w:r>
        <w:t>most</w:t>
      </w:r>
      <w:r>
        <w:t xml:space="preserve"> questions (</w:t>
      </w:r>
      <w:r w:rsidR="75A49419">
        <w:t>i.e.,</w:t>
      </w:r>
      <w:r>
        <w:t xml:space="preserve"> 91% of surv</w:t>
      </w:r>
      <w:r w:rsidR="10F65C53">
        <w:t>e</w:t>
      </w:r>
      <w:r>
        <w:t>y items)</w:t>
      </w:r>
      <w:r w:rsidR="04412FD7">
        <w:t xml:space="preserve"> to reduce response fatigue. </w:t>
      </w:r>
      <w:r w:rsidR="4CD1AFAE">
        <w:t>I</w:t>
      </w:r>
      <w:r w:rsidR="04412FD7">
        <w:t xml:space="preserve">nteractive response elements </w:t>
      </w:r>
      <w:r w:rsidR="4A356F41">
        <w:t xml:space="preserve">like </w:t>
      </w:r>
      <w:r w:rsidR="04412FD7">
        <w:t>rating scales</w:t>
      </w:r>
      <w:r>
        <w:t xml:space="preserve"> </w:t>
      </w:r>
      <w:r w:rsidR="1069BBC6">
        <w:t xml:space="preserve">were integrated to ensure a completion time of 10-15 minutes. </w:t>
      </w:r>
      <w:r w:rsidR="447556DB">
        <w:t xml:space="preserve">Additionally, </w:t>
      </w:r>
      <w:r>
        <w:t>all</w:t>
      </w:r>
      <w:r w:rsidR="447556DB">
        <w:t xml:space="preserve"> the survey questions are option</w:t>
      </w:r>
      <w:r w:rsidR="08951F94">
        <w:t>al to</w:t>
      </w:r>
      <w:r w:rsidR="447556DB">
        <w:t xml:space="preserve"> provid</w:t>
      </w:r>
      <w:r w:rsidR="26B87AAC">
        <w:t>e</w:t>
      </w:r>
      <w:r w:rsidR="447556DB">
        <w:t xml:space="preserve"> respondents with agency over their time and participation leve</w:t>
      </w:r>
      <w:r w:rsidR="50417D91">
        <w:t>l</w:t>
      </w:r>
      <w:r w:rsidR="447556DB">
        <w:t>s.</w:t>
      </w:r>
    </w:p>
    <w:p w:rsidR="00F569C1" w:rsidP="52BE37B1" w14:paraId="4CB88A4C" w14:textId="77777777"/>
    <w:p w:rsidR="00992BEA" w:rsidP="52BE37B1" w14:paraId="020551EA" w14:textId="77777777">
      <w:r>
        <w:t xml:space="preserve">The survey uses volunteer sampling to capture a variety of feedback about the programs rather than testing narrow statistical hypotheses. </w:t>
      </w:r>
      <w:r w:rsidR="005354AA">
        <w:t xml:space="preserve">As such, </w:t>
      </w:r>
      <w:r w:rsidR="00A35F85">
        <w:t xml:space="preserve">evaluation partners should seek to learn from as many former </w:t>
      </w:r>
      <w:r>
        <w:t>participants</w:t>
      </w:r>
      <w:r w:rsidR="00A35F85">
        <w:t xml:space="preserve"> as possible to c</w:t>
      </w:r>
      <w:r w:rsidR="005354AA">
        <w:t>apture subjective sentiments or perceptions</w:t>
      </w:r>
      <w:r w:rsidR="00A35F85">
        <w:t xml:space="preserve"> of</w:t>
      </w:r>
      <w:r>
        <w:t xml:space="preserve"> work experience programs</w:t>
      </w:r>
      <w:r w:rsidR="00BA7AAD">
        <w:t xml:space="preserve">. </w:t>
      </w:r>
    </w:p>
    <w:p w:rsidR="00992BEA" w:rsidP="52BE37B1" w14:paraId="3A26BA0B" w14:textId="77777777"/>
    <w:p w:rsidR="00986729" w:rsidP="52BE37B1" w14:paraId="02B0B26C" w14:textId="2B9CD1BB">
      <w:r>
        <w:t xml:space="preserve">The </w:t>
      </w:r>
      <w:r w:rsidR="004F53EB">
        <w:t xml:space="preserve">survey </w:t>
      </w:r>
      <w:r>
        <w:t xml:space="preserve">instrument’s </w:t>
      </w:r>
      <w:r w:rsidR="001D50BC">
        <w:t xml:space="preserve">measurement reliability </w:t>
      </w:r>
      <w:r w:rsidR="008311F9">
        <w:t xml:space="preserve">was developed by </w:t>
      </w:r>
      <w:r w:rsidR="00DF60B3">
        <w:t xml:space="preserve">adapting questions from </w:t>
      </w:r>
      <w:r w:rsidR="00055348">
        <w:t>established</w:t>
      </w:r>
      <w:r w:rsidR="00DF60B3">
        <w:t xml:space="preserve"> validated survey instruments</w:t>
      </w:r>
      <w:r w:rsidR="00952F13">
        <w:t>. For example, the questions about “goal jobs” were adapted from a long-standing survey used by the Natio</w:t>
      </w:r>
      <w:r w:rsidR="004F53EB">
        <w:t>nal Science Foundation. In addition, during</w:t>
      </w:r>
      <w:r w:rsidR="00451C11">
        <w:t xml:space="preserve"> the piloting phase, IDA refined </w:t>
      </w:r>
      <w:r w:rsidR="007D35D9">
        <w:t xml:space="preserve">confusing questions to ensure ease of use. </w:t>
      </w:r>
    </w:p>
    <w:p w:rsidR="0033009D" w:rsidP="52BE37B1" w14:paraId="575DE267" w14:textId="77777777"/>
    <w:p w:rsidR="009419F4" w:rsidP="52BE37B1" w14:paraId="47C360C9" w14:textId="3314CD5C">
      <w:pPr>
        <w:spacing w:after="120" w:line="259" w:lineRule="auto"/>
      </w:pPr>
      <w:r>
        <w:t xml:space="preserve">If </w:t>
      </w:r>
      <w:r w:rsidR="7CB6F087">
        <w:t xml:space="preserve">DoW </w:t>
      </w:r>
      <w:r w:rsidR="000D216D">
        <w:t>Components and/or</w:t>
      </w:r>
      <w:r w:rsidR="61442900">
        <w:t xml:space="preserve"> other defense</w:t>
      </w:r>
      <w:r w:rsidR="000D216D">
        <w:t xml:space="preserve"> </w:t>
      </w:r>
      <w:r w:rsidR="3CFBA6E2">
        <w:t>a</w:t>
      </w:r>
      <w:r w:rsidR="000D216D">
        <w:t>gencies</w:t>
      </w:r>
      <w:r>
        <w:t xml:space="preserve"> would like to assess </w:t>
      </w:r>
      <w:r w:rsidR="000D216D">
        <w:t xml:space="preserve">participant perceptions of a collection </w:t>
      </w:r>
      <w:r w:rsidR="00406756">
        <w:t>of WEPs</w:t>
      </w:r>
      <w:r w:rsidR="000D216D">
        <w:t xml:space="preserve"> they sponsor, </w:t>
      </w:r>
      <w:r w:rsidR="00F16501">
        <w:t>i</w:t>
      </w:r>
      <w:r w:rsidR="00B50ECF">
        <w:t xml:space="preserve">t is recommended that program evaluators </w:t>
      </w:r>
      <w:r w:rsidR="001F62BD">
        <w:t xml:space="preserve">contextualize findings by tracking program-level participation and evaluating potential non-response bias. </w:t>
      </w:r>
      <w:r w:rsidR="00C96055">
        <w:t>However, s</w:t>
      </w:r>
      <w:r w:rsidR="00F16501">
        <w:t xml:space="preserve">ince the survey is drawing upon volunteers, it is difficult to ensure the generalizability of the sample to the broader population.  </w:t>
      </w:r>
      <w:r w:rsidR="00FB30F8">
        <w:t>In the prior collection, IDA took the following approach</w:t>
      </w:r>
      <w:r w:rsidR="001375F2">
        <w:t xml:space="preserve"> when </w:t>
      </w:r>
      <w:r w:rsidR="00EB17B4">
        <w:t xml:space="preserve">examining a </w:t>
      </w:r>
      <w:r w:rsidR="00C96055">
        <w:t>broad group</w:t>
      </w:r>
      <w:r w:rsidR="00EB17B4">
        <w:t xml:space="preserve"> of WEPs</w:t>
      </w:r>
      <w:r w:rsidR="00FB30F8">
        <w:t xml:space="preserve">: </w:t>
      </w:r>
    </w:p>
    <w:p w:rsidR="00AF7A62" w:rsidP="52BE37B1" w14:paraId="2D64D0EB" w14:textId="4B6D777D">
      <w:pPr>
        <w:pStyle w:val="ListParagraph"/>
        <w:numPr>
          <w:ilvl w:val="0"/>
          <w:numId w:val="5"/>
        </w:numPr>
        <w:spacing w:after="120"/>
        <w:ind w:left="720"/>
        <w:contextualSpacing w:val="0"/>
      </w:pPr>
      <w:r>
        <w:t xml:space="preserve">Calculate </w:t>
      </w:r>
      <w:r w:rsidRPr="52BE37B1">
        <w:rPr>
          <w:i/>
          <w:iCs/>
        </w:rPr>
        <w:t>Program Response Rate</w:t>
      </w:r>
      <w:r>
        <w:t xml:space="preserve">: </w:t>
      </w:r>
      <w:r w:rsidR="00351D22">
        <w:t>Divide the number of completed survey responses by the total number of individuals invited to respond</w:t>
      </w:r>
      <w:r w:rsidR="008B00FE">
        <w:t xml:space="preserve"> </w:t>
      </w:r>
      <w:r w:rsidR="00406756">
        <w:t>to</w:t>
      </w:r>
      <w:r w:rsidR="008B00FE">
        <w:t xml:space="preserve"> a specific program</w:t>
      </w:r>
      <w:r w:rsidR="00197CC6">
        <w:t xml:space="preserve">. </w:t>
      </w:r>
    </w:p>
    <w:p w:rsidR="00AF7A62" w:rsidP="52BE37B1" w14:paraId="0FAF8F4E" w14:textId="0729CD8B">
      <w:pPr>
        <w:pStyle w:val="ListParagraph"/>
        <w:numPr>
          <w:ilvl w:val="0"/>
          <w:numId w:val="5"/>
        </w:numPr>
        <w:spacing w:after="120"/>
        <w:ind w:left="720"/>
        <w:contextualSpacing w:val="0"/>
      </w:pPr>
      <w:r>
        <w:t xml:space="preserve">Calculate </w:t>
      </w:r>
      <w:r w:rsidRPr="52BE37B1" w:rsidR="00441BC1">
        <w:rPr>
          <w:i/>
          <w:iCs/>
        </w:rPr>
        <w:t>Average Response Rate</w:t>
      </w:r>
      <w:r>
        <w:t>: Calculate the mean response rate (i.e., Program Response Rate) across all p</w:t>
      </w:r>
      <w:r w:rsidR="008C2F76">
        <w:t>articipating programs.</w:t>
      </w:r>
    </w:p>
    <w:p w:rsidR="00441BC1" w:rsidP="52BE37B1" w14:paraId="5D196532" w14:textId="3083EA0C">
      <w:pPr>
        <w:pStyle w:val="ListParagraph"/>
        <w:numPr>
          <w:ilvl w:val="0"/>
          <w:numId w:val="5"/>
        </w:numPr>
        <w:spacing w:after="120"/>
        <w:ind w:left="720"/>
        <w:contextualSpacing w:val="0"/>
      </w:pPr>
      <w:r w:rsidRPr="52BE37B1">
        <w:rPr>
          <w:i/>
          <w:iCs/>
        </w:rPr>
        <w:t>Response Catego</w:t>
      </w:r>
      <w:r w:rsidRPr="52BE37B1" w:rsidR="008C2F76">
        <w:rPr>
          <w:i/>
          <w:iCs/>
        </w:rPr>
        <w:t>rization</w:t>
      </w:r>
      <w:r w:rsidR="008C2F76">
        <w:t>: Group programs using a standard deviation distribution to assess potential skew.</w:t>
      </w:r>
      <w:r>
        <w:t xml:space="preserve">  </w:t>
      </w:r>
    </w:p>
    <w:tbl>
      <w:tblPr>
        <w:tblStyle w:val="TableGrid"/>
        <w:tblW w:w="0" w:type="auto"/>
        <w:tblInd w:w="1440" w:type="dxa"/>
        <w:tblLook w:val="04A0"/>
      </w:tblPr>
      <w:tblGrid>
        <w:gridCol w:w="2335"/>
        <w:gridCol w:w="4855"/>
      </w:tblGrid>
      <w:tr w14:paraId="3A2A9498" w14:textId="77777777" w:rsidTr="52BE37B1">
        <w:tblPrEx>
          <w:tblW w:w="0" w:type="auto"/>
          <w:tblInd w:w="1440" w:type="dxa"/>
          <w:tblLook w:val="04A0"/>
        </w:tblPrEx>
        <w:tc>
          <w:tcPr>
            <w:tcW w:w="2335" w:type="dxa"/>
            <w:shd w:val="clear" w:color="auto" w:fill="D9E2F3" w:themeFill="accent5" w:themeFillTint="33"/>
          </w:tcPr>
          <w:p w:rsidR="00441BC1" w:rsidRPr="000F4E52" w:rsidP="52BE37B1" w14:paraId="324C2268" w14:textId="77777777">
            <w:pPr>
              <w:spacing w:after="120"/>
              <w:rPr>
                <w:b/>
                <w:bCs/>
                <w:sz w:val="20"/>
                <w:szCs w:val="20"/>
              </w:rPr>
            </w:pPr>
            <w:r w:rsidRPr="52BE37B1">
              <w:rPr>
                <w:b/>
                <w:bCs/>
                <w:sz w:val="20"/>
                <w:szCs w:val="20"/>
              </w:rPr>
              <w:t>Response Category</w:t>
            </w:r>
          </w:p>
        </w:tc>
        <w:tc>
          <w:tcPr>
            <w:tcW w:w="4855" w:type="dxa"/>
            <w:shd w:val="clear" w:color="auto" w:fill="D9E2F3" w:themeFill="accent5" w:themeFillTint="33"/>
          </w:tcPr>
          <w:p w:rsidR="00441BC1" w:rsidRPr="000F4E52" w:rsidP="52BE37B1" w14:paraId="2DD0B132" w14:textId="77777777">
            <w:pPr>
              <w:spacing w:after="120"/>
              <w:rPr>
                <w:b/>
                <w:bCs/>
                <w:sz w:val="20"/>
                <w:szCs w:val="20"/>
              </w:rPr>
            </w:pPr>
            <w:r w:rsidRPr="52BE37B1">
              <w:rPr>
                <w:b/>
                <w:bCs/>
                <w:sz w:val="20"/>
                <w:szCs w:val="20"/>
              </w:rPr>
              <w:t>Criteria</w:t>
            </w:r>
          </w:p>
        </w:tc>
      </w:tr>
      <w:tr w14:paraId="0375A038" w14:textId="77777777" w:rsidTr="52BE37B1">
        <w:tblPrEx>
          <w:tblW w:w="0" w:type="auto"/>
          <w:tblInd w:w="1440" w:type="dxa"/>
          <w:tblLook w:val="04A0"/>
        </w:tblPrEx>
        <w:tc>
          <w:tcPr>
            <w:tcW w:w="2335" w:type="dxa"/>
          </w:tcPr>
          <w:p w:rsidR="00441BC1" w:rsidP="52BE37B1" w14:paraId="0E93655C" w14:textId="77777777">
            <w:pPr>
              <w:spacing w:after="120"/>
            </w:pPr>
            <w:r>
              <w:t>Low</w:t>
            </w:r>
          </w:p>
        </w:tc>
        <w:tc>
          <w:tcPr>
            <w:tcW w:w="4855" w:type="dxa"/>
          </w:tcPr>
          <w:p w:rsidR="00441BC1" w:rsidP="52BE37B1" w14:paraId="47A4419B" w14:textId="77777777">
            <w:pPr>
              <w:spacing w:after="120"/>
              <w:rPr>
                <w:i/>
                <w:iCs/>
              </w:rPr>
            </w:pPr>
            <w:r w:rsidRPr="52BE37B1">
              <w:rPr>
                <w:i/>
                <w:iCs/>
              </w:rPr>
              <w:t>Program Response Rate</w:t>
            </w:r>
            <w:r>
              <w:t xml:space="preserve"> is more than 1 standard deviation lower than the </w:t>
            </w:r>
            <w:r w:rsidRPr="52BE37B1">
              <w:rPr>
                <w:i/>
                <w:iCs/>
              </w:rPr>
              <w:t>Average Response Rate</w:t>
            </w:r>
          </w:p>
        </w:tc>
      </w:tr>
      <w:tr w14:paraId="3AD29385" w14:textId="77777777" w:rsidTr="52BE37B1">
        <w:tblPrEx>
          <w:tblW w:w="0" w:type="auto"/>
          <w:tblInd w:w="1440" w:type="dxa"/>
          <w:tblLook w:val="04A0"/>
        </w:tblPrEx>
        <w:tc>
          <w:tcPr>
            <w:tcW w:w="2335" w:type="dxa"/>
          </w:tcPr>
          <w:p w:rsidR="00441BC1" w:rsidP="52BE37B1" w14:paraId="52902DB4" w14:textId="77777777">
            <w:pPr>
              <w:spacing w:after="120"/>
            </w:pPr>
            <w:r>
              <w:t>Medium</w:t>
            </w:r>
          </w:p>
        </w:tc>
        <w:tc>
          <w:tcPr>
            <w:tcW w:w="4855" w:type="dxa"/>
          </w:tcPr>
          <w:p w:rsidR="00441BC1" w:rsidP="52BE37B1" w14:paraId="0036366D" w14:textId="77777777">
            <w:pPr>
              <w:spacing w:after="120"/>
              <w:rPr>
                <w:i/>
                <w:iCs/>
              </w:rPr>
            </w:pPr>
            <w:r w:rsidRPr="52BE37B1">
              <w:rPr>
                <w:i/>
                <w:iCs/>
              </w:rPr>
              <w:t>Program Response Rate</w:t>
            </w:r>
            <w:r>
              <w:t xml:space="preserve"> is within +/- 1 standard deviation of the </w:t>
            </w:r>
            <w:r w:rsidRPr="52BE37B1">
              <w:rPr>
                <w:i/>
                <w:iCs/>
              </w:rPr>
              <w:t>Average Response Rate</w:t>
            </w:r>
          </w:p>
        </w:tc>
      </w:tr>
      <w:tr w14:paraId="4CD47938" w14:textId="77777777" w:rsidTr="52BE37B1">
        <w:tblPrEx>
          <w:tblW w:w="0" w:type="auto"/>
          <w:tblInd w:w="1440" w:type="dxa"/>
          <w:tblLook w:val="04A0"/>
        </w:tblPrEx>
        <w:tc>
          <w:tcPr>
            <w:tcW w:w="2335" w:type="dxa"/>
          </w:tcPr>
          <w:p w:rsidR="00441BC1" w:rsidP="52BE37B1" w14:paraId="3B721755" w14:textId="77777777">
            <w:pPr>
              <w:spacing w:after="120"/>
            </w:pPr>
            <w:r>
              <w:t>High</w:t>
            </w:r>
          </w:p>
        </w:tc>
        <w:tc>
          <w:tcPr>
            <w:tcW w:w="4855" w:type="dxa"/>
          </w:tcPr>
          <w:p w:rsidR="00441BC1" w:rsidP="52BE37B1" w14:paraId="22F5DAB8" w14:textId="77777777">
            <w:pPr>
              <w:spacing w:after="120"/>
              <w:rPr>
                <w:i/>
                <w:iCs/>
              </w:rPr>
            </w:pPr>
            <w:r w:rsidRPr="52BE37B1">
              <w:rPr>
                <w:i/>
                <w:iCs/>
              </w:rPr>
              <w:t>Program Response</w:t>
            </w:r>
            <w:r>
              <w:t xml:space="preserve"> </w:t>
            </w:r>
            <w:r w:rsidRPr="52BE37B1">
              <w:rPr>
                <w:i/>
                <w:iCs/>
              </w:rPr>
              <w:t>Rate</w:t>
            </w:r>
            <w:r>
              <w:t xml:space="preserve"> is more than 1 standard deviation higher than the </w:t>
            </w:r>
            <w:r w:rsidRPr="52BE37B1">
              <w:rPr>
                <w:i/>
                <w:iCs/>
              </w:rPr>
              <w:t>Average Response Rate</w:t>
            </w:r>
          </w:p>
        </w:tc>
      </w:tr>
    </w:tbl>
    <w:p w:rsidR="00441BC1" w:rsidP="52BE37B1" w14:paraId="0E3B31EA" w14:textId="77777777">
      <w:pPr>
        <w:spacing w:after="120"/>
      </w:pPr>
    </w:p>
    <w:p w:rsidR="00AF7A62" w:rsidP="52BE37B1" w14:paraId="0FF685F3" w14:textId="77777777">
      <w:pPr>
        <w:pStyle w:val="ListParagraph"/>
        <w:numPr>
          <w:ilvl w:val="0"/>
          <w:numId w:val="5"/>
        </w:numPr>
        <w:spacing w:after="120"/>
        <w:ind w:left="720"/>
        <w:contextualSpacing w:val="0"/>
      </w:pPr>
      <w:r>
        <w:t xml:space="preserve">The analysis </w:t>
      </w:r>
      <w:r w:rsidR="00180C6A">
        <w:t>primarily</w:t>
      </w:r>
      <w:r>
        <w:t xml:space="preserve"> focus</w:t>
      </w:r>
      <w:r w:rsidR="00180C6A">
        <w:t>es</w:t>
      </w:r>
      <w:r>
        <w:t xml:space="preserve"> on </w:t>
      </w:r>
      <w:r w:rsidR="00180C6A">
        <w:t>patterns across groups of programs, rather than comparing individual programs to each other</w:t>
      </w:r>
      <w:r w:rsidR="004D51E2">
        <w:t xml:space="preserve"> in a more granular way</w:t>
      </w:r>
      <w:r w:rsidR="00180C6A">
        <w:t xml:space="preserve">.  </w:t>
      </w:r>
      <w:r w:rsidR="007066AD">
        <w:t xml:space="preserve">After </w:t>
      </w:r>
      <w:r w:rsidR="00200D2B">
        <w:t>generating</w:t>
      </w:r>
      <w:r w:rsidR="007066AD">
        <w:t xml:space="preserve"> preliminary findings</w:t>
      </w:r>
      <w:r w:rsidR="00441BC1">
        <w:t xml:space="preserve">, the </w:t>
      </w:r>
      <w:r w:rsidRPr="52BE37B1" w:rsidR="00441BC1">
        <w:rPr>
          <w:i/>
          <w:iCs/>
        </w:rPr>
        <w:t>Response Category</w:t>
      </w:r>
      <w:r w:rsidR="00441BC1">
        <w:t xml:space="preserve"> will be used as a sensitivity test to </w:t>
      </w:r>
      <w:r w:rsidR="007066AD">
        <w:t>check whether findings are disproportionally skewed by programs that have particularly low response rates so appropriate measures can be taken.</w:t>
      </w:r>
    </w:p>
    <w:p w:rsidR="005E0A0F" w:rsidRPr="000F4E52" w:rsidP="005D789B" w14:paraId="7F7D67A2" w14:textId="6CA58396">
      <w:pPr>
        <w:pStyle w:val="NormalWeb"/>
        <w:numPr>
          <w:ilvl w:val="0"/>
          <w:numId w:val="15"/>
        </w:numPr>
        <w:spacing w:line="288" w:lineRule="atLeast"/>
        <w:rPr>
          <w:b/>
        </w:rPr>
      </w:pPr>
      <w:r w:rsidRPr="000F4E52">
        <w:rPr>
          <w:b/>
          <w:u w:val="single"/>
        </w:rPr>
        <w:t>Tests of Procedures</w:t>
      </w:r>
    </w:p>
    <w:p w:rsidR="00E56990" w:rsidP="52BE37B1" w14:paraId="2B2BE29F" w14:textId="3C150E8C">
      <w:pPr>
        <w:pStyle w:val="NormalWeb"/>
        <w:spacing w:line="288" w:lineRule="atLeast"/>
      </w:pPr>
      <w:r>
        <w:t>The survey instrument was developed and validated through a multistage process</w:t>
      </w:r>
      <w:r w:rsidR="001C48FE">
        <w:t xml:space="preserve"> including a pilot test and full-scale survey instrument, both conducted by IDA,</w:t>
      </w:r>
      <w:r>
        <w:t xml:space="preserve"> before its adoption as an ongoing collection tool. This process ensures that evaluation partners are using a tested and reliable instrument.</w:t>
      </w:r>
    </w:p>
    <w:p w:rsidR="00BC1722" w:rsidRPr="00BC1722" w:rsidP="52BE37B1" w14:paraId="1DE92376" w14:textId="53A6AA18">
      <w:pPr>
        <w:pStyle w:val="NormalWeb"/>
        <w:numPr>
          <w:ilvl w:val="0"/>
          <w:numId w:val="11"/>
        </w:numPr>
        <w:spacing w:line="288" w:lineRule="atLeast"/>
      </w:pPr>
      <w:r>
        <w:t>A baseline pilot test was conducted with a representative cohort of five IDA personnel who mirrored the characteristics of the target respondent population (i.e., participants in Do</w:t>
      </w:r>
      <w:r w:rsidR="6E62DE86">
        <w:t>W</w:t>
      </w:r>
      <w:r>
        <w:t>-affiliated STEM work experience programs). The primary objectives of this initial test were to:</w:t>
      </w:r>
    </w:p>
    <w:p w:rsidR="00BC1722" w:rsidRPr="00BC1722" w:rsidP="52BE37B1" w14:paraId="1402325F" w14:textId="77777777">
      <w:pPr>
        <w:pStyle w:val="NormalWeb"/>
        <w:numPr>
          <w:ilvl w:val="1"/>
          <w:numId w:val="11"/>
        </w:numPr>
        <w:spacing w:line="288" w:lineRule="atLeast"/>
      </w:pPr>
      <w:r>
        <w:t>Validate Completion Time: Confirm that the survey could be completed within the target 15-minute timeframe to minimize respondent burden.</w:t>
      </w:r>
    </w:p>
    <w:p w:rsidR="00BC1722" w:rsidRPr="00BC1722" w:rsidP="52BE37B1" w14:paraId="33532B72" w14:textId="77777777">
      <w:pPr>
        <w:pStyle w:val="NormalWeb"/>
        <w:numPr>
          <w:ilvl w:val="1"/>
          <w:numId w:val="11"/>
        </w:numPr>
        <w:spacing w:line="288" w:lineRule="atLeast"/>
      </w:pPr>
      <w:r>
        <w:t>Refine Question Clarity: Solicit direct feedback to identify and revise any confusing or ambiguous wording, thereby improving the overall user experience.</w:t>
      </w:r>
    </w:p>
    <w:p w:rsidR="00BC1722" w:rsidRPr="00BC1722" w:rsidP="52BE37B1" w14:paraId="18B69274" w14:textId="542196C3">
      <w:pPr>
        <w:pStyle w:val="NormalWeb"/>
        <w:numPr>
          <w:ilvl w:val="0"/>
          <w:numId w:val="11"/>
        </w:numPr>
        <w:spacing w:line="288" w:lineRule="atLeast"/>
      </w:pPr>
      <w:r>
        <w:t xml:space="preserve">Following </w:t>
      </w:r>
      <w:r>
        <w:t xml:space="preserve">the pilot, the </w:t>
      </w:r>
      <w:r>
        <w:t xml:space="preserve">survey </w:t>
      </w:r>
      <w:r>
        <w:t>instrument was successfully deployed at scale as the primary data collection tool for the </w:t>
      </w:r>
      <w:r w:rsidRPr="52BE37B1">
        <w:rPr>
          <w:i/>
          <w:iCs/>
        </w:rPr>
        <w:t>Portfolio Review of DoD's Work Experience Programs: Analysis of Program and Participants' Perspectives</w:t>
      </w:r>
      <w:r>
        <w:t> (IDA Product 3002369). This large-scale deployment, which gathered responses from 275 participants across at least 19 different programs, served as a comprehensive, real-world validation of the survey's procedures and effectiveness.</w:t>
      </w:r>
    </w:p>
    <w:p w:rsidR="00BC1722" w:rsidP="000F4E52" w14:paraId="4DA2144D" w14:textId="77777777">
      <w:pPr>
        <w:pStyle w:val="NormalWeb"/>
        <w:spacing w:line="288" w:lineRule="atLeast"/>
      </w:pPr>
    </w:p>
    <w:p w:rsidR="005E0A0F" w:rsidRPr="000F4E52" w:rsidP="005D789B" w14:paraId="6DEB49FA" w14:textId="5B71476E">
      <w:pPr>
        <w:pStyle w:val="NormalWeb"/>
        <w:numPr>
          <w:ilvl w:val="0"/>
          <w:numId w:val="15"/>
        </w:numPr>
        <w:spacing w:line="288" w:lineRule="atLeast"/>
        <w:rPr>
          <w:b/>
        </w:rPr>
      </w:pPr>
      <w:r w:rsidRPr="008D0361">
        <w:rPr>
          <w:b/>
          <w:u w:val="single"/>
        </w:rPr>
        <w:t>Statistical</w:t>
      </w:r>
      <w:r w:rsidRPr="008D0361">
        <w:rPr>
          <w:b/>
          <w:u w:val="single"/>
        </w:rPr>
        <w:t xml:space="preserve"> Consultation</w:t>
      </w:r>
      <w:r w:rsidRPr="000F4E52">
        <w:rPr>
          <w:b/>
          <w:u w:val="single"/>
        </w:rPr>
        <w:t xml:space="preserve"> and Information Analysis</w:t>
      </w:r>
    </w:p>
    <w:p w:rsidR="00F434B6" w:rsidRPr="00550A7A" w:rsidP="52BE37B1" w14:paraId="7681DF19" w14:textId="1E694EA1">
      <w:pPr>
        <w:pStyle w:val="NormalWeb"/>
        <w:spacing w:line="288" w:lineRule="atLeast"/>
      </w:pPr>
      <w:r>
        <w:t>The following</w:t>
      </w:r>
      <w:r w:rsidR="005E0A0F">
        <w:t xml:space="preserve"> </w:t>
      </w:r>
      <w:r w:rsidR="006A5ACE">
        <w:t xml:space="preserve">IDA representatives </w:t>
      </w:r>
      <w:r>
        <w:t xml:space="preserve">were </w:t>
      </w:r>
      <w:r w:rsidR="005E0A0F">
        <w:t xml:space="preserve">consulted on </w:t>
      </w:r>
      <w:r>
        <w:t xml:space="preserve">the </w:t>
      </w:r>
      <w:r w:rsidR="005E0A0F">
        <w:t>statistical aspects of the design</w:t>
      </w:r>
      <w:r w:rsidR="009640D9">
        <w:t xml:space="preserve"> as well as the collection and analysis of information during the pilot phase and launch of </w:t>
      </w:r>
      <w:r w:rsidR="006A5ACE">
        <w:t xml:space="preserve">the </w:t>
      </w:r>
      <w:r w:rsidR="009640D9">
        <w:t>survey instrument:</w:t>
      </w:r>
    </w:p>
    <w:p w:rsidR="005F10EC" w:rsidRPr="001A12A1" w:rsidP="52BE37B1" w14:paraId="394511BC" w14:textId="38A0F5DC">
      <w:pPr>
        <w:pStyle w:val="NormalWeb"/>
        <w:numPr>
          <w:ilvl w:val="0"/>
          <w:numId w:val="6"/>
        </w:numPr>
        <w:spacing w:before="0" w:beforeAutospacing="0" w:after="0" w:afterAutospacing="0"/>
        <w:ind w:left="720"/>
      </w:pPr>
      <w:r>
        <w:t>Dr. James Belanich</w:t>
      </w:r>
      <w:r w:rsidR="002734B1">
        <w:t xml:space="preserve">, </w:t>
      </w:r>
      <w:r>
        <w:t>Institute for Defense Analyses</w:t>
      </w:r>
      <w:r w:rsidR="002734B1">
        <w:t xml:space="preserve">, </w:t>
      </w:r>
      <w:r>
        <w:t>703-845-6606</w:t>
      </w:r>
      <w:r w:rsidR="002734B1">
        <w:t>.</w:t>
      </w:r>
    </w:p>
    <w:p w:rsidR="005F10EC" w:rsidRPr="001A12A1" w:rsidP="52BE37B1" w14:paraId="44D8D203" w14:textId="4B03CA24">
      <w:pPr>
        <w:pStyle w:val="NormalWeb"/>
        <w:numPr>
          <w:ilvl w:val="0"/>
          <w:numId w:val="6"/>
        </w:numPr>
        <w:spacing w:before="0" w:beforeAutospacing="0" w:after="0" w:afterAutospacing="0"/>
        <w:ind w:left="720"/>
      </w:pPr>
      <w:r>
        <w:t>Dr. Alexis Pang</w:t>
      </w:r>
      <w:r w:rsidR="002734B1">
        <w:t xml:space="preserve">, </w:t>
      </w:r>
      <w:r>
        <w:t>Institute for Defense Analyses</w:t>
      </w:r>
      <w:r w:rsidR="002734B1">
        <w:t xml:space="preserve">, </w:t>
      </w:r>
      <w:r>
        <w:t>(703) 845-2054</w:t>
      </w:r>
      <w:r w:rsidR="002734B1">
        <w:t>.</w:t>
      </w:r>
    </w:p>
    <w:sectPr w:rsidSect="00F1447C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77A74" w14:paraId="423945DB" w14:textId="4B5F478D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15C2F">
      <w:rPr>
        <w:noProof/>
      </w:rPr>
      <w:t>1</w:t>
    </w:r>
    <w:r>
      <w:fldChar w:fldCharType="end"/>
    </w:r>
  </w:p>
  <w:p w:rsidR="00977A74" w14:paraId="2A39A7F2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453234D"/>
    <w:multiLevelType w:val="hybridMultilevel"/>
    <w:tmpl w:val="4B64A29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360" w:hanging="360"/>
      </w:pPr>
    </w:lvl>
    <w:lvl w:ilvl="2" w:tentative="1">
      <w:start w:val="1"/>
      <w:numFmt w:val="lowerRoman"/>
      <w:lvlText w:val="%3."/>
      <w:lvlJc w:val="right"/>
      <w:pPr>
        <w:ind w:left="1080" w:hanging="180"/>
      </w:pPr>
    </w:lvl>
    <w:lvl w:ilvl="3" w:tentative="1">
      <w:start w:val="1"/>
      <w:numFmt w:val="decimal"/>
      <w:lvlText w:val="%4."/>
      <w:lvlJc w:val="left"/>
      <w:pPr>
        <w:ind w:left="1800" w:hanging="360"/>
      </w:pPr>
    </w:lvl>
    <w:lvl w:ilvl="4" w:tentative="1">
      <w:start w:val="1"/>
      <w:numFmt w:val="lowerLetter"/>
      <w:lvlText w:val="%5."/>
      <w:lvlJc w:val="left"/>
      <w:pPr>
        <w:ind w:left="2520" w:hanging="360"/>
      </w:pPr>
    </w:lvl>
    <w:lvl w:ilvl="5" w:tentative="1">
      <w:start w:val="1"/>
      <w:numFmt w:val="lowerRoman"/>
      <w:lvlText w:val="%6."/>
      <w:lvlJc w:val="right"/>
      <w:pPr>
        <w:ind w:left="3240" w:hanging="180"/>
      </w:pPr>
    </w:lvl>
    <w:lvl w:ilvl="6" w:tentative="1">
      <w:start w:val="1"/>
      <w:numFmt w:val="decimal"/>
      <w:lvlText w:val="%7."/>
      <w:lvlJc w:val="left"/>
      <w:pPr>
        <w:ind w:left="3960" w:hanging="360"/>
      </w:pPr>
    </w:lvl>
    <w:lvl w:ilvl="7" w:tentative="1">
      <w:start w:val="1"/>
      <w:numFmt w:val="lowerLetter"/>
      <w:lvlText w:val="%8."/>
      <w:lvlJc w:val="left"/>
      <w:pPr>
        <w:ind w:left="4680" w:hanging="360"/>
      </w:pPr>
    </w:lvl>
    <w:lvl w:ilvl="8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07EA55FB"/>
    <w:multiLevelType w:val="hybridMultilevel"/>
    <w:tmpl w:val="D35050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882977"/>
    <w:multiLevelType w:val="hybridMultilevel"/>
    <w:tmpl w:val="B7781174"/>
    <w:lvl w:ilvl="0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B9D7E25"/>
    <w:multiLevelType w:val="multilevel"/>
    <w:tmpl w:val="6DFE3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A4057FF"/>
    <w:multiLevelType w:val="hybridMultilevel"/>
    <w:tmpl w:val="56569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D11655"/>
    <w:multiLevelType w:val="hybridMultilevel"/>
    <w:tmpl w:val="D2907E8C"/>
    <w:lvl w:ilvl="0">
      <w:start w:val="1"/>
      <w:numFmt w:val="decimal"/>
      <w:lvlText w:val="%1."/>
      <w:lvlJc w:val="left"/>
      <w:pPr>
        <w:ind w:left="1620" w:hanging="360"/>
      </w:pPr>
    </w:lvl>
    <w:lvl w:ilvl="1" w:tentative="1">
      <w:start w:val="1"/>
      <w:numFmt w:val="lowerLetter"/>
      <w:lvlText w:val="%2."/>
      <w:lvlJc w:val="left"/>
      <w:pPr>
        <w:ind w:left="2340" w:hanging="360"/>
      </w:pPr>
    </w:lvl>
    <w:lvl w:ilvl="2" w:tentative="1">
      <w:start w:val="1"/>
      <w:numFmt w:val="lowerRoman"/>
      <w:lvlText w:val="%3."/>
      <w:lvlJc w:val="right"/>
      <w:pPr>
        <w:ind w:left="3060" w:hanging="180"/>
      </w:pPr>
    </w:lvl>
    <w:lvl w:ilvl="3" w:tentative="1">
      <w:start w:val="1"/>
      <w:numFmt w:val="decimal"/>
      <w:lvlText w:val="%4."/>
      <w:lvlJc w:val="left"/>
      <w:pPr>
        <w:ind w:left="3780" w:hanging="360"/>
      </w:pPr>
    </w:lvl>
    <w:lvl w:ilvl="4" w:tentative="1">
      <w:start w:val="1"/>
      <w:numFmt w:val="lowerLetter"/>
      <w:lvlText w:val="%5."/>
      <w:lvlJc w:val="left"/>
      <w:pPr>
        <w:ind w:left="4500" w:hanging="360"/>
      </w:pPr>
    </w:lvl>
    <w:lvl w:ilvl="5" w:tentative="1">
      <w:start w:val="1"/>
      <w:numFmt w:val="lowerRoman"/>
      <w:lvlText w:val="%6."/>
      <w:lvlJc w:val="right"/>
      <w:pPr>
        <w:ind w:left="5220" w:hanging="180"/>
      </w:pPr>
    </w:lvl>
    <w:lvl w:ilvl="6" w:tentative="1">
      <w:start w:val="1"/>
      <w:numFmt w:val="decimal"/>
      <w:lvlText w:val="%7."/>
      <w:lvlJc w:val="left"/>
      <w:pPr>
        <w:ind w:left="5940" w:hanging="360"/>
      </w:pPr>
    </w:lvl>
    <w:lvl w:ilvl="7" w:tentative="1">
      <w:start w:val="1"/>
      <w:numFmt w:val="lowerLetter"/>
      <w:lvlText w:val="%8."/>
      <w:lvlJc w:val="left"/>
      <w:pPr>
        <w:ind w:left="6660" w:hanging="360"/>
      </w:pPr>
    </w:lvl>
    <w:lvl w:ilvl="8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48C32BCF"/>
    <w:multiLevelType w:val="hybridMultilevel"/>
    <w:tmpl w:val="FB1E32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CBC0F2F"/>
    <w:multiLevelType w:val="hybridMultilevel"/>
    <w:tmpl w:val="593255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F41B03"/>
    <w:multiLevelType w:val="hybridMultilevel"/>
    <w:tmpl w:val="CFC439AE"/>
    <w:lvl w:ilvl="0">
      <w:start w:val="1"/>
      <w:numFmt w:val="bullet"/>
      <w:lvlText w:val=""/>
      <w:lvlJc w:val="left"/>
      <w:pPr>
        <w:ind w:left="19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7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4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1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8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5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3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0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747" w:hanging="360"/>
      </w:pPr>
      <w:rPr>
        <w:rFonts w:ascii="Wingdings" w:hAnsi="Wingdings" w:hint="default"/>
      </w:rPr>
    </w:lvl>
  </w:abstractNum>
  <w:abstractNum w:abstractNumId="9">
    <w:nsid w:val="5C9A3D38"/>
    <w:multiLevelType w:val="hybridMultilevel"/>
    <w:tmpl w:val="251ADF1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DAF411A"/>
    <w:multiLevelType w:val="hybridMultilevel"/>
    <w:tmpl w:val="9E1E5F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0420151"/>
    <w:multiLevelType w:val="hybridMultilevel"/>
    <w:tmpl w:val="7B1417A6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4BE2C7D"/>
    <w:multiLevelType w:val="hybridMultilevel"/>
    <w:tmpl w:val="EA321DA4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76531C62"/>
    <w:multiLevelType w:val="hybridMultilevel"/>
    <w:tmpl w:val="680C0DEA"/>
    <w:lvl w:ilvl="0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340" w:hanging="360"/>
      </w:pPr>
    </w:lvl>
    <w:lvl w:ilvl="2" w:tentative="1">
      <w:start w:val="1"/>
      <w:numFmt w:val="lowerRoman"/>
      <w:lvlText w:val="%3."/>
      <w:lvlJc w:val="right"/>
      <w:pPr>
        <w:ind w:left="3060" w:hanging="180"/>
      </w:pPr>
    </w:lvl>
    <w:lvl w:ilvl="3" w:tentative="1">
      <w:start w:val="1"/>
      <w:numFmt w:val="decimal"/>
      <w:lvlText w:val="%4."/>
      <w:lvlJc w:val="left"/>
      <w:pPr>
        <w:ind w:left="3780" w:hanging="360"/>
      </w:pPr>
    </w:lvl>
    <w:lvl w:ilvl="4" w:tentative="1">
      <w:start w:val="1"/>
      <w:numFmt w:val="lowerLetter"/>
      <w:lvlText w:val="%5."/>
      <w:lvlJc w:val="left"/>
      <w:pPr>
        <w:ind w:left="4500" w:hanging="360"/>
      </w:pPr>
    </w:lvl>
    <w:lvl w:ilvl="5" w:tentative="1">
      <w:start w:val="1"/>
      <w:numFmt w:val="lowerRoman"/>
      <w:lvlText w:val="%6."/>
      <w:lvlJc w:val="right"/>
      <w:pPr>
        <w:ind w:left="5220" w:hanging="180"/>
      </w:pPr>
    </w:lvl>
    <w:lvl w:ilvl="6" w:tentative="1">
      <w:start w:val="1"/>
      <w:numFmt w:val="decimal"/>
      <w:lvlText w:val="%7."/>
      <w:lvlJc w:val="left"/>
      <w:pPr>
        <w:ind w:left="5940" w:hanging="360"/>
      </w:pPr>
    </w:lvl>
    <w:lvl w:ilvl="7" w:tentative="1">
      <w:start w:val="1"/>
      <w:numFmt w:val="lowerLetter"/>
      <w:lvlText w:val="%8."/>
      <w:lvlJc w:val="left"/>
      <w:pPr>
        <w:ind w:left="6660" w:hanging="360"/>
      </w:pPr>
    </w:lvl>
    <w:lvl w:ilvl="8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4">
    <w:nsid w:val="79690465"/>
    <w:multiLevelType w:val="hybridMultilevel"/>
    <w:tmpl w:val="A9EAE65E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42714B"/>
    <w:multiLevelType w:val="hybridMultilevel"/>
    <w:tmpl w:val="97ECAA38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71761288">
    <w:abstractNumId w:val="13"/>
  </w:num>
  <w:num w:numId="2" w16cid:durableId="677732856">
    <w:abstractNumId w:val="9"/>
  </w:num>
  <w:num w:numId="3" w16cid:durableId="841235872">
    <w:abstractNumId w:val="10"/>
  </w:num>
  <w:num w:numId="4" w16cid:durableId="1518226516">
    <w:abstractNumId w:val="11"/>
  </w:num>
  <w:num w:numId="5" w16cid:durableId="245265846">
    <w:abstractNumId w:val="1"/>
  </w:num>
  <w:num w:numId="6" w16cid:durableId="449518681">
    <w:abstractNumId w:val="8"/>
  </w:num>
  <w:num w:numId="7" w16cid:durableId="1351099663">
    <w:abstractNumId w:val="12"/>
  </w:num>
  <w:num w:numId="8" w16cid:durableId="1650015624">
    <w:abstractNumId w:val="7"/>
  </w:num>
  <w:num w:numId="9" w16cid:durableId="1051460118">
    <w:abstractNumId w:val="4"/>
  </w:num>
  <w:num w:numId="10" w16cid:durableId="34162408">
    <w:abstractNumId w:val="14"/>
  </w:num>
  <w:num w:numId="11" w16cid:durableId="1098481661">
    <w:abstractNumId w:val="3"/>
  </w:num>
  <w:num w:numId="12" w16cid:durableId="1014110844">
    <w:abstractNumId w:val="5"/>
  </w:num>
  <w:num w:numId="13" w16cid:durableId="678190749">
    <w:abstractNumId w:val="6"/>
  </w:num>
  <w:num w:numId="14" w16cid:durableId="208997501">
    <w:abstractNumId w:val="15"/>
  </w:num>
  <w:num w:numId="15" w16cid:durableId="1162819537">
    <w:abstractNumId w:val="0"/>
  </w:num>
  <w:num w:numId="16" w16cid:durableId="19016701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A0F"/>
    <w:rsid w:val="00000C16"/>
    <w:rsid w:val="00015C2F"/>
    <w:rsid w:val="00020F9A"/>
    <w:rsid w:val="00032651"/>
    <w:rsid w:val="000422F3"/>
    <w:rsid w:val="00055348"/>
    <w:rsid w:val="000A65B3"/>
    <w:rsid w:val="000B7E2E"/>
    <w:rsid w:val="000C03A3"/>
    <w:rsid w:val="000D216D"/>
    <w:rsid w:val="000D4F72"/>
    <w:rsid w:val="000E291E"/>
    <w:rsid w:val="000F4E52"/>
    <w:rsid w:val="0010293F"/>
    <w:rsid w:val="00105A1B"/>
    <w:rsid w:val="0011279F"/>
    <w:rsid w:val="001375F2"/>
    <w:rsid w:val="00146E24"/>
    <w:rsid w:val="00146F7E"/>
    <w:rsid w:val="001555C4"/>
    <w:rsid w:val="00163A53"/>
    <w:rsid w:val="00170FD1"/>
    <w:rsid w:val="00180C6A"/>
    <w:rsid w:val="00184219"/>
    <w:rsid w:val="001842E1"/>
    <w:rsid w:val="00197CC6"/>
    <w:rsid w:val="001A12A1"/>
    <w:rsid w:val="001C48FE"/>
    <w:rsid w:val="001C775A"/>
    <w:rsid w:val="001D50BC"/>
    <w:rsid w:val="001F62BD"/>
    <w:rsid w:val="00200D2B"/>
    <w:rsid w:val="00211A1D"/>
    <w:rsid w:val="00213308"/>
    <w:rsid w:val="002734B1"/>
    <w:rsid w:val="002A739F"/>
    <w:rsid w:val="002D05CC"/>
    <w:rsid w:val="002F7D8C"/>
    <w:rsid w:val="0030008B"/>
    <w:rsid w:val="00312054"/>
    <w:rsid w:val="0033009D"/>
    <w:rsid w:val="00331D71"/>
    <w:rsid w:val="00342852"/>
    <w:rsid w:val="00351D22"/>
    <w:rsid w:val="003560F0"/>
    <w:rsid w:val="00356467"/>
    <w:rsid w:val="00356E29"/>
    <w:rsid w:val="003618E4"/>
    <w:rsid w:val="0037497F"/>
    <w:rsid w:val="003918C0"/>
    <w:rsid w:val="003A3081"/>
    <w:rsid w:val="003E2D20"/>
    <w:rsid w:val="00403255"/>
    <w:rsid w:val="004042FD"/>
    <w:rsid w:val="00406756"/>
    <w:rsid w:val="00433E52"/>
    <w:rsid w:val="00441BC1"/>
    <w:rsid w:val="004454C7"/>
    <w:rsid w:val="00451C11"/>
    <w:rsid w:val="0045250B"/>
    <w:rsid w:val="004936FD"/>
    <w:rsid w:val="004A1E24"/>
    <w:rsid w:val="004D51E2"/>
    <w:rsid w:val="004D565B"/>
    <w:rsid w:val="004F53EB"/>
    <w:rsid w:val="00516E07"/>
    <w:rsid w:val="005354AA"/>
    <w:rsid w:val="0054102C"/>
    <w:rsid w:val="00550A7A"/>
    <w:rsid w:val="0056438E"/>
    <w:rsid w:val="00575909"/>
    <w:rsid w:val="00597ACF"/>
    <w:rsid w:val="005A634E"/>
    <w:rsid w:val="005B419A"/>
    <w:rsid w:val="005D2572"/>
    <w:rsid w:val="005D789B"/>
    <w:rsid w:val="005E0A0F"/>
    <w:rsid w:val="005E3541"/>
    <w:rsid w:val="005F10EC"/>
    <w:rsid w:val="005F6602"/>
    <w:rsid w:val="0061773F"/>
    <w:rsid w:val="00682D61"/>
    <w:rsid w:val="006A5ACE"/>
    <w:rsid w:val="006B2B17"/>
    <w:rsid w:val="006D6A28"/>
    <w:rsid w:val="006F3F40"/>
    <w:rsid w:val="00703A45"/>
    <w:rsid w:val="007066AD"/>
    <w:rsid w:val="00711B6C"/>
    <w:rsid w:val="00731CD4"/>
    <w:rsid w:val="00751B08"/>
    <w:rsid w:val="00761BAE"/>
    <w:rsid w:val="00763450"/>
    <w:rsid w:val="007776D0"/>
    <w:rsid w:val="00797C18"/>
    <w:rsid w:val="007A15E1"/>
    <w:rsid w:val="007A4700"/>
    <w:rsid w:val="007D35D9"/>
    <w:rsid w:val="00801380"/>
    <w:rsid w:val="00827BC1"/>
    <w:rsid w:val="008311F9"/>
    <w:rsid w:val="00861031"/>
    <w:rsid w:val="00861B61"/>
    <w:rsid w:val="00866F2B"/>
    <w:rsid w:val="00867F55"/>
    <w:rsid w:val="008A4494"/>
    <w:rsid w:val="008B00FE"/>
    <w:rsid w:val="008B4DF7"/>
    <w:rsid w:val="008C2394"/>
    <w:rsid w:val="008C2F76"/>
    <w:rsid w:val="008D0361"/>
    <w:rsid w:val="008F2CBA"/>
    <w:rsid w:val="00904AFF"/>
    <w:rsid w:val="0091405D"/>
    <w:rsid w:val="009419F4"/>
    <w:rsid w:val="009443E3"/>
    <w:rsid w:val="00947BE8"/>
    <w:rsid w:val="00952F13"/>
    <w:rsid w:val="009640D9"/>
    <w:rsid w:val="00977A74"/>
    <w:rsid w:val="00980E59"/>
    <w:rsid w:val="00986729"/>
    <w:rsid w:val="00992BEA"/>
    <w:rsid w:val="00993756"/>
    <w:rsid w:val="00995349"/>
    <w:rsid w:val="00995950"/>
    <w:rsid w:val="00997A18"/>
    <w:rsid w:val="009A240B"/>
    <w:rsid w:val="009B09AD"/>
    <w:rsid w:val="009C4B8E"/>
    <w:rsid w:val="009F0B30"/>
    <w:rsid w:val="009F28DB"/>
    <w:rsid w:val="00A0459F"/>
    <w:rsid w:val="00A06216"/>
    <w:rsid w:val="00A35F85"/>
    <w:rsid w:val="00A6191F"/>
    <w:rsid w:val="00A65428"/>
    <w:rsid w:val="00A66340"/>
    <w:rsid w:val="00A925D8"/>
    <w:rsid w:val="00A93CBF"/>
    <w:rsid w:val="00A96C93"/>
    <w:rsid w:val="00AA149F"/>
    <w:rsid w:val="00AA583C"/>
    <w:rsid w:val="00AA7F27"/>
    <w:rsid w:val="00AB3A4F"/>
    <w:rsid w:val="00AC393E"/>
    <w:rsid w:val="00AE2FC6"/>
    <w:rsid w:val="00AE3227"/>
    <w:rsid w:val="00AE601E"/>
    <w:rsid w:val="00AF7A62"/>
    <w:rsid w:val="00B00154"/>
    <w:rsid w:val="00B249B2"/>
    <w:rsid w:val="00B46810"/>
    <w:rsid w:val="00B478D5"/>
    <w:rsid w:val="00B50ECF"/>
    <w:rsid w:val="00B53BB1"/>
    <w:rsid w:val="00B74856"/>
    <w:rsid w:val="00B866B0"/>
    <w:rsid w:val="00B92CFB"/>
    <w:rsid w:val="00BA7AAD"/>
    <w:rsid w:val="00BC0495"/>
    <w:rsid w:val="00BC1722"/>
    <w:rsid w:val="00BE1C96"/>
    <w:rsid w:val="00BE522D"/>
    <w:rsid w:val="00BF793E"/>
    <w:rsid w:val="00C1151E"/>
    <w:rsid w:val="00C34D08"/>
    <w:rsid w:val="00C53FA6"/>
    <w:rsid w:val="00C66D8C"/>
    <w:rsid w:val="00C71FCA"/>
    <w:rsid w:val="00C76563"/>
    <w:rsid w:val="00C87287"/>
    <w:rsid w:val="00C90212"/>
    <w:rsid w:val="00C96055"/>
    <w:rsid w:val="00C971C9"/>
    <w:rsid w:val="00CC0124"/>
    <w:rsid w:val="00CC17F1"/>
    <w:rsid w:val="00CE4396"/>
    <w:rsid w:val="00D02C44"/>
    <w:rsid w:val="00D13818"/>
    <w:rsid w:val="00D336EF"/>
    <w:rsid w:val="00D421FB"/>
    <w:rsid w:val="00D46148"/>
    <w:rsid w:val="00D6020C"/>
    <w:rsid w:val="00D8416D"/>
    <w:rsid w:val="00D90E18"/>
    <w:rsid w:val="00DA2199"/>
    <w:rsid w:val="00DC1292"/>
    <w:rsid w:val="00DD4EA6"/>
    <w:rsid w:val="00DD6941"/>
    <w:rsid w:val="00DF5790"/>
    <w:rsid w:val="00DF60B3"/>
    <w:rsid w:val="00E04085"/>
    <w:rsid w:val="00E1668A"/>
    <w:rsid w:val="00E22BF8"/>
    <w:rsid w:val="00E25C9D"/>
    <w:rsid w:val="00E56990"/>
    <w:rsid w:val="00E62974"/>
    <w:rsid w:val="00E65023"/>
    <w:rsid w:val="00EA43F6"/>
    <w:rsid w:val="00EA7386"/>
    <w:rsid w:val="00EB1023"/>
    <w:rsid w:val="00EB17B4"/>
    <w:rsid w:val="00EB65E5"/>
    <w:rsid w:val="00EC635F"/>
    <w:rsid w:val="00EF6EE2"/>
    <w:rsid w:val="00F04649"/>
    <w:rsid w:val="00F074DC"/>
    <w:rsid w:val="00F1447C"/>
    <w:rsid w:val="00F16501"/>
    <w:rsid w:val="00F348F6"/>
    <w:rsid w:val="00F434B6"/>
    <w:rsid w:val="00F569C1"/>
    <w:rsid w:val="00F678BF"/>
    <w:rsid w:val="00F80231"/>
    <w:rsid w:val="00F816CB"/>
    <w:rsid w:val="00F876D2"/>
    <w:rsid w:val="00F92085"/>
    <w:rsid w:val="00F92ACC"/>
    <w:rsid w:val="00FA0A4B"/>
    <w:rsid w:val="00FB30F8"/>
    <w:rsid w:val="00FB7AE7"/>
    <w:rsid w:val="00FF7C34"/>
    <w:rsid w:val="0152B9EC"/>
    <w:rsid w:val="02237BCD"/>
    <w:rsid w:val="04412FD7"/>
    <w:rsid w:val="06DB877A"/>
    <w:rsid w:val="070464CF"/>
    <w:rsid w:val="08951F94"/>
    <w:rsid w:val="08C11D86"/>
    <w:rsid w:val="08E9BBA8"/>
    <w:rsid w:val="0B87D2FD"/>
    <w:rsid w:val="1069BBC6"/>
    <w:rsid w:val="10F65C53"/>
    <w:rsid w:val="1138DDF6"/>
    <w:rsid w:val="12052AB1"/>
    <w:rsid w:val="12344AA1"/>
    <w:rsid w:val="1370B55D"/>
    <w:rsid w:val="16178BD9"/>
    <w:rsid w:val="1C985244"/>
    <w:rsid w:val="1E2C9269"/>
    <w:rsid w:val="20F0F28F"/>
    <w:rsid w:val="26B87AAC"/>
    <w:rsid w:val="26F5F0CB"/>
    <w:rsid w:val="27B29ACA"/>
    <w:rsid w:val="2932CE4C"/>
    <w:rsid w:val="2DF61F26"/>
    <w:rsid w:val="2F58F7C6"/>
    <w:rsid w:val="305CFB70"/>
    <w:rsid w:val="326DE10F"/>
    <w:rsid w:val="3286EF52"/>
    <w:rsid w:val="338E4A71"/>
    <w:rsid w:val="34F9F870"/>
    <w:rsid w:val="3CFBA6E2"/>
    <w:rsid w:val="3F4FE202"/>
    <w:rsid w:val="400B391C"/>
    <w:rsid w:val="43AD8E03"/>
    <w:rsid w:val="43D54A0D"/>
    <w:rsid w:val="447556DB"/>
    <w:rsid w:val="45332F56"/>
    <w:rsid w:val="4690A8F4"/>
    <w:rsid w:val="47498EAD"/>
    <w:rsid w:val="47CCEFEA"/>
    <w:rsid w:val="4A356F41"/>
    <w:rsid w:val="4CD1AFAE"/>
    <w:rsid w:val="4D9D421C"/>
    <w:rsid w:val="50417D91"/>
    <w:rsid w:val="50B4BAB2"/>
    <w:rsid w:val="52AE8A87"/>
    <w:rsid w:val="52BE37B1"/>
    <w:rsid w:val="56BF859F"/>
    <w:rsid w:val="5A20EDAB"/>
    <w:rsid w:val="5F063074"/>
    <w:rsid w:val="6025746C"/>
    <w:rsid w:val="605B5345"/>
    <w:rsid w:val="61442900"/>
    <w:rsid w:val="626C85AC"/>
    <w:rsid w:val="635388E2"/>
    <w:rsid w:val="6549DC7A"/>
    <w:rsid w:val="65544214"/>
    <w:rsid w:val="665A628F"/>
    <w:rsid w:val="66FFCA54"/>
    <w:rsid w:val="67589C7A"/>
    <w:rsid w:val="69E1B83C"/>
    <w:rsid w:val="6E37B2DE"/>
    <w:rsid w:val="6E62DE86"/>
    <w:rsid w:val="6EA20B31"/>
    <w:rsid w:val="6EC4BC01"/>
    <w:rsid w:val="6ED11497"/>
    <w:rsid w:val="702D66C6"/>
    <w:rsid w:val="708A6A28"/>
    <w:rsid w:val="71AFBE94"/>
    <w:rsid w:val="733C0557"/>
    <w:rsid w:val="73D695FB"/>
    <w:rsid w:val="74601C6E"/>
    <w:rsid w:val="75A49419"/>
    <w:rsid w:val="75F0B7B5"/>
    <w:rsid w:val="780D0D9E"/>
    <w:rsid w:val="7891BEA8"/>
    <w:rsid w:val="79C18B8A"/>
    <w:rsid w:val="7CB6F087"/>
    <w:rsid w:val="7CEA65F4"/>
    <w:rsid w:val="7DE10AA4"/>
    <w:rsid w:val="7E1FDB42"/>
    <w:rsid w:val="7EF2200C"/>
    <w:rsid w:val="7EF575D0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7E87BD"/>
  <w15:chartTrackingRefBased/>
  <w15:docId w15:val="{32385642-9AA2-41B8-9C99-0BCF7CE0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0A0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5E0A0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semiHidden/>
    <w:unhideWhenUsed/>
    <w:rsid w:val="00977A7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977A74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77A7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77A74"/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1A12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032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25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5D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A73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73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7386"/>
    <w:rPr>
      <w:rFonts w:ascii="Times New Roman" w:eastAsia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7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7386"/>
    <w:rPr>
      <w:rFonts w:ascii="Times New Roman" w:eastAsia="Times New Roman" w:hAnsi="Times New Roman"/>
      <w:b/>
      <w:bCs/>
    </w:rPr>
  </w:style>
  <w:style w:type="paragraph" w:styleId="Revision">
    <w:name w:val="Revision"/>
    <w:hidden/>
    <w:uiPriority w:val="99"/>
    <w:semiHidden/>
    <w:rsid w:val="005F660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FileType xmlns="cba3e550-b95f-434c-b53c-5b6d0385868a" xsi:nil="true"/>
    <InvoicingComplete_x003f_ xmlns="cba3e550-b95f-434c-b53c-5b6d0385868a" xsi:nil="true"/>
    <_ip_UnifiedCompliancePolicyProperties xmlns="http://schemas.microsoft.com/sharepoint/v3" xsi:nil="true"/>
    <TaxCatchAll xmlns="dffc6b60-f5a7-4967-8ff4-fc279cb90253" xsi:nil="true"/>
    <lcf76f155ced4ddcb4097134ff3c332f xmlns="cba3e550-b95f-434c-b53c-5b6d0385868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C476FF7FA5AD40A2B035AE0700A05F" ma:contentTypeVersion="19" ma:contentTypeDescription="Create a new document." ma:contentTypeScope="" ma:versionID="96d2ef0ddf4b57678c786ea34d7b0555">
  <xsd:schema xmlns:xsd="http://www.w3.org/2001/XMLSchema" xmlns:xs="http://www.w3.org/2001/XMLSchema" xmlns:p="http://schemas.microsoft.com/office/2006/metadata/properties" xmlns:ns1="http://schemas.microsoft.com/sharepoint/v3" xmlns:ns2="cba3e550-b95f-434c-b53c-5b6d0385868a" xmlns:ns3="dffc6b60-f5a7-4967-8ff4-fc279cb90253" targetNamespace="http://schemas.microsoft.com/office/2006/metadata/properties" ma:root="true" ma:fieldsID="ca5877e946501e58e72bb99f961224ae" ns1:_="" ns2:_="" ns3:_="">
    <xsd:import namespace="http://schemas.microsoft.com/sharepoint/v3"/>
    <xsd:import namespace="cba3e550-b95f-434c-b53c-5b6d0385868a"/>
    <xsd:import namespace="dffc6b60-f5a7-4967-8ff4-fc279cb902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FileType" minOccurs="0"/>
                <xsd:element ref="ns2:InvoicingComplete_x003f_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3e550-b95f-434c-b53c-5b6d038586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FileType" ma:index="12" nillable="true" ma:displayName="File Type" ma:format="Dropdown" ma:internalName="FileType">
      <xsd:simpleType>
        <xsd:restriction base="dms:Text">
          <xsd:maxLength value="255"/>
        </xsd:restriction>
      </xsd:simpleType>
    </xsd:element>
    <xsd:element name="InvoicingComplete_x003f_" ma:index="13" nillable="true" ma:displayName="Complete?" ma:format="Dropdown" ma:internalName="InvoicingComplete_x003f_">
      <xsd:simpleType>
        <xsd:restriction base="dms:Text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871f771-ab78-46b7-810c-7667649bb9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fc6b60-f5a7-4967-8ff4-fc279cb9025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e185949b-1bf6-4e6f-955a-3c76075d845e}" ma:internalName="TaxCatchAll" ma:showField="CatchAllData" ma:web="dffc6b60-f5a7-4967-8ff4-fc279cb902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E0DC74-0317-41F8-B1C7-1100437542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21934-8B47-461F-A356-256000AA39E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a3e550-b95f-434c-b53c-5b6d0385868a"/>
    <ds:schemaRef ds:uri="dffc6b60-f5a7-4967-8ff4-fc279cb90253"/>
  </ds:schemaRefs>
</ds:datastoreItem>
</file>

<file path=customXml/itemProps3.xml><?xml version="1.0" encoding="utf-8"?>
<ds:datastoreItem xmlns:ds="http://schemas.openxmlformats.org/officeDocument/2006/customXml" ds:itemID="{B7093273-4E5F-4F7C-A919-4BCA10CD0C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a3e550-b95f-434c-b53c-5b6d0385868a"/>
    <ds:schemaRef ds:uri="dffc6b60-f5a7-4967-8ff4-fc279cb90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4af72ce-cc13-4953-b9ba-4cca0e04b883}" enabled="1" method="Standard" siteId="{102d0191-eeae-4761-b1cb-1a83e86ef44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1210</Words>
  <Characters>6900</Characters>
  <Application>Microsoft Office Word</Application>
  <DocSecurity>0</DocSecurity>
  <Lines>57</Lines>
  <Paragraphs>16</Paragraphs>
  <ScaleCrop>false</ScaleCrop>
  <Company>WHS</Company>
  <LinksUpToDate>false</LinksUpToDate>
  <CharactersWithSpaces>8094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Toppings</dc:creator>
  <cp:lastModifiedBy>Tsenzuul, Petra M CTR OSD (USA)</cp:lastModifiedBy>
  <cp:revision>2</cp:revision>
  <cp:lastPrinted>2013-01-25T19:13:00Z</cp:lastPrinted>
  <dcterms:created xsi:type="dcterms:W3CDTF">2026-09-22T17:42:00Z</dcterms:created>
  <dcterms:modified xsi:type="dcterms:W3CDTF">2026-09-22T17:42:00Z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0x01010035C476FF7FA5AD40A2B035AE0700A05F</vt:lpwstr>
  </property>
  <property fmtid="{D5CDD505-2E9C-101B-9397-08002B2CF9AE}" pid="3" name="MediaServiceImageTags">
    <vt:lpwstr/>
  </property>
</Properties>
</file>