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A465A" w:rsidP="00357C8A" w14:paraId="5273650B" w14:textId="77777777">
      <w:pPr>
        <w:jc w:val="center"/>
      </w:pPr>
    </w:p>
    <w:p w:rsidR="00357C8A" w:rsidP="00357C8A" w14:paraId="2FF83196" w14:textId="77777777">
      <w:pPr>
        <w:jc w:val="center"/>
        <w:rPr>
          <w:rFonts w:eastAsia="Calibri"/>
        </w:rPr>
      </w:pPr>
      <w:r w:rsidRPr="00357C8A">
        <w:rPr>
          <w:rFonts w:eastAsia="Calibri"/>
        </w:rPr>
        <w:t>United States Food and Drug Administration</w:t>
      </w:r>
    </w:p>
    <w:p w:rsidR="00357C8A" w:rsidP="00357C8A" w14:paraId="5F93121F" w14:textId="77777777">
      <w:pPr>
        <w:jc w:val="center"/>
        <w:rPr>
          <w:rFonts w:eastAsia="Calibri"/>
        </w:rPr>
      </w:pPr>
    </w:p>
    <w:p w:rsidR="00357C8A" w:rsidP="00357C8A" w14:paraId="282B05CE" w14:textId="77777777">
      <w:pPr>
        <w:jc w:val="center"/>
        <w:rPr>
          <w:rFonts w:eastAsia="Calibri"/>
        </w:rPr>
      </w:pPr>
      <w:r w:rsidRPr="00A849A6">
        <w:rPr>
          <w:rFonts w:eastAsia="Calibri"/>
        </w:rPr>
        <w:t>Substances Generally Recognized as Safe (GRAS)</w:t>
      </w:r>
      <w:r w:rsidR="00B6385D">
        <w:rPr>
          <w:rFonts w:eastAsia="Calibri"/>
        </w:rPr>
        <w:t>:</w:t>
      </w:r>
      <w:r w:rsidRPr="00A849A6">
        <w:rPr>
          <w:rFonts w:eastAsia="Calibri"/>
        </w:rPr>
        <w:t xml:space="preserve"> Notification Procedures</w:t>
      </w:r>
    </w:p>
    <w:p w:rsidR="00356479" w:rsidP="00357C8A" w14:paraId="158A81CF" w14:textId="77777777">
      <w:pPr>
        <w:jc w:val="center"/>
        <w:rPr>
          <w:rFonts w:eastAsia="Calibri"/>
        </w:rPr>
      </w:pPr>
    </w:p>
    <w:p w:rsidR="00357C8A" w:rsidP="00357C8A" w14:paraId="7DA2B118" w14:textId="77777777">
      <w:pPr>
        <w:jc w:val="center"/>
        <w:rPr>
          <w:rFonts w:eastAsia="Calibri"/>
        </w:rPr>
      </w:pPr>
      <w:r w:rsidRPr="00357C8A">
        <w:rPr>
          <w:rFonts w:eastAsia="Calibri"/>
        </w:rPr>
        <w:t>OMB Control No. 0910-</w:t>
      </w:r>
      <w:r w:rsidR="00A849A6">
        <w:rPr>
          <w:rFonts w:eastAsia="Calibri"/>
        </w:rPr>
        <w:t>0342</w:t>
      </w:r>
    </w:p>
    <w:p w:rsidR="00574E5C" w:rsidP="00357C8A" w14:paraId="7BACFB5E" w14:textId="62A19D25">
      <w:pPr>
        <w:jc w:val="center"/>
        <w:rPr>
          <w:rFonts w:eastAsia="Calibri"/>
        </w:rPr>
      </w:pPr>
      <w:r w:rsidRPr="00501701">
        <w:rPr>
          <w:rFonts w:eastAsia="Calibri"/>
        </w:rPr>
        <w:t>RIN 0910-</w:t>
      </w:r>
      <w:r w:rsidR="005C1D46">
        <w:rPr>
          <w:rFonts w:eastAsia="Calibri"/>
        </w:rPr>
        <w:t>AJ</w:t>
      </w:r>
      <w:r w:rsidR="00F652EC">
        <w:rPr>
          <w:rFonts w:eastAsia="Calibri"/>
        </w:rPr>
        <w:t>02</w:t>
      </w:r>
    </w:p>
    <w:p w:rsidR="00357C8A" w:rsidP="00357C8A" w14:paraId="6570F02F" w14:textId="77777777">
      <w:pPr>
        <w:jc w:val="center"/>
        <w:rPr>
          <w:rFonts w:eastAsia="Calibri"/>
        </w:rPr>
      </w:pPr>
    </w:p>
    <w:p w:rsidR="00357C8A" w:rsidP="00357C8A" w14:paraId="38BB2EB0" w14:textId="77777777">
      <w:pPr>
        <w:jc w:val="center"/>
        <w:rPr>
          <w:rFonts w:eastAsia="Calibri"/>
        </w:rPr>
      </w:pPr>
      <w:r w:rsidRPr="00357C8A">
        <w:rPr>
          <w:rFonts w:eastAsia="Calibri"/>
        </w:rPr>
        <w:t>SUPPORTING STATEMENT</w:t>
      </w:r>
    </w:p>
    <w:p w:rsidR="009B4DF2" w:rsidP="00357C8A" w14:paraId="7FFAFA30" w14:textId="77777777">
      <w:pPr>
        <w:jc w:val="center"/>
        <w:rPr>
          <w:rFonts w:eastAsia="Calibri"/>
        </w:rPr>
      </w:pPr>
    </w:p>
    <w:p w:rsidR="00357C8A" w:rsidP="000D79CC" w14:paraId="5A5D04FD" w14:textId="77777777">
      <w:pPr>
        <w:rPr>
          <w:rFonts w:eastAsia="Calibri"/>
        </w:rPr>
      </w:pPr>
      <w:r w:rsidRPr="00357C8A">
        <w:rPr>
          <w:rFonts w:eastAsia="Calibri"/>
          <w:b/>
        </w:rPr>
        <w:t>Part A</w:t>
      </w:r>
      <w:r w:rsidRPr="00357C8A">
        <w:rPr>
          <w:rFonts w:eastAsia="Calibri"/>
          <w:b/>
        </w:rPr>
        <w:t>:  Justification</w:t>
      </w:r>
      <w:r w:rsidRPr="00357C8A">
        <w:rPr>
          <w:rFonts w:eastAsia="Calibri"/>
        </w:rPr>
        <w:t>:</w:t>
      </w:r>
    </w:p>
    <w:p w:rsidR="000D79CC" w:rsidRPr="00357C8A" w:rsidP="000D79CC" w14:paraId="3D9539FF" w14:textId="77777777">
      <w:pPr>
        <w:rPr>
          <w:rFonts w:eastAsia="Calibri"/>
        </w:rPr>
      </w:pPr>
    </w:p>
    <w:p w:rsidR="00357C8A" w:rsidRPr="00357C8A" w:rsidP="006705EA" w14:paraId="20DECE8B"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A849A6" w:rsidP="00A849A6" w14:paraId="1EA67B59" w14:textId="4CB5A8C0">
      <w:pPr>
        <w:rPr>
          <w:rFonts w:eastAsia="Calibri"/>
        </w:rPr>
      </w:pPr>
      <w:r w:rsidRPr="00A849A6">
        <w:rPr>
          <w:rFonts w:eastAsia="Calibri"/>
        </w:rPr>
        <w:t xml:space="preserve">This information collection supports agency </w:t>
      </w:r>
      <w:r w:rsidR="00543660">
        <w:rPr>
          <w:rFonts w:eastAsia="Calibri"/>
        </w:rPr>
        <w:t>rulemaking</w:t>
      </w:r>
      <w:r w:rsidRPr="00A849A6">
        <w:rPr>
          <w:rFonts w:eastAsia="Calibri"/>
        </w:rPr>
        <w:t>.</w:t>
      </w:r>
      <w:r w:rsidR="008D6922">
        <w:rPr>
          <w:rFonts w:eastAsia="Calibri"/>
        </w:rPr>
        <w:t xml:space="preserve"> </w:t>
      </w:r>
      <w:r w:rsidRPr="00A849A6">
        <w:rPr>
          <w:rFonts w:eastAsia="Calibri"/>
        </w:rPr>
        <w:t xml:space="preserve"> The Federal Food, Drug, and</w:t>
      </w:r>
      <w:r w:rsidR="008D6922">
        <w:rPr>
          <w:rFonts w:eastAsia="Calibri"/>
        </w:rPr>
        <w:t xml:space="preserve"> </w:t>
      </w:r>
      <w:r w:rsidRPr="00A849A6">
        <w:rPr>
          <w:rFonts w:eastAsia="Calibri"/>
        </w:rPr>
        <w:t>Cosmetic Act (FD&amp;C Act) requires that all food additives (as defined by section 201(s)</w:t>
      </w:r>
      <w:r w:rsidR="008D6922">
        <w:rPr>
          <w:rFonts w:eastAsia="Calibri"/>
        </w:rPr>
        <w:t xml:space="preserve"> </w:t>
      </w:r>
      <w:r w:rsidRPr="00A849A6">
        <w:rPr>
          <w:rFonts w:eastAsia="Calibri"/>
        </w:rPr>
        <w:t>(21 U.S.C. 321(s)) be approved by the Food and Drug Administration (FDA or we) before</w:t>
      </w:r>
      <w:r w:rsidR="008D6922">
        <w:rPr>
          <w:rFonts w:eastAsia="Calibri"/>
        </w:rPr>
        <w:t xml:space="preserve"> </w:t>
      </w:r>
      <w:r w:rsidRPr="00A849A6">
        <w:rPr>
          <w:rFonts w:eastAsia="Calibri"/>
        </w:rPr>
        <w:t>they are marketed.</w:t>
      </w:r>
      <w:r w:rsidR="008D6922">
        <w:rPr>
          <w:rFonts w:eastAsia="Calibri"/>
        </w:rPr>
        <w:t xml:space="preserve"> </w:t>
      </w:r>
      <w:r w:rsidRPr="00A849A6">
        <w:rPr>
          <w:rFonts w:eastAsia="Calibri"/>
        </w:rPr>
        <w:t xml:space="preserve"> Section 409 of the FD&amp;C Act (21 U.S.C. 348) establishes a</w:t>
      </w:r>
      <w:r w:rsidR="008D6922">
        <w:rPr>
          <w:rFonts w:eastAsia="Calibri"/>
        </w:rPr>
        <w:t xml:space="preserve"> </w:t>
      </w:r>
      <w:r w:rsidRPr="00A849A6">
        <w:rPr>
          <w:rFonts w:eastAsia="Calibri"/>
        </w:rPr>
        <w:t xml:space="preserve">premarket approval requirement for “food additives.” </w:t>
      </w:r>
      <w:r w:rsidR="008D6922">
        <w:rPr>
          <w:rFonts w:eastAsia="Calibri"/>
        </w:rPr>
        <w:t xml:space="preserve"> </w:t>
      </w:r>
      <w:r w:rsidRPr="00A849A6">
        <w:rPr>
          <w:rFonts w:eastAsia="Calibri"/>
        </w:rPr>
        <w:t>Section 201(s) of the FD&amp;C Act provides an exclusion to the definition of “food additive,” and thus from the</w:t>
      </w:r>
      <w:r w:rsidR="008D6922">
        <w:rPr>
          <w:rFonts w:eastAsia="Calibri"/>
        </w:rPr>
        <w:t xml:space="preserve"> </w:t>
      </w:r>
      <w:r w:rsidRPr="00A849A6">
        <w:rPr>
          <w:rFonts w:eastAsia="Calibri"/>
        </w:rPr>
        <w:t xml:space="preserve">premarket approval requirement, for uses of substances that are generally </w:t>
      </w:r>
      <w:r w:rsidR="00061D9B">
        <w:rPr>
          <w:rFonts w:eastAsia="Calibri"/>
        </w:rPr>
        <w:t>recognized</w:t>
      </w:r>
      <w:r w:rsidRPr="00A849A6" w:rsidR="00061D9B">
        <w:rPr>
          <w:rFonts w:eastAsia="Calibri"/>
        </w:rPr>
        <w:t xml:space="preserve"> </w:t>
      </w:r>
      <w:r w:rsidRPr="00A849A6">
        <w:rPr>
          <w:rFonts w:eastAsia="Calibri"/>
        </w:rPr>
        <w:t>as safe</w:t>
      </w:r>
      <w:r w:rsidR="008D6922">
        <w:rPr>
          <w:rFonts w:eastAsia="Calibri"/>
        </w:rPr>
        <w:t xml:space="preserve"> </w:t>
      </w:r>
      <w:r w:rsidRPr="00A849A6">
        <w:rPr>
          <w:rFonts w:eastAsia="Calibri"/>
        </w:rPr>
        <w:t>(GRAS) by qualified experts.</w:t>
      </w:r>
      <w:r w:rsidR="008D6922">
        <w:rPr>
          <w:rFonts w:eastAsia="Calibri"/>
        </w:rPr>
        <w:t xml:space="preserve">  </w:t>
      </w:r>
    </w:p>
    <w:p w:rsidR="008D6922" w:rsidRPr="00A849A6" w:rsidP="00A849A6" w14:paraId="73D6B86E" w14:textId="77777777">
      <w:pPr>
        <w:rPr>
          <w:rFonts w:eastAsia="Calibri"/>
        </w:rPr>
      </w:pPr>
    </w:p>
    <w:p w:rsidR="00F27852" w:rsidP="00A849A6" w14:paraId="041EEDF3" w14:textId="77777777">
      <w:pPr>
        <w:rPr>
          <w:rFonts w:eastAsia="Calibri"/>
        </w:rPr>
      </w:pPr>
      <w:r w:rsidRPr="00A849A6">
        <w:rPr>
          <w:rFonts w:eastAsia="Calibri"/>
        </w:rPr>
        <w:t>The GRAS provision of section 201(s) of the FD&amp;C Act is implemented in 21 CFR part</w:t>
      </w:r>
      <w:r w:rsidR="008D6922">
        <w:rPr>
          <w:rFonts w:eastAsia="Calibri"/>
        </w:rPr>
        <w:t xml:space="preserve"> </w:t>
      </w:r>
      <w:r w:rsidRPr="00A849A6">
        <w:rPr>
          <w:rFonts w:eastAsia="Calibri"/>
        </w:rPr>
        <w:t xml:space="preserve">170 for human food and 21 CFR part 570 for animal food. </w:t>
      </w:r>
      <w:r w:rsidR="008D6922">
        <w:rPr>
          <w:rFonts w:eastAsia="Calibri"/>
        </w:rPr>
        <w:t xml:space="preserve"> </w:t>
      </w:r>
      <w:r w:rsidRPr="006668F7" w:rsidR="006668F7">
        <w:rPr>
          <w:rFonts w:eastAsia="Calibri"/>
        </w:rPr>
        <w:t xml:space="preserve">The provisions include an administrative procedure for a person to voluntarily notify FDA about a conclusion that a substance is GRAS under the conditions of its intended use in food for humans or animals.  </w:t>
      </w:r>
    </w:p>
    <w:p w:rsidR="00F27852" w:rsidP="00A849A6" w14:paraId="2B22F531" w14:textId="77777777">
      <w:pPr>
        <w:rPr>
          <w:rFonts w:eastAsia="Calibri"/>
        </w:rPr>
      </w:pPr>
    </w:p>
    <w:p w:rsidR="00E83187" w:rsidP="00A849A6" w14:paraId="0F6E4F85" w14:textId="5151A370">
      <w:pPr>
        <w:rPr>
          <w:rFonts w:eastAsia="Calibri"/>
        </w:rPr>
      </w:pPr>
      <w:r w:rsidRPr="00F27852">
        <w:rPr>
          <w:rFonts w:eastAsia="Calibri"/>
        </w:rPr>
        <w:t>Th</w:t>
      </w:r>
      <w:r w:rsidR="00057794">
        <w:rPr>
          <w:rFonts w:eastAsia="Calibri"/>
        </w:rPr>
        <w:t>e</w:t>
      </w:r>
      <w:r w:rsidRPr="00F27852">
        <w:rPr>
          <w:rFonts w:eastAsia="Calibri"/>
        </w:rPr>
        <w:t xml:space="preserve"> proposed rule, if finalized, would amend our regulations in parts 170 and 570 to require the submission of GRAS notices for the use of a human or animal food substance that is purported to be GRAS under the conditions of its intended use under section 201(s) of the FD&amp;C Act.  This proposed rule would require any person introducing a substance into interstate commerce under the GRAS provision of section 201(s) of the FD&amp;C Act to notify FDA of the basis for their conclusion that the substance is GRAS under the conditions of its intended use unless an exception to the mandatory requirement to submit a GRAS notice applies.  In short, the proposed rule would convert the voluntary GRAS notification program to a mandatory GRAS notification program.  </w:t>
      </w:r>
      <w:r w:rsidRPr="00F868B1" w:rsidR="00F868B1">
        <w:rPr>
          <w:rFonts w:eastAsia="Calibri"/>
        </w:rPr>
        <w:t xml:space="preserve">The proposed rule, if finalized, would, among other things, </w:t>
      </w:r>
      <w:r w:rsidR="00CD4F1D">
        <w:rPr>
          <w:rFonts w:eastAsia="Calibri"/>
        </w:rPr>
        <w:t>change the</w:t>
      </w:r>
      <w:r w:rsidRPr="00A849A6" w:rsidR="00A849A6">
        <w:rPr>
          <w:rFonts w:eastAsia="Calibri"/>
        </w:rPr>
        <w:t xml:space="preserve"> voluntary</w:t>
      </w:r>
      <w:r w:rsidR="008D6922">
        <w:rPr>
          <w:rFonts w:eastAsia="Calibri"/>
        </w:rPr>
        <w:t xml:space="preserve"> </w:t>
      </w:r>
      <w:r w:rsidRPr="00A849A6" w:rsidR="00A849A6">
        <w:rPr>
          <w:rFonts w:eastAsia="Calibri"/>
        </w:rPr>
        <w:t>procedure</w:t>
      </w:r>
      <w:r w:rsidR="00CE3624">
        <w:rPr>
          <w:rFonts w:eastAsia="Calibri"/>
        </w:rPr>
        <w:t xml:space="preserve"> to a requirement</w:t>
      </w:r>
      <w:r w:rsidRPr="00A849A6" w:rsidR="00A849A6">
        <w:rPr>
          <w:rFonts w:eastAsia="Calibri"/>
        </w:rPr>
        <w:t xml:space="preserve"> for notifying FDA about a conclusion that a substance is GRAS under the</w:t>
      </w:r>
      <w:r w:rsidR="008D6922">
        <w:rPr>
          <w:rFonts w:eastAsia="Calibri"/>
        </w:rPr>
        <w:t xml:space="preserve"> </w:t>
      </w:r>
      <w:r w:rsidRPr="00A849A6" w:rsidR="00A849A6">
        <w:rPr>
          <w:rFonts w:eastAsia="Calibri"/>
        </w:rPr>
        <w:t xml:space="preserve">conditions of its intended use in human </w:t>
      </w:r>
      <w:r w:rsidR="00206042">
        <w:rPr>
          <w:rFonts w:eastAsia="Calibri"/>
        </w:rPr>
        <w:t>or</w:t>
      </w:r>
      <w:r w:rsidRPr="00A849A6" w:rsidR="00A849A6">
        <w:rPr>
          <w:rFonts w:eastAsia="Calibri"/>
        </w:rPr>
        <w:t xml:space="preserve"> animal food. </w:t>
      </w:r>
      <w:r w:rsidR="008D6922">
        <w:rPr>
          <w:rFonts w:eastAsia="Calibri"/>
        </w:rPr>
        <w:t xml:space="preserve"> </w:t>
      </w:r>
    </w:p>
    <w:p w:rsidR="008D6922" w:rsidRPr="00A849A6" w:rsidP="00A849A6" w14:paraId="4D7EADBD" w14:textId="77777777">
      <w:pPr>
        <w:rPr>
          <w:rFonts w:eastAsia="Calibri"/>
        </w:rPr>
      </w:pPr>
    </w:p>
    <w:p w:rsidR="00A849A6" w:rsidP="00A849A6" w14:paraId="0FDC1251" w14:textId="7E64FBA8">
      <w:pPr>
        <w:rPr>
          <w:rFonts w:eastAsia="Calibri"/>
        </w:rPr>
      </w:pPr>
      <w:r w:rsidRPr="00A849A6">
        <w:rPr>
          <w:rFonts w:eastAsia="Calibri"/>
        </w:rPr>
        <w:t xml:space="preserve">A GRAS notice </w:t>
      </w:r>
      <w:r w:rsidR="001B492D">
        <w:rPr>
          <w:rFonts w:eastAsia="Calibri"/>
        </w:rPr>
        <w:t>will</w:t>
      </w:r>
      <w:r w:rsidRPr="00A849A6">
        <w:rPr>
          <w:rFonts w:eastAsia="Calibri"/>
        </w:rPr>
        <w:t xml:space="preserve"> include the following</w:t>
      </w:r>
      <w:r w:rsidR="001B492D">
        <w:rPr>
          <w:rFonts w:eastAsia="Calibri"/>
        </w:rPr>
        <w:t xml:space="preserve"> information</w:t>
      </w:r>
      <w:r w:rsidRPr="00A849A6">
        <w:rPr>
          <w:rFonts w:eastAsia="Calibri"/>
        </w:rPr>
        <w:t>:</w:t>
      </w:r>
    </w:p>
    <w:p w:rsidR="008D6922" w:rsidP="00A849A6" w14:paraId="08B75B10" w14:textId="77777777">
      <w:pPr>
        <w:rPr>
          <w:rFonts w:eastAsia="Calibri"/>
        </w:rPr>
      </w:pPr>
    </w:p>
    <w:p w:rsidR="00A849A6" w:rsidP="001D1FC9" w14:paraId="7D2D19AC" w14:textId="77777777">
      <w:pPr>
        <w:numPr>
          <w:ilvl w:val="0"/>
          <w:numId w:val="9"/>
        </w:numPr>
        <w:rPr>
          <w:rFonts w:eastAsia="Calibri"/>
        </w:rPr>
      </w:pPr>
      <w:r>
        <w:rPr>
          <w:rFonts w:eastAsia="Calibri"/>
        </w:rPr>
        <w:t>s</w:t>
      </w:r>
      <w:r w:rsidRPr="008D6922">
        <w:rPr>
          <w:rFonts w:eastAsia="Calibri"/>
        </w:rPr>
        <w:t xml:space="preserve">igned </w:t>
      </w:r>
      <w:r w:rsidRPr="008D6922">
        <w:rPr>
          <w:rFonts w:eastAsia="Calibri"/>
        </w:rPr>
        <w:t xml:space="preserve">statements and a </w:t>
      </w:r>
      <w:r w:rsidRPr="008D6922">
        <w:rPr>
          <w:rFonts w:eastAsia="Calibri"/>
        </w:rPr>
        <w:t>certification;</w:t>
      </w:r>
    </w:p>
    <w:p w:rsidR="00A849A6" w:rsidP="001D1FC9" w14:paraId="463EE9C6" w14:textId="77777777">
      <w:pPr>
        <w:numPr>
          <w:ilvl w:val="0"/>
          <w:numId w:val="9"/>
        </w:numPr>
        <w:rPr>
          <w:rFonts w:eastAsia="Calibri"/>
        </w:rPr>
      </w:pPr>
      <w:r w:rsidRPr="00FF6725">
        <w:rPr>
          <w:rFonts w:eastAsia="Calibri"/>
        </w:rPr>
        <w:t>t</w:t>
      </w:r>
      <w:r w:rsidRPr="00FF6725">
        <w:rPr>
          <w:rFonts w:eastAsia="Calibri"/>
        </w:rPr>
        <w:t>he identity, method of manufacture, specifications, and physical or technical effect of</w:t>
      </w:r>
      <w:r w:rsidRPr="00FF6725">
        <w:rPr>
          <w:rFonts w:eastAsia="Calibri"/>
        </w:rPr>
        <w:t xml:space="preserve"> </w:t>
      </w:r>
      <w:r w:rsidRPr="00FF6725">
        <w:rPr>
          <w:rFonts w:eastAsia="Calibri"/>
        </w:rPr>
        <w:t xml:space="preserve">the notified </w:t>
      </w:r>
      <w:r w:rsidRPr="00FF6725">
        <w:rPr>
          <w:rFonts w:eastAsia="Calibri"/>
        </w:rPr>
        <w:t>substance;</w:t>
      </w:r>
    </w:p>
    <w:p w:rsidR="00A849A6" w:rsidP="001D1FC9" w14:paraId="769B285E" w14:textId="6DEAAE19">
      <w:pPr>
        <w:numPr>
          <w:ilvl w:val="0"/>
          <w:numId w:val="9"/>
        </w:numPr>
        <w:rPr>
          <w:rFonts w:eastAsia="Calibri"/>
        </w:rPr>
      </w:pPr>
      <w:r w:rsidRPr="00FF6725">
        <w:rPr>
          <w:rFonts w:eastAsia="Calibri"/>
        </w:rPr>
        <w:t>d</w:t>
      </w:r>
      <w:r w:rsidRPr="00FF6725">
        <w:rPr>
          <w:rFonts w:eastAsia="Calibri"/>
        </w:rPr>
        <w:t>ietary exposure to the notified substance</w:t>
      </w:r>
      <w:r w:rsidR="00407076">
        <w:rPr>
          <w:rFonts w:eastAsia="Calibri"/>
        </w:rPr>
        <w:t xml:space="preserve"> </w:t>
      </w:r>
      <w:r w:rsidRPr="00407076" w:rsidR="00407076">
        <w:rPr>
          <w:rFonts w:eastAsia="Calibri"/>
        </w:rPr>
        <w:t>(and human exposures when used in food for food-producing animals</w:t>
      </w:r>
      <w:r w:rsidRPr="00407076" w:rsidR="00407076">
        <w:rPr>
          <w:rFonts w:eastAsia="Calibri"/>
        </w:rPr>
        <w:t>)</w:t>
      </w:r>
      <w:r w:rsidRPr="00FF6725">
        <w:rPr>
          <w:rFonts w:eastAsia="Calibri"/>
        </w:rPr>
        <w:t>;</w:t>
      </w:r>
    </w:p>
    <w:p w:rsidR="00A849A6" w:rsidP="001D1FC9" w14:paraId="39689D61" w14:textId="77777777">
      <w:pPr>
        <w:numPr>
          <w:ilvl w:val="0"/>
          <w:numId w:val="9"/>
        </w:numPr>
        <w:rPr>
          <w:rFonts w:eastAsia="Calibri"/>
        </w:rPr>
      </w:pPr>
      <w:r w:rsidRPr="00FF6725">
        <w:rPr>
          <w:rFonts w:eastAsia="Calibri"/>
        </w:rPr>
        <w:t>s</w:t>
      </w:r>
      <w:r w:rsidRPr="00FF6725">
        <w:rPr>
          <w:rFonts w:eastAsia="Calibri"/>
        </w:rPr>
        <w:t>elf-limiting levels of use in circumstances where the amount of the notified substance</w:t>
      </w:r>
      <w:r w:rsidRPr="00FF6725">
        <w:rPr>
          <w:rFonts w:eastAsia="Calibri"/>
        </w:rPr>
        <w:t xml:space="preserve"> </w:t>
      </w:r>
      <w:r w:rsidRPr="00FF6725">
        <w:rPr>
          <w:rFonts w:eastAsia="Calibri"/>
        </w:rPr>
        <w:t>that can be added to human food or animal food is limited because the food containing</w:t>
      </w:r>
      <w:r w:rsidRPr="00FF6725">
        <w:rPr>
          <w:rFonts w:eastAsia="Calibri"/>
        </w:rPr>
        <w:t xml:space="preserve"> </w:t>
      </w:r>
      <w:r w:rsidRPr="00FF6725">
        <w:rPr>
          <w:rFonts w:eastAsia="Calibri"/>
        </w:rPr>
        <w:t xml:space="preserve">levels of </w:t>
      </w:r>
      <w:r w:rsidRPr="00FF6725">
        <w:rPr>
          <w:rFonts w:eastAsia="Calibri"/>
        </w:rPr>
        <w:t>the notified substance above a particular level would become unpalatable or</w:t>
      </w:r>
      <w:r w:rsidRPr="00FF6725">
        <w:rPr>
          <w:rFonts w:eastAsia="Calibri"/>
        </w:rPr>
        <w:t xml:space="preserve"> </w:t>
      </w:r>
      <w:r w:rsidRPr="00FF6725">
        <w:rPr>
          <w:rFonts w:eastAsia="Calibri"/>
        </w:rPr>
        <w:t xml:space="preserve">technologically </w:t>
      </w:r>
      <w:r w:rsidRPr="00FF6725">
        <w:rPr>
          <w:rFonts w:eastAsia="Calibri"/>
        </w:rPr>
        <w:t>impractical;</w:t>
      </w:r>
    </w:p>
    <w:p w:rsidR="00A849A6" w:rsidP="001D1FC9" w14:paraId="7D6A5632" w14:textId="77777777">
      <w:pPr>
        <w:numPr>
          <w:ilvl w:val="0"/>
          <w:numId w:val="9"/>
        </w:numPr>
        <w:rPr>
          <w:rFonts w:eastAsia="Calibri"/>
        </w:rPr>
      </w:pPr>
      <w:r w:rsidRPr="00FF6725">
        <w:rPr>
          <w:rFonts w:eastAsia="Calibri"/>
        </w:rPr>
        <w:t>t</w:t>
      </w:r>
      <w:r w:rsidRPr="00FF6725">
        <w:rPr>
          <w:rFonts w:eastAsia="Calibri"/>
        </w:rPr>
        <w:t>he history of consumption of the substance for food use by a significant number of</w:t>
      </w:r>
      <w:r w:rsidRPr="00FF6725">
        <w:rPr>
          <w:rFonts w:eastAsia="Calibri"/>
        </w:rPr>
        <w:t xml:space="preserve"> </w:t>
      </w:r>
      <w:r w:rsidRPr="00FF6725">
        <w:rPr>
          <w:rFonts w:eastAsia="Calibri"/>
        </w:rPr>
        <w:t>consumers (or animals in the case of animal food) prior to January 1, 1958, if a</w:t>
      </w:r>
      <w:r w:rsidRPr="00FF6725">
        <w:rPr>
          <w:rFonts w:eastAsia="Calibri"/>
        </w:rPr>
        <w:t xml:space="preserve"> </w:t>
      </w:r>
      <w:r w:rsidRPr="00FF6725">
        <w:rPr>
          <w:rFonts w:eastAsia="Calibri"/>
        </w:rPr>
        <w:t>conclusion of GRAS status is based on common use of the substance in food prior to</w:t>
      </w:r>
      <w:r w:rsidRPr="00FF6725">
        <w:rPr>
          <w:rFonts w:eastAsia="Calibri"/>
        </w:rPr>
        <w:t xml:space="preserve"> </w:t>
      </w:r>
      <w:r w:rsidRPr="00FF6725">
        <w:rPr>
          <w:rFonts w:eastAsia="Calibri"/>
        </w:rPr>
        <w:t>1958;</w:t>
      </w:r>
    </w:p>
    <w:p w:rsidR="00A849A6" w:rsidP="001D1FC9" w14:paraId="7379B2B3" w14:textId="77777777">
      <w:pPr>
        <w:numPr>
          <w:ilvl w:val="0"/>
          <w:numId w:val="9"/>
        </w:numPr>
        <w:rPr>
          <w:rFonts w:eastAsia="Calibri"/>
        </w:rPr>
      </w:pPr>
      <w:r w:rsidRPr="00FF6725">
        <w:rPr>
          <w:rFonts w:eastAsia="Calibri"/>
        </w:rPr>
        <w:t xml:space="preserve">a </w:t>
      </w:r>
      <w:r w:rsidRPr="00FF6725">
        <w:rPr>
          <w:rFonts w:eastAsia="Calibri"/>
        </w:rPr>
        <w:t>narrative that provides the basis for the notifier’s conclusion of GRAS status,</w:t>
      </w:r>
      <w:r w:rsidRPr="00FF6725">
        <w:rPr>
          <w:rFonts w:eastAsia="Calibri"/>
        </w:rPr>
        <w:t xml:space="preserve"> </w:t>
      </w:r>
      <w:r w:rsidRPr="00FF6725">
        <w:rPr>
          <w:rFonts w:eastAsia="Calibri"/>
        </w:rPr>
        <w:t>including why the scientific data, information, methods, and principles described in the</w:t>
      </w:r>
      <w:r w:rsidRPr="00FF6725">
        <w:rPr>
          <w:rFonts w:eastAsia="Calibri"/>
        </w:rPr>
        <w:t xml:space="preserve"> </w:t>
      </w:r>
      <w:r w:rsidRPr="00FF6725">
        <w:rPr>
          <w:rFonts w:eastAsia="Calibri"/>
        </w:rPr>
        <w:t>notice provide a basis for the conclusion that the notified substance is generally</w:t>
      </w:r>
      <w:r w:rsidRPr="00FF6725">
        <w:rPr>
          <w:rFonts w:eastAsia="Calibri"/>
        </w:rPr>
        <w:t xml:space="preserve"> </w:t>
      </w:r>
      <w:r w:rsidRPr="00FF6725">
        <w:rPr>
          <w:rFonts w:eastAsia="Calibri"/>
        </w:rPr>
        <w:t>recognized, among qualified experts, to be safe under the conditions of its intended</w:t>
      </w:r>
      <w:r w:rsidRPr="00FF6725">
        <w:rPr>
          <w:rFonts w:eastAsia="Calibri"/>
        </w:rPr>
        <w:t xml:space="preserve"> </w:t>
      </w:r>
      <w:r w:rsidRPr="00FF6725">
        <w:rPr>
          <w:rFonts w:eastAsia="Calibri"/>
        </w:rPr>
        <w:t>use; and</w:t>
      </w:r>
    </w:p>
    <w:p w:rsidR="00A849A6" w:rsidRPr="00FF6725" w:rsidP="00FF6725" w14:paraId="1EC964A8" w14:textId="77777777">
      <w:pPr>
        <w:numPr>
          <w:ilvl w:val="0"/>
          <w:numId w:val="9"/>
        </w:numPr>
        <w:rPr>
          <w:rFonts w:eastAsia="Calibri"/>
        </w:rPr>
      </w:pPr>
      <w:r w:rsidRPr="00FF6725">
        <w:rPr>
          <w:rFonts w:eastAsia="Calibri"/>
        </w:rPr>
        <w:t xml:space="preserve">a </w:t>
      </w:r>
      <w:r w:rsidRPr="00FF6725">
        <w:rPr>
          <w:rFonts w:eastAsia="Calibri"/>
        </w:rPr>
        <w:t>list of the generally available data, information, and methods the notifier cites in the</w:t>
      </w:r>
      <w:r w:rsidRPr="00FF6725">
        <w:rPr>
          <w:rFonts w:eastAsia="Calibri"/>
        </w:rPr>
        <w:t xml:space="preserve"> </w:t>
      </w:r>
      <w:r w:rsidRPr="00FF6725">
        <w:rPr>
          <w:rFonts w:eastAsia="Calibri"/>
        </w:rPr>
        <w:t>GRAS notice.</w:t>
      </w:r>
    </w:p>
    <w:p w:rsidR="00FF6725" w:rsidP="00A849A6" w14:paraId="2F273C9A" w14:textId="77777777">
      <w:pPr>
        <w:rPr>
          <w:rFonts w:eastAsia="Calibri"/>
        </w:rPr>
      </w:pPr>
    </w:p>
    <w:p w:rsidR="00DB0336" w:rsidP="00DB0336" w14:paraId="43ADD2AD" w14:textId="77777777">
      <w:pPr>
        <w:rPr>
          <w:rFonts w:eastAsia="Calibri"/>
        </w:rPr>
      </w:pPr>
      <w:r w:rsidRPr="00DB0336">
        <w:rPr>
          <w:rFonts w:eastAsia="Calibri"/>
        </w:rPr>
        <w:t>The proposed rule would establish certain exceptions to the requirement to submit a GRAS notice including a time-limited option to make a streamlined submission to FDA for certain substances already in interstate commerce instead of initially submitting a GRAS notice.  The submission must include: (1) the name and address of the submitter; (2) the name of the substance, using an appropriately descriptive term; (3) the intended conditions of use of the substance, including the foods in which the substance is used or is in contact with, the levels of use, and the purposes for which the substance is used (and the target animal species for animal food as well as human exposures when used in food for food-producing animals); (4) evidence of presence in interstate commerce before the effective date of the final rule; and (5) if applicable, where FDA sent a cease to evaluate letter in response to a notifier’s previous GRAS notice (GRN or AGRN), provide that file number (GRN No. or AGRN No.) as part of the submission.</w:t>
      </w:r>
    </w:p>
    <w:p w:rsidR="00DB0336" w:rsidRPr="00DB0336" w:rsidP="00DB0336" w14:paraId="3A650633" w14:textId="06D20F9E">
      <w:pPr>
        <w:rPr>
          <w:rFonts w:eastAsia="Calibri"/>
        </w:rPr>
      </w:pPr>
      <w:r w:rsidRPr="00DB0336">
        <w:rPr>
          <w:rFonts w:eastAsia="Calibri"/>
        </w:rPr>
        <w:t xml:space="preserve">   </w:t>
      </w:r>
    </w:p>
    <w:p w:rsidR="00DB0336" w:rsidP="00DB0336" w14:paraId="1E6AEB50" w14:textId="63338881">
      <w:pPr>
        <w:rPr>
          <w:rFonts w:eastAsia="Calibri"/>
        </w:rPr>
      </w:pPr>
      <w:r w:rsidRPr="00DB0336">
        <w:rPr>
          <w:rFonts w:eastAsia="Calibri"/>
        </w:rPr>
        <w:t xml:space="preserve">The proposed rule would revise our procedural regulations for a </w:t>
      </w:r>
      <w:r w:rsidR="00472DF9">
        <w:rPr>
          <w:rFonts w:eastAsia="Calibri"/>
        </w:rPr>
        <w:t>Threshold of Regulation</w:t>
      </w:r>
      <w:r w:rsidR="00B30212">
        <w:rPr>
          <w:rFonts w:eastAsia="Calibri"/>
        </w:rPr>
        <w:t xml:space="preserve"> (</w:t>
      </w:r>
      <w:r w:rsidRPr="00DB0336">
        <w:rPr>
          <w:rFonts w:eastAsia="Calibri"/>
        </w:rPr>
        <w:t>TOR</w:t>
      </w:r>
      <w:r w:rsidR="00B30212">
        <w:rPr>
          <w:rFonts w:eastAsia="Calibri"/>
        </w:rPr>
        <w:t>)</w:t>
      </w:r>
      <w:r w:rsidRPr="00DB0336">
        <w:rPr>
          <w:rFonts w:eastAsia="Calibri"/>
        </w:rPr>
        <w:t xml:space="preserve"> exemption for human food to reflect updated scientific guidance and to include uses of substances in food and as </w:t>
      </w:r>
      <w:r w:rsidR="00DF0F2A">
        <w:rPr>
          <w:rFonts w:eastAsia="Calibri"/>
        </w:rPr>
        <w:t>a food contact substance</w:t>
      </w:r>
      <w:r w:rsidRPr="00DB0336">
        <w:rPr>
          <w:rFonts w:eastAsia="Calibri"/>
        </w:rPr>
        <w:t>.  FDA has an existing information collection for information submitted in support of a TOR exemption for a food contact substance under OMB control number 0910-0</w:t>
      </w:r>
      <w:r w:rsidR="005D5898">
        <w:rPr>
          <w:rFonts w:eastAsia="Calibri"/>
        </w:rPr>
        <w:t>495</w:t>
      </w:r>
      <w:r w:rsidRPr="00DB0336">
        <w:rPr>
          <w:rFonts w:eastAsia="Calibri"/>
        </w:rPr>
        <w:t xml:space="preserve"> (</w:t>
      </w:r>
      <w:r w:rsidRPr="00903AE3" w:rsidR="00903AE3">
        <w:rPr>
          <w:rFonts w:eastAsia="Calibri"/>
        </w:rPr>
        <w:t>Food Contact Substances Notification System</w:t>
      </w:r>
      <w:r w:rsidRPr="00DB0336">
        <w:rPr>
          <w:rFonts w:eastAsia="Calibri"/>
        </w:rPr>
        <w:t xml:space="preserve">).  The proposed rule would </w:t>
      </w:r>
      <w:r w:rsidRPr="00DB0336">
        <w:rPr>
          <w:rFonts w:eastAsia="Calibri"/>
        </w:rPr>
        <w:t>provide for</w:t>
      </w:r>
      <w:r w:rsidRPr="00DB0336">
        <w:rPr>
          <w:rFonts w:eastAsia="Calibri"/>
        </w:rPr>
        <w:t xml:space="preserve"> manufacturers and suppliers of substances of food to also seek the TOR exemption.  A request for a TOR exemption will include:  (1) the chemical composition of the substance for which the request is made; (2) detailed information on the conditions of use of the substance; (3) a clear statement of the basis for the request for exemption from regulation as a food additive; (4) data that will enable FDA to estimate the daily dietary concentration resulting from the proposed use of the substance; (5) results of a literature search for toxicological data on the substance and its impurities; and (6) information on the environmental impact that would result from the proposed use.  </w:t>
      </w:r>
    </w:p>
    <w:p w:rsidR="00FF6725" w:rsidRPr="001D1FC9" w:rsidP="00FF6725" w14:paraId="0A136D24" w14:textId="77777777">
      <w:pPr>
        <w:rPr>
          <w:rFonts w:eastAsia="Calibri"/>
          <w:color w:val="000000"/>
        </w:rPr>
      </w:pPr>
    </w:p>
    <w:p w:rsidR="00357C8A" w:rsidRPr="00357C8A" w:rsidP="006705EA" w14:paraId="264EA80A"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FF6725" w:rsidP="00A849A6" w14:paraId="329156AF" w14:textId="4C251787">
      <w:pPr>
        <w:autoSpaceDE w:val="0"/>
        <w:autoSpaceDN w:val="0"/>
        <w:adjustRightInd w:val="0"/>
        <w:rPr>
          <w:rFonts w:ascii="TimesNewRomanPSMT" w:hAnsi="TimesNewRomanPSMT" w:cs="TimesNewRomanPSMT"/>
        </w:rPr>
      </w:pPr>
      <w:r w:rsidRPr="001D5D4F">
        <w:rPr>
          <w:rFonts w:ascii="TimesNewRomanPSMT" w:hAnsi="TimesNewRomanPSMT" w:cs="TimesNewRomanPSMT"/>
        </w:rPr>
        <w:t>The information submitted to us in a GRAS notice is necessary to allow us to more efficiently determine if the use of a substance constitutes a food additive use that is subject to the premarket review and approval requirements of the FD&amp;C Act.  This will therefore enable FDA to more effectively regulate the safety of food substances and ultimately prohibit the use of unsafe food additives in food</w:t>
      </w:r>
      <w:r w:rsidR="00A849A6">
        <w:rPr>
          <w:rFonts w:ascii="TimesNewRomanPSMT" w:hAnsi="TimesNewRomanPSMT" w:cs="TimesNewRomanPSMT"/>
        </w:rPr>
        <w:t>.</w:t>
      </w:r>
    </w:p>
    <w:p w:rsidR="00FF6725" w:rsidP="00A849A6" w14:paraId="0CB74341" w14:textId="77777777">
      <w:pPr>
        <w:autoSpaceDE w:val="0"/>
        <w:autoSpaceDN w:val="0"/>
        <w:adjustRightInd w:val="0"/>
        <w:rPr>
          <w:i/>
          <w:iCs/>
        </w:rPr>
      </w:pPr>
    </w:p>
    <w:p w:rsidR="00FF6725" w:rsidRPr="001D1FC9" w:rsidP="00FF6725" w14:paraId="6D9BD99F" w14:textId="3E3AED20">
      <w:pPr>
        <w:autoSpaceDE w:val="0"/>
        <w:autoSpaceDN w:val="0"/>
        <w:adjustRightInd w:val="0"/>
        <w:rPr>
          <w:rFonts w:eastAsia="Calibri"/>
          <w:color w:val="000000"/>
        </w:rPr>
      </w:pPr>
      <w:r>
        <w:rPr>
          <w:i/>
          <w:iCs/>
        </w:rPr>
        <w:t>Description of Respondents</w:t>
      </w:r>
      <w:r>
        <w:rPr>
          <w:rFonts w:ascii="TimesNewRomanPSMT" w:hAnsi="TimesNewRomanPSMT" w:cs="TimesNewRomanPSMT"/>
        </w:rPr>
        <w:t xml:space="preserve">: </w:t>
      </w:r>
      <w:r w:rsidR="006405C6">
        <w:rPr>
          <w:rFonts w:ascii="TimesNewRomanPSMT" w:hAnsi="TimesNewRomanPSMT" w:cs="TimesNewRomanPSMT"/>
        </w:rPr>
        <w:t xml:space="preserve"> </w:t>
      </w:r>
      <w:r>
        <w:rPr>
          <w:rFonts w:ascii="TimesNewRomanPSMT" w:hAnsi="TimesNewRomanPSMT" w:cs="TimesNewRomanPSMT"/>
        </w:rPr>
        <w:t>Respondents</w:t>
      </w:r>
      <w:r>
        <w:rPr>
          <w:rFonts w:ascii="TimesNewRomanPSMT" w:hAnsi="TimesNewRomanPSMT" w:cs="TimesNewRomanPSMT"/>
        </w:rPr>
        <w:t xml:space="preserve"> to the collection of information are</w:t>
      </w:r>
      <w:r>
        <w:rPr>
          <w:rFonts w:ascii="TimesNewRomanPSMT" w:hAnsi="TimesNewRomanPSMT" w:cs="TimesNewRomanPSMT"/>
        </w:rPr>
        <w:t xml:space="preserve"> </w:t>
      </w:r>
      <w:r>
        <w:rPr>
          <w:rFonts w:ascii="TimesNewRomanPSMT" w:hAnsi="TimesNewRomanPSMT" w:cs="TimesNewRomanPSMT"/>
        </w:rPr>
        <w:t xml:space="preserve">manufacturers of substances used in food </w:t>
      </w:r>
      <w:r w:rsidR="00803F8E">
        <w:rPr>
          <w:rFonts w:ascii="TimesNewRomanPSMT" w:hAnsi="TimesNewRomanPSMT" w:cs="TimesNewRomanPSMT"/>
        </w:rPr>
        <w:t>for human</w:t>
      </w:r>
      <w:r w:rsidR="00773A99">
        <w:rPr>
          <w:rFonts w:ascii="TimesNewRomanPSMT" w:hAnsi="TimesNewRomanPSMT" w:cs="TimesNewRomanPSMT"/>
        </w:rPr>
        <w:t>s</w:t>
      </w:r>
      <w:r w:rsidR="00803F8E">
        <w:rPr>
          <w:rFonts w:ascii="TimesNewRomanPSMT" w:hAnsi="TimesNewRomanPSMT" w:cs="TimesNewRomanPSMT"/>
        </w:rPr>
        <w:t xml:space="preserve"> </w:t>
      </w:r>
      <w:r>
        <w:rPr>
          <w:rFonts w:ascii="TimesNewRomanPSMT" w:hAnsi="TimesNewRomanPSMT" w:cs="TimesNewRomanPSMT"/>
        </w:rPr>
        <w:t>and animal</w:t>
      </w:r>
      <w:r w:rsidR="00773A99">
        <w:rPr>
          <w:rFonts w:ascii="TimesNewRomanPSMT" w:hAnsi="TimesNewRomanPSMT" w:cs="TimesNewRomanPSMT"/>
        </w:rPr>
        <w:t>s</w:t>
      </w:r>
      <w:r>
        <w:rPr>
          <w:rFonts w:ascii="TimesNewRomanPSMT" w:hAnsi="TimesNewRomanPSMT" w:cs="TimesNewRomanPSMT"/>
        </w:rPr>
        <w:t>.</w:t>
      </w:r>
      <w:r w:rsidRPr="0001446B" w:rsidR="0001446B">
        <w:t xml:space="preserve"> </w:t>
      </w:r>
      <w:r w:rsidR="0001446B">
        <w:t xml:space="preserve"> </w:t>
      </w:r>
      <w:r w:rsidRPr="0001446B" w:rsidR="0001446B">
        <w:rPr>
          <w:rFonts w:ascii="TimesNewRomanPSMT" w:hAnsi="TimesNewRomanPSMT" w:cs="TimesNewRomanPSMT"/>
        </w:rPr>
        <w:t>Respondents are from the private sector (for-profit businesses).</w:t>
      </w:r>
    </w:p>
    <w:p w:rsidR="00FF6725" w:rsidRPr="001D1FC9" w:rsidP="00FF6725" w14:paraId="0EF88DC5" w14:textId="77777777">
      <w:pPr>
        <w:autoSpaceDE w:val="0"/>
        <w:autoSpaceDN w:val="0"/>
        <w:adjustRightInd w:val="0"/>
        <w:rPr>
          <w:rFonts w:eastAsia="Calibri"/>
          <w:color w:val="000000"/>
        </w:rPr>
      </w:pPr>
    </w:p>
    <w:p w:rsidR="00357C8A" w:rsidRPr="00357C8A" w:rsidP="006705EA" w14:paraId="70636C58"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356967" w:rsidP="00FF6725" w14:paraId="31406B7F" w14:textId="738BEA81">
      <w:pPr>
        <w:autoSpaceDE w:val="0"/>
        <w:autoSpaceDN w:val="0"/>
        <w:adjustRightInd w:val="0"/>
        <w:rPr>
          <w:rFonts w:ascii="TimesNewRomanPSMT" w:hAnsi="TimesNewRomanPSMT" w:cs="TimesNewRomanPSMT"/>
        </w:rPr>
      </w:pPr>
      <w:r>
        <w:t>Respondents</w:t>
      </w:r>
      <w:r w:rsidR="00EB691B">
        <w:t xml:space="preserve"> for human foods must </w:t>
      </w:r>
      <w:r w:rsidRPr="006A15C5" w:rsidR="006A15C5">
        <w:t>submit data electronically using the Centralized Online Submission Module (COSM)</w:t>
      </w:r>
      <w:r w:rsidR="00A57B81">
        <w:t xml:space="preserve"> (</w:t>
      </w:r>
      <w:r w:rsidRPr="00A57B81" w:rsidR="00A57B81">
        <w:t>Form FDA 3667</w:t>
      </w:r>
      <w:r w:rsidR="00A57B81">
        <w:t>)</w:t>
      </w:r>
      <w:r w:rsidRPr="006A15C5" w:rsidR="006A15C5">
        <w:t xml:space="preserve"> (</w:t>
      </w:r>
      <w:hyperlink r:id="rId4" w:history="1">
        <w:r w:rsidRPr="00F66C7D" w:rsidR="000E2EC5">
          <w:rPr>
            <w:rStyle w:val="Hyperlink"/>
          </w:rPr>
          <w:t>https://www.fda.gov/food/registration-food-facilities-and-other-submissions/centralized-online-submission-module-cosm</w:t>
        </w:r>
      </w:hyperlink>
      <w:r w:rsidRPr="006A15C5" w:rsidR="006A15C5">
        <w:t xml:space="preserve">) for GRAS notices, time-limited option information for certain substances already in interstate commerce, and requests for a TOR exemption.  Notifiers may request HFP for a waiver to submit on paper at Office of Pre-market Additive Safety, Human Foods Program, Food and Drug Administration, 5001 Campus Dr., College Park, MD 20740. </w:t>
      </w:r>
      <w:r w:rsidR="00EB691B">
        <w:t xml:space="preserve"> </w:t>
      </w:r>
      <w:r w:rsidRPr="00356967">
        <w:t xml:space="preserve">While we do not expect </w:t>
      </w:r>
      <w:r w:rsidR="00A57B81">
        <w:t>COSM</w:t>
      </w:r>
      <w:r w:rsidRPr="00356967">
        <w:t xml:space="preserve"> to reduce reporting time for respondents, use of the form helps to expedite our review of the information being submitted. </w:t>
      </w:r>
      <w:r w:rsidRPr="00356967" w:rsidR="00E4340C">
        <w:t xml:space="preserve"> </w:t>
      </w:r>
    </w:p>
    <w:p w:rsidR="00E4340C" w:rsidP="00FF6725" w14:paraId="0F68C6F9" w14:textId="77777777">
      <w:pPr>
        <w:autoSpaceDE w:val="0"/>
        <w:autoSpaceDN w:val="0"/>
        <w:adjustRightInd w:val="0"/>
        <w:rPr>
          <w:rFonts w:ascii="TimesNewRomanPSMT" w:hAnsi="TimesNewRomanPSMT" w:cs="TimesNewRomanPSMT"/>
        </w:rPr>
      </w:pPr>
    </w:p>
    <w:p w:rsidR="00D506C8" w:rsidP="00FF6725" w14:paraId="6D9CF392" w14:textId="77777777">
      <w:pPr>
        <w:autoSpaceDE w:val="0"/>
        <w:autoSpaceDN w:val="0"/>
        <w:adjustRightInd w:val="0"/>
        <w:rPr>
          <w:rFonts w:ascii="TimesNewRomanPSMT" w:hAnsi="TimesNewRomanPSMT" w:cs="TimesNewRomanPSMT"/>
        </w:rPr>
      </w:pPr>
      <w:r w:rsidRPr="00E65C8D">
        <w:rPr>
          <w:rFonts w:ascii="TimesNewRomanPSMT" w:hAnsi="TimesNewRomanPSMT" w:cs="TimesNewRomanPSMT"/>
        </w:rPr>
        <w:t>Respondents</w:t>
      </w:r>
      <w:r w:rsidR="00F83093">
        <w:rPr>
          <w:rFonts w:ascii="TimesNewRomanPSMT" w:hAnsi="TimesNewRomanPSMT" w:cs="TimesNewRomanPSMT"/>
        </w:rPr>
        <w:t xml:space="preserve"> for animal foods</w:t>
      </w:r>
      <w:r w:rsidRPr="00F83093" w:rsidR="00F83093">
        <w:rPr>
          <w:rFonts w:ascii="TimesNewRomanPSMT" w:hAnsi="TimesNewRomanPSMT" w:cs="TimesNewRomanPSMT"/>
        </w:rPr>
        <w:t xml:space="preserve"> </w:t>
      </w:r>
      <w:r>
        <w:rPr>
          <w:rFonts w:ascii="TimesNewRomanPSMT" w:hAnsi="TimesNewRomanPSMT" w:cs="TimesNewRomanPSMT"/>
        </w:rPr>
        <w:t>may</w:t>
      </w:r>
      <w:r w:rsidRPr="00F83093" w:rsidR="00F83093">
        <w:rPr>
          <w:rFonts w:ascii="TimesNewRomanPSMT" w:hAnsi="TimesNewRomanPSMT" w:cs="TimesNewRomanPSMT"/>
        </w:rPr>
        <w:t xml:space="preserve"> submit notices by mail in paper format, or as electronic files on physical media with paper signature page to </w:t>
      </w:r>
      <w:r w:rsidR="0083575A">
        <w:rPr>
          <w:rFonts w:ascii="TimesNewRomanPSMT" w:hAnsi="TimesNewRomanPSMT" w:cs="TimesNewRomanPSMT"/>
        </w:rPr>
        <w:t>FDA</w:t>
      </w:r>
      <w:r w:rsidRPr="00F83093" w:rsidR="00F83093">
        <w:rPr>
          <w:rFonts w:ascii="TimesNewRomanPSMT" w:hAnsi="TimesNewRomanPSMT" w:cs="TimesNewRomanPSMT"/>
        </w:rPr>
        <w:t xml:space="preserve"> </w:t>
      </w:r>
      <w:r w:rsidR="00006908">
        <w:rPr>
          <w:rFonts w:ascii="TimesNewRomanPSMT" w:hAnsi="TimesNewRomanPSMT" w:cs="TimesNewRomanPSMT"/>
        </w:rPr>
        <w:t>or</w:t>
      </w:r>
      <w:r w:rsidRPr="00F83093" w:rsidR="00F83093">
        <w:rPr>
          <w:rFonts w:ascii="TimesNewRomanPSMT" w:hAnsi="TimesNewRomanPSMT" w:cs="TimesNewRomanPSMT"/>
        </w:rPr>
        <w:t xml:space="preserve"> email submissions to </w:t>
      </w:r>
      <w:hyperlink r:id="rId5" w:history="1">
        <w:r w:rsidRPr="00F66C7D">
          <w:rPr>
            <w:rStyle w:val="Hyperlink"/>
            <w:rFonts w:ascii="TimesNewRomanPSMT" w:hAnsi="TimesNewRomanPSMT" w:cs="TimesNewRomanPSMT"/>
          </w:rPr>
          <w:t>animalfood-premarket@fda.hhs.gov</w:t>
        </w:r>
      </w:hyperlink>
      <w:r w:rsidRPr="00F83093" w:rsidR="00F83093">
        <w:rPr>
          <w:rFonts w:ascii="TimesNewRomanPSMT" w:hAnsi="TimesNewRomanPSMT" w:cs="TimesNewRomanPSMT"/>
        </w:rPr>
        <w:t xml:space="preserve">.  </w:t>
      </w:r>
    </w:p>
    <w:p w:rsidR="00D506C8" w:rsidP="00FF6725" w14:paraId="5EF51946" w14:textId="77777777">
      <w:pPr>
        <w:autoSpaceDE w:val="0"/>
        <w:autoSpaceDN w:val="0"/>
        <w:adjustRightInd w:val="0"/>
        <w:rPr>
          <w:rFonts w:ascii="TimesNewRomanPSMT" w:hAnsi="TimesNewRomanPSMT" w:cs="TimesNewRomanPSMT"/>
        </w:rPr>
      </w:pPr>
    </w:p>
    <w:p w:rsidR="00357C8A" w:rsidP="00FF6725" w14:paraId="41A5FE25" w14:textId="7BD77F5F">
      <w:pPr>
        <w:autoSpaceDE w:val="0"/>
        <w:autoSpaceDN w:val="0"/>
        <w:adjustRightInd w:val="0"/>
        <w:rPr>
          <w:rFonts w:ascii="TimesNewRomanPSMT" w:hAnsi="TimesNewRomanPSMT" w:cs="TimesNewRomanPSMT"/>
        </w:rPr>
      </w:pPr>
      <w:r>
        <w:rPr>
          <w:rFonts w:ascii="TimesNewRomanPSMT" w:hAnsi="TimesNewRomanPSMT" w:cs="TimesNewRomanPSMT"/>
        </w:rPr>
        <w:t>Based on our review of past submissions, we estimate 70% of submissions will be made electronically, while</w:t>
      </w:r>
      <w:r w:rsidR="00FF6725">
        <w:rPr>
          <w:rFonts w:ascii="TimesNewRomanPSMT" w:hAnsi="TimesNewRomanPSMT" w:cs="TimesNewRomanPSMT"/>
        </w:rPr>
        <w:t xml:space="preserve"> </w:t>
      </w:r>
      <w:r>
        <w:rPr>
          <w:rFonts w:ascii="TimesNewRomanPSMT" w:hAnsi="TimesNewRomanPSMT" w:cs="TimesNewRomanPSMT"/>
        </w:rPr>
        <w:t xml:space="preserve">30% will continue to be submitted </w:t>
      </w:r>
      <w:r w:rsidR="00A92286">
        <w:rPr>
          <w:rFonts w:ascii="TimesNewRomanPSMT" w:hAnsi="TimesNewRomanPSMT" w:cs="TimesNewRomanPSMT"/>
        </w:rPr>
        <w:t>on paper</w:t>
      </w:r>
      <w:r>
        <w:rPr>
          <w:rFonts w:ascii="TimesNewRomanPSMT" w:hAnsi="TimesNewRomanPSMT" w:cs="TimesNewRomanPSMT"/>
        </w:rPr>
        <w:t>.</w:t>
      </w:r>
    </w:p>
    <w:p w:rsidR="00FF6725" w:rsidRPr="001D1FC9" w:rsidP="00FF6725" w14:paraId="1813BA6B" w14:textId="77777777">
      <w:pPr>
        <w:autoSpaceDE w:val="0"/>
        <w:autoSpaceDN w:val="0"/>
        <w:adjustRightInd w:val="0"/>
        <w:rPr>
          <w:rFonts w:eastAsia="Calibri"/>
          <w:color w:val="000000"/>
        </w:rPr>
      </w:pPr>
    </w:p>
    <w:p w:rsidR="00357C8A" w:rsidRPr="00357C8A" w:rsidP="006705EA" w14:paraId="47E360B4"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2C5742" w:rsidP="000313DD" w14:paraId="216D8268" w14:textId="3648C625">
      <w:pPr>
        <w:autoSpaceDE w:val="0"/>
        <w:autoSpaceDN w:val="0"/>
        <w:adjustRightInd w:val="0"/>
        <w:rPr>
          <w:rFonts w:ascii="TimesNewRomanPSMT" w:hAnsi="TimesNewRomanPSMT" w:cs="TimesNewRomanPSMT"/>
        </w:rPr>
      </w:pPr>
      <w:r>
        <w:rPr>
          <w:rFonts w:ascii="TimesNewRomanPSMT" w:hAnsi="TimesNewRomanPSMT" w:cs="TimesNewRomanPSMT"/>
        </w:rPr>
        <w:t>We are unaware of duplicative information collection.</w:t>
      </w:r>
      <w:r w:rsidR="000313DD">
        <w:rPr>
          <w:rFonts w:ascii="TimesNewRomanPSMT" w:hAnsi="TimesNewRomanPSMT" w:cs="TimesNewRomanPSMT"/>
        </w:rPr>
        <w:t xml:space="preserve"> </w:t>
      </w:r>
      <w:r>
        <w:rPr>
          <w:rFonts w:ascii="TimesNewRomanPSMT" w:hAnsi="TimesNewRomanPSMT" w:cs="TimesNewRomanPSMT"/>
        </w:rPr>
        <w:t xml:space="preserve"> Under the Meat and Poultry</w:t>
      </w:r>
      <w:r w:rsidR="000313DD">
        <w:rPr>
          <w:rFonts w:ascii="TimesNewRomanPSMT" w:hAnsi="TimesNewRomanPSMT" w:cs="TimesNewRomanPSMT"/>
        </w:rPr>
        <w:t xml:space="preserve"> </w:t>
      </w:r>
      <w:r>
        <w:rPr>
          <w:rFonts w:ascii="TimesNewRomanPSMT" w:hAnsi="TimesNewRomanPSMT" w:cs="TimesNewRomanPSMT"/>
        </w:rPr>
        <w:t>Inspection Acts, the United States Department of Agriculture’s Food Safety and</w:t>
      </w:r>
      <w:r w:rsidR="000313DD">
        <w:rPr>
          <w:rFonts w:ascii="TimesNewRomanPSMT" w:hAnsi="TimesNewRomanPSMT" w:cs="TimesNewRomanPSMT"/>
        </w:rPr>
        <w:t xml:space="preserve"> </w:t>
      </w:r>
      <w:r>
        <w:rPr>
          <w:rFonts w:ascii="TimesNewRomanPSMT" w:hAnsi="TimesNewRomanPSMT" w:cs="TimesNewRomanPSMT"/>
        </w:rPr>
        <w:t xml:space="preserve">Inspection Service (USDA/FSIS) has regulatory authority for meat and poultry. </w:t>
      </w:r>
      <w:r w:rsidR="000313DD">
        <w:rPr>
          <w:rFonts w:ascii="TimesNewRomanPSMT" w:hAnsi="TimesNewRomanPSMT" w:cs="TimesNewRomanPSMT"/>
        </w:rPr>
        <w:t xml:space="preserve"> </w:t>
      </w:r>
      <w:r>
        <w:rPr>
          <w:rFonts w:ascii="TimesNewRomanPSMT" w:hAnsi="TimesNewRomanPSMT" w:cs="TimesNewRomanPSMT"/>
        </w:rPr>
        <w:t>FDA</w:t>
      </w:r>
      <w:r w:rsidR="000313DD">
        <w:rPr>
          <w:rFonts w:ascii="TimesNewRomanPSMT" w:hAnsi="TimesNewRomanPSMT" w:cs="TimesNewRomanPSMT"/>
        </w:rPr>
        <w:t xml:space="preserve"> </w:t>
      </w:r>
      <w:r>
        <w:rPr>
          <w:rFonts w:ascii="TimesNewRomanPSMT" w:hAnsi="TimesNewRomanPSMT" w:cs="TimesNewRomanPSMT"/>
        </w:rPr>
        <w:t>and USDA have signed a Memorandum of Understanding that provides for a coordinated</w:t>
      </w:r>
      <w:r w:rsidR="000313DD">
        <w:rPr>
          <w:rFonts w:ascii="TimesNewRomanPSMT" w:hAnsi="TimesNewRomanPSMT" w:cs="TimesNewRomanPSMT"/>
        </w:rPr>
        <w:t xml:space="preserve"> </w:t>
      </w:r>
      <w:r>
        <w:rPr>
          <w:rFonts w:ascii="TimesNewRomanPSMT" w:hAnsi="TimesNewRomanPSMT" w:cs="TimesNewRomanPSMT"/>
        </w:rPr>
        <w:t>evaluation process with FSIS when the intended conditions of use of a notified substance</w:t>
      </w:r>
      <w:r w:rsidR="000313DD">
        <w:rPr>
          <w:rFonts w:ascii="TimesNewRomanPSMT" w:hAnsi="TimesNewRomanPSMT" w:cs="TimesNewRomanPSMT"/>
        </w:rPr>
        <w:t xml:space="preserve"> </w:t>
      </w:r>
      <w:r>
        <w:rPr>
          <w:rFonts w:ascii="TimesNewRomanPSMT" w:hAnsi="TimesNewRomanPSMT" w:cs="TimesNewRomanPSMT"/>
        </w:rPr>
        <w:t>include use in a product or products subject to regulation by USDA under statutes that it</w:t>
      </w:r>
      <w:r w:rsidR="000313DD">
        <w:rPr>
          <w:rFonts w:ascii="TimesNewRomanPSMT" w:hAnsi="TimesNewRomanPSMT" w:cs="TimesNewRomanPSMT"/>
        </w:rPr>
        <w:t xml:space="preserve"> </w:t>
      </w:r>
      <w:r>
        <w:rPr>
          <w:rFonts w:ascii="TimesNewRomanPSMT" w:hAnsi="TimesNewRomanPSMT" w:cs="TimesNewRomanPSMT"/>
        </w:rPr>
        <w:t>administers (75 FR 81536 at 81541-81542).</w:t>
      </w:r>
    </w:p>
    <w:p w:rsidR="002C5742" w:rsidP="000313DD" w14:paraId="120DB3E4" w14:textId="77777777">
      <w:pPr>
        <w:autoSpaceDE w:val="0"/>
        <w:autoSpaceDN w:val="0"/>
        <w:adjustRightInd w:val="0"/>
        <w:rPr>
          <w:rFonts w:ascii="TimesNewRomanPSMT" w:hAnsi="TimesNewRomanPSMT" w:cs="TimesNewRomanPSMT"/>
        </w:rPr>
      </w:pPr>
    </w:p>
    <w:p w:rsidR="00F275C9" w:rsidRPr="00E4715D" w:rsidP="000313DD" w14:paraId="5E5CDD82" w14:textId="7A1A8C4E">
      <w:pPr>
        <w:autoSpaceDE w:val="0"/>
        <w:autoSpaceDN w:val="0"/>
        <w:adjustRightInd w:val="0"/>
        <w:rPr>
          <w:rFonts w:ascii="TimesNewRomanPSMT" w:hAnsi="TimesNewRomanPSMT" w:cs="TimesNewRomanPSMT"/>
        </w:rPr>
      </w:pPr>
      <w:r w:rsidRPr="00E4715D">
        <w:rPr>
          <w:rFonts w:ascii="TimesNewRomanPSMT" w:hAnsi="TimesNewRomanPSMT" w:cs="TimesNewRomanPSMT"/>
        </w:rPr>
        <w:t>The proposed rule would revise our procedural regulations for a Thres</w:t>
      </w:r>
      <w:r w:rsidRPr="00E4715D" w:rsidR="00A97992">
        <w:rPr>
          <w:rFonts w:ascii="TimesNewRomanPSMT" w:hAnsi="TimesNewRomanPSMT" w:cs="TimesNewRomanPSMT"/>
        </w:rPr>
        <w:t>hold of Regulation (TOR)</w:t>
      </w:r>
      <w:r w:rsidRPr="00E4715D">
        <w:rPr>
          <w:rFonts w:ascii="TimesNewRomanPSMT" w:hAnsi="TimesNewRomanPSMT" w:cs="TimesNewRomanPSMT"/>
        </w:rPr>
        <w:t xml:space="preserve"> exemption for human food to reflect updated scientific guidance and to include substances used in food and as </w:t>
      </w:r>
      <w:r w:rsidRPr="00E4715D" w:rsidR="00B83EBA">
        <w:rPr>
          <w:rFonts w:ascii="TimesNewRomanPSMT" w:hAnsi="TimesNewRomanPSMT" w:cs="TimesNewRomanPSMT"/>
        </w:rPr>
        <w:t>a</w:t>
      </w:r>
      <w:r w:rsidRPr="00E4715D" w:rsidR="005571CF">
        <w:t xml:space="preserve"> </w:t>
      </w:r>
      <w:r w:rsidRPr="00E4715D" w:rsidR="005571CF">
        <w:rPr>
          <w:rFonts w:ascii="TimesNewRomanPSMT" w:hAnsi="TimesNewRomanPSMT" w:cs="TimesNewRomanPSMT"/>
        </w:rPr>
        <w:t>food contact substance</w:t>
      </w:r>
      <w:r w:rsidRPr="00E4715D">
        <w:rPr>
          <w:rFonts w:ascii="TimesNewRomanPSMT" w:hAnsi="TimesNewRomanPSMT" w:cs="TimesNewRomanPSMT"/>
        </w:rPr>
        <w:t xml:space="preserve"> </w:t>
      </w:r>
      <w:r w:rsidRPr="00E4715D" w:rsidR="005571CF">
        <w:rPr>
          <w:rFonts w:ascii="TimesNewRomanPSMT" w:hAnsi="TimesNewRomanPSMT" w:cs="TimesNewRomanPSMT"/>
        </w:rPr>
        <w:t>(</w:t>
      </w:r>
      <w:r w:rsidRPr="00E4715D">
        <w:rPr>
          <w:rFonts w:ascii="TimesNewRomanPSMT" w:hAnsi="TimesNewRomanPSMT" w:cs="TimesNewRomanPSMT"/>
        </w:rPr>
        <w:t>FCS.</w:t>
      </w:r>
      <w:r w:rsidRPr="00E4715D" w:rsidR="00353CBF">
        <w:rPr>
          <w:rFonts w:ascii="TimesNewRomanPSMT" w:hAnsi="TimesNewRomanPSMT" w:cs="TimesNewRomanPSMT"/>
        </w:rPr>
        <w:t>)</w:t>
      </w:r>
      <w:r w:rsidRPr="00E4715D">
        <w:rPr>
          <w:rFonts w:ascii="TimesNewRomanPSMT" w:hAnsi="TimesNewRomanPSMT" w:cs="TimesNewRomanPSMT"/>
        </w:rPr>
        <w:t xml:space="preserve">  FDA has an existing information collection for information submitted in support of a TOR exemption for a food contact substance under OMB control number 0910-0495 (Food Additives; Food Contact Substances Notification System).  The proposed rule would allow manufacturers and suppliers to also seek the TOR exemption for substances used in food</w:t>
      </w:r>
      <w:r w:rsidRPr="00E4715D" w:rsidR="00604959">
        <w:rPr>
          <w:rFonts w:ascii="TimesNewRomanPSMT" w:hAnsi="TimesNewRomanPSMT" w:cs="TimesNewRomanPSMT"/>
        </w:rPr>
        <w:t xml:space="preserve"> and is not duplicative of the </w:t>
      </w:r>
      <w:r w:rsidRPr="00E4715D" w:rsidR="006D334F">
        <w:rPr>
          <w:rFonts w:ascii="TimesNewRomanPSMT" w:hAnsi="TimesNewRomanPSMT" w:cs="TimesNewRomanPSMT"/>
        </w:rPr>
        <w:t>information collected under OMB control number 0910-0495</w:t>
      </w:r>
      <w:r w:rsidRPr="00E4715D">
        <w:rPr>
          <w:rFonts w:ascii="TimesNewRomanPSMT" w:hAnsi="TimesNewRomanPSMT" w:cs="TimesNewRomanPSMT"/>
        </w:rPr>
        <w:t xml:space="preserve">.  </w:t>
      </w:r>
    </w:p>
    <w:p w:rsidR="00F275C9" w:rsidRPr="00E4715D" w:rsidP="000313DD" w14:paraId="3A2B21D6" w14:textId="77777777">
      <w:pPr>
        <w:autoSpaceDE w:val="0"/>
        <w:autoSpaceDN w:val="0"/>
        <w:adjustRightInd w:val="0"/>
        <w:rPr>
          <w:rFonts w:ascii="TimesNewRomanPSMT" w:hAnsi="TimesNewRomanPSMT" w:cs="TimesNewRomanPSMT"/>
        </w:rPr>
      </w:pPr>
    </w:p>
    <w:p w:rsidR="002C5742" w:rsidRPr="002C5742" w:rsidP="000313DD" w14:paraId="60E2B7DB" w14:textId="7420A2CA">
      <w:pPr>
        <w:autoSpaceDE w:val="0"/>
        <w:autoSpaceDN w:val="0"/>
        <w:adjustRightInd w:val="0"/>
        <w:rPr>
          <w:rFonts w:ascii="TimesNewRomanPSMT" w:hAnsi="TimesNewRomanPSMT" w:cs="TimesNewRomanPSMT"/>
        </w:rPr>
      </w:pPr>
      <w:r w:rsidRPr="00E4715D">
        <w:rPr>
          <w:rFonts w:ascii="TimesNewRomanPSMT" w:hAnsi="TimesNewRomanPSMT" w:cs="TimesNewRomanPSMT"/>
        </w:rPr>
        <w:t xml:space="preserve">In addition, collections of information covered under OMB Control No. 0910-0546 and this rulemaking cover information collected under section 21 CFR 570.  </w:t>
      </w:r>
      <w:r w:rsidR="003A74EB">
        <w:rPr>
          <w:rFonts w:ascii="TimesNewRomanPSMT" w:hAnsi="TimesNewRomanPSMT" w:cs="TimesNewRomanPSMT"/>
        </w:rPr>
        <w:t>This</w:t>
      </w:r>
      <w:r w:rsidRPr="00E4715D">
        <w:rPr>
          <w:rFonts w:ascii="TimesNewRomanPSMT" w:hAnsi="TimesNewRomanPSMT" w:cs="TimesNewRomanPSMT"/>
        </w:rPr>
        <w:t xml:space="preserve"> rulemaking’s collection of information for GRAS notification procedures for animal food (part 570, subpart E, sections 570.205 to 570.280) is different than the information collected under OMB No. 0910-0546 regarding investigational food additive files under sections 570.17 (Investigational Food Additive Files, Moderate and Complex categories).  Therefore, no duplicative collection of information exists between these two collections of information.</w:t>
      </w:r>
    </w:p>
    <w:p w:rsidR="000313DD" w:rsidRPr="001D1FC9" w:rsidP="000313DD" w14:paraId="52EF1CF7" w14:textId="77777777">
      <w:pPr>
        <w:autoSpaceDE w:val="0"/>
        <w:autoSpaceDN w:val="0"/>
        <w:adjustRightInd w:val="0"/>
        <w:rPr>
          <w:rFonts w:eastAsia="Calibri"/>
          <w:color w:val="000000"/>
        </w:rPr>
      </w:pPr>
    </w:p>
    <w:p w:rsidR="00357C8A" w:rsidRPr="00357C8A" w:rsidP="006705EA" w14:paraId="3A370D2B"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357C8A" w:rsidRPr="000313DD" w:rsidP="000313DD" w14:paraId="6D00F180" w14:textId="77777777">
      <w:pPr>
        <w:autoSpaceDE w:val="0"/>
        <w:autoSpaceDN w:val="0"/>
        <w:adjustRightInd w:val="0"/>
        <w:rPr>
          <w:rFonts w:ascii="TimesNewRomanPSMT" w:hAnsi="TimesNewRomanPSMT" w:cs="TimesNewRomanPSMT"/>
          <w:color w:val="000000"/>
        </w:rPr>
      </w:pPr>
      <w:r>
        <w:rPr>
          <w:rFonts w:ascii="TimesNewRomanPSMT" w:hAnsi="TimesNewRomanPSMT" w:cs="TimesNewRomanPSMT"/>
          <w:color w:val="000000"/>
        </w:rPr>
        <w:t>We estimate ten percent (10%) of respondents are small businesses; however, the</w:t>
      </w:r>
      <w:r w:rsidR="000313DD">
        <w:rPr>
          <w:rFonts w:ascii="TimesNewRomanPSMT" w:hAnsi="TimesNewRomanPSMT" w:cs="TimesNewRomanPSMT"/>
          <w:color w:val="000000"/>
        </w:rPr>
        <w:t xml:space="preserve"> </w:t>
      </w:r>
      <w:r>
        <w:rPr>
          <w:rFonts w:ascii="TimesNewRomanPSMT" w:hAnsi="TimesNewRomanPSMT" w:cs="TimesNewRomanPSMT"/>
          <w:color w:val="000000"/>
        </w:rPr>
        <w:t xml:space="preserve">regulations do not pose an undue burden on small entities. </w:t>
      </w:r>
      <w:r w:rsidR="000313DD">
        <w:rPr>
          <w:rFonts w:ascii="TimesNewRomanPSMT" w:hAnsi="TimesNewRomanPSMT" w:cs="TimesNewRomanPSMT"/>
          <w:color w:val="000000"/>
        </w:rPr>
        <w:t xml:space="preserve"> </w:t>
      </w:r>
      <w:r w:rsidRPr="000313DD" w:rsidR="000313DD">
        <w:rPr>
          <w:rFonts w:ascii="TimesNewRomanPSMT" w:hAnsi="TimesNewRomanPSMT" w:cs="TimesNewRomanPSMT"/>
          <w:color w:val="000000"/>
        </w:rPr>
        <w:t xml:space="preserve">We assist small businesses in complying with our requirements through Regional Small Business Representatives and through scientific and </w:t>
      </w:r>
      <w:r w:rsidRPr="000313DD" w:rsidR="000313DD">
        <w:rPr>
          <w:rFonts w:ascii="TimesNewRomanPSMT" w:hAnsi="TimesNewRomanPSMT" w:cs="TimesNewRomanPSMT"/>
          <w:color w:val="000000"/>
        </w:rPr>
        <w:t xml:space="preserve">administrative </w:t>
      </w:r>
      <w:r w:rsidRPr="000313DD" w:rsidR="000313DD">
        <w:rPr>
          <w:rFonts w:ascii="TimesNewRomanPSMT" w:hAnsi="TimesNewRomanPSMT" w:cs="TimesNewRomanPSMT"/>
          <w:color w:val="000000"/>
        </w:rPr>
        <w:t>staffs</w:t>
      </w:r>
      <w:r w:rsidRPr="000313DD" w:rsidR="000313DD">
        <w:rPr>
          <w:rFonts w:ascii="TimesNewRomanPSMT" w:hAnsi="TimesNewRomanPSMT" w:cs="TimesNewRomanPSMT"/>
          <w:color w:val="000000"/>
        </w:rPr>
        <w:t xml:space="preserve"> within the agency.  Assistance is also available for small businesses via the agency’s website at </w:t>
      </w:r>
      <w:hyperlink r:id="rId6" w:history="1">
        <w:r w:rsidRPr="000313DD" w:rsidR="000313DD">
          <w:rPr>
            <w:rFonts w:ascii="TimesNewRomanPSMT" w:hAnsi="TimesNewRomanPSMT" w:cs="TimesNewRomanPSMT"/>
            <w:color w:val="0563C1"/>
            <w:u w:val="single"/>
          </w:rPr>
          <w:t>https://www.fda.gov/industry/small-business-assistance.</w:t>
        </w:r>
      </w:hyperlink>
    </w:p>
    <w:p w:rsidR="000313DD" w:rsidRPr="00357C8A" w:rsidP="000313DD" w14:paraId="583DB542" w14:textId="77777777">
      <w:pPr>
        <w:autoSpaceDE w:val="0"/>
        <w:autoSpaceDN w:val="0"/>
        <w:adjustRightInd w:val="0"/>
        <w:rPr>
          <w:rFonts w:eastAsia="Calibri"/>
        </w:rPr>
      </w:pPr>
    </w:p>
    <w:p w:rsidR="00357C8A" w:rsidRPr="00357C8A" w:rsidP="006705EA" w14:paraId="525F8542" w14:textId="77777777">
      <w:pPr>
        <w:numPr>
          <w:ilvl w:val="0"/>
          <w:numId w:val="6"/>
        </w:numPr>
        <w:spacing w:after="200" w:line="276" w:lineRule="auto"/>
        <w:rPr>
          <w:rFonts w:eastAsia="Calibri"/>
          <w:u w:val="single"/>
        </w:rPr>
      </w:pPr>
      <w:r w:rsidRPr="00357C8A">
        <w:rPr>
          <w:rFonts w:eastAsia="Calibri"/>
          <w:u w:val="single"/>
        </w:rPr>
        <w:t xml:space="preserve">Consequences of Collecting </w:t>
      </w:r>
      <w:r w:rsidRPr="00357C8A">
        <w:rPr>
          <w:rFonts w:eastAsia="Calibri"/>
          <w:u w:val="single"/>
        </w:rPr>
        <w:t>the Information</w:t>
      </w:r>
      <w:r w:rsidRPr="00357C8A">
        <w:rPr>
          <w:rFonts w:eastAsia="Calibri"/>
          <w:u w:val="single"/>
        </w:rPr>
        <w:t xml:space="preserve"> Less Frequently</w:t>
      </w:r>
    </w:p>
    <w:p w:rsidR="00357C8A" w:rsidP="000313DD" w14:paraId="35881E7A" w14:textId="12396151">
      <w:pPr>
        <w:autoSpaceDE w:val="0"/>
        <w:autoSpaceDN w:val="0"/>
        <w:adjustRightInd w:val="0"/>
        <w:rPr>
          <w:rFonts w:ascii="TimesNewRomanPSMT" w:hAnsi="TimesNewRomanPSMT" w:cs="TimesNewRomanPSMT"/>
        </w:rPr>
      </w:pPr>
      <w:r>
        <w:rPr>
          <w:rFonts w:ascii="TimesNewRomanPSMT" w:hAnsi="TimesNewRomanPSMT" w:cs="TimesNewRomanPSMT"/>
        </w:rPr>
        <w:t xml:space="preserve">GRAS notifications </w:t>
      </w:r>
      <w:r w:rsidR="009D73F8">
        <w:rPr>
          <w:rFonts w:ascii="TimesNewRomanPSMT" w:hAnsi="TimesNewRomanPSMT" w:cs="TimesNewRomanPSMT"/>
        </w:rPr>
        <w:t>will be</w:t>
      </w:r>
      <w:r>
        <w:rPr>
          <w:rFonts w:ascii="TimesNewRomanPSMT" w:hAnsi="TimesNewRomanPSMT" w:cs="TimesNewRomanPSMT"/>
        </w:rPr>
        <w:t xml:space="preserve"> submitted only once and </w:t>
      </w:r>
      <w:r w:rsidR="00BB7331">
        <w:rPr>
          <w:rFonts w:ascii="TimesNewRomanPSMT" w:hAnsi="TimesNewRomanPSMT" w:cs="TimesNewRomanPSMT"/>
        </w:rPr>
        <w:t xml:space="preserve">will </w:t>
      </w:r>
      <w:r>
        <w:rPr>
          <w:rFonts w:ascii="TimesNewRomanPSMT" w:hAnsi="TimesNewRomanPSMT" w:cs="TimesNewRomanPSMT"/>
        </w:rPr>
        <w:t xml:space="preserve">enable </w:t>
      </w:r>
      <w:r w:rsidR="00BB7331">
        <w:rPr>
          <w:rFonts w:ascii="TimesNewRomanPSMT" w:hAnsi="TimesNewRomanPSMT" w:cs="TimesNewRomanPSMT"/>
        </w:rPr>
        <w:t>FDA</w:t>
      </w:r>
      <w:r>
        <w:rPr>
          <w:rFonts w:ascii="TimesNewRomanPSMT" w:hAnsi="TimesNewRomanPSMT" w:cs="TimesNewRomanPSMT"/>
        </w:rPr>
        <w:t xml:space="preserve"> to determine whether the</w:t>
      </w:r>
      <w:r w:rsidR="000313DD">
        <w:rPr>
          <w:rFonts w:ascii="TimesNewRomanPSMT" w:hAnsi="TimesNewRomanPSMT" w:cs="TimesNewRomanPSMT"/>
        </w:rPr>
        <w:t xml:space="preserve"> </w:t>
      </w:r>
      <w:r>
        <w:rPr>
          <w:rFonts w:ascii="TimesNewRomanPSMT" w:hAnsi="TimesNewRomanPSMT" w:cs="TimesNewRomanPSMT"/>
        </w:rPr>
        <w:t>substance is GRAS under the conditions of its intended use or is a food additive subject to</w:t>
      </w:r>
      <w:r w:rsidR="000313DD">
        <w:rPr>
          <w:rFonts w:ascii="TimesNewRomanPSMT" w:hAnsi="TimesNewRomanPSMT" w:cs="TimesNewRomanPSMT"/>
        </w:rPr>
        <w:t xml:space="preserve"> </w:t>
      </w:r>
      <w:r>
        <w:rPr>
          <w:rFonts w:ascii="TimesNewRomanPSMT" w:hAnsi="TimesNewRomanPSMT" w:cs="TimesNewRomanPSMT"/>
        </w:rPr>
        <w:t>premarket review.</w:t>
      </w:r>
      <w:r w:rsidR="0086710D">
        <w:rPr>
          <w:rFonts w:ascii="TimesNewRomanPSMT" w:hAnsi="TimesNewRomanPSMT" w:cs="TimesNewRomanPSMT"/>
        </w:rPr>
        <w:t xml:space="preserve">  </w:t>
      </w:r>
      <w:r>
        <w:rPr>
          <w:rFonts w:ascii="TimesNewRomanPSMT" w:hAnsi="TimesNewRomanPSMT" w:cs="TimesNewRomanPSMT"/>
        </w:rPr>
        <w:t xml:space="preserve">We </w:t>
      </w:r>
      <w:r w:rsidR="00EB353D">
        <w:rPr>
          <w:rFonts w:ascii="TimesNewRomanPSMT" w:hAnsi="TimesNewRomanPSMT" w:cs="TimesNewRomanPSMT"/>
        </w:rPr>
        <w:t xml:space="preserve">will </w:t>
      </w:r>
      <w:r>
        <w:rPr>
          <w:rFonts w:ascii="TimesNewRomanPSMT" w:hAnsi="TimesNewRomanPSMT" w:cs="TimesNewRomanPSMT"/>
        </w:rPr>
        <w:t>use the information collected through th</w:t>
      </w:r>
      <w:r w:rsidR="00186926">
        <w:rPr>
          <w:rFonts w:ascii="TimesNewRomanPSMT" w:hAnsi="TimesNewRomanPSMT" w:cs="TimesNewRomanPSMT"/>
        </w:rPr>
        <w:t>is</w:t>
      </w:r>
      <w:r>
        <w:rPr>
          <w:rFonts w:ascii="TimesNewRomanPSMT" w:hAnsi="TimesNewRomanPSMT" w:cs="TimesNewRomanPSMT"/>
        </w:rPr>
        <w:t xml:space="preserve"> GRAS notification</w:t>
      </w:r>
      <w:r w:rsidR="000313DD">
        <w:rPr>
          <w:rFonts w:ascii="TimesNewRomanPSMT" w:hAnsi="TimesNewRomanPSMT" w:cs="TimesNewRomanPSMT"/>
        </w:rPr>
        <w:t xml:space="preserve"> </w:t>
      </w:r>
      <w:r>
        <w:rPr>
          <w:rFonts w:ascii="TimesNewRomanPSMT" w:hAnsi="TimesNewRomanPSMT" w:cs="TimesNewRomanPSMT"/>
        </w:rPr>
        <w:t>procedure to complete our evaluation within the timelines specified in the regulations</w:t>
      </w:r>
      <w:r w:rsidR="000313DD">
        <w:rPr>
          <w:rFonts w:ascii="TimesNewRomanPSMT" w:hAnsi="TimesNewRomanPSMT" w:cs="TimesNewRomanPSMT"/>
        </w:rPr>
        <w:t xml:space="preserve"> </w:t>
      </w:r>
      <w:r>
        <w:rPr>
          <w:rFonts w:ascii="TimesNewRomanPSMT" w:hAnsi="TimesNewRomanPSMT" w:cs="TimesNewRomanPSMT"/>
        </w:rPr>
        <w:t>associated with parts 170 and 570.</w:t>
      </w:r>
    </w:p>
    <w:p w:rsidR="00B75FB6" w:rsidP="000313DD" w14:paraId="02313A00" w14:textId="77777777">
      <w:pPr>
        <w:autoSpaceDE w:val="0"/>
        <w:autoSpaceDN w:val="0"/>
        <w:adjustRightInd w:val="0"/>
        <w:rPr>
          <w:rFonts w:ascii="TimesNewRomanPSMT" w:hAnsi="TimesNewRomanPSMT" w:cs="TimesNewRomanPSMT"/>
        </w:rPr>
      </w:pPr>
    </w:p>
    <w:p w:rsidR="00B75FB6" w:rsidRPr="001D1FC9" w:rsidP="000313DD" w14:paraId="251D80A5" w14:textId="01977808">
      <w:pPr>
        <w:autoSpaceDE w:val="0"/>
        <w:autoSpaceDN w:val="0"/>
        <w:adjustRightInd w:val="0"/>
        <w:rPr>
          <w:rFonts w:eastAsia="Calibri"/>
          <w:color w:val="000000"/>
        </w:rPr>
      </w:pPr>
      <w:r>
        <w:rPr>
          <w:rFonts w:ascii="TimesNewRomanPSMT" w:hAnsi="TimesNewRomanPSMT" w:cs="TimesNewRomanPSMT"/>
        </w:rPr>
        <w:t xml:space="preserve">Regarding the TOR exemption for food substances, </w:t>
      </w:r>
      <w:r w:rsidR="009D73F8">
        <w:rPr>
          <w:rFonts w:ascii="TimesNewRomanPSMT" w:hAnsi="TimesNewRomanPSMT" w:cs="TimesNewRomanPSMT"/>
        </w:rPr>
        <w:t>r</w:t>
      </w:r>
      <w:r w:rsidRPr="009D73F8" w:rsidR="009D73F8">
        <w:rPr>
          <w:rFonts w:ascii="TimesNewRomanPSMT" w:hAnsi="TimesNewRomanPSMT" w:cs="TimesNewRomanPSMT"/>
        </w:rPr>
        <w:t xml:space="preserve">espondents </w:t>
      </w:r>
      <w:r w:rsidR="009D73F8">
        <w:rPr>
          <w:rFonts w:ascii="TimesNewRomanPSMT" w:hAnsi="TimesNewRomanPSMT" w:cs="TimesNewRomanPSMT"/>
        </w:rPr>
        <w:t xml:space="preserve">will </w:t>
      </w:r>
      <w:r w:rsidRPr="009D73F8" w:rsidR="009D73F8">
        <w:rPr>
          <w:rFonts w:ascii="TimesNewRomanPSMT" w:hAnsi="TimesNewRomanPSMT" w:cs="TimesNewRomanPSMT"/>
        </w:rPr>
        <w:t xml:space="preserve">submit the required information on an occasional basis, as required by 21 CFR 170.39.  Any restriction of the right to require certain types of data for requests submitted under this policy would significantly decrease the number of food substances exempted from the requirement that they be the subject of food additive petitions or </w:t>
      </w:r>
      <w:r w:rsidR="00E90858">
        <w:rPr>
          <w:rFonts w:ascii="TimesNewRomanPSMT" w:hAnsi="TimesNewRomanPSMT" w:cs="TimesNewRomanPSMT"/>
        </w:rPr>
        <w:t>GRAS</w:t>
      </w:r>
      <w:r w:rsidRPr="009D73F8" w:rsidR="009D73F8">
        <w:rPr>
          <w:rFonts w:ascii="TimesNewRomanPSMT" w:hAnsi="TimesNewRomanPSMT" w:cs="TimesNewRomanPSMT"/>
        </w:rPr>
        <w:t xml:space="preserve"> notifications.  Exemptions would be restricted to those situations which involve substances which are GRAS whose use was sanctioned prior to January 1, 1958, and substances approved for investigational use under section 409(j) of the FD&amp;C Act.  All other food</w:t>
      </w:r>
      <w:r w:rsidR="00C761E4">
        <w:rPr>
          <w:rFonts w:ascii="TimesNewRomanPSMT" w:hAnsi="TimesNewRomanPSMT" w:cs="TimesNewRomanPSMT"/>
        </w:rPr>
        <w:t xml:space="preserve"> substance</w:t>
      </w:r>
      <w:r w:rsidR="00681259">
        <w:rPr>
          <w:rFonts w:ascii="TimesNewRomanPSMT" w:hAnsi="TimesNewRomanPSMT" w:cs="TimesNewRomanPSMT"/>
        </w:rPr>
        <w:t>s</w:t>
      </w:r>
      <w:r w:rsidRPr="009D73F8" w:rsidR="009D73F8">
        <w:rPr>
          <w:rFonts w:ascii="TimesNewRomanPSMT" w:hAnsi="TimesNewRomanPSMT" w:cs="TimesNewRomanPSMT"/>
        </w:rPr>
        <w:t xml:space="preserve"> </w:t>
      </w:r>
      <w:r w:rsidRPr="009D73F8" w:rsidR="009D73F8">
        <w:rPr>
          <w:rFonts w:ascii="TimesNewRomanPSMT" w:hAnsi="TimesNewRomanPSMT" w:cs="TimesNewRomanPSMT"/>
        </w:rPr>
        <w:t>would require</w:t>
      </w:r>
      <w:r w:rsidRPr="009D73F8" w:rsidR="009D73F8">
        <w:rPr>
          <w:rFonts w:ascii="TimesNewRomanPSMT" w:hAnsi="TimesNewRomanPSMT" w:cs="TimesNewRomanPSMT"/>
        </w:rPr>
        <w:t xml:space="preserve"> premarket approval via the food additive petition process or the notification process.</w:t>
      </w:r>
    </w:p>
    <w:p w:rsidR="000313DD" w:rsidRPr="001D1FC9" w:rsidP="000313DD" w14:paraId="4205FE92" w14:textId="77777777">
      <w:pPr>
        <w:autoSpaceDE w:val="0"/>
        <w:autoSpaceDN w:val="0"/>
        <w:adjustRightInd w:val="0"/>
        <w:rPr>
          <w:rFonts w:eastAsia="Calibri"/>
          <w:color w:val="000000"/>
        </w:rPr>
      </w:pPr>
    </w:p>
    <w:p w:rsidR="00357C8A" w:rsidRPr="00357C8A" w:rsidP="006705EA" w14:paraId="7B03EF1E"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1D1FC9" w:rsidP="000313DD" w14:paraId="60F9480F" w14:textId="38C9AD4F">
      <w:pPr>
        <w:autoSpaceDE w:val="0"/>
        <w:autoSpaceDN w:val="0"/>
        <w:adjustRightInd w:val="0"/>
        <w:rPr>
          <w:rFonts w:eastAsia="Calibri"/>
          <w:color w:val="000000"/>
        </w:rPr>
      </w:pPr>
      <w:r>
        <w:rPr>
          <w:rFonts w:ascii="TimesNewRomanPSMT" w:hAnsi="TimesNewRomanPSMT" w:cs="TimesNewRomanPSMT"/>
        </w:rPr>
        <w:t>The information collection requirements are consistent with 5 CFR 1320.5, except</w:t>
      </w:r>
      <w:r w:rsidR="00107124">
        <w:rPr>
          <w:rFonts w:ascii="TimesNewRomanPSMT" w:hAnsi="TimesNewRomanPSMT" w:cs="TimesNewRomanPSMT"/>
        </w:rPr>
        <w:t xml:space="preserve"> for</w:t>
      </w:r>
      <w:r w:rsidR="000313DD">
        <w:rPr>
          <w:rFonts w:ascii="TimesNewRomanPSMT" w:hAnsi="TimesNewRomanPSMT" w:cs="TimesNewRomanPSMT"/>
        </w:rPr>
        <w:t xml:space="preserve"> </w:t>
      </w:r>
      <w:r>
        <w:rPr>
          <w:rFonts w:ascii="TimesNewRomanPSMT" w:hAnsi="TimesNewRomanPSMT" w:cs="TimesNewRomanPSMT"/>
        </w:rPr>
        <w:t xml:space="preserve">indefinite extended retention of GRAS notification records. </w:t>
      </w:r>
      <w:r w:rsidR="000313DD">
        <w:rPr>
          <w:rFonts w:ascii="TimesNewRomanPSMT" w:hAnsi="TimesNewRomanPSMT" w:cs="TimesNewRomanPSMT"/>
        </w:rPr>
        <w:t xml:space="preserve"> </w:t>
      </w:r>
      <w:r>
        <w:rPr>
          <w:rFonts w:ascii="TimesNewRomanPSMT" w:hAnsi="TimesNewRomanPSMT" w:cs="TimesNewRomanPSMT"/>
        </w:rPr>
        <w:t>We believe this extended</w:t>
      </w:r>
      <w:r w:rsidR="000313DD">
        <w:rPr>
          <w:rFonts w:ascii="TimesNewRomanPSMT" w:hAnsi="TimesNewRomanPSMT" w:cs="TimesNewRomanPSMT"/>
        </w:rPr>
        <w:t xml:space="preserve"> </w:t>
      </w:r>
      <w:r>
        <w:rPr>
          <w:rFonts w:ascii="TimesNewRomanPSMT" w:hAnsi="TimesNewRomanPSMT" w:cs="TimesNewRomanPSMT"/>
        </w:rPr>
        <w:t>retention period is necessary because, under the regulations, notifiers submit a summary</w:t>
      </w:r>
      <w:r w:rsidR="000313DD">
        <w:rPr>
          <w:rFonts w:ascii="TimesNewRomanPSMT" w:hAnsi="TimesNewRomanPSMT" w:cs="TimesNewRomanPSMT"/>
        </w:rPr>
        <w:t xml:space="preserve"> </w:t>
      </w:r>
      <w:r>
        <w:rPr>
          <w:rFonts w:ascii="TimesNewRomanPSMT" w:hAnsi="TimesNewRomanPSMT" w:cs="TimesNewRomanPSMT"/>
        </w:rPr>
        <w:t>of information that provides the basis for a conclusion of GRAS status rather than the</w:t>
      </w:r>
      <w:r w:rsidR="000313DD">
        <w:rPr>
          <w:rFonts w:ascii="TimesNewRomanPSMT" w:hAnsi="TimesNewRomanPSMT" w:cs="TimesNewRomanPSMT"/>
        </w:rPr>
        <w:t xml:space="preserve"> </w:t>
      </w:r>
      <w:r>
        <w:rPr>
          <w:rFonts w:ascii="TimesNewRomanPSMT" w:hAnsi="TimesNewRomanPSMT" w:cs="TimesNewRomanPSMT"/>
        </w:rPr>
        <w:t xml:space="preserve">information itself. </w:t>
      </w:r>
      <w:r w:rsidR="000313DD">
        <w:rPr>
          <w:rFonts w:ascii="TimesNewRomanPSMT" w:hAnsi="TimesNewRomanPSMT" w:cs="TimesNewRomanPSMT"/>
        </w:rPr>
        <w:t xml:space="preserve"> </w:t>
      </w:r>
      <w:r>
        <w:rPr>
          <w:rFonts w:ascii="TimesNewRomanPSMT" w:hAnsi="TimesNewRomanPSMT" w:cs="TimesNewRomanPSMT"/>
        </w:rPr>
        <w:t>Although the regulations in 21 CFR part</w:t>
      </w:r>
      <w:r w:rsidR="00356479">
        <w:rPr>
          <w:rFonts w:ascii="TimesNewRomanPSMT" w:hAnsi="TimesNewRomanPSMT" w:cs="TimesNewRomanPSMT"/>
        </w:rPr>
        <w:t>s</w:t>
      </w:r>
      <w:r>
        <w:rPr>
          <w:rFonts w:ascii="TimesNewRomanPSMT" w:hAnsi="TimesNewRomanPSMT" w:cs="TimesNewRomanPSMT"/>
        </w:rPr>
        <w:t xml:space="preserve"> 170 </w:t>
      </w:r>
      <w:r w:rsidR="00356479">
        <w:rPr>
          <w:rFonts w:ascii="TimesNewRomanPSMT" w:hAnsi="TimesNewRomanPSMT" w:cs="TimesNewRomanPSMT"/>
        </w:rPr>
        <w:t>and</w:t>
      </w:r>
      <w:r>
        <w:rPr>
          <w:rFonts w:ascii="TimesNewRomanPSMT" w:hAnsi="TimesNewRomanPSMT" w:cs="TimesNewRomanPSMT"/>
        </w:rPr>
        <w:t xml:space="preserve"> 570 do</w:t>
      </w:r>
      <w:r w:rsidR="000313DD">
        <w:rPr>
          <w:rFonts w:ascii="TimesNewRomanPSMT" w:hAnsi="TimesNewRomanPSMT" w:cs="TimesNewRomanPSMT"/>
        </w:rPr>
        <w:t xml:space="preserve"> </w:t>
      </w:r>
      <w:r>
        <w:rPr>
          <w:rFonts w:ascii="TimesNewRomanPSMT" w:hAnsi="TimesNewRomanPSMT" w:cs="TimesNewRomanPSMT"/>
        </w:rPr>
        <w:t>not specify any timeframe to retain the data and information that supports the conclusion</w:t>
      </w:r>
      <w:r w:rsidR="000313DD">
        <w:rPr>
          <w:rFonts w:ascii="TimesNewRomanPSMT" w:hAnsi="TimesNewRomanPSMT" w:cs="TimesNewRomanPSMT"/>
        </w:rPr>
        <w:t xml:space="preserve"> </w:t>
      </w:r>
      <w:r>
        <w:rPr>
          <w:rFonts w:ascii="TimesNewRomanPSMT" w:hAnsi="TimesNewRomanPSMT" w:cs="TimesNewRomanPSMT"/>
        </w:rPr>
        <w:t>of GRAS status, preservation of the data and information that are the basis for the</w:t>
      </w:r>
      <w:r w:rsidR="000313DD">
        <w:rPr>
          <w:rFonts w:ascii="TimesNewRomanPSMT" w:hAnsi="TimesNewRomanPSMT" w:cs="TimesNewRomanPSMT"/>
        </w:rPr>
        <w:t xml:space="preserve"> </w:t>
      </w:r>
      <w:r>
        <w:rPr>
          <w:rFonts w:ascii="TimesNewRomanPSMT" w:hAnsi="TimesNewRomanPSMT" w:cs="TimesNewRomanPSMT"/>
        </w:rPr>
        <w:t>conclusion of GRAS status represents prudent practice for those who claim an exclusion</w:t>
      </w:r>
      <w:r w:rsidR="000313DD">
        <w:rPr>
          <w:rFonts w:ascii="TimesNewRomanPSMT" w:hAnsi="TimesNewRomanPSMT" w:cs="TimesNewRomanPSMT"/>
        </w:rPr>
        <w:t xml:space="preserve"> </w:t>
      </w:r>
      <w:r>
        <w:rPr>
          <w:rFonts w:ascii="TimesNewRomanPSMT" w:hAnsi="TimesNewRomanPSMT" w:cs="TimesNewRomanPSMT"/>
        </w:rPr>
        <w:t>from a statutory requirement.</w:t>
      </w:r>
    </w:p>
    <w:p w:rsidR="00EE5898" w:rsidRPr="00357C8A" w:rsidP="00EE5898" w14:paraId="564E5285" w14:textId="77777777">
      <w:pPr>
        <w:autoSpaceDE w:val="0"/>
        <w:autoSpaceDN w:val="0"/>
        <w:adjustRightInd w:val="0"/>
        <w:rPr>
          <w:rFonts w:eastAsia="Calibri"/>
        </w:rPr>
      </w:pPr>
    </w:p>
    <w:p w:rsidR="00357C8A" w:rsidRPr="00357C8A" w:rsidP="006705EA" w14:paraId="15C0A7D0" w14:textId="77777777">
      <w:pPr>
        <w:numPr>
          <w:ilvl w:val="0"/>
          <w:numId w:val="6"/>
        </w:numPr>
        <w:spacing w:after="200" w:line="276" w:lineRule="auto"/>
        <w:rPr>
          <w:rFonts w:eastAsia="Calibri"/>
        </w:rPr>
      </w:pPr>
      <w:bookmarkStart w:id="0" w:name="_Hlk103671764"/>
      <w:r w:rsidRPr="00357C8A">
        <w:rPr>
          <w:rFonts w:eastAsia="Calibri"/>
          <w:u w:val="single"/>
        </w:rPr>
        <w:t>Comments in Response to the Federal Register Notice and Efforts to Consult Outside the Agency</w:t>
      </w:r>
    </w:p>
    <w:p w:rsidR="00357C8A" w:rsidRPr="00624497" w:rsidP="00230554" w14:paraId="269A2C00" w14:textId="28D98A50">
      <w:pPr>
        <w:spacing w:after="200"/>
        <w:rPr>
          <w:rFonts w:ascii="TimesNewRomanPSMT" w:hAnsi="TimesNewRomanPSMT" w:cs="TimesNewRomanPSMT"/>
        </w:rPr>
      </w:pPr>
      <w:bookmarkStart w:id="1" w:name="_Hlk103671224"/>
      <w:r w:rsidRPr="00230554">
        <w:rPr>
          <w:rFonts w:ascii="TimesNewRomanPSMT" w:hAnsi="TimesNewRomanPSMT" w:cs="TimesNewRomanPSMT"/>
        </w:rPr>
        <w:t>In compliance with the Paperwork Reduction Act of 1995 (44 U.S.C. 3506(c)(2)(B)), we</w:t>
      </w:r>
      <w:r w:rsidR="00624497">
        <w:rPr>
          <w:rFonts w:ascii="TimesNewRomanPSMT" w:hAnsi="TimesNewRomanPSMT" w:cs="TimesNewRomanPSMT"/>
        </w:rPr>
        <w:t xml:space="preserve"> </w:t>
      </w:r>
      <w:r w:rsidRPr="00230554">
        <w:rPr>
          <w:rFonts w:ascii="TimesNewRomanPSMT" w:hAnsi="TimesNewRomanPSMT" w:cs="TimesNewRomanPSMT"/>
        </w:rPr>
        <w:t xml:space="preserve">solicited public comment on the information collection provisions in our proposed rule published in the </w:t>
      </w:r>
      <w:r w:rsidRPr="00624497">
        <w:rPr>
          <w:rFonts w:ascii="TimesNewRomanPSMT" w:hAnsi="TimesNewRomanPSMT" w:cs="TimesNewRomanPSMT"/>
          <w:i/>
          <w:iCs/>
        </w:rPr>
        <w:t>Federal Register</w:t>
      </w:r>
      <w:r w:rsidRPr="00230554">
        <w:rPr>
          <w:rFonts w:ascii="TimesNewRomanPSMT" w:hAnsi="TimesNewRomanPSMT" w:cs="TimesNewRomanPSMT"/>
        </w:rPr>
        <w:t xml:space="preserve"> of </w:t>
      </w:r>
      <w:r w:rsidRPr="00B364E1" w:rsidR="007B328F">
        <w:rPr>
          <w:rFonts w:ascii="TimesNewRomanPSMT" w:hAnsi="TimesNewRomanPSMT" w:cs="TimesNewRomanPSMT"/>
        </w:rPr>
        <w:t>August</w:t>
      </w:r>
      <w:r w:rsidRPr="00B364E1" w:rsidR="005609B1">
        <w:rPr>
          <w:rFonts w:ascii="TimesNewRomanPSMT" w:hAnsi="TimesNewRomanPSMT" w:cs="TimesNewRomanPSMT"/>
        </w:rPr>
        <w:t xml:space="preserve"> </w:t>
      </w:r>
      <w:r w:rsidRPr="00B364E1" w:rsidR="00E4715D">
        <w:rPr>
          <w:rFonts w:ascii="TimesNewRomanPSMT" w:hAnsi="TimesNewRomanPSMT" w:cs="TimesNewRomanPSMT"/>
        </w:rPr>
        <w:t>11</w:t>
      </w:r>
      <w:r w:rsidRPr="00B364E1" w:rsidR="005609B1">
        <w:rPr>
          <w:rFonts w:ascii="TimesNewRomanPSMT" w:hAnsi="TimesNewRomanPSMT" w:cs="TimesNewRomanPSMT"/>
        </w:rPr>
        <w:t>, 202</w:t>
      </w:r>
      <w:r w:rsidRPr="00B364E1" w:rsidR="009E56DC">
        <w:rPr>
          <w:rFonts w:ascii="TimesNewRomanPSMT" w:hAnsi="TimesNewRomanPSMT" w:cs="TimesNewRomanPSMT"/>
        </w:rPr>
        <w:t>6</w:t>
      </w:r>
      <w:r w:rsidRPr="00B364E1">
        <w:rPr>
          <w:rFonts w:ascii="TimesNewRomanPSMT" w:hAnsi="TimesNewRomanPSMT" w:cs="TimesNewRomanPSMT"/>
        </w:rPr>
        <w:t xml:space="preserve"> (</w:t>
      </w:r>
      <w:r w:rsidRPr="00B364E1" w:rsidR="00E4715D">
        <w:rPr>
          <w:rFonts w:ascii="TimesNewRomanPSMT" w:hAnsi="TimesNewRomanPSMT" w:cs="TimesNewRomanPSMT"/>
        </w:rPr>
        <w:t>91</w:t>
      </w:r>
      <w:r w:rsidRPr="00B364E1">
        <w:rPr>
          <w:rFonts w:ascii="TimesNewRomanPSMT" w:hAnsi="TimesNewRomanPSMT" w:cs="TimesNewRomanPSMT"/>
        </w:rPr>
        <w:t xml:space="preserve"> FR </w:t>
      </w:r>
      <w:r w:rsidRPr="00B364E1" w:rsidR="002E3EAA">
        <w:rPr>
          <w:rFonts w:ascii="TimesNewRomanPSMT" w:hAnsi="TimesNewRomanPSMT" w:cs="TimesNewRomanPSMT"/>
        </w:rPr>
        <w:t>51834</w:t>
      </w:r>
      <w:r w:rsidRPr="00B364E1">
        <w:rPr>
          <w:rFonts w:ascii="TimesNewRomanPSMT" w:hAnsi="TimesNewRomanPSMT" w:cs="TimesNewRomanPSMT"/>
        </w:rPr>
        <w:t>)</w:t>
      </w:r>
      <w:r w:rsidRPr="002E3EAA" w:rsidR="00A80A60">
        <w:rPr>
          <w:rFonts w:ascii="TimesNewRomanPSMT" w:hAnsi="TimesNewRomanPSMT" w:cs="TimesNewRomanPSMT"/>
        </w:rPr>
        <w:t>.</w:t>
      </w:r>
      <w:r w:rsidRPr="00710B66" w:rsidR="00710B66">
        <w:rPr>
          <w:rFonts w:ascii="TimesNewRomanPSMT" w:hAnsi="TimesNewRomanPSMT" w:cs="TimesNewRomanPSMT"/>
        </w:rPr>
        <w:t xml:space="preserve">   </w:t>
      </w:r>
    </w:p>
    <w:bookmarkEnd w:id="0"/>
    <w:bookmarkEnd w:id="1"/>
    <w:p w:rsidR="00357C8A" w:rsidRPr="00357C8A" w:rsidP="006705EA" w14:paraId="0396BADE"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0E5D65" w:rsidP="00357C8A" w14:paraId="488B9956" w14:textId="77777777">
      <w:pPr>
        <w:spacing w:after="200"/>
        <w:rPr>
          <w:rFonts w:eastAsia="Calibri"/>
        </w:rPr>
      </w:pPr>
      <w:r w:rsidRPr="002074FE">
        <w:rPr>
          <w:rFonts w:eastAsia="Calibri"/>
        </w:rPr>
        <w:t>There are no incentives, payments or gifts associated with this information collection.</w:t>
      </w:r>
    </w:p>
    <w:p w:rsidR="00357C8A" w:rsidRPr="00357C8A" w:rsidP="006705EA" w14:paraId="2E86450C"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A849A6" w:rsidP="00FF6725" w14:paraId="701397CD" w14:textId="090B3907">
      <w:pPr>
        <w:rPr>
          <w:rFonts w:eastAsia="Calibri"/>
        </w:rPr>
      </w:pPr>
      <w:r w:rsidRPr="00A849A6">
        <w:rPr>
          <w:rFonts w:eastAsia="Calibri"/>
        </w:rPr>
        <w:t xml:space="preserve">In accordance with our public information regulations in </w:t>
      </w:r>
      <w:r w:rsidR="00B91D20">
        <w:rPr>
          <w:rFonts w:eastAsia="Calibri"/>
        </w:rPr>
        <w:t>21 CFR</w:t>
      </w:r>
      <w:r w:rsidRPr="00A849A6">
        <w:rPr>
          <w:rFonts w:eastAsia="Calibri"/>
        </w:rPr>
        <w:t xml:space="preserve"> 20.85 (Disclosure to other</w:t>
      </w:r>
      <w:r w:rsidR="00503671">
        <w:rPr>
          <w:rFonts w:eastAsia="Calibri"/>
        </w:rPr>
        <w:t xml:space="preserve"> </w:t>
      </w:r>
      <w:r w:rsidRPr="00A849A6">
        <w:rPr>
          <w:rFonts w:eastAsia="Calibri"/>
        </w:rPr>
        <w:t>Federal government departments and agencies), we can share confidential commercial</w:t>
      </w:r>
      <w:r w:rsidR="00503671">
        <w:rPr>
          <w:rFonts w:eastAsia="Calibri"/>
        </w:rPr>
        <w:t xml:space="preserve"> </w:t>
      </w:r>
      <w:r w:rsidRPr="00A849A6">
        <w:rPr>
          <w:rFonts w:eastAsia="Calibri"/>
        </w:rPr>
        <w:t>information with another Federal agency pursuant to a written agreement that the record</w:t>
      </w:r>
      <w:r w:rsidR="00503671">
        <w:rPr>
          <w:rFonts w:eastAsia="Calibri"/>
        </w:rPr>
        <w:t xml:space="preserve"> </w:t>
      </w:r>
      <w:r w:rsidRPr="00A849A6">
        <w:rPr>
          <w:rFonts w:eastAsia="Calibri"/>
        </w:rPr>
        <w:t xml:space="preserve">will not be further disclosed. </w:t>
      </w:r>
      <w:r w:rsidR="00503671">
        <w:rPr>
          <w:rFonts w:eastAsia="Calibri"/>
        </w:rPr>
        <w:t xml:space="preserve"> </w:t>
      </w:r>
      <w:r w:rsidRPr="00A849A6">
        <w:rPr>
          <w:rFonts w:eastAsia="Calibri"/>
        </w:rPr>
        <w:t>The MOU between FDA and USDA’s FSIS</w:t>
      </w:r>
      <w:r w:rsidR="00503671">
        <w:rPr>
          <w:rFonts w:eastAsia="Calibri"/>
        </w:rPr>
        <w:t xml:space="preserve"> </w:t>
      </w:r>
      <w:r w:rsidRPr="00A849A6">
        <w:rPr>
          <w:rFonts w:eastAsia="Calibri"/>
        </w:rPr>
        <w:t>provides for FDA to share with FSIS confidential commercial information in a</w:t>
      </w:r>
      <w:r w:rsidR="00503671">
        <w:rPr>
          <w:rFonts w:eastAsia="Calibri"/>
        </w:rPr>
        <w:t xml:space="preserve"> </w:t>
      </w:r>
      <w:r w:rsidRPr="00A849A6">
        <w:rPr>
          <w:rFonts w:eastAsia="Calibri"/>
        </w:rPr>
        <w:t xml:space="preserve">submission such as a GRAS notice. </w:t>
      </w:r>
      <w:r w:rsidR="00503671">
        <w:rPr>
          <w:rFonts w:eastAsia="Calibri"/>
        </w:rPr>
        <w:t xml:space="preserve"> </w:t>
      </w:r>
      <w:r w:rsidRPr="00A849A6">
        <w:rPr>
          <w:rFonts w:eastAsia="Calibri"/>
        </w:rPr>
        <w:t>We generally cannot share trade secret</w:t>
      </w:r>
      <w:r w:rsidR="00503671">
        <w:rPr>
          <w:rFonts w:eastAsia="Calibri"/>
        </w:rPr>
        <w:t xml:space="preserve"> </w:t>
      </w:r>
      <w:r w:rsidRPr="00A849A6">
        <w:rPr>
          <w:rFonts w:eastAsia="Calibri"/>
        </w:rPr>
        <w:t xml:space="preserve">information with other Federal agencies under section 301(j) of the </w:t>
      </w:r>
      <w:r w:rsidRPr="00A849A6">
        <w:rPr>
          <w:rFonts w:eastAsia="Calibri"/>
        </w:rPr>
        <w:t>FD&amp;C Act (21</w:t>
      </w:r>
      <w:r w:rsidR="00503671">
        <w:rPr>
          <w:rFonts w:eastAsia="Calibri"/>
        </w:rPr>
        <w:t xml:space="preserve"> </w:t>
      </w:r>
      <w:r w:rsidRPr="00A849A6">
        <w:rPr>
          <w:rFonts w:eastAsia="Calibri"/>
        </w:rPr>
        <w:t>U.S.C. 331(j)), and therefore we would need the notifier’s authorization to share this</w:t>
      </w:r>
      <w:r w:rsidR="00503671">
        <w:rPr>
          <w:rFonts w:eastAsia="Calibri"/>
        </w:rPr>
        <w:t xml:space="preserve"> </w:t>
      </w:r>
      <w:r w:rsidRPr="00A849A6">
        <w:rPr>
          <w:rFonts w:eastAsia="Calibri"/>
        </w:rPr>
        <w:t>information with FSIS.</w:t>
      </w:r>
    </w:p>
    <w:p w:rsidR="00503671" w:rsidRPr="00A849A6" w:rsidP="00FF6725" w14:paraId="3AB38763" w14:textId="77777777">
      <w:pPr>
        <w:rPr>
          <w:rFonts w:eastAsia="Calibri"/>
        </w:rPr>
      </w:pPr>
    </w:p>
    <w:p w:rsidR="00A849A6" w:rsidP="00FF6725" w14:paraId="145DBACF" w14:textId="4BE15B59">
      <w:pPr>
        <w:rPr>
          <w:rFonts w:eastAsia="Calibri"/>
        </w:rPr>
      </w:pPr>
      <w:r w:rsidRPr="00A849A6">
        <w:rPr>
          <w:rFonts w:eastAsia="Calibri"/>
        </w:rPr>
        <w:t>For efficiency in administering the coordinated evaluation of a GRAS notice with FSIS,</w:t>
      </w:r>
      <w:r w:rsidR="00503671">
        <w:rPr>
          <w:rFonts w:eastAsia="Calibri"/>
        </w:rPr>
        <w:t xml:space="preserve"> </w:t>
      </w:r>
      <w:r w:rsidRPr="00A849A6">
        <w:rPr>
          <w:rFonts w:eastAsia="Calibri"/>
        </w:rPr>
        <w:t xml:space="preserve">we </w:t>
      </w:r>
      <w:r w:rsidR="003057E5">
        <w:rPr>
          <w:rFonts w:eastAsia="Calibri"/>
        </w:rPr>
        <w:t>will</w:t>
      </w:r>
      <w:r w:rsidRPr="00A849A6">
        <w:rPr>
          <w:rFonts w:eastAsia="Calibri"/>
        </w:rPr>
        <w:t xml:space="preserve"> add a requirement for a notifier who submits a GRAS notice that we would</w:t>
      </w:r>
      <w:r w:rsidR="00503671">
        <w:rPr>
          <w:rFonts w:eastAsia="Calibri"/>
        </w:rPr>
        <w:t xml:space="preserve"> </w:t>
      </w:r>
      <w:r w:rsidRPr="00A849A6">
        <w:rPr>
          <w:rFonts w:eastAsia="Calibri"/>
        </w:rPr>
        <w:t xml:space="preserve">send to FSIS to include in </w:t>
      </w:r>
      <w:r w:rsidR="00EC4500">
        <w:rPr>
          <w:rFonts w:eastAsia="Calibri"/>
        </w:rPr>
        <w:t>P</w:t>
      </w:r>
      <w:r w:rsidRPr="00A849A6">
        <w:rPr>
          <w:rFonts w:eastAsia="Calibri"/>
        </w:rPr>
        <w:t>art 1 of the GRAS notice a statement as to whether the</w:t>
      </w:r>
      <w:r w:rsidR="00503671">
        <w:rPr>
          <w:rFonts w:eastAsia="Calibri"/>
        </w:rPr>
        <w:t xml:space="preserve"> </w:t>
      </w:r>
      <w:r w:rsidRPr="00A849A6">
        <w:rPr>
          <w:rFonts w:eastAsia="Calibri"/>
        </w:rPr>
        <w:t xml:space="preserve">notifier: (1) </w:t>
      </w:r>
      <w:r w:rsidR="004655C9">
        <w:rPr>
          <w:rFonts w:eastAsia="Calibri"/>
        </w:rPr>
        <w:t>a</w:t>
      </w:r>
      <w:r w:rsidRPr="00A849A6">
        <w:rPr>
          <w:rFonts w:eastAsia="Calibri"/>
        </w:rPr>
        <w:t>uthorizes us to send any trade secrets to FSIS; or (2) asks us to exclude</w:t>
      </w:r>
      <w:r w:rsidR="00503671">
        <w:rPr>
          <w:rFonts w:eastAsia="Calibri"/>
        </w:rPr>
        <w:t xml:space="preserve"> </w:t>
      </w:r>
      <w:r w:rsidRPr="00A849A6">
        <w:rPr>
          <w:rFonts w:eastAsia="Calibri"/>
        </w:rPr>
        <w:t>any trade secrets from the copy of the GRAS notice that we will send to FSIS (see §</w:t>
      </w:r>
      <w:r w:rsidR="00503671">
        <w:rPr>
          <w:rFonts w:eastAsia="Calibri"/>
        </w:rPr>
        <w:t xml:space="preserve"> </w:t>
      </w:r>
      <w:r w:rsidRPr="00A849A6">
        <w:rPr>
          <w:rFonts w:eastAsia="Calibri"/>
        </w:rPr>
        <w:t xml:space="preserve">170.225(c)(11)). </w:t>
      </w:r>
      <w:r w:rsidR="00503671">
        <w:rPr>
          <w:rFonts w:eastAsia="Calibri"/>
        </w:rPr>
        <w:t xml:space="preserve"> </w:t>
      </w:r>
      <w:r w:rsidRPr="00A849A6">
        <w:rPr>
          <w:rFonts w:eastAsia="Calibri"/>
        </w:rPr>
        <w:t>Under the provisions that make the coordinated evaluation of a GRAS</w:t>
      </w:r>
      <w:r w:rsidR="00503671">
        <w:rPr>
          <w:rFonts w:eastAsia="Calibri"/>
        </w:rPr>
        <w:t xml:space="preserve"> </w:t>
      </w:r>
      <w:r w:rsidRPr="00A849A6">
        <w:rPr>
          <w:rFonts w:eastAsia="Calibri"/>
        </w:rPr>
        <w:t>notice with FSIS explicit, we will exclude any trade secrets unless the notifier has</w:t>
      </w:r>
      <w:r w:rsidR="00503671">
        <w:rPr>
          <w:rFonts w:eastAsia="Calibri"/>
        </w:rPr>
        <w:t xml:space="preserve"> </w:t>
      </w:r>
      <w:r w:rsidRPr="00A849A6">
        <w:rPr>
          <w:rFonts w:eastAsia="Calibri"/>
        </w:rPr>
        <w:t xml:space="preserve">authorized us to send trade secret information to FSIS (see § 170.270). </w:t>
      </w:r>
      <w:r w:rsidR="00503671">
        <w:rPr>
          <w:rFonts w:eastAsia="Calibri"/>
        </w:rPr>
        <w:t xml:space="preserve"> </w:t>
      </w:r>
      <w:r w:rsidRPr="00A849A6">
        <w:rPr>
          <w:rFonts w:eastAsia="Calibri"/>
        </w:rPr>
        <w:t>These</w:t>
      </w:r>
      <w:r w:rsidR="00503671">
        <w:rPr>
          <w:rFonts w:eastAsia="Calibri"/>
        </w:rPr>
        <w:t xml:space="preserve"> </w:t>
      </w:r>
      <w:r w:rsidRPr="00A849A6">
        <w:rPr>
          <w:rFonts w:eastAsia="Calibri"/>
        </w:rPr>
        <w:t>provisions enable us, with the notifier’s authorization, to share a GRAS notice that</w:t>
      </w:r>
      <w:r w:rsidR="00503671">
        <w:rPr>
          <w:rFonts w:eastAsia="Calibri"/>
        </w:rPr>
        <w:t xml:space="preserve"> </w:t>
      </w:r>
      <w:r w:rsidRPr="00A849A6">
        <w:rPr>
          <w:rFonts w:eastAsia="Calibri"/>
        </w:rPr>
        <w:t xml:space="preserve">includes </w:t>
      </w:r>
      <w:r w:rsidRPr="00A849A6">
        <w:rPr>
          <w:rFonts w:eastAsia="Calibri"/>
        </w:rPr>
        <w:t>trade secret</w:t>
      </w:r>
      <w:r w:rsidRPr="00A849A6">
        <w:rPr>
          <w:rFonts w:eastAsia="Calibri"/>
        </w:rPr>
        <w:t xml:space="preserve"> information with FSIS without first redacting the GRAS notice to</w:t>
      </w:r>
      <w:r w:rsidR="00503671">
        <w:rPr>
          <w:rFonts w:eastAsia="Calibri"/>
        </w:rPr>
        <w:t xml:space="preserve"> </w:t>
      </w:r>
      <w:r w:rsidRPr="00A849A6">
        <w:rPr>
          <w:rFonts w:eastAsia="Calibri"/>
        </w:rPr>
        <w:t>remove the trade secret information and, thus, will reduce the time it takes for us to</w:t>
      </w:r>
      <w:r w:rsidR="00503671">
        <w:rPr>
          <w:rFonts w:eastAsia="Calibri"/>
        </w:rPr>
        <w:t xml:space="preserve"> </w:t>
      </w:r>
      <w:r w:rsidRPr="00A849A6">
        <w:rPr>
          <w:rFonts w:eastAsia="Calibri"/>
        </w:rPr>
        <w:t>provide FSIS with a copy of the GRAS notice.</w:t>
      </w:r>
    </w:p>
    <w:p w:rsidR="00503671" w:rsidRPr="00A849A6" w:rsidP="00FF6725" w14:paraId="6AD44281" w14:textId="77777777">
      <w:pPr>
        <w:rPr>
          <w:rFonts w:eastAsia="Calibri"/>
        </w:rPr>
      </w:pPr>
    </w:p>
    <w:p w:rsidR="00A849A6" w:rsidP="00FF6725" w14:paraId="6C084E9D" w14:textId="77777777">
      <w:pPr>
        <w:rPr>
          <w:rFonts w:eastAsia="Calibri"/>
        </w:rPr>
      </w:pPr>
      <w:r w:rsidRPr="00A849A6">
        <w:rPr>
          <w:rFonts w:eastAsia="Calibri"/>
        </w:rPr>
        <w:t>These provisions also clarify the notifier’s expectations regarding whether we</w:t>
      </w:r>
      <w:r w:rsidR="00503671">
        <w:rPr>
          <w:rFonts w:eastAsia="Calibri"/>
        </w:rPr>
        <w:t xml:space="preserve"> </w:t>
      </w:r>
      <w:r w:rsidRPr="00A849A6">
        <w:rPr>
          <w:rFonts w:eastAsia="Calibri"/>
        </w:rPr>
        <w:t>should share trade secret information with FSIS and, thus, require us to redact the trade</w:t>
      </w:r>
      <w:r w:rsidR="00503671">
        <w:rPr>
          <w:rFonts w:eastAsia="Calibri"/>
        </w:rPr>
        <w:t xml:space="preserve"> </w:t>
      </w:r>
      <w:r w:rsidRPr="00A849A6">
        <w:rPr>
          <w:rFonts w:eastAsia="Calibri"/>
        </w:rPr>
        <w:t>secret information from the copy we send to FSIS when consistent with the notifier’s</w:t>
      </w:r>
      <w:r w:rsidR="00503671">
        <w:rPr>
          <w:rFonts w:eastAsia="Calibri"/>
        </w:rPr>
        <w:t xml:space="preserve"> </w:t>
      </w:r>
      <w:r w:rsidRPr="00A849A6">
        <w:rPr>
          <w:rFonts w:eastAsia="Calibri"/>
        </w:rPr>
        <w:t>express wishes.</w:t>
      </w:r>
      <w:r w:rsidR="00503671">
        <w:rPr>
          <w:rFonts w:eastAsia="Calibri"/>
        </w:rPr>
        <w:t xml:space="preserve"> </w:t>
      </w:r>
    </w:p>
    <w:p w:rsidR="000A711B" w:rsidP="00FF6725" w14:paraId="319C2BF1" w14:textId="77777777">
      <w:pPr>
        <w:rPr>
          <w:rFonts w:eastAsia="Calibri"/>
        </w:rPr>
      </w:pPr>
    </w:p>
    <w:p w:rsidR="000A711B" w:rsidP="00FF6725" w14:paraId="10D03B56" w14:textId="5B64E792">
      <w:pPr>
        <w:rPr>
          <w:rFonts w:eastAsia="Calibri"/>
        </w:rPr>
      </w:pPr>
      <w:r>
        <w:rPr>
          <w:rFonts w:eastAsia="Calibri"/>
        </w:rPr>
        <w:t xml:space="preserve">Regarding TOR exemptions, </w:t>
      </w:r>
      <w:r w:rsidR="002F7830">
        <w:rPr>
          <w:rFonts w:eastAsia="Calibri"/>
        </w:rPr>
        <w:t>r</w:t>
      </w:r>
      <w:r w:rsidRPr="002F7830" w:rsidR="002F7830">
        <w:rPr>
          <w:rFonts w:eastAsia="Calibri"/>
        </w:rPr>
        <w:t>equests for exemptions of food</w:t>
      </w:r>
      <w:r w:rsidR="002F7830">
        <w:rPr>
          <w:rFonts w:eastAsia="Calibri"/>
        </w:rPr>
        <w:t xml:space="preserve"> substanc</w:t>
      </w:r>
      <w:r w:rsidR="00D87E1D">
        <w:rPr>
          <w:rFonts w:eastAsia="Calibri"/>
        </w:rPr>
        <w:t>es</w:t>
      </w:r>
      <w:r w:rsidRPr="002F7830" w:rsidR="002F7830">
        <w:rPr>
          <w:rFonts w:eastAsia="Calibri"/>
        </w:rPr>
        <w:t xml:space="preserve"> from the food additive listing regulation requirement often contain trade secret and commercial confidential information.  Only information that is releasable under the agency’s regulations (21 CFR part 20) would be released to the public.  This information </w:t>
      </w:r>
      <w:r w:rsidR="007E1F40">
        <w:rPr>
          <w:rFonts w:eastAsia="Calibri"/>
        </w:rPr>
        <w:t>would</w:t>
      </w:r>
      <w:r w:rsidRPr="002F7830" w:rsidR="002F7830">
        <w:rPr>
          <w:rFonts w:eastAsia="Calibri"/>
        </w:rPr>
        <w:t xml:space="preserve"> also </w:t>
      </w:r>
      <w:r w:rsidR="00D35567">
        <w:rPr>
          <w:rFonts w:eastAsia="Calibri"/>
        </w:rPr>
        <w:t xml:space="preserve">be </w:t>
      </w:r>
      <w:r w:rsidRPr="002F7830" w:rsidR="002F7830">
        <w:rPr>
          <w:rFonts w:eastAsia="Calibri"/>
        </w:rPr>
        <w:t>safeguarded by section 301(j) of the FD&amp;C Act and would be protected from disclosure under the Freedom of Information Act (FOIA) under sections 552(a) and (b) (5 U.S.C. 552(a) and (b)).</w:t>
      </w:r>
    </w:p>
    <w:p w:rsidR="00C43D29" w:rsidP="00FF6725" w14:paraId="6D87DFEB" w14:textId="77777777">
      <w:pPr>
        <w:rPr>
          <w:rFonts w:eastAsia="Calibri"/>
        </w:rPr>
      </w:pPr>
    </w:p>
    <w:p w:rsidR="00C43D29" w:rsidP="00FF6725" w14:paraId="530DF790" w14:textId="5B681825">
      <w:pPr>
        <w:rPr>
          <w:rFonts w:eastAsia="Calibri"/>
        </w:rPr>
      </w:pPr>
      <w:r w:rsidRPr="00C43D29">
        <w:rPr>
          <w:rFonts w:eastAsia="Calibri"/>
        </w:rPr>
        <w:t xml:space="preserve">A list of substances exempted under 21 CFR 170.39 </w:t>
      </w:r>
      <w:r w:rsidR="00D35567">
        <w:rPr>
          <w:rFonts w:eastAsia="Calibri"/>
        </w:rPr>
        <w:t>will be</w:t>
      </w:r>
      <w:r w:rsidRPr="00C43D29">
        <w:rPr>
          <w:rFonts w:eastAsia="Calibri"/>
        </w:rPr>
        <w:t xml:space="preserve"> placed on display at the Division of Dockets Management and </w:t>
      </w:r>
      <w:r w:rsidR="00D35567">
        <w:rPr>
          <w:rFonts w:eastAsia="Calibri"/>
        </w:rPr>
        <w:t>will be</w:t>
      </w:r>
      <w:r w:rsidRPr="00C43D29">
        <w:rPr>
          <w:rFonts w:eastAsia="Calibri"/>
        </w:rPr>
        <w:t xml:space="preserve"> available on </w:t>
      </w:r>
      <w:r w:rsidR="003077C0">
        <w:rPr>
          <w:rFonts w:eastAsia="Calibri"/>
        </w:rPr>
        <w:t>the</w:t>
      </w:r>
      <w:r w:rsidR="00CF3766">
        <w:rPr>
          <w:rFonts w:eastAsia="Calibri"/>
        </w:rPr>
        <w:t xml:space="preserve"> FDA web</w:t>
      </w:r>
      <w:r w:rsidR="003077C0">
        <w:rPr>
          <w:rFonts w:eastAsia="Calibri"/>
        </w:rPr>
        <w:t>site</w:t>
      </w:r>
      <w:r w:rsidRPr="00C43D29">
        <w:rPr>
          <w:rFonts w:eastAsia="Calibri"/>
        </w:rPr>
        <w:t>.  This list</w:t>
      </w:r>
      <w:r w:rsidR="003077C0">
        <w:rPr>
          <w:rFonts w:eastAsia="Calibri"/>
        </w:rPr>
        <w:t xml:space="preserve"> will</w:t>
      </w:r>
      <w:r w:rsidRPr="00C43D29">
        <w:rPr>
          <w:rFonts w:eastAsia="Calibri"/>
        </w:rPr>
        <w:t xml:space="preserve"> include the name of the company that made the request, the chemical name of the exempted substance and the specific use for which it has been exempted, as well as any appropriate limitations.  It does not include any trade names or other confidential information.  The agency’s finding of no significant environmental impact and the evidence supporting that finding, contained in an environmental assessment, are also available for public inspection </w:t>
      </w:r>
      <w:r w:rsidRPr="00C43D29">
        <w:rPr>
          <w:rFonts w:eastAsia="Calibri"/>
        </w:rPr>
        <w:t>at</w:t>
      </w:r>
      <w:r w:rsidRPr="00C43D29">
        <w:rPr>
          <w:rFonts w:eastAsia="Calibri"/>
        </w:rPr>
        <w:t xml:space="preserve"> the Division of Dockets Management.</w:t>
      </w:r>
    </w:p>
    <w:p w:rsidR="00503671" w:rsidRPr="00A849A6" w:rsidP="00FF6725" w14:paraId="15BCD1B4" w14:textId="77777777">
      <w:pPr>
        <w:rPr>
          <w:rFonts w:eastAsia="Calibri"/>
        </w:rPr>
      </w:pPr>
    </w:p>
    <w:p w:rsidR="00A849A6" w:rsidRPr="00A849A6" w:rsidP="00FF6725" w14:paraId="07C592D4" w14:textId="77777777">
      <w:pPr>
        <w:rPr>
          <w:rFonts w:eastAsia="Calibri"/>
          <w:i/>
          <w:iCs/>
        </w:rPr>
      </w:pPr>
      <w:r w:rsidRPr="00A849A6">
        <w:rPr>
          <w:rFonts w:eastAsia="Calibri"/>
          <w:i/>
          <w:iCs/>
        </w:rPr>
        <w:t>Privacy Act</w:t>
      </w:r>
    </w:p>
    <w:p w:rsidR="00997361" w:rsidP="00997361" w14:paraId="419E777A" w14:textId="77777777">
      <w:pPr>
        <w:rPr>
          <w:rFonts w:eastAsia="Calibri"/>
        </w:rPr>
      </w:pPr>
    </w:p>
    <w:p w:rsidR="00997361" w:rsidRPr="00997361" w:rsidP="00997361" w14:paraId="775A6074" w14:textId="77777777">
      <w:pPr>
        <w:rPr>
          <w:rFonts w:eastAsia="Calibri"/>
        </w:rPr>
      </w:pPr>
      <w:r w:rsidRPr="00997361">
        <w:rPr>
          <w:rFonts w:eastAsia="Calibri"/>
        </w:rPr>
        <w:t xml:space="preserve">In preparing this </w:t>
      </w:r>
      <w:r>
        <w:rPr>
          <w:rFonts w:eastAsia="Calibri"/>
        </w:rPr>
        <w:t>s</w:t>
      </w:r>
      <w:r w:rsidRPr="00997361">
        <w:rPr>
          <w:rFonts w:eastAsia="Calibri"/>
        </w:rPr>
        <w:t xml:space="preserve">upporting </w:t>
      </w:r>
      <w:r>
        <w:rPr>
          <w:rFonts w:eastAsia="Calibri"/>
        </w:rPr>
        <w:t>s</w:t>
      </w:r>
      <w:r w:rsidRPr="00997361">
        <w:rPr>
          <w:rFonts w:eastAsia="Calibri"/>
        </w:rPr>
        <w:t>tatement, we consulted our Privacy Office to ensure appropriate identification and handling of information collected.</w:t>
      </w:r>
    </w:p>
    <w:p w:rsidR="00997361" w:rsidRPr="00997361" w:rsidP="00997361" w14:paraId="613339E0" w14:textId="77777777">
      <w:pPr>
        <w:rPr>
          <w:rFonts w:eastAsia="Calibri"/>
        </w:rPr>
      </w:pPr>
    </w:p>
    <w:p w:rsidR="007543F2" w:rsidRPr="007543F2" w:rsidP="007543F2" w14:paraId="79EF6B4B" w14:textId="762AEB76">
      <w:pPr>
        <w:rPr>
          <w:rFonts w:eastAsia="Calibri"/>
        </w:rPr>
      </w:pPr>
      <w:r w:rsidRPr="007543F2">
        <w:rPr>
          <w:rFonts w:eastAsia="Calibri"/>
        </w:rPr>
        <w:t xml:space="preserve">Related to this </w:t>
      </w:r>
      <w:r w:rsidR="00077042">
        <w:rPr>
          <w:rFonts w:eastAsia="Calibri"/>
        </w:rPr>
        <w:t>i</w:t>
      </w:r>
      <w:r w:rsidRPr="007543F2">
        <w:rPr>
          <w:rFonts w:eastAsia="Calibri"/>
        </w:rPr>
        <w:t xml:space="preserve">nformation </w:t>
      </w:r>
      <w:r w:rsidR="00077042">
        <w:rPr>
          <w:rFonts w:eastAsia="Calibri"/>
        </w:rPr>
        <w:t>c</w:t>
      </w:r>
      <w:r w:rsidRPr="007543F2">
        <w:rPr>
          <w:rFonts w:eastAsia="Calibri"/>
        </w:rPr>
        <w:t xml:space="preserve">ollection </w:t>
      </w:r>
      <w:r w:rsidR="00077042">
        <w:rPr>
          <w:rFonts w:eastAsia="Calibri"/>
        </w:rPr>
        <w:t>r</w:t>
      </w:r>
      <w:r w:rsidRPr="007543F2">
        <w:rPr>
          <w:rFonts w:eastAsia="Calibri"/>
        </w:rPr>
        <w:t xml:space="preserve">equest (ICR), the Food Applications Regulatory Management (FARM) System stores information submitted by industry for GRAS submissions. </w:t>
      </w:r>
      <w:r w:rsidR="00077042">
        <w:rPr>
          <w:rFonts w:eastAsia="Calibri"/>
        </w:rPr>
        <w:t xml:space="preserve"> </w:t>
      </w:r>
      <w:r w:rsidRPr="007543F2">
        <w:rPr>
          <w:rFonts w:eastAsia="Calibri"/>
        </w:rPr>
        <w:t xml:space="preserve">Appian Tempo is </w:t>
      </w:r>
      <w:r w:rsidRPr="007543F2">
        <w:rPr>
          <w:rFonts w:eastAsia="Calibri"/>
        </w:rPr>
        <w:t>the</w:t>
      </w:r>
      <w:r w:rsidRPr="007543F2">
        <w:rPr>
          <w:rFonts w:eastAsia="Calibri"/>
        </w:rPr>
        <w:t xml:space="preserve"> software product used to manage and track the safety review processes performed by the Office of Food Chemical Safety, Dietary Supplements, and Innovation (OFCSDSI)/Office of Premarket Additive Safety (OPMAS). </w:t>
      </w:r>
      <w:r w:rsidR="007E2352">
        <w:rPr>
          <w:rFonts w:eastAsia="Calibri"/>
        </w:rPr>
        <w:t xml:space="preserve"> </w:t>
      </w:r>
      <w:r w:rsidRPr="007543F2">
        <w:rPr>
          <w:rFonts w:eastAsia="Calibri"/>
        </w:rPr>
        <w:t>FARM receives industry submissions by paper, or electronic media (CD-ROM or DVD)</w:t>
      </w:r>
      <w:r w:rsidR="003E7814">
        <w:rPr>
          <w:rFonts w:eastAsia="Calibri"/>
        </w:rPr>
        <w:t>,</w:t>
      </w:r>
      <w:r w:rsidRPr="007543F2">
        <w:rPr>
          <w:rFonts w:eastAsia="Calibri"/>
        </w:rPr>
        <w:t xml:space="preserve"> or electronically through the FDA Electronic Submissions Gateway (ESG), or the Centralized Online Submission Module (COSM) (the subject of a separate assessment). </w:t>
      </w:r>
      <w:r w:rsidR="007E2352">
        <w:rPr>
          <w:rFonts w:eastAsia="Calibri"/>
        </w:rPr>
        <w:t xml:space="preserve"> </w:t>
      </w:r>
      <w:r w:rsidRPr="007543F2">
        <w:rPr>
          <w:rFonts w:eastAsia="Calibri"/>
        </w:rPr>
        <w:t xml:space="preserve">Submitters provide their contact information as a practical requirement </w:t>
      </w:r>
      <w:r w:rsidRPr="007543F2">
        <w:rPr>
          <w:rFonts w:eastAsia="Calibri"/>
        </w:rPr>
        <w:t>in order to</w:t>
      </w:r>
      <w:r w:rsidRPr="007543F2">
        <w:rPr>
          <w:rFonts w:eastAsia="Calibri"/>
        </w:rPr>
        <w:t xml:space="preserve"> communicate with FDA. </w:t>
      </w:r>
      <w:r w:rsidR="00217732">
        <w:rPr>
          <w:rFonts w:eastAsia="Calibri"/>
        </w:rPr>
        <w:t xml:space="preserve"> </w:t>
      </w:r>
      <w:r w:rsidRPr="007543F2">
        <w:rPr>
          <w:rFonts w:eastAsia="Calibri"/>
        </w:rPr>
        <w:t xml:space="preserve">The submissions may contain </w:t>
      </w:r>
      <w:r w:rsidRPr="00217732" w:rsidR="00217732">
        <w:rPr>
          <w:rFonts w:eastAsia="Calibri"/>
        </w:rPr>
        <w:t>personally identifiable information (PII)</w:t>
      </w:r>
      <w:r w:rsidR="00217732">
        <w:rPr>
          <w:rFonts w:eastAsia="Calibri"/>
        </w:rPr>
        <w:t>,</w:t>
      </w:r>
      <w:r w:rsidRPr="007543F2">
        <w:rPr>
          <w:rFonts w:eastAsia="Calibri"/>
        </w:rPr>
        <w:t xml:space="preserve"> which may include name of notifier (industry and/or citizen points </w:t>
      </w:r>
      <w:r w:rsidRPr="007543F2">
        <w:rPr>
          <w:rFonts w:eastAsia="Calibri"/>
        </w:rPr>
        <w:t xml:space="preserve">of contact (POCs)) or its agent, and/or email address, mailing address, and/or phone number. </w:t>
      </w:r>
      <w:r w:rsidR="006E23B6">
        <w:rPr>
          <w:rFonts w:eastAsia="Calibri"/>
        </w:rPr>
        <w:t xml:space="preserve"> </w:t>
      </w:r>
      <w:r w:rsidRPr="007543F2">
        <w:rPr>
          <w:rFonts w:eastAsia="Calibri"/>
        </w:rPr>
        <w:t>PII is not shared with any other organization.</w:t>
      </w:r>
    </w:p>
    <w:p w:rsidR="007543F2" w:rsidRPr="007543F2" w:rsidP="007543F2" w14:paraId="70F418D9" w14:textId="77777777">
      <w:pPr>
        <w:rPr>
          <w:rFonts w:eastAsia="Calibri"/>
        </w:rPr>
      </w:pPr>
    </w:p>
    <w:p w:rsidR="007543F2" w:rsidRPr="007543F2" w:rsidP="007543F2" w14:paraId="5F6A3FBB" w14:textId="050D8819">
      <w:pPr>
        <w:rPr>
          <w:rFonts w:eastAsia="Calibri"/>
        </w:rPr>
      </w:pPr>
      <w:r w:rsidRPr="007543F2">
        <w:rPr>
          <w:rFonts w:eastAsia="Calibri"/>
        </w:rPr>
        <w:t>This ICR collects PII.  PII is collected in the context of the subject individuals’ professional capacity and the FDA-related work they perform for their employer (e.g., point of contact at a regulated entity).  The PII submitted via Form FDA 3667 (Generally Recognized as Safe (GRAS) Notice) is name, phone number, mailing address, email address, and fax number.  FDA determined that although PII is collected</w:t>
      </w:r>
      <w:r w:rsidR="00770D6F">
        <w:rPr>
          <w:rFonts w:eastAsia="Calibri"/>
        </w:rPr>
        <w:t>,</w:t>
      </w:r>
      <w:r w:rsidRPr="007543F2">
        <w:rPr>
          <w:rFonts w:eastAsia="Calibri"/>
        </w:rPr>
        <w:t xml:space="preserve"> it is not subject to the Privacy Act of 1974</w:t>
      </w:r>
      <w:r w:rsidR="00770D6F">
        <w:rPr>
          <w:rFonts w:eastAsia="Calibri"/>
        </w:rPr>
        <w:t>,</w:t>
      </w:r>
      <w:r w:rsidRPr="007543F2">
        <w:rPr>
          <w:rFonts w:eastAsia="Calibri"/>
        </w:rPr>
        <w:t xml:space="preserve"> and the </w:t>
      </w:r>
      <w:r w:rsidRPr="007543F2">
        <w:rPr>
          <w:rFonts w:eastAsia="Calibri"/>
        </w:rPr>
        <w:t>particular notice</w:t>
      </w:r>
      <w:r w:rsidRPr="007543F2">
        <w:rPr>
          <w:rFonts w:eastAsia="Calibri"/>
        </w:rPr>
        <w:t xml:space="preserve"> and other requirements of the Act do not apply. </w:t>
      </w:r>
      <w:r w:rsidR="00770D6F">
        <w:rPr>
          <w:rFonts w:eastAsia="Calibri"/>
        </w:rPr>
        <w:t xml:space="preserve"> </w:t>
      </w:r>
      <w:r w:rsidRPr="007543F2">
        <w:rPr>
          <w:rFonts w:eastAsia="Calibri"/>
        </w:rPr>
        <w:t xml:space="preserve">Specifically, FDA does not use name or any other personal identifier to retrieve records from the information collected. </w:t>
      </w:r>
      <w:r w:rsidR="00770D6F">
        <w:rPr>
          <w:rFonts w:eastAsia="Calibri"/>
        </w:rPr>
        <w:t xml:space="preserve"> </w:t>
      </w:r>
      <w:r w:rsidRPr="007543F2">
        <w:rPr>
          <w:rFonts w:eastAsia="Calibri"/>
        </w:rPr>
        <w:t>Through appropriate form design, FDA limited submission fields and minimized the PII collected to protect the privacy of the individuals.</w:t>
      </w:r>
    </w:p>
    <w:p w:rsidR="007543F2" w:rsidRPr="007543F2" w:rsidP="007543F2" w14:paraId="0A1BCF5D" w14:textId="77777777">
      <w:pPr>
        <w:rPr>
          <w:rFonts w:eastAsia="Calibri"/>
        </w:rPr>
      </w:pPr>
    </w:p>
    <w:p w:rsidR="001E1DC0" w:rsidRPr="001E1DC0" w:rsidP="001E1DC0" w14:paraId="105E2A56" w14:textId="4667AE17">
      <w:pPr>
        <w:rPr>
          <w:rFonts w:eastAsia="Calibri"/>
          <w:i/>
          <w:iCs/>
        </w:rPr>
      </w:pPr>
      <w:r w:rsidRPr="001E1DC0">
        <w:rPr>
          <w:rFonts w:eastAsia="Calibri"/>
          <w:i/>
          <w:iCs/>
        </w:rPr>
        <w:t>The Freedom of Information Act</w:t>
      </w:r>
      <w:r>
        <w:rPr>
          <w:rFonts w:eastAsia="Calibri"/>
          <w:i/>
          <w:iCs/>
        </w:rPr>
        <w:t xml:space="preserve"> (FOIA)</w:t>
      </w:r>
    </w:p>
    <w:p w:rsidR="001E1DC0" w:rsidP="007543F2" w14:paraId="054DAFCE" w14:textId="77777777">
      <w:pPr>
        <w:rPr>
          <w:rFonts w:eastAsia="Calibri"/>
        </w:rPr>
      </w:pPr>
    </w:p>
    <w:p w:rsidR="00A37384" w:rsidRPr="008B71D9" w:rsidP="007543F2" w14:paraId="7E67B42F" w14:textId="24CDC6BB">
      <w:pPr>
        <w:rPr>
          <w:rFonts w:eastAsia="Calibri"/>
          <w:color w:val="000000"/>
        </w:rPr>
      </w:pPr>
      <w:r w:rsidRPr="007543F2">
        <w:rPr>
          <w:rFonts w:eastAsia="Calibri"/>
        </w:rPr>
        <w:t xml:space="preserve">Under FOIA (5 U.S.C. 552), the public has broad access to government documents. </w:t>
      </w:r>
      <w:r w:rsidR="008F4CC3">
        <w:rPr>
          <w:rFonts w:eastAsia="Calibri"/>
        </w:rPr>
        <w:t xml:space="preserve"> </w:t>
      </w:r>
      <w:r w:rsidRPr="007543F2">
        <w:rPr>
          <w:rFonts w:eastAsia="Calibri"/>
        </w:rPr>
        <w:t>However, FOIA provides certain exemptions from mandatory public disclosure of government records (5 U.S.C. 552(b</w:t>
      </w:r>
      <w:r w:rsidRPr="007543F2">
        <w:rPr>
          <w:rFonts w:eastAsia="Calibri"/>
        </w:rPr>
        <w:t>)(</w:t>
      </w:r>
      <w:r w:rsidRPr="007543F2">
        <w:rPr>
          <w:rFonts w:eastAsia="Calibri"/>
        </w:rPr>
        <w:t>1-9)).  FDA will make the fullest possible disclosure of records to the public, consistent with the rights of individuals to privacy, the property rights of persons in trade and confidential commercial or financial information</w:t>
      </w:r>
      <w:r w:rsidRPr="00997361" w:rsidR="00997361">
        <w:rPr>
          <w:rFonts w:eastAsia="Calibri"/>
        </w:rPr>
        <w:t xml:space="preserve">. </w:t>
      </w:r>
    </w:p>
    <w:p w:rsidR="001075D3" w:rsidRPr="001075D3" w:rsidP="002E79C3" w14:paraId="6B787040" w14:textId="77777777"/>
    <w:p w:rsidR="00357C8A" w:rsidRPr="00357C8A" w:rsidP="006705EA" w14:paraId="067726CA"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P="00DF0028" w14:paraId="3CDED27E" w14:textId="213B97E7">
      <w:pPr>
        <w:autoSpaceDE w:val="0"/>
        <w:autoSpaceDN w:val="0"/>
        <w:adjustRightInd w:val="0"/>
        <w:rPr>
          <w:rFonts w:eastAsia="Calibri"/>
        </w:rPr>
      </w:pPr>
      <w:r>
        <w:rPr>
          <w:rFonts w:ascii="TimesNewRomanPSMT" w:hAnsi="TimesNewRomanPSMT" w:cs="TimesNewRomanPSMT"/>
        </w:rPr>
        <w:t>This information collection does not involve any questions that are of a personally</w:t>
      </w:r>
      <w:r w:rsidR="00DF0028">
        <w:rPr>
          <w:rFonts w:ascii="TimesNewRomanPSMT" w:hAnsi="TimesNewRomanPSMT" w:cs="TimesNewRomanPSMT"/>
        </w:rPr>
        <w:t xml:space="preserve"> </w:t>
      </w:r>
      <w:r>
        <w:rPr>
          <w:rFonts w:ascii="TimesNewRomanPSMT" w:hAnsi="TimesNewRomanPSMT" w:cs="TimesNewRomanPSMT"/>
        </w:rPr>
        <w:t>sensitive nature</w:t>
      </w:r>
      <w:r w:rsidR="00503671">
        <w:rPr>
          <w:rFonts w:eastAsia="Calibri"/>
        </w:rPr>
        <w:t>.</w:t>
      </w:r>
    </w:p>
    <w:p w:rsidR="00DF0028" w:rsidRPr="00DF0028" w:rsidP="00DF0028" w14:paraId="4309942C" w14:textId="77777777">
      <w:pPr>
        <w:autoSpaceDE w:val="0"/>
        <w:autoSpaceDN w:val="0"/>
        <w:adjustRightInd w:val="0"/>
        <w:rPr>
          <w:rFonts w:ascii="TimesNewRomanPSMT" w:hAnsi="TimesNewRomanPSMT" w:cs="TimesNewRomanPSMT"/>
        </w:rPr>
      </w:pPr>
    </w:p>
    <w:p w:rsidR="00357C8A" w:rsidRPr="00357C8A" w:rsidP="006705EA" w14:paraId="4B3E125A"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357C8A" w:rsidRPr="005C71CA" w:rsidP="0022425B" w14:paraId="2752D3B9" w14:textId="77777777">
      <w:pPr>
        <w:spacing w:after="200"/>
        <w:ind w:left="360"/>
        <w:rPr>
          <w:rFonts w:eastAsia="Calibri"/>
        </w:rPr>
      </w:pPr>
      <w:r w:rsidRPr="005C71CA">
        <w:rPr>
          <w:rFonts w:eastAsia="Calibri"/>
        </w:rPr>
        <w:t>12a.  Annualized Hour Burden Estimate</w:t>
      </w:r>
    </w:p>
    <w:p w:rsidR="00017FE5" w:rsidRPr="00017FE5" w:rsidP="005F61F9" w14:paraId="2F912F8F" w14:textId="77777777">
      <w:pPr>
        <w:spacing w:line="480" w:lineRule="auto"/>
        <w:ind w:left="360"/>
        <w:contextualSpacing/>
      </w:pPr>
      <w:r>
        <w:t>We</w:t>
      </w:r>
      <w:r w:rsidRPr="00017FE5">
        <w:t xml:space="preserve"> </w:t>
      </w:r>
      <w:r w:rsidRPr="00017FE5">
        <w:t xml:space="preserve">estimate the burden of this collection of information as follows: </w:t>
      </w:r>
    </w:p>
    <w:tbl>
      <w:tblPr>
        <w:tblW w:w="9281" w:type="dxa"/>
        <w:tblInd w:w="2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tblPr>
      <w:tblGrid>
        <w:gridCol w:w="2621"/>
        <w:gridCol w:w="1260"/>
        <w:gridCol w:w="1620"/>
        <w:gridCol w:w="1350"/>
        <w:gridCol w:w="1530"/>
        <w:gridCol w:w="900"/>
      </w:tblGrid>
      <w:tr w14:paraId="2328139B" w14:textId="77777777" w:rsidTr="002E79C3">
        <w:tblPrEx>
          <w:tblW w:w="9281" w:type="dxa"/>
          <w:tblInd w:w="2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tblPrEx>
        <w:tc>
          <w:tcPr>
            <w:tcW w:w="9281" w:type="dxa"/>
            <w:gridSpan w:val="6"/>
            <w:tcBorders>
              <w:top w:val="nil"/>
              <w:left w:val="nil"/>
              <w:bottom w:val="single" w:sz="4" w:space="0" w:color="auto"/>
              <w:right w:val="nil"/>
            </w:tcBorders>
          </w:tcPr>
          <w:p w:rsidR="00017FE5" w:rsidRPr="00017FE5" w:rsidP="00017FE5" w14:paraId="6FDA4222" w14:textId="77777777">
            <w:pPr>
              <w:jc w:val="center"/>
              <w:rPr>
                <w:sz w:val="20"/>
                <w:szCs w:val="20"/>
              </w:rPr>
            </w:pPr>
            <w:r w:rsidRPr="00017FE5">
              <w:rPr>
                <w:sz w:val="20"/>
                <w:szCs w:val="20"/>
              </w:rPr>
              <w:t xml:space="preserve">Table </w:t>
            </w:r>
            <w:r w:rsidRPr="00017FE5">
              <w:rPr>
                <w:sz w:val="20"/>
                <w:szCs w:val="20"/>
              </w:rPr>
              <w:t>1.--</w:t>
            </w:r>
            <w:r w:rsidRPr="00017FE5">
              <w:rPr>
                <w:sz w:val="20"/>
                <w:szCs w:val="20"/>
              </w:rPr>
              <w:t>Estimated Annual Reporting Burden</w:t>
            </w:r>
            <w:r w:rsidRPr="00017FE5">
              <w:rPr>
                <w:sz w:val="20"/>
                <w:szCs w:val="20"/>
                <w:vertAlign w:val="superscript"/>
              </w:rPr>
              <w:t>1</w:t>
            </w:r>
          </w:p>
        </w:tc>
      </w:tr>
      <w:tr w14:paraId="34E3BA22" w14:textId="77777777" w:rsidTr="002E79C3">
        <w:tblPrEx>
          <w:tblW w:w="9281" w:type="dxa"/>
          <w:tblInd w:w="223" w:type="dxa"/>
          <w:tblLayout w:type="fixed"/>
          <w:tblCellMar>
            <w:left w:w="101" w:type="dxa"/>
            <w:right w:w="101" w:type="dxa"/>
          </w:tblCellMar>
          <w:tblLook w:val="0000"/>
        </w:tblPrEx>
        <w:tc>
          <w:tcPr>
            <w:tcW w:w="2621" w:type="dxa"/>
            <w:tcBorders>
              <w:top w:val="single" w:sz="4" w:space="0" w:color="auto"/>
            </w:tcBorders>
          </w:tcPr>
          <w:p w:rsidR="00017FE5" w:rsidRPr="00017FE5" w:rsidP="00017FE5" w14:paraId="5384E185" w14:textId="77777777">
            <w:pPr>
              <w:jc w:val="center"/>
              <w:rPr>
                <w:sz w:val="20"/>
                <w:szCs w:val="20"/>
              </w:rPr>
            </w:pPr>
            <w:r w:rsidRPr="00017FE5">
              <w:rPr>
                <w:sz w:val="20"/>
                <w:szCs w:val="20"/>
              </w:rPr>
              <w:t>Activity; 21 CFR Section</w:t>
            </w:r>
          </w:p>
        </w:tc>
        <w:tc>
          <w:tcPr>
            <w:tcW w:w="1260" w:type="dxa"/>
            <w:tcBorders>
              <w:top w:val="single" w:sz="4" w:space="0" w:color="auto"/>
            </w:tcBorders>
          </w:tcPr>
          <w:p w:rsidR="00017FE5" w:rsidRPr="00017FE5" w:rsidP="00017FE5" w14:paraId="2BCC9EB5" w14:textId="77777777">
            <w:pPr>
              <w:jc w:val="center"/>
              <w:rPr>
                <w:sz w:val="20"/>
                <w:szCs w:val="20"/>
              </w:rPr>
            </w:pPr>
            <w:r w:rsidRPr="00017FE5">
              <w:rPr>
                <w:sz w:val="20"/>
                <w:szCs w:val="20"/>
              </w:rPr>
              <w:t>No. of Respondents</w:t>
            </w:r>
          </w:p>
        </w:tc>
        <w:tc>
          <w:tcPr>
            <w:tcW w:w="1620" w:type="dxa"/>
            <w:tcBorders>
              <w:top w:val="single" w:sz="4" w:space="0" w:color="auto"/>
            </w:tcBorders>
          </w:tcPr>
          <w:p w:rsidR="00017FE5" w:rsidRPr="00017FE5" w:rsidP="00017FE5" w14:paraId="63F1551A" w14:textId="77777777">
            <w:pPr>
              <w:jc w:val="center"/>
              <w:rPr>
                <w:sz w:val="20"/>
                <w:szCs w:val="20"/>
              </w:rPr>
            </w:pPr>
            <w:r w:rsidRPr="00017FE5">
              <w:rPr>
                <w:bCs/>
                <w:sz w:val="20"/>
                <w:szCs w:val="20"/>
              </w:rPr>
              <w:t>No. of Responses per Respondent</w:t>
            </w:r>
          </w:p>
        </w:tc>
        <w:tc>
          <w:tcPr>
            <w:tcW w:w="1350" w:type="dxa"/>
            <w:tcBorders>
              <w:top w:val="single" w:sz="4" w:space="0" w:color="auto"/>
            </w:tcBorders>
          </w:tcPr>
          <w:p w:rsidR="00017FE5" w:rsidRPr="00017FE5" w:rsidP="00017FE5" w14:paraId="3C5AADFF" w14:textId="77777777">
            <w:pPr>
              <w:jc w:val="center"/>
              <w:rPr>
                <w:sz w:val="20"/>
                <w:szCs w:val="20"/>
              </w:rPr>
            </w:pPr>
            <w:r w:rsidRPr="00017FE5">
              <w:rPr>
                <w:sz w:val="20"/>
                <w:szCs w:val="20"/>
              </w:rPr>
              <w:t>Total Annual Responses</w:t>
            </w:r>
          </w:p>
        </w:tc>
        <w:tc>
          <w:tcPr>
            <w:tcW w:w="1530" w:type="dxa"/>
            <w:tcBorders>
              <w:top w:val="single" w:sz="4" w:space="0" w:color="auto"/>
            </w:tcBorders>
          </w:tcPr>
          <w:p w:rsidR="00017FE5" w:rsidRPr="00017FE5" w:rsidP="00017FE5" w14:paraId="7DD1EA85" w14:textId="77777777">
            <w:pPr>
              <w:jc w:val="center"/>
              <w:rPr>
                <w:sz w:val="20"/>
                <w:szCs w:val="20"/>
              </w:rPr>
            </w:pPr>
            <w:r w:rsidRPr="00017FE5">
              <w:rPr>
                <w:bCs/>
                <w:sz w:val="20"/>
                <w:szCs w:val="20"/>
              </w:rPr>
              <w:t>Average Burden per Response</w:t>
            </w:r>
          </w:p>
        </w:tc>
        <w:tc>
          <w:tcPr>
            <w:tcW w:w="900" w:type="dxa"/>
            <w:tcBorders>
              <w:top w:val="single" w:sz="4" w:space="0" w:color="auto"/>
            </w:tcBorders>
          </w:tcPr>
          <w:p w:rsidR="00017FE5" w:rsidRPr="00017FE5" w:rsidP="00017FE5" w14:paraId="791EFD2E" w14:textId="77777777">
            <w:pPr>
              <w:jc w:val="center"/>
              <w:rPr>
                <w:sz w:val="20"/>
                <w:szCs w:val="20"/>
              </w:rPr>
            </w:pPr>
            <w:r w:rsidRPr="00017FE5">
              <w:rPr>
                <w:sz w:val="20"/>
                <w:szCs w:val="20"/>
              </w:rPr>
              <w:t>Total Hours</w:t>
            </w:r>
          </w:p>
        </w:tc>
      </w:tr>
      <w:tr w14:paraId="7F15B40E" w14:textId="77777777" w:rsidTr="002E79C3">
        <w:tblPrEx>
          <w:tblW w:w="9281" w:type="dxa"/>
          <w:tblInd w:w="223" w:type="dxa"/>
          <w:tblLayout w:type="fixed"/>
          <w:tblCellMar>
            <w:left w:w="101" w:type="dxa"/>
            <w:right w:w="101" w:type="dxa"/>
          </w:tblCellMar>
          <w:tblLook w:val="0000"/>
        </w:tblPrEx>
        <w:tc>
          <w:tcPr>
            <w:tcW w:w="2621" w:type="dxa"/>
          </w:tcPr>
          <w:p w:rsidR="00017FE5" w:rsidRPr="00017FE5" w:rsidP="00017FE5" w14:paraId="1F687DE6" w14:textId="5DF2D378">
            <w:pPr>
              <w:rPr>
                <w:sz w:val="20"/>
                <w:szCs w:val="20"/>
              </w:rPr>
            </w:pPr>
            <w:r w:rsidRPr="00017FE5">
              <w:rPr>
                <w:sz w:val="20"/>
                <w:szCs w:val="20"/>
              </w:rPr>
              <w:t>GRAS notification procedure for human food; 170.20</w:t>
            </w:r>
            <w:r w:rsidR="00C90881">
              <w:rPr>
                <w:sz w:val="20"/>
                <w:szCs w:val="20"/>
              </w:rPr>
              <w:t>5</w:t>
            </w:r>
            <w:r w:rsidRPr="00017FE5">
              <w:rPr>
                <w:sz w:val="20"/>
                <w:szCs w:val="20"/>
              </w:rPr>
              <w:t>-170.28</w:t>
            </w:r>
            <w:r w:rsidR="00C90881">
              <w:rPr>
                <w:sz w:val="20"/>
                <w:szCs w:val="20"/>
              </w:rPr>
              <w:t>5</w:t>
            </w:r>
            <w:r w:rsidRPr="00017FE5">
              <w:rPr>
                <w:sz w:val="20"/>
                <w:szCs w:val="20"/>
              </w:rPr>
              <w:t xml:space="preserve"> (part 170, subpart E)</w:t>
            </w:r>
          </w:p>
        </w:tc>
        <w:tc>
          <w:tcPr>
            <w:tcW w:w="1260" w:type="dxa"/>
          </w:tcPr>
          <w:p w:rsidR="00017FE5" w:rsidRPr="00017FE5" w:rsidP="00017FE5" w14:paraId="06B2A857" w14:textId="50A7743F">
            <w:pPr>
              <w:jc w:val="right"/>
              <w:rPr>
                <w:sz w:val="20"/>
                <w:szCs w:val="20"/>
              </w:rPr>
            </w:pPr>
            <w:r w:rsidRPr="00017FE5">
              <w:rPr>
                <w:sz w:val="20"/>
                <w:szCs w:val="20"/>
              </w:rPr>
              <w:t>1</w:t>
            </w:r>
            <w:r w:rsidR="00263034">
              <w:rPr>
                <w:sz w:val="20"/>
                <w:szCs w:val="20"/>
              </w:rPr>
              <w:t>94</w:t>
            </w:r>
          </w:p>
        </w:tc>
        <w:tc>
          <w:tcPr>
            <w:tcW w:w="1620" w:type="dxa"/>
          </w:tcPr>
          <w:p w:rsidR="00017FE5" w:rsidRPr="00017FE5" w:rsidP="00017FE5" w14:paraId="0EF0C589" w14:textId="77777777">
            <w:pPr>
              <w:jc w:val="right"/>
              <w:rPr>
                <w:sz w:val="20"/>
                <w:szCs w:val="20"/>
              </w:rPr>
            </w:pPr>
            <w:r w:rsidRPr="00017FE5">
              <w:rPr>
                <w:sz w:val="20"/>
                <w:szCs w:val="20"/>
              </w:rPr>
              <w:t>1</w:t>
            </w:r>
          </w:p>
        </w:tc>
        <w:tc>
          <w:tcPr>
            <w:tcW w:w="1350" w:type="dxa"/>
          </w:tcPr>
          <w:p w:rsidR="00017FE5" w:rsidRPr="00017FE5" w:rsidP="00017FE5" w14:paraId="45D6C786" w14:textId="3C840BED">
            <w:pPr>
              <w:jc w:val="right"/>
              <w:rPr>
                <w:sz w:val="20"/>
                <w:szCs w:val="20"/>
              </w:rPr>
            </w:pPr>
            <w:r w:rsidRPr="00017FE5">
              <w:rPr>
                <w:sz w:val="20"/>
                <w:szCs w:val="20"/>
              </w:rPr>
              <w:t>1</w:t>
            </w:r>
            <w:r w:rsidR="00263034">
              <w:rPr>
                <w:sz w:val="20"/>
                <w:szCs w:val="20"/>
              </w:rPr>
              <w:t>94</w:t>
            </w:r>
          </w:p>
        </w:tc>
        <w:tc>
          <w:tcPr>
            <w:tcW w:w="1530" w:type="dxa"/>
          </w:tcPr>
          <w:p w:rsidR="00017FE5" w:rsidRPr="00017FE5" w:rsidP="00017FE5" w14:paraId="5BB146B4" w14:textId="6B909758">
            <w:pPr>
              <w:jc w:val="right"/>
              <w:rPr>
                <w:sz w:val="20"/>
                <w:szCs w:val="20"/>
              </w:rPr>
            </w:pPr>
            <w:r w:rsidRPr="00017FE5">
              <w:rPr>
                <w:sz w:val="20"/>
                <w:szCs w:val="20"/>
              </w:rPr>
              <w:t>1</w:t>
            </w:r>
            <w:r w:rsidR="00C90881">
              <w:rPr>
                <w:sz w:val="20"/>
                <w:szCs w:val="20"/>
              </w:rPr>
              <w:t>8</w:t>
            </w:r>
            <w:r w:rsidRPr="00017FE5">
              <w:rPr>
                <w:sz w:val="20"/>
                <w:szCs w:val="20"/>
              </w:rPr>
              <w:t>0</w:t>
            </w:r>
          </w:p>
        </w:tc>
        <w:tc>
          <w:tcPr>
            <w:tcW w:w="900" w:type="dxa"/>
          </w:tcPr>
          <w:p w:rsidR="00017FE5" w:rsidRPr="00017FE5" w:rsidP="00017FE5" w14:paraId="3AF25E3A" w14:textId="1D83D7C5">
            <w:pPr>
              <w:jc w:val="right"/>
              <w:rPr>
                <w:sz w:val="20"/>
                <w:szCs w:val="20"/>
              </w:rPr>
            </w:pPr>
            <w:r>
              <w:rPr>
                <w:sz w:val="20"/>
                <w:szCs w:val="20"/>
              </w:rPr>
              <w:t>3</w:t>
            </w:r>
            <w:r w:rsidR="00263034">
              <w:rPr>
                <w:sz w:val="20"/>
                <w:szCs w:val="20"/>
              </w:rPr>
              <w:t>4,</w:t>
            </w:r>
            <w:r w:rsidR="00C852E0">
              <w:rPr>
                <w:sz w:val="20"/>
                <w:szCs w:val="20"/>
              </w:rPr>
              <w:t>92</w:t>
            </w:r>
            <w:r w:rsidRPr="00017FE5">
              <w:rPr>
                <w:sz w:val="20"/>
                <w:szCs w:val="20"/>
              </w:rPr>
              <w:t>0</w:t>
            </w:r>
          </w:p>
        </w:tc>
      </w:tr>
      <w:tr w14:paraId="12ACF961" w14:textId="77777777" w:rsidTr="002E79C3">
        <w:tblPrEx>
          <w:tblW w:w="9281" w:type="dxa"/>
          <w:tblInd w:w="223" w:type="dxa"/>
          <w:tblLayout w:type="fixed"/>
          <w:tblCellMar>
            <w:left w:w="101" w:type="dxa"/>
            <w:right w:w="101" w:type="dxa"/>
          </w:tblCellMar>
          <w:tblLook w:val="0000"/>
        </w:tblPrEx>
        <w:tc>
          <w:tcPr>
            <w:tcW w:w="2621" w:type="dxa"/>
          </w:tcPr>
          <w:p w:rsidR="00683F1F" w:rsidRPr="00017FE5" w:rsidP="00683F1F" w14:paraId="25B5C65A" w14:textId="63625306">
            <w:pPr>
              <w:rPr>
                <w:sz w:val="20"/>
                <w:szCs w:val="20"/>
              </w:rPr>
            </w:pPr>
            <w:r w:rsidRPr="007639DD">
              <w:rPr>
                <w:sz w:val="20"/>
                <w:szCs w:val="20"/>
              </w:rPr>
              <w:t>Request for waiver to submit paper; §§ 170.39(d), 170.210, and 170.305(c)(3)</w:t>
            </w:r>
          </w:p>
        </w:tc>
        <w:tc>
          <w:tcPr>
            <w:tcW w:w="1260" w:type="dxa"/>
          </w:tcPr>
          <w:p w:rsidR="00683F1F" w:rsidRPr="00683F1F" w:rsidP="00683F1F" w14:paraId="49872344" w14:textId="10D91AFA">
            <w:pPr>
              <w:jc w:val="right"/>
              <w:rPr>
                <w:sz w:val="20"/>
                <w:szCs w:val="20"/>
              </w:rPr>
            </w:pPr>
            <w:r w:rsidRPr="00683F1F">
              <w:rPr>
                <w:sz w:val="20"/>
                <w:szCs w:val="20"/>
              </w:rPr>
              <w:t>5</w:t>
            </w:r>
            <w:r w:rsidR="009066AE">
              <w:rPr>
                <w:sz w:val="20"/>
                <w:szCs w:val="20"/>
              </w:rPr>
              <w:t>8</w:t>
            </w:r>
          </w:p>
        </w:tc>
        <w:tc>
          <w:tcPr>
            <w:tcW w:w="1620" w:type="dxa"/>
          </w:tcPr>
          <w:p w:rsidR="00683F1F" w:rsidRPr="00683F1F" w:rsidP="00683F1F" w14:paraId="6060C6DC" w14:textId="43D57706">
            <w:pPr>
              <w:jc w:val="right"/>
              <w:rPr>
                <w:sz w:val="20"/>
                <w:szCs w:val="20"/>
              </w:rPr>
            </w:pPr>
            <w:r w:rsidRPr="00683F1F">
              <w:rPr>
                <w:sz w:val="20"/>
                <w:szCs w:val="20"/>
              </w:rPr>
              <w:t>1</w:t>
            </w:r>
          </w:p>
        </w:tc>
        <w:tc>
          <w:tcPr>
            <w:tcW w:w="1350" w:type="dxa"/>
          </w:tcPr>
          <w:p w:rsidR="00683F1F" w:rsidRPr="00683F1F" w:rsidP="00683F1F" w14:paraId="7BB9D9FC" w14:textId="5A1D5FC9">
            <w:pPr>
              <w:jc w:val="right"/>
              <w:rPr>
                <w:sz w:val="20"/>
                <w:szCs w:val="20"/>
              </w:rPr>
            </w:pPr>
            <w:r w:rsidRPr="00683F1F">
              <w:rPr>
                <w:sz w:val="20"/>
                <w:szCs w:val="20"/>
              </w:rPr>
              <w:t>5</w:t>
            </w:r>
            <w:r w:rsidR="009066AE">
              <w:rPr>
                <w:sz w:val="20"/>
                <w:szCs w:val="20"/>
              </w:rPr>
              <w:t>8</w:t>
            </w:r>
          </w:p>
        </w:tc>
        <w:tc>
          <w:tcPr>
            <w:tcW w:w="1530" w:type="dxa"/>
          </w:tcPr>
          <w:p w:rsidR="00683F1F" w:rsidRPr="00683F1F" w:rsidP="00683F1F" w14:paraId="23EC8040" w14:textId="1B5E3EE2">
            <w:pPr>
              <w:jc w:val="right"/>
              <w:rPr>
                <w:sz w:val="20"/>
                <w:szCs w:val="20"/>
              </w:rPr>
            </w:pPr>
            <w:r w:rsidRPr="00683F1F">
              <w:rPr>
                <w:sz w:val="20"/>
                <w:szCs w:val="20"/>
              </w:rPr>
              <w:t>1</w:t>
            </w:r>
          </w:p>
        </w:tc>
        <w:tc>
          <w:tcPr>
            <w:tcW w:w="900" w:type="dxa"/>
          </w:tcPr>
          <w:p w:rsidR="00683F1F" w:rsidRPr="00683F1F" w:rsidP="00683F1F" w14:paraId="4300D9B6" w14:textId="2CC3AD79">
            <w:pPr>
              <w:jc w:val="right"/>
              <w:rPr>
                <w:sz w:val="20"/>
                <w:szCs w:val="20"/>
              </w:rPr>
            </w:pPr>
            <w:r w:rsidRPr="00683F1F">
              <w:rPr>
                <w:sz w:val="20"/>
                <w:szCs w:val="20"/>
              </w:rPr>
              <w:t>5</w:t>
            </w:r>
            <w:r w:rsidR="009066AE">
              <w:rPr>
                <w:sz w:val="20"/>
                <w:szCs w:val="20"/>
              </w:rPr>
              <w:t>8</w:t>
            </w:r>
          </w:p>
        </w:tc>
      </w:tr>
      <w:tr w14:paraId="1502CDA9" w14:textId="77777777" w:rsidTr="002E79C3">
        <w:tblPrEx>
          <w:tblW w:w="9281" w:type="dxa"/>
          <w:tblInd w:w="223" w:type="dxa"/>
          <w:tblLayout w:type="fixed"/>
          <w:tblCellMar>
            <w:left w:w="101" w:type="dxa"/>
            <w:right w:w="101" w:type="dxa"/>
          </w:tblCellMar>
          <w:tblLook w:val="0000"/>
        </w:tblPrEx>
        <w:tc>
          <w:tcPr>
            <w:tcW w:w="2621" w:type="dxa"/>
          </w:tcPr>
          <w:p w:rsidR="00683F1F" w:rsidRPr="00017FE5" w:rsidP="00683F1F" w14:paraId="7EA966E2" w14:textId="78E294A0">
            <w:pPr>
              <w:rPr>
                <w:sz w:val="20"/>
                <w:szCs w:val="20"/>
              </w:rPr>
            </w:pPr>
            <w:r w:rsidRPr="00017FE5">
              <w:rPr>
                <w:sz w:val="20"/>
                <w:szCs w:val="20"/>
              </w:rPr>
              <w:t>GRAS notification procedure for animal food; 570.20</w:t>
            </w:r>
            <w:r w:rsidR="00640761">
              <w:rPr>
                <w:sz w:val="20"/>
                <w:szCs w:val="20"/>
              </w:rPr>
              <w:t>5</w:t>
            </w:r>
            <w:r w:rsidRPr="00017FE5">
              <w:rPr>
                <w:sz w:val="20"/>
                <w:szCs w:val="20"/>
              </w:rPr>
              <w:t>-570.280 (part 570, subpart E)</w:t>
            </w:r>
          </w:p>
        </w:tc>
        <w:tc>
          <w:tcPr>
            <w:tcW w:w="1260" w:type="dxa"/>
          </w:tcPr>
          <w:p w:rsidR="00683F1F" w:rsidRPr="00017FE5" w:rsidP="00683F1F" w14:paraId="43DCD839" w14:textId="7E12C717">
            <w:pPr>
              <w:jc w:val="right"/>
              <w:rPr>
                <w:sz w:val="20"/>
                <w:szCs w:val="20"/>
              </w:rPr>
            </w:pPr>
            <w:r>
              <w:rPr>
                <w:sz w:val="20"/>
                <w:szCs w:val="20"/>
              </w:rPr>
              <w:t>16</w:t>
            </w:r>
          </w:p>
        </w:tc>
        <w:tc>
          <w:tcPr>
            <w:tcW w:w="1620" w:type="dxa"/>
          </w:tcPr>
          <w:p w:rsidR="00683F1F" w:rsidRPr="00017FE5" w:rsidP="00683F1F" w14:paraId="0A5FE0BF" w14:textId="77777777">
            <w:pPr>
              <w:jc w:val="right"/>
              <w:rPr>
                <w:sz w:val="20"/>
                <w:szCs w:val="20"/>
              </w:rPr>
            </w:pPr>
            <w:r w:rsidRPr="00017FE5">
              <w:rPr>
                <w:sz w:val="20"/>
                <w:szCs w:val="20"/>
              </w:rPr>
              <w:t>1</w:t>
            </w:r>
          </w:p>
        </w:tc>
        <w:tc>
          <w:tcPr>
            <w:tcW w:w="1350" w:type="dxa"/>
          </w:tcPr>
          <w:p w:rsidR="00683F1F" w:rsidRPr="00017FE5" w:rsidP="00683F1F" w14:paraId="1B3DB14B" w14:textId="53E3A168">
            <w:pPr>
              <w:jc w:val="right"/>
              <w:rPr>
                <w:sz w:val="20"/>
                <w:szCs w:val="20"/>
              </w:rPr>
            </w:pPr>
            <w:r>
              <w:rPr>
                <w:sz w:val="20"/>
                <w:szCs w:val="20"/>
              </w:rPr>
              <w:t>16</w:t>
            </w:r>
          </w:p>
        </w:tc>
        <w:tc>
          <w:tcPr>
            <w:tcW w:w="1530" w:type="dxa"/>
          </w:tcPr>
          <w:p w:rsidR="00683F1F" w:rsidRPr="00017FE5" w:rsidP="00683F1F" w14:paraId="28C73CAD" w14:textId="3BAE11B7">
            <w:pPr>
              <w:jc w:val="right"/>
              <w:rPr>
                <w:sz w:val="20"/>
                <w:szCs w:val="20"/>
              </w:rPr>
            </w:pPr>
            <w:r w:rsidRPr="00017FE5">
              <w:rPr>
                <w:sz w:val="20"/>
                <w:szCs w:val="20"/>
              </w:rPr>
              <w:t>1</w:t>
            </w:r>
            <w:r>
              <w:rPr>
                <w:sz w:val="20"/>
                <w:szCs w:val="20"/>
              </w:rPr>
              <w:t>8</w:t>
            </w:r>
            <w:r w:rsidRPr="00017FE5">
              <w:rPr>
                <w:sz w:val="20"/>
                <w:szCs w:val="20"/>
              </w:rPr>
              <w:t>0</w:t>
            </w:r>
          </w:p>
        </w:tc>
        <w:tc>
          <w:tcPr>
            <w:tcW w:w="900" w:type="dxa"/>
          </w:tcPr>
          <w:p w:rsidR="00683F1F" w:rsidRPr="00017FE5" w:rsidP="00683F1F" w14:paraId="7E6F75B0" w14:textId="1CCFE814">
            <w:pPr>
              <w:jc w:val="right"/>
              <w:rPr>
                <w:sz w:val="20"/>
                <w:szCs w:val="20"/>
              </w:rPr>
            </w:pPr>
            <w:r>
              <w:rPr>
                <w:sz w:val="20"/>
                <w:szCs w:val="20"/>
              </w:rPr>
              <w:t>2</w:t>
            </w:r>
            <w:r w:rsidRPr="00017FE5">
              <w:rPr>
                <w:sz w:val="20"/>
                <w:szCs w:val="20"/>
              </w:rPr>
              <w:t>,</w:t>
            </w:r>
            <w:r>
              <w:rPr>
                <w:sz w:val="20"/>
                <w:szCs w:val="20"/>
              </w:rPr>
              <w:t>88</w:t>
            </w:r>
            <w:r w:rsidRPr="00017FE5">
              <w:rPr>
                <w:sz w:val="20"/>
                <w:szCs w:val="20"/>
              </w:rPr>
              <w:t>0</w:t>
            </w:r>
          </w:p>
        </w:tc>
      </w:tr>
      <w:tr w14:paraId="31495D59" w14:textId="77777777" w:rsidTr="002E79C3">
        <w:tblPrEx>
          <w:tblW w:w="9281" w:type="dxa"/>
          <w:tblInd w:w="223" w:type="dxa"/>
          <w:tblLayout w:type="fixed"/>
          <w:tblCellMar>
            <w:left w:w="101" w:type="dxa"/>
            <w:right w:w="101" w:type="dxa"/>
          </w:tblCellMar>
          <w:tblLook w:val="0000"/>
        </w:tblPrEx>
        <w:tc>
          <w:tcPr>
            <w:tcW w:w="2621" w:type="dxa"/>
          </w:tcPr>
          <w:p w:rsidR="00675332" w:rsidRPr="00675332" w:rsidP="00675332" w14:paraId="5040E60D" w14:textId="16C71262">
            <w:pPr>
              <w:rPr>
                <w:sz w:val="20"/>
                <w:szCs w:val="20"/>
              </w:rPr>
            </w:pPr>
            <w:r w:rsidRPr="00675332">
              <w:rPr>
                <w:sz w:val="20"/>
                <w:szCs w:val="20"/>
              </w:rPr>
              <w:t>Threshold of regulation for substances used in food; § 170.39</w:t>
            </w:r>
          </w:p>
        </w:tc>
        <w:tc>
          <w:tcPr>
            <w:tcW w:w="1260" w:type="dxa"/>
          </w:tcPr>
          <w:p w:rsidR="00675332" w:rsidRPr="00675332" w:rsidP="00675332" w14:paraId="64C6668C" w14:textId="6E18E728">
            <w:pPr>
              <w:jc w:val="right"/>
              <w:rPr>
                <w:sz w:val="20"/>
                <w:szCs w:val="20"/>
              </w:rPr>
            </w:pPr>
            <w:r w:rsidRPr="00675332">
              <w:rPr>
                <w:sz w:val="20"/>
                <w:szCs w:val="20"/>
              </w:rPr>
              <w:t>7</w:t>
            </w:r>
          </w:p>
        </w:tc>
        <w:tc>
          <w:tcPr>
            <w:tcW w:w="1620" w:type="dxa"/>
          </w:tcPr>
          <w:p w:rsidR="00675332" w:rsidRPr="00675332" w:rsidP="00675332" w14:paraId="2A59034B" w14:textId="4C68D427">
            <w:pPr>
              <w:jc w:val="right"/>
              <w:rPr>
                <w:sz w:val="20"/>
                <w:szCs w:val="20"/>
              </w:rPr>
            </w:pPr>
            <w:r w:rsidRPr="00675332">
              <w:rPr>
                <w:sz w:val="20"/>
                <w:szCs w:val="20"/>
              </w:rPr>
              <w:t>1</w:t>
            </w:r>
          </w:p>
        </w:tc>
        <w:tc>
          <w:tcPr>
            <w:tcW w:w="1350" w:type="dxa"/>
          </w:tcPr>
          <w:p w:rsidR="00675332" w:rsidRPr="00675332" w:rsidP="00675332" w14:paraId="33E02672" w14:textId="6C9FC849">
            <w:pPr>
              <w:jc w:val="right"/>
              <w:rPr>
                <w:sz w:val="20"/>
                <w:szCs w:val="20"/>
              </w:rPr>
            </w:pPr>
            <w:r w:rsidRPr="00675332">
              <w:rPr>
                <w:sz w:val="20"/>
                <w:szCs w:val="20"/>
              </w:rPr>
              <w:t>7</w:t>
            </w:r>
          </w:p>
        </w:tc>
        <w:tc>
          <w:tcPr>
            <w:tcW w:w="1530" w:type="dxa"/>
          </w:tcPr>
          <w:p w:rsidR="00675332" w:rsidRPr="00675332" w:rsidP="00675332" w14:paraId="392FA0DB" w14:textId="48D39CD8">
            <w:pPr>
              <w:jc w:val="right"/>
              <w:rPr>
                <w:sz w:val="20"/>
                <w:szCs w:val="20"/>
              </w:rPr>
            </w:pPr>
            <w:r w:rsidRPr="00675332">
              <w:rPr>
                <w:sz w:val="20"/>
                <w:szCs w:val="20"/>
              </w:rPr>
              <w:t>48</w:t>
            </w:r>
          </w:p>
        </w:tc>
        <w:tc>
          <w:tcPr>
            <w:tcW w:w="900" w:type="dxa"/>
          </w:tcPr>
          <w:p w:rsidR="00675332" w:rsidRPr="00675332" w:rsidP="00675332" w14:paraId="733AC94C" w14:textId="7934DBEA">
            <w:pPr>
              <w:jc w:val="right"/>
              <w:rPr>
                <w:sz w:val="20"/>
                <w:szCs w:val="20"/>
              </w:rPr>
            </w:pPr>
            <w:r w:rsidRPr="00675332">
              <w:rPr>
                <w:sz w:val="20"/>
                <w:szCs w:val="20"/>
              </w:rPr>
              <w:t>336</w:t>
            </w:r>
          </w:p>
        </w:tc>
      </w:tr>
      <w:tr w14:paraId="0BCFE183" w14:textId="77777777" w:rsidTr="00093805">
        <w:tblPrEx>
          <w:tblW w:w="9281" w:type="dxa"/>
          <w:tblInd w:w="223" w:type="dxa"/>
          <w:tblLayout w:type="fixed"/>
          <w:tblCellMar>
            <w:left w:w="101" w:type="dxa"/>
            <w:right w:w="101" w:type="dxa"/>
          </w:tblCellMar>
          <w:tblLook w:val="0000"/>
        </w:tblPrEx>
        <w:tc>
          <w:tcPr>
            <w:tcW w:w="8381" w:type="dxa"/>
            <w:gridSpan w:val="5"/>
          </w:tcPr>
          <w:p w:rsidR="00AC560E" w:rsidRPr="00017FE5" w:rsidP="00AC560E" w14:paraId="1799B708" w14:textId="6AE56174">
            <w:pPr>
              <w:rPr>
                <w:sz w:val="20"/>
                <w:szCs w:val="20"/>
              </w:rPr>
            </w:pPr>
            <w:r w:rsidRPr="00017FE5">
              <w:rPr>
                <w:sz w:val="20"/>
                <w:szCs w:val="20"/>
              </w:rPr>
              <w:t>Total</w:t>
            </w:r>
          </w:p>
        </w:tc>
        <w:tc>
          <w:tcPr>
            <w:tcW w:w="900" w:type="dxa"/>
          </w:tcPr>
          <w:p w:rsidR="00AC560E" w:rsidRPr="00017FE5" w:rsidP="00675332" w14:paraId="7F0F5F81" w14:textId="72C491E1">
            <w:pPr>
              <w:jc w:val="right"/>
              <w:rPr>
                <w:sz w:val="20"/>
                <w:szCs w:val="20"/>
              </w:rPr>
            </w:pPr>
            <w:r>
              <w:rPr>
                <w:sz w:val="20"/>
                <w:szCs w:val="20"/>
              </w:rPr>
              <w:t>38,194</w:t>
            </w:r>
          </w:p>
        </w:tc>
      </w:tr>
    </w:tbl>
    <w:p w:rsidR="00017FE5" w:rsidRPr="00017FE5" w:rsidP="002E79C3" w14:paraId="410B05A1" w14:textId="77777777">
      <w:pPr>
        <w:ind w:firstLine="360"/>
        <w:rPr>
          <w:szCs w:val="20"/>
        </w:rPr>
      </w:pPr>
      <w:r w:rsidRPr="002E79C3">
        <w:rPr>
          <w:sz w:val="20"/>
          <w:szCs w:val="20"/>
          <w:vertAlign w:val="superscript"/>
        </w:rPr>
        <w:t>1</w:t>
      </w:r>
      <w:r w:rsidRPr="00017FE5">
        <w:rPr>
          <w:szCs w:val="20"/>
        </w:rPr>
        <w:t xml:space="preserve"> </w:t>
      </w:r>
      <w:r w:rsidRPr="00017FE5">
        <w:rPr>
          <w:sz w:val="20"/>
          <w:szCs w:val="20"/>
        </w:rPr>
        <w:t>There are no capital costs or operating and maintenance costs associated with this collection of information.</w:t>
      </w:r>
    </w:p>
    <w:p w:rsidR="00E26629" w:rsidP="00017FE5" w14:paraId="5EE3BD50" w14:textId="77777777">
      <w:pPr>
        <w:autoSpaceDE w:val="0"/>
        <w:autoSpaceDN w:val="0"/>
        <w:adjustRightInd w:val="0"/>
        <w:ind w:left="360"/>
        <w:rPr>
          <w:rFonts w:ascii="TimesNewRomanPSMT" w:hAnsi="TimesNewRomanPSMT" w:cs="TimesNewRomanPSMT"/>
        </w:rPr>
      </w:pPr>
    </w:p>
    <w:p w:rsidR="00AA2C73" w:rsidP="00017FE5" w14:paraId="2EC3CD7A" w14:textId="65847E49">
      <w:pPr>
        <w:autoSpaceDE w:val="0"/>
        <w:autoSpaceDN w:val="0"/>
        <w:adjustRightInd w:val="0"/>
        <w:ind w:left="360"/>
        <w:rPr>
          <w:rFonts w:ascii="TimesNewRomanPSMT" w:hAnsi="TimesNewRomanPSMT" w:cs="TimesNewRomanPSMT"/>
        </w:rPr>
      </w:pPr>
      <w:r w:rsidRPr="005A2CC2">
        <w:rPr>
          <w:rFonts w:ascii="TimesNewRomanPSMT" w:hAnsi="TimesNewRomanPSMT" w:cs="TimesNewRomanPSMT"/>
        </w:rPr>
        <w:t xml:space="preserve">The burden estimates are consistent with the estimates found in the Preliminary Regulatory Impact Analysis (PRIA) </w:t>
      </w:r>
      <w:r w:rsidRPr="003B3D7E" w:rsidR="003B3D7E">
        <w:rPr>
          <w:rFonts w:ascii="TimesNewRomanPSMT" w:hAnsi="TimesNewRomanPSMT" w:cs="TimesNewRomanPSMT"/>
        </w:rPr>
        <w:t>(</w:t>
      </w:r>
      <w:r w:rsidRPr="00A6698E" w:rsidR="003B3D7E">
        <w:rPr>
          <w:rFonts w:ascii="TimesNewRomanPSMT" w:hAnsi="TimesNewRomanPSMT" w:cs="TimesNewRomanPSMT"/>
        </w:rPr>
        <w:t>Docket No. FDA-202</w:t>
      </w:r>
      <w:r w:rsidRPr="00A6698E" w:rsidR="00293924">
        <w:rPr>
          <w:rFonts w:ascii="TimesNewRomanPSMT" w:hAnsi="TimesNewRomanPSMT" w:cs="TimesNewRomanPSMT"/>
        </w:rPr>
        <w:t>5</w:t>
      </w:r>
      <w:r w:rsidRPr="00A6698E" w:rsidR="003B3D7E">
        <w:rPr>
          <w:rFonts w:ascii="TimesNewRomanPSMT" w:hAnsi="TimesNewRomanPSMT" w:cs="TimesNewRomanPSMT"/>
        </w:rPr>
        <w:t>-N-</w:t>
      </w:r>
      <w:r w:rsidR="00723FB7">
        <w:rPr>
          <w:rFonts w:ascii="TimesNewRomanPSMT" w:hAnsi="TimesNewRomanPSMT" w:cs="TimesNewRomanPSMT"/>
        </w:rPr>
        <w:t>32</w:t>
      </w:r>
      <w:r w:rsidR="00A6698E">
        <w:rPr>
          <w:rFonts w:ascii="TimesNewRomanPSMT" w:hAnsi="TimesNewRomanPSMT" w:cs="TimesNewRomanPSMT"/>
        </w:rPr>
        <w:t>62</w:t>
      </w:r>
      <w:r w:rsidRPr="003B3D7E" w:rsidR="003B3D7E">
        <w:rPr>
          <w:rFonts w:ascii="TimesNewRomanPSMT" w:hAnsi="TimesNewRomanPSMT" w:cs="TimesNewRomanPSMT"/>
        </w:rPr>
        <w:t>)</w:t>
      </w:r>
      <w:r w:rsidRPr="003B3D7E" w:rsidR="003B3D7E">
        <w:rPr>
          <w:rFonts w:ascii="TimesNewRomanPSMT" w:hAnsi="TimesNewRomanPSMT" w:cs="TimesNewRomanPSMT"/>
          <w:lang w:val="en"/>
        </w:rPr>
        <w:t xml:space="preserve"> (</w:t>
      </w:r>
      <w:hyperlink r:id="rId7" w:history="1">
        <w:r w:rsidRPr="003B3D7E" w:rsidR="003B3D7E">
          <w:rPr>
            <w:rStyle w:val="Hyperlink"/>
            <w:rFonts w:ascii="TimesNewRomanPSMT" w:hAnsi="TimesNewRomanPSMT" w:cs="TimesNewRomanPSMT"/>
            <w:lang w:val="en"/>
          </w:rPr>
          <w:t>https://www.fda.gov/about-fda/reports/economic-impact-analyses-fda-regulations</w:t>
        </w:r>
      </w:hyperlink>
      <w:r w:rsidRPr="003B3D7E" w:rsidR="003B3D7E">
        <w:rPr>
          <w:rFonts w:ascii="TimesNewRomanPSMT" w:hAnsi="TimesNewRomanPSMT" w:cs="TimesNewRomanPSMT"/>
          <w:lang w:val="en"/>
        </w:rPr>
        <w:t>)</w:t>
      </w:r>
      <w:r w:rsidRPr="005A2CC2">
        <w:rPr>
          <w:rFonts w:ascii="TimesNewRomanPSMT" w:hAnsi="TimesNewRomanPSMT" w:cs="TimesNewRomanPSMT"/>
        </w:rPr>
        <w:t xml:space="preserve">.  The existing information collection </w:t>
      </w:r>
      <w:r w:rsidRPr="005A2CC2">
        <w:rPr>
          <w:rFonts w:ascii="TimesNewRomanPSMT" w:hAnsi="TimesNewRomanPSMT" w:cs="TimesNewRomanPSMT"/>
        </w:rPr>
        <w:t>for voluntary GRAS notices OMB control number 0910-0342 (Substances Generally Recognized as Safe: Notification Procedure) estimates 100 firms for human foods and 12 firms for animal food that voluntarily submitted GRAS notices for a total of 112 firms.  These</w:t>
      </w:r>
      <w:r w:rsidR="00FB0169">
        <w:rPr>
          <w:rFonts w:ascii="TimesNewRomanPSMT" w:hAnsi="TimesNewRomanPSMT" w:cs="TimesNewRomanPSMT"/>
        </w:rPr>
        <w:t xml:space="preserve"> annual</w:t>
      </w:r>
      <w:r w:rsidRPr="005A2CC2">
        <w:rPr>
          <w:rFonts w:ascii="TimesNewRomanPSMT" w:hAnsi="TimesNewRomanPSMT" w:cs="TimesNewRomanPSMT"/>
        </w:rPr>
        <w:t xml:space="preserve"> estimates are based on our experience with the voluntary GRAS notice program</w:t>
      </w:r>
      <w:r w:rsidR="00AC7C5F">
        <w:rPr>
          <w:rFonts w:ascii="TimesNewRomanPSMT" w:hAnsi="TimesNewRomanPSMT" w:cs="TimesNewRomanPSMT"/>
        </w:rPr>
        <w:t>,</w:t>
      </w:r>
      <w:r w:rsidRPr="005A2CC2">
        <w:rPr>
          <w:rFonts w:ascii="TimesNewRomanPSMT" w:hAnsi="TimesNewRomanPSMT" w:cs="TimesNewRomanPSMT"/>
        </w:rPr>
        <w:t xml:space="preserve"> and</w:t>
      </w:r>
      <w:r w:rsidR="00AC7C5F">
        <w:rPr>
          <w:rFonts w:ascii="TimesNewRomanPSMT" w:hAnsi="TimesNewRomanPSMT" w:cs="TimesNewRomanPSMT"/>
        </w:rPr>
        <w:t xml:space="preserve"> we</w:t>
      </w:r>
      <w:r w:rsidRPr="005A2CC2">
        <w:rPr>
          <w:rFonts w:ascii="TimesNewRomanPSMT" w:hAnsi="TimesNewRomanPSMT" w:cs="TimesNewRomanPSMT"/>
        </w:rPr>
        <w:t xml:space="preserve"> include </w:t>
      </w:r>
      <w:r w:rsidR="00AC7C5F">
        <w:rPr>
          <w:rFonts w:ascii="TimesNewRomanPSMT" w:hAnsi="TimesNewRomanPSMT" w:cs="TimesNewRomanPSMT"/>
        </w:rPr>
        <w:t xml:space="preserve">with </w:t>
      </w:r>
      <w:r w:rsidRPr="005A2CC2">
        <w:rPr>
          <w:rFonts w:ascii="TimesNewRomanPSMT" w:hAnsi="TimesNewRomanPSMT" w:cs="TimesNewRomanPSMT"/>
        </w:rPr>
        <w:t xml:space="preserve">them with our </w:t>
      </w:r>
      <w:r w:rsidR="00AC7C5F">
        <w:rPr>
          <w:rFonts w:ascii="TimesNewRomanPSMT" w:hAnsi="TimesNewRomanPSMT" w:cs="TimesNewRomanPSMT"/>
        </w:rPr>
        <w:t xml:space="preserve">annual </w:t>
      </w:r>
      <w:r w:rsidRPr="005A2CC2">
        <w:rPr>
          <w:rFonts w:ascii="TimesNewRomanPSMT" w:hAnsi="TimesNewRomanPSMT" w:cs="TimesNewRomanPSMT"/>
        </w:rPr>
        <w:t xml:space="preserve">estimates for additional firms that will submit GRAS notices to comply with the proposed rule, if finalized.  </w:t>
      </w:r>
    </w:p>
    <w:p w:rsidR="00AA2C73" w:rsidP="00017FE5" w14:paraId="4D9A4488" w14:textId="77777777">
      <w:pPr>
        <w:autoSpaceDE w:val="0"/>
        <w:autoSpaceDN w:val="0"/>
        <w:adjustRightInd w:val="0"/>
        <w:ind w:left="360"/>
        <w:rPr>
          <w:rFonts w:ascii="TimesNewRomanPSMT" w:hAnsi="TimesNewRomanPSMT" w:cs="TimesNewRomanPSMT"/>
        </w:rPr>
      </w:pPr>
    </w:p>
    <w:p w:rsidR="00CB5847" w:rsidP="00017FE5" w14:paraId="0F8EFBB1" w14:textId="7D0D0279">
      <w:pPr>
        <w:autoSpaceDE w:val="0"/>
        <w:autoSpaceDN w:val="0"/>
        <w:adjustRightInd w:val="0"/>
        <w:ind w:left="360"/>
        <w:rPr>
          <w:rFonts w:ascii="TimesNewRomanPSMT" w:hAnsi="TimesNewRomanPSMT" w:cs="TimesNewRomanPSMT"/>
        </w:rPr>
      </w:pPr>
      <w:r w:rsidRPr="005A2CC2">
        <w:rPr>
          <w:rFonts w:ascii="TimesNewRomanPSMT" w:hAnsi="TimesNewRomanPSMT" w:cs="TimesNewRomanPSMT"/>
        </w:rPr>
        <w:t xml:space="preserve">In </w:t>
      </w:r>
      <w:r w:rsidR="0044629C">
        <w:rPr>
          <w:rFonts w:ascii="TimesNewRomanPSMT" w:hAnsi="TimesNewRomanPSMT" w:cs="TimesNewRomanPSMT"/>
        </w:rPr>
        <w:t>T</w:t>
      </w:r>
      <w:r w:rsidRPr="005A2CC2">
        <w:rPr>
          <w:rFonts w:ascii="TimesNewRomanPSMT" w:hAnsi="TimesNewRomanPSMT" w:cs="TimesNewRomanPSMT"/>
        </w:rPr>
        <w:t>able 15 of the PRIA, we estimate that a total of approximately</w:t>
      </w:r>
      <w:r w:rsidR="00B63CA9">
        <w:rPr>
          <w:rFonts w:ascii="TimesNewRomanPSMT" w:hAnsi="TimesNewRomanPSMT" w:cs="TimesNewRomanPSMT"/>
        </w:rPr>
        <w:t xml:space="preserve"> 98 additional</w:t>
      </w:r>
      <w:r w:rsidRPr="005A2CC2">
        <w:rPr>
          <w:rFonts w:ascii="TimesNewRomanPSMT" w:hAnsi="TimesNewRomanPSMT" w:cs="TimesNewRomanPSMT"/>
        </w:rPr>
        <w:t xml:space="preserve"> firms, including GRAS substance producers and food manufacturers, will submit a GRAS notice</w:t>
      </w:r>
      <w:r w:rsidR="00E96330">
        <w:rPr>
          <w:rFonts w:ascii="TimesNewRomanPSMT" w:hAnsi="TimesNewRomanPSMT" w:cs="TimesNewRomanPSMT"/>
        </w:rPr>
        <w:t xml:space="preserve"> annually</w:t>
      </w:r>
      <w:r w:rsidRPr="005A2CC2">
        <w:rPr>
          <w:rFonts w:ascii="TimesNewRomanPSMT" w:hAnsi="TimesNewRomanPSMT" w:cs="TimesNewRomanPSMT"/>
        </w:rPr>
        <w:t xml:space="preserve">.  Of the new firms, we estimate that </w:t>
      </w:r>
      <w:r w:rsidR="00294F39">
        <w:rPr>
          <w:rFonts w:ascii="TimesNewRomanPSMT" w:hAnsi="TimesNewRomanPSMT" w:cs="TimesNewRomanPSMT"/>
        </w:rPr>
        <w:t>94</w:t>
      </w:r>
      <w:r w:rsidRPr="005A2CC2">
        <w:rPr>
          <w:rFonts w:ascii="TimesNewRomanPSMT" w:hAnsi="TimesNewRomanPSMT" w:cs="TimesNewRomanPSMT"/>
        </w:rPr>
        <w:t xml:space="preserve"> produce human food, and 4 produce animal food.  For this analysis, we estimate that 1</w:t>
      </w:r>
      <w:r w:rsidR="00294F39">
        <w:rPr>
          <w:rFonts w:ascii="TimesNewRomanPSMT" w:hAnsi="TimesNewRomanPSMT" w:cs="TimesNewRomanPSMT"/>
        </w:rPr>
        <w:t>94</w:t>
      </w:r>
      <w:r w:rsidRPr="005A2CC2">
        <w:rPr>
          <w:rFonts w:ascii="TimesNewRomanPSMT" w:hAnsi="TimesNewRomanPSMT" w:cs="TimesNewRomanPSMT"/>
        </w:rPr>
        <w:t xml:space="preserve"> firms (100 voluntarily submitting + </w:t>
      </w:r>
      <w:r w:rsidR="00294F39">
        <w:rPr>
          <w:rFonts w:ascii="TimesNewRomanPSMT" w:hAnsi="TimesNewRomanPSMT" w:cs="TimesNewRomanPSMT"/>
        </w:rPr>
        <w:t>94</w:t>
      </w:r>
      <w:r w:rsidRPr="005A2CC2">
        <w:rPr>
          <w:rFonts w:ascii="TimesNewRomanPSMT" w:hAnsi="TimesNewRomanPSMT" w:cs="TimesNewRomanPSMT"/>
        </w:rPr>
        <w:t xml:space="preserve"> due to rulemaking) </w:t>
      </w:r>
      <w:r w:rsidR="007C3295">
        <w:rPr>
          <w:rFonts w:ascii="TimesNewRomanPSMT" w:hAnsi="TimesNewRomanPSMT" w:cs="TimesNewRomanPSMT"/>
        </w:rPr>
        <w:t xml:space="preserve">annually </w:t>
      </w:r>
      <w:r w:rsidRPr="005A2CC2">
        <w:rPr>
          <w:rFonts w:ascii="TimesNewRomanPSMT" w:hAnsi="TimesNewRomanPSMT" w:cs="TimesNewRomanPSMT"/>
        </w:rPr>
        <w:t xml:space="preserve">will submit a GRAS notice for human food, and 16 firms (12 voluntarily submitting + 4 due to rulemaking) will submit a GRAS notice for animal food.  In </w:t>
      </w:r>
      <w:r w:rsidR="0044629C">
        <w:rPr>
          <w:rFonts w:ascii="TimesNewRomanPSMT" w:hAnsi="TimesNewRomanPSMT" w:cs="TimesNewRomanPSMT"/>
        </w:rPr>
        <w:t>T</w:t>
      </w:r>
      <w:r w:rsidRPr="005A2CC2">
        <w:rPr>
          <w:rFonts w:ascii="TimesNewRomanPSMT" w:hAnsi="TimesNewRomanPSMT" w:cs="TimesNewRomanPSMT"/>
        </w:rPr>
        <w:t>able 14 of the PRIA, we estimate that it will take 180 hours to prepare and submit a GRAS notice for either human or animal food.  Accordingly, we estimate the burden for submitting a GRAS notice to be 34</w:t>
      </w:r>
      <w:r w:rsidR="00F412FD">
        <w:rPr>
          <w:rFonts w:ascii="TimesNewRomanPSMT" w:hAnsi="TimesNewRomanPSMT" w:cs="TimesNewRomanPSMT"/>
        </w:rPr>
        <w:t>,92</w:t>
      </w:r>
      <w:r w:rsidRPr="005A2CC2">
        <w:rPr>
          <w:rFonts w:ascii="TimesNewRomanPSMT" w:hAnsi="TimesNewRomanPSMT" w:cs="TimesNewRomanPSMT"/>
        </w:rPr>
        <w:t>0 hours for human food (1</w:t>
      </w:r>
      <w:r w:rsidR="00291600">
        <w:rPr>
          <w:rFonts w:ascii="TimesNewRomanPSMT" w:hAnsi="TimesNewRomanPSMT" w:cs="TimesNewRomanPSMT"/>
        </w:rPr>
        <w:t>94</w:t>
      </w:r>
      <w:r w:rsidRPr="005A2CC2">
        <w:rPr>
          <w:rFonts w:ascii="TimesNewRomanPSMT" w:hAnsi="TimesNewRomanPSMT" w:cs="TimesNewRomanPSMT"/>
        </w:rPr>
        <w:t xml:space="preserve"> notices × 180 hours) and 2,880 hours for animal food (16 notices × 180 hours).</w:t>
      </w:r>
    </w:p>
    <w:p w:rsidR="00CB5847" w:rsidP="00017FE5" w14:paraId="58DF5007" w14:textId="77777777">
      <w:pPr>
        <w:autoSpaceDE w:val="0"/>
        <w:autoSpaceDN w:val="0"/>
        <w:adjustRightInd w:val="0"/>
        <w:ind w:left="360"/>
        <w:rPr>
          <w:rFonts w:ascii="TimesNewRomanPSMT" w:hAnsi="TimesNewRomanPSMT" w:cs="TimesNewRomanPSMT"/>
        </w:rPr>
      </w:pPr>
    </w:p>
    <w:p w:rsidR="00CB5847" w:rsidP="00017FE5" w14:paraId="593B2B06" w14:textId="7B477637">
      <w:pPr>
        <w:autoSpaceDE w:val="0"/>
        <w:autoSpaceDN w:val="0"/>
        <w:adjustRightInd w:val="0"/>
        <w:ind w:left="360"/>
        <w:rPr>
          <w:rFonts w:ascii="TimesNewRomanPSMT" w:hAnsi="TimesNewRomanPSMT" w:cs="TimesNewRomanPSMT"/>
        </w:rPr>
      </w:pPr>
      <w:r w:rsidRPr="00CB50E6">
        <w:rPr>
          <w:rFonts w:ascii="TimesNewRomanPSMT" w:hAnsi="TimesNewRomanPSMT" w:cs="TimesNewRomanPSMT"/>
        </w:rPr>
        <w:t>We estimate that approximately 5</w:t>
      </w:r>
      <w:r w:rsidR="00291600">
        <w:rPr>
          <w:rFonts w:ascii="TimesNewRomanPSMT" w:hAnsi="TimesNewRomanPSMT" w:cs="TimesNewRomanPSMT"/>
        </w:rPr>
        <w:t>8</w:t>
      </w:r>
      <w:r w:rsidRPr="00CB50E6">
        <w:rPr>
          <w:rFonts w:ascii="TimesNewRomanPSMT" w:hAnsi="TimesNewRomanPSMT" w:cs="TimesNewRomanPSMT"/>
        </w:rPr>
        <w:t xml:space="preserve"> respondents will request a waiver to submit </w:t>
      </w:r>
      <w:r w:rsidRPr="00CB50E6" w:rsidR="00C428DC">
        <w:rPr>
          <w:rFonts w:ascii="TimesNewRomanPSMT" w:hAnsi="TimesNewRomanPSMT" w:cs="TimesNewRomanPSMT"/>
        </w:rPr>
        <w:t xml:space="preserve">in paper format </w:t>
      </w:r>
      <w:r w:rsidRPr="00CB50E6">
        <w:rPr>
          <w:rFonts w:ascii="TimesNewRomanPSMT" w:hAnsi="TimesNewRomanPSMT" w:cs="TimesNewRomanPSMT"/>
        </w:rPr>
        <w:t xml:space="preserve">either </w:t>
      </w:r>
      <w:r w:rsidR="00B012DB">
        <w:rPr>
          <w:rFonts w:ascii="TimesNewRomanPSMT" w:hAnsi="TimesNewRomanPSMT" w:cs="TimesNewRomanPSMT"/>
        </w:rPr>
        <w:t xml:space="preserve">a </w:t>
      </w:r>
      <w:r w:rsidRPr="00CB50E6">
        <w:rPr>
          <w:rFonts w:ascii="TimesNewRomanPSMT" w:hAnsi="TimesNewRomanPSMT" w:cs="TimesNewRomanPSMT"/>
        </w:rPr>
        <w:t xml:space="preserve">GRAS notice, TOR exemption, or the time-limited option to submit information for certain substances already in interstate commerce for human food.  This </w:t>
      </w:r>
      <w:r w:rsidR="00B012DB">
        <w:rPr>
          <w:rFonts w:ascii="TimesNewRomanPSMT" w:hAnsi="TimesNewRomanPSMT" w:cs="TimesNewRomanPSMT"/>
        </w:rPr>
        <w:t xml:space="preserve">annual </w:t>
      </w:r>
      <w:r w:rsidRPr="00CB50E6">
        <w:rPr>
          <w:rFonts w:ascii="TimesNewRomanPSMT" w:hAnsi="TimesNewRomanPSMT" w:cs="TimesNewRomanPSMT"/>
        </w:rPr>
        <w:t xml:space="preserve">estimate is based on our experience with the voluntary GRAS notice program and </w:t>
      </w:r>
      <w:r w:rsidR="00A5307E">
        <w:rPr>
          <w:rFonts w:ascii="TimesNewRomanPSMT" w:hAnsi="TimesNewRomanPSMT" w:cs="TimesNewRomanPSMT"/>
        </w:rPr>
        <w:t xml:space="preserve">the annual </w:t>
      </w:r>
      <w:r w:rsidRPr="00CB50E6">
        <w:rPr>
          <w:rFonts w:ascii="TimesNewRomanPSMT" w:hAnsi="TimesNewRomanPSMT" w:cs="TimesNewRomanPSMT"/>
        </w:rPr>
        <w:t>estimate in the existing information collection approved under OMB control number 0910-0342, where we estimate that approximately 30 percent of submissions are in paper format</w:t>
      </w:r>
      <w:r w:rsidR="00CF6DB6">
        <w:rPr>
          <w:rFonts w:ascii="TimesNewRomanPSMT" w:hAnsi="TimesNewRomanPSMT" w:cs="TimesNewRomanPSMT"/>
        </w:rPr>
        <w:t xml:space="preserve"> annually</w:t>
      </w:r>
      <w:r w:rsidRPr="00CB50E6">
        <w:rPr>
          <w:rFonts w:ascii="TimesNewRomanPSMT" w:hAnsi="TimesNewRomanPSMT" w:cs="TimesNewRomanPSMT"/>
        </w:rPr>
        <w:t>.  For this analysis, we will assume approximately 30 percent of firms will choose to submit in paper format.  Thus, 30 percent of the estimated 1</w:t>
      </w:r>
      <w:r w:rsidR="00CF6DB6">
        <w:rPr>
          <w:rFonts w:ascii="TimesNewRomanPSMT" w:hAnsi="TimesNewRomanPSMT" w:cs="TimesNewRomanPSMT"/>
        </w:rPr>
        <w:t>94</w:t>
      </w:r>
      <w:r w:rsidRPr="00CB50E6">
        <w:rPr>
          <w:rFonts w:ascii="TimesNewRomanPSMT" w:hAnsi="TimesNewRomanPSMT" w:cs="TimesNewRomanPSMT"/>
        </w:rPr>
        <w:t xml:space="preserve"> firms for human food is about 5</w:t>
      </w:r>
      <w:r w:rsidR="00CF6DB6">
        <w:rPr>
          <w:rFonts w:ascii="TimesNewRomanPSMT" w:hAnsi="TimesNewRomanPSMT" w:cs="TimesNewRomanPSMT"/>
        </w:rPr>
        <w:t>8</w:t>
      </w:r>
      <w:r w:rsidRPr="00CB50E6">
        <w:rPr>
          <w:rFonts w:ascii="TimesNewRomanPSMT" w:hAnsi="TimesNewRomanPSMT" w:cs="TimesNewRomanPSMT"/>
        </w:rPr>
        <w:t xml:space="preserve"> (1</w:t>
      </w:r>
      <w:r w:rsidR="00CF6DB6">
        <w:rPr>
          <w:rFonts w:ascii="TimesNewRomanPSMT" w:hAnsi="TimesNewRomanPSMT" w:cs="TimesNewRomanPSMT"/>
        </w:rPr>
        <w:t>94</w:t>
      </w:r>
      <w:r w:rsidRPr="00CB50E6">
        <w:rPr>
          <w:rFonts w:ascii="TimesNewRomanPSMT" w:hAnsi="TimesNewRomanPSMT" w:cs="TimesNewRomanPSMT"/>
        </w:rPr>
        <w:t xml:space="preserve"> firms × 0.30).  We believe respondents will need no longer than an hour to prepare such a request as respondents should already have any information needed to request a waiver.  Accordingly, we estimate the </w:t>
      </w:r>
      <w:r w:rsidR="00B65D0E">
        <w:rPr>
          <w:rFonts w:ascii="TimesNewRomanPSMT" w:hAnsi="TimesNewRomanPSMT" w:cs="TimesNewRomanPSMT"/>
        </w:rPr>
        <w:t xml:space="preserve">annual </w:t>
      </w:r>
      <w:r w:rsidRPr="00CB50E6">
        <w:rPr>
          <w:rFonts w:ascii="TimesNewRomanPSMT" w:hAnsi="TimesNewRomanPSMT" w:cs="TimesNewRomanPSMT"/>
        </w:rPr>
        <w:t>burden to request a waiver to submit a GRAS notice for human food in paper format to be 5</w:t>
      </w:r>
      <w:r w:rsidR="003B5AA4">
        <w:rPr>
          <w:rFonts w:ascii="TimesNewRomanPSMT" w:hAnsi="TimesNewRomanPSMT" w:cs="TimesNewRomanPSMT"/>
        </w:rPr>
        <w:t>8</w:t>
      </w:r>
      <w:r w:rsidRPr="00CB50E6">
        <w:rPr>
          <w:rFonts w:ascii="TimesNewRomanPSMT" w:hAnsi="TimesNewRomanPSMT" w:cs="TimesNewRomanPSMT"/>
        </w:rPr>
        <w:t xml:space="preserve"> hours.   </w:t>
      </w:r>
    </w:p>
    <w:p w:rsidR="009168F5" w:rsidP="00017FE5" w14:paraId="40F35B21" w14:textId="77777777">
      <w:pPr>
        <w:autoSpaceDE w:val="0"/>
        <w:autoSpaceDN w:val="0"/>
        <w:adjustRightInd w:val="0"/>
        <w:ind w:left="360"/>
        <w:rPr>
          <w:rFonts w:ascii="TimesNewRomanPSMT" w:hAnsi="TimesNewRomanPSMT" w:cs="TimesNewRomanPSMT"/>
        </w:rPr>
      </w:pPr>
    </w:p>
    <w:p w:rsidR="009168F5" w:rsidP="00017FE5" w14:paraId="23B340EE" w14:textId="1C4EA9C1">
      <w:pPr>
        <w:autoSpaceDE w:val="0"/>
        <w:autoSpaceDN w:val="0"/>
        <w:adjustRightInd w:val="0"/>
        <w:ind w:left="360"/>
        <w:rPr>
          <w:rFonts w:ascii="TimesNewRomanPSMT" w:hAnsi="TimesNewRomanPSMT" w:cs="TimesNewRomanPSMT"/>
        </w:rPr>
      </w:pPr>
      <w:r w:rsidRPr="00FB2B40">
        <w:rPr>
          <w:rFonts w:ascii="TimesNewRomanPSMT" w:hAnsi="TimesNewRomanPSMT" w:cs="TimesNewRomanPSMT"/>
        </w:rPr>
        <w:t xml:space="preserve">The existing information collection for food contact substances covers TOR exemption under OMB control number 0910-0495 (Food Additives; Food Contact Substances Notification System).  For this analysis, we will use the same annual estimates for TOR exemption from that information collection to apply to the TOR exemption for food substances.  Thus, we estimate that 7 respondents annually will each submit 1 request for a TOR exemption, which will take approximately 48 hours to prepare and submit.  Accordingly, we estimate the annual burden to request a TOR exemption for a food substance will be 336 hours (7 requests × 48 hours).  </w:t>
      </w:r>
    </w:p>
    <w:p w:rsidR="009168F5" w:rsidP="00017FE5" w14:paraId="4AACEDE8" w14:textId="77777777">
      <w:pPr>
        <w:autoSpaceDE w:val="0"/>
        <w:autoSpaceDN w:val="0"/>
        <w:adjustRightInd w:val="0"/>
        <w:ind w:left="360"/>
        <w:rPr>
          <w:rFonts w:ascii="TimesNewRomanPSMT" w:hAnsi="TimesNewRomanPSMT" w:cs="TimesNewRomanPSMT"/>
        </w:rPr>
      </w:pPr>
    </w:p>
    <w:p w:rsidR="00DC6BA2" w:rsidRPr="00DC6BA2" w:rsidP="00DC6BA2" w14:paraId="3709AF0E" w14:textId="2614A68F">
      <w:pPr>
        <w:autoSpaceDE w:val="0"/>
        <w:autoSpaceDN w:val="0"/>
        <w:adjustRightInd w:val="0"/>
        <w:ind w:left="360"/>
        <w:jc w:val="center"/>
        <w:rPr>
          <w:sz w:val="20"/>
          <w:szCs w:val="20"/>
        </w:rPr>
      </w:pPr>
      <w:bookmarkStart w:id="2" w:name="_Ref225418232"/>
      <w:r w:rsidRPr="00DC6BA2">
        <w:rPr>
          <w:sz w:val="20"/>
          <w:szCs w:val="20"/>
        </w:rPr>
        <w:t xml:space="preserve">Table </w:t>
      </w:r>
      <w:bookmarkEnd w:id="2"/>
      <w:r w:rsidR="002B43CC">
        <w:rPr>
          <w:sz w:val="20"/>
          <w:szCs w:val="20"/>
        </w:rPr>
        <w:t>2</w:t>
      </w:r>
      <w:r w:rsidRPr="00DC6BA2">
        <w:rPr>
          <w:sz w:val="20"/>
          <w:szCs w:val="20"/>
        </w:rPr>
        <w:t>.--</w:t>
      </w:r>
      <w:r w:rsidRPr="00DC6BA2">
        <w:rPr>
          <w:sz w:val="20"/>
          <w:szCs w:val="20"/>
        </w:rPr>
        <w:t>Estimated One-Time Reporting Burden</w:t>
      </w:r>
      <w:r w:rsidRPr="00DC6BA2">
        <w:rPr>
          <w:sz w:val="20"/>
          <w:szCs w:val="20"/>
          <w:vertAlign w:val="superscript"/>
        </w:rPr>
        <w:t>1</w:t>
      </w:r>
    </w:p>
    <w:tbl>
      <w:tblPr>
        <w:tblW w:w="9540" w:type="dxa"/>
        <w:tblInd w:w="288" w:type="dxa"/>
        <w:tblLook w:val="01E0"/>
      </w:tblPr>
      <w:tblGrid>
        <w:gridCol w:w="2610"/>
        <w:gridCol w:w="1260"/>
        <w:gridCol w:w="1710"/>
        <w:gridCol w:w="1530"/>
        <w:gridCol w:w="1620"/>
        <w:gridCol w:w="810"/>
      </w:tblGrid>
      <w:tr w14:paraId="3F177E14" w14:textId="77777777" w:rsidTr="00683580">
        <w:tblPrEx>
          <w:tblW w:w="9540" w:type="dxa"/>
          <w:tblInd w:w="288" w:type="dxa"/>
          <w:tblLook w:val="01E0"/>
        </w:tblPrEx>
        <w:trPr>
          <w:trHeight w:val="512"/>
        </w:trPr>
        <w:tc>
          <w:tcPr>
            <w:tcW w:w="2610" w:type="dxa"/>
            <w:tcBorders>
              <w:top w:val="single" w:sz="4" w:space="0" w:color="auto"/>
              <w:left w:val="single" w:sz="4" w:space="0" w:color="auto"/>
              <w:bottom w:val="single" w:sz="4" w:space="0" w:color="auto"/>
              <w:right w:val="single" w:sz="8" w:space="0" w:color="auto"/>
            </w:tcBorders>
            <w:tcMar>
              <w:left w:w="108" w:type="dxa"/>
              <w:right w:w="108" w:type="dxa"/>
            </w:tcMar>
          </w:tcPr>
          <w:p w:rsidR="00DC6BA2" w:rsidRPr="00DC6BA2" w:rsidP="006B1F6B" w14:paraId="098D7209" w14:textId="77777777">
            <w:pPr>
              <w:autoSpaceDE w:val="0"/>
              <w:autoSpaceDN w:val="0"/>
              <w:adjustRightInd w:val="0"/>
              <w:jc w:val="center"/>
              <w:rPr>
                <w:sz w:val="20"/>
                <w:szCs w:val="20"/>
              </w:rPr>
            </w:pPr>
            <w:r w:rsidRPr="00DC6BA2">
              <w:rPr>
                <w:sz w:val="20"/>
                <w:szCs w:val="20"/>
              </w:rPr>
              <w:t>Activity; 21 CFR Section</w:t>
            </w:r>
          </w:p>
        </w:tc>
        <w:tc>
          <w:tcPr>
            <w:tcW w:w="1260" w:type="dxa"/>
            <w:tcBorders>
              <w:top w:val="single" w:sz="4" w:space="0" w:color="auto"/>
              <w:left w:val="single" w:sz="8" w:space="0" w:color="auto"/>
              <w:bottom w:val="single" w:sz="4" w:space="0" w:color="auto"/>
              <w:right w:val="single" w:sz="8" w:space="0" w:color="auto"/>
            </w:tcBorders>
            <w:tcMar>
              <w:left w:w="108" w:type="dxa"/>
              <w:right w:w="108" w:type="dxa"/>
            </w:tcMar>
          </w:tcPr>
          <w:p w:rsidR="00DC6BA2" w:rsidRPr="00DC6BA2" w:rsidP="006B1F6B" w14:paraId="125C7912" w14:textId="77777777">
            <w:pPr>
              <w:autoSpaceDE w:val="0"/>
              <w:autoSpaceDN w:val="0"/>
              <w:adjustRightInd w:val="0"/>
              <w:jc w:val="center"/>
              <w:rPr>
                <w:sz w:val="20"/>
                <w:szCs w:val="20"/>
              </w:rPr>
            </w:pPr>
            <w:r w:rsidRPr="00DC6BA2">
              <w:rPr>
                <w:sz w:val="20"/>
                <w:szCs w:val="20"/>
              </w:rPr>
              <w:t>No. of Respondents</w:t>
            </w:r>
          </w:p>
        </w:tc>
        <w:tc>
          <w:tcPr>
            <w:tcW w:w="1710" w:type="dxa"/>
            <w:tcBorders>
              <w:top w:val="single" w:sz="4" w:space="0" w:color="auto"/>
              <w:left w:val="single" w:sz="8" w:space="0" w:color="auto"/>
              <w:bottom w:val="single" w:sz="4" w:space="0" w:color="auto"/>
              <w:right w:val="single" w:sz="8" w:space="0" w:color="auto"/>
            </w:tcBorders>
            <w:tcMar>
              <w:left w:w="108" w:type="dxa"/>
              <w:right w:w="108" w:type="dxa"/>
            </w:tcMar>
          </w:tcPr>
          <w:p w:rsidR="00DC6BA2" w:rsidRPr="00DC6BA2" w:rsidP="006B1F6B" w14:paraId="009D6B0E" w14:textId="77777777">
            <w:pPr>
              <w:autoSpaceDE w:val="0"/>
              <w:autoSpaceDN w:val="0"/>
              <w:adjustRightInd w:val="0"/>
              <w:jc w:val="center"/>
              <w:rPr>
                <w:sz w:val="20"/>
                <w:szCs w:val="20"/>
              </w:rPr>
            </w:pPr>
            <w:r w:rsidRPr="00DC6BA2">
              <w:rPr>
                <w:sz w:val="20"/>
                <w:szCs w:val="20"/>
              </w:rPr>
              <w:t>No. of Responses per Respondent</w:t>
            </w:r>
          </w:p>
        </w:tc>
        <w:tc>
          <w:tcPr>
            <w:tcW w:w="1530" w:type="dxa"/>
            <w:tcBorders>
              <w:top w:val="single" w:sz="4" w:space="0" w:color="auto"/>
              <w:left w:val="single" w:sz="8" w:space="0" w:color="auto"/>
              <w:bottom w:val="single" w:sz="4" w:space="0" w:color="auto"/>
              <w:right w:val="single" w:sz="8" w:space="0" w:color="auto"/>
            </w:tcBorders>
            <w:tcMar>
              <w:left w:w="108" w:type="dxa"/>
              <w:right w:w="108" w:type="dxa"/>
            </w:tcMar>
          </w:tcPr>
          <w:p w:rsidR="00DC6BA2" w:rsidRPr="00DC6BA2" w:rsidP="006B1F6B" w14:paraId="32209E73" w14:textId="77777777">
            <w:pPr>
              <w:autoSpaceDE w:val="0"/>
              <w:autoSpaceDN w:val="0"/>
              <w:adjustRightInd w:val="0"/>
              <w:ind w:left="-7"/>
              <w:jc w:val="center"/>
              <w:rPr>
                <w:sz w:val="20"/>
                <w:szCs w:val="20"/>
              </w:rPr>
            </w:pPr>
            <w:r w:rsidRPr="00DC6BA2">
              <w:rPr>
                <w:sz w:val="20"/>
                <w:szCs w:val="20"/>
              </w:rPr>
              <w:t>Total One-Time Responses</w:t>
            </w:r>
          </w:p>
        </w:tc>
        <w:tc>
          <w:tcPr>
            <w:tcW w:w="1620" w:type="dxa"/>
            <w:tcBorders>
              <w:top w:val="single" w:sz="4" w:space="0" w:color="auto"/>
              <w:left w:val="single" w:sz="8" w:space="0" w:color="auto"/>
              <w:bottom w:val="single" w:sz="4" w:space="0" w:color="auto"/>
              <w:right w:val="single" w:sz="8" w:space="0" w:color="auto"/>
            </w:tcBorders>
            <w:tcMar>
              <w:left w:w="108" w:type="dxa"/>
              <w:right w:w="108" w:type="dxa"/>
            </w:tcMar>
          </w:tcPr>
          <w:p w:rsidR="00DC6BA2" w:rsidRPr="00DC6BA2" w:rsidP="006B1F6B" w14:paraId="286B7B9F" w14:textId="7C2BCF97">
            <w:pPr>
              <w:autoSpaceDE w:val="0"/>
              <w:autoSpaceDN w:val="0"/>
              <w:adjustRightInd w:val="0"/>
              <w:ind w:left="15"/>
              <w:jc w:val="center"/>
              <w:rPr>
                <w:sz w:val="20"/>
                <w:szCs w:val="20"/>
              </w:rPr>
            </w:pPr>
            <w:r w:rsidRPr="00DC6BA2">
              <w:rPr>
                <w:sz w:val="20"/>
                <w:szCs w:val="20"/>
              </w:rPr>
              <w:t>Average Burden per Response</w:t>
            </w:r>
          </w:p>
        </w:tc>
        <w:tc>
          <w:tcPr>
            <w:tcW w:w="810" w:type="dxa"/>
            <w:tcBorders>
              <w:top w:val="single" w:sz="4" w:space="0" w:color="auto"/>
              <w:left w:val="single" w:sz="8" w:space="0" w:color="auto"/>
              <w:bottom w:val="single" w:sz="4" w:space="0" w:color="auto"/>
              <w:right w:val="single" w:sz="4" w:space="0" w:color="auto"/>
            </w:tcBorders>
            <w:tcMar>
              <w:left w:w="108" w:type="dxa"/>
              <w:right w:w="108" w:type="dxa"/>
            </w:tcMar>
          </w:tcPr>
          <w:p w:rsidR="00DC6BA2" w:rsidRPr="00DC6BA2" w:rsidP="006B1F6B" w14:paraId="3E723992" w14:textId="77777777">
            <w:pPr>
              <w:autoSpaceDE w:val="0"/>
              <w:autoSpaceDN w:val="0"/>
              <w:adjustRightInd w:val="0"/>
              <w:jc w:val="center"/>
              <w:rPr>
                <w:sz w:val="20"/>
                <w:szCs w:val="20"/>
              </w:rPr>
            </w:pPr>
            <w:r w:rsidRPr="00DC6BA2">
              <w:rPr>
                <w:sz w:val="20"/>
                <w:szCs w:val="20"/>
              </w:rPr>
              <w:t>Total Hours</w:t>
            </w:r>
          </w:p>
        </w:tc>
      </w:tr>
      <w:tr w14:paraId="3E0BD91E" w14:textId="77777777" w:rsidTr="00683580">
        <w:tblPrEx>
          <w:tblW w:w="9540" w:type="dxa"/>
          <w:tblInd w:w="288" w:type="dxa"/>
          <w:tblLook w:val="01E0"/>
        </w:tblPrEx>
        <w:trPr>
          <w:trHeight w:val="750"/>
        </w:trPr>
        <w:tc>
          <w:tcPr>
            <w:tcW w:w="2610" w:type="dxa"/>
            <w:tcBorders>
              <w:top w:val="single" w:sz="4" w:space="0" w:color="auto"/>
              <w:left w:val="single" w:sz="4" w:space="0" w:color="auto"/>
              <w:bottom w:val="single" w:sz="4" w:space="0" w:color="auto"/>
              <w:right w:val="single" w:sz="4" w:space="0" w:color="auto"/>
            </w:tcBorders>
            <w:tcMar>
              <w:left w:w="108" w:type="dxa"/>
              <w:right w:w="108" w:type="dxa"/>
            </w:tcMar>
          </w:tcPr>
          <w:p w:rsidR="00DC6BA2" w:rsidRPr="00DC6BA2" w:rsidP="006B1F6B" w14:paraId="034C93F2" w14:textId="77777777">
            <w:pPr>
              <w:autoSpaceDE w:val="0"/>
              <w:autoSpaceDN w:val="0"/>
              <w:adjustRightInd w:val="0"/>
              <w:rPr>
                <w:sz w:val="20"/>
                <w:szCs w:val="20"/>
              </w:rPr>
            </w:pPr>
            <w:r w:rsidRPr="00DC6BA2">
              <w:rPr>
                <w:sz w:val="20"/>
                <w:szCs w:val="20"/>
              </w:rPr>
              <w:t xml:space="preserve">Time-limited option to submit information for certain substances already in interstate commerce for human food; § 170.305  </w:t>
            </w:r>
          </w:p>
        </w:tc>
        <w:tc>
          <w:tcPr>
            <w:tcW w:w="1260" w:type="dxa"/>
            <w:tcBorders>
              <w:top w:val="single" w:sz="4" w:space="0" w:color="auto"/>
              <w:left w:val="single" w:sz="4" w:space="0" w:color="auto"/>
              <w:bottom w:val="single" w:sz="4" w:space="0" w:color="auto"/>
              <w:right w:val="single" w:sz="4" w:space="0" w:color="auto"/>
            </w:tcBorders>
            <w:tcMar>
              <w:left w:w="108" w:type="dxa"/>
              <w:right w:w="108" w:type="dxa"/>
            </w:tcMar>
          </w:tcPr>
          <w:p w:rsidR="00DC6BA2" w:rsidRPr="00DC6BA2" w:rsidP="006B1F6B" w14:paraId="2BD453C0" w14:textId="77777777">
            <w:pPr>
              <w:autoSpaceDE w:val="0"/>
              <w:autoSpaceDN w:val="0"/>
              <w:adjustRightInd w:val="0"/>
              <w:jc w:val="right"/>
              <w:rPr>
                <w:sz w:val="20"/>
                <w:szCs w:val="20"/>
              </w:rPr>
            </w:pPr>
            <w:r w:rsidRPr="00DC6BA2">
              <w:rPr>
                <w:sz w:val="20"/>
                <w:szCs w:val="20"/>
              </w:rPr>
              <w:t>967</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tcPr>
          <w:p w:rsidR="00DC6BA2" w:rsidRPr="00DC6BA2" w:rsidP="006B1F6B" w14:paraId="0B9DC65F" w14:textId="77777777">
            <w:pPr>
              <w:autoSpaceDE w:val="0"/>
              <w:autoSpaceDN w:val="0"/>
              <w:adjustRightInd w:val="0"/>
              <w:jc w:val="right"/>
              <w:rPr>
                <w:sz w:val="20"/>
                <w:szCs w:val="20"/>
              </w:rPr>
            </w:pPr>
            <w:r w:rsidRPr="00DC6BA2">
              <w:rPr>
                <w:sz w:val="20"/>
                <w:szCs w:val="20"/>
              </w:rPr>
              <w:t>2.5</w:t>
            </w:r>
          </w:p>
        </w:tc>
        <w:tc>
          <w:tcPr>
            <w:tcW w:w="1530" w:type="dxa"/>
            <w:tcBorders>
              <w:top w:val="single" w:sz="4" w:space="0" w:color="auto"/>
              <w:left w:val="single" w:sz="4" w:space="0" w:color="auto"/>
              <w:bottom w:val="single" w:sz="4" w:space="0" w:color="auto"/>
              <w:right w:val="single" w:sz="4" w:space="0" w:color="auto"/>
            </w:tcBorders>
            <w:tcMar>
              <w:left w:w="108" w:type="dxa"/>
              <w:right w:w="108" w:type="dxa"/>
            </w:tcMar>
          </w:tcPr>
          <w:p w:rsidR="00DC6BA2" w:rsidRPr="00DC6BA2" w:rsidP="006B1F6B" w14:paraId="3ECFD7EB" w14:textId="77777777">
            <w:pPr>
              <w:autoSpaceDE w:val="0"/>
              <w:autoSpaceDN w:val="0"/>
              <w:adjustRightInd w:val="0"/>
              <w:jc w:val="right"/>
              <w:rPr>
                <w:sz w:val="20"/>
                <w:szCs w:val="20"/>
              </w:rPr>
            </w:pPr>
            <w:r w:rsidRPr="00DC6BA2">
              <w:rPr>
                <w:sz w:val="20"/>
                <w:szCs w:val="20"/>
              </w:rPr>
              <w:t>2,418</w:t>
            </w:r>
          </w:p>
        </w:tc>
        <w:tc>
          <w:tcPr>
            <w:tcW w:w="1620" w:type="dxa"/>
            <w:tcBorders>
              <w:top w:val="single" w:sz="4" w:space="0" w:color="auto"/>
              <w:left w:val="single" w:sz="4" w:space="0" w:color="auto"/>
              <w:bottom w:val="single" w:sz="4" w:space="0" w:color="auto"/>
              <w:right w:val="single" w:sz="4" w:space="0" w:color="auto"/>
            </w:tcBorders>
            <w:tcMar>
              <w:left w:w="108" w:type="dxa"/>
              <w:right w:w="108" w:type="dxa"/>
            </w:tcMar>
          </w:tcPr>
          <w:p w:rsidR="00DC6BA2" w:rsidRPr="00DC6BA2" w:rsidP="006B1F6B" w14:paraId="469B2F0F" w14:textId="77777777">
            <w:pPr>
              <w:autoSpaceDE w:val="0"/>
              <w:autoSpaceDN w:val="0"/>
              <w:adjustRightInd w:val="0"/>
              <w:jc w:val="right"/>
              <w:rPr>
                <w:sz w:val="20"/>
                <w:szCs w:val="20"/>
              </w:rPr>
            </w:pPr>
            <w:r w:rsidRPr="00DC6BA2">
              <w:rPr>
                <w:sz w:val="20"/>
                <w:szCs w:val="20"/>
              </w:rPr>
              <w:t>32</w:t>
            </w:r>
          </w:p>
        </w:tc>
        <w:tc>
          <w:tcPr>
            <w:tcW w:w="810" w:type="dxa"/>
            <w:tcBorders>
              <w:top w:val="single" w:sz="4" w:space="0" w:color="auto"/>
              <w:left w:val="single" w:sz="4" w:space="0" w:color="auto"/>
              <w:bottom w:val="single" w:sz="4" w:space="0" w:color="auto"/>
              <w:right w:val="single" w:sz="4" w:space="0" w:color="auto"/>
            </w:tcBorders>
            <w:tcMar>
              <w:left w:w="108" w:type="dxa"/>
              <w:right w:w="108" w:type="dxa"/>
            </w:tcMar>
          </w:tcPr>
          <w:p w:rsidR="00DC6BA2" w:rsidRPr="00DC6BA2" w:rsidP="006B1F6B" w14:paraId="4A692060" w14:textId="77777777">
            <w:pPr>
              <w:autoSpaceDE w:val="0"/>
              <w:autoSpaceDN w:val="0"/>
              <w:adjustRightInd w:val="0"/>
              <w:jc w:val="right"/>
              <w:rPr>
                <w:sz w:val="20"/>
                <w:szCs w:val="20"/>
              </w:rPr>
            </w:pPr>
            <w:r w:rsidRPr="00DC6BA2">
              <w:rPr>
                <w:sz w:val="20"/>
                <w:szCs w:val="20"/>
              </w:rPr>
              <w:t xml:space="preserve">77,376  </w:t>
            </w:r>
          </w:p>
        </w:tc>
      </w:tr>
      <w:tr w14:paraId="3195552F" w14:textId="77777777" w:rsidTr="00683580">
        <w:tblPrEx>
          <w:tblW w:w="9540" w:type="dxa"/>
          <w:tblInd w:w="288" w:type="dxa"/>
          <w:tblLook w:val="01E0"/>
        </w:tblPrEx>
        <w:trPr>
          <w:trHeight w:val="465"/>
        </w:trPr>
        <w:tc>
          <w:tcPr>
            <w:tcW w:w="2610" w:type="dxa"/>
            <w:tcBorders>
              <w:top w:val="single" w:sz="4" w:space="0" w:color="auto"/>
              <w:left w:val="single" w:sz="4" w:space="0" w:color="auto"/>
              <w:bottom w:val="single" w:sz="8" w:space="0" w:color="auto"/>
              <w:right w:val="single" w:sz="8" w:space="0" w:color="auto"/>
            </w:tcBorders>
            <w:tcMar>
              <w:left w:w="108" w:type="dxa"/>
              <w:right w:w="108" w:type="dxa"/>
            </w:tcMar>
          </w:tcPr>
          <w:p w:rsidR="00DC6BA2" w:rsidRPr="00DC6BA2" w:rsidP="006B1F6B" w14:paraId="6795305C" w14:textId="77777777">
            <w:pPr>
              <w:autoSpaceDE w:val="0"/>
              <w:autoSpaceDN w:val="0"/>
              <w:adjustRightInd w:val="0"/>
              <w:rPr>
                <w:sz w:val="20"/>
                <w:szCs w:val="20"/>
              </w:rPr>
            </w:pPr>
            <w:r w:rsidRPr="00DC6BA2">
              <w:rPr>
                <w:sz w:val="20"/>
                <w:szCs w:val="20"/>
              </w:rPr>
              <w:t xml:space="preserve">Time-limited option to submit information for certain substances already in </w:t>
            </w:r>
            <w:r w:rsidRPr="00DC6BA2">
              <w:rPr>
                <w:sz w:val="20"/>
                <w:szCs w:val="20"/>
              </w:rPr>
              <w:t xml:space="preserve">interstate commerce for animal food; § 570.305  </w:t>
            </w:r>
          </w:p>
        </w:tc>
        <w:tc>
          <w:tcPr>
            <w:tcW w:w="1260" w:type="dxa"/>
            <w:tcBorders>
              <w:top w:val="single" w:sz="4" w:space="0" w:color="auto"/>
              <w:left w:val="single" w:sz="8" w:space="0" w:color="auto"/>
              <w:bottom w:val="single" w:sz="8" w:space="0" w:color="auto"/>
              <w:right w:val="single" w:sz="8" w:space="0" w:color="auto"/>
            </w:tcBorders>
            <w:tcMar>
              <w:left w:w="108" w:type="dxa"/>
              <w:right w:w="108" w:type="dxa"/>
            </w:tcMar>
          </w:tcPr>
          <w:p w:rsidR="00DC6BA2" w:rsidRPr="00DC6BA2" w:rsidP="006B1F6B" w14:paraId="616D18CE" w14:textId="77777777">
            <w:pPr>
              <w:autoSpaceDE w:val="0"/>
              <w:autoSpaceDN w:val="0"/>
              <w:adjustRightInd w:val="0"/>
              <w:jc w:val="right"/>
              <w:rPr>
                <w:sz w:val="20"/>
                <w:szCs w:val="20"/>
              </w:rPr>
            </w:pPr>
            <w:r w:rsidRPr="00DC6BA2">
              <w:rPr>
                <w:sz w:val="20"/>
                <w:szCs w:val="20"/>
              </w:rPr>
              <w:t>62</w:t>
            </w:r>
          </w:p>
        </w:tc>
        <w:tc>
          <w:tcPr>
            <w:tcW w:w="1710" w:type="dxa"/>
            <w:tcBorders>
              <w:top w:val="single" w:sz="4" w:space="0" w:color="auto"/>
              <w:left w:val="single" w:sz="8" w:space="0" w:color="auto"/>
              <w:bottom w:val="single" w:sz="8" w:space="0" w:color="auto"/>
              <w:right w:val="single" w:sz="8" w:space="0" w:color="auto"/>
            </w:tcBorders>
            <w:tcMar>
              <w:left w:w="108" w:type="dxa"/>
              <w:right w:w="108" w:type="dxa"/>
            </w:tcMar>
          </w:tcPr>
          <w:p w:rsidR="00DC6BA2" w:rsidRPr="00DC6BA2" w:rsidP="006B1F6B" w14:paraId="315D7971" w14:textId="77777777">
            <w:pPr>
              <w:autoSpaceDE w:val="0"/>
              <w:autoSpaceDN w:val="0"/>
              <w:adjustRightInd w:val="0"/>
              <w:jc w:val="right"/>
              <w:rPr>
                <w:sz w:val="20"/>
                <w:szCs w:val="20"/>
              </w:rPr>
            </w:pPr>
            <w:r w:rsidRPr="00DC6BA2">
              <w:rPr>
                <w:sz w:val="20"/>
                <w:szCs w:val="20"/>
              </w:rPr>
              <w:t>2.5</w:t>
            </w:r>
          </w:p>
        </w:tc>
        <w:tc>
          <w:tcPr>
            <w:tcW w:w="1530" w:type="dxa"/>
            <w:tcBorders>
              <w:top w:val="single" w:sz="4" w:space="0" w:color="auto"/>
              <w:left w:val="single" w:sz="8" w:space="0" w:color="auto"/>
              <w:bottom w:val="single" w:sz="8" w:space="0" w:color="auto"/>
              <w:right w:val="single" w:sz="8" w:space="0" w:color="auto"/>
            </w:tcBorders>
            <w:tcMar>
              <w:left w:w="108" w:type="dxa"/>
              <w:right w:w="108" w:type="dxa"/>
            </w:tcMar>
          </w:tcPr>
          <w:p w:rsidR="00DC6BA2" w:rsidRPr="00DC6BA2" w:rsidP="006B1F6B" w14:paraId="6A08BF63" w14:textId="77777777">
            <w:pPr>
              <w:autoSpaceDE w:val="0"/>
              <w:autoSpaceDN w:val="0"/>
              <w:adjustRightInd w:val="0"/>
              <w:jc w:val="right"/>
              <w:rPr>
                <w:sz w:val="20"/>
                <w:szCs w:val="20"/>
              </w:rPr>
            </w:pPr>
            <w:r w:rsidRPr="00DC6BA2">
              <w:rPr>
                <w:sz w:val="20"/>
                <w:szCs w:val="20"/>
              </w:rPr>
              <w:t>155</w:t>
            </w:r>
          </w:p>
        </w:tc>
        <w:tc>
          <w:tcPr>
            <w:tcW w:w="1620" w:type="dxa"/>
            <w:tcBorders>
              <w:top w:val="single" w:sz="4" w:space="0" w:color="auto"/>
              <w:left w:val="single" w:sz="8" w:space="0" w:color="auto"/>
              <w:bottom w:val="single" w:sz="8" w:space="0" w:color="auto"/>
              <w:right w:val="single" w:sz="8" w:space="0" w:color="auto"/>
            </w:tcBorders>
            <w:tcMar>
              <w:left w:w="108" w:type="dxa"/>
              <w:right w:w="108" w:type="dxa"/>
            </w:tcMar>
          </w:tcPr>
          <w:p w:rsidR="00DC6BA2" w:rsidRPr="00DC6BA2" w:rsidP="006B1F6B" w14:paraId="6CA322E9" w14:textId="77777777">
            <w:pPr>
              <w:autoSpaceDE w:val="0"/>
              <w:autoSpaceDN w:val="0"/>
              <w:adjustRightInd w:val="0"/>
              <w:jc w:val="right"/>
              <w:rPr>
                <w:sz w:val="20"/>
                <w:szCs w:val="20"/>
              </w:rPr>
            </w:pPr>
            <w:r w:rsidRPr="00DC6BA2">
              <w:rPr>
                <w:sz w:val="20"/>
                <w:szCs w:val="20"/>
              </w:rPr>
              <w:t>32</w:t>
            </w:r>
          </w:p>
        </w:tc>
        <w:tc>
          <w:tcPr>
            <w:tcW w:w="810" w:type="dxa"/>
            <w:tcBorders>
              <w:top w:val="single" w:sz="4" w:space="0" w:color="auto"/>
              <w:left w:val="single" w:sz="8" w:space="0" w:color="auto"/>
              <w:bottom w:val="single" w:sz="8" w:space="0" w:color="auto"/>
              <w:right w:val="single" w:sz="4" w:space="0" w:color="auto"/>
            </w:tcBorders>
            <w:tcMar>
              <w:left w:w="108" w:type="dxa"/>
              <w:right w:w="108" w:type="dxa"/>
            </w:tcMar>
          </w:tcPr>
          <w:p w:rsidR="00DC6BA2" w:rsidRPr="00DC6BA2" w:rsidP="006B1F6B" w14:paraId="497F3EB4" w14:textId="77777777">
            <w:pPr>
              <w:autoSpaceDE w:val="0"/>
              <w:autoSpaceDN w:val="0"/>
              <w:adjustRightInd w:val="0"/>
              <w:jc w:val="right"/>
              <w:rPr>
                <w:sz w:val="20"/>
                <w:szCs w:val="20"/>
              </w:rPr>
            </w:pPr>
            <w:r w:rsidRPr="00DC6BA2">
              <w:rPr>
                <w:sz w:val="20"/>
                <w:szCs w:val="20"/>
              </w:rPr>
              <w:t>4,960</w:t>
            </w:r>
          </w:p>
        </w:tc>
      </w:tr>
      <w:tr w14:paraId="195626CE" w14:textId="77777777" w:rsidTr="00683580">
        <w:tblPrEx>
          <w:tblW w:w="9540" w:type="dxa"/>
          <w:tblInd w:w="288" w:type="dxa"/>
          <w:tblLook w:val="01E0"/>
        </w:tblPrEx>
        <w:trPr>
          <w:trHeight w:val="268"/>
        </w:trPr>
        <w:tc>
          <w:tcPr>
            <w:tcW w:w="8730" w:type="dxa"/>
            <w:gridSpan w:val="5"/>
            <w:tcBorders>
              <w:top w:val="single" w:sz="4" w:space="0" w:color="auto"/>
              <w:left w:val="single" w:sz="4" w:space="0" w:color="auto"/>
              <w:bottom w:val="single" w:sz="4" w:space="0" w:color="auto"/>
              <w:right w:val="single" w:sz="8" w:space="0" w:color="auto"/>
            </w:tcBorders>
            <w:tcMar>
              <w:left w:w="108" w:type="dxa"/>
              <w:right w:w="108" w:type="dxa"/>
            </w:tcMar>
          </w:tcPr>
          <w:p w:rsidR="00DC6BA2" w:rsidRPr="00DC6BA2" w:rsidP="006B1F6B" w14:paraId="48F1C517" w14:textId="77777777">
            <w:pPr>
              <w:autoSpaceDE w:val="0"/>
              <w:autoSpaceDN w:val="0"/>
              <w:adjustRightInd w:val="0"/>
              <w:rPr>
                <w:sz w:val="20"/>
                <w:szCs w:val="20"/>
              </w:rPr>
            </w:pPr>
            <w:r w:rsidRPr="00DC6BA2">
              <w:rPr>
                <w:sz w:val="20"/>
                <w:szCs w:val="20"/>
              </w:rPr>
              <w:t>Total</w:t>
            </w:r>
          </w:p>
        </w:tc>
        <w:tc>
          <w:tcPr>
            <w:tcW w:w="810" w:type="dxa"/>
            <w:tcBorders>
              <w:top w:val="single" w:sz="4" w:space="0" w:color="auto"/>
              <w:left w:val="single" w:sz="8" w:space="0" w:color="auto"/>
              <w:bottom w:val="single" w:sz="4" w:space="0" w:color="auto"/>
              <w:right w:val="single" w:sz="4" w:space="0" w:color="auto"/>
            </w:tcBorders>
            <w:tcMar>
              <w:left w:w="108" w:type="dxa"/>
              <w:right w:w="108" w:type="dxa"/>
            </w:tcMar>
          </w:tcPr>
          <w:p w:rsidR="00DC6BA2" w:rsidRPr="00DC6BA2" w:rsidP="006B1F6B" w14:paraId="7E22D519" w14:textId="77777777">
            <w:pPr>
              <w:autoSpaceDE w:val="0"/>
              <w:autoSpaceDN w:val="0"/>
              <w:adjustRightInd w:val="0"/>
              <w:jc w:val="right"/>
              <w:rPr>
                <w:sz w:val="20"/>
                <w:szCs w:val="20"/>
              </w:rPr>
            </w:pPr>
            <w:r w:rsidRPr="00DC6BA2">
              <w:rPr>
                <w:sz w:val="20"/>
                <w:szCs w:val="20"/>
              </w:rPr>
              <w:t>82,336</w:t>
            </w:r>
          </w:p>
        </w:tc>
      </w:tr>
    </w:tbl>
    <w:p w:rsidR="00DC6BA2" w:rsidP="00DC6BA2" w14:paraId="191B7718" w14:textId="77777777">
      <w:pPr>
        <w:autoSpaceDE w:val="0"/>
        <w:autoSpaceDN w:val="0"/>
        <w:adjustRightInd w:val="0"/>
        <w:ind w:left="360"/>
        <w:rPr>
          <w:sz w:val="20"/>
          <w:szCs w:val="20"/>
        </w:rPr>
      </w:pPr>
      <w:r w:rsidRPr="00DC6BA2">
        <w:rPr>
          <w:sz w:val="20"/>
          <w:szCs w:val="20"/>
          <w:vertAlign w:val="superscript"/>
        </w:rPr>
        <w:t>1</w:t>
      </w:r>
      <w:r w:rsidRPr="00DC6BA2">
        <w:rPr>
          <w:sz w:val="20"/>
          <w:szCs w:val="20"/>
        </w:rPr>
        <w:t xml:space="preserve"> There are no capital costs or operating and maintenance costs associated with this collection of information.</w:t>
      </w:r>
    </w:p>
    <w:p w:rsidR="00683580" w:rsidRPr="00DC6BA2" w:rsidP="00DC6BA2" w14:paraId="225849AB" w14:textId="77777777">
      <w:pPr>
        <w:autoSpaceDE w:val="0"/>
        <w:autoSpaceDN w:val="0"/>
        <w:adjustRightInd w:val="0"/>
        <w:ind w:left="360"/>
        <w:rPr>
          <w:rFonts w:ascii="TimesNewRomanPSMT" w:hAnsi="TimesNewRomanPSMT" w:cs="TimesNewRomanPSMT"/>
          <w:sz w:val="20"/>
          <w:szCs w:val="20"/>
        </w:rPr>
      </w:pPr>
    </w:p>
    <w:p w:rsidR="00904E76" w:rsidP="00DC6BA2" w14:paraId="5AE73F9E" w14:textId="5AD113E6">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In </w:t>
      </w:r>
      <w:r w:rsidR="00BD323B">
        <w:rPr>
          <w:rFonts w:ascii="TimesNewRomanPSMT" w:hAnsi="TimesNewRomanPSMT" w:cs="TimesNewRomanPSMT"/>
        </w:rPr>
        <w:t>T</w:t>
      </w:r>
      <w:r w:rsidRPr="00DC6BA2">
        <w:rPr>
          <w:rFonts w:ascii="TimesNewRomanPSMT" w:hAnsi="TimesNewRomanPSMT" w:cs="TimesNewRomanPSMT"/>
        </w:rPr>
        <w:t xml:space="preserve">able 7 of the PRIA, we estimate that there are 1,028 unique firms with independent conclusions of GRAS status.  Based on table 6 of the PRIA, we calculate that 94 percent of the independent conclusions of GRAS status are for human foods (1,885 human food independent conclusions of GRAS status ÷ 2,000 total human and animal independent conclusions of GRAS status).  We assume the same distribution for the number of unique firms preparing a submission for certain substances purported to be GRAS based on an independent conclusion of GRAS status.  Accordingly, we calculate the number of respondents preparing a submission for certain substances purported to be GRAS based on an independent conclusion of GRAS status for human food to be 966 (1,028 × 0.94). </w:t>
      </w:r>
    </w:p>
    <w:p w:rsidR="00DC6BA2" w:rsidRPr="00DC6BA2" w:rsidP="00DC6BA2" w14:paraId="4DB4876B" w14:textId="37B94DB7">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 </w:t>
      </w:r>
    </w:p>
    <w:p w:rsidR="00904E76" w:rsidP="00DC6BA2" w14:paraId="006C75D3" w14:textId="6705CE1B">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In </w:t>
      </w:r>
      <w:r w:rsidR="007E49DD">
        <w:rPr>
          <w:rFonts w:ascii="TimesNewRomanPSMT" w:hAnsi="TimesNewRomanPSMT" w:cs="TimesNewRomanPSMT"/>
        </w:rPr>
        <w:t>T</w:t>
      </w:r>
      <w:r w:rsidRPr="00DC6BA2">
        <w:rPr>
          <w:rFonts w:ascii="TimesNewRomanPSMT" w:hAnsi="TimesNewRomanPSMT" w:cs="TimesNewRomanPSMT"/>
        </w:rPr>
        <w:t xml:space="preserve">able 10 of the PRIA, we estimate that each respondent will prepare approximately 2.5 submissions for certain substances purported to be GRAS based on an independent conclusion of GRAS status that were already introduced into interstate commerce before the effective date of a final rule.  In </w:t>
      </w:r>
      <w:r w:rsidR="007E49DD">
        <w:rPr>
          <w:rFonts w:ascii="TimesNewRomanPSMT" w:hAnsi="TimesNewRomanPSMT" w:cs="TimesNewRomanPSMT"/>
        </w:rPr>
        <w:t>T</w:t>
      </w:r>
      <w:r w:rsidRPr="00DC6BA2">
        <w:rPr>
          <w:rFonts w:ascii="TimesNewRomanPSMT" w:hAnsi="TimesNewRomanPSMT" w:cs="TimesNewRomanPSMT"/>
        </w:rPr>
        <w:t>able 10 of the PRIA, we estimate that there are 1,740 association expert panel-concluded GRAS substances.  As discussed in the PRIA, this category includes substances evaluated by the Flavor and Extract Manufacturers Association and introduced into interstate commerce under section 201(s) of the FD&amp;C Act but can include other independent conclusions of GRAS status made by other expert panels selected and convened by associations.  For efficiency purposes, we assume that there will be one submission by one respondent to cover all submissions for certain substances purported to be GRAS based on an association expert panel GRAS conclusion that were already introduced into interstate commerce before the effective date of a final rule.</w:t>
      </w:r>
    </w:p>
    <w:p w:rsidR="00DC6BA2" w:rsidRPr="00DC6BA2" w:rsidP="00DC6BA2" w14:paraId="21BBFA73" w14:textId="74807DF1">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  </w:t>
      </w:r>
    </w:p>
    <w:p w:rsidR="00904E76" w:rsidP="00DC6BA2" w14:paraId="3F5F3BFE" w14:textId="77777777">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Accordingly, we calculate the total number of respondents to be 967 (966 respondents preparing a submission for certain substances purported to be GRAS based on an independent conclusion of GRAS status + 1 respondent preparing a submission for certain substances purported to be GRAS based on an association expert panel GRAS conclusion).  Although we believe that one respondent will have one submission for 1,740 substances, we estimate that on average each respondent will submit 2.5 responses.  Thus, we calculate that 2,418 submissions (rounded up from 2,417.5) will be submitted for certain substances purported to be GRAS based on an association expert panel GRAS conclusion that were already introduced into interstate commerce before the effective date of a final rule</w:t>
      </w:r>
      <w:r w:rsidRPr="00DC6BA2">
        <w:rPr>
          <w:rFonts w:ascii="TimesNewRomanPSMT" w:hAnsi="TimesNewRomanPSMT" w:cs="TimesNewRomanPSMT"/>
        </w:rPr>
        <w:t xml:space="preserve"> </w:t>
      </w:r>
      <w:r w:rsidRPr="00DC6BA2">
        <w:rPr>
          <w:rFonts w:ascii="TimesNewRomanPSMT" w:hAnsi="TimesNewRomanPSMT" w:cs="TimesNewRomanPSMT"/>
        </w:rPr>
        <w:t>(967 respondents × 2.5</w:t>
      </w:r>
      <w:r w:rsidRPr="00DC6BA2">
        <w:rPr>
          <w:rFonts w:ascii="TimesNewRomanPSMT" w:hAnsi="TimesNewRomanPSMT" w:cs="TimesNewRomanPSMT"/>
        </w:rPr>
        <w:t xml:space="preserve"> </w:t>
      </w:r>
      <w:r w:rsidRPr="00DC6BA2">
        <w:rPr>
          <w:rFonts w:ascii="TimesNewRomanPSMT" w:hAnsi="TimesNewRomanPSMT" w:cs="TimesNewRomanPSMT"/>
        </w:rPr>
        <w:t>responses).</w:t>
      </w:r>
    </w:p>
    <w:p w:rsidR="00DC6BA2" w:rsidRPr="00DC6BA2" w:rsidP="00DC6BA2" w14:paraId="4383DACE" w14:textId="5BF0C916">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 </w:t>
      </w:r>
    </w:p>
    <w:p w:rsidR="0057493B" w:rsidP="00DC6BA2" w14:paraId="15B76D94" w14:textId="77777777">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In </w:t>
      </w:r>
      <w:r w:rsidR="00A127B6">
        <w:rPr>
          <w:rFonts w:ascii="TimesNewRomanPSMT" w:hAnsi="TimesNewRomanPSMT" w:cs="TimesNewRomanPSMT"/>
        </w:rPr>
        <w:t>T</w:t>
      </w:r>
      <w:r w:rsidRPr="00DC6BA2">
        <w:rPr>
          <w:rFonts w:ascii="TimesNewRomanPSMT" w:hAnsi="TimesNewRomanPSMT" w:cs="TimesNewRomanPSMT"/>
        </w:rPr>
        <w:t xml:space="preserve">able 10 of the PRIA, we estimate that it will take approximately 32 hours (rounded up from 31.5) to prepare a submission for certain substances purported to be GRAS under section 201(s) of the FD&amp;C Act that were already introduced into interstate commerce before the effective date of a final rule (we assume, in the PRIA, that a streamlined submission would require between 10 percent and 25 percent of the time expenditure of a GRAS notice (180 hours), with a central estimate of 17.5 percent to arrive at the estimate of 31.5 hours to prepare a streamlined submission (180 hours × 17.5 percent).  Accordingly, we calculate the burden for this activity to be 77,376 hours (2,418 submissions × 32 hours).  We believe that this will be a one-time burden because these streamlined submissions are time-limited and would only be available for 1 year after the effective date of </w:t>
      </w:r>
      <w:r w:rsidRPr="00DC6BA2">
        <w:rPr>
          <w:rFonts w:ascii="TimesNewRomanPSMT" w:hAnsi="TimesNewRomanPSMT" w:cs="TimesNewRomanPSMT"/>
        </w:rPr>
        <w:t>a final</w:t>
      </w:r>
      <w:r w:rsidRPr="00DC6BA2">
        <w:rPr>
          <w:rFonts w:ascii="TimesNewRomanPSMT" w:hAnsi="TimesNewRomanPSMT" w:cs="TimesNewRomanPSMT"/>
        </w:rPr>
        <w:t xml:space="preserve"> rule.</w:t>
      </w:r>
    </w:p>
    <w:p w:rsidR="00DC6BA2" w:rsidRPr="00DC6BA2" w:rsidP="00DC6BA2" w14:paraId="346DE030" w14:textId="254651A8">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  </w:t>
      </w:r>
    </w:p>
    <w:p w:rsidR="00503671" w:rsidP="00BD323B" w14:paraId="44F73E53" w14:textId="64AF45FE">
      <w:pPr>
        <w:autoSpaceDE w:val="0"/>
        <w:autoSpaceDN w:val="0"/>
        <w:adjustRightInd w:val="0"/>
        <w:ind w:left="360"/>
        <w:rPr>
          <w:rFonts w:ascii="TimesNewRomanPSMT" w:hAnsi="TimesNewRomanPSMT" w:cs="TimesNewRomanPSMT"/>
        </w:rPr>
      </w:pPr>
      <w:r w:rsidRPr="00DC6BA2">
        <w:rPr>
          <w:rFonts w:ascii="TimesNewRomanPSMT" w:hAnsi="TimesNewRomanPSMT" w:cs="TimesNewRomanPSMT"/>
        </w:rPr>
        <w:t xml:space="preserve">We estimate the remaining 62 respondents would be preparing a submission for certain substances purported to be GRAS based on an independent conclusion of GRAS status for animal food (1,028 unique firms with independent conclusions of GRAS status - 966 respondents preparing a submission for certain substances purported to be GRAS based on an independent conclusion of GRAS status for human food).  In </w:t>
      </w:r>
      <w:r w:rsidR="00E54AE8">
        <w:rPr>
          <w:rFonts w:ascii="TimesNewRomanPSMT" w:hAnsi="TimesNewRomanPSMT" w:cs="TimesNewRomanPSMT"/>
        </w:rPr>
        <w:t>T</w:t>
      </w:r>
      <w:r w:rsidRPr="00DC6BA2">
        <w:rPr>
          <w:rFonts w:ascii="TimesNewRomanPSMT" w:hAnsi="TimesNewRomanPSMT" w:cs="TimesNewRomanPSMT"/>
        </w:rPr>
        <w:t xml:space="preserve">able 10 of the PRIA, we estimate that each respondent will prepare approximately 2.5 submissions for certain substances purported to be GRAS based on an independent conclusion of GRAS status that were already introduced into interstate commerce before the effective date of the final rule.  Provided that each respondent will prepare 2.5 submissions, we calculated that there will be 155 responses (62 respondents × 2.5 submissions per respondent).  In </w:t>
      </w:r>
      <w:r w:rsidR="00E54AE8">
        <w:rPr>
          <w:rFonts w:ascii="TimesNewRomanPSMT" w:hAnsi="TimesNewRomanPSMT" w:cs="TimesNewRomanPSMT"/>
        </w:rPr>
        <w:t>T</w:t>
      </w:r>
      <w:r w:rsidRPr="00DC6BA2">
        <w:rPr>
          <w:rFonts w:ascii="TimesNewRomanPSMT" w:hAnsi="TimesNewRomanPSMT" w:cs="TimesNewRomanPSMT"/>
        </w:rPr>
        <w:t xml:space="preserve">able 10 of the PRIA, we estimate that it will take approximately 32 hours (rounded up from 31.5) to prepare a submission for certain substances purported to be GRAS based on an independent conclusion of GRAS status that were already introduced into interstate commerce before the effective date of a final rule.  Accordingly, we estimate the burden for this activity to be 4,960 hours (155 submissions × 32 hours).  We believe that this will be </w:t>
      </w:r>
      <w:r w:rsidRPr="00DC6BA2">
        <w:rPr>
          <w:rFonts w:ascii="TimesNewRomanPSMT" w:hAnsi="TimesNewRomanPSMT" w:cs="TimesNewRomanPSMT"/>
        </w:rPr>
        <w:t>a one-time</w:t>
      </w:r>
      <w:r w:rsidRPr="00DC6BA2">
        <w:rPr>
          <w:rFonts w:ascii="TimesNewRomanPSMT" w:hAnsi="TimesNewRomanPSMT" w:cs="TimesNewRomanPSMT"/>
        </w:rPr>
        <w:t xml:space="preserve"> burden because the option to make streamlined submissions would only be available for 1 year after the effective date of a final rule.</w:t>
      </w:r>
    </w:p>
    <w:p w:rsidR="00E26629" w:rsidP="002E79C3" w14:paraId="5C1EC846" w14:textId="77777777">
      <w:pPr>
        <w:autoSpaceDE w:val="0"/>
        <w:autoSpaceDN w:val="0"/>
        <w:adjustRightInd w:val="0"/>
        <w:ind w:left="360"/>
        <w:rPr>
          <w:rFonts w:ascii="TimesNewRomanPSMT" w:hAnsi="TimesNewRomanPSMT" w:cs="TimesNewRomanPSMT"/>
        </w:rPr>
      </w:pPr>
    </w:p>
    <w:p w:rsidR="00357C8A" w:rsidRPr="005C71CA" w:rsidP="00DC371B" w14:paraId="23F60245" w14:textId="77777777">
      <w:pPr>
        <w:spacing w:after="200"/>
        <w:ind w:left="360"/>
        <w:rPr>
          <w:rFonts w:eastAsia="Calibri"/>
        </w:rPr>
      </w:pPr>
      <w:r w:rsidRPr="005C71CA">
        <w:rPr>
          <w:rFonts w:eastAsia="Calibri"/>
        </w:rPr>
        <w:t>12b.  Annualized Cost Burden Estimate</w:t>
      </w:r>
    </w:p>
    <w:p w:rsidR="005F61F9" w:rsidP="005F61F9" w14:paraId="2FC1C691" w14:textId="654ED56F">
      <w:pPr>
        <w:ind w:left="360"/>
        <w:rPr>
          <w:rFonts w:eastAsia="Calibri"/>
        </w:rPr>
      </w:pPr>
      <w:r w:rsidRPr="00017FE5">
        <w:rPr>
          <w:rFonts w:eastAsia="Calibri"/>
        </w:rPr>
        <w:t>We estimate the annualized burden hour cost to respondents for this collection of</w:t>
      </w:r>
      <w:r>
        <w:rPr>
          <w:rFonts w:eastAsia="Calibri"/>
        </w:rPr>
        <w:t xml:space="preserve"> </w:t>
      </w:r>
      <w:r w:rsidRPr="00017FE5">
        <w:rPr>
          <w:rFonts w:eastAsia="Calibri"/>
        </w:rPr>
        <w:t>information to be $</w:t>
      </w:r>
      <w:r w:rsidRPr="0069031D" w:rsidR="0069031D">
        <w:rPr>
          <w:rFonts w:eastAsia="Calibri"/>
        </w:rPr>
        <w:t>7,971,854.20</w:t>
      </w:r>
      <w:r w:rsidRPr="00017FE5">
        <w:rPr>
          <w:rFonts w:eastAsia="Calibri"/>
        </w:rPr>
        <w:t xml:space="preserve">. </w:t>
      </w:r>
      <w:r>
        <w:rPr>
          <w:rFonts w:eastAsia="Calibri"/>
        </w:rPr>
        <w:t xml:space="preserve"> </w:t>
      </w:r>
      <w:r w:rsidRPr="00C727E8" w:rsidR="00C727E8">
        <w:rPr>
          <w:rFonts w:eastAsia="Calibri"/>
        </w:rPr>
        <w:t xml:space="preserve">In </w:t>
      </w:r>
      <w:r w:rsidR="008D19D0">
        <w:rPr>
          <w:rFonts w:eastAsia="Calibri"/>
        </w:rPr>
        <w:t>T</w:t>
      </w:r>
      <w:r w:rsidRPr="00C727E8" w:rsidR="00C727E8">
        <w:rPr>
          <w:rFonts w:eastAsia="Calibri"/>
        </w:rPr>
        <w:t>able</w:t>
      </w:r>
      <w:r w:rsidR="008D19D0">
        <w:rPr>
          <w:rFonts w:eastAsia="Calibri"/>
        </w:rPr>
        <w:t>s</w:t>
      </w:r>
      <w:r w:rsidRPr="00C727E8" w:rsidR="00C727E8">
        <w:rPr>
          <w:rFonts w:eastAsia="Calibri"/>
        </w:rPr>
        <w:t xml:space="preserve"> 10</w:t>
      </w:r>
      <w:r w:rsidR="008D19D0">
        <w:rPr>
          <w:rFonts w:eastAsia="Calibri"/>
        </w:rPr>
        <w:t xml:space="preserve"> and 14</w:t>
      </w:r>
      <w:r w:rsidRPr="00C727E8" w:rsidR="00C727E8">
        <w:rPr>
          <w:rFonts w:eastAsia="Calibri"/>
        </w:rPr>
        <w:t xml:space="preserve"> of the PRIA, w</w:t>
      </w:r>
      <w:r w:rsidRPr="00017FE5">
        <w:rPr>
          <w:rFonts w:eastAsia="Calibri"/>
        </w:rPr>
        <w:t xml:space="preserve">e estimate </w:t>
      </w:r>
      <w:r w:rsidRPr="00C21661" w:rsidR="00C21661">
        <w:rPr>
          <w:rFonts w:eastAsia="Calibri"/>
        </w:rPr>
        <w:t xml:space="preserve">the fully-loaded composite hourly wage for </w:t>
      </w:r>
      <w:r w:rsidRPr="00805714" w:rsidR="00805714">
        <w:rPr>
          <w:rFonts w:eastAsia="Calibri"/>
        </w:rPr>
        <w:t>food manufacturing and chemical manufacturing managers and clerical staff</w:t>
      </w:r>
      <w:r w:rsidRPr="00C21661" w:rsidR="00C21661">
        <w:rPr>
          <w:rFonts w:eastAsia="Calibri"/>
        </w:rPr>
        <w:t xml:space="preserve"> </w:t>
      </w:r>
      <w:r w:rsidR="00636D95">
        <w:rPr>
          <w:rFonts w:eastAsia="Calibri"/>
        </w:rPr>
        <w:t xml:space="preserve">preparing and submitting </w:t>
      </w:r>
      <w:r w:rsidR="00856798">
        <w:rPr>
          <w:rFonts w:eastAsia="Calibri"/>
        </w:rPr>
        <w:t xml:space="preserve">information to FDA </w:t>
      </w:r>
      <w:r w:rsidR="00C21661">
        <w:rPr>
          <w:rFonts w:eastAsia="Calibri"/>
        </w:rPr>
        <w:t xml:space="preserve">to be </w:t>
      </w:r>
      <w:r w:rsidR="009D5A72">
        <w:rPr>
          <w:rFonts w:eastAsia="Calibri"/>
        </w:rPr>
        <w:t xml:space="preserve">approximately </w:t>
      </w:r>
      <w:r w:rsidRPr="00C21661" w:rsidR="00C21661">
        <w:rPr>
          <w:rFonts w:eastAsia="Calibri"/>
        </w:rPr>
        <w:t>$65.59</w:t>
      </w:r>
      <w:r w:rsidR="009D5A72">
        <w:rPr>
          <w:rFonts w:eastAsia="Calibri"/>
        </w:rPr>
        <w:t xml:space="preserve">, which is </w:t>
      </w:r>
      <w:r w:rsidR="008760E8">
        <w:rPr>
          <w:rFonts w:eastAsia="Calibri"/>
        </w:rPr>
        <w:t>comparable</w:t>
      </w:r>
      <w:r w:rsidR="00A53684">
        <w:rPr>
          <w:rFonts w:eastAsia="Calibri"/>
        </w:rPr>
        <w:t xml:space="preserve"> to</w:t>
      </w:r>
      <w:r w:rsidR="00C11B3F">
        <w:rPr>
          <w:rFonts w:eastAsia="Calibri"/>
        </w:rPr>
        <w:t xml:space="preserve"> </w:t>
      </w:r>
      <w:r w:rsidRPr="00017FE5">
        <w:rPr>
          <w:rFonts w:eastAsia="Calibri"/>
        </w:rPr>
        <w:t>a Federal government employee at the GS-1</w:t>
      </w:r>
      <w:r w:rsidR="00C11B3F">
        <w:rPr>
          <w:rFonts w:eastAsia="Calibri"/>
        </w:rPr>
        <w:t>3</w:t>
      </w:r>
      <w:r w:rsidRPr="00017FE5">
        <w:rPr>
          <w:rFonts w:eastAsia="Calibri"/>
        </w:rPr>
        <w:t xml:space="preserve">/Step </w:t>
      </w:r>
      <w:r w:rsidR="00C11B3F">
        <w:rPr>
          <w:rFonts w:eastAsia="Calibri"/>
        </w:rPr>
        <w:t>5</w:t>
      </w:r>
      <w:r w:rsidRPr="00017FE5">
        <w:rPr>
          <w:rFonts w:eastAsia="Calibri"/>
        </w:rPr>
        <w:t xml:space="preserve"> rate for the</w:t>
      </w:r>
      <w:r>
        <w:rPr>
          <w:rFonts w:eastAsia="Calibri"/>
        </w:rPr>
        <w:t xml:space="preserve"> </w:t>
      </w:r>
      <w:r w:rsidRPr="00017FE5">
        <w:rPr>
          <w:rFonts w:eastAsia="Calibri"/>
        </w:rPr>
        <w:t xml:space="preserve">Washington-Baltimore locality pay area for the year </w:t>
      </w:r>
      <w:r>
        <w:rPr>
          <w:rFonts w:eastAsia="Calibri"/>
        </w:rPr>
        <w:t>202</w:t>
      </w:r>
      <w:r w:rsidR="00C927B9">
        <w:rPr>
          <w:rFonts w:eastAsia="Calibri"/>
        </w:rPr>
        <w:t>6</w:t>
      </w:r>
      <w:r w:rsidR="00F07AAD">
        <w:rPr>
          <w:rFonts w:eastAsia="Calibri"/>
        </w:rPr>
        <w:t xml:space="preserve"> (</w:t>
      </w:r>
      <w:r w:rsidRPr="00017FE5">
        <w:rPr>
          <w:rFonts w:eastAsia="Calibri"/>
        </w:rPr>
        <w:t>$</w:t>
      </w:r>
      <w:r w:rsidR="00F07AAD">
        <w:rPr>
          <w:rFonts w:eastAsia="Calibri"/>
        </w:rPr>
        <w:t>6</w:t>
      </w:r>
      <w:r w:rsidR="00DC6770">
        <w:rPr>
          <w:rFonts w:eastAsia="Calibri"/>
        </w:rPr>
        <w:t>6</w:t>
      </w:r>
      <w:r w:rsidRPr="00017FE5">
        <w:rPr>
          <w:rFonts w:eastAsia="Calibri"/>
        </w:rPr>
        <w:t>.</w:t>
      </w:r>
      <w:r w:rsidR="00DC6770">
        <w:rPr>
          <w:rFonts w:eastAsia="Calibri"/>
        </w:rPr>
        <w:t>1</w:t>
      </w:r>
      <w:r w:rsidR="00B64E81">
        <w:rPr>
          <w:rFonts w:eastAsia="Calibri"/>
        </w:rPr>
        <w:t>4</w:t>
      </w:r>
      <w:r w:rsidRPr="00017FE5">
        <w:rPr>
          <w:rFonts w:eastAsia="Calibri"/>
        </w:rPr>
        <w:t>/hour</w:t>
      </w:r>
      <w:r w:rsidR="00B64E81">
        <w:rPr>
          <w:rFonts w:eastAsia="Calibri"/>
        </w:rPr>
        <w:t>)</w:t>
      </w:r>
      <w:r w:rsidRPr="00017FE5">
        <w:rPr>
          <w:rFonts w:eastAsia="Calibri"/>
        </w:rPr>
        <w:t>.</w:t>
      </w:r>
      <w:r>
        <w:rPr>
          <w:rFonts w:eastAsia="Calibri"/>
        </w:rPr>
        <w:t xml:space="preserve"> </w:t>
      </w:r>
      <w:r w:rsidRPr="00017FE5">
        <w:rPr>
          <w:rFonts w:eastAsia="Calibri"/>
        </w:rPr>
        <w:t xml:space="preserve"> Therefore, the total cost of this collection of</w:t>
      </w:r>
      <w:r>
        <w:rPr>
          <w:rFonts w:eastAsia="Calibri"/>
        </w:rPr>
        <w:t xml:space="preserve"> </w:t>
      </w:r>
      <w:r w:rsidRPr="00017FE5">
        <w:rPr>
          <w:rFonts w:eastAsia="Calibri"/>
        </w:rPr>
        <w:t xml:space="preserve">information to </w:t>
      </w:r>
      <w:r w:rsidR="001572CF">
        <w:rPr>
          <w:rFonts w:eastAsia="Calibri"/>
        </w:rPr>
        <w:t>respondents</w:t>
      </w:r>
      <w:r w:rsidRPr="00017FE5">
        <w:rPr>
          <w:rFonts w:eastAsia="Calibri"/>
        </w:rPr>
        <w:t xml:space="preserve"> is estimated to be $</w:t>
      </w:r>
      <w:r w:rsidR="00A1479D">
        <w:rPr>
          <w:rFonts w:eastAsia="Calibri"/>
        </w:rPr>
        <w:t>7,971,</w:t>
      </w:r>
      <w:r w:rsidR="001751AC">
        <w:rPr>
          <w:rFonts w:eastAsia="Calibri"/>
        </w:rPr>
        <w:t>854.20</w:t>
      </w:r>
      <w:r w:rsidR="00EC651E">
        <w:rPr>
          <w:rFonts w:eastAsia="Calibri"/>
        </w:rPr>
        <w:t xml:space="preserve"> ($6</w:t>
      </w:r>
      <w:r w:rsidR="0082676F">
        <w:rPr>
          <w:rFonts w:eastAsia="Calibri"/>
        </w:rPr>
        <w:t>6</w:t>
      </w:r>
      <w:r w:rsidR="00EC651E">
        <w:rPr>
          <w:rFonts w:eastAsia="Calibri"/>
        </w:rPr>
        <w:t>.</w:t>
      </w:r>
      <w:r w:rsidR="0082676F">
        <w:rPr>
          <w:rFonts w:eastAsia="Calibri"/>
        </w:rPr>
        <w:t>1</w:t>
      </w:r>
      <w:r w:rsidR="00EC651E">
        <w:rPr>
          <w:rFonts w:eastAsia="Calibri"/>
        </w:rPr>
        <w:t xml:space="preserve">4 × </w:t>
      </w:r>
      <w:r w:rsidR="00E673EA">
        <w:rPr>
          <w:rFonts w:eastAsia="Calibri"/>
        </w:rPr>
        <w:t>120,530</w:t>
      </w:r>
      <w:r w:rsidR="00EC651E">
        <w:rPr>
          <w:rFonts w:eastAsia="Calibri"/>
        </w:rPr>
        <w:t xml:space="preserve"> total burden hours)</w:t>
      </w:r>
      <w:r w:rsidRPr="00017FE5">
        <w:rPr>
          <w:rFonts w:eastAsia="Calibri"/>
        </w:rPr>
        <w:t>.</w:t>
      </w:r>
    </w:p>
    <w:p w:rsidR="00357C8A" w:rsidRPr="00357C8A" w:rsidP="00357C8A" w14:paraId="061779B3" w14:textId="77777777">
      <w:pPr>
        <w:rPr>
          <w:rFonts w:eastAsia="Calibri"/>
        </w:rPr>
      </w:pPr>
    </w:p>
    <w:p w:rsidR="00357C8A" w:rsidRPr="00357C8A" w:rsidP="006705EA" w14:paraId="4DA48252"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22425B" w:rsidRPr="008B71D9" w:rsidP="00AC3FEA" w14:paraId="3B2869C4" w14:textId="77777777">
      <w:pPr>
        <w:rPr>
          <w:rFonts w:eastAsia="Calibri"/>
          <w:color w:val="000000"/>
        </w:rPr>
      </w:pPr>
      <w:r w:rsidRPr="008D6922">
        <w:rPr>
          <w:rFonts w:eastAsia="Calibri"/>
        </w:rPr>
        <w:t>There are no capital, start-up, operating or maintenance costs associated with this</w:t>
      </w:r>
      <w:r w:rsidR="00AC3FEA">
        <w:rPr>
          <w:rFonts w:eastAsia="Calibri"/>
        </w:rPr>
        <w:t xml:space="preserve"> </w:t>
      </w:r>
      <w:r w:rsidRPr="008D6922">
        <w:rPr>
          <w:rFonts w:eastAsia="Calibri"/>
        </w:rPr>
        <w:t>information collection</w:t>
      </w:r>
      <w:r w:rsidRPr="008B71D9">
        <w:rPr>
          <w:rFonts w:eastAsia="Calibri"/>
          <w:color w:val="000000"/>
        </w:rPr>
        <w:t>.</w:t>
      </w:r>
    </w:p>
    <w:p w:rsidR="00AC3FEA" w:rsidP="002B1BE1" w14:paraId="186E6636" w14:textId="77777777">
      <w:pPr>
        <w:rPr>
          <w:rFonts w:eastAsia="Calibri"/>
          <w:u w:val="single"/>
        </w:rPr>
      </w:pPr>
    </w:p>
    <w:p w:rsidR="00357C8A" w:rsidRPr="00357C8A" w:rsidP="006705EA" w14:paraId="5E53EF92"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357C8A" w:rsidP="005C4505" w14:paraId="551A9898" w14:textId="3F0B697D">
      <w:pPr>
        <w:autoSpaceDE w:val="0"/>
        <w:autoSpaceDN w:val="0"/>
        <w:adjustRightInd w:val="0"/>
        <w:rPr>
          <w:rFonts w:ascii="TimesNewRomanPSMT" w:hAnsi="TimesNewRomanPSMT" w:cs="TimesNewRomanPSMT"/>
        </w:rPr>
      </w:pPr>
      <w:r w:rsidRPr="005F1233">
        <w:rPr>
          <w:rFonts w:ascii="TimesNewRomanPSMT" w:hAnsi="TimesNewRomanPSMT" w:cs="TimesNewRomanPSMT"/>
        </w:rPr>
        <w:t>In Table 1</w:t>
      </w:r>
      <w:r w:rsidR="00D63F14">
        <w:rPr>
          <w:rFonts w:ascii="TimesNewRomanPSMT" w:hAnsi="TimesNewRomanPSMT" w:cs="TimesNewRomanPSMT"/>
        </w:rPr>
        <w:t>5</w:t>
      </w:r>
      <w:r w:rsidRPr="005F1233">
        <w:rPr>
          <w:rFonts w:ascii="TimesNewRomanPSMT" w:hAnsi="TimesNewRomanPSMT" w:cs="TimesNewRomanPSMT"/>
        </w:rPr>
        <w:t xml:space="preserve"> of the PRIA, </w:t>
      </w:r>
      <w:r w:rsidRPr="005E7A75" w:rsidR="005E7A75">
        <w:rPr>
          <w:rFonts w:ascii="TimesNewRomanPSMT" w:hAnsi="TimesNewRomanPSMT" w:cs="TimesNewRomanPSMT"/>
        </w:rPr>
        <w:t>we estimate that it will cost FDA $1</w:t>
      </w:r>
      <w:r w:rsidR="009A2D7F">
        <w:rPr>
          <w:rFonts w:ascii="TimesNewRomanPSMT" w:hAnsi="TimesNewRomanPSMT" w:cs="TimesNewRomanPSMT"/>
        </w:rPr>
        <w:t>,</w:t>
      </w:r>
      <w:r w:rsidR="003903F7">
        <w:rPr>
          <w:rFonts w:ascii="TimesNewRomanPSMT" w:hAnsi="TimesNewRomanPSMT" w:cs="TimesNewRomanPSMT"/>
        </w:rPr>
        <w:t>909</w:t>
      </w:r>
      <w:r w:rsidR="002702FF">
        <w:rPr>
          <w:rFonts w:ascii="TimesNewRomanPSMT" w:hAnsi="TimesNewRomanPSMT" w:cs="TimesNewRomanPSMT"/>
        </w:rPr>
        <w:t>,528.05</w:t>
      </w:r>
      <w:r w:rsidR="009A2D7F">
        <w:rPr>
          <w:rFonts w:ascii="TimesNewRomanPSMT" w:hAnsi="TimesNewRomanPSMT" w:cs="TimesNewRomanPSMT"/>
        </w:rPr>
        <w:t xml:space="preserve"> to review</w:t>
      </w:r>
      <w:r w:rsidR="00A95E1C">
        <w:rPr>
          <w:rFonts w:ascii="TimesNewRomanPSMT" w:hAnsi="TimesNewRomanPSMT" w:cs="TimesNewRomanPSMT"/>
        </w:rPr>
        <w:t xml:space="preserve"> GRAS notices</w:t>
      </w:r>
      <w:r w:rsidRPr="00BD1B70" w:rsidR="00BD1B70">
        <w:t xml:space="preserve"> </w:t>
      </w:r>
      <w:r w:rsidRPr="00BD1B70" w:rsidR="00BD1B70">
        <w:rPr>
          <w:rFonts w:ascii="TimesNewRomanPSMT" w:hAnsi="TimesNewRomanPSMT" w:cs="TimesNewRomanPSMT"/>
        </w:rPr>
        <w:t>for uses of substances that otherwise would have been the subject of an independent conclusion of GRAS status or association expert panel GRAS conclusion</w:t>
      </w:r>
      <w:r w:rsidR="00A95E1C">
        <w:rPr>
          <w:rFonts w:ascii="TimesNewRomanPSMT" w:hAnsi="TimesNewRomanPSMT" w:cs="TimesNewRomanPSMT"/>
        </w:rPr>
        <w:t xml:space="preserve">.  </w:t>
      </w:r>
      <w:r w:rsidRPr="00D275B4" w:rsidR="00420F3E">
        <w:rPr>
          <w:rFonts w:ascii="TimesNewRomanPSMT" w:hAnsi="TimesNewRomanPSMT" w:cs="TimesNewRomanPSMT"/>
        </w:rPr>
        <w:t>In Table 1</w:t>
      </w:r>
      <w:r w:rsidR="00420F3E">
        <w:rPr>
          <w:rFonts w:ascii="TimesNewRomanPSMT" w:hAnsi="TimesNewRomanPSMT" w:cs="TimesNewRomanPSMT"/>
        </w:rPr>
        <w:t>1</w:t>
      </w:r>
      <w:r w:rsidRPr="00D275B4" w:rsidR="00420F3E">
        <w:rPr>
          <w:rFonts w:ascii="TimesNewRomanPSMT" w:hAnsi="TimesNewRomanPSMT" w:cs="TimesNewRomanPSMT"/>
        </w:rPr>
        <w:t xml:space="preserve"> of the PRIA</w:t>
      </w:r>
      <w:r w:rsidR="00420F3E">
        <w:rPr>
          <w:rFonts w:ascii="TimesNewRomanPSMT" w:hAnsi="TimesNewRomanPSMT" w:cs="TimesNewRomanPSMT"/>
        </w:rPr>
        <w:t>,</w:t>
      </w:r>
      <w:r w:rsidRPr="00D275B4" w:rsidR="00420F3E">
        <w:rPr>
          <w:rFonts w:ascii="TimesNewRomanPSMT" w:hAnsi="TimesNewRomanPSMT" w:cs="TimesNewRomanPSMT"/>
        </w:rPr>
        <w:t xml:space="preserve"> </w:t>
      </w:r>
      <w:r w:rsidR="00420F3E">
        <w:rPr>
          <w:rFonts w:ascii="TimesNewRomanPSMT" w:hAnsi="TimesNewRomanPSMT" w:cs="TimesNewRomanPSMT"/>
        </w:rPr>
        <w:t>we estimate that it will cost FDA $</w:t>
      </w:r>
      <w:bookmarkStart w:id="3" w:name="_Hlk236846008"/>
      <w:r w:rsidR="00B24A50">
        <w:rPr>
          <w:rFonts w:ascii="TimesNewRomanPSMT" w:hAnsi="TimesNewRomanPSMT" w:cs="TimesNewRomanPSMT"/>
        </w:rPr>
        <w:t>22,</w:t>
      </w:r>
      <w:r w:rsidR="0016232C">
        <w:rPr>
          <w:rFonts w:ascii="TimesNewRomanPSMT" w:hAnsi="TimesNewRomanPSMT" w:cs="TimesNewRomanPSMT"/>
        </w:rPr>
        <w:t>867,147</w:t>
      </w:r>
      <w:bookmarkEnd w:id="3"/>
      <w:r w:rsidR="00420F3E">
        <w:rPr>
          <w:rFonts w:ascii="TimesNewRomanPSMT" w:hAnsi="TimesNewRomanPSMT" w:cs="TimesNewRomanPSMT"/>
        </w:rPr>
        <w:t xml:space="preserve"> to review submissions of certain information for substances </w:t>
      </w:r>
      <w:r w:rsidRPr="00DE4C5A" w:rsidR="00420F3E">
        <w:rPr>
          <w:rFonts w:ascii="TimesNewRomanPSMT" w:hAnsi="TimesNewRomanPSMT" w:cs="TimesNewRomanPSMT"/>
        </w:rPr>
        <w:t>purported to be GRAS based on an independent conclusion of GRAS status that were already introduced into interstate commerce before the effective date of the final rule</w:t>
      </w:r>
      <w:r w:rsidR="00420F3E">
        <w:rPr>
          <w:rFonts w:ascii="TimesNewRomanPSMT" w:hAnsi="TimesNewRomanPSMT" w:cs="TimesNewRomanPSMT"/>
        </w:rPr>
        <w:t>.</w:t>
      </w:r>
      <w:r w:rsidRPr="00DE4C5A" w:rsidR="00420F3E">
        <w:rPr>
          <w:rFonts w:ascii="TimesNewRomanPSMT" w:hAnsi="TimesNewRomanPSMT" w:cs="TimesNewRomanPSMT"/>
        </w:rPr>
        <w:t xml:space="preserve"> </w:t>
      </w:r>
      <w:r w:rsidR="00420F3E">
        <w:rPr>
          <w:rFonts w:ascii="TimesNewRomanPSMT" w:hAnsi="TimesNewRomanPSMT" w:cs="TimesNewRomanPSMT"/>
        </w:rPr>
        <w:t xml:space="preserve"> </w:t>
      </w:r>
      <w:r w:rsidR="00543737">
        <w:rPr>
          <w:rFonts w:ascii="TimesNewRomanPSMT" w:hAnsi="TimesNewRomanPSMT" w:cs="TimesNewRomanPSMT"/>
        </w:rPr>
        <w:t xml:space="preserve">For this analysis, </w:t>
      </w:r>
      <w:r w:rsidR="00AB033A">
        <w:rPr>
          <w:rFonts w:ascii="TimesNewRomanPSMT" w:hAnsi="TimesNewRomanPSMT" w:cs="TimesNewRomanPSMT"/>
        </w:rPr>
        <w:t xml:space="preserve">we will use the estimated cost to FDA from the </w:t>
      </w:r>
      <w:r w:rsidR="00D103B6">
        <w:rPr>
          <w:rFonts w:ascii="TimesNewRomanPSMT" w:hAnsi="TimesNewRomanPSMT" w:cs="TimesNewRomanPSMT"/>
        </w:rPr>
        <w:t>existing collection for TOR exemptions</w:t>
      </w:r>
      <w:r w:rsidR="00A13F89">
        <w:rPr>
          <w:rFonts w:ascii="TimesNewRomanPSMT" w:hAnsi="TimesNewRomanPSMT" w:cs="TimesNewRomanPSMT"/>
        </w:rPr>
        <w:t xml:space="preserve"> (OMB control number 0910-0</w:t>
      </w:r>
      <w:r w:rsidR="00EC25BC">
        <w:rPr>
          <w:rFonts w:ascii="TimesNewRomanPSMT" w:hAnsi="TimesNewRomanPSMT" w:cs="TimesNewRomanPSMT"/>
        </w:rPr>
        <w:t>495</w:t>
      </w:r>
      <w:r w:rsidR="00A13F89">
        <w:rPr>
          <w:rFonts w:ascii="TimesNewRomanPSMT" w:hAnsi="TimesNewRomanPSMT" w:cs="TimesNewRomanPSMT"/>
        </w:rPr>
        <w:t>)</w:t>
      </w:r>
      <w:r w:rsidR="00D103B6">
        <w:rPr>
          <w:rFonts w:ascii="TimesNewRomanPSMT" w:hAnsi="TimesNewRomanPSMT" w:cs="TimesNewRomanPSMT"/>
        </w:rPr>
        <w:t>, which is $19,705.</w:t>
      </w:r>
      <w:r w:rsidR="00A13F89">
        <w:rPr>
          <w:rFonts w:ascii="TimesNewRomanPSMT" w:hAnsi="TimesNewRomanPSMT" w:cs="TimesNewRomanPSMT"/>
        </w:rPr>
        <w:t xml:space="preserve">  </w:t>
      </w:r>
      <w:r w:rsidRPr="005E7A75" w:rsidR="005E7A75">
        <w:rPr>
          <w:rFonts w:ascii="TimesNewRomanPSMT" w:hAnsi="TimesNewRomanPSMT" w:cs="TimesNewRomanPSMT"/>
        </w:rPr>
        <w:t xml:space="preserve"> </w:t>
      </w:r>
      <w:r w:rsidRPr="002728DD" w:rsidR="002728DD">
        <w:rPr>
          <w:rFonts w:ascii="TimesNewRomanPSMT" w:hAnsi="TimesNewRomanPSMT" w:cs="TimesNewRomanPSMT"/>
        </w:rPr>
        <w:t xml:space="preserve">Thus, we estimate that the annual cost to the Federal Government </w:t>
      </w:r>
      <w:r w:rsidR="00B70A2D">
        <w:rPr>
          <w:rFonts w:ascii="TimesNewRomanPSMT" w:hAnsi="TimesNewRomanPSMT" w:cs="TimesNewRomanPSMT"/>
        </w:rPr>
        <w:t xml:space="preserve">for the proposed rule </w:t>
      </w:r>
      <w:r w:rsidRPr="002728DD" w:rsidR="002728DD">
        <w:rPr>
          <w:rFonts w:ascii="TimesNewRomanPSMT" w:hAnsi="TimesNewRomanPSMT" w:cs="TimesNewRomanPSMT"/>
        </w:rPr>
        <w:t>w</w:t>
      </w:r>
      <w:r w:rsidR="002728DD">
        <w:rPr>
          <w:rFonts w:ascii="TimesNewRomanPSMT" w:hAnsi="TimesNewRomanPSMT" w:cs="TimesNewRomanPSMT"/>
        </w:rPr>
        <w:t>ill</w:t>
      </w:r>
      <w:r w:rsidRPr="002728DD" w:rsidR="002728DD">
        <w:rPr>
          <w:rFonts w:ascii="TimesNewRomanPSMT" w:hAnsi="TimesNewRomanPSMT" w:cs="TimesNewRomanPSMT"/>
        </w:rPr>
        <w:t xml:space="preserve"> be $</w:t>
      </w:r>
      <w:r w:rsidR="007401E8">
        <w:rPr>
          <w:rFonts w:ascii="TimesNewRomanPSMT" w:hAnsi="TimesNewRomanPSMT" w:cs="TimesNewRomanPSMT"/>
        </w:rPr>
        <w:t>24,</w:t>
      </w:r>
      <w:r w:rsidR="00F72E00">
        <w:rPr>
          <w:rFonts w:ascii="TimesNewRomanPSMT" w:hAnsi="TimesNewRomanPSMT" w:cs="TimesNewRomanPSMT"/>
        </w:rPr>
        <w:t>796,380.05</w:t>
      </w:r>
      <w:r w:rsidRPr="002728DD" w:rsidR="002728DD">
        <w:rPr>
          <w:rFonts w:ascii="TimesNewRomanPSMT" w:hAnsi="TimesNewRomanPSMT" w:cs="TimesNewRomanPSMT"/>
        </w:rPr>
        <w:t xml:space="preserve"> ($</w:t>
      </w:r>
      <w:r w:rsidRPr="001F3A88" w:rsidR="001F3A88">
        <w:rPr>
          <w:rFonts w:ascii="TimesNewRomanPSMT" w:hAnsi="TimesNewRomanPSMT" w:cs="TimesNewRomanPSMT"/>
        </w:rPr>
        <w:t>1,909,528.05</w:t>
      </w:r>
      <w:r w:rsidR="0033669A">
        <w:rPr>
          <w:rFonts w:ascii="TimesNewRomanPSMT" w:hAnsi="TimesNewRomanPSMT" w:cs="TimesNewRomanPSMT"/>
        </w:rPr>
        <w:t xml:space="preserve"> for GRAS notices + </w:t>
      </w:r>
      <w:r w:rsidR="008A68B6">
        <w:rPr>
          <w:rFonts w:ascii="TimesNewRomanPSMT" w:hAnsi="TimesNewRomanPSMT" w:cs="TimesNewRomanPSMT"/>
        </w:rPr>
        <w:t>$</w:t>
      </w:r>
      <w:r w:rsidRPr="001F3A88" w:rsidR="001F3A88">
        <w:rPr>
          <w:rFonts w:ascii="TimesNewRomanPSMT" w:hAnsi="TimesNewRomanPSMT" w:cs="TimesNewRomanPSMT"/>
        </w:rPr>
        <w:t>22,867,147</w:t>
      </w:r>
      <w:r w:rsidR="00CD4999">
        <w:rPr>
          <w:rFonts w:ascii="TimesNewRomanPSMT" w:hAnsi="TimesNewRomanPSMT" w:cs="TimesNewRomanPSMT"/>
        </w:rPr>
        <w:t xml:space="preserve"> </w:t>
      </w:r>
      <w:r w:rsidR="00011C43">
        <w:rPr>
          <w:rFonts w:ascii="TimesNewRomanPSMT" w:hAnsi="TimesNewRomanPSMT" w:cs="TimesNewRomanPSMT"/>
        </w:rPr>
        <w:t xml:space="preserve">for </w:t>
      </w:r>
      <w:r w:rsidR="00CD4999">
        <w:rPr>
          <w:rFonts w:ascii="TimesNewRomanPSMT" w:hAnsi="TimesNewRomanPSMT" w:cs="TimesNewRomanPSMT"/>
        </w:rPr>
        <w:t>substances already in market</w:t>
      </w:r>
      <w:r w:rsidR="00011C43">
        <w:rPr>
          <w:rFonts w:ascii="TimesNewRomanPSMT" w:hAnsi="TimesNewRomanPSMT" w:cs="TimesNewRomanPSMT"/>
        </w:rPr>
        <w:t xml:space="preserve"> + $19,705 for TOR exemptions</w:t>
      </w:r>
      <w:r w:rsidRPr="002728DD" w:rsidR="002728DD">
        <w:rPr>
          <w:rFonts w:ascii="TimesNewRomanPSMT" w:hAnsi="TimesNewRomanPSMT" w:cs="TimesNewRomanPSMT"/>
        </w:rPr>
        <w:t>)</w:t>
      </w:r>
      <w:r w:rsidR="008D6922">
        <w:rPr>
          <w:rFonts w:ascii="TimesNewRomanPSMT" w:hAnsi="TimesNewRomanPSMT" w:cs="TimesNewRomanPSMT"/>
        </w:rPr>
        <w:t>.</w:t>
      </w:r>
    </w:p>
    <w:p w:rsidR="005C4505" w:rsidRPr="00357C8A" w:rsidP="002E79C3" w14:paraId="785CCFEA" w14:textId="77777777">
      <w:pPr>
        <w:autoSpaceDE w:val="0"/>
        <w:autoSpaceDN w:val="0"/>
        <w:adjustRightInd w:val="0"/>
        <w:rPr>
          <w:rFonts w:eastAsia="Calibri"/>
        </w:rPr>
      </w:pPr>
    </w:p>
    <w:p w:rsidR="00F04B75" w14:paraId="0E5C4907" w14:textId="77777777">
      <w:pPr>
        <w:rPr>
          <w:rFonts w:eastAsia="Calibri"/>
          <w:u w:val="single"/>
        </w:rPr>
      </w:pPr>
      <w:r>
        <w:rPr>
          <w:rFonts w:eastAsia="Calibri"/>
          <w:u w:val="single"/>
        </w:rPr>
        <w:br w:type="page"/>
      </w:r>
    </w:p>
    <w:p w:rsidR="00357C8A" w:rsidP="006705EA" w14:paraId="1BA135E7" w14:textId="04C1801B">
      <w:pPr>
        <w:numPr>
          <w:ilvl w:val="0"/>
          <w:numId w:val="6"/>
        </w:numPr>
        <w:spacing w:after="200" w:line="276" w:lineRule="auto"/>
        <w:rPr>
          <w:rFonts w:eastAsia="Calibri"/>
          <w:u w:val="single"/>
        </w:rPr>
      </w:pPr>
      <w:r w:rsidRPr="00357C8A">
        <w:rPr>
          <w:rFonts w:eastAsia="Calibri"/>
          <w:u w:val="single"/>
        </w:rPr>
        <w:t>Explanation for Program Changes or Adjustments</w:t>
      </w:r>
    </w:p>
    <w:p w:rsidR="00AC3FEA" w:rsidP="00017FE5" w14:paraId="129D95FE" w14:textId="3E670CF4">
      <w:pPr>
        <w:rPr>
          <w:rFonts w:eastAsia="Calibri"/>
        </w:rPr>
      </w:pPr>
      <w:bookmarkStart w:id="4" w:name="_Hlk96455558"/>
      <w:r>
        <w:rPr>
          <w:rFonts w:eastAsia="Calibri"/>
        </w:rPr>
        <w:t>R</w:t>
      </w:r>
      <w:r w:rsidRPr="00B26749">
        <w:rPr>
          <w:rFonts w:eastAsia="Calibri"/>
        </w:rPr>
        <w:t>ulemaking</w:t>
      </w:r>
      <w:r>
        <w:rPr>
          <w:rFonts w:eastAsia="Calibri"/>
        </w:rPr>
        <w:t xml:space="preserve"> will revise </w:t>
      </w:r>
      <w:r w:rsidR="002F5A81">
        <w:rPr>
          <w:rFonts w:eastAsia="Calibri"/>
        </w:rPr>
        <w:t xml:space="preserve">the scope of collection activity in </w:t>
      </w:r>
      <w:r w:rsidR="00DC33DB">
        <w:rPr>
          <w:rFonts w:eastAsia="Calibri"/>
        </w:rPr>
        <w:t>OMB control no. 0910-0342</w:t>
      </w:r>
      <w:r w:rsidRPr="00B26749" w:rsidR="00B26749">
        <w:rPr>
          <w:rFonts w:eastAsia="Calibri"/>
        </w:rPr>
        <w:t xml:space="preserve">.  </w:t>
      </w:r>
      <w:r w:rsidR="00BC60B3">
        <w:rPr>
          <w:rFonts w:eastAsia="Calibri"/>
        </w:rPr>
        <w:t>We also anticipate potential adjustment</w:t>
      </w:r>
      <w:r w:rsidR="00E403DA">
        <w:rPr>
          <w:rFonts w:eastAsia="Calibri"/>
        </w:rPr>
        <w:t>s</w:t>
      </w:r>
      <w:r w:rsidR="00BC60B3">
        <w:rPr>
          <w:rFonts w:eastAsia="Calibri"/>
        </w:rPr>
        <w:t xml:space="preserve"> in OMB control numbers </w:t>
      </w:r>
      <w:r w:rsidR="00E403DA">
        <w:rPr>
          <w:rFonts w:eastAsia="Calibri"/>
        </w:rPr>
        <w:t>0910-0495 and 0910-0546</w:t>
      </w:r>
      <w:r w:rsidR="00CC2F07">
        <w:rPr>
          <w:rFonts w:eastAsia="Calibri"/>
        </w:rPr>
        <w:t xml:space="preserve"> </w:t>
      </w:r>
      <w:r w:rsidR="00CC2F07">
        <w:rPr>
          <w:rFonts w:eastAsia="Calibri"/>
        </w:rPr>
        <w:t>as a result of</w:t>
      </w:r>
      <w:r w:rsidR="00CC2F07">
        <w:rPr>
          <w:rFonts w:eastAsia="Calibri"/>
        </w:rPr>
        <w:t xml:space="preserve"> </w:t>
      </w:r>
      <w:r w:rsidR="00CC2F07">
        <w:rPr>
          <w:rFonts w:eastAsia="Calibri"/>
        </w:rPr>
        <w:t>the regulatory</w:t>
      </w:r>
      <w:r w:rsidR="00CC2F07">
        <w:rPr>
          <w:rFonts w:eastAsia="Calibri"/>
        </w:rPr>
        <w:t xml:space="preserve"> changes</w:t>
      </w:r>
      <w:r w:rsidR="00E403DA">
        <w:rPr>
          <w:rFonts w:eastAsia="Calibri"/>
        </w:rPr>
        <w:t xml:space="preserve">.  </w:t>
      </w:r>
      <w:r w:rsidR="000721FA">
        <w:rPr>
          <w:rFonts w:eastAsia="Calibri"/>
        </w:rPr>
        <w:t>However, we expect these to be one-time adjustments.  W</w:t>
      </w:r>
      <w:r w:rsidRPr="00B26749" w:rsidR="00B26749">
        <w:rPr>
          <w:rFonts w:eastAsia="Calibri"/>
        </w:rPr>
        <w:t xml:space="preserve">e have </w:t>
      </w:r>
      <w:r w:rsidR="005122B2">
        <w:rPr>
          <w:rFonts w:eastAsia="Calibri"/>
        </w:rPr>
        <w:t>revis</w:t>
      </w:r>
      <w:r w:rsidRPr="00B26749" w:rsidR="00B26749">
        <w:rPr>
          <w:rFonts w:eastAsia="Calibri"/>
        </w:rPr>
        <w:t xml:space="preserve">ed our estimate adding </w:t>
      </w:r>
      <w:r w:rsidRPr="005F59EE" w:rsidR="005F59EE">
        <w:rPr>
          <w:rFonts w:eastAsia="Calibri"/>
        </w:rPr>
        <w:t>101,490</w:t>
      </w:r>
      <w:r w:rsidRPr="00B26749" w:rsidR="00B26749">
        <w:rPr>
          <w:rFonts w:eastAsia="Calibri"/>
        </w:rPr>
        <w:t xml:space="preserve"> hours and </w:t>
      </w:r>
      <w:r w:rsidR="00D221D9">
        <w:rPr>
          <w:rFonts w:eastAsia="Calibri"/>
        </w:rPr>
        <w:t>2,</w:t>
      </w:r>
      <w:r w:rsidR="00E53C1F">
        <w:rPr>
          <w:rFonts w:eastAsia="Calibri"/>
        </w:rPr>
        <w:t>736</w:t>
      </w:r>
      <w:r w:rsidRPr="00B26749" w:rsidR="00B26749">
        <w:rPr>
          <w:rFonts w:eastAsia="Calibri"/>
        </w:rPr>
        <w:t xml:space="preserve"> responses annually to reflect </w:t>
      </w:r>
      <w:r w:rsidR="005122B2">
        <w:rPr>
          <w:rFonts w:eastAsia="Calibri"/>
        </w:rPr>
        <w:t xml:space="preserve">the </w:t>
      </w:r>
      <w:r w:rsidRPr="00B26749" w:rsidR="00B26749">
        <w:rPr>
          <w:rFonts w:eastAsia="Calibri"/>
        </w:rPr>
        <w:t>information collection associated with new regulatory requirements</w:t>
      </w:r>
      <w:r w:rsidRPr="00AC3FEA">
        <w:rPr>
          <w:rFonts w:eastAsia="Calibri"/>
        </w:rPr>
        <w:t>.</w:t>
      </w:r>
      <w:r w:rsidR="001F0259">
        <w:rPr>
          <w:rFonts w:eastAsia="Calibri"/>
        </w:rPr>
        <w:t xml:space="preserve"> </w:t>
      </w:r>
    </w:p>
    <w:p w:rsidR="00EA5451" w:rsidP="00017FE5" w14:paraId="4504131E" w14:textId="77777777">
      <w:pPr>
        <w:rPr>
          <w:rFonts w:eastAsia="Calibri"/>
        </w:rPr>
      </w:pPr>
    </w:p>
    <w:p w:rsidR="00EA5451" w:rsidRPr="00EA5451" w:rsidP="00EA5451" w14:paraId="6680A673" w14:textId="0B24011C">
      <w:pPr>
        <w:jc w:val="center"/>
        <w:rPr>
          <w:rFonts w:eastAsia="Calibri"/>
        </w:rPr>
      </w:pPr>
      <w:r w:rsidRPr="00EA5451">
        <w:rPr>
          <w:sz w:val="20"/>
          <w:szCs w:val="20"/>
        </w:rPr>
        <w:t xml:space="preserve">Table </w:t>
      </w:r>
      <w:r w:rsidR="002B43CC">
        <w:rPr>
          <w:sz w:val="20"/>
          <w:szCs w:val="20"/>
        </w:rPr>
        <w:t>3</w:t>
      </w:r>
      <w:r w:rsidRPr="00EA5451">
        <w:rPr>
          <w:sz w:val="20"/>
          <w:szCs w:val="20"/>
        </w:rPr>
        <w:t>.--</w:t>
      </w:r>
      <w:r w:rsidRPr="00EA5451">
        <w:rPr>
          <w:sz w:val="20"/>
          <w:szCs w:val="20"/>
        </w:rPr>
        <w:t>Changes or Adjustments to Burden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0"/>
        <w:gridCol w:w="1745"/>
        <w:gridCol w:w="1570"/>
        <w:gridCol w:w="1495"/>
        <w:gridCol w:w="2644"/>
      </w:tblGrid>
      <w:tr w14:paraId="23C337AE" w14:textId="77777777" w:rsidTr="00415B1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45"/>
        </w:trPr>
        <w:tc>
          <w:tcPr>
            <w:tcW w:w="2088" w:type="dxa"/>
            <w:tcBorders>
              <w:top w:val="single" w:sz="8" w:space="0" w:color="auto"/>
              <w:left w:val="single" w:sz="8" w:space="0" w:color="auto"/>
              <w:bottom w:val="single" w:sz="8" w:space="0" w:color="auto"/>
              <w:right w:val="single" w:sz="8" w:space="0" w:color="auto"/>
            </w:tcBorders>
            <w:shd w:val="clear" w:color="auto" w:fill="F2F2F2"/>
          </w:tcPr>
          <w:p w:rsidR="00EA5451" w:rsidRPr="00EA5451" w:rsidP="00EA5451" w14:paraId="707E6D0E" w14:textId="77777777">
            <w:pPr>
              <w:spacing w:after="200"/>
              <w:jc w:val="center"/>
              <w:rPr>
                <w:rFonts w:eastAsia="Calibri"/>
                <w:sz w:val="20"/>
                <w:szCs w:val="20"/>
              </w:rPr>
            </w:pPr>
            <w:r w:rsidRPr="00EA5451">
              <w:rPr>
                <w:sz w:val="20"/>
                <w:szCs w:val="20"/>
              </w:rPr>
              <w:t>Activity/CFR Section</w:t>
            </w:r>
          </w:p>
        </w:tc>
        <w:tc>
          <w:tcPr>
            <w:tcW w:w="1800" w:type="dxa"/>
            <w:tcBorders>
              <w:top w:val="single" w:sz="8" w:space="0" w:color="auto"/>
              <w:left w:val="nil"/>
              <w:bottom w:val="single" w:sz="8" w:space="0" w:color="auto"/>
              <w:right w:val="single" w:sz="8" w:space="0" w:color="auto"/>
            </w:tcBorders>
            <w:shd w:val="clear" w:color="auto" w:fill="F2F2F2"/>
          </w:tcPr>
          <w:p w:rsidR="00EA5451" w:rsidRPr="00EA5451" w:rsidP="00EA5451" w14:paraId="3D2AA5C7" w14:textId="77777777">
            <w:pPr>
              <w:spacing w:after="200"/>
              <w:jc w:val="center"/>
              <w:rPr>
                <w:rFonts w:eastAsia="Calibri"/>
                <w:sz w:val="20"/>
                <w:szCs w:val="20"/>
              </w:rPr>
            </w:pPr>
            <w:r w:rsidRPr="00EA5451">
              <w:rPr>
                <w:sz w:val="20"/>
                <w:szCs w:val="20"/>
              </w:rPr>
              <w:t>Previously Approved Annual Burden Hours</w:t>
            </w:r>
          </w:p>
        </w:tc>
        <w:tc>
          <w:tcPr>
            <w:tcW w:w="1620" w:type="dxa"/>
            <w:tcBorders>
              <w:top w:val="single" w:sz="8" w:space="0" w:color="auto"/>
              <w:left w:val="nil"/>
              <w:bottom w:val="single" w:sz="8" w:space="0" w:color="auto"/>
              <w:right w:val="single" w:sz="8" w:space="0" w:color="auto"/>
            </w:tcBorders>
            <w:shd w:val="clear" w:color="auto" w:fill="F2F2F2"/>
          </w:tcPr>
          <w:p w:rsidR="00EA5451" w:rsidRPr="00EA5451" w:rsidP="00EA5451" w14:paraId="28268827" w14:textId="127A34D6">
            <w:pPr>
              <w:spacing w:after="200"/>
              <w:jc w:val="center"/>
              <w:rPr>
                <w:rFonts w:eastAsia="Calibri"/>
                <w:sz w:val="20"/>
                <w:szCs w:val="20"/>
              </w:rPr>
            </w:pPr>
            <w:r>
              <w:rPr>
                <w:sz w:val="20"/>
                <w:szCs w:val="20"/>
              </w:rPr>
              <w:t>Propos</w:t>
            </w:r>
            <w:r w:rsidRPr="00EA5451">
              <w:rPr>
                <w:sz w:val="20"/>
                <w:szCs w:val="20"/>
              </w:rPr>
              <w:t>ed Annual Burden Hours</w:t>
            </w:r>
          </w:p>
        </w:tc>
        <w:tc>
          <w:tcPr>
            <w:tcW w:w="1530" w:type="dxa"/>
            <w:tcBorders>
              <w:top w:val="single" w:sz="8" w:space="0" w:color="auto"/>
              <w:left w:val="nil"/>
              <w:bottom w:val="single" w:sz="8" w:space="0" w:color="auto"/>
              <w:right w:val="single" w:sz="8" w:space="0" w:color="auto"/>
            </w:tcBorders>
            <w:shd w:val="clear" w:color="auto" w:fill="F2F2F2"/>
          </w:tcPr>
          <w:p w:rsidR="00EA5451" w:rsidRPr="00EA5451" w:rsidP="00EA5451" w14:paraId="6942173C" w14:textId="77777777">
            <w:pPr>
              <w:jc w:val="center"/>
              <w:rPr>
                <w:sz w:val="20"/>
                <w:szCs w:val="20"/>
              </w:rPr>
            </w:pPr>
            <w:r w:rsidRPr="00EA5451">
              <w:rPr>
                <w:sz w:val="20"/>
                <w:szCs w:val="20"/>
              </w:rPr>
              <w:t>Difference (Hours)</w:t>
            </w:r>
          </w:p>
          <w:p w:rsidR="00EA5451" w:rsidRPr="00EA5451" w:rsidP="00EA5451" w14:paraId="2782352F" w14:textId="77777777">
            <w:pPr>
              <w:spacing w:after="200"/>
              <w:jc w:val="center"/>
              <w:rPr>
                <w:rFonts w:eastAsia="Calibri"/>
                <w:sz w:val="20"/>
                <w:szCs w:val="20"/>
              </w:rPr>
            </w:pPr>
            <w:r w:rsidRPr="00EA5451">
              <w:rPr>
                <w:sz w:val="20"/>
                <w:szCs w:val="20"/>
              </w:rPr>
              <w:t>(+/-)</w:t>
            </w:r>
          </w:p>
        </w:tc>
        <w:tc>
          <w:tcPr>
            <w:tcW w:w="2682" w:type="dxa"/>
            <w:tcBorders>
              <w:top w:val="single" w:sz="8" w:space="0" w:color="auto"/>
              <w:left w:val="nil"/>
              <w:bottom w:val="single" w:sz="8" w:space="0" w:color="auto"/>
              <w:right w:val="single" w:sz="8" w:space="0" w:color="auto"/>
            </w:tcBorders>
            <w:shd w:val="clear" w:color="auto" w:fill="F2F2F2"/>
          </w:tcPr>
          <w:p w:rsidR="00EA5451" w:rsidRPr="00EA5451" w:rsidP="00EA5451" w14:paraId="493F247D" w14:textId="77777777">
            <w:pPr>
              <w:jc w:val="center"/>
              <w:rPr>
                <w:sz w:val="20"/>
                <w:szCs w:val="20"/>
              </w:rPr>
            </w:pPr>
            <w:r w:rsidRPr="00EA5451">
              <w:rPr>
                <w:sz w:val="20"/>
                <w:szCs w:val="20"/>
              </w:rPr>
              <w:t>Rationale for Change</w:t>
            </w:r>
          </w:p>
          <w:p w:rsidR="00EA5451" w:rsidRPr="00EA5451" w:rsidP="00EA5451" w14:paraId="1667B624" w14:textId="77777777">
            <w:pPr>
              <w:jc w:val="center"/>
              <w:rPr>
                <w:sz w:val="20"/>
                <w:szCs w:val="20"/>
              </w:rPr>
            </w:pPr>
            <w:r w:rsidRPr="00EA5451">
              <w:rPr>
                <w:sz w:val="20"/>
                <w:szCs w:val="20"/>
              </w:rPr>
              <w:t>(Estimate Revision/Programmatic)</w:t>
            </w:r>
          </w:p>
        </w:tc>
      </w:tr>
      <w:tr w14:paraId="6A7A6851" w14:textId="77777777" w:rsidTr="00415B19">
        <w:tblPrEx>
          <w:tblW w:w="0" w:type="auto"/>
          <w:tblLook w:val="04A0"/>
        </w:tblPrEx>
        <w:tc>
          <w:tcPr>
            <w:tcW w:w="2088" w:type="dxa"/>
            <w:shd w:val="clear" w:color="auto" w:fill="auto"/>
          </w:tcPr>
          <w:p w:rsidR="00EA5451" w:rsidRPr="00EA5451" w:rsidP="00EA5451" w14:paraId="133BD552" w14:textId="2A27A734">
            <w:pPr>
              <w:spacing w:after="200"/>
              <w:rPr>
                <w:rFonts w:eastAsia="Calibri"/>
                <w:sz w:val="20"/>
                <w:szCs w:val="20"/>
              </w:rPr>
            </w:pPr>
            <w:r w:rsidRPr="00D069F7">
              <w:rPr>
                <w:rFonts w:eastAsia="Calibri"/>
                <w:sz w:val="20"/>
                <w:szCs w:val="20"/>
              </w:rPr>
              <w:t>GRAS notification procedure for human food; 170.205-170.285 (part 170, subpart E)</w:t>
            </w:r>
          </w:p>
        </w:tc>
        <w:tc>
          <w:tcPr>
            <w:tcW w:w="1800" w:type="dxa"/>
            <w:shd w:val="clear" w:color="auto" w:fill="auto"/>
          </w:tcPr>
          <w:p w:rsidR="00EA5451" w:rsidRPr="00EA5451" w:rsidP="00EA5451" w14:paraId="79736CB9" w14:textId="01EBD83F">
            <w:pPr>
              <w:spacing w:after="200"/>
              <w:jc w:val="right"/>
              <w:rPr>
                <w:rFonts w:eastAsia="Calibri"/>
                <w:sz w:val="20"/>
                <w:szCs w:val="20"/>
              </w:rPr>
            </w:pPr>
            <w:r>
              <w:rPr>
                <w:rFonts w:eastAsia="Calibri"/>
                <w:sz w:val="20"/>
                <w:szCs w:val="20"/>
              </w:rPr>
              <w:t>17,00</w:t>
            </w:r>
            <w:r w:rsidRPr="00EA5451">
              <w:rPr>
                <w:rFonts w:eastAsia="Calibri"/>
                <w:sz w:val="20"/>
                <w:szCs w:val="20"/>
              </w:rPr>
              <w:t>0</w:t>
            </w:r>
          </w:p>
        </w:tc>
        <w:tc>
          <w:tcPr>
            <w:tcW w:w="1620" w:type="dxa"/>
            <w:shd w:val="clear" w:color="auto" w:fill="auto"/>
          </w:tcPr>
          <w:p w:rsidR="00EA5451" w:rsidRPr="00EA5451" w:rsidP="00EA5451" w14:paraId="5C1EEF6A" w14:textId="29F91B2B">
            <w:pPr>
              <w:spacing w:after="200"/>
              <w:jc w:val="right"/>
              <w:rPr>
                <w:rFonts w:eastAsia="Calibri"/>
                <w:sz w:val="20"/>
                <w:szCs w:val="20"/>
              </w:rPr>
            </w:pPr>
            <w:r>
              <w:rPr>
                <w:rFonts w:eastAsia="Calibri"/>
                <w:sz w:val="20"/>
                <w:szCs w:val="20"/>
              </w:rPr>
              <w:t>34,920</w:t>
            </w:r>
          </w:p>
        </w:tc>
        <w:tc>
          <w:tcPr>
            <w:tcW w:w="1530" w:type="dxa"/>
            <w:shd w:val="clear" w:color="auto" w:fill="auto"/>
          </w:tcPr>
          <w:p w:rsidR="00EA5451" w:rsidRPr="00EA5451" w:rsidP="00EA5451" w14:paraId="29D3993D" w14:textId="5E83C33B">
            <w:pPr>
              <w:spacing w:after="200"/>
              <w:jc w:val="right"/>
              <w:rPr>
                <w:rFonts w:eastAsia="Calibri"/>
                <w:sz w:val="20"/>
                <w:szCs w:val="20"/>
              </w:rPr>
            </w:pPr>
            <w:r w:rsidRPr="00EA5451">
              <w:rPr>
                <w:rFonts w:eastAsia="Calibri"/>
                <w:sz w:val="20"/>
                <w:szCs w:val="20"/>
              </w:rPr>
              <w:t>+</w:t>
            </w:r>
            <w:r w:rsidR="007B6F54">
              <w:rPr>
                <w:rFonts w:eastAsia="Calibri"/>
                <w:sz w:val="20"/>
                <w:szCs w:val="20"/>
              </w:rPr>
              <w:t>17,920</w:t>
            </w:r>
          </w:p>
        </w:tc>
        <w:tc>
          <w:tcPr>
            <w:tcW w:w="2682" w:type="dxa"/>
            <w:shd w:val="clear" w:color="auto" w:fill="auto"/>
          </w:tcPr>
          <w:p w:rsidR="00EA5451" w:rsidRPr="00EA5451" w:rsidP="00EA5451" w14:paraId="35AA89EF" w14:textId="3CD8C4D6">
            <w:pPr>
              <w:spacing w:after="200"/>
              <w:rPr>
                <w:rFonts w:eastAsia="Calibri"/>
                <w:sz w:val="20"/>
                <w:szCs w:val="20"/>
              </w:rPr>
            </w:pPr>
            <w:r>
              <w:rPr>
                <w:rFonts w:eastAsia="Calibri"/>
                <w:sz w:val="20"/>
                <w:szCs w:val="20"/>
              </w:rPr>
              <w:t>Voluntary submission</w:t>
            </w:r>
            <w:r w:rsidR="00852D98">
              <w:rPr>
                <w:rFonts w:eastAsia="Calibri"/>
                <w:sz w:val="20"/>
                <w:szCs w:val="20"/>
              </w:rPr>
              <w:t>s</w:t>
            </w:r>
            <w:r>
              <w:rPr>
                <w:rFonts w:eastAsia="Calibri"/>
                <w:sz w:val="20"/>
                <w:szCs w:val="20"/>
              </w:rPr>
              <w:t xml:space="preserve"> will</w:t>
            </w:r>
            <w:r w:rsidR="00852D98">
              <w:rPr>
                <w:rFonts w:eastAsia="Calibri"/>
                <w:sz w:val="20"/>
                <w:szCs w:val="20"/>
              </w:rPr>
              <w:t xml:space="preserve"> become required submissions.</w:t>
            </w:r>
          </w:p>
        </w:tc>
      </w:tr>
      <w:tr w14:paraId="6D2ED0EA" w14:textId="77777777" w:rsidTr="00415B19">
        <w:tblPrEx>
          <w:tblW w:w="0" w:type="auto"/>
          <w:tblLook w:val="04A0"/>
        </w:tblPrEx>
        <w:tc>
          <w:tcPr>
            <w:tcW w:w="2088" w:type="dxa"/>
            <w:shd w:val="clear" w:color="auto" w:fill="auto"/>
          </w:tcPr>
          <w:p w:rsidR="00EA5451" w:rsidRPr="00EA5451" w:rsidP="00EA5451" w14:paraId="7500EB1A" w14:textId="49BC9E71">
            <w:pPr>
              <w:spacing w:after="200"/>
              <w:rPr>
                <w:rFonts w:eastAsia="Calibri"/>
                <w:sz w:val="20"/>
                <w:szCs w:val="20"/>
              </w:rPr>
            </w:pPr>
            <w:r w:rsidRPr="003E147A">
              <w:rPr>
                <w:rFonts w:eastAsia="Calibri"/>
                <w:sz w:val="20"/>
                <w:szCs w:val="20"/>
              </w:rPr>
              <w:t>GRAS notification procedure for animal food; 570.205-570.280 (part 570, subpart E)</w:t>
            </w:r>
          </w:p>
        </w:tc>
        <w:tc>
          <w:tcPr>
            <w:tcW w:w="1800" w:type="dxa"/>
            <w:shd w:val="clear" w:color="auto" w:fill="auto"/>
          </w:tcPr>
          <w:p w:rsidR="00EA5451" w:rsidRPr="00EA5451" w:rsidP="00EA5451" w14:paraId="3F483211" w14:textId="76444337">
            <w:pPr>
              <w:spacing w:after="200"/>
              <w:jc w:val="right"/>
              <w:rPr>
                <w:rFonts w:eastAsia="Calibri"/>
                <w:sz w:val="20"/>
                <w:szCs w:val="20"/>
              </w:rPr>
            </w:pPr>
            <w:r>
              <w:rPr>
                <w:rFonts w:eastAsia="Calibri"/>
                <w:sz w:val="20"/>
                <w:szCs w:val="20"/>
              </w:rPr>
              <w:t>2,040</w:t>
            </w:r>
          </w:p>
        </w:tc>
        <w:tc>
          <w:tcPr>
            <w:tcW w:w="1620" w:type="dxa"/>
            <w:shd w:val="clear" w:color="auto" w:fill="auto"/>
          </w:tcPr>
          <w:p w:rsidR="00EA5451" w:rsidRPr="00EA5451" w:rsidP="00EA5451" w14:paraId="4FB58620" w14:textId="5B531732">
            <w:pPr>
              <w:spacing w:after="200"/>
              <w:jc w:val="right"/>
              <w:rPr>
                <w:rFonts w:eastAsia="Calibri"/>
                <w:sz w:val="20"/>
                <w:szCs w:val="20"/>
              </w:rPr>
            </w:pPr>
            <w:r>
              <w:rPr>
                <w:rFonts w:eastAsia="Calibri"/>
                <w:sz w:val="20"/>
                <w:szCs w:val="20"/>
              </w:rPr>
              <w:t>2,88</w:t>
            </w:r>
            <w:r w:rsidRPr="00EA5451">
              <w:rPr>
                <w:rFonts w:eastAsia="Calibri"/>
                <w:sz w:val="20"/>
                <w:szCs w:val="20"/>
              </w:rPr>
              <w:t>0</w:t>
            </w:r>
          </w:p>
        </w:tc>
        <w:tc>
          <w:tcPr>
            <w:tcW w:w="1530" w:type="dxa"/>
            <w:shd w:val="clear" w:color="auto" w:fill="auto"/>
          </w:tcPr>
          <w:p w:rsidR="00EA5451" w:rsidRPr="00EA5451" w:rsidP="00EA5451" w14:paraId="01E74C33" w14:textId="3CA9284B">
            <w:pPr>
              <w:spacing w:after="200"/>
              <w:jc w:val="right"/>
              <w:rPr>
                <w:rFonts w:eastAsia="Calibri"/>
                <w:sz w:val="20"/>
                <w:szCs w:val="20"/>
              </w:rPr>
            </w:pPr>
            <w:r w:rsidRPr="00AC64A8">
              <w:rPr>
                <w:rFonts w:eastAsia="Calibri"/>
                <w:sz w:val="20"/>
                <w:szCs w:val="20"/>
              </w:rPr>
              <w:t>+</w:t>
            </w:r>
            <w:r>
              <w:rPr>
                <w:rFonts w:eastAsia="Calibri"/>
                <w:sz w:val="20"/>
                <w:szCs w:val="20"/>
              </w:rPr>
              <w:t>840</w:t>
            </w:r>
          </w:p>
        </w:tc>
        <w:tc>
          <w:tcPr>
            <w:tcW w:w="2682" w:type="dxa"/>
            <w:shd w:val="clear" w:color="auto" w:fill="auto"/>
          </w:tcPr>
          <w:p w:rsidR="00EA5451" w:rsidRPr="00EA5451" w:rsidP="00EA5451" w14:paraId="2162FA73" w14:textId="4A775EA2">
            <w:pPr>
              <w:spacing w:after="200"/>
              <w:rPr>
                <w:rFonts w:eastAsia="Calibri"/>
                <w:sz w:val="20"/>
                <w:szCs w:val="20"/>
              </w:rPr>
            </w:pPr>
            <w:r>
              <w:rPr>
                <w:rFonts w:eastAsia="Calibri"/>
                <w:sz w:val="20"/>
                <w:szCs w:val="20"/>
              </w:rPr>
              <w:t>Voluntary submissions will become required submissions.</w:t>
            </w:r>
          </w:p>
        </w:tc>
      </w:tr>
      <w:tr w14:paraId="610282E3" w14:textId="77777777" w:rsidTr="00415B19">
        <w:tblPrEx>
          <w:tblW w:w="0" w:type="auto"/>
          <w:tblLook w:val="04A0"/>
        </w:tblPrEx>
        <w:tc>
          <w:tcPr>
            <w:tcW w:w="2088" w:type="dxa"/>
            <w:shd w:val="clear" w:color="auto" w:fill="auto"/>
          </w:tcPr>
          <w:p w:rsidR="00EA5451" w:rsidRPr="00EA5451" w:rsidP="00EA5451" w14:paraId="38118843" w14:textId="20AD1B9D">
            <w:pPr>
              <w:spacing w:after="200"/>
              <w:rPr>
                <w:rFonts w:eastAsia="Calibri"/>
                <w:sz w:val="20"/>
                <w:szCs w:val="20"/>
              </w:rPr>
            </w:pPr>
            <w:r w:rsidRPr="007639DD">
              <w:rPr>
                <w:sz w:val="20"/>
                <w:szCs w:val="20"/>
              </w:rPr>
              <w:t>Request for waiver to submit paper; §§ 170.39(d), 170.210, and 170.305(c)(3)</w:t>
            </w:r>
          </w:p>
        </w:tc>
        <w:tc>
          <w:tcPr>
            <w:tcW w:w="1800" w:type="dxa"/>
            <w:shd w:val="clear" w:color="auto" w:fill="auto"/>
          </w:tcPr>
          <w:p w:rsidR="00EA5451" w:rsidRPr="00EA5451" w:rsidP="00EA5451" w14:paraId="13A53182" w14:textId="76FA3BFE">
            <w:pPr>
              <w:spacing w:after="200"/>
              <w:jc w:val="right"/>
              <w:rPr>
                <w:rFonts w:eastAsia="Calibri"/>
                <w:sz w:val="20"/>
                <w:szCs w:val="20"/>
              </w:rPr>
            </w:pPr>
            <w:r>
              <w:rPr>
                <w:rFonts w:eastAsia="Calibri"/>
                <w:sz w:val="20"/>
                <w:szCs w:val="20"/>
              </w:rPr>
              <w:t>0</w:t>
            </w:r>
          </w:p>
        </w:tc>
        <w:tc>
          <w:tcPr>
            <w:tcW w:w="1620" w:type="dxa"/>
            <w:shd w:val="clear" w:color="auto" w:fill="auto"/>
          </w:tcPr>
          <w:p w:rsidR="00EA5451" w:rsidRPr="00EA5451" w:rsidP="00EA5451" w14:paraId="4369006C" w14:textId="0133B18C">
            <w:pPr>
              <w:spacing w:after="200"/>
              <w:jc w:val="right"/>
              <w:rPr>
                <w:rFonts w:eastAsia="Calibri"/>
                <w:sz w:val="20"/>
                <w:szCs w:val="20"/>
              </w:rPr>
            </w:pPr>
            <w:r>
              <w:rPr>
                <w:rFonts w:eastAsia="Calibri"/>
                <w:sz w:val="20"/>
                <w:szCs w:val="20"/>
              </w:rPr>
              <w:t>58</w:t>
            </w:r>
          </w:p>
        </w:tc>
        <w:tc>
          <w:tcPr>
            <w:tcW w:w="1530" w:type="dxa"/>
            <w:shd w:val="clear" w:color="auto" w:fill="auto"/>
          </w:tcPr>
          <w:p w:rsidR="00EA5451" w:rsidRPr="00EA5451" w:rsidP="00EA5451" w14:paraId="2E4211EB" w14:textId="5CE51395">
            <w:pPr>
              <w:spacing w:after="200"/>
              <w:jc w:val="right"/>
              <w:rPr>
                <w:rFonts w:eastAsia="Calibri"/>
                <w:sz w:val="20"/>
                <w:szCs w:val="20"/>
              </w:rPr>
            </w:pPr>
            <w:r w:rsidRPr="00EA5451">
              <w:rPr>
                <w:rFonts w:eastAsia="Calibri"/>
                <w:sz w:val="20"/>
                <w:szCs w:val="20"/>
              </w:rPr>
              <w:t>+</w:t>
            </w:r>
            <w:r w:rsidR="00B9424A">
              <w:rPr>
                <w:rFonts w:eastAsia="Calibri"/>
                <w:sz w:val="20"/>
                <w:szCs w:val="20"/>
              </w:rPr>
              <w:t>58</w:t>
            </w:r>
          </w:p>
        </w:tc>
        <w:tc>
          <w:tcPr>
            <w:tcW w:w="2682" w:type="dxa"/>
            <w:shd w:val="clear" w:color="auto" w:fill="auto"/>
          </w:tcPr>
          <w:p w:rsidR="00EA5451" w:rsidRPr="00EA5451" w:rsidP="00EA5451" w14:paraId="37B62051" w14:textId="6DEB9700">
            <w:pPr>
              <w:spacing w:after="200"/>
              <w:rPr>
                <w:rFonts w:eastAsia="Calibri"/>
                <w:sz w:val="20"/>
                <w:szCs w:val="20"/>
              </w:rPr>
            </w:pPr>
            <w:r>
              <w:rPr>
                <w:rFonts w:eastAsia="Calibri"/>
                <w:sz w:val="20"/>
                <w:szCs w:val="20"/>
              </w:rPr>
              <w:t>New collection of information</w:t>
            </w:r>
            <w:r w:rsidRPr="00EA5451">
              <w:rPr>
                <w:rFonts w:eastAsia="Calibri"/>
                <w:sz w:val="20"/>
                <w:szCs w:val="20"/>
              </w:rPr>
              <w:t>.</w:t>
            </w:r>
          </w:p>
        </w:tc>
      </w:tr>
      <w:tr w14:paraId="6CA76DAA" w14:textId="77777777" w:rsidTr="00415B19">
        <w:tblPrEx>
          <w:tblW w:w="0" w:type="auto"/>
          <w:tblLook w:val="04A0"/>
        </w:tblPrEx>
        <w:tc>
          <w:tcPr>
            <w:tcW w:w="2088" w:type="dxa"/>
            <w:shd w:val="clear" w:color="auto" w:fill="auto"/>
          </w:tcPr>
          <w:p w:rsidR="00EA5451" w:rsidRPr="00EA5451" w:rsidP="00EA5451" w14:paraId="386438E6" w14:textId="323E4410">
            <w:pPr>
              <w:spacing w:after="200"/>
              <w:rPr>
                <w:rFonts w:eastAsia="Calibri"/>
                <w:sz w:val="20"/>
                <w:szCs w:val="20"/>
              </w:rPr>
            </w:pPr>
            <w:r w:rsidRPr="00B9424A">
              <w:rPr>
                <w:rFonts w:eastAsia="Calibri"/>
                <w:sz w:val="20"/>
                <w:szCs w:val="20"/>
              </w:rPr>
              <w:t>Threshold of regulation for substances used in food; § 170.39</w:t>
            </w:r>
          </w:p>
        </w:tc>
        <w:tc>
          <w:tcPr>
            <w:tcW w:w="1800" w:type="dxa"/>
            <w:shd w:val="clear" w:color="auto" w:fill="auto"/>
          </w:tcPr>
          <w:p w:rsidR="00EA5451" w:rsidRPr="00EA5451" w:rsidP="00EA5451" w14:paraId="77E7A1BF" w14:textId="56192DC4">
            <w:pPr>
              <w:spacing w:after="200"/>
              <w:jc w:val="right"/>
              <w:rPr>
                <w:rFonts w:eastAsia="Calibri"/>
                <w:sz w:val="20"/>
                <w:szCs w:val="20"/>
              </w:rPr>
            </w:pPr>
            <w:r>
              <w:rPr>
                <w:rFonts w:eastAsia="Calibri"/>
                <w:sz w:val="20"/>
                <w:szCs w:val="20"/>
              </w:rPr>
              <w:t>0</w:t>
            </w:r>
          </w:p>
        </w:tc>
        <w:tc>
          <w:tcPr>
            <w:tcW w:w="1620" w:type="dxa"/>
            <w:shd w:val="clear" w:color="auto" w:fill="auto"/>
          </w:tcPr>
          <w:p w:rsidR="00EA5451" w:rsidRPr="00EA5451" w:rsidP="00EA5451" w14:paraId="0C35268F" w14:textId="13A75733">
            <w:pPr>
              <w:spacing w:after="200"/>
              <w:jc w:val="right"/>
              <w:rPr>
                <w:rFonts w:eastAsia="Calibri"/>
                <w:sz w:val="20"/>
                <w:szCs w:val="20"/>
              </w:rPr>
            </w:pPr>
            <w:r>
              <w:rPr>
                <w:rFonts w:eastAsia="Calibri"/>
                <w:sz w:val="20"/>
                <w:szCs w:val="20"/>
              </w:rPr>
              <w:t>336</w:t>
            </w:r>
          </w:p>
        </w:tc>
        <w:tc>
          <w:tcPr>
            <w:tcW w:w="1530" w:type="dxa"/>
            <w:shd w:val="clear" w:color="auto" w:fill="auto"/>
          </w:tcPr>
          <w:p w:rsidR="00EA5451" w:rsidRPr="00EA5451" w:rsidP="00EA5451" w14:paraId="6E14ED53" w14:textId="344DC638">
            <w:pPr>
              <w:spacing w:after="200"/>
              <w:jc w:val="right"/>
              <w:rPr>
                <w:rFonts w:eastAsia="Calibri"/>
                <w:sz w:val="20"/>
                <w:szCs w:val="20"/>
              </w:rPr>
            </w:pPr>
            <w:r w:rsidRPr="00EA5451">
              <w:rPr>
                <w:rFonts w:eastAsia="Calibri"/>
                <w:sz w:val="20"/>
                <w:szCs w:val="20"/>
              </w:rPr>
              <w:t>+</w:t>
            </w:r>
            <w:r>
              <w:rPr>
                <w:rFonts w:eastAsia="Calibri"/>
                <w:sz w:val="20"/>
                <w:szCs w:val="20"/>
              </w:rPr>
              <w:t>336</w:t>
            </w:r>
          </w:p>
        </w:tc>
        <w:tc>
          <w:tcPr>
            <w:tcW w:w="2682" w:type="dxa"/>
            <w:shd w:val="clear" w:color="auto" w:fill="auto"/>
          </w:tcPr>
          <w:p w:rsidR="00EA5451" w:rsidRPr="00EA5451" w:rsidP="00EA5451" w14:paraId="33E17DE4" w14:textId="5CF50EF4">
            <w:pPr>
              <w:spacing w:after="200"/>
              <w:rPr>
                <w:rFonts w:eastAsia="Calibri"/>
                <w:sz w:val="20"/>
                <w:szCs w:val="20"/>
              </w:rPr>
            </w:pPr>
            <w:r>
              <w:rPr>
                <w:rFonts w:eastAsia="Calibri"/>
                <w:sz w:val="20"/>
                <w:szCs w:val="20"/>
              </w:rPr>
              <w:t>New collection of information</w:t>
            </w:r>
            <w:r w:rsidRPr="00EA5451">
              <w:rPr>
                <w:rFonts w:eastAsia="Calibri"/>
                <w:sz w:val="20"/>
                <w:szCs w:val="20"/>
              </w:rPr>
              <w:t>.</w:t>
            </w:r>
          </w:p>
        </w:tc>
      </w:tr>
      <w:tr w14:paraId="0DF316C8" w14:textId="77777777" w:rsidTr="00415B19">
        <w:tblPrEx>
          <w:tblW w:w="0" w:type="auto"/>
          <w:tblLook w:val="04A0"/>
        </w:tblPrEx>
        <w:tc>
          <w:tcPr>
            <w:tcW w:w="2088" w:type="dxa"/>
            <w:shd w:val="clear" w:color="auto" w:fill="auto"/>
          </w:tcPr>
          <w:p w:rsidR="00EA5451" w:rsidRPr="00EA5451" w:rsidP="00EA5451" w14:paraId="6E270ACA" w14:textId="51472BE0">
            <w:pPr>
              <w:spacing w:after="200"/>
              <w:rPr>
                <w:rFonts w:eastAsia="Calibri"/>
                <w:sz w:val="20"/>
                <w:szCs w:val="20"/>
              </w:rPr>
            </w:pPr>
            <w:r w:rsidRPr="00DC6BA2">
              <w:rPr>
                <w:sz w:val="20"/>
                <w:szCs w:val="20"/>
              </w:rPr>
              <w:t xml:space="preserve">Time-limited option to submit information for certain substances already in interstate commerce for human food; § 170.305  </w:t>
            </w:r>
          </w:p>
        </w:tc>
        <w:tc>
          <w:tcPr>
            <w:tcW w:w="1800" w:type="dxa"/>
            <w:shd w:val="clear" w:color="auto" w:fill="auto"/>
          </w:tcPr>
          <w:p w:rsidR="00EA5451" w:rsidRPr="00EA5451" w:rsidP="00EA5451" w14:paraId="6AD5E748" w14:textId="6E6F24B3">
            <w:pPr>
              <w:spacing w:after="200"/>
              <w:jc w:val="right"/>
              <w:rPr>
                <w:rFonts w:eastAsia="Calibri"/>
                <w:sz w:val="20"/>
                <w:szCs w:val="20"/>
              </w:rPr>
            </w:pPr>
            <w:r>
              <w:rPr>
                <w:rFonts w:eastAsia="Calibri"/>
                <w:sz w:val="20"/>
                <w:szCs w:val="20"/>
              </w:rPr>
              <w:t>0</w:t>
            </w:r>
          </w:p>
        </w:tc>
        <w:tc>
          <w:tcPr>
            <w:tcW w:w="1620" w:type="dxa"/>
            <w:shd w:val="clear" w:color="auto" w:fill="auto"/>
          </w:tcPr>
          <w:p w:rsidR="00EA5451" w:rsidRPr="00EA5451" w:rsidP="00EA5451" w14:paraId="2B16B7C2" w14:textId="67FA82D2">
            <w:pPr>
              <w:spacing w:after="200"/>
              <w:jc w:val="right"/>
              <w:rPr>
                <w:rFonts w:eastAsia="Calibri"/>
                <w:sz w:val="20"/>
                <w:szCs w:val="20"/>
              </w:rPr>
            </w:pPr>
            <w:r>
              <w:rPr>
                <w:rFonts w:eastAsia="Calibri"/>
                <w:sz w:val="20"/>
                <w:szCs w:val="20"/>
              </w:rPr>
              <w:t>77,376</w:t>
            </w:r>
          </w:p>
        </w:tc>
        <w:tc>
          <w:tcPr>
            <w:tcW w:w="1530" w:type="dxa"/>
            <w:shd w:val="clear" w:color="auto" w:fill="auto"/>
          </w:tcPr>
          <w:p w:rsidR="00EA5451" w:rsidRPr="00EA5451" w:rsidP="00EA5451" w14:paraId="21945808" w14:textId="074A1170">
            <w:pPr>
              <w:spacing w:after="200"/>
              <w:jc w:val="right"/>
              <w:rPr>
                <w:rFonts w:eastAsia="Calibri"/>
                <w:sz w:val="20"/>
                <w:szCs w:val="20"/>
              </w:rPr>
            </w:pPr>
            <w:r w:rsidRPr="00EA5451">
              <w:rPr>
                <w:rFonts w:eastAsia="Calibri"/>
                <w:sz w:val="20"/>
                <w:szCs w:val="20"/>
              </w:rPr>
              <w:t>+</w:t>
            </w:r>
            <w:r>
              <w:rPr>
                <w:rFonts w:eastAsia="Calibri"/>
                <w:sz w:val="20"/>
                <w:szCs w:val="20"/>
              </w:rPr>
              <w:t>77,376</w:t>
            </w:r>
          </w:p>
        </w:tc>
        <w:tc>
          <w:tcPr>
            <w:tcW w:w="2682" w:type="dxa"/>
            <w:shd w:val="clear" w:color="auto" w:fill="auto"/>
          </w:tcPr>
          <w:p w:rsidR="00EA5451" w:rsidRPr="00EA5451" w:rsidP="00EA5451" w14:paraId="5301FA7B" w14:textId="3C219533">
            <w:pPr>
              <w:spacing w:after="200"/>
              <w:rPr>
                <w:rFonts w:eastAsia="Calibri"/>
                <w:sz w:val="20"/>
                <w:szCs w:val="20"/>
              </w:rPr>
            </w:pPr>
            <w:r>
              <w:rPr>
                <w:rFonts w:eastAsia="Calibri"/>
                <w:sz w:val="20"/>
                <w:szCs w:val="20"/>
              </w:rPr>
              <w:t xml:space="preserve">A </w:t>
            </w:r>
            <w:r>
              <w:rPr>
                <w:rFonts w:eastAsia="Calibri"/>
                <w:sz w:val="20"/>
                <w:szCs w:val="20"/>
              </w:rPr>
              <w:t>o</w:t>
            </w:r>
            <w:r w:rsidR="00E068B9">
              <w:rPr>
                <w:rFonts w:eastAsia="Calibri"/>
                <w:sz w:val="20"/>
                <w:szCs w:val="20"/>
              </w:rPr>
              <w:t>ne-time new</w:t>
            </w:r>
            <w:r w:rsidR="00E068B9">
              <w:rPr>
                <w:rFonts w:eastAsia="Calibri"/>
                <w:sz w:val="20"/>
                <w:szCs w:val="20"/>
              </w:rPr>
              <w:t xml:space="preserve"> collection of information</w:t>
            </w:r>
            <w:r w:rsidRPr="00EA5451" w:rsidR="00E068B9">
              <w:rPr>
                <w:rFonts w:eastAsia="Calibri"/>
                <w:sz w:val="20"/>
                <w:szCs w:val="20"/>
              </w:rPr>
              <w:t>.</w:t>
            </w:r>
          </w:p>
        </w:tc>
      </w:tr>
      <w:tr w14:paraId="13ADF79D" w14:textId="77777777" w:rsidTr="00415B19">
        <w:tblPrEx>
          <w:tblW w:w="0" w:type="auto"/>
          <w:tblLook w:val="04A0"/>
        </w:tblPrEx>
        <w:tc>
          <w:tcPr>
            <w:tcW w:w="2088" w:type="dxa"/>
            <w:shd w:val="clear" w:color="auto" w:fill="auto"/>
          </w:tcPr>
          <w:p w:rsidR="00EA5451" w:rsidRPr="00EA5451" w:rsidP="00EA5451" w14:paraId="41BD9ED1" w14:textId="09148F59">
            <w:pPr>
              <w:spacing w:after="200"/>
              <w:rPr>
                <w:rFonts w:eastAsia="Calibri"/>
                <w:sz w:val="20"/>
                <w:szCs w:val="20"/>
              </w:rPr>
            </w:pPr>
            <w:r w:rsidRPr="00DC6BA2">
              <w:rPr>
                <w:sz w:val="20"/>
                <w:szCs w:val="20"/>
              </w:rPr>
              <w:t xml:space="preserve">Time-limited option to submit information for certain substances already in interstate commerce for animal food; § 570.305  </w:t>
            </w:r>
          </w:p>
        </w:tc>
        <w:tc>
          <w:tcPr>
            <w:tcW w:w="1800" w:type="dxa"/>
            <w:shd w:val="clear" w:color="auto" w:fill="auto"/>
          </w:tcPr>
          <w:p w:rsidR="00EA5451" w:rsidRPr="00EA5451" w:rsidP="00EA5451" w14:paraId="22829F8E" w14:textId="7BA2AC5C">
            <w:pPr>
              <w:spacing w:after="200"/>
              <w:jc w:val="right"/>
              <w:rPr>
                <w:rFonts w:eastAsia="Calibri"/>
                <w:sz w:val="20"/>
                <w:szCs w:val="20"/>
              </w:rPr>
            </w:pPr>
            <w:r>
              <w:rPr>
                <w:rFonts w:eastAsia="Calibri"/>
                <w:sz w:val="20"/>
                <w:szCs w:val="20"/>
              </w:rPr>
              <w:t>0</w:t>
            </w:r>
          </w:p>
        </w:tc>
        <w:tc>
          <w:tcPr>
            <w:tcW w:w="1620" w:type="dxa"/>
            <w:shd w:val="clear" w:color="auto" w:fill="auto"/>
          </w:tcPr>
          <w:p w:rsidR="00EA5451" w:rsidRPr="00EA5451" w:rsidP="00EA5451" w14:paraId="082FC615" w14:textId="6883EC01">
            <w:pPr>
              <w:spacing w:after="200"/>
              <w:jc w:val="right"/>
              <w:rPr>
                <w:rFonts w:eastAsia="Calibri"/>
                <w:sz w:val="20"/>
                <w:szCs w:val="20"/>
              </w:rPr>
            </w:pPr>
            <w:r>
              <w:rPr>
                <w:rFonts w:eastAsia="Calibri"/>
                <w:sz w:val="20"/>
                <w:szCs w:val="20"/>
              </w:rPr>
              <w:t>4,960</w:t>
            </w:r>
          </w:p>
        </w:tc>
        <w:tc>
          <w:tcPr>
            <w:tcW w:w="1530" w:type="dxa"/>
            <w:shd w:val="clear" w:color="auto" w:fill="auto"/>
          </w:tcPr>
          <w:p w:rsidR="00EA5451" w:rsidRPr="00EA5451" w:rsidP="00EA5451" w14:paraId="2BCECFA6" w14:textId="76FB695F">
            <w:pPr>
              <w:spacing w:after="200"/>
              <w:jc w:val="right"/>
              <w:rPr>
                <w:rFonts w:eastAsia="Calibri"/>
                <w:sz w:val="20"/>
                <w:szCs w:val="20"/>
              </w:rPr>
            </w:pPr>
            <w:r w:rsidRPr="00EA5451">
              <w:rPr>
                <w:rFonts w:eastAsia="Calibri"/>
                <w:sz w:val="20"/>
                <w:szCs w:val="20"/>
              </w:rPr>
              <w:t>+</w:t>
            </w:r>
            <w:r>
              <w:rPr>
                <w:rFonts w:eastAsia="Calibri"/>
                <w:sz w:val="20"/>
                <w:szCs w:val="20"/>
              </w:rPr>
              <w:t>4,960</w:t>
            </w:r>
          </w:p>
        </w:tc>
        <w:tc>
          <w:tcPr>
            <w:tcW w:w="2682" w:type="dxa"/>
            <w:shd w:val="clear" w:color="auto" w:fill="auto"/>
          </w:tcPr>
          <w:p w:rsidR="00EA5451" w:rsidRPr="00EA5451" w:rsidP="00EA5451" w14:paraId="3800D9BD" w14:textId="77434CC8">
            <w:pPr>
              <w:spacing w:after="200"/>
              <w:rPr>
                <w:rFonts w:eastAsia="Calibri"/>
                <w:sz w:val="20"/>
                <w:szCs w:val="20"/>
              </w:rPr>
            </w:pPr>
            <w:r>
              <w:rPr>
                <w:rFonts w:eastAsia="Calibri"/>
                <w:sz w:val="20"/>
                <w:szCs w:val="20"/>
              </w:rPr>
              <w:t xml:space="preserve">A </w:t>
            </w:r>
            <w:r>
              <w:rPr>
                <w:rFonts w:eastAsia="Calibri"/>
                <w:sz w:val="20"/>
                <w:szCs w:val="20"/>
              </w:rPr>
              <w:t>o</w:t>
            </w:r>
            <w:r w:rsidR="00E068B9">
              <w:rPr>
                <w:rFonts w:eastAsia="Calibri"/>
                <w:sz w:val="20"/>
                <w:szCs w:val="20"/>
              </w:rPr>
              <w:t>ne-time new</w:t>
            </w:r>
            <w:r w:rsidR="00E068B9">
              <w:rPr>
                <w:rFonts w:eastAsia="Calibri"/>
                <w:sz w:val="20"/>
                <w:szCs w:val="20"/>
              </w:rPr>
              <w:t xml:space="preserve"> collection of information</w:t>
            </w:r>
            <w:r w:rsidRPr="00EA5451" w:rsidR="00E068B9">
              <w:rPr>
                <w:rFonts w:eastAsia="Calibri"/>
                <w:sz w:val="20"/>
                <w:szCs w:val="20"/>
              </w:rPr>
              <w:t>.</w:t>
            </w:r>
          </w:p>
        </w:tc>
      </w:tr>
      <w:tr w14:paraId="286F003D" w14:textId="77777777" w:rsidTr="00415B19">
        <w:tblPrEx>
          <w:tblW w:w="0" w:type="auto"/>
          <w:tblLook w:val="04A0"/>
        </w:tblPrEx>
        <w:tc>
          <w:tcPr>
            <w:tcW w:w="2088" w:type="dxa"/>
            <w:shd w:val="clear" w:color="auto" w:fill="auto"/>
          </w:tcPr>
          <w:p w:rsidR="00EA5451" w:rsidRPr="00EA5451" w:rsidP="00EA5451" w14:paraId="0D1F111D" w14:textId="77777777">
            <w:pPr>
              <w:spacing w:after="200"/>
              <w:rPr>
                <w:rFonts w:eastAsia="Calibri"/>
                <w:sz w:val="20"/>
                <w:szCs w:val="20"/>
              </w:rPr>
            </w:pPr>
            <w:r w:rsidRPr="00EA5451">
              <w:rPr>
                <w:rFonts w:eastAsia="Calibri"/>
                <w:sz w:val="20"/>
                <w:szCs w:val="20"/>
              </w:rPr>
              <w:t>Total</w:t>
            </w:r>
          </w:p>
        </w:tc>
        <w:tc>
          <w:tcPr>
            <w:tcW w:w="1800" w:type="dxa"/>
            <w:shd w:val="clear" w:color="auto" w:fill="auto"/>
          </w:tcPr>
          <w:p w:rsidR="00EA5451" w:rsidRPr="00EA5451" w:rsidP="00EA5451" w14:paraId="7BE04705" w14:textId="27B511E2">
            <w:pPr>
              <w:spacing w:after="200"/>
              <w:jc w:val="right"/>
              <w:rPr>
                <w:rFonts w:eastAsia="Calibri"/>
                <w:sz w:val="20"/>
                <w:szCs w:val="20"/>
              </w:rPr>
            </w:pPr>
            <w:r w:rsidRPr="00EA5451">
              <w:rPr>
                <w:rFonts w:eastAsia="Calibri"/>
                <w:sz w:val="20"/>
                <w:szCs w:val="20"/>
              </w:rPr>
              <w:t>1</w:t>
            </w:r>
            <w:r w:rsidR="003F6530">
              <w:rPr>
                <w:rFonts w:eastAsia="Calibri"/>
                <w:sz w:val="20"/>
                <w:szCs w:val="20"/>
              </w:rPr>
              <w:t>9,040</w:t>
            </w:r>
          </w:p>
        </w:tc>
        <w:tc>
          <w:tcPr>
            <w:tcW w:w="1620" w:type="dxa"/>
            <w:shd w:val="clear" w:color="auto" w:fill="auto"/>
          </w:tcPr>
          <w:p w:rsidR="00EA5451" w:rsidRPr="00EA5451" w:rsidP="00EA5451" w14:paraId="66118FF4" w14:textId="122EF7C6">
            <w:pPr>
              <w:spacing w:after="200"/>
              <w:jc w:val="right"/>
              <w:rPr>
                <w:rFonts w:eastAsia="Calibri"/>
                <w:sz w:val="20"/>
                <w:szCs w:val="20"/>
              </w:rPr>
            </w:pPr>
            <w:r w:rsidRPr="00A22191">
              <w:rPr>
                <w:rFonts w:eastAsia="Calibri"/>
                <w:sz w:val="20"/>
                <w:szCs w:val="20"/>
              </w:rPr>
              <w:t>120,530</w:t>
            </w:r>
          </w:p>
        </w:tc>
        <w:tc>
          <w:tcPr>
            <w:tcW w:w="1530" w:type="dxa"/>
            <w:shd w:val="clear" w:color="auto" w:fill="auto"/>
          </w:tcPr>
          <w:p w:rsidR="00EA5451" w:rsidRPr="00EA5451" w:rsidP="00EA5451" w14:paraId="4ACC6C04" w14:textId="6B9EA5AD">
            <w:pPr>
              <w:spacing w:after="200"/>
              <w:jc w:val="right"/>
              <w:rPr>
                <w:rFonts w:eastAsia="Calibri"/>
                <w:sz w:val="20"/>
                <w:szCs w:val="20"/>
              </w:rPr>
            </w:pPr>
            <w:r w:rsidRPr="00EA5451">
              <w:rPr>
                <w:rFonts w:eastAsia="Calibri"/>
                <w:sz w:val="20"/>
                <w:szCs w:val="20"/>
              </w:rPr>
              <w:t>+</w:t>
            </w:r>
            <w:r w:rsidR="00C64ED9">
              <w:rPr>
                <w:rFonts w:eastAsia="Calibri"/>
                <w:sz w:val="20"/>
                <w:szCs w:val="20"/>
              </w:rPr>
              <w:t>101,</w:t>
            </w:r>
            <w:r w:rsidR="00741248">
              <w:rPr>
                <w:rFonts w:eastAsia="Calibri"/>
                <w:sz w:val="20"/>
                <w:szCs w:val="20"/>
              </w:rPr>
              <w:t>490</w:t>
            </w:r>
          </w:p>
        </w:tc>
        <w:tc>
          <w:tcPr>
            <w:tcW w:w="2682" w:type="dxa"/>
            <w:shd w:val="clear" w:color="auto" w:fill="auto"/>
          </w:tcPr>
          <w:p w:rsidR="00EA5451" w:rsidRPr="00EA5451" w:rsidP="00EA5451" w14:paraId="1F58B045" w14:textId="77777777">
            <w:pPr>
              <w:spacing w:after="200"/>
              <w:rPr>
                <w:rFonts w:eastAsia="Calibri"/>
                <w:sz w:val="20"/>
                <w:szCs w:val="20"/>
              </w:rPr>
            </w:pPr>
          </w:p>
        </w:tc>
      </w:tr>
      <w:bookmarkEnd w:id="4"/>
    </w:tbl>
    <w:p w:rsidR="00357C8A" w:rsidRPr="008B71D9" w:rsidP="002B1BE1" w14:paraId="428FF828" w14:textId="77777777">
      <w:pPr>
        <w:rPr>
          <w:rFonts w:eastAsia="Calibri"/>
          <w:color w:val="000000"/>
        </w:rPr>
      </w:pPr>
    </w:p>
    <w:p w:rsidR="00357C8A" w:rsidRPr="00357C8A" w:rsidP="006705EA" w14:paraId="282FE9EE"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8B71D9" w:rsidP="00AC3FEA" w14:paraId="512E094E" w14:textId="77777777">
      <w:pPr>
        <w:autoSpaceDE w:val="0"/>
        <w:autoSpaceDN w:val="0"/>
        <w:adjustRightInd w:val="0"/>
        <w:rPr>
          <w:rFonts w:eastAsia="Calibri"/>
          <w:color w:val="000000"/>
        </w:rPr>
      </w:pPr>
      <w:r>
        <w:rPr>
          <w:rFonts w:ascii="TimesNewRomanPSMT" w:hAnsi="TimesNewRomanPSMT" w:cs="TimesNewRomanPSMT"/>
        </w:rPr>
        <w:t>We will make the following readily accessible to the public: (1) A list of filed GRAS</w:t>
      </w:r>
      <w:r w:rsidR="00AC3FEA">
        <w:rPr>
          <w:rFonts w:ascii="TimesNewRomanPSMT" w:hAnsi="TimesNewRomanPSMT" w:cs="TimesNewRomanPSMT"/>
        </w:rPr>
        <w:t xml:space="preserve"> </w:t>
      </w:r>
      <w:r>
        <w:rPr>
          <w:rFonts w:ascii="TimesNewRomanPSMT" w:hAnsi="TimesNewRomanPSMT" w:cs="TimesNewRomanPSMT"/>
        </w:rPr>
        <w:t>notices, including the information described in certain of the signed statements that are</w:t>
      </w:r>
      <w:r w:rsidR="00AC3FEA">
        <w:rPr>
          <w:rFonts w:ascii="TimesNewRomanPSMT" w:hAnsi="TimesNewRomanPSMT" w:cs="TimesNewRomanPSMT"/>
        </w:rPr>
        <w:t xml:space="preserve"> </w:t>
      </w:r>
      <w:r>
        <w:rPr>
          <w:rFonts w:ascii="TimesNewRomanPSMT" w:hAnsi="TimesNewRomanPSMT" w:cs="TimesNewRomanPSMT"/>
        </w:rPr>
        <w:t>included in Part 1 of a GRAS notice (i.e., § 170.225(c)(2) through (c)(5)); and (2) The text</w:t>
      </w:r>
      <w:r w:rsidR="00AC3FEA">
        <w:rPr>
          <w:rFonts w:ascii="TimesNewRomanPSMT" w:hAnsi="TimesNewRomanPSMT" w:cs="TimesNewRomanPSMT"/>
        </w:rPr>
        <w:t xml:space="preserve"> </w:t>
      </w:r>
      <w:r>
        <w:rPr>
          <w:rFonts w:ascii="TimesNewRomanPSMT" w:hAnsi="TimesNewRomanPSMT" w:cs="TimesNewRomanPSMT"/>
        </w:rPr>
        <w:t xml:space="preserve">of any letter that we issue </w:t>
      </w:r>
      <w:r>
        <w:rPr>
          <w:rFonts w:ascii="TimesNewRomanPSMT" w:hAnsi="TimesNewRomanPSMT" w:cs="TimesNewRomanPSMT"/>
        </w:rPr>
        <w:t>under § 170.265(b)(1) (our response to a GRAS notice based on</w:t>
      </w:r>
      <w:r w:rsidR="00AC3FEA">
        <w:rPr>
          <w:rFonts w:ascii="TimesNewRomanPSMT" w:hAnsi="TimesNewRomanPSMT" w:cs="TimesNewRomanPSMT"/>
        </w:rPr>
        <w:t xml:space="preserve"> </w:t>
      </w:r>
      <w:r>
        <w:rPr>
          <w:rFonts w:ascii="TimesNewRomanPSMT" w:hAnsi="TimesNewRomanPSMT" w:cs="TimesNewRomanPSMT"/>
        </w:rPr>
        <w:t>our evaluation of the notice), § 170.265(b)(3) (a letter if we grant a request that we cease</w:t>
      </w:r>
      <w:r w:rsidR="00AC3FEA">
        <w:rPr>
          <w:rFonts w:ascii="TimesNewRomanPSMT" w:hAnsi="TimesNewRomanPSMT" w:cs="TimesNewRomanPSMT"/>
        </w:rPr>
        <w:t xml:space="preserve"> </w:t>
      </w:r>
      <w:r>
        <w:rPr>
          <w:rFonts w:ascii="TimesNewRomanPSMT" w:hAnsi="TimesNewRomanPSMT" w:cs="TimesNewRomanPSMT"/>
        </w:rPr>
        <w:t>to evaluate a GRAS notice), or § 170.265(c) (a subsequent letter that we send about a</w:t>
      </w:r>
      <w:r w:rsidR="00AC3FEA">
        <w:rPr>
          <w:rFonts w:ascii="TimesNewRomanPSMT" w:hAnsi="TimesNewRomanPSMT" w:cs="TimesNewRomanPSMT"/>
        </w:rPr>
        <w:t xml:space="preserve"> </w:t>
      </w:r>
      <w:r>
        <w:rPr>
          <w:rFonts w:ascii="TimesNewRomanPSMT" w:hAnsi="TimesNewRomanPSMT" w:cs="TimesNewRomanPSMT"/>
        </w:rPr>
        <w:t xml:space="preserve">GRAS notice). (See § 170.275(b).) </w:t>
      </w:r>
      <w:r w:rsidR="00AC3FEA">
        <w:rPr>
          <w:rFonts w:ascii="TimesNewRomanPSMT" w:hAnsi="TimesNewRomanPSMT" w:cs="TimesNewRomanPSMT"/>
        </w:rPr>
        <w:t xml:space="preserve"> </w:t>
      </w:r>
      <w:r>
        <w:rPr>
          <w:rFonts w:ascii="TimesNewRomanPSMT" w:hAnsi="TimesNewRomanPSMT" w:cs="TimesNewRomanPSMT"/>
        </w:rPr>
        <w:t>We are not specifying that the mechanism for us to do</w:t>
      </w:r>
      <w:r w:rsidR="00AC3FEA">
        <w:rPr>
          <w:rFonts w:ascii="TimesNewRomanPSMT" w:hAnsi="TimesNewRomanPSMT" w:cs="TimesNewRomanPSMT"/>
        </w:rPr>
        <w:t xml:space="preserve"> </w:t>
      </w:r>
      <w:r>
        <w:rPr>
          <w:rFonts w:ascii="TimesNewRomanPSMT" w:hAnsi="TimesNewRomanPSMT" w:cs="TimesNewRomanPSMT"/>
        </w:rPr>
        <w:t>so is through an “Inventory” because the procedure we use to make this information</w:t>
      </w:r>
      <w:r w:rsidR="00AC3FEA">
        <w:rPr>
          <w:rFonts w:ascii="TimesNewRomanPSMT" w:hAnsi="TimesNewRomanPSMT" w:cs="TimesNewRomanPSMT"/>
        </w:rPr>
        <w:t xml:space="preserve"> </w:t>
      </w:r>
      <w:r>
        <w:rPr>
          <w:rFonts w:ascii="TimesNewRomanPSMT" w:hAnsi="TimesNewRomanPSMT" w:cs="TimesNewRomanPSMT"/>
        </w:rPr>
        <w:t>readily accessible to the public evolved over time and may continue to evolve.</w:t>
      </w:r>
    </w:p>
    <w:p w:rsidR="00AC3FEA" w:rsidRPr="008B71D9" w:rsidP="002B1BE1" w14:paraId="6E27D7DD" w14:textId="77777777">
      <w:pPr>
        <w:autoSpaceDE w:val="0"/>
        <w:autoSpaceDN w:val="0"/>
        <w:adjustRightInd w:val="0"/>
        <w:rPr>
          <w:rFonts w:eastAsia="Calibri"/>
          <w:color w:val="000000"/>
        </w:rPr>
      </w:pPr>
    </w:p>
    <w:p w:rsidR="00357C8A" w:rsidRPr="00357C8A" w:rsidP="006705EA" w14:paraId="09913405"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2B1BE1" w:rsidP="00AC3FEA" w14:paraId="22856BAD" w14:textId="77777777">
      <w:pPr>
        <w:autoSpaceDE w:val="0"/>
        <w:autoSpaceDN w:val="0"/>
        <w:adjustRightInd w:val="0"/>
        <w:rPr>
          <w:rFonts w:ascii="TimesNewRomanPSMT" w:hAnsi="TimesNewRomanPSMT" w:cs="TimesNewRomanPSMT"/>
        </w:rPr>
      </w:pPr>
      <w:r>
        <w:rPr>
          <w:rFonts w:ascii="TimesNewRomanPSMT" w:hAnsi="TimesNewRomanPSMT" w:cs="TimesNewRomanPSMT"/>
        </w:rPr>
        <w:t xml:space="preserve">Display of OMB expiration date is appropriate. </w:t>
      </w:r>
      <w:r w:rsidR="00080C0E">
        <w:rPr>
          <w:rFonts w:ascii="TimesNewRomanPSMT" w:hAnsi="TimesNewRomanPSMT" w:cs="TimesNewRomanPSMT"/>
        </w:rPr>
        <w:t xml:space="preserve"> </w:t>
      </w:r>
      <w:r>
        <w:rPr>
          <w:rFonts w:ascii="TimesNewRomanPSMT" w:hAnsi="TimesNewRomanPSMT" w:cs="TimesNewRomanPSMT"/>
        </w:rPr>
        <w:t>We will display the OMB expiration date as</w:t>
      </w:r>
      <w:r w:rsidR="00AC3FEA">
        <w:rPr>
          <w:rFonts w:ascii="TimesNewRomanPSMT" w:hAnsi="TimesNewRomanPSMT" w:cs="TimesNewRomanPSMT"/>
        </w:rPr>
        <w:t xml:space="preserve"> </w:t>
      </w:r>
      <w:r>
        <w:rPr>
          <w:rFonts w:ascii="TimesNewRomanPSMT" w:hAnsi="TimesNewRomanPSMT" w:cs="TimesNewRomanPSMT"/>
        </w:rPr>
        <w:t>required by 5 CFR 1320.5.</w:t>
      </w:r>
    </w:p>
    <w:p w:rsidR="00357C8A" w:rsidRPr="008B71D9" w:rsidP="002B1BE1" w14:paraId="738086BD" w14:textId="77777777">
      <w:pPr>
        <w:autoSpaceDE w:val="0"/>
        <w:autoSpaceDN w:val="0"/>
        <w:adjustRightInd w:val="0"/>
        <w:rPr>
          <w:rFonts w:eastAsia="Calibri"/>
          <w:color w:val="000000"/>
        </w:rPr>
      </w:pPr>
    </w:p>
    <w:p w:rsidR="00357C8A" w:rsidRPr="00357C8A" w:rsidP="006705EA" w14:paraId="24BDF806"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544138" w:rsidRPr="00C20690" w:rsidP="008D6922" w14:paraId="26E0BF4B" w14:textId="77777777">
      <w:pPr>
        <w:spacing w:after="200"/>
        <w:rPr>
          <w:rFonts w:eastAsia="Calibri"/>
        </w:rPr>
      </w:pPr>
      <w:r>
        <w:rPr>
          <w:rFonts w:ascii="TimesNewRomanPSMT" w:hAnsi="TimesNewRomanPSMT" w:cs="TimesNewRomanPSMT"/>
        </w:rPr>
        <w:t>There are no exceptions to the certification.</w:t>
      </w:r>
      <w:r w:rsidR="00775EA7">
        <w:rPr>
          <w:rFonts w:ascii="TimesNewRomanPSMT" w:hAnsi="TimesNewRomanPSMT" w:cs="TimesNewRomanPSMT"/>
        </w:rPr>
        <w:t xml:space="preserve"> </w:t>
      </w:r>
    </w:p>
    <w:sectPr w:rsidSect="005C71CA">
      <w:headerReference w:type="default" r:id="rId8"/>
      <w:footerReference w:type="even" r:id="rId9"/>
      <w:footerReference w:type="default" r:id="rId10"/>
      <w:pgSz w:w="12240" w:h="15840" w:code="1"/>
      <w:pgMar w:top="1008" w:right="1296"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5438CE4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224F61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6721E77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1AB947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0FE2" w:rsidRPr="003C0FE2" w14:paraId="6A98B80B" w14:textId="77777777">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6B125D9"/>
    <w:multiLevelType w:val="hybridMultilevel"/>
    <w:tmpl w:val="6CBA8E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87717">
    <w:abstractNumId w:val="6"/>
  </w:num>
  <w:num w:numId="2" w16cid:durableId="489911184">
    <w:abstractNumId w:val="1"/>
  </w:num>
  <w:num w:numId="3" w16cid:durableId="1223521731">
    <w:abstractNumId w:val="7"/>
  </w:num>
  <w:num w:numId="4" w16cid:durableId="917978870">
    <w:abstractNumId w:val="3"/>
  </w:num>
  <w:num w:numId="5" w16cid:durableId="846284699">
    <w:abstractNumId w:val="8"/>
  </w:num>
  <w:num w:numId="6" w16cid:durableId="101072603">
    <w:abstractNumId w:val="0"/>
  </w:num>
  <w:num w:numId="7" w16cid:durableId="1033773141">
    <w:abstractNumId w:val="2"/>
  </w:num>
  <w:num w:numId="8" w16cid:durableId="1015040279">
    <w:abstractNumId w:val="5"/>
  </w:num>
  <w:num w:numId="9" w16cid:durableId="88645122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6908"/>
    <w:rsid w:val="00011C43"/>
    <w:rsid w:val="00012C45"/>
    <w:rsid w:val="0001446B"/>
    <w:rsid w:val="00017E4A"/>
    <w:rsid w:val="00017FE5"/>
    <w:rsid w:val="000313DD"/>
    <w:rsid w:val="00031A2C"/>
    <w:rsid w:val="000427A7"/>
    <w:rsid w:val="00042B93"/>
    <w:rsid w:val="00043C7F"/>
    <w:rsid w:val="000467A8"/>
    <w:rsid w:val="00057794"/>
    <w:rsid w:val="00061D9B"/>
    <w:rsid w:val="0006570F"/>
    <w:rsid w:val="0006757A"/>
    <w:rsid w:val="000721FA"/>
    <w:rsid w:val="00075DE8"/>
    <w:rsid w:val="00077042"/>
    <w:rsid w:val="0008005A"/>
    <w:rsid w:val="00080C0E"/>
    <w:rsid w:val="00087439"/>
    <w:rsid w:val="00093003"/>
    <w:rsid w:val="000A711B"/>
    <w:rsid w:val="000C1260"/>
    <w:rsid w:val="000C560C"/>
    <w:rsid w:val="000D080B"/>
    <w:rsid w:val="000D48FD"/>
    <w:rsid w:val="000D79CC"/>
    <w:rsid w:val="000E1C64"/>
    <w:rsid w:val="000E2EC5"/>
    <w:rsid w:val="000E3F3C"/>
    <w:rsid w:val="000E5D65"/>
    <w:rsid w:val="000E5F40"/>
    <w:rsid w:val="000E7389"/>
    <w:rsid w:val="000F2817"/>
    <w:rsid w:val="000F4A6E"/>
    <w:rsid w:val="000F5871"/>
    <w:rsid w:val="000F7119"/>
    <w:rsid w:val="00100739"/>
    <w:rsid w:val="0010292A"/>
    <w:rsid w:val="00104618"/>
    <w:rsid w:val="0010493E"/>
    <w:rsid w:val="00107124"/>
    <w:rsid w:val="001075D3"/>
    <w:rsid w:val="00107885"/>
    <w:rsid w:val="00114FC4"/>
    <w:rsid w:val="00117AF8"/>
    <w:rsid w:val="001207B8"/>
    <w:rsid w:val="0012329C"/>
    <w:rsid w:val="00125F9F"/>
    <w:rsid w:val="00134FA7"/>
    <w:rsid w:val="001363B0"/>
    <w:rsid w:val="00137950"/>
    <w:rsid w:val="00146553"/>
    <w:rsid w:val="00152F29"/>
    <w:rsid w:val="001572CF"/>
    <w:rsid w:val="0016232C"/>
    <w:rsid w:val="00163DE2"/>
    <w:rsid w:val="0017157C"/>
    <w:rsid w:val="00174D54"/>
    <w:rsid w:val="001751AC"/>
    <w:rsid w:val="0017702C"/>
    <w:rsid w:val="00185270"/>
    <w:rsid w:val="00186926"/>
    <w:rsid w:val="00186C06"/>
    <w:rsid w:val="001A3B5A"/>
    <w:rsid w:val="001A458C"/>
    <w:rsid w:val="001A76A2"/>
    <w:rsid w:val="001B07A4"/>
    <w:rsid w:val="001B492D"/>
    <w:rsid w:val="001B73EB"/>
    <w:rsid w:val="001B7CE9"/>
    <w:rsid w:val="001C0991"/>
    <w:rsid w:val="001D1FC9"/>
    <w:rsid w:val="001D495A"/>
    <w:rsid w:val="001D5D4F"/>
    <w:rsid w:val="001E1DC0"/>
    <w:rsid w:val="001E244C"/>
    <w:rsid w:val="001E29DA"/>
    <w:rsid w:val="001F0259"/>
    <w:rsid w:val="001F1437"/>
    <w:rsid w:val="001F3A88"/>
    <w:rsid w:val="00206042"/>
    <w:rsid w:val="00206799"/>
    <w:rsid w:val="002074FE"/>
    <w:rsid w:val="00214FD3"/>
    <w:rsid w:val="00217732"/>
    <w:rsid w:val="0022425B"/>
    <w:rsid w:val="002259EF"/>
    <w:rsid w:val="00230554"/>
    <w:rsid w:val="00231182"/>
    <w:rsid w:val="00242ED1"/>
    <w:rsid w:val="002444BB"/>
    <w:rsid w:val="00252BFD"/>
    <w:rsid w:val="00254069"/>
    <w:rsid w:val="00263034"/>
    <w:rsid w:val="002651A4"/>
    <w:rsid w:val="002702FF"/>
    <w:rsid w:val="00270748"/>
    <w:rsid w:val="002728DD"/>
    <w:rsid w:val="002734E5"/>
    <w:rsid w:val="002746DB"/>
    <w:rsid w:val="00280CAF"/>
    <w:rsid w:val="00282F09"/>
    <w:rsid w:val="00291600"/>
    <w:rsid w:val="00291810"/>
    <w:rsid w:val="00293924"/>
    <w:rsid w:val="00294D62"/>
    <w:rsid w:val="00294F39"/>
    <w:rsid w:val="00297532"/>
    <w:rsid w:val="00297FFD"/>
    <w:rsid w:val="002A1210"/>
    <w:rsid w:val="002A47D2"/>
    <w:rsid w:val="002A5772"/>
    <w:rsid w:val="002A7FB5"/>
    <w:rsid w:val="002B1BE1"/>
    <w:rsid w:val="002B2074"/>
    <w:rsid w:val="002B25B3"/>
    <w:rsid w:val="002B43CC"/>
    <w:rsid w:val="002C5742"/>
    <w:rsid w:val="002D14D8"/>
    <w:rsid w:val="002D288C"/>
    <w:rsid w:val="002D4799"/>
    <w:rsid w:val="002D582C"/>
    <w:rsid w:val="002E3EAA"/>
    <w:rsid w:val="002E3FA4"/>
    <w:rsid w:val="002E53A5"/>
    <w:rsid w:val="002E64B8"/>
    <w:rsid w:val="002E6834"/>
    <w:rsid w:val="002E79C3"/>
    <w:rsid w:val="002F38C5"/>
    <w:rsid w:val="002F589F"/>
    <w:rsid w:val="002F5A81"/>
    <w:rsid w:val="002F7830"/>
    <w:rsid w:val="003057E5"/>
    <w:rsid w:val="003062FE"/>
    <w:rsid w:val="003066A5"/>
    <w:rsid w:val="003077C0"/>
    <w:rsid w:val="003113FF"/>
    <w:rsid w:val="00312622"/>
    <w:rsid w:val="003172CD"/>
    <w:rsid w:val="0032277F"/>
    <w:rsid w:val="00327766"/>
    <w:rsid w:val="0033669A"/>
    <w:rsid w:val="00336B69"/>
    <w:rsid w:val="003427EA"/>
    <w:rsid w:val="0034302B"/>
    <w:rsid w:val="00343205"/>
    <w:rsid w:val="00344F87"/>
    <w:rsid w:val="00350523"/>
    <w:rsid w:val="0035189D"/>
    <w:rsid w:val="00353CBF"/>
    <w:rsid w:val="00355B62"/>
    <w:rsid w:val="00356479"/>
    <w:rsid w:val="00356967"/>
    <w:rsid w:val="00357C8A"/>
    <w:rsid w:val="003740BC"/>
    <w:rsid w:val="0037456B"/>
    <w:rsid w:val="003801A3"/>
    <w:rsid w:val="00383D90"/>
    <w:rsid w:val="003870AE"/>
    <w:rsid w:val="003903F7"/>
    <w:rsid w:val="0039332B"/>
    <w:rsid w:val="003A1A27"/>
    <w:rsid w:val="003A2024"/>
    <w:rsid w:val="003A50CC"/>
    <w:rsid w:val="003A68FC"/>
    <w:rsid w:val="003A74EB"/>
    <w:rsid w:val="003B3D7E"/>
    <w:rsid w:val="003B42B3"/>
    <w:rsid w:val="003B5AA4"/>
    <w:rsid w:val="003B6384"/>
    <w:rsid w:val="003C0FE2"/>
    <w:rsid w:val="003C4EBB"/>
    <w:rsid w:val="003D1531"/>
    <w:rsid w:val="003D5176"/>
    <w:rsid w:val="003E147A"/>
    <w:rsid w:val="003E4EC6"/>
    <w:rsid w:val="003E527E"/>
    <w:rsid w:val="003E553E"/>
    <w:rsid w:val="003E7078"/>
    <w:rsid w:val="003E7814"/>
    <w:rsid w:val="003F3DF5"/>
    <w:rsid w:val="003F5995"/>
    <w:rsid w:val="003F6530"/>
    <w:rsid w:val="003F73B8"/>
    <w:rsid w:val="0040297E"/>
    <w:rsid w:val="00407076"/>
    <w:rsid w:val="00411D11"/>
    <w:rsid w:val="00414494"/>
    <w:rsid w:val="00415E23"/>
    <w:rsid w:val="0041670D"/>
    <w:rsid w:val="00420F3E"/>
    <w:rsid w:val="00423272"/>
    <w:rsid w:val="00424061"/>
    <w:rsid w:val="00442A3C"/>
    <w:rsid w:val="00443969"/>
    <w:rsid w:val="0044629C"/>
    <w:rsid w:val="00447D74"/>
    <w:rsid w:val="00450A74"/>
    <w:rsid w:val="00452D96"/>
    <w:rsid w:val="004546BF"/>
    <w:rsid w:val="004570A9"/>
    <w:rsid w:val="00465350"/>
    <w:rsid w:val="004655C9"/>
    <w:rsid w:val="00472DF9"/>
    <w:rsid w:val="00476B91"/>
    <w:rsid w:val="004846BF"/>
    <w:rsid w:val="00485DA0"/>
    <w:rsid w:val="00492CD9"/>
    <w:rsid w:val="00494912"/>
    <w:rsid w:val="004A5323"/>
    <w:rsid w:val="004A5A99"/>
    <w:rsid w:val="004B0853"/>
    <w:rsid w:val="004B768A"/>
    <w:rsid w:val="004C6979"/>
    <w:rsid w:val="004D13A2"/>
    <w:rsid w:val="004D3E7A"/>
    <w:rsid w:val="004F594B"/>
    <w:rsid w:val="004F61E1"/>
    <w:rsid w:val="005000B5"/>
    <w:rsid w:val="00501701"/>
    <w:rsid w:val="00503671"/>
    <w:rsid w:val="005122B2"/>
    <w:rsid w:val="0053380B"/>
    <w:rsid w:val="00534094"/>
    <w:rsid w:val="005360FE"/>
    <w:rsid w:val="00543194"/>
    <w:rsid w:val="00543660"/>
    <w:rsid w:val="00543737"/>
    <w:rsid w:val="00544138"/>
    <w:rsid w:val="00554E34"/>
    <w:rsid w:val="005571CF"/>
    <w:rsid w:val="005609B1"/>
    <w:rsid w:val="00561752"/>
    <w:rsid w:val="0057493B"/>
    <w:rsid w:val="00574E5C"/>
    <w:rsid w:val="00584583"/>
    <w:rsid w:val="00590E90"/>
    <w:rsid w:val="00590EEB"/>
    <w:rsid w:val="005A2CC2"/>
    <w:rsid w:val="005A4099"/>
    <w:rsid w:val="005C1D46"/>
    <w:rsid w:val="005C38B2"/>
    <w:rsid w:val="005C4505"/>
    <w:rsid w:val="005C4F77"/>
    <w:rsid w:val="005C5029"/>
    <w:rsid w:val="005C55C2"/>
    <w:rsid w:val="005C71CA"/>
    <w:rsid w:val="005C745C"/>
    <w:rsid w:val="005D4DF5"/>
    <w:rsid w:val="005D5898"/>
    <w:rsid w:val="005E42BA"/>
    <w:rsid w:val="005E7A75"/>
    <w:rsid w:val="005F1233"/>
    <w:rsid w:val="005F3590"/>
    <w:rsid w:val="005F59EE"/>
    <w:rsid w:val="005F6060"/>
    <w:rsid w:val="005F61F9"/>
    <w:rsid w:val="00602AA2"/>
    <w:rsid w:val="00604959"/>
    <w:rsid w:val="00611D6B"/>
    <w:rsid w:val="00624497"/>
    <w:rsid w:val="00625CFD"/>
    <w:rsid w:val="006312EA"/>
    <w:rsid w:val="006326EC"/>
    <w:rsid w:val="00636D95"/>
    <w:rsid w:val="006405C6"/>
    <w:rsid w:val="00640761"/>
    <w:rsid w:val="006512CF"/>
    <w:rsid w:val="00663A42"/>
    <w:rsid w:val="006641C7"/>
    <w:rsid w:val="006668F7"/>
    <w:rsid w:val="006705EA"/>
    <w:rsid w:val="00670BE2"/>
    <w:rsid w:val="00675332"/>
    <w:rsid w:val="006762C6"/>
    <w:rsid w:val="0068103F"/>
    <w:rsid w:val="00681259"/>
    <w:rsid w:val="00683580"/>
    <w:rsid w:val="00683F1F"/>
    <w:rsid w:val="006855D5"/>
    <w:rsid w:val="0069031D"/>
    <w:rsid w:val="006916D9"/>
    <w:rsid w:val="00692A2D"/>
    <w:rsid w:val="00694970"/>
    <w:rsid w:val="00694A54"/>
    <w:rsid w:val="006A0E05"/>
    <w:rsid w:val="006A15C5"/>
    <w:rsid w:val="006A26C6"/>
    <w:rsid w:val="006A465A"/>
    <w:rsid w:val="006A7D5D"/>
    <w:rsid w:val="006B1F6B"/>
    <w:rsid w:val="006B5166"/>
    <w:rsid w:val="006D0C12"/>
    <w:rsid w:val="006D334F"/>
    <w:rsid w:val="006D5D57"/>
    <w:rsid w:val="006E1B20"/>
    <w:rsid w:val="006E23B6"/>
    <w:rsid w:val="006E2538"/>
    <w:rsid w:val="006E302F"/>
    <w:rsid w:val="006F4D6D"/>
    <w:rsid w:val="00705086"/>
    <w:rsid w:val="00710B66"/>
    <w:rsid w:val="00713C55"/>
    <w:rsid w:val="00722001"/>
    <w:rsid w:val="00723FB7"/>
    <w:rsid w:val="007401E8"/>
    <w:rsid w:val="007410F3"/>
    <w:rsid w:val="00741248"/>
    <w:rsid w:val="00744525"/>
    <w:rsid w:val="00747E0A"/>
    <w:rsid w:val="00751E66"/>
    <w:rsid w:val="007543F2"/>
    <w:rsid w:val="00754497"/>
    <w:rsid w:val="00760EFF"/>
    <w:rsid w:val="007639DD"/>
    <w:rsid w:val="00770D6F"/>
    <w:rsid w:val="00773201"/>
    <w:rsid w:val="00773A99"/>
    <w:rsid w:val="00775223"/>
    <w:rsid w:val="00775EA7"/>
    <w:rsid w:val="00781558"/>
    <w:rsid w:val="007853CD"/>
    <w:rsid w:val="00787C39"/>
    <w:rsid w:val="00792947"/>
    <w:rsid w:val="00795DF3"/>
    <w:rsid w:val="007A05FB"/>
    <w:rsid w:val="007A373C"/>
    <w:rsid w:val="007B0D88"/>
    <w:rsid w:val="007B225C"/>
    <w:rsid w:val="007B328F"/>
    <w:rsid w:val="007B6F54"/>
    <w:rsid w:val="007C3295"/>
    <w:rsid w:val="007C75B1"/>
    <w:rsid w:val="007D2CB0"/>
    <w:rsid w:val="007D3DFC"/>
    <w:rsid w:val="007E1E28"/>
    <w:rsid w:val="007E1F40"/>
    <w:rsid w:val="007E2352"/>
    <w:rsid w:val="007E2F07"/>
    <w:rsid w:val="007E49DD"/>
    <w:rsid w:val="007E57D1"/>
    <w:rsid w:val="007E59A8"/>
    <w:rsid w:val="007E64CA"/>
    <w:rsid w:val="00803F8E"/>
    <w:rsid w:val="00805714"/>
    <w:rsid w:val="0080776D"/>
    <w:rsid w:val="00810145"/>
    <w:rsid w:val="008108FA"/>
    <w:rsid w:val="00810FF1"/>
    <w:rsid w:val="00822336"/>
    <w:rsid w:val="00823DFA"/>
    <w:rsid w:val="008245F7"/>
    <w:rsid w:val="0082614D"/>
    <w:rsid w:val="0082676F"/>
    <w:rsid w:val="00826DC8"/>
    <w:rsid w:val="0083575A"/>
    <w:rsid w:val="00842DB7"/>
    <w:rsid w:val="00843752"/>
    <w:rsid w:val="0084479F"/>
    <w:rsid w:val="00852D98"/>
    <w:rsid w:val="00856798"/>
    <w:rsid w:val="0085725E"/>
    <w:rsid w:val="00863DD1"/>
    <w:rsid w:val="0086710D"/>
    <w:rsid w:val="00873D4F"/>
    <w:rsid w:val="0087509F"/>
    <w:rsid w:val="008760E8"/>
    <w:rsid w:val="00885541"/>
    <w:rsid w:val="00885B09"/>
    <w:rsid w:val="00890C64"/>
    <w:rsid w:val="00892400"/>
    <w:rsid w:val="008A209D"/>
    <w:rsid w:val="008A22BB"/>
    <w:rsid w:val="008A68B6"/>
    <w:rsid w:val="008B035D"/>
    <w:rsid w:val="008B0E29"/>
    <w:rsid w:val="008B0EFA"/>
    <w:rsid w:val="008B30AB"/>
    <w:rsid w:val="008B71D9"/>
    <w:rsid w:val="008B7EB1"/>
    <w:rsid w:val="008C2A31"/>
    <w:rsid w:val="008C3BB8"/>
    <w:rsid w:val="008C4B65"/>
    <w:rsid w:val="008D19D0"/>
    <w:rsid w:val="008D6922"/>
    <w:rsid w:val="008D7ACF"/>
    <w:rsid w:val="008E5F55"/>
    <w:rsid w:val="008F2659"/>
    <w:rsid w:val="008F4CC3"/>
    <w:rsid w:val="009009E7"/>
    <w:rsid w:val="00903AE3"/>
    <w:rsid w:val="00904E76"/>
    <w:rsid w:val="00905DEF"/>
    <w:rsid w:val="00906056"/>
    <w:rsid w:val="009066AE"/>
    <w:rsid w:val="009122AE"/>
    <w:rsid w:val="00913B43"/>
    <w:rsid w:val="009150ED"/>
    <w:rsid w:val="009168F5"/>
    <w:rsid w:val="00924FA1"/>
    <w:rsid w:val="00930203"/>
    <w:rsid w:val="009311D2"/>
    <w:rsid w:val="009311E6"/>
    <w:rsid w:val="00931275"/>
    <w:rsid w:val="00936AC7"/>
    <w:rsid w:val="0095327E"/>
    <w:rsid w:val="00953B64"/>
    <w:rsid w:val="009646A7"/>
    <w:rsid w:val="00970A88"/>
    <w:rsid w:val="009713D7"/>
    <w:rsid w:val="009818A1"/>
    <w:rsid w:val="00985ADD"/>
    <w:rsid w:val="00987A32"/>
    <w:rsid w:val="00997361"/>
    <w:rsid w:val="009A1674"/>
    <w:rsid w:val="009A2D7F"/>
    <w:rsid w:val="009B38BE"/>
    <w:rsid w:val="009B4DF2"/>
    <w:rsid w:val="009C03C0"/>
    <w:rsid w:val="009C684F"/>
    <w:rsid w:val="009D074C"/>
    <w:rsid w:val="009D3CAA"/>
    <w:rsid w:val="009D5A72"/>
    <w:rsid w:val="009D6E73"/>
    <w:rsid w:val="009D73F8"/>
    <w:rsid w:val="009E56DC"/>
    <w:rsid w:val="009F1F1D"/>
    <w:rsid w:val="009F2B4F"/>
    <w:rsid w:val="009F2C4E"/>
    <w:rsid w:val="009F3C63"/>
    <w:rsid w:val="009F66B5"/>
    <w:rsid w:val="00A02F10"/>
    <w:rsid w:val="00A1060C"/>
    <w:rsid w:val="00A127B6"/>
    <w:rsid w:val="00A13F89"/>
    <w:rsid w:val="00A1479D"/>
    <w:rsid w:val="00A16221"/>
    <w:rsid w:val="00A20A7D"/>
    <w:rsid w:val="00A22191"/>
    <w:rsid w:val="00A26D38"/>
    <w:rsid w:val="00A30FFE"/>
    <w:rsid w:val="00A31FF7"/>
    <w:rsid w:val="00A35D42"/>
    <w:rsid w:val="00A37384"/>
    <w:rsid w:val="00A4186F"/>
    <w:rsid w:val="00A45F28"/>
    <w:rsid w:val="00A46CCF"/>
    <w:rsid w:val="00A506DE"/>
    <w:rsid w:val="00A5307E"/>
    <w:rsid w:val="00A53451"/>
    <w:rsid w:val="00A53684"/>
    <w:rsid w:val="00A57B81"/>
    <w:rsid w:val="00A6698E"/>
    <w:rsid w:val="00A677A0"/>
    <w:rsid w:val="00A70426"/>
    <w:rsid w:val="00A707CC"/>
    <w:rsid w:val="00A71410"/>
    <w:rsid w:val="00A74801"/>
    <w:rsid w:val="00A809D6"/>
    <w:rsid w:val="00A80A60"/>
    <w:rsid w:val="00A849A6"/>
    <w:rsid w:val="00A861C0"/>
    <w:rsid w:val="00A86EE8"/>
    <w:rsid w:val="00A91E9A"/>
    <w:rsid w:val="00A92286"/>
    <w:rsid w:val="00A93ED9"/>
    <w:rsid w:val="00A95E1C"/>
    <w:rsid w:val="00A96221"/>
    <w:rsid w:val="00A97992"/>
    <w:rsid w:val="00AA24B6"/>
    <w:rsid w:val="00AA2C73"/>
    <w:rsid w:val="00AB033A"/>
    <w:rsid w:val="00AB1076"/>
    <w:rsid w:val="00AC2864"/>
    <w:rsid w:val="00AC2DBB"/>
    <w:rsid w:val="00AC3FEA"/>
    <w:rsid w:val="00AC560E"/>
    <w:rsid w:val="00AC64A8"/>
    <w:rsid w:val="00AC6A99"/>
    <w:rsid w:val="00AC7C5F"/>
    <w:rsid w:val="00AD6048"/>
    <w:rsid w:val="00AF384B"/>
    <w:rsid w:val="00AF6092"/>
    <w:rsid w:val="00B012DB"/>
    <w:rsid w:val="00B055EF"/>
    <w:rsid w:val="00B06B5B"/>
    <w:rsid w:val="00B179D3"/>
    <w:rsid w:val="00B23769"/>
    <w:rsid w:val="00B24A50"/>
    <w:rsid w:val="00B26749"/>
    <w:rsid w:val="00B30212"/>
    <w:rsid w:val="00B34C5F"/>
    <w:rsid w:val="00B3592D"/>
    <w:rsid w:val="00B364E1"/>
    <w:rsid w:val="00B41789"/>
    <w:rsid w:val="00B51BBA"/>
    <w:rsid w:val="00B53B11"/>
    <w:rsid w:val="00B6385D"/>
    <w:rsid w:val="00B63B5E"/>
    <w:rsid w:val="00B63CA9"/>
    <w:rsid w:val="00B64E81"/>
    <w:rsid w:val="00B65D0E"/>
    <w:rsid w:val="00B70A2D"/>
    <w:rsid w:val="00B75FB6"/>
    <w:rsid w:val="00B81808"/>
    <w:rsid w:val="00B83EBA"/>
    <w:rsid w:val="00B86DFA"/>
    <w:rsid w:val="00B91D20"/>
    <w:rsid w:val="00B936D0"/>
    <w:rsid w:val="00B9424A"/>
    <w:rsid w:val="00BA2302"/>
    <w:rsid w:val="00BB15FB"/>
    <w:rsid w:val="00BB2ACA"/>
    <w:rsid w:val="00BB7331"/>
    <w:rsid w:val="00BC19C3"/>
    <w:rsid w:val="00BC4E2F"/>
    <w:rsid w:val="00BC60B3"/>
    <w:rsid w:val="00BD1B70"/>
    <w:rsid w:val="00BD323B"/>
    <w:rsid w:val="00BD3D5B"/>
    <w:rsid w:val="00BE3600"/>
    <w:rsid w:val="00C01F6F"/>
    <w:rsid w:val="00C041EA"/>
    <w:rsid w:val="00C11B3F"/>
    <w:rsid w:val="00C13BBD"/>
    <w:rsid w:val="00C149AB"/>
    <w:rsid w:val="00C16929"/>
    <w:rsid w:val="00C20690"/>
    <w:rsid w:val="00C21661"/>
    <w:rsid w:val="00C36020"/>
    <w:rsid w:val="00C40694"/>
    <w:rsid w:val="00C428DC"/>
    <w:rsid w:val="00C43D29"/>
    <w:rsid w:val="00C479BF"/>
    <w:rsid w:val="00C5124B"/>
    <w:rsid w:val="00C64ED9"/>
    <w:rsid w:val="00C70542"/>
    <w:rsid w:val="00C71D28"/>
    <w:rsid w:val="00C727E8"/>
    <w:rsid w:val="00C75CBF"/>
    <w:rsid w:val="00C761E4"/>
    <w:rsid w:val="00C852E0"/>
    <w:rsid w:val="00C90881"/>
    <w:rsid w:val="00C927B9"/>
    <w:rsid w:val="00CB50E6"/>
    <w:rsid w:val="00CB5847"/>
    <w:rsid w:val="00CC2894"/>
    <w:rsid w:val="00CC2F07"/>
    <w:rsid w:val="00CD0D25"/>
    <w:rsid w:val="00CD39C7"/>
    <w:rsid w:val="00CD4999"/>
    <w:rsid w:val="00CD4F1D"/>
    <w:rsid w:val="00CD77C3"/>
    <w:rsid w:val="00CE112C"/>
    <w:rsid w:val="00CE3624"/>
    <w:rsid w:val="00CF3766"/>
    <w:rsid w:val="00CF55D4"/>
    <w:rsid w:val="00CF6DB6"/>
    <w:rsid w:val="00D05582"/>
    <w:rsid w:val="00D069F7"/>
    <w:rsid w:val="00D103B6"/>
    <w:rsid w:val="00D217A1"/>
    <w:rsid w:val="00D221D9"/>
    <w:rsid w:val="00D275B4"/>
    <w:rsid w:val="00D35567"/>
    <w:rsid w:val="00D36458"/>
    <w:rsid w:val="00D506C8"/>
    <w:rsid w:val="00D53FBC"/>
    <w:rsid w:val="00D608DA"/>
    <w:rsid w:val="00D6276D"/>
    <w:rsid w:val="00D63F14"/>
    <w:rsid w:val="00D730BF"/>
    <w:rsid w:val="00D76B04"/>
    <w:rsid w:val="00D852F4"/>
    <w:rsid w:val="00D87E1D"/>
    <w:rsid w:val="00DA59C1"/>
    <w:rsid w:val="00DB0336"/>
    <w:rsid w:val="00DB1110"/>
    <w:rsid w:val="00DB13A4"/>
    <w:rsid w:val="00DB3730"/>
    <w:rsid w:val="00DB5044"/>
    <w:rsid w:val="00DC33DB"/>
    <w:rsid w:val="00DC371B"/>
    <w:rsid w:val="00DC3788"/>
    <w:rsid w:val="00DC6770"/>
    <w:rsid w:val="00DC6BA2"/>
    <w:rsid w:val="00DC76C7"/>
    <w:rsid w:val="00DD09F5"/>
    <w:rsid w:val="00DD0E02"/>
    <w:rsid w:val="00DD211F"/>
    <w:rsid w:val="00DD4201"/>
    <w:rsid w:val="00DD5E9F"/>
    <w:rsid w:val="00DE3B5E"/>
    <w:rsid w:val="00DE4C5A"/>
    <w:rsid w:val="00DE5711"/>
    <w:rsid w:val="00DF0028"/>
    <w:rsid w:val="00DF0F2A"/>
    <w:rsid w:val="00E00EA0"/>
    <w:rsid w:val="00E021CB"/>
    <w:rsid w:val="00E068B9"/>
    <w:rsid w:val="00E1218D"/>
    <w:rsid w:val="00E138F1"/>
    <w:rsid w:val="00E22A2A"/>
    <w:rsid w:val="00E2309D"/>
    <w:rsid w:val="00E26629"/>
    <w:rsid w:val="00E26758"/>
    <w:rsid w:val="00E33716"/>
    <w:rsid w:val="00E3682E"/>
    <w:rsid w:val="00E403DA"/>
    <w:rsid w:val="00E4340C"/>
    <w:rsid w:val="00E4357B"/>
    <w:rsid w:val="00E443A7"/>
    <w:rsid w:val="00E45904"/>
    <w:rsid w:val="00E4715D"/>
    <w:rsid w:val="00E53C1F"/>
    <w:rsid w:val="00E54AE8"/>
    <w:rsid w:val="00E63DE5"/>
    <w:rsid w:val="00E647AF"/>
    <w:rsid w:val="00E647C7"/>
    <w:rsid w:val="00E65A37"/>
    <w:rsid w:val="00E65C8D"/>
    <w:rsid w:val="00E65EF7"/>
    <w:rsid w:val="00E673EA"/>
    <w:rsid w:val="00E77B48"/>
    <w:rsid w:val="00E83187"/>
    <w:rsid w:val="00E83200"/>
    <w:rsid w:val="00E857FB"/>
    <w:rsid w:val="00E900BD"/>
    <w:rsid w:val="00E90858"/>
    <w:rsid w:val="00E91799"/>
    <w:rsid w:val="00E96330"/>
    <w:rsid w:val="00E97DF8"/>
    <w:rsid w:val="00EA0B33"/>
    <w:rsid w:val="00EA21FE"/>
    <w:rsid w:val="00EA34E3"/>
    <w:rsid w:val="00EA3692"/>
    <w:rsid w:val="00EA46E6"/>
    <w:rsid w:val="00EA5451"/>
    <w:rsid w:val="00EA7ED7"/>
    <w:rsid w:val="00EB353D"/>
    <w:rsid w:val="00EB691B"/>
    <w:rsid w:val="00EB7538"/>
    <w:rsid w:val="00EC1868"/>
    <w:rsid w:val="00EC25BC"/>
    <w:rsid w:val="00EC4500"/>
    <w:rsid w:val="00EC651E"/>
    <w:rsid w:val="00EE0FAA"/>
    <w:rsid w:val="00EE5898"/>
    <w:rsid w:val="00EE6468"/>
    <w:rsid w:val="00EF21A4"/>
    <w:rsid w:val="00F03DBD"/>
    <w:rsid w:val="00F04B75"/>
    <w:rsid w:val="00F07AAD"/>
    <w:rsid w:val="00F1299B"/>
    <w:rsid w:val="00F1326D"/>
    <w:rsid w:val="00F207A4"/>
    <w:rsid w:val="00F21926"/>
    <w:rsid w:val="00F25173"/>
    <w:rsid w:val="00F275C9"/>
    <w:rsid w:val="00F27852"/>
    <w:rsid w:val="00F30537"/>
    <w:rsid w:val="00F355AC"/>
    <w:rsid w:val="00F37014"/>
    <w:rsid w:val="00F40CF7"/>
    <w:rsid w:val="00F412FD"/>
    <w:rsid w:val="00F44194"/>
    <w:rsid w:val="00F46A75"/>
    <w:rsid w:val="00F652EC"/>
    <w:rsid w:val="00F66C7D"/>
    <w:rsid w:val="00F67632"/>
    <w:rsid w:val="00F71A5A"/>
    <w:rsid w:val="00F72BD5"/>
    <w:rsid w:val="00F72E00"/>
    <w:rsid w:val="00F73A1A"/>
    <w:rsid w:val="00F769E0"/>
    <w:rsid w:val="00F83093"/>
    <w:rsid w:val="00F83D0D"/>
    <w:rsid w:val="00F868B1"/>
    <w:rsid w:val="00FA2EF6"/>
    <w:rsid w:val="00FA4A46"/>
    <w:rsid w:val="00FA75FE"/>
    <w:rsid w:val="00FB0169"/>
    <w:rsid w:val="00FB1032"/>
    <w:rsid w:val="00FB2B40"/>
    <w:rsid w:val="00FB39BC"/>
    <w:rsid w:val="00FB6A53"/>
    <w:rsid w:val="00FC11CA"/>
    <w:rsid w:val="00FC6BDE"/>
    <w:rsid w:val="00FF2D98"/>
    <w:rsid w:val="00FF6138"/>
    <w:rsid w:val="00FF67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9BC2DE"/>
  <w15:chartTrackingRefBased/>
  <w15:docId w15:val="{F6BF4541-8984-4CA3-95BE-9159F89F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uiPriority w:val="99"/>
    <w:rsid w:val="00017FE5"/>
    <w:rPr>
      <w:sz w:val="16"/>
      <w:szCs w:val="16"/>
    </w:rPr>
  </w:style>
  <w:style w:type="paragraph" w:styleId="CommentText">
    <w:name w:val="annotation text"/>
    <w:basedOn w:val="Normal"/>
    <w:link w:val="CommentTextChar"/>
    <w:rsid w:val="00017FE5"/>
    <w:rPr>
      <w:sz w:val="20"/>
      <w:szCs w:val="20"/>
    </w:rPr>
  </w:style>
  <w:style w:type="character" w:customStyle="1" w:styleId="CommentTextChar">
    <w:name w:val="Comment Text Char"/>
    <w:basedOn w:val="DefaultParagraphFont"/>
    <w:link w:val="CommentText"/>
    <w:rsid w:val="00017FE5"/>
  </w:style>
  <w:style w:type="paragraph" w:styleId="CommentSubject">
    <w:name w:val="annotation subject"/>
    <w:basedOn w:val="CommentText"/>
    <w:next w:val="CommentText"/>
    <w:link w:val="CommentSubjectChar"/>
    <w:rsid w:val="00A45F28"/>
    <w:rPr>
      <w:b/>
      <w:bCs/>
    </w:rPr>
  </w:style>
  <w:style w:type="character" w:customStyle="1" w:styleId="CommentSubjectChar">
    <w:name w:val="Comment Subject Char"/>
    <w:link w:val="CommentSubject"/>
    <w:rsid w:val="00A45F28"/>
    <w:rPr>
      <w:b/>
      <w:bCs/>
    </w:rPr>
  </w:style>
  <w:style w:type="character" w:styleId="Mention">
    <w:name w:val="Mention"/>
    <w:uiPriority w:val="99"/>
    <w:unhideWhenUsed/>
    <w:rsid w:val="00D217A1"/>
    <w:rPr>
      <w:color w:val="2B579A"/>
      <w:shd w:val="clear" w:color="auto" w:fill="E1DFDD"/>
    </w:rPr>
  </w:style>
  <w:style w:type="paragraph" w:styleId="Revision">
    <w:name w:val="Revision"/>
    <w:hidden/>
    <w:uiPriority w:val="99"/>
    <w:semiHidden/>
    <w:rsid w:val="002C57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da.gov/food/registration-food-facilities-and-other-submissions/centralized-online-submission-module-cosm" TargetMode="External" /><Relationship Id="rId5" Type="http://schemas.openxmlformats.org/officeDocument/2006/relationships/hyperlink" Target="mailto:animalfood-premarket@fda.hhs.gov" TargetMode="External" /><Relationship Id="rId6" Type="http://schemas.openxmlformats.org/officeDocument/2006/relationships/hyperlink" Target="https://www.fda.gov/industry/small-business-assistance" TargetMode="External" /><Relationship Id="rId7" Type="http://schemas.openxmlformats.org/officeDocument/2006/relationships/hyperlink" Target="https://www.fda.gov/about-fda/reports/economic-impact-analyses-fda-regulations"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5e5a7a-e5c2-40a5-a786-0194463cad57}" enabled="1" method="Standard" siteId="{7d2fdb41-339c-4257-87f2-a665730b31fc}" removed="0"/>
</clbl:labelList>
</file>

<file path=docProps/app.xml><?xml version="1.0" encoding="utf-8"?>
<Properties xmlns="http://schemas.openxmlformats.org/officeDocument/2006/extended-properties" xmlns:vt="http://schemas.openxmlformats.org/officeDocument/2006/docPropsVTypes">
  <Template>Normal</Template>
  <TotalTime>103</TotalTime>
  <Pages>11</Pages>
  <Words>4915</Words>
  <Characters>28017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32867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Colburn, Christopher</cp:lastModifiedBy>
  <cp:revision>10</cp:revision>
  <cp:lastPrinted>2019-07-03T16:25:00Z</cp:lastPrinted>
  <dcterms:created xsi:type="dcterms:W3CDTF">2026-08-11T11:39:00Z</dcterms:created>
  <dcterms:modified xsi:type="dcterms:W3CDTF">2026-08-11T13:23:00Z</dcterms:modified>
</cp:coreProperties>
</file>