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7C8A" w:rsidP="0047717D" w14:paraId="2425D572" w14:textId="77777777">
      <w:pPr>
        <w:jc w:val="center"/>
        <w:rPr>
          <w:rFonts w:eastAsia="Calibri"/>
        </w:rPr>
      </w:pPr>
      <w:r w:rsidRPr="00357C8A">
        <w:rPr>
          <w:rFonts w:eastAsia="Calibri"/>
        </w:rPr>
        <w:t>United States Food and Drug Administration</w:t>
      </w:r>
    </w:p>
    <w:p w:rsidR="00357C8A" w:rsidP="00357C8A" w14:paraId="5A7A2EFC" w14:textId="77777777">
      <w:pPr>
        <w:jc w:val="center"/>
        <w:rPr>
          <w:rFonts w:eastAsia="Calibri"/>
        </w:rPr>
      </w:pPr>
    </w:p>
    <w:p w:rsidR="00AE52BD" w:rsidRPr="00AE52BD" w:rsidP="00AE52BD" w14:paraId="1C6958B5" w14:textId="77777777">
      <w:pPr>
        <w:jc w:val="center"/>
        <w:rPr>
          <w:rFonts w:eastAsia="Calibri"/>
        </w:rPr>
      </w:pPr>
      <w:r w:rsidRPr="00AE52BD">
        <w:rPr>
          <w:rFonts w:eastAsia="Calibri"/>
        </w:rPr>
        <w:t xml:space="preserve">Generic Clearance for Qualitative Data to Support </w:t>
      </w:r>
    </w:p>
    <w:p w:rsidR="00AE52BD" w:rsidRPr="00AE52BD" w:rsidP="00AE52BD" w14:paraId="107CE575" w14:textId="77777777">
      <w:pPr>
        <w:jc w:val="center"/>
        <w:rPr>
          <w:rFonts w:eastAsia="Calibri"/>
        </w:rPr>
      </w:pPr>
      <w:r w:rsidRPr="00AE52BD">
        <w:rPr>
          <w:rFonts w:eastAsia="Calibri"/>
        </w:rPr>
        <w:t xml:space="preserve">Social and Behavioral Research for Food, Dietary Supplements, Cosmetics, and </w:t>
      </w:r>
    </w:p>
    <w:p w:rsidR="00357C8A" w:rsidP="00357C8A" w14:paraId="227B7AD8" w14:textId="77777777">
      <w:pPr>
        <w:jc w:val="center"/>
        <w:rPr>
          <w:rFonts w:eastAsia="Calibri"/>
        </w:rPr>
      </w:pPr>
      <w:r w:rsidRPr="00AE52BD">
        <w:rPr>
          <w:rFonts w:eastAsia="Calibri"/>
        </w:rPr>
        <w:t>Animal Food and Feed</w:t>
      </w:r>
    </w:p>
    <w:p w:rsidR="00A82760" w:rsidP="00357C8A" w14:paraId="762472ED" w14:textId="77777777">
      <w:pPr>
        <w:jc w:val="center"/>
        <w:rPr>
          <w:rFonts w:eastAsia="Calibri"/>
        </w:rPr>
      </w:pPr>
    </w:p>
    <w:p w:rsidR="00357C8A" w:rsidP="00357C8A" w14:paraId="6F59F2B8" w14:textId="77777777">
      <w:pPr>
        <w:jc w:val="center"/>
        <w:rPr>
          <w:rFonts w:eastAsia="Calibri"/>
        </w:rPr>
      </w:pPr>
      <w:r w:rsidRPr="00357C8A">
        <w:rPr>
          <w:rFonts w:eastAsia="Calibri"/>
        </w:rPr>
        <w:t>OMB Control No. 0910-</w:t>
      </w:r>
      <w:r w:rsidR="00AE52BD">
        <w:rPr>
          <w:rFonts w:eastAsia="Calibri"/>
        </w:rPr>
        <w:t>0891</w:t>
      </w:r>
    </w:p>
    <w:p w:rsidR="00357C8A" w:rsidP="00357C8A" w14:paraId="68C16A29" w14:textId="77777777">
      <w:pPr>
        <w:jc w:val="center"/>
        <w:rPr>
          <w:rFonts w:eastAsia="Calibri"/>
        </w:rPr>
      </w:pPr>
    </w:p>
    <w:p w:rsidR="00357C8A" w:rsidP="00357C8A" w14:paraId="5F12A7B2" w14:textId="77777777">
      <w:pPr>
        <w:jc w:val="center"/>
        <w:rPr>
          <w:rFonts w:eastAsia="Calibri"/>
        </w:rPr>
      </w:pPr>
      <w:r w:rsidRPr="00357C8A">
        <w:rPr>
          <w:rFonts w:eastAsia="Calibri"/>
        </w:rPr>
        <w:t>SUPPORTING STATEMENT</w:t>
      </w:r>
    </w:p>
    <w:p w:rsidR="009B4DF2" w:rsidP="00357C8A" w14:paraId="69B83AB8" w14:textId="77777777">
      <w:pPr>
        <w:jc w:val="center"/>
        <w:rPr>
          <w:rFonts w:eastAsia="Calibri"/>
        </w:rPr>
      </w:pPr>
    </w:p>
    <w:p w:rsidR="00357C8A" w:rsidP="000D79CC" w14:paraId="5BB183A0" w14:textId="77777777">
      <w:pPr>
        <w:rPr>
          <w:rFonts w:eastAsia="Calibri"/>
        </w:rPr>
      </w:pPr>
      <w:r w:rsidRPr="00357C8A">
        <w:rPr>
          <w:rFonts w:eastAsia="Calibri"/>
          <w:b/>
        </w:rPr>
        <w:t>Part A:  Justification</w:t>
      </w:r>
      <w:r w:rsidRPr="00357C8A">
        <w:rPr>
          <w:rFonts w:eastAsia="Calibri"/>
        </w:rPr>
        <w:t>:</w:t>
      </w:r>
    </w:p>
    <w:p w:rsidR="000D79CC" w:rsidRPr="00357C8A" w:rsidP="000D79CC" w14:paraId="441388B6" w14:textId="77777777">
      <w:pPr>
        <w:rPr>
          <w:rFonts w:eastAsia="Calibri"/>
        </w:rPr>
      </w:pPr>
    </w:p>
    <w:p w:rsidR="00357C8A" w:rsidRPr="00357C8A" w:rsidP="006705EA" w14:paraId="3C70840F" w14:textId="77777777">
      <w:pPr>
        <w:numPr>
          <w:ilvl w:val="0"/>
          <w:numId w:val="6"/>
        </w:numPr>
        <w:spacing w:after="200" w:line="276" w:lineRule="auto"/>
        <w:rPr>
          <w:rFonts w:eastAsia="Calibri"/>
        </w:rPr>
      </w:pPr>
      <w:r w:rsidRPr="00357C8A">
        <w:rPr>
          <w:rFonts w:eastAsia="Calibri"/>
          <w:u w:val="single"/>
        </w:rPr>
        <w:t>Circumstances Making the Collection of Information Necessary</w:t>
      </w:r>
    </w:p>
    <w:p w:rsidR="00582A80" w:rsidP="00582A80" w14:paraId="43871A67" w14:textId="733E569C">
      <w:pPr>
        <w:rPr>
          <w:rFonts w:eastAsia="Calibri"/>
        </w:rPr>
      </w:pPr>
      <w:r>
        <w:rPr>
          <w:rFonts w:eastAsia="Calibri"/>
        </w:rPr>
        <w:t xml:space="preserve">This generic information collection supports research conducted by the Food and Drug Administration (FDA, the Agency), as authorized under section 1003(d)(2) of the Federal Food, Drug, and Cosmetic Act (FD&amp;C Act) </w:t>
      </w:r>
      <w:r w:rsidRPr="00722F66">
        <w:rPr>
          <w:rFonts w:eastAsia="Calibri"/>
        </w:rPr>
        <w:t xml:space="preserve">(21 U.S.C. 393(d)(2)(D)).  </w:t>
      </w:r>
      <w:r w:rsidRPr="00582A80">
        <w:rPr>
          <w:rFonts w:eastAsia="Calibri"/>
        </w:rPr>
        <w:t>OMB’s Office of Information and</w:t>
      </w:r>
      <w:r>
        <w:rPr>
          <w:rFonts w:eastAsia="Calibri"/>
        </w:rPr>
        <w:t xml:space="preserve"> </w:t>
      </w:r>
      <w:r w:rsidRPr="00582A80">
        <w:rPr>
          <w:rFonts w:eastAsia="Calibri"/>
        </w:rPr>
        <w:t>Regulatory Affairs (OIRA) has issued</w:t>
      </w:r>
      <w:r>
        <w:rPr>
          <w:rFonts w:eastAsia="Calibri"/>
        </w:rPr>
        <w:t xml:space="preserve"> </w:t>
      </w:r>
      <w:r w:rsidRPr="00582A80">
        <w:rPr>
          <w:rFonts w:eastAsia="Calibri"/>
        </w:rPr>
        <w:t>memoranda that provides an overview</w:t>
      </w:r>
      <w:r>
        <w:rPr>
          <w:rFonts w:eastAsia="Calibri"/>
        </w:rPr>
        <w:t xml:space="preserve"> </w:t>
      </w:r>
      <w:r w:rsidRPr="00582A80">
        <w:rPr>
          <w:rFonts w:eastAsia="Calibri"/>
        </w:rPr>
        <w:t>of administrative flexibilities available</w:t>
      </w:r>
      <w:r>
        <w:rPr>
          <w:rFonts w:eastAsia="Calibri"/>
        </w:rPr>
        <w:t xml:space="preserve"> </w:t>
      </w:r>
      <w:r w:rsidRPr="00582A80">
        <w:rPr>
          <w:rFonts w:eastAsia="Calibri"/>
        </w:rPr>
        <w:t>to assist agencies in complying with</w:t>
      </w:r>
      <w:r>
        <w:rPr>
          <w:rFonts w:eastAsia="Calibri"/>
        </w:rPr>
        <w:t xml:space="preserve"> </w:t>
      </w:r>
      <w:r w:rsidRPr="00582A80">
        <w:rPr>
          <w:rFonts w:eastAsia="Calibri"/>
        </w:rPr>
        <w:t>their statutory obligations under the</w:t>
      </w:r>
      <w:r>
        <w:rPr>
          <w:rFonts w:eastAsia="Calibri"/>
        </w:rPr>
        <w:t xml:space="preserve"> Paperwork Reduction Act of 1995 (</w:t>
      </w:r>
      <w:r w:rsidRPr="00582A80">
        <w:rPr>
          <w:rFonts w:eastAsia="Calibri"/>
        </w:rPr>
        <w:t>PRA</w:t>
      </w:r>
      <w:r>
        <w:rPr>
          <w:rFonts w:eastAsia="Calibri"/>
        </w:rPr>
        <w:t>)</w:t>
      </w:r>
      <w:r w:rsidR="001541DA">
        <w:rPr>
          <w:rFonts w:eastAsia="Calibri"/>
        </w:rPr>
        <w:t>.</w:t>
      </w:r>
      <w:r w:rsidRPr="00582A80">
        <w:rPr>
          <w:rFonts w:eastAsia="Calibri"/>
        </w:rPr>
        <w:t xml:space="preserve"> </w:t>
      </w:r>
      <w:r>
        <w:rPr>
          <w:rFonts w:eastAsia="Calibri"/>
        </w:rPr>
        <w:t xml:space="preserve"> </w:t>
      </w:r>
      <w:r w:rsidRPr="00582A80">
        <w:rPr>
          <w:rFonts w:eastAsia="Calibri"/>
        </w:rPr>
        <w:t>Among these flexibilities is use of</w:t>
      </w:r>
      <w:r>
        <w:rPr>
          <w:rFonts w:eastAsia="Calibri"/>
        </w:rPr>
        <w:t xml:space="preserve"> </w:t>
      </w:r>
      <w:r w:rsidRPr="00582A80">
        <w:rPr>
          <w:rFonts w:eastAsia="Calibri"/>
        </w:rPr>
        <w:t>a generic</w:t>
      </w:r>
      <w:r w:rsidRPr="00582A80">
        <w:rPr>
          <w:rFonts w:eastAsia="Calibri"/>
        </w:rPr>
        <w:t xml:space="preserve"> clearance for certain</w:t>
      </w:r>
      <w:r>
        <w:rPr>
          <w:rFonts w:eastAsia="Calibri"/>
        </w:rPr>
        <w:t xml:space="preserve"> </w:t>
      </w:r>
      <w:r w:rsidRPr="00582A80">
        <w:rPr>
          <w:rFonts w:eastAsia="Calibri"/>
        </w:rPr>
        <w:t xml:space="preserve">information collection activities. </w:t>
      </w:r>
      <w:r>
        <w:rPr>
          <w:rFonts w:eastAsia="Calibri"/>
        </w:rPr>
        <w:t xml:space="preserve"> </w:t>
      </w:r>
      <w:r w:rsidRPr="00582A80">
        <w:rPr>
          <w:rFonts w:eastAsia="Calibri"/>
        </w:rPr>
        <w:t>A</w:t>
      </w:r>
      <w:r>
        <w:rPr>
          <w:rFonts w:eastAsia="Calibri"/>
        </w:rPr>
        <w:t xml:space="preserve"> </w:t>
      </w:r>
      <w:r w:rsidRPr="00582A80">
        <w:rPr>
          <w:rFonts w:eastAsia="Calibri"/>
        </w:rPr>
        <w:t>generic clearance may be appropriate</w:t>
      </w:r>
      <w:r>
        <w:rPr>
          <w:rFonts w:eastAsia="Calibri"/>
        </w:rPr>
        <w:t xml:space="preserve"> </w:t>
      </w:r>
      <w:r w:rsidRPr="00582A80">
        <w:rPr>
          <w:rFonts w:eastAsia="Calibri"/>
        </w:rPr>
        <w:t>when (1) the need for the data collection</w:t>
      </w:r>
      <w:r>
        <w:rPr>
          <w:rFonts w:eastAsia="Calibri"/>
        </w:rPr>
        <w:t xml:space="preserve"> </w:t>
      </w:r>
      <w:r w:rsidRPr="00582A80">
        <w:rPr>
          <w:rFonts w:eastAsia="Calibri"/>
        </w:rPr>
        <w:t>can be evaluated in advance, as part of</w:t>
      </w:r>
      <w:r>
        <w:rPr>
          <w:rFonts w:eastAsia="Calibri"/>
        </w:rPr>
        <w:t xml:space="preserve"> </w:t>
      </w:r>
      <w:r w:rsidRPr="00582A80">
        <w:rPr>
          <w:rFonts w:eastAsia="Calibri"/>
        </w:rPr>
        <w:t>the review of the proposed plan, but (2)</w:t>
      </w:r>
      <w:r>
        <w:rPr>
          <w:rFonts w:eastAsia="Calibri"/>
        </w:rPr>
        <w:t xml:space="preserve"> </w:t>
      </w:r>
      <w:r w:rsidRPr="00582A80">
        <w:rPr>
          <w:rFonts w:eastAsia="Calibri"/>
        </w:rPr>
        <w:t>the Agency cannot determine the details</w:t>
      </w:r>
      <w:r>
        <w:rPr>
          <w:rFonts w:eastAsia="Calibri"/>
        </w:rPr>
        <w:t xml:space="preserve"> </w:t>
      </w:r>
      <w:r w:rsidRPr="00582A80">
        <w:rPr>
          <w:rFonts w:eastAsia="Calibri"/>
        </w:rPr>
        <w:t>of the specific individual collections</w:t>
      </w:r>
      <w:r>
        <w:rPr>
          <w:rFonts w:eastAsia="Calibri"/>
        </w:rPr>
        <w:t xml:space="preserve"> </w:t>
      </w:r>
      <w:r w:rsidRPr="00582A80">
        <w:rPr>
          <w:rFonts w:eastAsia="Calibri"/>
        </w:rPr>
        <w:t xml:space="preserve">until a later time. </w:t>
      </w:r>
      <w:r>
        <w:rPr>
          <w:rFonts w:eastAsia="Calibri"/>
        </w:rPr>
        <w:t xml:space="preserve"> </w:t>
      </w:r>
      <w:r w:rsidRPr="00582A80">
        <w:rPr>
          <w:rFonts w:eastAsia="Calibri"/>
        </w:rPr>
        <w:t>Generic clearances</w:t>
      </w:r>
      <w:r>
        <w:rPr>
          <w:rFonts w:eastAsia="Calibri"/>
        </w:rPr>
        <w:t xml:space="preserve"> </w:t>
      </w:r>
      <w:r w:rsidRPr="00582A80">
        <w:rPr>
          <w:rFonts w:eastAsia="Calibri"/>
        </w:rPr>
        <w:t>cover collections that are voluntary,</w:t>
      </w:r>
      <w:r>
        <w:rPr>
          <w:rFonts w:eastAsia="Calibri"/>
        </w:rPr>
        <w:t xml:space="preserve"> </w:t>
      </w:r>
      <w:r w:rsidRPr="00582A80">
        <w:rPr>
          <w:rFonts w:eastAsia="Calibri"/>
        </w:rPr>
        <w:t>low-burden, and uncontroversial.</w:t>
      </w:r>
    </w:p>
    <w:p w:rsidR="00582A80" w:rsidP="00582A80" w14:paraId="310CAAED" w14:textId="77777777">
      <w:pPr>
        <w:rPr>
          <w:rFonts w:eastAsia="Calibri"/>
        </w:rPr>
      </w:pPr>
    </w:p>
    <w:p w:rsidR="00582A80" w:rsidP="00582A80" w14:paraId="4E0600D7" w14:textId="78A118E5">
      <w:pPr>
        <w:rPr>
          <w:rFonts w:eastAsia="Calibri"/>
        </w:rPr>
      </w:pPr>
      <w:r w:rsidRPr="00582A80">
        <w:rPr>
          <w:rFonts w:eastAsia="Calibri"/>
        </w:rPr>
        <w:t>This generic clearance for certain</w:t>
      </w:r>
      <w:r>
        <w:rPr>
          <w:rFonts w:eastAsia="Calibri"/>
        </w:rPr>
        <w:t xml:space="preserve"> </w:t>
      </w:r>
      <w:r w:rsidRPr="00582A80">
        <w:rPr>
          <w:rFonts w:eastAsia="Calibri"/>
        </w:rPr>
        <w:t>information collection activities</w:t>
      </w:r>
      <w:r>
        <w:rPr>
          <w:rFonts w:eastAsia="Calibri"/>
        </w:rPr>
        <w:t xml:space="preserve"> </w:t>
      </w:r>
      <w:r w:rsidRPr="00582A80">
        <w:rPr>
          <w:rFonts w:eastAsia="Calibri"/>
        </w:rPr>
        <w:t>supports research conducted by FDA, as</w:t>
      </w:r>
      <w:r>
        <w:rPr>
          <w:rFonts w:eastAsia="Calibri"/>
        </w:rPr>
        <w:t xml:space="preserve"> </w:t>
      </w:r>
      <w:r w:rsidRPr="00582A80">
        <w:rPr>
          <w:rFonts w:eastAsia="Calibri"/>
        </w:rPr>
        <w:t>authorized under section 1003(d)(2) of</w:t>
      </w:r>
      <w:r>
        <w:rPr>
          <w:rFonts w:eastAsia="Calibri"/>
        </w:rPr>
        <w:t xml:space="preserve"> </w:t>
      </w:r>
      <w:r w:rsidRPr="00582A80">
        <w:rPr>
          <w:rFonts w:eastAsia="Calibri"/>
        </w:rPr>
        <w:t>the FD&amp;C Act (21 U.S.C. 393(d)(2)(D)),</w:t>
      </w:r>
      <w:r>
        <w:rPr>
          <w:rFonts w:eastAsia="Calibri"/>
        </w:rPr>
        <w:t xml:space="preserve"> </w:t>
      </w:r>
      <w:r w:rsidRPr="00582A80">
        <w:rPr>
          <w:rFonts w:eastAsia="Calibri"/>
        </w:rPr>
        <w:t>and is intended to help FDA’s Human</w:t>
      </w:r>
      <w:r>
        <w:rPr>
          <w:rFonts w:eastAsia="Calibri"/>
        </w:rPr>
        <w:t xml:space="preserve"> </w:t>
      </w:r>
      <w:r w:rsidRPr="00582A80">
        <w:rPr>
          <w:rFonts w:eastAsia="Calibri"/>
        </w:rPr>
        <w:t>Foods Program (HFP) understand</w:t>
      </w:r>
      <w:r>
        <w:rPr>
          <w:rFonts w:eastAsia="Calibri"/>
        </w:rPr>
        <w:t xml:space="preserve"> </w:t>
      </w:r>
      <w:r w:rsidRPr="00582A80">
        <w:rPr>
          <w:rFonts w:eastAsia="Calibri"/>
        </w:rPr>
        <w:t>stakeholders’ perceptions, attitudes,</w:t>
      </w:r>
      <w:r>
        <w:rPr>
          <w:rFonts w:eastAsia="Calibri"/>
        </w:rPr>
        <w:t xml:space="preserve"> </w:t>
      </w:r>
      <w:r w:rsidRPr="00582A80">
        <w:rPr>
          <w:rFonts w:eastAsia="Calibri"/>
        </w:rPr>
        <w:t>motivations, and behaviors.</w:t>
      </w:r>
      <w:r>
        <w:rPr>
          <w:rFonts w:eastAsia="Calibri"/>
        </w:rPr>
        <w:t xml:space="preserve">  </w:t>
      </w:r>
      <w:r w:rsidRPr="00582A80">
        <w:rPr>
          <w:rFonts w:eastAsia="Calibri"/>
        </w:rPr>
        <w:t>Understanding these perceptions,</w:t>
      </w:r>
      <w:r>
        <w:rPr>
          <w:rFonts w:eastAsia="Calibri"/>
        </w:rPr>
        <w:t xml:space="preserve"> </w:t>
      </w:r>
      <w:r w:rsidRPr="00582A80">
        <w:rPr>
          <w:rFonts w:eastAsia="Calibri"/>
        </w:rPr>
        <w:t>attitudes, motivations, and behaviors</w:t>
      </w:r>
      <w:r>
        <w:rPr>
          <w:rFonts w:eastAsia="Calibri"/>
        </w:rPr>
        <w:t xml:space="preserve"> </w:t>
      </w:r>
      <w:r w:rsidRPr="00582A80">
        <w:rPr>
          <w:rFonts w:eastAsia="Calibri"/>
        </w:rPr>
        <w:t>plays</w:t>
      </w:r>
      <w:r w:rsidRPr="00582A80">
        <w:rPr>
          <w:rFonts w:eastAsia="Calibri"/>
        </w:rPr>
        <w:t xml:space="preserve"> an important role in improving</w:t>
      </w:r>
      <w:r>
        <w:rPr>
          <w:rFonts w:eastAsia="Calibri"/>
        </w:rPr>
        <w:t xml:space="preserve"> </w:t>
      </w:r>
      <w:r w:rsidRPr="00582A80">
        <w:rPr>
          <w:rFonts w:eastAsia="Calibri"/>
        </w:rPr>
        <w:t>FDA’s communications which impact</w:t>
      </w:r>
      <w:r>
        <w:rPr>
          <w:rFonts w:eastAsia="Calibri"/>
        </w:rPr>
        <w:t xml:space="preserve"> </w:t>
      </w:r>
      <w:r w:rsidRPr="00582A80">
        <w:rPr>
          <w:rFonts w:eastAsia="Calibri"/>
        </w:rPr>
        <w:t>various stakeholders and assists in the</w:t>
      </w:r>
      <w:r>
        <w:rPr>
          <w:rFonts w:eastAsia="Calibri"/>
        </w:rPr>
        <w:t xml:space="preserve"> </w:t>
      </w:r>
      <w:r w:rsidRPr="00582A80">
        <w:rPr>
          <w:rFonts w:eastAsia="Calibri"/>
        </w:rPr>
        <w:t>development of quantitative study</w:t>
      </w:r>
      <w:r>
        <w:rPr>
          <w:rFonts w:eastAsia="Calibri"/>
        </w:rPr>
        <w:t xml:space="preserve"> </w:t>
      </w:r>
      <w:r w:rsidRPr="00582A80">
        <w:rPr>
          <w:rFonts w:eastAsia="Calibri"/>
        </w:rPr>
        <w:t>proposals to complement other</w:t>
      </w:r>
      <w:r>
        <w:rPr>
          <w:rFonts w:eastAsia="Calibri"/>
        </w:rPr>
        <w:t xml:space="preserve"> </w:t>
      </w:r>
      <w:r w:rsidRPr="00582A80">
        <w:rPr>
          <w:rFonts w:eastAsia="Calibri"/>
        </w:rPr>
        <w:t>important research efforts in the</w:t>
      </w:r>
      <w:r>
        <w:rPr>
          <w:rFonts w:eastAsia="Calibri"/>
        </w:rPr>
        <w:t xml:space="preserve"> </w:t>
      </w:r>
      <w:r w:rsidRPr="00582A80">
        <w:rPr>
          <w:rFonts w:eastAsia="Calibri"/>
        </w:rPr>
        <w:t>Agency.</w:t>
      </w:r>
      <w:r>
        <w:rPr>
          <w:rFonts w:eastAsia="Calibri"/>
        </w:rPr>
        <w:t xml:space="preserve"> </w:t>
      </w:r>
      <w:r w:rsidRPr="00582A80">
        <w:rPr>
          <w:rFonts w:eastAsia="Calibri"/>
        </w:rPr>
        <w:t xml:space="preserve"> To ensure that regulatory</w:t>
      </w:r>
      <w:r>
        <w:rPr>
          <w:rFonts w:eastAsia="Calibri"/>
        </w:rPr>
        <w:t xml:space="preserve"> </w:t>
      </w:r>
      <w:r w:rsidRPr="00582A80">
        <w:rPr>
          <w:rFonts w:eastAsia="Calibri"/>
        </w:rPr>
        <w:t>actions and communications activities</w:t>
      </w:r>
      <w:r>
        <w:rPr>
          <w:rFonts w:eastAsia="Calibri"/>
        </w:rPr>
        <w:t xml:space="preserve"> </w:t>
      </w:r>
      <w:r w:rsidRPr="00582A80">
        <w:rPr>
          <w:rFonts w:eastAsia="Calibri"/>
        </w:rPr>
        <w:t>have the highest potential to be</w:t>
      </w:r>
      <w:r>
        <w:rPr>
          <w:rFonts w:eastAsia="Calibri"/>
        </w:rPr>
        <w:t xml:space="preserve"> </w:t>
      </w:r>
      <w:r w:rsidRPr="00582A80">
        <w:rPr>
          <w:rFonts w:eastAsia="Calibri"/>
        </w:rPr>
        <w:t>received, understood, and accepted by</w:t>
      </w:r>
      <w:r>
        <w:rPr>
          <w:rFonts w:eastAsia="Calibri"/>
        </w:rPr>
        <w:t xml:space="preserve"> </w:t>
      </w:r>
      <w:r w:rsidRPr="00582A80">
        <w:rPr>
          <w:rFonts w:eastAsia="Calibri"/>
        </w:rPr>
        <w:t>those for whom they are intended, HFP</w:t>
      </w:r>
      <w:r>
        <w:rPr>
          <w:rFonts w:eastAsia="Calibri"/>
        </w:rPr>
        <w:t xml:space="preserve"> </w:t>
      </w:r>
      <w:r w:rsidRPr="00582A80">
        <w:rPr>
          <w:rFonts w:eastAsia="Calibri"/>
        </w:rPr>
        <w:t>and related FDA offices conduct</w:t>
      </w:r>
      <w:r>
        <w:rPr>
          <w:rFonts w:eastAsia="Calibri"/>
        </w:rPr>
        <w:t xml:space="preserve"> </w:t>
      </w:r>
      <w:r w:rsidRPr="00582A80">
        <w:rPr>
          <w:rFonts w:eastAsia="Calibri"/>
        </w:rPr>
        <w:t>research and studies relating to the</w:t>
      </w:r>
      <w:r>
        <w:rPr>
          <w:rFonts w:eastAsia="Calibri"/>
        </w:rPr>
        <w:t xml:space="preserve"> </w:t>
      </w:r>
      <w:r w:rsidRPr="00582A80">
        <w:rPr>
          <w:rFonts w:eastAsia="Calibri"/>
        </w:rPr>
        <w:t>control and prevention of disease as</w:t>
      </w:r>
      <w:r>
        <w:rPr>
          <w:rFonts w:eastAsia="Calibri"/>
        </w:rPr>
        <w:t xml:space="preserve"> </w:t>
      </w:r>
      <w:r w:rsidRPr="00582A80">
        <w:rPr>
          <w:rFonts w:eastAsia="Calibri"/>
        </w:rPr>
        <w:t>authorized by section 301 of the Public</w:t>
      </w:r>
      <w:r>
        <w:rPr>
          <w:rFonts w:eastAsia="Calibri"/>
        </w:rPr>
        <w:t xml:space="preserve"> </w:t>
      </w:r>
      <w:r w:rsidRPr="00582A80">
        <w:rPr>
          <w:rFonts w:eastAsia="Calibri"/>
        </w:rPr>
        <w:t>Health Service Act (42 U.S.C. 241(a)).</w:t>
      </w:r>
    </w:p>
    <w:p w:rsidR="00582A80" w:rsidP="00582A80" w14:paraId="575B2187" w14:textId="77777777">
      <w:pPr>
        <w:rPr>
          <w:rFonts w:eastAsia="Calibri"/>
        </w:rPr>
      </w:pPr>
    </w:p>
    <w:p w:rsidR="006913AF" w:rsidRPr="006913AF" w:rsidP="006913AF" w14:paraId="5E2227AF" w14:textId="77777777">
      <w:pPr>
        <w:rPr>
          <w:rFonts w:eastAsia="Calibri"/>
        </w:rPr>
      </w:pPr>
      <w:r w:rsidRPr="006913AF">
        <w:rPr>
          <w:rFonts w:eastAsia="Calibri"/>
        </w:rPr>
        <w:t>To ensure that communications</w:t>
      </w:r>
      <w:r>
        <w:rPr>
          <w:rFonts w:eastAsia="Calibri"/>
        </w:rPr>
        <w:t xml:space="preserve"> </w:t>
      </w:r>
      <w:r w:rsidRPr="006913AF">
        <w:rPr>
          <w:rFonts w:eastAsia="Calibri"/>
        </w:rPr>
        <w:t>activities have the highest effect, we</w:t>
      </w:r>
      <w:r>
        <w:rPr>
          <w:rFonts w:eastAsia="Calibri"/>
        </w:rPr>
        <w:t xml:space="preserve"> </w:t>
      </w:r>
      <w:r w:rsidRPr="006913AF">
        <w:rPr>
          <w:rFonts w:eastAsia="Calibri"/>
        </w:rPr>
        <w:t>conduct research and studies relating to</w:t>
      </w:r>
      <w:r>
        <w:rPr>
          <w:rFonts w:eastAsia="Calibri"/>
        </w:rPr>
        <w:t xml:space="preserve"> </w:t>
      </w:r>
      <w:r w:rsidRPr="006913AF">
        <w:rPr>
          <w:rFonts w:eastAsia="Calibri"/>
        </w:rPr>
        <w:t>the control and prevention of disease</w:t>
      </w:r>
      <w:r>
        <w:rPr>
          <w:rFonts w:eastAsia="Calibri"/>
        </w:rPr>
        <w:t xml:space="preserve"> </w:t>
      </w:r>
      <w:r w:rsidRPr="006913AF">
        <w:rPr>
          <w:rFonts w:eastAsia="Calibri"/>
        </w:rPr>
        <w:t>and the safety and health of the public.</w:t>
      </w:r>
      <w:r>
        <w:rPr>
          <w:rFonts w:eastAsia="Calibri"/>
        </w:rPr>
        <w:t xml:space="preserve">  </w:t>
      </w:r>
      <w:r w:rsidRPr="006913AF">
        <w:rPr>
          <w:rFonts w:eastAsia="Calibri"/>
        </w:rPr>
        <w:t>FDA is requesting OMB approval for the</w:t>
      </w:r>
      <w:r>
        <w:rPr>
          <w:rFonts w:eastAsia="Calibri"/>
        </w:rPr>
        <w:t xml:space="preserve"> </w:t>
      </w:r>
      <w:r w:rsidRPr="006913AF">
        <w:rPr>
          <w:rFonts w:eastAsia="Calibri"/>
        </w:rPr>
        <w:t>use of this generic collection of</w:t>
      </w:r>
      <w:r>
        <w:rPr>
          <w:rFonts w:eastAsia="Calibri"/>
        </w:rPr>
        <w:t xml:space="preserve"> </w:t>
      </w:r>
      <w:r w:rsidRPr="006913AF">
        <w:rPr>
          <w:rFonts w:eastAsia="Calibri"/>
        </w:rPr>
        <w:t>information that allows FDA to use</w:t>
      </w:r>
      <w:r>
        <w:rPr>
          <w:rFonts w:eastAsia="Calibri"/>
        </w:rPr>
        <w:t xml:space="preserve"> </w:t>
      </w:r>
      <w:r w:rsidRPr="006913AF">
        <w:rPr>
          <w:rFonts w:eastAsia="Calibri"/>
        </w:rPr>
        <w:t>qualitative social/behavioral science</w:t>
      </w:r>
      <w:r>
        <w:rPr>
          <w:rFonts w:eastAsia="Calibri"/>
        </w:rPr>
        <w:t xml:space="preserve"> </w:t>
      </w:r>
      <w:r w:rsidRPr="006913AF">
        <w:rPr>
          <w:rFonts w:eastAsia="Calibri"/>
        </w:rPr>
        <w:t>data collection techniques (i.e.,</w:t>
      </w:r>
      <w:r>
        <w:rPr>
          <w:rFonts w:eastAsia="Calibri"/>
        </w:rPr>
        <w:t xml:space="preserve"> </w:t>
      </w:r>
      <w:r w:rsidRPr="006913AF">
        <w:rPr>
          <w:rFonts w:eastAsia="Calibri"/>
        </w:rPr>
        <w:t>individual in-depth interviews (IDIs),</w:t>
      </w:r>
      <w:r>
        <w:rPr>
          <w:rFonts w:eastAsia="Calibri"/>
        </w:rPr>
        <w:t xml:space="preserve"> </w:t>
      </w:r>
      <w:r w:rsidRPr="006913AF">
        <w:rPr>
          <w:rFonts w:eastAsia="Calibri"/>
        </w:rPr>
        <w:t>small group discussions, focus groups,</w:t>
      </w:r>
      <w:r>
        <w:rPr>
          <w:rFonts w:eastAsia="Calibri"/>
        </w:rPr>
        <w:t xml:space="preserve"> </w:t>
      </w:r>
      <w:r w:rsidRPr="006913AF">
        <w:rPr>
          <w:rFonts w:eastAsia="Calibri"/>
        </w:rPr>
        <w:t>and observations) to better understand</w:t>
      </w:r>
      <w:r>
        <w:rPr>
          <w:rFonts w:eastAsia="Calibri"/>
        </w:rPr>
        <w:t xml:space="preserve"> </w:t>
      </w:r>
      <w:r w:rsidRPr="006913AF">
        <w:rPr>
          <w:rFonts w:eastAsia="Calibri"/>
        </w:rPr>
        <w:t>stakeholders’ perceptions, attitudes,</w:t>
      </w:r>
      <w:r>
        <w:rPr>
          <w:rFonts w:eastAsia="Calibri"/>
        </w:rPr>
        <w:t xml:space="preserve"> </w:t>
      </w:r>
      <w:r w:rsidRPr="006913AF">
        <w:rPr>
          <w:rFonts w:eastAsia="Calibri"/>
        </w:rPr>
        <w:t>motivations, and behaviors regarding</w:t>
      </w:r>
      <w:r>
        <w:rPr>
          <w:rFonts w:eastAsia="Calibri"/>
        </w:rPr>
        <w:t xml:space="preserve"> </w:t>
      </w:r>
      <w:r w:rsidRPr="006913AF">
        <w:rPr>
          <w:rFonts w:eastAsia="Calibri"/>
        </w:rPr>
        <w:t>various issues associated with food,</w:t>
      </w:r>
      <w:r>
        <w:rPr>
          <w:rFonts w:eastAsia="Calibri"/>
        </w:rPr>
        <w:t xml:space="preserve"> </w:t>
      </w:r>
      <w:r w:rsidRPr="006913AF">
        <w:rPr>
          <w:rFonts w:eastAsia="Calibri"/>
        </w:rPr>
        <w:t>dietary supplements, cosmetics, and</w:t>
      </w:r>
      <w:r>
        <w:rPr>
          <w:rFonts w:eastAsia="Calibri"/>
        </w:rPr>
        <w:t xml:space="preserve"> </w:t>
      </w:r>
      <w:r w:rsidRPr="006913AF">
        <w:rPr>
          <w:rFonts w:eastAsia="Calibri"/>
        </w:rPr>
        <w:t xml:space="preserve">animal food and feed. </w:t>
      </w:r>
      <w:r>
        <w:rPr>
          <w:rFonts w:eastAsia="Calibri"/>
        </w:rPr>
        <w:t xml:space="preserve"> </w:t>
      </w:r>
      <w:r w:rsidRPr="006913AF">
        <w:rPr>
          <w:rFonts w:eastAsia="Calibri"/>
        </w:rPr>
        <w:t>Understanding</w:t>
      </w:r>
      <w:r>
        <w:rPr>
          <w:rFonts w:eastAsia="Calibri"/>
        </w:rPr>
        <w:t xml:space="preserve"> </w:t>
      </w:r>
      <w:r w:rsidRPr="006913AF">
        <w:rPr>
          <w:rFonts w:eastAsia="Calibri"/>
        </w:rPr>
        <w:t>these consumers’, manufacturers’, and</w:t>
      </w:r>
      <w:r>
        <w:rPr>
          <w:rFonts w:eastAsia="Calibri"/>
        </w:rPr>
        <w:t xml:space="preserve"> </w:t>
      </w:r>
      <w:r w:rsidRPr="006913AF">
        <w:rPr>
          <w:rFonts w:eastAsia="Calibri"/>
        </w:rPr>
        <w:t>producers’ perceptions, attitudes,</w:t>
      </w:r>
      <w:r>
        <w:rPr>
          <w:rFonts w:eastAsia="Calibri"/>
        </w:rPr>
        <w:t xml:space="preserve"> </w:t>
      </w:r>
      <w:r w:rsidRPr="006913AF">
        <w:rPr>
          <w:rFonts w:eastAsia="Calibri"/>
        </w:rPr>
        <w:t>motivations, and behaviors plays an</w:t>
      </w:r>
      <w:r>
        <w:rPr>
          <w:rFonts w:eastAsia="Calibri"/>
        </w:rPr>
        <w:t xml:space="preserve"> </w:t>
      </w:r>
      <w:r w:rsidRPr="006913AF">
        <w:rPr>
          <w:rFonts w:eastAsia="Calibri"/>
        </w:rPr>
        <w:t>important role in improving FDA’s</w:t>
      </w:r>
      <w:r>
        <w:rPr>
          <w:rFonts w:eastAsia="Calibri"/>
        </w:rPr>
        <w:t xml:space="preserve"> </w:t>
      </w:r>
      <w:r w:rsidRPr="006913AF">
        <w:rPr>
          <w:rFonts w:eastAsia="Calibri"/>
        </w:rPr>
        <w:t>communications that impact these</w:t>
      </w:r>
      <w:r>
        <w:rPr>
          <w:rFonts w:eastAsia="Calibri"/>
        </w:rPr>
        <w:t xml:space="preserve"> </w:t>
      </w:r>
      <w:r w:rsidRPr="006913AF">
        <w:rPr>
          <w:rFonts w:eastAsia="Calibri"/>
        </w:rPr>
        <w:t>various stakeholders and in assisting in</w:t>
      </w:r>
      <w:r>
        <w:rPr>
          <w:rFonts w:eastAsia="Calibri"/>
        </w:rPr>
        <w:t xml:space="preserve"> </w:t>
      </w:r>
      <w:r w:rsidRPr="006913AF">
        <w:rPr>
          <w:rFonts w:eastAsia="Calibri"/>
        </w:rPr>
        <w:t>the development of quantitative study</w:t>
      </w:r>
      <w:r>
        <w:rPr>
          <w:rFonts w:eastAsia="Calibri"/>
        </w:rPr>
        <w:t xml:space="preserve"> </w:t>
      </w:r>
      <w:r w:rsidRPr="006913AF">
        <w:rPr>
          <w:rFonts w:eastAsia="Calibri"/>
        </w:rPr>
        <w:t>proposals, complementing other</w:t>
      </w:r>
      <w:r>
        <w:rPr>
          <w:rFonts w:eastAsia="Calibri"/>
        </w:rPr>
        <w:t xml:space="preserve"> </w:t>
      </w:r>
      <w:r w:rsidRPr="006913AF">
        <w:rPr>
          <w:rFonts w:eastAsia="Calibri"/>
        </w:rPr>
        <w:t>important research efforts in the</w:t>
      </w:r>
      <w:r>
        <w:rPr>
          <w:rFonts w:eastAsia="Calibri"/>
        </w:rPr>
        <w:t xml:space="preserve"> </w:t>
      </w:r>
      <w:r w:rsidRPr="006913AF">
        <w:rPr>
          <w:rFonts w:eastAsia="Calibri"/>
        </w:rPr>
        <w:t>Agency.</w:t>
      </w:r>
    </w:p>
    <w:p w:rsidR="006913AF" w:rsidP="006913AF" w14:paraId="5F595723" w14:textId="77777777">
      <w:pPr>
        <w:rPr>
          <w:rFonts w:eastAsia="Calibri"/>
        </w:rPr>
      </w:pPr>
    </w:p>
    <w:p w:rsidR="006913AF" w:rsidP="006913AF" w14:paraId="0170CF82" w14:textId="77777777">
      <w:pPr>
        <w:rPr>
          <w:rFonts w:eastAsia="Calibri"/>
        </w:rPr>
      </w:pPr>
      <w:r w:rsidRPr="006913AF">
        <w:rPr>
          <w:rFonts w:eastAsia="Calibri"/>
        </w:rPr>
        <w:t>To obtain approval for an individual</w:t>
      </w:r>
      <w:r>
        <w:rPr>
          <w:rFonts w:eastAsia="Calibri"/>
        </w:rPr>
        <w:t xml:space="preserve"> </w:t>
      </w:r>
      <w:r w:rsidRPr="006913AF">
        <w:rPr>
          <w:rFonts w:eastAsia="Calibri"/>
        </w:rPr>
        <w:t>generic submission collection that meets</w:t>
      </w:r>
      <w:r>
        <w:rPr>
          <w:rFonts w:eastAsia="Calibri"/>
        </w:rPr>
        <w:t xml:space="preserve"> </w:t>
      </w:r>
      <w:r w:rsidRPr="006913AF">
        <w:rPr>
          <w:rFonts w:eastAsia="Calibri"/>
        </w:rPr>
        <w:t>the conditions of this generic clearance,</w:t>
      </w:r>
      <w:r>
        <w:rPr>
          <w:rFonts w:eastAsia="Calibri"/>
        </w:rPr>
        <w:t xml:space="preserve"> </w:t>
      </w:r>
      <w:r w:rsidRPr="006913AF">
        <w:rPr>
          <w:rFonts w:eastAsia="Calibri"/>
        </w:rPr>
        <w:t>an abbreviated supporting statement</w:t>
      </w:r>
      <w:r>
        <w:rPr>
          <w:rFonts w:eastAsia="Calibri"/>
        </w:rPr>
        <w:t xml:space="preserve"> </w:t>
      </w:r>
      <w:r w:rsidRPr="006913AF">
        <w:rPr>
          <w:rFonts w:eastAsia="Calibri"/>
        </w:rPr>
        <w:t>will be submitted to OMB along with</w:t>
      </w:r>
      <w:r>
        <w:rPr>
          <w:rFonts w:eastAsia="Calibri"/>
        </w:rPr>
        <w:t xml:space="preserve"> </w:t>
      </w:r>
      <w:r w:rsidRPr="006913AF">
        <w:rPr>
          <w:rFonts w:eastAsia="Calibri"/>
        </w:rPr>
        <w:t>supporting documentation (e.g., a copy</w:t>
      </w:r>
      <w:r>
        <w:rPr>
          <w:rFonts w:eastAsia="Calibri"/>
        </w:rPr>
        <w:t xml:space="preserve"> </w:t>
      </w:r>
      <w:r w:rsidRPr="006913AF">
        <w:rPr>
          <w:rFonts w:eastAsia="Calibri"/>
        </w:rPr>
        <w:t>of the interview or moderator guide,</w:t>
      </w:r>
      <w:r>
        <w:rPr>
          <w:rFonts w:eastAsia="Calibri"/>
        </w:rPr>
        <w:t xml:space="preserve"> </w:t>
      </w:r>
      <w:r w:rsidRPr="006913AF">
        <w:rPr>
          <w:rFonts w:eastAsia="Calibri"/>
        </w:rPr>
        <w:t>screening questionnaire).</w:t>
      </w:r>
    </w:p>
    <w:p w:rsidR="006913AF" w:rsidRPr="006913AF" w:rsidP="006913AF" w14:paraId="5FD55005" w14:textId="77777777">
      <w:pPr>
        <w:rPr>
          <w:rFonts w:eastAsia="Calibri"/>
        </w:rPr>
      </w:pPr>
    </w:p>
    <w:p w:rsidR="00AE52BD" w:rsidRPr="00722F66" w:rsidP="006913AF" w14:paraId="156BA696" w14:textId="77777777">
      <w:pPr>
        <w:rPr>
          <w:rFonts w:eastAsia="Calibri"/>
        </w:rPr>
      </w:pPr>
      <w:r w:rsidRPr="006913AF">
        <w:rPr>
          <w:rFonts w:eastAsia="Calibri"/>
        </w:rPr>
        <w:t>Selection for potential respondents is</w:t>
      </w:r>
      <w:r>
        <w:rPr>
          <w:rFonts w:eastAsia="Calibri"/>
        </w:rPr>
        <w:t xml:space="preserve"> </w:t>
      </w:r>
      <w:r w:rsidRPr="006913AF">
        <w:rPr>
          <w:rFonts w:eastAsia="Calibri"/>
        </w:rPr>
        <w:t>done via a screening process to match</w:t>
      </w:r>
      <w:r>
        <w:rPr>
          <w:rFonts w:eastAsia="Calibri"/>
        </w:rPr>
        <w:t xml:space="preserve"> </w:t>
      </w:r>
      <w:r w:rsidRPr="006913AF">
        <w:rPr>
          <w:rFonts w:eastAsia="Calibri"/>
        </w:rPr>
        <w:t>the best possible respondent to each</w:t>
      </w:r>
      <w:r>
        <w:rPr>
          <w:rFonts w:eastAsia="Calibri"/>
        </w:rPr>
        <w:t xml:space="preserve"> </w:t>
      </w:r>
      <w:r w:rsidRPr="006913AF">
        <w:rPr>
          <w:rFonts w:eastAsia="Calibri"/>
        </w:rPr>
        <w:t>individual generic submission.</w:t>
      </w:r>
      <w:r>
        <w:rPr>
          <w:rFonts w:eastAsia="Calibri"/>
        </w:rPr>
        <w:t xml:space="preserve">  </w:t>
      </w:r>
      <w:r w:rsidRPr="006913AF">
        <w:rPr>
          <w:rFonts w:eastAsia="Calibri"/>
        </w:rPr>
        <w:t>Respondents to individual requests</w:t>
      </w:r>
      <w:r>
        <w:rPr>
          <w:rFonts w:eastAsia="Calibri"/>
        </w:rPr>
        <w:t xml:space="preserve"> </w:t>
      </w:r>
      <w:r w:rsidRPr="006913AF">
        <w:rPr>
          <w:rFonts w:eastAsia="Calibri"/>
        </w:rPr>
        <w:t>made under the generic clearance, once</w:t>
      </w:r>
      <w:r>
        <w:rPr>
          <w:rFonts w:eastAsia="Calibri"/>
        </w:rPr>
        <w:t xml:space="preserve"> </w:t>
      </w:r>
      <w:r w:rsidRPr="006913AF">
        <w:rPr>
          <w:rFonts w:eastAsia="Calibri"/>
        </w:rPr>
        <w:t>approved by OMB, may include a wide</w:t>
      </w:r>
      <w:r>
        <w:rPr>
          <w:rFonts w:eastAsia="Calibri"/>
        </w:rPr>
        <w:t xml:space="preserve"> </w:t>
      </w:r>
      <w:r w:rsidRPr="006913AF">
        <w:rPr>
          <w:rFonts w:eastAsia="Calibri"/>
        </w:rPr>
        <w:t>range of consumers and other FDA</w:t>
      </w:r>
      <w:r>
        <w:rPr>
          <w:rFonts w:eastAsia="Calibri"/>
        </w:rPr>
        <w:t xml:space="preserve"> </w:t>
      </w:r>
      <w:r w:rsidRPr="006913AF">
        <w:rPr>
          <w:rFonts w:eastAsia="Calibri"/>
        </w:rPr>
        <w:t>stakeholders, such as producers and</w:t>
      </w:r>
      <w:r>
        <w:rPr>
          <w:rFonts w:eastAsia="Calibri"/>
        </w:rPr>
        <w:t xml:space="preserve"> </w:t>
      </w:r>
      <w:r w:rsidRPr="006913AF">
        <w:rPr>
          <w:rFonts w:eastAsia="Calibri"/>
        </w:rPr>
        <w:t>manufacturers who are regulated under</w:t>
      </w:r>
      <w:r>
        <w:rPr>
          <w:rFonts w:eastAsia="Calibri"/>
        </w:rPr>
        <w:t xml:space="preserve"> </w:t>
      </w:r>
      <w:r w:rsidRPr="006913AF">
        <w:rPr>
          <w:rFonts w:eastAsia="Calibri"/>
        </w:rPr>
        <w:t>FDA-regulated food, dietary</w:t>
      </w:r>
      <w:r>
        <w:rPr>
          <w:rFonts w:eastAsia="Calibri"/>
        </w:rPr>
        <w:t xml:space="preserve"> </w:t>
      </w:r>
      <w:r w:rsidRPr="006913AF">
        <w:rPr>
          <w:rFonts w:eastAsia="Calibri"/>
        </w:rPr>
        <w:t>supplements, cosmetics, and animal</w:t>
      </w:r>
      <w:r>
        <w:rPr>
          <w:rFonts w:eastAsia="Calibri"/>
        </w:rPr>
        <w:t xml:space="preserve"> </w:t>
      </w:r>
      <w:r w:rsidRPr="006913AF">
        <w:rPr>
          <w:rFonts w:eastAsia="Calibri"/>
        </w:rPr>
        <w:t>food and feed.</w:t>
      </w:r>
      <w:r>
        <w:rPr>
          <w:rFonts w:eastAsia="Calibri"/>
        </w:rPr>
        <w:t xml:space="preserve"> </w:t>
      </w:r>
      <w:r w:rsidRPr="006913AF">
        <w:rPr>
          <w:rFonts w:eastAsia="Calibri"/>
        </w:rPr>
        <w:t xml:space="preserve"> Participation is</w:t>
      </w:r>
      <w:r>
        <w:rPr>
          <w:rFonts w:eastAsia="Calibri"/>
        </w:rPr>
        <w:t xml:space="preserve"> </w:t>
      </w:r>
      <w:r w:rsidRPr="006913AF">
        <w:rPr>
          <w:rFonts w:eastAsia="Calibri"/>
        </w:rPr>
        <w:t>voluntary.</w:t>
      </w:r>
    </w:p>
    <w:p w:rsidR="00AE52BD" w:rsidP="00AE52BD" w14:paraId="5DE29478" w14:textId="77777777">
      <w:pPr>
        <w:rPr>
          <w:rFonts w:eastAsia="Calibri"/>
        </w:rPr>
      </w:pPr>
    </w:p>
    <w:p w:rsidR="00AE52BD" w:rsidRPr="00722F66" w:rsidP="00AE52BD" w14:paraId="5866A07A" w14:textId="77777777">
      <w:pPr>
        <w:rPr>
          <w:rFonts w:eastAsia="Calibri"/>
        </w:rPr>
      </w:pPr>
      <w:r w:rsidRPr="00C63602">
        <w:rPr>
          <w:rFonts w:eastAsia="Calibri"/>
        </w:rPr>
        <w:t xml:space="preserve">This generic clearance </w:t>
      </w:r>
      <w:r>
        <w:rPr>
          <w:rFonts w:eastAsia="Calibri"/>
        </w:rPr>
        <w:t xml:space="preserve">is necessary to enable </w:t>
      </w:r>
      <w:r w:rsidR="00321FAD">
        <w:rPr>
          <w:rFonts w:eastAsia="Calibri"/>
        </w:rPr>
        <w:t xml:space="preserve">HFP </w:t>
      </w:r>
      <w:r>
        <w:rPr>
          <w:rFonts w:eastAsia="Calibri"/>
        </w:rPr>
        <w:t xml:space="preserve">to </w:t>
      </w:r>
      <w:r w:rsidRPr="007B4C04">
        <w:rPr>
          <w:rFonts w:eastAsia="Calibri"/>
        </w:rPr>
        <w:t>understand stakeholders’ perceptions,</w:t>
      </w:r>
      <w:r>
        <w:rPr>
          <w:rFonts w:eastAsia="Calibri"/>
        </w:rPr>
        <w:t xml:space="preserve"> </w:t>
      </w:r>
      <w:r w:rsidRPr="007B4C04">
        <w:rPr>
          <w:rFonts w:eastAsia="Calibri"/>
        </w:rPr>
        <w:t>attitudes, motivations, and behaviors</w:t>
      </w:r>
      <w:r>
        <w:rPr>
          <w:rFonts w:eastAsia="Calibri"/>
        </w:rPr>
        <w:t xml:space="preserve">.  </w:t>
      </w:r>
      <w:r w:rsidRPr="007B4C04">
        <w:rPr>
          <w:rFonts w:eastAsia="Calibri"/>
        </w:rPr>
        <w:t>To ensure that communications</w:t>
      </w:r>
      <w:r>
        <w:rPr>
          <w:rFonts w:eastAsia="Calibri"/>
        </w:rPr>
        <w:t xml:space="preserve"> </w:t>
      </w:r>
      <w:r w:rsidRPr="007B4C04">
        <w:rPr>
          <w:rFonts w:eastAsia="Calibri"/>
        </w:rPr>
        <w:t>activities have the highest effect,</w:t>
      </w:r>
      <w:r>
        <w:rPr>
          <w:rFonts w:eastAsia="Calibri"/>
        </w:rPr>
        <w:t xml:space="preserve"> </w:t>
      </w:r>
      <w:r w:rsidRPr="007B4C04">
        <w:rPr>
          <w:rFonts w:eastAsia="Calibri"/>
        </w:rPr>
        <w:t>we</w:t>
      </w:r>
      <w:r>
        <w:rPr>
          <w:rFonts w:eastAsia="Calibri"/>
        </w:rPr>
        <w:t xml:space="preserve"> </w:t>
      </w:r>
      <w:r w:rsidRPr="007B4C04">
        <w:rPr>
          <w:rFonts w:eastAsia="Calibri"/>
        </w:rPr>
        <w:t>will conduct research and studies</w:t>
      </w:r>
      <w:r>
        <w:rPr>
          <w:rFonts w:eastAsia="Calibri"/>
        </w:rPr>
        <w:t xml:space="preserve"> </w:t>
      </w:r>
      <w:r w:rsidRPr="007B4C04">
        <w:rPr>
          <w:rFonts w:eastAsia="Calibri"/>
        </w:rPr>
        <w:t>relating to the control and prevention of</w:t>
      </w:r>
      <w:r>
        <w:rPr>
          <w:rFonts w:eastAsia="Calibri"/>
        </w:rPr>
        <w:t xml:space="preserve"> </w:t>
      </w:r>
      <w:r w:rsidRPr="007B4C04">
        <w:rPr>
          <w:rFonts w:eastAsia="Calibri"/>
        </w:rPr>
        <w:t>disease and the safety and health of the</w:t>
      </w:r>
      <w:r>
        <w:rPr>
          <w:rFonts w:eastAsia="Calibri"/>
        </w:rPr>
        <w:t xml:space="preserve"> </w:t>
      </w:r>
      <w:r w:rsidRPr="007B4C04">
        <w:rPr>
          <w:rFonts w:eastAsia="Calibri"/>
        </w:rPr>
        <w:t xml:space="preserve">public. </w:t>
      </w:r>
      <w:r>
        <w:rPr>
          <w:rFonts w:eastAsia="Calibri"/>
        </w:rPr>
        <w:t xml:space="preserve"> We intend to collect qualitative </w:t>
      </w:r>
      <w:r w:rsidRPr="00722F66">
        <w:rPr>
          <w:rFonts w:eastAsia="Calibri"/>
        </w:rPr>
        <w:t xml:space="preserve">information </w:t>
      </w:r>
      <w:r>
        <w:rPr>
          <w:rFonts w:eastAsia="Calibri"/>
        </w:rPr>
        <w:t xml:space="preserve">that </w:t>
      </w:r>
      <w:r w:rsidRPr="00722F66">
        <w:rPr>
          <w:rFonts w:eastAsia="Calibri"/>
        </w:rPr>
        <w:t>will be used to inform the regulatory science knowledge base, as well as to explore areas of interest and assist in the development of quantitative study proposals, complementing other important research efforts in the agency.  Th</w:t>
      </w:r>
      <w:r>
        <w:rPr>
          <w:rFonts w:eastAsia="Calibri"/>
        </w:rPr>
        <w:t xml:space="preserve">e </w:t>
      </w:r>
      <w:r w:rsidRPr="00722F66">
        <w:rPr>
          <w:rFonts w:eastAsia="Calibri"/>
        </w:rPr>
        <w:t xml:space="preserve">information </w:t>
      </w:r>
      <w:r>
        <w:rPr>
          <w:rFonts w:eastAsia="Calibri"/>
        </w:rPr>
        <w:t xml:space="preserve">gathered </w:t>
      </w:r>
      <w:r w:rsidRPr="00722F66">
        <w:rPr>
          <w:rFonts w:eastAsia="Calibri"/>
        </w:rPr>
        <w:t>may also be used to help develop communications and educational messages related to public health.</w:t>
      </w:r>
      <w:r w:rsidRPr="007B4C04">
        <w:rPr>
          <w:rFonts w:eastAsia="Calibri"/>
        </w:rPr>
        <w:t xml:space="preserve"> </w:t>
      </w:r>
    </w:p>
    <w:p w:rsidR="00AE52BD" w:rsidP="00AE52BD" w14:paraId="74273CD6" w14:textId="77777777">
      <w:pPr>
        <w:rPr>
          <w:rFonts w:eastAsia="Calibri"/>
        </w:rPr>
      </w:pPr>
    </w:p>
    <w:p w:rsidR="00AE52BD" w:rsidP="00AE52BD" w14:paraId="2055D9C0" w14:textId="77777777">
      <w:pPr>
        <w:rPr>
          <w:rFonts w:eastAsia="Calibri"/>
        </w:rPr>
      </w:pPr>
      <w:r w:rsidRPr="005C71CA">
        <w:rPr>
          <w:rFonts w:eastAsia="Calibri"/>
        </w:rPr>
        <w:t>We therefore request</w:t>
      </w:r>
      <w:r>
        <w:rPr>
          <w:rFonts w:eastAsia="Calibri"/>
        </w:rPr>
        <w:t xml:space="preserve"> extension of </w:t>
      </w:r>
      <w:r w:rsidRPr="005C71CA">
        <w:rPr>
          <w:rFonts w:eastAsia="Calibri"/>
        </w:rPr>
        <w:t>approval</w:t>
      </w:r>
      <w:r>
        <w:rPr>
          <w:rFonts w:eastAsia="Calibri"/>
        </w:rPr>
        <w:t xml:space="preserve"> </w:t>
      </w:r>
      <w:r w:rsidRPr="005C71CA">
        <w:rPr>
          <w:rFonts w:eastAsia="Calibri"/>
        </w:rPr>
        <w:t>f</w:t>
      </w:r>
      <w:r>
        <w:rPr>
          <w:rFonts w:eastAsia="Calibri"/>
        </w:rPr>
        <w:t>or</w:t>
      </w:r>
      <w:r w:rsidRPr="005C71CA">
        <w:rPr>
          <w:rFonts w:eastAsia="Calibri"/>
        </w:rPr>
        <w:t xml:space="preserve"> </w:t>
      </w:r>
      <w:r>
        <w:rPr>
          <w:rFonts w:eastAsia="Calibri"/>
        </w:rPr>
        <w:t xml:space="preserve">the generic collection </w:t>
      </w:r>
      <w:r w:rsidRPr="005C71CA">
        <w:rPr>
          <w:rFonts w:eastAsia="Calibri"/>
        </w:rPr>
        <w:t>as discussed in this supporting statement</w:t>
      </w:r>
      <w:r>
        <w:rPr>
          <w:rFonts w:eastAsia="Calibri"/>
        </w:rPr>
        <w:t>, and administered in accordance with methodologies described in our supporting statement part B.</w:t>
      </w:r>
    </w:p>
    <w:p w:rsidR="00A82760" w:rsidP="00AE52BD" w14:paraId="188F65E8" w14:textId="77777777">
      <w:pPr>
        <w:rPr>
          <w:rFonts w:eastAsia="Calibri"/>
        </w:rPr>
      </w:pPr>
    </w:p>
    <w:p w:rsidR="00357C8A" w:rsidRPr="00357C8A" w:rsidP="006705EA" w14:paraId="50452FE0" w14:textId="77777777">
      <w:pPr>
        <w:numPr>
          <w:ilvl w:val="0"/>
          <w:numId w:val="6"/>
        </w:numPr>
        <w:spacing w:after="200" w:line="276" w:lineRule="auto"/>
        <w:rPr>
          <w:rFonts w:eastAsia="Calibri"/>
          <w:u w:val="single"/>
        </w:rPr>
      </w:pPr>
      <w:r w:rsidRPr="00357C8A">
        <w:rPr>
          <w:rFonts w:eastAsia="Calibri"/>
          <w:u w:val="single"/>
        </w:rPr>
        <w:t xml:space="preserve">Purpose and Use of the Information Collection </w:t>
      </w:r>
    </w:p>
    <w:p w:rsidR="00AE52BD" w:rsidRPr="00AE52BD" w:rsidP="00AE52BD" w14:paraId="094A7FDE" w14:textId="40B2F8BB">
      <w:r w:rsidRPr="00AE52BD">
        <w:t>Consistent with OMB communication on flexibilities under the PRA</w:t>
      </w:r>
      <w:r>
        <w:rPr>
          <w:vertAlign w:val="superscript"/>
        </w:rPr>
        <w:footnoteReference w:id="2"/>
      </w:r>
      <w:r w:rsidRPr="00AE52BD">
        <w:t xml:space="preserve"> and the use of Generic Clearance, individual submission requests will be those we believe are low in burden, similar in nature, and do not raise any substantive or policy issues.  In conducting studies relating to the control and prevention of diet-related disease, foodborne illness and other adverse events related to food, dietary supplements, </w:t>
      </w:r>
      <w:r w:rsidRPr="005E55A7" w:rsidR="005E55A7">
        <w:t>cosmetic</w:t>
      </w:r>
      <w:r w:rsidR="005E55A7">
        <w:t>s,</w:t>
      </w:r>
      <w:r w:rsidRPr="005E55A7" w:rsidR="005E55A7">
        <w:t xml:space="preserve"> </w:t>
      </w:r>
      <w:r w:rsidRPr="00AE52BD">
        <w:t>and animal food and feed, FDA will need to employ qualitative research to assess knowledge and perceptions about topics in the above</w:t>
      </w:r>
      <w:r w:rsidR="00DF379C">
        <w:t>-</w:t>
      </w:r>
      <w:r w:rsidRPr="00AE52BD">
        <w:t>mentioned areas with specific target audiences.</w:t>
      </w:r>
    </w:p>
    <w:p w:rsidR="00AE52BD" w:rsidRPr="00AE52BD" w:rsidP="00AE52BD" w14:paraId="0A1812D0" w14:textId="77777777"/>
    <w:p w:rsidR="00AE52BD" w:rsidRPr="00AE52BD" w:rsidP="00AE52BD" w14:paraId="58965AA7" w14:textId="77777777">
      <w:r w:rsidRPr="00AE52BD">
        <w:t xml:space="preserve">Therefore, FDA will collect, analyze, and interpret information gathered through this generic clearance in order to: (1) gain an in-depth understanding of a pertinent research area and topic; (2) better understand characteristics of the target audience—its perceptions, knowledge, attitudes, beliefs, and behaviors—and use these in the development of appropriate survey/research questions, study stimuli, and materials directed to consumers and industry; (3) more efficiently and effectively design survey/research questions and study stimuli; and (4) more efficiently and effectively design experimental studies; and </w:t>
      </w:r>
    </w:p>
    <w:p w:rsidR="00AE52BD" w:rsidRPr="00AE52BD" w:rsidP="00AE52BD" w14:paraId="1B208F23" w14:textId="77777777">
      <w:pPr>
        <w:spacing w:before="100" w:beforeAutospacing="1" w:after="100" w:afterAutospacing="1"/>
      </w:pPr>
      <w:r w:rsidRPr="00AE52BD">
        <w:t xml:space="preserve">FDA will only submit a collection for approval under this generic clearance if it meets the following conditions:   </w:t>
      </w:r>
    </w:p>
    <w:p w:rsidR="00AE52BD" w:rsidRPr="00AE52BD" w:rsidP="00AE52BD" w14:paraId="4B1FFCB8" w14:textId="77777777">
      <w:pPr>
        <w:numPr>
          <w:ilvl w:val="0"/>
          <w:numId w:val="9"/>
        </w:numPr>
        <w:spacing w:before="100" w:beforeAutospacing="1" w:after="100" w:afterAutospacing="1"/>
        <w:contextualSpacing/>
      </w:pPr>
      <w:r w:rsidRPr="00AE52BD">
        <w:t xml:space="preserve">The collections are </w:t>
      </w:r>
      <w:r w:rsidRPr="00AE52BD">
        <w:t>voluntary;</w:t>
      </w:r>
    </w:p>
    <w:p w:rsidR="00AE52BD" w:rsidRPr="00AE52BD" w:rsidP="00AE52BD" w14:paraId="252EF1DE" w14:textId="77777777">
      <w:pPr>
        <w:numPr>
          <w:ilvl w:val="0"/>
          <w:numId w:val="9"/>
        </w:numPr>
        <w:spacing w:before="100" w:beforeAutospacing="1" w:after="100" w:afterAutospacing="1"/>
        <w:contextualSpacing/>
      </w:pPr>
      <w:r w:rsidRPr="00AE52BD">
        <w:t xml:space="preserve">The collections are low burden for participants (based on considerations of total burden hours, total number of participants, or burden hours per participant) and are low cost for both the participants and the Federal </w:t>
      </w:r>
      <w:r w:rsidRPr="00AE52BD">
        <w:t>Government;</w:t>
      </w:r>
    </w:p>
    <w:p w:rsidR="00AE52BD" w:rsidRPr="00AE52BD" w:rsidP="00AE52BD" w14:paraId="15018F05" w14:textId="77777777">
      <w:pPr>
        <w:numPr>
          <w:ilvl w:val="0"/>
          <w:numId w:val="9"/>
        </w:numPr>
        <w:spacing w:before="100" w:beforeAutospacing="1" w:after="100" w:afterAutospacing="1"/>
        <w:contextualSpacing/>
      </w:pPr>
      <w:r w:rsidRPr="00AE52BD">
        <w:t xml:space="preserve">The collections are </w:t>
      </w:r>
      <w:r w:rsidRPr="00AE52BD">
        <w:t>noncontroversial;</w:t>
      </w:r>
      <w:r w:rsidRPr="00AE52BD">
        <w:t xml:space="preserve"> </w:t>
      </w:r>
    </w:p>
    <w:p w:rsidR="00AE52BD" w:rsidRPr="00AE52BD" w:rsidP="00AE52BD" w14:paraId="77D85D39" w14:textId="77777777">
      <w:pPr>
        <w:numPr>
          <w:ilvl w:val="0"/>
          <w:numId w:val="9"/>
        </w:numPr>
        <w:spacing w:before="100" w:beforeAutospacing="1" w:after="100" w:afterAutospacing="1"/>
        <w:contextualSpacing/>
      </w:pPr>
      <w:r w:rsidRPr="00AE52BD">
        <w:t>Personally identifiable information (PII) is collected only to the extent necessary</w:t>
      </w:r>
      <w:r>
        <w:rPr>
          <w:vertAlign w:val="superscript"/>
        </w:rPr>
        <w:footnoteReference w:id="3"/>
      </w:r>
      <w:r w:rsidRPr="00AE52BD">
        <w:t xml:space="preserve"> and is not </w:t>
      </w:r>
      <w:r w:rsidRPr="00AE52BD">
        <w:t>retained;</w:t>
      </w:r>
    </w:p>
    <w:p w:rsidR="00AE52BD" w:rsidRPr="00AE52BD" w:rsidP="00AE52BD" w14:paraId="427D4C91" w14:textId="77777777">
      <w:pPr>
        <w:numPr>
          <w:ilvl w:val="0"/>
          <w:numId w:val="10"/>
        </w:numPr>
        <w:spacing w:before="100" w:beforeAutospacing="1" w:after="100" w:afterAutospacing="1"/>
        <w:contextualSpacing/>
      </w:pPr>
      <w:r w:rsidRPr="00AE52BD">
        <w:t>Information gathered will not be used for substantially informing influential policy decisions;</w:t>
      </w:r>
      <w:r>
        <w:rPr>
          <w:vertAlign w:val="superscript"/>
        </w:rPr>
        <w:footnoteReference w:id="4"/>
      </w:r>
      <w:r w:rsidRPr="00AE52BD">
        <w:t xml:space="preserve"> and</w:t>
      </w:r>
    </w:p>
    <w:p w:rsidR="00DF379C" w:rsidP="00AE52BD" w14:paraId="7AD7701F" w14:textId="77777777">
      <w:pPr>
        <w:numPr>
          <w:ilvl w:val="0"/>
          <w:numId w:val="9"/>
        </w:numPr>
        <w:spacing w:before="100" w:beforeAutospacing="1" w:after="100" w:afterAutospacing="1"/>
        <w:contextualSpacing/>
      </w:pPr>
      <w:r w:rsidRPr="00AE52BD">
        <w:t>Information gathered will yield qualitative information; the collections will not be designed or expected to yield statistical data or used as though the results are generalizable to the population of study. </w:t>
      </w:r>
    </w:p>
    <w:p w:rsidR="00AE52BD" w:rsidRPr="00AE52BD" w:rsidP="001803BE" w14:paraId="5BEF3010" w14:textId="5B5C312D">
      <w:pPr>
        <w:spacing w:before="100" w:beforeAutospacing="1" w:after="100" w:afterAutospacing="1"/>
        <w:ind w:left="720"/>
        <w:contextualSpacing/>
      </w:pPr>
      <w:r w:rsidRPr="00AE52BD">
        <w:t xml:space="preserve"> </w:t>
      </w:r>
    </w:p>
    <w:p w:rsidR="00AE52BD" w:rsidRPr="00AE52BD" w:rsidP="00AE52BD" w14:paraId="0213CA68" w14:textId="77777777">
      <w:pPr>
        <w:spacing w:before="100" w:beforeAutospacing="1" w:after="100" w:afterAutospacing="1"/>
      </w:pPr>
      <w:r w:rsidRPr="00AE52BD">
        <w:t>To obtain approval for a collection that meets the conditions of this generic clearance, an abbreviated supporting statement will be submitted to OMB along with supporting documentation (e.g., a copy of the interview or moderator guide, screening questionnaire).</w:t>
      </w:r>
    </w:p>
    <w:p w:rsidR="00AE52BD" w:rsidRPr="00AE52BD" w:rsidP="00AE52BD" w14:paraId="4C489D2C" w14:textId="77777777">
      <w:pPr>
        <w:spacing w:before="100" w:beforeAutospacing="1" w:after="100" w:afterAutospacing="1"/>
      </w:pPr>
      <w:r w:rsidRPr="00AE52BD">
        <w:t xml:space="preserve">The types of collections that this generic clearance </w:t>
      </w:r>
      <w:r w:rsidRPr="00AE52BD">
        <w:t>covers include</w:t>
      </w:r>
      <w:r w:rsidRPr="00AE52BD">
        <w:t>, but are not limited to:</w:t>
      </w:r>
    </w:p>
    <w:p w:rsidR="00AE52BD" w:rsidRPr="00AE52BD" w:rsidP="00AE52BD" w14:paraId="18C26CF7" w14:textId="77777777">
      <w:pPr>
        <w:numPr>
          <w:ilvl w:val="0"/>
          <w:numId w:val="11"/>
        </w:numPr>
        <w:spacing w:before="100" w:beforeAutospacing="1" w:after="100" w:afterAutospacing="1"/>
        <w:contextualSpacing/>
      </w:pPr>
      <w:r w:rsidRPr="00AE52BD">
        <w:rPr>
          <w:rFonts w:eastAsia="Calibri"/>
        </w:rPr>
        <w:t>Individual in-depth interviews (IDIs)</w:t>
      </w:r>
    </w:p>
    <w:p w:rsidR="00AE52BD" w:rsidRPr="00AE52BD" w:rsidP="00AE52BD" w14:paraId="75DB1140" w14:textId="77777777">
      <w:pPr>
        <w:numPr>
          <w:ilvl w:val="0"/>
          <w:numId w:val="11"/>
        </w:numPr>
        <w:spacing w:before="100" w:beforeAutospacing="1" w:after="100" w:afterAutospacing="1"/>
        <w:contextualSpacing/>
      </w:pPr>
      <w:r w:rsidRPr="00AE52BD">
        <w:t xml:space="preserve">Focus Groups </w:t>
      </w:r>
    </w:p>
    <w:p w:rsidR="00AE52BD" w:rsidRPr="00AE52BD" w:rsidP="00AE52BD" w14:paraId="7031B610" w14:textId="77777777">
      <w:pPr>
        <w:numPr>
          <w:ilvl w:val="0"/>
          <w:numId w:val="11"/>
        </w:numPr>
        <w:spacing w:before="100" w:beforeAutospacing="1" w:after="100" w:afterAutospacing="1"/>
        <w:contextualSpacing/>
      </w:pPr>
      <w:r w:rsidRPr="00AE52BD">
        <w:t xml:space="preserve">Small Group Discussions </w:t>
      </w:r>
    </w:p>
    <w:p w:rsidR="00AE52BD" w:rsidP="00AE52BD" w14:paraId="3E2280B8" w14:textId="77777777">
      <w:pPr>
        <w:numPr>
          <w:ilvl w:val="0"/>
          <w:numId w:val="11"/>
        </w:numPr>
        <w:spacing w:before="100" w:beforeAutospacing="1" w:after="100" w:afterAutospacing="1"/>
        <w:contextualSpacing/>
      </w:pPr>
      <w:r w:rsidRPr="00AE52BD">
        <w:t xml:space="preserve">Observations </w:t>
      </w:r>
    </w:p>
    <w:p w:rsidR="00A82760" w:rsidRPr="00AE52BD" w:rsidP="00AB1F30" w14:paraId="4CB0E4E4" w14:textId="77777777">
      <w:pPr>
        <w:spacing w:before="100" w:beforeAutospacing="1" w:after="100" w:afterAutospacing="1"/>
        <w:contextualSpacing/>
      </w:pPr>
    </w:p>
    <w:p w:rsidR="00357C8A" w:rsidRPr="00357C8A" w:rsidP="006705EA" w14:paraId="3949D4B2" w14:textId="77777777">
      <w:pPr>
        <w:numPr>
          <w:ilvl w:val="0"/>
          <w:numId w:val="6"/>
        </w:numPr>
        <w:spacing w:after="200" w:line="276" w:lineRule="auto"/>
        <w:rPr>
          <w:rFonts w:eastAsia="Calibri"/>
          <w:u w:val="single"/>
        </w:rPr>
      </w:pPr>
      <w:r w:rsidRPr="00357C8A">
        <w:rPr>
          <w:rFonts w:eastAsia="Calibri"/>
          <w:u w:val="single"/>
        </w:rPr>
        <w:t>Use of Improved Information Technology and Burden Reduction</w:t>
      </w:r>
    </w:p>
    <w:p w:rsidR="00AE52BD" w:rsidRPr="00AD1A80" w:rsidP="00AE52BD" w14:paraId="607190A5" w14:textId="12AD2B51">
      <w:pPr>
        <w:spacing w:before="100" w:beforeAutospacing="1" w:after="100" w:afterAutospacing="1"/>
      </w:pPr>
      <w:r w:rsidRPr="00B77285">
        <w:t xml:space="preserve">Consideration will be given to collecting information electronically or using online collaboration tools to reduce burden. </w:t>
      </w:r>
      <w:r>
        <w:t xml:space="preserve"> </w:t>
      </w:r>
      <w:r w:rsidRPr="00B77285">
        <w:t xml:space="preserve">Therefore, approximately </w:t>
      </w:r>
      <w:r>
        <w:t>8</w:t>
      </w:r>
      <w:r w:rsidRPr="00B77285">
        <w:t>5 percent of these information collections wi</w:t>
      </w:r>
      <w:r>
        <w:t>ll be completed electronically.</w:t>
      </w:r>
      <w:r w:rsidRPr="00621CEC">
        <w:t xml:space="preserve"> </w:t>
      </w:r>
      <w:r w:rsidR="00DF379C">
        <w:t xml:space="preserve"> </w:t>
      </w:r>
      <w:r>
        <w:t>To facilitate interpretation, discussions are recorded and videotaped (when appropriate) so that both a visual record and written transcript of the discussion are available for review.</w:t>
      </w:r>
    </w:p>
    <w:p w:rsidR="00357C8A" w:rsidRPr="00357C8A" w:rsidP="006705EA" w14:paraId="7FC6FDED" w14:textId="77777777">
      <w:pPr>
        <w:numPr>
          <w:ilvl w:val="0"/>
          <w:numId w:val="6"/>
        </w:numPr>
        <w:spacing w:after="200" w:line="276" w:lineRule="auto"/>
        <w:rPr>
          <w:rFonts w:eastAsia="Calibri"/>
        </w:rPr>
      </w:pPr>
      <w:r w:rsidRPr="00357C8A">
        <w:rPr>
          <w:rFonts w:eastAsia="Calibri"/>
          <w:u w:val="single"/>
        </w:rPr>
        <w:t xml:space="preserve">Efforts to Identify Duplication and Use of Similar Information </w:t>
      </w:r>
    </w:p>
    <w:p w:rsidR="00AE52BD" w:rsidRPr="00B77285" w:rsidP="00AE52BD" w14:paraId="10087432" w14:textId="72300D02">
      <w:pPr>
        <w:spacing w:before="100" w:beforeAutospacing="1" w:after="100" w:afterAutospacing="1"/>
      </w:pPr>
      <w:r w:rsidRPr="00B77285">
        <w:t xml:space="preserve">As each new research study is developed, FDA will review existing literature and databases, including pretesting reports on existing messages and materials.  FDA will also consult with outside experts to evaluate available information on similar messages with comparable audiences. </w:t>
      </w:r>
      <w:r>
        <w:t xml:space="preserve"> </w:t>
      </w:r>
      <w:r w:rsidRPr="00B77285">
        <w:t xml:space="preserve">FDA will work with other HHS agencies responsible for communicating about food, dietary supplements, </w:t>
      </w:r>
      <w:r w:rsidRPr="007E4BF3" w:rsidR="007E4BF3">
        <w:t>cosmetic</w:t>
      </w:r>
      <w:r w:rsidR="007E4BF3">
        <w:t>s,</w:t>
      </w:r>
      <w:r w:rsidRPr="007E4BF3" w:rsidR="007E4BF3">
        <w:t xml:space="preserve"> </w:t>
      </w:r>
      <w:r w:rsidRPr="00B77285">
        <w:t xml:space="preserve">and animal food and feed with the </w:t>
      </w:r>
      <w:r w:rsidRPr="00B77285">
        <w:t>general public</w:t>
      </w:r>
      <w:r w:rsidRPr="00B77285">
        <w:t xml:space="preserve">. </w:t>
      </w:r>
    </w:p>
    <w:p w:rsidR="00AE52BD" w:rsidRPr="00B77285" w:rsidP="00AE52BD" w14:paraId="2F5E68D3" w14:textId="387007E1">
      <w:pPr>
        <w:rPr>
          <w:color w:val="000000"/>
        </w:rPr>
      </w:pPr>
      <w:r w:rsidRPr="00B77285">
        <w:t xml:space="preserve">However, because communications to consumers, surveys, and studies about food, dietary supplements, </w:t>
      </w:r>
      <w:r w:rsidRPr="007E4BF3" w:rsidR="007E4BF3">
        <w:t>cosmetic</w:t>
      </w:r>
      <w:r w:rsidR="007E4BF3">
        <w:t>s,</w:t>
      </w:r>
      <w:r w:rsidRPr="007E4BF3" w:rsidR="007E4BF3">
        <w:t xml:space="preserve"> </w:t>
      </w:r>
      <w:r w:rsidRPr="00B77285">
        <w:t xml:space="preserve">and animal food and feed will be diverse and vary by target audience, new data collection instruments generally will be prepared for each </w:t>
      </w:r>
      <w:r w:rsidRPr="00B77285">
        <w:rPr>
          <w:color w:val="000000"/>
        </w:rPr>
        <w:t>qualitative study.</w:t>
      </w:r>
      <w:r w:rsidRPr="00B77285">
        <w:t xml:space="preserve">  </w:t>
      </w:r>
    </w:p>
    <w:p w:rsidR="00AE52BD" w:rsidRPr="00AD1A80" w:rsidP="00AE52BD" w14:paraId="53E82524" w14:textId="77777777">
      <w:pPr>
        <w:spacing w:before="100" w:beforeAutospacing="1" w:after="100" w:afterAutospacing="1"/>
      </w:pPr>
      <w:r w:rsidRPr="00B77285">
        <w:t xml:space="preserve">Therefore, data collected by FDA is unique. </w:t>
      </w:r>
      <w:r>
        <w:t xml:space="preserve"> </w:t>
      </w:r>
      <w:r w:rsidRPr="00B77285">
        <w:t xml:space="preserve">Coordination with other agencies ensures that duplicative data is not being gathered.  Further, with each new qualitative data collection, FDA will ensure that no similar data are gathered or maintained by FDA or are available from other sources known to FDA. </w:t>
      </w:r>
      <w:r>
        <w:t xml:space="preserve"> </w:t>
      </w:r>
      <w:r w:rsidRPr="005C71CA">
        <w:t>We are unaware of dupl</w:t>
      </w:r>
      <w:r>
        <w:t>icative information collection.</w:t>
      </w:r>
    </w:p>
    <w:p w:rsidR="00357C8A" w:rsidRPr="00357C8A" w:rsidP="006705EA" w14:paraId="0BE5C2A7" w14:textId="77777777">
      <w:pPr>
        <w:numPr>
          <w:ilvl w:val="0"/>
          <w:numId w:val="6"/>
        </w:numPr>
        <w:spacing w:after="200" w:line="276" w:lineRule="auto"/>
        <w:rPr>
          <w:rFonts w:eastAsia="Calibri"/>
        </w:rPr>
      </w:pPr>
      <w:r w:rsidRPr="00357C8A">
        <w:rPr>
          <w:rFonts w:eastAsia="Calibri"/>
          <w:u w:val="single"/>
        </w:rPr>
        <w:t>Impact on Small Businesses or Other Small Entities</w:t>
      </w:r>
    </w:p>
    <w:p w:rsidR="00AE52BD" w:rsidRPr="00AD1A80" w:rsidP="00AE52BD" w14:paraId="08693BB7" w14:textId="77777777">
      <w:pPr>
        <w:pStyle w:val="ListParagraph"/>
        <w:spacing w:before="100" w:beforeAutospacing="1" w:after="100" w:afterAutospacing="1"/>
        <w:ind w:left="0"/>
      </w:pPr>
      <w:r w:rsidRPr="00B77285">
        <w:t xml:space="preserve">Small businesses, or other small entities, may be involved in efforts related to collections of information approved under this clearance. </w:t>
      </w:r>
      <w:r>
        <w:t xml:space="preserve"> </w:t>
      </w:r>
      <w:r w:rsidRPr="00B77285">
        <w:t>However, FDA will minimize the effect and burden on them by sampling appropriately</w:t>
      </w:r>
      <w:r>
        <w:t>.</w:t>
      </w:r>
    </w:p>
    <w:p w:rsidR="00357C8A" w:rsidRPr="00357C8A" w:rsidP="006705EA" w14:paraId="4824940D" w14:textId="77777777">
      <w:pPr>
        <w:numPr>
          <w:ilvl w:val="0"/>
          <w:numId w:val="6"/>
        </w:numPr>
        <w:spacing w:after="200" w:line="276" w:lineRule="auto"/>
        <w:rPr>
          <w:rFonts w:eastAsia="Calibri"/>
          <w:u w:val="single"/>
        </w:rPr>
      </w:pPr>
      <w:r w:rsidRPr="00357C8A">
        <w:rPr>
          <w:rFonts w:eastAsia="Calibri"/>
          <w:u w:val="single"/>
        </w:rPr>
        <w:t xml:space="preserve">Consequences of Collecting </w:t>
      </w:r>
      <w:r w:rsidRPr="00357C8A">
        <w:rPr>
          <w:rFonts w:eastAsia="Calibri"/>
          <w:u w:val="single"/>
        </w:rPr>
        <w:t>the Information</w:t>
      </w:r>
      <w:r w:rsidRPr="00357C8A">
        <w:rPr>
          <w:rFonts w:eastAsia="Calibri"/>
          <w:u w:val="single"/>
        </w:rPr>
        <w:t xml:space="preserve"> Less Frequently</w:t>
      </w:r>
    </w:p>
    <w:p w:rsidR="00AE52BD" w:rsidRPr="00B77285" w:rsidP="00AE52BD" w14:paraId="3E5095E2" w14:textId="470EC5AE">
      <w:pPr>
        <w:spacing w:before="100" w:beforeAutospacing="1" w:after="100" w:afterAutospacing="1"/>
      </w:pPr>
      <w:r w:rsidRPr="00B77285">
        <w:t xml:space="preserve">Qualitative information is often used as a first step to explore concepts of interest and assist in the development of quantitative study proposals. </w:t>
      </w:r>
      <w:r>
        <w:t xml:space="preserve"> </w:t>
      </w:r>
      <w:r w:rsidRPr="00B77285">
        <w:t xml:space="preserve">The collection of timely data will be important to the development and conduct of ongoing and future research efforts at the Agency. </w:t>
      </w:r>
      <w:r w:rsidR="00FB42A8">
        <w:t xml:space="preserve"> </w:t>
      </w:r>
      <w:r w:rsidRPr="00B77285">
        <w:t>Without feedback about consumer knowledge and perceptions, FDA will not have timely information to adjust its survey/research questions, study stimuli</w:t>
      </w:r>
      <w:r w:rsidR="006A0DE2">
        <w:t>,</w:t>
      </w:r>
      <w:r w:rsidRPr="00B77285">
        <w:t xml:space="preserve"> and draft communication messages</w:t>
      </w:r>
      <w:r>
        <w:t>.</w:t>
      </w:r>
      <w:r w:rsidRPr="00B77285">
        <w:t xml:space="preserve"> </w:t>
      </w:r>
    </w:p>
    <w:p w:rsidR="00AE52BD" w:rsidP="00AE52BD" w14:paraId="3492CCCE" w14:textId="3CEB09D9">
      <w:pPr>
        <w:spacing w:before="100" w:beforeAutospacing="1" w:after="100" w:afterAutospacing="1"/>
      </w:pPr>
      <w:r w:rsidRPr="00B77285">
        <w:t xml:space="preserve">Qualitative research methods may also be used to help develop materials directed at consumers and industry. </w:t>
      </w:r>
      <w:r>
        <w:t xml:space="preserve"> </w:t>
      </w:r>
      <w:r w:rsidRPr="00B77285">
        <w:t xml:space="preserve">FDA </w:t>
      </w:r>
      <w:r w:rsidRPr="00B77285">
        <w:t>is using</w:t>
      </w:r>
      <w:r w:rsidRPr="00B77285">
        <w:t xml:space="preserve"> a variety of messages and materials to inform and educate the public about food, dietary </w:t>
      </w:r>
      <w:r w:rsidRPr="00B77285" w:rsidR="00A82760">
        <w:t>supplements,</w:t>
      </w:r>
      <w:r w:rsidRPr="00B77285">
        <w:t xml:space="preserve"> </w:t>
      </w:r>
      <w:r w:rsidRPr="006E5EFA" w:rsidR="006E5EFA">
        <w:t>cosmetic</w:t>
      </w:r>
      <w:r w:rsidR="006E5EFA">
        <w:t>s, and</w:t>
      </w:r>
      <w:r w:rsidRPr="006E5EFA" w:rsidR="006E5EFA">
        <w:t xml:space="preserve"> </w:t>
      </w:r>
      <w:r w:rsidRPr="00B77285">
        <w:t xml:space="preserve">animal food and feed.  Communicating effectively on these topics involves conveying complex concepts, and without detailed data from qualitative testing, FDA cannot fully ensure that these messages and materials directed at consumers are serving their intended purpose.  Thus, </w:t>
      </w:r>
      <w:r w:rsidR="000D2E42">
        <w:t xml:space="preserve">without qualitative testing, </w:t>
      </w:r>
      <w:r w:rsidRPr="00B77285">
        <w:t>FDA could spend a large amount of money on communications, surveys, or other studies that are ineffective in achieving the intended purpose of reducing costs to people’s lives and</w:t>
      </w:r>
      <w:r>
        <w:t xml:space="preserve"> to the government.</w:t>
      </w:r>
    </w:p>
    <w:p w:rsidR="00357C8A" w:rsidRPr="00357C8A" w:rsidP="006705EA" w14:paraId="7EC7BC2B" w14:textId="77777777">
      <w:pPr>
        <w:numPr>
          <w:ilvl w:val="0"/>
          <w:numId w:val="6"/>
        </w:numPr>
        <w:spacing w:after="200" w:line="276" w:lineRule="auto"/>
        <w:rPr>
          <w:rFonts w:eastAsia="Calibri"/>
        </w:rPr>
      </w:pPr>
      <w:r w:rsidRPr="00357C8A">
        <w:rPr>
          <w:rFonts w:eastAsia="Calibri"/>
          <w:u w:val="single"/>
        </w:rPr>
        <w:t>Special Circumstances Relating to the Guidelines of 5 CFR 1320.5</w:t>
      </w:r>
    </w:p>
    <w:p w:rsidR="00AE52BD" w:rsidRPr="00AD1A80" w:rsidP="00AE52BD" w14:paraId="4F8ACCCF" w14:textId="77777777">
      <w:pPr>
        <w:spacing w:before="100" w:beforeAutospacing="1" w:after="100" w:afterAutospacing="1"/>
      </w:pPr>
      <w:r w:rsidRPr="00B77285">
        <w:t xml:space="preserve">There are no special circumstances for this collection of information. </w:t>
      </w:r>
      <w:r>
        <w:t xml:space="preserve"> </w:t>
      </w:r>
      <w:r w:rsidRPr="00B77285">
        <w:t>The information collected will be voluntary and will not be used for statistical purposes.</w:t>
      </w:r>
    </w:p>
    <w:p w:rsidR="00357C8A" w:rsidRPr="00357C8A" w:rsidP="006705EA" w14:paraId="1ADFFF89" w14:textId="77777777">
      <w:pPr>
        <w:numPr>
          <w:ilvl w:val="0"/>
          <w:numId w:val="6"/>
        </w:numPr>
        <w:spacing w:after="200" w:line="276" w:lineRule="auto"/>
        <w:rPr>
          <w:rFonts w:eastAsia="Calibri"/>
        </w:rPr>
      </w:pPr>
      <w:r w:rsidRPr="00357C8A">
        <w:rPr>
          <w:rFonts w:eastAsia="Calibri"/>
          <w:u w:val="single"/>
        </w:rPr>
        <w:t>Comments in Response to the Federal Register Notice and Efforts to Consult Outside the Agency</w:t>
      </w:r>
    </w:p>
    <w:p w:rsidR="00AE52BD" w:rsidRPr="00AD1A80" w:rsidP="00AE52BD" w14:paraId="1E5AF88C" w14:textId="77777777">
      <w:pPr>
        <w:pStyle w:val="ListParagraph"/>
        <w:spacing w:before="100" w:beforeAutospacing="1" w:after="100" w:afterAutospacing="1"/>
        <w:ind w:left="0"/>
      </w:pPr>
      <w:r w:rsidRPr="00B77285">
        <w:t xml:space="preserve">In accordance with 5 CFR 1320.8(d), FDA published a 60-day notice for public comment on the proposed collection of information in the </w:t>
      </w:r>
      <w:r w:rsidRPr="001803BE">
        <w:rPr>
          <w:i/>
          <w:iCs/>
          <w:u w:color="000000"/>
        </w:rPr>
        <w:t>Federal Register</w:t>
      </w:r>
      <w:r w:rsidRPr="001803BE">
        <w:rPr>
          <w:u w:color="000000"/>
        </w:rPr>
        <w:t xml:space="preserve"> </w:t>
      </w:r>
      <w:r w:rsidRPr="00B77285">
        <w:t xml:space="preserve">of </w:t>
      </w:r>
      <w:r w:rsidR="00863C1D">
        <w:t>April 17</w:t>
      </w:r>
      <w:r>
        <w:t>, 202</w:t>
      </w:r>
      <w:r w:rsidR="00A82760">
        <w:t>6</w:t>
      </w:r>
      <w:r w:rsidRPr="00B77285">
        <w:t xml:space="preserve"> (</w:t>
      </w:r>
      <w:r w:rsidR="00A82760">
        <w:t>91</w:t>
      </w:r>
      <w:r w:rsidRPr="00B77285">
        <w:t xml:space="preserve"> FR</w:t>
      </w:r>
      <w:r w:rsidRPr="00B77285">
        <w:rPr>
          <w:spacing w:val="-3"/>
        </w:rPr>
        <w:t xml:space="preserve"> </w:t>
      </w:r>
      <w:r w:rsidR="00863C1D">
        <w:rPr>
          <w:spacing w:val="-3"/>
        </w:rPr>
        <w:t>20693</w:t>
      </w:r>
      <w:r w:rsidRPr="00B77285">
        <w:rPr>
          <w:spacing w:val="-1"/>
        </w:rPr>
        <w:t>).</w:t>
      </w:r>
      <w:r>
        <w:rPr>
          <w:spacing w:val="-1"/>
        </w:rPr>
        <w:t xml:space="preserve">  </w:t>
      </w:r>
      <w:r w:rsidR="00A82760">
        <w:rPr>
          <w:spacing w:val="-1"/>
        </w:rPr>
        <w:t>No</w:t>
      </w:r>
      <w:r w:rsidRPr="00A10AF7" w:rsidR="00A82760">
        <w:rPr>
          <w:spacing w:val="-1"/>
        </w:rPr>
        <w:t xml:space="preserve"> </w:t>
      </w:r>
      <w:r w:rsidRPr="00A10AF7">
        <w:rPr>
          <w:spacing w:val="-1"/>
        </w:rPr>
        <w:t>comment</w:t>
      </w:r>
      <w:r w:rsidR="00A82760">
        <w:rPr>
          <w:spacing w:val="-1"/>
        </w:rPr>
        <w:t>s</w:t>
      </w:r>
      <w:r w:rsidRPr="00A10AF7">
        <w:rPr>
          <w:spacing w:val="-1"/>
        </w:rPr>
        <w:t xml:space="preserve"> w</w:t>
      </w:r>
      <w:r w:rsidR="00A82760">
        <w:rPr>
          <w:spacing w:val="-1"/>
        </w:rPr>
        <w:t>ere</w:t>
      </w:r>
      <w:r w:rsidRPr="00A10AF7">
        <w:rPr>
          <w:spacing w:val="-1"/>
        </w:rPr>
        <w:t xml:space="preserve"> received.</w:t>
      </w:r>
      <w:r>
        <w:rPr>
          <w:spacing w:val="-1"/>
        </w:rPr>
        <w:t xml:space="preserve"> </w:t>
      </w:r>
    </w:p>
    <w:p w:rsidR="00357C8A" w:rsidRPr="00357C8A" w:rsidP="006705EA" w14:paraId="22FDDB2B" w14:textId="77777777">
      <w:pPr>
        <w:numPr>
          <w:ilvl w:val="0"/>
          <w:numId w:val="6"/>
        </w:numPr>
        <w:spacing w:after="200" w:line="276" w:lineRule="auto"/>
        <w:rPr>
          <w:rFonts w:eastAsia="Calibri"/>
        </w:rPr>
      </w:pPr>
      <w:r w:rsidRPr="00357C8A">
        <w:rPr>
          <w:rFonts w:eastAsia="Calibri"/>
          <w:u w:val="single"/>
        </w:rPr>
        <w:t>Explanation of Any Payment or Gift to Respondents</w:t>
      </w:r>
    </w:p>
    <w:p w:rsidR="00357C8A" w:rsidRPr="003965BF" w:rsidP="00A82760" w14:paraId="7FCDBEF5" w14:textId="0CF460BB">
      <w:pPr>
        <w:tabs>
          <w:tab w:val="left" w:pos="990"/>
        </w:tabs>
        <w:autoSpaceDE w:val="0"/>
        <w:autoSpaceDN w:val="0"/>
        <w:adjustRightInd w:val="0"/>
        <w:spacing w:before="100" w:beforeAutospacing="1" w:after="100" w:afterAutospacing="1"/>
        <w:rPr>
          <w:rFonts w:eastAsia="Calibri"/>
          <w:color w:val="000000"/>
        </w:rPr>
      </w:pPr>
      <w:r w:rsidRPr="00B77285">
        <w:t>It is standard practice in commercial market research to offer recruited participants some form of remuneration for the time they spend engaged in a personal interview activity.  Instances for offering a small incentive will be determined on a case-by-case basis (depending on the information collection design).</w:t>
      </w:r>
      <w:r>
        <w:t xml:space="preserve"> </w:t>
      </w:r>
      <w:r w:rsidRPr="00B77285">
        <w:t xml:space="preserve"> Incentive amounts will vary by type of qualitative method, the market rate of the geographic location for in-person research, and the difficulty of the recruit</w:t>
      </w:r>
      <w:r w:rsidR="00D137D1">
        <w:t>ment</w:t>
      </w:r>
      <w:r w:rsidRPr="00B77285">
        <w:t>.</w:t>
      </w:r>
      <w:r>
        <w:t xml:space="preserve"> </w:t>
      </w:r>
      <w:r w:rsidRPr="00B77285">
        <w:t xml:space="preserve"> </w:t>
      </w:r>
      <w:r>
        <w:t xml:space="preserve">Incentive amounts for information collections with general consumers submitted under this generic will typically not exceed $75, though more may be requested for difficult-to-recruit </w:t>
      </w:r>
      <w:r>
        <w:t xml:space="preserve">populations.  </w:t>
      </w:r>
      <w:r w:rsidRPr="00B77285">
        <w:t xml:space="preserve">Details </w:t>
      </w:r>
      <w:r>
        <w:t xml:space="preserve">and justification </w:t>
      </w:r>
      <w:r w:rsidRPr="00B77285">
        <w:t>on each incentive request will be included</w:t>
      </w:r>
      <w:r>
        <w:t xml:space="preserve"> in each individual submission.</w:t>
      </w:r>
    </w:p>
    <w:p w:rsidR="00357C8A" w:rsidRPr="00357C8A" w:rsidP="006705EA" w14:paraId="1323C201" w14:textId="77777777">
      <w:pPr>
        <w:numPr>
          <w:ilvl w:val="0"/>
          <w:numId w:val="6"/>
        </w:numPr>
        <w:spacing w:after="200" w:line="276" w:lineRule="auto"/>
        <w:rPr>
          <w:rFonts w:eastAsia="Calibri"/>
        </w:rPr>
      </w:pPr>
      <w:r w:rsidRPr="00357C8A">
        <w:rPr>
          <w:rFonts w:eastAsia="Calibri"/>
          <w:u w:val="single"/>
        </w:rPr>
        <w:t>Assurance of Confidentiality Provided to Respondents</w:t>
      </w:r>
    </w:p>
    <w:p w:rsidR="000D2E42" w:rsidRPr="00D7787A" w:rsidP="00D7787A" w14:paraId="51BACC81" w14:textId="77777777">
      <w:pPr>
        <w:rPr>
          <w:i/>
          <w:iCs/>
        </w:rPr>
      </w:pPr>
      <w:r w:rsidRPr="00D7787A">
        <w:rPr>
          <w:i/>
          <w:iCs/>
        </w:rPr>
        <w:t>Privacy Act</w:t>
      </w:r>
    </w:p>
    <w:p w:rsidR="000D2E42" w:rsidP="000D2E42" w14:paraId="064441CA" w14:textId="77777777"/>
    <w:p w:rsidR="00C67889" w:rsidP="00C67889" w14:paraId="76CFE442" w14:textId="77777777">
      <w:r>
        <w:t xml:space="preserve">In preparing this supporting statement, we consulted our Privacy Office to ensure appropriate identification and handling of information collected. </w:t>
      </w:r>
    </w:p>
    <w:p w:rsidR="00C67889" w:rsidP="000A3B36" w14:paraId="519E275A" w14:textId="77777777"/>
    <w:p w:rsidR="000A3B36" w:rsidP="000A3B36" w14:paraId="039C9C75" w14:textId="30688794">
      <w:r w:rsidRPr="00667481">
        <w:t xml:space="preserve">This ICR will collect personally identifiable information (PII). </w:t>
      </w:r>
      <w:r w:rsidR="00DF379C">
        <w:t xml:space="preserve"> </w:t>
      </w:r>
      <w:r w:rsidRPr="00667481">
        <w:t xml:space="preserve">PII collected typically consists of name and contact information. </w:t>
      </w:r>
      <w:r w:rsidR="00DF379C">
        <w:t xml:space="preserve"> </w:t>
      </w:r>
      <w:r w:rsidRPr="00667481">
        <w:t xml:space="preserve">PII is collected on behalf of the FDA by a contractor or vendor who conducts surveys. </w:t>
      </w:r>
      <w:r w:rsidR="00DF379C">
        <w:t xml:space="preserve"> </w:t>
      </w:r>
      <w:r w:rsidRPr="00667481">
        <w:t xml:space="preserve">Only the contractor conducting the research will have access to PII. </w:t>
      </w:r>
      <w:r w:rsidR="00DF379C">
        <w:t xml:space="preserve"> </w:t>
      </w:r>
      <w:r w:rsidRPr="00667481">
        <w:t xml:space="preserve">Information collected by the vendor or contractor will be summarized into aggregate form, sent in aggregate to FDA (no PII will be included), and destroyed after the study or interview has been completed.  Collected PII is used for scheduling and renumeration purposes. </w:t>
      </w:r>
      <w:r w:rsidR="00DF379C">
        <w:t xml:space="preserve"> </w:t>
      </w:r>
      <w:r w:rsidRPr="00667481">
        <w:t xml:space="preserve">All information collected will be kept secure by the vendor or contractor. </w:t>
      </w:r>
      <w:r w:rsidR="00DF379C">
        <w:t xml:space="preserve"> </w:t>
      </w:r>
      <w:r w:rsidRPr="00667481">
        <w:t xml:space="preserve">FDA and any vendor or contractor will disclose identifiable information only to the extent authorized by the individual or required by law. </w:t>
      </w:r>
      <w:r w:rsidR="00DF379C">
        <w:t xml:space="preserve"> </w:t>
      </w:r>
      <w:r w:rsidRPr="00667481">
        <w:t xml:space="preserve">Contractors or vendors maintaining information will destroy it in accordance with applicable records retention and other requirements per contract terms after the aggregate information has been provided to FDA and the survey has been completed. </w:t>
      </w:r>
      <w:r w:rsidR="00DF379C">
        <w:t xml:space="preserve"> </w:t>
      </w:r>
      <w:r w:rsidRPr="00667481">
        <w:t xml:space="preserve">In keeping with IRB/Human Subjects Research protocols, the FDA clearance process ensures that study data is appropriately secured (e.g., housed on the </w:t>
      </w:r>
      <w:r w:rsidR="00DF379C">
        <w:t>c</w:t>
      </w:r>
      <w:r w:rsidRPr="00667481">
        <w:t>ontractor’s servers, password protected, separate storage areas for each study, access controlled).</w:t>
      </w:r>
    </w:p>
    <w:p w:rsidR="00D14B79" w:rsidP="000D2E42" w14:paraId="2A2ADF37" w14:textId="77777777"/>
    <w:p w:rsidR="00F861F7" w:rsidP="000D2E42" w14:paraId="49C208FC" w14:textId="5607A59E">
      <w:r w:rsidRPr="00667481">
        <w:t>FDA determined that although PII is collected</w:t>
      </w:r>
      <w:r w:rsidR="001649B5">
        <w:t>,</w:t>
      </w:r>
      <w:r w:rsidRPr="00667481">
        <w:t xml:space="preserve"> it is not subject to the Privacy Act of 1974</w:t>
      </w:r>
      <w:r w:rsidR="00DF379C">
        <w:t>,</w:t>
      </w:r>
      <w:r w:rsidRPr="00667481">
        <w:t xml:space="preserve"> and the </w:t>
      </w:r>
      <w:r w:rsidRPr="00667481">
        <w:t>particular notice</w:t>
      </w:r>
      <w:r w:rsidRPr="00667481">
        <w:t xml:space="preserve"> and other requirements of the Act do not apply. </w:t>
      </w:r>
      <w:r w:rsidR="00DF379C">
        <w:t xml:space="preserve"> </w:t>
      </w:r>
      <w:r w:rsidRPr="00667481">
        <w:t>Specifically, the contractor does not use name or any other personal identifier to retrieve records from the information collected.</w:t>
      </w:r>
    </w:p>
    <w:p w:rsidR="00667481" w:rsidP="000D2E42" w14:paraId="33DF9ABE" w14:textId="77777777"/>
    <w:p w:rsidR="000D2E42" w:rsidRPr="00D7787A" w:rsidP="000D2E42" w14:paraId="244033C8" w14:textId="77777777">
      <w:r w:rsidRPr="000D2E42">
        <w:rPr>
          <w:rFonts w:eastAsia="Calibri"/>
          <w:i/>
          <w:iCs/>
        </w:rPr>
        <w:t>Freedom of Information Act (FOIA)</w:t>
      </w:r>
    </w:p>
    <w:p w:rsidR="000D2E42" w:rsidRPr="000D2E42" w:rsidP="000D2E42" w14:paraId="4E0F4171" w14:textId="77777777">
      <w:pPr>
        <w:rPr>
          <w:rFonts w:eastAsia="Calibri"/>
        </w:rPr>
      </w:pPr>
    </w:p>
    <w:p w:rsidR="000D2E42" w:rsidP="000D2E42" w14:paraId="3A4E7853" w14:textId="77777777">
      <w:pPr>
        <w:rPr>
          <w:rFonts w:eastAsia="Calibri"/>
          <w:color w:val="000000"/>
        </w:rPr>
      </w:pPr>
      <w:r w:rsidRPr="000D2E42">
        <w:rPr>
          <w:rFonts w:eastAsia="Calibri"/>
        </w:rPr>
        <w:t>Under FOIA (5 U.S.C. 552), the public has broad access to government documents.  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r w:rsidRPr="000D2E42">
        <w:rPr>
          <w:rFonts w:eastAsia="Calibri"/>
          <w:color w:val="000000"/>
        </w:rPr>
        <w:t>.</w:t>
      </w:r>
      <w:r w:rsidRPr="000D2E42">
        <w:rPr>
          <w:rFonts w:eastAsia="Calibri"/>
          <w:color w:val="000000"/>
        </w:rPr>
        <w:t xml:space="preserve"> </w:t>
      </w:r>
    </w:p>
    <w:p w:rsidR="000D2E42" w:rsidRPr="00D7787A" w:rsidP="00D7787A" w14:paraId="6F6ACDAF" w14:textId="77777777">
      <w:pPr>
        <w:rPr>
          <w:rFonts w:eastAsia="Calibri"/>
          <w:color w:val="000000"/>
        </w:rPr>
      </w:pPr>
    </w:p>
    <w:p w:rsidR="00357C8A" w:rsidRPr="00357C8A" w:rsidP="006705EA" w14:paraId="6F61A1FD" w14:textId="77777777">
      <w:pPr>
        <w:numPr>
          <w:ilvl w:val="0"/>
          <w:numId w:val="6"/>
        </w:numPr>
        <w:spacing w:after="200" w:line="276" w:lineRule="auto"/>
        <w:rPr>
          <w:rFonts w:eastAsia="Calibri"/>
        </w:rPr>
      </w:pPr>
      <w:r w:rsidRPr="00357C8A">
        <w:rPr>
          <w:rFonts w:eastAsia="Calibri"/>
          <w:u w:val="single"/>
        </w:rPr>
        <w:t>Justification for Sensitive Questions</w:t>
      </w:r>
    </w:p>
    <w:p w:rsidR="00AE52BD" w:rsidP="00AE52BD" w14:paraId="0F906B03" w14:textId="25DEC8B8">
      <w:r w:rsidRPr="00B77285">
        <w:t>There are no expectations that the individual projects will contain sensitive questions</w:t>
      </w:r>
      <w:r w:rsidR="00B83122">
        <w:t>,</w:t>
      </w:r>
      <w:r w:rsidRPr="00B77285">
        <w:t xml:space="preserve"> but if they do, we will include a justification for them in the individual submission</w:t>
      </w:r>
      <w:r>
        <w:t>.</w:t>
      </w:r>
    </w:p>
    <w:p w:rsidR="00A82760" w:rsidP="00AE52BD" w14:paraId="32660E8F" w14:textId="77777777"/>
    <w:p w:rsidR="00357C8A" w:rsidRPr="00357C8A" w:rsidP="006705EA" w14:paraId="10494DD5" w14:textId="77777777">
      <w:pPr>
        <w:numPr>
          <w:ilvl w:val="0"/>
          <w:numId w:val="6"/>
        </w:numPr>
        <w:spacing w:after="200" w:line="276" w:lineRule="auto"/>
        <w:rPr>
          <w:rFonts w:eastAsia="Calibri"/>
          <w:u w:val="single"/>
        </w:rPr>
      </w:pPr>
      <w:r w:rsidRPr="00357C8A">
        <w:rPr>
          <w:rFonts w:eastAsia="Calibri"/>
          <w:u w:val="single"/>
        </w:rPr>
        <w:t>Estimates of Annualized Burden Hours and Cost</w:t>
      </w:r>
    </w:p>
    <w:p w:rsidR="00357C8A" w:rsidRPr="005C71CA" w:rsidP="0022425B" w14:paraId="673B9B99" w14:textId="77777777">
      <w:pPr>
        <w:spacing w:after="200"/>
        <w:ind w:left="360"/>
        <w:rPr>
          <w:rFonts w:eastAsia="Calibri"/>
        </w:rPr>
      </w:pPr>
      <w:r w:rsidRPr="005C71CA">
        <w:rPr>
          <w:rFonts w:eastAsia="Calibri"/>
        </w:rPr>
        <w:t>12a.  Annualized Hour Burden Estimate</w:t>
      </w:r>
    </w:p>
    <w:p w:rsidR="00AE52BD" w:rsidRPr="001803BE" w:rsidP="00AE52BD" w14:paraId="74CD37C3" w14:textId="352617ED">
      <w:pPr>
        <w:numPr>
          <w:ilvl w:val="12"/>
          <w:numId w:val="0"/>
        </w:numPr>
        <w:jc w:val="center"/>
        <w:rPr>
          <w:bCs/>
          <w:i/>
          <w:sz w:val="20"/>
          <w:szCs w:val="20"/>
        </w:rPr>
      </w:pPr>
      <w:bookmarkStart w:id="0" w:name="_Hlk227764939"/>
      <w:r w:rsidRPr="001803BE">
        <w:rPr>
          <w:bCs/>
          <w:sz w:val="20"/>
          <w:szCs w:val="20"/>
        </w:rPr>
        <w:t xml:space="preserve">Table </w:t>
      </w:r>
      <w:r w:rsidRPr="001803BE" w:rsidR="00AB1F30">
        <w:rPr>
          <w:bCs/>
          <w:sz w:val="20"/>
          <w:szCs w:val="20"/>
        </w:rPr>
        <w:t>1.--</w:t>
      </w:r>
      <w:r w:rsidRPr="001803BE">
        <w:rPr>
          <w:bCs/>
          <w:sz w:val="20"/>
          <w:szCs w:val="20"/>
        </w:rPr>
        <w:t>Estimated Annual Reporting Burden</w:t>
      </w:r>
      <w:r w:rsidRPr="001803BE">
        <w:rPr>
          <w:bCs/>
          <w:sz w:val="20"/>
          <w:szCs w:val="20"/>
          <w:vertAlign w:val="superscript"/>
        </w:rPr>
        <w:t>1</w:t>
      </w: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30"/>
        <w:gridCol w:w="1350"/>
        <w:gridCol w:w="1710"/>
        <w:gridCol w:w="1350"/>
        <w:gridCol w:w="1620"/>
        <w:gridCol w:w="900"/>
      </w:tblGrid>
      <w:tr w14:paraId="07415987" w14:textId="77777777" w:rsidTr="001803BE">
        <w:tblPrEx>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530"/>
        </w:trPr>
        <w:tc>
          <w:tcPr>
            <w:tcW w:w="2430" w:type="dxa"/>
            <w:shd w:val="clear" w:color="auto" w:fill="auto"/>
          </w:tcPr>
          <w:p w:rsidR="00AE52BD" w:rsidRPr="001803BE" w:rsidP="00AB1F30" w14:paraId="7FE1255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lang w:bidi="he-IL"/>
              </w:rPr>
            </w:pPr>
            <w:r w:rsidRPr="001803BE">
              <w:rPr>
                <w:sz w:val="20"/>
                <w:szCs w:val="20"/>
                <w:lang w:bidi="he-IL"/>
              </w:rPr>
              <w:t>Type of Interview</w:t>
            </w:r>
          </w:p>
        </w:tc>
        <w:tc>
          <w:tcPr>
            <w:tcW w:w="1350" w:type="dxa"/>
            <w:shd w:val="clear" w:color="auto" w:fill="auto"/>
          </w:tcPr>
          <w:p w:rsidR="00AE52BD" w:rsidRPr="001803BE" w:rsidP="00FB404F" w14:paraId="7B62F516" w14:textId="1170ACC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sz w:val="20"/>
                <w:szCs w:val="20"/>
                <w:lang w:bidi="he-IL"/>
              </w:rPr>
            </w:pPr>
            <w:r w:rsidRPr="001803BE">
              <w:rPr>
                <w:sz w:val="20"/>
                <w:szCs w:val="20"/>
                <w:lang w:bidi="he-IL"/>
              </w:rPr>
              <w:t>N</w:t>
            </w:r>
            <w:r w:rsidR="00613DDA">
              <w:rPr>
                <w:sz w:val="20"/>
                <w:szCs w:val="20"/>
                <w:lang w:bidi="he-IL"/>
              </w:rPr>
              <w:t>o.</w:t>
            </w:r>
            <w:r w:rsidRPr="001803BE">
              <w:rPr>
                <w:sz w:val="20"/>
                <w:szCs w:val="20"/>
                <w:lang w:bidi="he-IL"/>
              </w:rPr>
              <w:t xml:space="preserve"> of Respondents</w:t>
            </w:r>
          </w:p>
        </w:tc>
        <w:tc>
          <w:tcPr>
            <w:tcW w:w="1710" w:type="dxa"/>
          </w:tcPr>
          <w:p w:rsidR="00AE52BD" w:rsidRPr="001803BE" w:rsidP="00AB1F30" w14:paraId="1E6155E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sz w:val="20"/>
                <w:szCs w:val="20"/>
                <w:lang w:bidi="he-IL"/>
              </w:rPr>
            </w:pPr>
            <w:r w:rsidRPr="001803BE">
              <w:rPr>
                <w:sz w:val="20"/>
                <w:szCs w:val="20"/>
                <w:lang w:bidi="he-IL"/>
              </w:rPr>
              <w:t>No. of Responses per Respondent</w:t>
            </w:r>
          </w:p>
        </w:tc>
        <w:tc>
          <w:tcPr>
            <w:tcW w:w="1350" w:type="dxa"/>
          </w:tcPr>
          <w:p w:rsidR="00AE52BD" w:rsidRPr="001803BE" w:rsidP="00AB1F30" w14:paraId="1728B9E9"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sz w:val="20"/>
                <w:szCs w:val="20"/>
                <w:lang w:bidi="he-IL"/>
              </w:rPr>
            </w:pPr>
            <w:r w:rsidRPr="001803BE">
              <w:rPr>
                <w:sz w:val="20"/>
                <w:szCs w:val="20"/>
                <w:lang w:bidi="he-IL"/>
              </w:rPr>
              <w:t>Total Annual Responses</w:t>
            </w:r>
          </w:p>
        </w:tc>
        <w:tc>
          <w:tcPr>
            <w:tcW w:w="1620" w:type="dxa"/>
            <w:shd w:val="clear" w:color="auto" w:fill="auto"/>
          </w:tcPr>
          <w:p w:rsidR="00AE52BD" w:rsidRPr="001803BE" w:rsidP="00FB404F" w14:paraId="1070EE5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sz w:val="20"/>
                <w:szCs w:val="20"/>
                <w:lang w:bidi="he-IL"/>
              </w:rPr>
            </w:pPr>
            <w:r w:rsidRPr="001803BE">
              <w:rPr>
                <w:sz w:val="20"/>
                <w:szCs w:val="20"/>
                <w:lang w:bidi="he-IL"/>
              </w:rPr>
              <w:t>Average Burden Per Response</w:t>
            </w:r>
          </w:p>
        </w:tc>
        <w:tc>
          <w:tcPr>
            <w:tcW w:w="900" w:type="dxa"/>
            <w:shd w:val="clear" w:color="auto" w:fill="auto"/>
          </w:tcPr>
          <w:p w:rsidR="00AE52BD" w:rsidRPr="001803BE" w:rsidP="00FB404F" w14:paraId="57738EF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sz w:val="20"/>
                <w:szCs w:val="20"/>
                <w:lang w:bidi="he-IL"/>
              </w:rPr>
            </w:pPr>
            <w:r w:rsidRPr="001803BE">
              <w:rPr>
                <w:sz w:val="20"/>
                <w:szCs w:val="20"/>
                <w:lang w:bidi="he-IL"/>
              </w:rPr>
              <w:t>Total Hours</w:t>
            </w:r>
          </w:p>
        </w:tc>
      </w:tr>
      <w:tr w14:paraId="63ECAAFF" w14:textId="77777777" w:rsidTr="001803BE">
        <w:tblPrEx>
          <w:tblW w:w="9360" w:type="dxa"/>
          <w:tblInd w:w="468" w:type="dxa"/>
          <w:tblLayout w:type="fixed"/>
          <w:tblLook w:val="01E0"/>
        </w:tblPrEx>
        <w:trPr>
          <w:trHeight w:val="467"/>
        </w:trPr>
        <w:tc>
          <w:tcPr>
            <w:tcW w:w="2430" w:type="dxa"/>
            <w:shd w:val="clear" w:color="auto" w:fill="auto"/>
          </w:tcPr>
          <w:p w:rsidR="00AE52BD" w:rsidRPr="00AE52BD" w:rsidP="001803BE" w14:paraId="71144CC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Individual In-Depth Interview Screening</w:t>
            </w:r>
          </w:p>
        </w:tc>
        <w:tc>
          <w:tcPr>
            <w:tcW w:w="1350" w:type="dxa"/>
            <w:shd w:val="clear" w:color="auto" w:fill="auto"/>
          </w:tcPr>
          <w:p w:rsidR="00AE52BD" w:rsidRPr="00AE52BD" w:rsidP="001803BE" w14:paraId="32D386F4" w14:textId="2AA1F5D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w:t>
            </w:r>
            <w:r w:rsidR="009E63A5">
              <w:rPr>
                <w:sz w:val="20"/>
                <w:szCs w:val="20"/>
                <w:lang w:bidi="he-IL"/>
              </w:rPr>
              <w:t>,</w:t>
            </w:r>
            <w:r>
              <w:rPr>
                <w:sz w:val="20"/>
                <w:szCs w:val="20"/>
                <w:lang w:bidi="he-IL"/>
              </w:rPr>
              <w:t>400</w:t>
            </w:r>
          </w:p>
        </w:tc>
        <w:tc>
          <w:tcPr>
            <w:tcW w:w="1710" w:type="dxa"/>
          </w:tcPr>
          <w:p w:rsidR="00AE52BD" w:rsidRPr="00AE52BD" w:rsidP="001803BE" w14:paraId="77ED0BE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5BEE0E15" w14:textId="225FEF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w:t>
            </w:r>
            <w:r w:rsidR="009E63A5">
              <w:rPr>
                <w:sz w:val="20"/>
                <w:szCs w:val="20"/>
                <w:lang w:bidi="he-IL"/>
              </w:rPr>
              <w:t>,</w:t>
            </w:r>
            <w:r>
              <w:rPr>
                <w:sz w:val="20"/>
                <w:szCs w:val="20"/>
                <w:lang w:bidi="he-IL"/>
              </w:rPr>
              <w:t>400</w:t>
            </w:r>
          </w:p>
        </w:tc>
        <w:tc>
          <w:tcPr>
            <w:tcW w:w="1620" w:type="dxa"/>
            <w:shd w:val="clear" w:color="auto" w:fill="auto"/>
          </w:tcPr>
          <w:p w:rsidR="00AE52BD" w:rsidRPr="00AE52BD" w:rsidP="001803BE" w14:paraId="569F16F7"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 xml:space="preserve">.08 </w:t>
            </w:r>
          </w:p>
          <w:p w:rsidR="00AE52BD" w:rsidRPr="00AE52BD" w:rsidP="001803BE" w14:paraId="3040EBA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(5 minutes)</w:t>
            </w:r>
          </w:p>
        </w:tc>
        <w:tc>
          <w:tcPr>
            <w:tcW w:w="900" w:type="dxa"/>
            <w:shd w:val="clear" w:color="auto" w:fill="auto"/>
          </w:tcPr>
          <w:p w:rsidR="00AE52BD" w:rsidRPr="00AE52BD" w:rsidP="001803BE" w14:paraId="459E45E8"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192</w:t>
            </w:r>
          </w:p>
        </w:tc>
      </w:tr>
      <w:tr w14:paraId="7C86F52D" w14:textId="77777777" w:rsidTr="001803BE">
        <w:tblPrEx>
          <w:tblW w:w="9360" w:type="dxa"/>
          <w:tblInd w:w="468" w:type="dxa"/>
          <w:tblLayout w:type="fixed"/>
          <w:tblLook w:val="01E0"/>
        </w:tblPrEx>
        <w:trPr>
          <w:trHeight w:val="530"/>
        </w:trPr>
        <w:tc>
          <w:tcPr>
            <w:tcW w:w="2430" w:type="dxa"/>
            <w:shd w:val="clear" w:color="auto" w:fill="auto"/>
          </w:tcPr>
          <w:p w:rsidR="00AE52BD" w:rsidRPr="00AE52BD" w:rsidP="001803BE" w14:paraId="0968F10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Individual In-Depth Interviews</w:t>
            </w:r>
          </w:p>
        </w:tc>
        <w:tc>
          <w:tcPr>
            <w:tcW w:w="1350" w:type="dxa"/>
            <w:shd w:val="clear" w:color="auto" w:fill="auto"/>
          </w:tcPr>
          <w:p w:rsidR="00AE52BD" w:rsidRPr="00AE52BD" w:rsidP="001803BE" w14:paraId="19F42F3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200</w:t>
            </w:r>
          </w:p>
        </w:tc>
        <w:tc>
          <w:tcPr>
            <w:tcW w:w="1710" w:type="dxa"/>
          </w:tcPr>
          <w:p w:rsidR="00AE52BD" w:rsidRPr="00AE52BD" w:rsidP="001803BE" w14:paraId="47C4A40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5DD67AB6"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200</w:t>
            </w:r>
          </w:p>
        </w:tc>
        <w:tc>
          <w:tcPr>
            <w:tcW w:w="1620" w:type="dxa"/>
            <w:shd w:val="clear" w:color="auto" w:fill="auto"/>
          </w:tcPr>
          <w:p w:rsidR="00AE52BD" w:rsidRPr="00AE52BD" w:rsidP="001803BE" w14:paraId="082E78D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900" w:type="dxa"/>
            <w:shd w:val="clear" w:color="auto" w:fill="auto"/>
          </w:tcPr>
          <w:p w:rsidR="00AE52BD" w:rsidRPr="00AE52BD" w:rsidP="001803BE" w14:paraId="79DF09C6"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200</w:t>
            </w:r>
          </w:p>
        </w:tc>
      </w:tr>
      <w:tr w14:paraId="76EC00F7" w14:textId="77777777" w:rsidTr="001803BE">
        <w:tblPrEx>
          <w:tblW w:w="9360" w:type="dxa"/>
          <w:tblInd w:w="468" w:type="dxa"/>
          <w:tblLayout w:type="fixed"/>
          <w:tblLook w:val="01E0"/>
        </w:tblPrEx>
        <w:trPr>
          <w:trHeight w:val="521"/>
        </w:trPr>
        <w:tc>
          <w:tcPr>
            <w:tcW w:w="2430" w:type="dxa"/>
            <w:shd w:val="clear" w:color="auto" w:fill="auto"/>
          </w:tcPr>
          <w:p w:rsidR="00AE52BD" w:rsidRPr="00AE52BD" w:rsidP="001803BE" w14:paraId="6078B01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Focus Group/Small Group Participant Screening</w:t>
            </w:r>
          </w:p>
        </w:tc>
        <w:tc>
          <w:tcPr>
            <w:tcW w:w="1350" w:type="dxa"/>
            <w:shd w:val="clear" w:color="auto" w:fill="auto"/>
          </w:tcPr>
          <w:p w:rsidR="00AE52BD" w:rsidRPr="00AE52BD" w:rsidP="001803BE" w14:paraId="1109309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5,400</w:t>
            </w:r>
          </w:p>
        </w:tc>
        <w:tc>
          <w:tcPr>
            <w:tcW w:w="1710" w:type="dxa"/>
          </w:tcPr>
          <w:p w:rsidR="00AE52BD" w:rsidRPr="00AE52BD" w:rsidP="001803BE" w14:paraId="289AB5F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52440179"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5,400</w:t>
            </w:r>
          </w:p>
        </w:tc>
        <w:tc>
          <w:tcPr>
            <w:tcW w:w="1620" w:type="dxa"/>
            <w:shd w:val="clear" w:color="auto" w:fill="auto"/>
          </w:tcPr>
          <w:p w:rsidR="00AE52BD" w:rsidRPr="00AE52BD" w:rsidP="001803BE" w14:paraId="15F96E01"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.08</w:t>
            </w:r>
          </w:p>
          <w:p w:rsidR="00AE52BD" w:rsidRPr="00AE52BD" w:rsidP="001803BE" w14:paraId="1CFDD72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 xml:space="preserve"> (5 minutes)</w:t>
            </w:r>
          </w:p>
        </w:tc>
        <w:tc>
          <w:tcPr>
            <w:tcW w:w="900" w:type="dxa"/>
            <w:shd w:val="clear" w:color="auto" w:fill="auto"/>
          </w:tcPr>
          <w:p w:rsidR="00AE52BD" w:rsidRPr="00AE52BD" w:rsidP="001803BE" w14:paraId="5134F01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432</w:t>
            </w:r>
          </w:p>
        </w:tc>
      </w:tr>
      <w:tr w14:paraId="4153587F" w14:textId="77777777" w:rsidTr="001803BE">
        <w:tblPrEx>
          <w:tblW w:w="9360" w:type="dxa"/>
          <w:tblInd w:w="468" w:type="dxa"/>
          <w:tblLayout w:type="fixed"/>
          <w:tblLook w:val="01E0"/>
        </w:tblPrEx>
        <w:trPr>
          <w:trHeight w:val="503"/>
        </w:trPr>
        <w:tc>
          <w:tcPr>
            <w:tcW w:w="2430" w:type="dxa"/>
            <w:shd w:val="clear" w:color="auto" w:fill="auto"/>
          </w:tcPr>
          <w:p w:rsidR="00AE52BD" w:rsidRPr="00AE52BD" w:rsidP="001803BE" w14:paraId="56EDF6A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 xml:space="preserve"> Focus Groups/Small Group Discussion </w:t>
            </w:r>
          </w:p>
        </w:tc>
        <w:tc>
          <w:tcPr>
            <w:tcW w:w="1350" w:type="dxa"/>
            <w:shd w:val="clear" w:color="auto" w:fill="auto"/>
          </w:tcPr>
          <w:p w:rsidR="00AE52BD" w:rsidRPr="00AE52BD" w:rsidP="001803BE" w14:paraId="021CF08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1,800</w:t>
            </w:r>
          </w:p>
        </w:tc>
        <w:tc>
          <w:tcPr>
            <w:tcW w:w="1710" w:type="dxa"/>
          </w:tcPr>
          <w:p w:rsidR="00AE52BD" w:rsidRPr="00AE52BD" w:rsidP="001803BE" w14:paraId="2B449F9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02AC672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1,800</w:t>
            </w:r>
          </w:p>
        </w:tc>
        <w:tc>
          <w:tcPr>
            <w:tcW w:w="1620" w:type="dxa"/>
            <w:shd w:val="clear" w:color="auto" w:fill="auto"/>
          </w:tcPr>
          <w:p w:rsidR="00AE52BD" w:rsidRPr="00AE52BD" w:rsidP="001803BE" w14:paraId="2AFE7CE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1.5</w:t>
            </w:r>
          </w:p>
        </w:tc>
        <w:tc>
          <w:tcPr>
            <w:tcW w:w="900" w:type="dxa"/>
            <w:shd w:val="clear" w:color="auto" w:fill="auto"/>
          </w:tcPr>
          <w:p w:rsidR="00AE52BD" w:rsidRPr="00AE52BD" w:rsidP="001803BE" w14:paraId="000B01D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2,700</w:t>
            </w:r>
          </w:p>
        </w:tc>
      </w:tr>
      <w:tr w14:paraId="1B13EEF9" w14:textId="77777777" w:rsidTr="001803BE">
        <w:tblPrEx>
          <w:tblW w:w="9360" w:type="dxa"/>
          <w:tblInd w:w="468" w:type="dxa"/>
          <w:tblLayout w:type="fixed"/>
          <w:tblLook w:val="01E0"/>
        </w:tblPrEx>
        <w:trPr>
          <w:trHeight w:val="476"/>
        </w:trPr>
        <w:tc>
          <w:tcPr>
            <w:tcW w:w="2430" w:type="dxa"/>
            <w:shd w:val="clear" w:color="auto" w:fill="auto"/>
          </w:tcPr>
          <w:p w:rsidR="00AE52BD" w:rsidRPr="00AE52BD" w:rsidP="001803BE" w14:paraId="3576D87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Observation Screening</w:t>
            </w:r>
          </w:p>
        </w:tc>
        <w:tc>
          <w:tcPr>
            <w:tcW w:w="1350" w:type="dxa"/>
            <w:shd w:val="clear" w:color="auto" w:fill="auto"/>
          </w:tcPr>
          <w:p w:rsidR="00AE52BD" w:rsidRPr="00AE52BD" w:rsidP="001803BE" w14:paraId="2B5BADB8"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720</w:t>
            </w:r>
          </w:p>
        </w:tc>
        <w:tc>
          <w:tcPr>
            <w:tcW w:w="1710" w:type="dxa"/>
          </w:tcPr>
          <w:p w:rsidR="00AE52BD" w:rsidRPr="00AE52BD" w:rsidP="001803BE" w14:paraId="772426C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40F1D187"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720</w:t>
            </w:r>
          </w:p>
        </w:tc>
        <w:tc>
          <w:tcPr>
            <w:tcW w:w="1620" w:type="dxa"/>
            <w:shd w:val="clear" w:color="auto" w:fill="auto"/>
          </w:tcPr>
          <w:p w:rsidR="00AE52BD" w:rsidRPr="00AE52BD" w:rsidP="001803BE" w14:paraId="18000B7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 xml:space="preserve">.08 </w:t>
            </w:r>
          </w:p>
          <w:p w:rsidR="00AE52BD" w:rsidRPr="00AE52BD" w:rsidP="001803BE" w14:paraId="54C4FC38"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(5 minutes)</w:t>
            </w:r>
          </w:p>
        </w:tc>
        <w:tc>
          <w:tcPr>
            <w:tcW w:w="900" w:type="dxa"/>
            <w:shd w:val="clear" w:color="auto" w:fill="auto"/>
          </w:tcPr>
          <w:p w:rsidR="00AE52BD" w:rsidRPr="00AE52BD" w:rsidP="001803BE" w14:paraId="240CD35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58</w:t>
            </w:r>
          </w:p>
        </w:tc>
      </w:tr>
      <w:tr w14:paraId="7F966784" w14:textId="77777777" w:rsidTr="001803BE">
        <w:tblPrEx>
          <w:tblW w:w="9360" w:type="dxa"/>
          <w:tblInd w:w="468" w:type="dxa"/>
          <w:tblLayout w:type="fixed"/>
          <w:tblLook w:val="01E0"/>
        </w:tblPrEx>
        <w:trPr>
          <w:trHeight w:val="233"/>
        </w:trPr>
        <w:tc>
          <w:tcPr>
            <w:tcW w:w="2430" w:type="dxa"/>
            <w:shd w:val="clear" w:color="auto" w:fill="auto"/>
          </w:tcPr>
          <w:p w:rsidR="00AE52BD" w:rsidRPr="00AE52BD" w:rsidP="001803BE" w14:paraId="66C3756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Observations</w:t>
            </w:r>
          </w:p>
        </w:tc>
        <w:tc>
          <w:tcPr>
            <w:tcW w:w="1350" w:type="dxa"/>
            <w:shd w:val="clear" w:color="auto" w:fill="auto"/>
          </w:tcPr>
          <w:p w:rsidR="00AE52BD" w:rsidRPr="00AE52BD" w:rsidP="001803BE" w14:paraId="737D1F41"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144</w:t>
            </w:r>
          </w:p>
        </w:tc>
        <w:tc>
          <w:tcPr>
            <w:tcW w:w="1710" w:type="dxa"/>
          </w:tcPr>
          <w:p w:rsidR="00AE52BD" w:rsidRPr="00AE52BD" w:rsidP="001803BE" w14:paraId="2224EB17"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w:t>
            </w:r>
          </w:p>
        </w:tc>
        <w:tc>
          <w:tcPr>
            <w:tcW w:w="1350" w:type="dxa"/>
          </w:tcPr>
          <w:p w:rsidR="00AE52BD" w:rsidRPr="00AE52BD" w:rsidP="001803BE" w14:paraId="7D5B892C"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144</w:t>
            </w:r>
          </w:p>
        </w:tc>
        <w:tc>
          <w:tcPr>
            <w:tcW w:w="1620" w:type="dxa"/>
            <w:shd w:val="clear" w:color="auto" w:fill="auto"/>
          </w:tcPr>
          <w:p w:rsidR="00AE52BD" w:rsidRPr="00AE52BD" w:rsidP="001803BE" w14:paraId="3BAA698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 xml:space="preserve">2 </w:t>
            </w:r>
          </w:p>
        </w:tc>
        <w:tc>
          <w:tcPr>
            <w:tcW w:w="900" w:type="dxa"/>
            <w:shd w:val="clear" w:color="auto" w:fill="auto"/>
          </w:tcPr>
          <w:p w:rsidR="00AE52BD" w:rsidRPr="00AE52BD" w:rsidP="001803BE" w14:paraId="13A016C6"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sidRPr="00AE52BD">
              <w:rPr>
                <w:sz w:val="20"/>
                <w:szCs w:val="20"/>
                <w:lang w:bidi="he-IL"/>
              </w:rPr>
              <w:t>288</w:t>
            </w:r>
          </w:p>
        </w:tc>
      </w:tr>
      <w:tr w14:paraId="71C36289" w14:textId="77777777" w:rsidTr="001803BE">
        <w:tblPrEx>
          <w:tblW w:w="9360" w:type="dxa"/>
          <w:tblInd w:w="468" w:type="dxa"/>
          <w:tblLayout w:type="fixed"/>
          <w:tblLook w:val="01E0"/>
        </w:tblPrEx>
        <w:trPr>
          <w:trHeight w:val="287"/>
        </w:trPr>
        <w:tc>
          <w:tcPr>
            <w:tcW w:w="2430" w:type="dxa"/>
            <w:shd w:val="clear" w:color="auto" w:fill="auto"/>
          </w:tcPr>
          <w:p w:rsidR="00AE52BD" w:rsidRPr="00AE52BD" w:rsidP="001803BE" w14:paraId="480E3EFE" w14:textId="1BFB90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lang w:bidi="he-IL"/>
              </w:rPr>
            </w:pPr>
            <w:r w:rsidRPr="00AE52BD">
              <w:rPr>
                <w:sz w:val="20"/>
                <w:szCs w:val="20"/>
                <w:lang w:bidi="he-IL"/>
              </w:rPr>
              <w:t>T</w:t>
            </w:r>
            <w:r w:rsidR="003136EF">
              <w:rPr>
                <w:sz w:val="20"/>
                <w:szCs w:val="20"/>
                <w:lang w:bidi="he-IL"/>
              </w:rPr>
              <w:t>otal</w:t>
            </w:r>
            <w:r w:rsidRPr="00AE52BD">
              <w:rPr>
                <w:sz w:val="20"/>
                <w:szCs w:val="20"/>
                <w:lang w:bidi="he-IL"/>
              </w:rPr>
              <w:t xml:space="preserve"> </w:t>
            </w:r>
          </w:p>
        </w:tc>
        <w:tc>
          <w:tcPr>
            <w:tcW w:w="1350" w:type="dxa"/>
            <w:shd w:val="clear" w:color="auto" w:fill="auto"/>
          </w:tcPr>
          <w:p w:rsidR="00AE52BD" w:rsidRPr="00AE52BD" w:rsidP="001803BE" w14:paraId="659382D8"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p>
        </w:tc>
        <w:tc>
          <w:tcPr>
            <w:tcW w:w="1710" w:type="dxa"/>
            <w:shd w:val="clear" w:color="auto" w:fill="auto"/>
          </w:tcPr>
          <w:p w:rsidR="00AE52BD" w:rsidRPr="00AE52BD" w:rsidP="001803BE" w14:paraId="670F79E0"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p>
        </w:tc>
        <w:tc>
          <w:tcPr>
            <w:tcW w:w="1350" w:type="dxa"/>
            <w:shd w:val="clear" w:color="auto" w:fill="auto"/>
          </w:tcPr>
          <w:p w:rsidR="00AE52BD" w:rsidRPr="00AE52BD" w:rsidP="001803BE" w14:paraId="57C3654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10</w:t>
            </w:r>
            <w:r w:rsidRPr="00AE52BD">
              <w:rPr>
                <w:sz w:val="20"/>
                <w:szCs w:val="20"/>
                <w:lang w:bidi="he-IL"/>
              </w:rPr>
              <w:t>,</w:t>
            </w:r>
            <w:r>
              <w:rPr>
                <w:sz w:val="20"/>
                <w:szCs w:val="20"/>
                <w:lang w:bidi="he-IL"/>
              </w:rPr>
              <w:t>664</w:t>
            </w:r>
          </w:p>
        </w:tc>
        <w:tc>
          <w:tcPr>
            <w:tcW w:w="1620" w:type="dxa"/>
            <w:shd w:val="clear" w:color="auto" w:fill="auto"/>
          </w:tcPr>
          <w:p w:rsidR="00AE52BD" w:rsidRPr="00AE52BD" w:rsidP="001803BE" w14:paraId="7E1266D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p>
        </w:tc>
        <w:tc>
          <w:tcPr>
            <w:tcW w:w="900" w:type="dxa"/>
            <w:shd w:val="clear" w:color="auto" w:fill="auto"/>
          </w:tcPr>
          <w:p w:rsidR="00AE52BD" w:rsidRPr="00AE52BD" w:rsidP="001803BE" w14:paraId="2300D3A0"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sz w:val="20"/>
                <w:szCs w:val="20"/>
                <w:lang w:bidi="he-IL"/>
              </w:rPr>
            </w:pPr>
            <w:r>
              <w:rPr>
                <w:sz w:val="20"/>
                <w:szCs w:val="20"/>
                <w:lang w:bidi="he-IL"/>
              </w:rPr>
              <w:t>3,870</w:t>
            </w:r>
          </w:p>
        </w:tc>
      </w:tr>
    </w:tbl>
    <w:p w:rsidR="00AE52BD" w:rsidRPr="001803BE" w:rsidP="001803BE" w14:paraId="6FA8118F" w14:textId="3B16F20D">
      <w:pPr>
        <w:numPr>
          <w:ilvl w:val="12"/>
          <w:numId w:val="0"/>
        </w:num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0"/>
          <w:szCs w:val="20"/>
          <w:lang w:bidi="he-IL"/>
        </w:rPr>
      </w:pPr>
      <w:r w:rsidRPr="001803BE">
        <w:rPr>
          <w:sz w:val="20"/>
          <w:szCs w:val="20"/>
          <w:vertAlign w:val="superscript"/>
        </w:rPr>
        <w:t>1</w:t>
      </w:r>
      <w:r w:rsidRPr="001803BE">
        <w:rPr>
          <w:sz w:val="20"/>
          <w:szCs w:val="20"/>
        </w:rPr>
        <w:t xml:space="preserve"> There are no capital costs or operating and maintenance costs associated with this collection of information.</w:t>
      </w:r>
    </w:p>
    <w:p w:rsidR="00C37758" w:rsidP="00AB1F30" w14:paraId="1DB69B74"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bidi="he-IL"/>
        </w:rPr>
      </w:pPr>
    </w:p>
    <w:p w:rsidR="00C37758" w:rsidP="00C37758" w14:paraId="01767867" w14:textId="7955FB8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bidi="he-IL"/>
        </w:rPr>
      </w:pPr>
      <w:r>
        <w:rPr>
          <w:lang w:bidi="he-IL"/>
        </w:rPr>
        <w:t xml:space="preserve">These estimates are based on both historical </w:t>
      </w:r>
      <w:r>
        <w:rPr>
          <w:lang w:bidi="he-IL"/>
        </w:rPr>
        <w:t>numbers</w:t>
      </w:r>
      <w:r>
        <w:rPr>
          <w:lang w:bidi="he-IL"/>
        </w:rPr>
        <w:t xml:space="preserve"> of participants from past projects as well as estimates for projects to be conducted in the next 3 years.  Based on a review of the information collection since our last request for OMB approval, we have adjusted our burden estimate based on actual usage of this collection of information and have decreased the number of responses and hours by half for the first four rows in </w:t>
      </w:r>
      <w:r w:rsidR="002F40D2">
        <w:rPr>
          <w:lang w:bidi="he-IL"/>
        </w:rPr>
        <w:t>T</w:t>
      </w:r>
      <w:r>
        <w:rPr>
          <w:lang w:bidi="he-IL"/>
        </w:rPr>
        <w:t>able 1</w:t>
      </w:r>
      <w:r w:rsidRPr="00FF2C6E" w:rsidR="00FF2C6E">
        <w:t xml:space="preserve"> </w:t>
      </w:r>
      <w:r w:rsidRPr="00FF2C6E" w:rsidR="00FF2C6E">
        <w:rPr>
          <w:lang w:bidi="he-IL"/>
        </w:rPr>
        <w:t>with the other rows remaining the same</w:t>
      </w:r>
      <w:r>
        <w:rPr>
          <w:lang w:bidi="he-IL"/>
        </w:rPr>
        <w:t xml:space="preserve">.  </w:t>
      </w:r>
      <w:r w:rsidRPr="00EC5F87" w:rsidR="00EC5F87">
        <w:rPr>
          <w:lang w:bidi="he-IL"/>
        </w:rPr>
        <w:t>For the first four rows, w</w:t>
      </w:r>
      <w:r>
        <w:rPr>
          <w:lang w:bidi="he-IL"/>
        </w:rPr>
        <w:t>e have reduced our estimate for the number of responses from 19,600 to 9,800 responses (a decrease of 9,800 responses) and reduced the number of hours from 7,048 to 3,524 hours (a decrease of 3,524 hours) based on our experience conducting these collections of information.</w:t>
      </w:r>
    </w:p>
    <w:bookmarkEnd w:id="0"/>
    <w:p w:rsidR="00C37758" w:rsidRPr="00AE52BD" w:rsidP="00D7787A" w14:paraId="38F5B0EE" w14:textId="777777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bidi="he-IL"/>
        </w:rPr>
      </w:pPr>
    </w:p>
    <w:p w:rsidR="00357C8A" w:rsidP="00AB1F30" w14:paraId="44916611" w14:textId="77777777">
      <w:pPr>
        <w:ind w:left="360"/>
        <w:rPr>
          <w:rFonts w:eastAsia="Calibri"/>
        </w:rPr>
      </w:pPr>
      <w:r w:rsidRPr="005C71CA">
        <w:rPr>
          <w:rFonts w:eastAsia="Calibri"/>
        </w:rPr>
        <w:t>12b.  Annualized Cost Burden Estimate</w:t>
      </w:r>
    </w:p>
    <w:p w:rsidR="00AB1F30" w:rsidRPr="005C71CA" w:rsidP="00AB1F30" w14:paraId="190563AF" w14:textId="77777777">
      <w:pPr>
        <w:ind w:left="360"/>
        <w:rPr>
          <w:rFonts w:eastAsia="Calibri"/>
        </w:rPr>
      </w:pPr>
    </w:p>
    <w:p w:rsidR="00437B94" w:rsidRPr="00AD1A80" w:rsidP="00D7787A" w14:paraId="7ECDEB51" w14:textId="21608CAA">
      <w:pPr>
        <w:autoSpaceDE w:val="0"/>
        <w:autoSpaceDN w:val="0"/>
        <w:adjustRightInd w:val="0"/>
        <w:ind w:left="360"/>
        <w:rPr>
          <w:lang w:bidi="he-IL"/>
        </w:rPr>
      </w:pPr>
      <w:r w:rsidRPr="00AD1A80">
        <w:rPr>
          <w:lang w:bidi="he-IL"/>
        </w:rPr>
        <w:t xml:space="preserve">The </w:t>
      </w:r>
      <w:r w:rsidRPr="00AD1A80">
        <w:rPr>
          <w:lang w:bidi="he-IL"/>
        </w:rPr>
        <w:t>general public</w:t>
      </w:r>
      <w:r w:rsidRPr="00AD1A80">
        <w:rPr>
          <w:lang w:bidi="he-IL"/>
        </w:rPr>
        <w:t xml:space="preserve"> will complete the majority of data collections.  </w:t>
      </w:r>
      <w:r w:rsidR="00013182">
        <w:rPr>
          <w:lang w:bidi="he-IL"/>
        </w:rPr>
        <w:t xml:space="preserve">The average </w:t>
      </w:r>
      <w:r w:rsidR="00E85607">
        <w:rPr>
          <w:lang w:bidi="he-IL"/>
        </w:rPr>
        <w:t xml:space="preserve">hourly </w:t>
      </w:r>
      <w:r w:rsidR="00013182">
        <w:rPr>
          <w:lang w:bidi="he-IL"/>
        </w:rPr>
        <w:t xml:space="preserve">compensation rate for the </w:t>
      </w:r>
      <w:r w:rsidR="00013182">
        <w:rPr>
          <w:lang w:bidi="he-IL"/>
        </w:rPr>
        <w:t>general public</w:t>
      </w:r>
      <w:r w:rsidR="00013182">
        <w:rPr>
          <w:lang w:bidi="he-IL"/>
        </w:rPr>
        <w:t xml:space="preserve"> is estimated to be equivalent to a </w:t>
      </w:r>
      <w:r w:rsidR="009B4AE7">
        <w:rPr>
          <w:lang w:bidi="he-IL"/>
        </w:rPr>
        <w:t>F</w:t>
      </w:r>
      <w:r w:rsidR="00013182">
        <w:rPr>
          <w:lang w:bidi="he-IL"/>
        </w:rPr>
        <w:t xml:space="preserve">ederal </w:t>
      </w:r>
      <w:r w:rsidR="009B4AE7">
        <w:rPr>
          <w:lang w:bidi="he-IL"/>
        </w:rPr>
        <w:t>G</w:t>
      </w:r>
      <w:r w:rsidR="00013182">
        <w:rPr>
          <w:lang w:bidi="he-IL"/>
        </w:rPr>
        <w:t>overnment employee at the GS</w:t>
      </w:r>
      <w:r w:rsidR="009B1811">
        <w:rPr>
          <w:lang w:bidi="he-IL"/>
        </w:rPr>
        <w:t>-</w:t>
      </w:r>
      <w:r w:rsidR="00013182">
        <w:rPr>
          <w:lang w:bidi="he-IL"/>
        </w:rPr>
        <w:t>9</w:t>
      </w:r>
      <w:r w:rsidR="000172EA">
        <w:rPr>
          <w:lang w:bidi="he-IL"/>
        </w:rPr>
        <w:t>,</w:t>
      </w:r>
      <w:r w:rsidR="00013182">
        <w:rPr>
          <w:lang w:bidi="he-IL"/>
        </w:rPr>
        <w:t xml:space="preserve"> step</w:t>
      </w:r>
      <w:r w:rsidR="000172EA">
        <w:rPr>
          <w:lang w:bidi="he-IL"/>
        </w:rPr>
        <w:t>-</w:t>
      </w:r>
      <w:r w:rsidR="00013182">
        <w:rPr>
          <w:lang w:bidi="he-IL"/>
        </w:rPr>
        <w:t>1 level</w:t>
      </w:r>
      <w:r w:rsidR="00031310">
        <w:rPr>
          <w:lang w:bidi="he-IL"/>
        </w:rPr>
        <w:t xml:space="preserve"> </w:t>
      </w:r>
      <w:bookmarkStart w:id="1" w:name="_Hlk238206524"/>
      <w:r w:rsidRPr="00031310" w:rsidR="00031310">
        <w:rPr>
          <w:lang w:bidi="he-IL"/>
        </w:rPr>
        <w:t>in the locality pay area of Washington-Baltimore</w:t>
      </w:r>
      <w:bookmarkEnd w:id="1"/>
      <w:r w:rsidRPr="00031310" w:rsidR="00031310">
        <w:rPr>
          <w:lang w:bidi="he-IL"/>
        </w:rPr>
        <w:t xml:space="preserve"> in 202</w:t>
      </w:r>
      <w:r w:rsidR="00234F83">
        <w:rPr>
          <w:lang w:bidi="he-IL"/>
        </w:rPr>
        <w:t>6</w:t>
      </w:r>
      <w:r w:rsidR="00653117">
        <w:rPr>
          <w:lang w:bidi="he-IL"/>
        </w:rPr>
        <w:t>, which is $33</w:t>
      </w:r>
      <w:r w:rsidR="00853BBB">
        <w:rPr>
          <w:lang w:bidi="he-IL"/>
        </w:rPr>
        <w:t>.84</w:t>
      </w:r>
      <w:r w:rsidR="00013182">
        <w:rPr>
          <w:lang w:bidi="he-IL"/>
        </w:rPr>
        <w:t>.</w:t>
      </w:r>
      <w:r w:rsidRPr="00AD1A80">
        <w:rPr>
          <w:lang w:bidi="he-IL"/>
        </w:rPr>
        <w:t xml:space="preserve"> </w:t>
      </w:r>
      <w:r w:rsidR="00013182">
        <w:rPr>
          <w:lang w:bidi="he-IL"/>
        </w:rPr>
        <w:t xml:space="preserve"> </w:t>
      </w:r>
      <w:r w:rsidRPr="00AF0036" w:rsidR="00AF0036">
        <w:rPr>
          <w:lang w:bidi="he-IL"/>
        </w:rPr>
        <w:t xml:space="preserve">To account for any overhead, we have doubled </w:t>
      </w:r>
      <w:r w:rsidR="00AF0036">
        <w:rPr>
          <w:lang w:bidi="he-IL"/>
        </w:rPr>
        <w:t>the wage rate</w:t>
      </w:r>
      <w:r w:rsidRPr="00AF0036" w:rsidR="00AF0036">
        <w:rPr>
          <w:lang w:bidi="he-IL"/>
        </w:rPr>
        <w:t xml:space="preserve"> to $6</w:t>
      </w:r>
      <w:r w:rsidR="00AF0036">
        <w:rPr>
          <w:lang w:bidi="he-IL"/>
        </w:rPr>
        <w:t>7</w:t>
      </w:r>
      <w:r w:rsidRPr="00AF0036" w:rsidR="00AF0036">
        <w:rPr>
          <w:lang w:bidi="he-IL"/>
        </w:rPr>
        <w:t>.</w:t>
      </w:r>
      <w:r w:rsidR="00AF0036">
        <w:rPr>
          <w:lang w:bidi="he-IL"/>
        </w:rPr>
        <w:t>68</w:t>
      </w:r>
      <w:r w:rsidRPr="00AF0036" w:rsidR="00AF0036">
        <w:rPr>
          <w:lang w:bidi="he-IL"/>
        </w:rPr>
        <w:t xml:space="preserve"> to determine the cost </w:t>
      </w:r>
      <w:r w:rsidRPr="00AF0036" w:rsidR="00AF0036">
        <w:rPr>
          <w:lang w:bidi="he-IL"/>
        </w:rPr>
        <w:t>to</w:t>
      </w:r>
      <w:r w:rsidRPr="00AF0036" w:rsidR="00AF0036">
        <w:rPr>
          <w:lang w:bidi="he-IL"/>
        </w:rPr>
        <w:t xml:space="preserve"> the potential respondents</w:t>
      </w:r>
      <w:r w:rsidRPr="001D507B" w:rsidR="001D507B">
        <w:rPr>
          <w:lang w:bidi="he-IL"/>
        </w:rPr>
        <w:t xml:space="preserve">.  </w:t>
      </w:r>
      <w:r w:rsidRPr="00AD1A80" w:rsidR="000B516B">
        <w:rPr>
          <w:lang w:bidi="he-IL"/>
        </w:rPr>
        <w:t xml:space="preserve">The estimated annualized cost for the </w:t>
      </w:r>
      <w:r w:rsidRPr="00AD1A80" w:rsidR="000B516B">
        <w:rPr>
          <w:lang w:bidi="he-IL"/>
        </w:rPr>
        <w:t>general public</w:t>
      </w:r>
      <w:r w:rsidRPr="00AD1A80" w:rsidR="000B516B">
        <w:rPr>
          <w:lang w:bidi="he-IL"/>
        </w:rPr>
        <w:t xml:space="preserve"> for </w:t>
      </w:r>
      <w:r w:rsidR="000B516B">
        <w:rPr>
          <w:lang w:bidi="he-IL"/>
        </w:rPr>
        <w:t>3,870</w:t>
      </w:r>
      <w:r w:rsidRPr="00AD1A80" w:rsidR="000B516B">
        <w:rPr>
          <w:lang w:bidi="he-IL"/>
        </w:rPr>
        <w:t xml:space="preserve"> hours of reporting time is $</w:t>
      </w:r>
      <w:r w:rsidR="006D1009">
        <w:rPr>
          <w:lang w:bidi="he-IL"/>
        </w:rPr>
        <w:t>261,921.60</w:t>
      </w:r>
      <w:r w:rsidR="000B516B">
        <w:rPr>
          <w:lang w:bidi="he-IL"/>
        </w:rPr>
        <w:t xml:space="preserve"> (</w:t>
      </w:r>
      <w:r w:rsidRPr="00F6449A" w:rsidR="000B516B">
        <w:rPr>
          <w:lang w:bidi="he-IL"/>
        </w:rPr>
        <w:t>$</w:t>
      </w:r>
      <w:r w:rsidRPr="00AF0036" w:rsidR="006D1009">
        <w:rPr>
          <w:lang w:bidi="he-IL"/>
        </w:rPr>
        <w:t>6</w:t>
      </w:r>
      <w:r w:rsidR="006D1009">
        <w:rPr>
          <w:lang w:bidi="he-IL"/>
        </w:rPr>
        <w:t>7</w:t>
      </w:r>
      <w:r w:rsidRPr="00AF0036" w:rsidR="006D1009">
        <w:rPr>
          <w:lang w:bidi="he-IL"/>
        </w:rPr>
        <w:t>.</w:t>
      </w:r>
      <w:r w:rsidR="006D1009">
        <w:rPr>
          <w:lang w:bidi="he-IL"/>
        </w:rPr>
        <w:t>68</w:t>
      </w:r>
      <w:r w:rsidR="000B516B">
        <w:rPr>
          <w:lang w:bidi="he-IL"/>
        </w:rPr>
        <w:t xml:space="preserve"> </w:t>
      </w:r>
      <w:bookmarkStart w:id="2" w:name="_Hlk238206860"/>
      <w:r w:rsidRPr="00F6449A" w:rsidR="000B516B">
        <w:rPr>
          <w:lang w:bidi="he-IL"/>
        </w:rPr>
        <w:t>×</w:t>
      </w:r>
      <w:bookmarkEnd w:id="2"/>
      <w:r w:rsidR="000B516B">
        <w:rPr>
          <w:lang w:bidi="he-IL"/>
        </w:rPr>
        <w:t xml:space="preserve"> </w:t>
      </w:r>
      <w:r w:rsidRPr="00F6449A" w:rsidR="000B516B">
        <w:rPr>
          <w:lang w:bidi="he-IL"/>
        </w:rPr>
        <w:t>3,870 hours</w:t>
      </w:r>
      <w:r w:rsidR="000B516B">
        <w:rPr>
          <w:lang w:bidi="he-IL"/>
        </w:rPr>
        <w:t>)</w:t>
      </w:r>
      <w:r w:rsidRPr="00AD1A80" w:rsidR="000B516B">
        <w:rPr>
          <w:lang w:bidi="he-IL"/>
        </w:rPr>
        <w:t xml:space="preserve">.  </w:t>
      </w:r>
      <w:r w:rsidRPr="00AD1A80">
        <w:rPr>
          <w:lang w:bidi="he-IL"/>
        </w:rPr>
        <w:t>The number of participants and length of response</w:t>
      </w:r>
      <w:r w:rsidR="00E1141C">
        <w:rPr>
          <w:lang w:bidi="he-IL"/>
        </w:rPr>
        <w:t xml:space="preserve"> are</w:t>
      </w:r>
      <w:r w:rsidRPr="00AD1A80">
        <w:rPr>
          <w:lang w:bidi="he-IL"/>
        </w:rPr>
        <w:t xml:space="preserve"> based on FDA prior experience with communications testing and an estimate of the communication needs of </w:t>
      </w:r>
      <w:r w:rsidR="00D869BC">
        <w:rPr>
          <w:lang w:bidi="he-IL"/>
        </w:rPr>
        <w:t>HFP</w:t>
      </w:r>
      <w:r w:rsidRPr="00AD1A80">
        <w:rPr>
          <w:lang w:bidi="he-IL"/>
        </w:rPr>
        <w:t xml:space="preserve">.  The actual </w:t>
      </w:r>
      <w:r w:rsidR="001D507B">
        <w:rPr>
          <w:lang w:bidi="he-IL"/>
        </w:rPr>
        <w:t>cost</w:t>
      </w:r>
      <w:r w:rsidRPr="00AD1A80">
        <w:rPr>
          <w:lang w:bidi="he-IL"/>
        </w:rPr>
        <w:t xml:space="preserve"> will vary depending upon the topic of interest.</w:t>
      </w:r>
    </w:p>
    <w:p w:rsidR="00437B94" w:rsidRPr="001803BE" w:rsidP="00437B94" w14:paraId="3CC96BDA" w14:textId="77777777">
      <w:pPr>
        <w:autoSpaceDE w:val="0"/>
        <w:autoSpaceDN w:val="0"/>
        <w:adjustRightInd w:val="0"/>
        <w:rPr>
          <w:sz w:val="20"/>
          <w:szCs w:val="20"/>
          <w:lang w:bidi="he-IL"/>
        </w:rPr>
      </w:pPr>
    </w:p>
    <w:p w:rsidR="00437B94" w:rsidRPr="001803BE" w:rsidP="00437B94" w14:paraId="163B538E" w14:textId="14B79E5B">
      <w:pPr>
        <w:autoSpaceDE w:val="0"/>
        <w:autoSpaceDN w:val="0"/>
        <w:adjustRightInd w:val="0"/>
        <w:jc w:val="center"/>
        <w:rPr>
          <w:sz w:val="20"/>
          <w:szCs w:val="20"/>
          <w:lang w:bidi="he-IL"/>
        </w:rPr>
      </w:pPr>
      <w:r w:rsidRPr="001803BE">
        <w:rPr>
          <w:sz w:val="20"/>
          <w:szCs w:val="20"/>
          <w:lang w:bidi="he-IL"/>
        </w:rPr>
        <w:t>Table 2.-</w:t>
      </w:r>
      <w:r w:rsidRPr="001803BE" w:rsidR="00AB1F30">
        <w:rPr>
          <w:sz w:val="20"/>
          <w:szCs w:val="20"/>
          <w:lang w:bidi="he-IL"/>
        </w:rPr>
        <w:t>-</w:t>
      </w:r>
      <w:r w:rsidRPr="001803BE">
        <w:rPr>
          <w:sz w:val="20"/>
          <w:szCs w:val="20"/>
          <w:lang w:bidi="he-IL"/>
        </w:rPr>
        <w:t>Estimated Annual Cost Burden</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30"/>
        <w:gridCol w:w="1710"/>
        <w:gridCol w:w="1530"/>
        <w:gridCol w:w="1800"/>
      </w:tblGrid>
      <w:tr w14:paraId="0D5117D0" w14:textId="77777777" w:rsidTr="001803BE">
        <w:tblPrEx>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230" w:type="dxa"/>
            <w:shd w:val="clear" w:color="auto" w:fill="auto"/>
          </w:tcPr>
          <w:p w:rsidR="00437B94" w:rsidRPr="001803BE" w:rsidP="001803BE" w14:paraId="7D011B64" w14:textId="77777777">
            <w:pPr>
              <w:autoSpaceDE w:val="0"/>
              <w:autoSpaceDN w:val="0"/>
              <w:adjustRightInd w:val="0"/>
              <w:jc w:val="center"/>
              <w:rPr>
                <w:sz w:val="20"/>
                <w:szCs w:val="20"/>
                <w:lang w:bidi="he-IL"/>
              </w:rPr>
            </w:pPr>
            <w:r w:rsidRPr="001803BE">
              <w:rPr>
                <w:sz w:val="20"/>
                <w:szCs w:val="20"/>
                <w:lang w:bidi="he-IL"/>
              </w:rPr>
              <w:t>Type of Interview</w:t>
            </w:r>
          </w:p>
        </w:tc>
        <w:tc>
          <w:tcPr>
            <w:tcW w:w="1710" w:type="dxa"/>
            <w:shd w:val="clear" w:color="auto" w:fill="auto"/>
            <w:vAlign w:val="center"/>
          </w:tcPr>
          <w:p w:rsidR="00437B94" w:rsidRPr="001803BE" w:rsidP="001803BE" w14:paraId="2E84BCFF" w14:textId="77777777">
            <w:pPr>
              <w:autoSpaceDE w:val="0"/>
              <w:autoSpaceDN w:val="0"/>
              <w:adjustRightInd w:val="0"/>
              <w:jc w:val="center"/>
              <w:rPr>
                <w:bCs/>
                <w:sz w:val="20"/>
                <w:szCs w:val="20"/>
                <w:lang w:bidi="he-IL"/>
              </w:rPr>
            </w:pPr>
            <w:r w:rsidRPr="001803BE">
              <w:rPr>
                <w:bCs/>
                <w:sz w:val="20"/>
                <w:szCs w:val="20"/>
                <w:lang w:bidi="he-IL"/>
              </w:rPr>
              <w:t>Total Burden Hours</w:t>
            </w:r>
          </w:p>
        </w:tc>
        <w:tc>
          <w:tcPr>
            <w:tcW w:w="1530" w:type="dxa"/>
          </w:tcPr>
          <w:p w:rsidR="00437B94" w:rsidRPr="001803BE" w:rsidP="001803BE" w14:paraId="35534B3E" w14:textId="12FEBDE2">
            <w:pPr>
              <w:autoSpaceDE w:val="0"/>
              <w:autoSpaceDN w:val="0"/>
              <w:adjustRightInd w:val="0"/>
              <w:jc w:val="center"/>
              <w:rPr>
                <w:bCs/>
                <w:sz w:val="20"/>
                <w:szCs w:val="20"/>
                <w:lang w:bidi="he-IL"/>
              </w:rPr>
            </w:pPr>
            <w:r w:rsidRPr="001803BE">
              <w:rPr>
                <w:bCs/>
                <w:sz w:val="20"/>
                <w:szCs w:val="20"/>
                <w:lang w:bidi="he-IL"/>
              </w:rPr>
              <w:t>Average Rate</w:t>
            </w:r>
          </w:p>
        </w:tc>
        <w:tc>
          <w:tcPr>
            <w:tcW w:w="1800" w:type="dxa"/>
          </w:tcPr>
          <w:p w:rsidR="00437B94" w:rsidRPr="001803BE" w:rsidP="001803BE" w14:paraId="577A63BC" w14:textId="77777777">
            <w:pPr>
              <w:autoSpaceDE w:val="0"/>
              <w:autoSpaceDN w:val="0"/>
              <w:adjustRightInd w:val="0"/>
              <w:jc w:val="center"/>
              <w:rPr>
                <w:bCs/>
                <w:sz w:val="20"/>
                <w:szCs w:val="20"/>
                <w:lang w:bidi="he-IL"/>
              </w:rPr>
            </w:pPr>
            <w:r w:rsidRPr="001803BE">
              <w:rPr>
                <w:bCs/>
                <w:sz w:val="20"/>
                <w:szCs w:val="20"/>
                <w:lang w:bidi="he-IL"/>
              </w:rPr>
              <w:t>Total Participant Cost</w:t>
            </w:r>
          </w:p>
        </w:tc>
      </w:tr>
      <w:tr w14:paraId="388456DD" w14:textId="77777777" w:rsidTr="001803BE">
        <w:tblPrEx>
          <w:tblW w:w="0" w:type="auto"/>
          <w:tblInd w:w="378" w:type="dxa"/>
          <w:tblLook w:val="01E0"/>
        </w:tblPrEx>
        <w:tc>
          <w:tcPr>
            <w:tcW w:w="4230" w:type="dxa"/>
            <w:shd w:val="clear" w:color="auto" w:fill="auto"/>
          </w:tcPr>
          <w:p w:rsidR="00437B94" w:rsidRPr="00FE3426" w:rsidP="003965BF" w14:paraId="7B0B4B58" w14:textId="77777777">
            <w:pPr>
              <w:autoSpaceDE w:val="0"/>
              <w:autoSpaceDN w:val="0"/>
              <w:adjustRightInd w:val="0"/>
              <w:rPr>
                <w:sz w:val="20"/>
                <w:szCs w:val="20"/>
                <w:lang w:bidi="he-IL"/>
              </w:rPr>
            </w:pPr>
            <w:r w:rsidRPr="00FE3426">
              <w:rPr>
                <w:sz w:val="20"/>
                <w:szCs w:val="20"/>
                <w:lang w:bidi="he-IL"/>
              </w:rPr>
              <w:t>Individual In-Depth Interview Screening</w:t>
            </w:r>
          </w:p>
        </w:tc>
        <w:tc>
          <w:tcPr>
            <w:tcW w:w="1710" w:type="dxa"/>
            <w:shd w:val="clear" w:color="auto" w:fill="auto"/>
          </w:tcPr>
          <w:p w:rsidR="00437B94" w:rsidRPr="00FE3426" w:rsidP="001803BE" w14:paraId="7B56656D" w14:textId="77777777">
            <w:pPr>
              <w:autoSpaceDE w:val="0"/>
              <w:autoSpaceDN w:val="0"/>
              <w:adjustRightInd w:val="0"/>
              <w:jc w:val="right"/>
              <w:rPr>
                <w:sz w:val="20"/>
                <w:szCs w:val="20"/>
                <w:lang w:bidi="he-IL"/>
              </w:rPr>
            </w:pPr>
            <w:r w:rsidRPr="00FE3426">
              <w:rPr>
                <w:sz w:val="20"/>
                <w:szCs w:val="20"/>
                <w:lang w:bidi="he-IL"/>
              </w:rPr>
              <w:t>192</w:t>
            </w:r>
          </w:p>
        </w:tc>
        <w:tc>
          <w:tcPr>
            <w:tcW w:w="1530" w:type="dxa"/>
          </w:tcPr>
          <w:p w:rsidR="00437B94" w:rsidRPr="00FE3426" w:rsidP="001803BE" w14:paraId="3C7E0D8B"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4ADA6C94" w14:textId="77777777">
            <w:pPr>
              <w:autoSpaceDE w:val="0"/>
              <w:autoSpaceDN w:val="0"/>
              <w:adjustRightInd w:val="0"/>
              <w:jc w:val="right"/>
              <w:rPr>
                <w:sz w:val="20"/>
                <w:szCs w:val="20"/>
                <w:lang w:bidi="he-IL"/>
              </w:rPr>
            </w:pPr>
            <w:r w:rsidRPr="00FE3426">
              <w:rPr>
                <w:sz w:val="20"/>
                <w:szCs w:val="20"/>
                <w:lang w:bidi="he-IL"/>
              </w:rPr>
              <w:t>$</w:t>
            </w:r>
            <w:r w:rsidRPr="00FE3426" w:rsidR="00667481">
              <w:rPr>
                <w:sz w:val="20"/>
                <w:szCs w:val="20"/>
                <w:lang w:bidi="he-IL"/>
              </w:rPr>
              <w:t xml:space="preserve"> </w:t>
            </w:r>
            <w:r w:rsidRPr="00FE3426">
              <w:rPr>
                <w:sz w:val="20"/>
                <w:szCs w:val="20"/>
                <w:lang w:bidi="he-IL"/>
              </w:rPr>
              <w:t xml:space="preserve"> </w:t>
            </w:r>
            <w:r w:rsidRPr="00FE3426" w:rsidR="001D507B">
              <w:rPr>
                <w:sz w:val="20"/>
                <w:szCs w:val="20"/>
                <w:lang w:bidi="he-IL"/>
              </w:rPr>
              <w:t>12</w:t>
            </w:r>
            <w:r w:rsidRPr="00FE3426">
              <w:rPr>
                <w:sz w:val="20"/>
                <w:szCs w:val="20"/>
                <w:lang w:bidi="he-IL"/>
              </w:rPr>
              <w:t>,</w:t>
            </w:r>
            <w:r w:rsidRPr="00FE3426" w:rsidR="001D507B">
              <w:rPr>
                <w:sz w:val="20"/>
                <w:szCs w:val="20"/>
                <w:lang w:bidi="he-IL"/>
              </w:rPr>
              <w:t>994.56</w:t>
            </w:r>
          </w:p>
        </w:tc>
      </w:tr>
      <w:tr w14:paraId="4E778A75" w14:textId="77777777" w:rsidTr="001803BE">
        <w:tblPrEx>
          <w:tblW w:w="0" w:type="auto"/>
          <w:tblInd w:w="378" w:type="dxa"/>
          <w:tblLook w:val="01E0"/>
        </w:tblPrEx>
        <w:tc>
          <w:tcPr>
            <w:tcW w:w="4230" w:type="dxa"/>
            <w:shd w:val="clear" w:color="auto" w:fill="auto"/>
          </w:tcPr>
          <w:p w:rsidR="00437B94" w:rsidRPr="00FE3426" w:rsidP="003965BF" w14:paraId="480521BE" w14:textId="77777777">
            <w:pPr>
              <w:autoSpaceDE w:val="0"/>
              <w:autoSpaceDN w:val="0"/>
              <w:adjustRightInd w:val="0"/>
              <w:rPr>
                <w:sz w:val="20"/>
                <w:szCs w:val="20"/>
                <w:lang w:bidi="he-IL"/>
              </w:rPr>
            </w:pPr>
            <w:r w:rsidRPr="00FE3426">
              <w:rPr>
                <w:sz w:val="20"/>
                <w:szCs w:val="20"/>
                <w:lang w:bidi="he-IL"/>
              </w:rPr>
              <w:t>Individual In-Depth Interviews</w:t>
            </w:r>
          </w:p>
        </w:tc>
        <w:tc>
          <w:tcPr>
            <w:tcW w:w="1710" w:type="dxa"/>
            <w:shd w:val="clear" w:color="auto" w:fill="auto"/>
          </w:tcPr>
          <w:p w:rsidR="00437B94" w:rsidRPr="00FE3426" w:rsidP="001803BE" w14:paraId="07EC5E7A" w14:textId="77777777">
            <w:pPr>
              <w:autoSpaceDE w:val="0"/>
              <w:autoSpaceDN w:val="0"/>
              <w:adjustRightInd w:val="0"/>
              <w:jc w:val="right"/>
              <w:rPr>
                <w:sz w:val="20"/>
                <w:szCs w:val="20"/>
                <w:lang w:bidi="he-IL"/>
              </w:rPr>
            </w:pPr>
            <w:r w:rsidRPr="00FE3426">
              <w:rPr>
                <w:sz w:val="20"/>
                <w:szCs w:val="20"/>
                <w:lang w:bidi="he-IL"/>
              </w:rPr>
              <w:t>200</w:t>
            </w:r>
          </w:p>
        </w:tc>
        <w:tc>
          <w:tcPr>
            <w:tcW w:w="1530" w:type="dxa"/>
          </w:tcPr>
          <w:p w:rsidR="00437B94" w:rsidRPr="00FE3426" w:rsidP="001803BE" w14:paraId="11F129BE"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6BDB1312" w14:textId="77777777">
            <w:pPr>
              <w:autoSpaceDE w:val="0"/>
              <w:autoSpaceDN w:val="0"/>
              <w:adjustRightInd w:val="0"/>
              <w:jc w:val="right"/>
              <w:rPr>
                <w:sz w:val="20"/>
                <w:szCs w:val="20"/>
                <w:lang w:bidi="he-IL"/>
              </w:rPr>
            </w:pPr>
            <w:r w:rsidRPr="00FE3426">
              <w:rPr>
                <w:sz w:val="20"/>
                <w:szCs w:val="20"/>
                <w:lang w:bidi="he-IL"/>
              </w:rPr>
              <w:t xml:space="preserve">$ </w:t>
            </w:r>
            <w:r w:rsidRPr="00FE3426" w:rsidR="00667481">
              <w:rPr>
                <w:sz w:val="20"/>
                <w:szCs w:val="20"/>
                <w:lang w:bidi="he-IL"/>
              </w:rPr>
              <w:t xml:space="preserve"> </w:t>
            </w:r>
            <w:r w:rsidRPr="00FE3426" w:rsidR="001D507B">
              <w:rPr>
                <w:sz w:val="20"/>
                <w:szCs w:val="20"/>
                <w:lang w:bidi="he-IL"/>
              </w:rPr>
              <w:t>13,536.00</w:t>
            </w:r>
          </w:p>
        </w:tc>
      </w:tr>
      <w:tr w14:paraId="6944585B" w14:textId="77777777" w:rsidTr="001803BE">
        <w:tblPrEx>
          <w:tblW w:w="0" w:type="auto"/>
          <w:tblInd w:w="378" w:type="dxa"/>
          <w:tblLook w:val="01E0"/>
        </w:tblPrEx>
        <w:tc>
          <w:tcPr>
            <w:tcW w:w="4230" w:type="dxa"/>
            <w:shd w:val="clear" w:color="auto" w:fill="auto"/>
          </w:tcPr>
          <w:p w:rsidR="00437B94" w:rsidRPr="00FE3426" w:rsidP="003965BF" w14:paraId="5B077A27" w14:textId="77777777">
            <w:pPr>
              <w:autoSpaceDE w:val="0"/>
              <w:autoSpaceDN w:val="0"/>
              <w:adjustRightInd w:val="0"/>
              <w:rPr>
                <w:sz w:val="20"/>
                <w:szCs w:val="20"/>
                <w:lang w:bidi="he-IL"/>
              </w:rPr>
            </w:pPr>
            <w:r w:rsidRPr="00FE3426">
              <w:rPr>
                <w:sz w:val="20"/>
                <w:szCs w:val="20"/>
                <w:lang w:bidi="he-IL"/>
              </w:rPr>
              <w:t>Focus Group/Small Group Participant Screening</w:t>
            </w:r>
          </w:p>
        </w:tc>
        <w:tc>
          <w:tcPr>
            <w:tcW w:w="1710" w:type="dxa"/>
            <w:shd w:val="clear" w:color="auto" w:fill="auto"/>
          </w:tcPr>
          <w:p w:rsidR="00437B94" w:rsidRPr="00FE3426" w:rsidP="001803BE" w14:paraId="48E6073B" w14:textId="77777777">
            <w:pPr>
              <w:autoSpaceDE w:val="0"/>
              <w:autoSpaceDN w:val="0"/>
              <w:adjustRightInd w:val="0"/>
              <w:jc w:val="right"/>
              <w:rPr>
                <w:sz w:val="20"/>
                <w:szCs w:val="20"/>
                <w:lang w:bidi="he-IL"/>
              </w:rPr>
            </w:pPr>
            <w:r w:rsidRPr="00FE3426">
              <w:rPr>
                <w:sz w:val="20"/>
                <w:szCs w:val="20"/>
                <w:lang w:bidi="he-IL"/>
              </w:rPr>
              <w:t>432</w:t>
            </w:r>
          </w:p>
        </w:tc>
        <w:tc>
          <w:tcPr>
            <w:tcW w:w="1530" w:type="dxa"/>
          </w:tcPr>
          <w:p w:rsidR="00437B94" w:rsidRPr="00FE3426" w:rsidP="001803BE" w14:paraId="3BB02CD7"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70B4F5BD" w14:textId="77777777">
            <w:pPr>
              <w:autoSpaceDE w:val="0"/>
              <w:autoSpaceDN w:val="0"/>
              <w:adjustRightInd w:val="0"/>
              <w:jc w:val="right"/>
              <w:rPr>
                <w:sz w:val="20"/>
                <w:szCs w:val="20"/>
                <w:lang w:bidi="he-IL"/>
              </w:rPr>
            </w:pPr>
            <w:r w:rsidRPr="00FE3426">
              <w:rPr>
                <w:sz w:val="20"/>
                <w:szCs w:val="20"/>
                <w:lang w:bidi="he-IL"/>
              </w:rPr>
              <w:t xml:space="preserve">$ </w:t>
            </w:r>
            <w:r w:rsidRPr="00FE3426" w:rsidR="00667481">
              <w:rPr>
                <w:sz w:val="20"/>
                <w:szCs w:val="20"/>
                <w:lang w:bidi="he-IL"/>
              </w:rPr>
              <w:t xml:space="preserve"> </w:t>
            </w:r>
            <w:r w:rsidRPr="00FE3426" w:rsidR="001D507B">
              <w:rPr>
                <w:sz w:val="20"/>
                <w:szCs w:val="20"/>
                <w:lang w:bidi="he-IL"/>
              </w:rPr>
              <w:t>29,237.76</w:t>
            </w:r>
          </w:p>
        </w:tc>
      </w:tr>
      <w:tr w14:paraId="778F3E49" w14:textId="77777777" w:rsidTr="001803BE">
        <w:tblPrEx>
          <w:tblW w:w="0" w:type="auto"/>
          <w:tblInd w:w="378" w:type="dxa"/>
          <w:tblLook w:val="01E0"/>
        </w:tblPrEx>
        <w:tc>
          <w:tcPr>
            <w:tcW w:w="4230" w:type="dxa"/>
            <w:shd w:val="clear" w:color="auto" w:fill="auto"/>
          </w:tcPr>
          <w:p w:rsidR="00437B94" w:rsidRPr="00FE3426" w:rsidP="003965BF" w14:paraId="7DFE8F45" w14:textId="6342D449">
            <w:pPr>
              <w:autoSpaceDE w:val="0"/>
              <w:autoSpaceDN w:val="0"/>
              <w:adjustRightInd w:val="0"/>
              <w:rPr>
                <w:sz w:val="20"/>
                <w:szCs w:val="20"/>
                <w:lang w:bidi="he-IL"/>
              </w:rPr>
            </w:pPr>
            <w:r w:rsidRPr="00FE3426">
              <w:rPr>
                <w:sz w:val="20"/>
                <w:szCs w:val="20"/>
                <w:lang w:bidi="he-IL"/>
              </w:rPr>
              <w:t>Focus Groups/Small Group Discussion</w:t>
            </w:r>
          </w:p>
        </w:tc>
        <w:tc>
          <w:tcPr>
            <w:tcW w:w="1710" w:type="dxa"/>
            <w:shd w:val="clear" w:color="auto" w:fill="auto"/>
          </w:tcPr>
          <w:p w:rsidR="00437B94" w:rsidRPr="00FE3426" w:rsidP="001803BE" w14:paraId="29CB3FB5" w14:textId="77777777">
            <w:pPr>
              <w:autoSpaceDE w:val="0"/>
              <w:autoSpaceDN w:val="0"/>
              <w:adjustRightInd w:val="0"/>
              <w:jc w:val="right"/>
              <w:rPr>
                <w:sz w:val="20"/>
                <w:szCs w:val="20"/>
                <w:lang w:bidi="he-IL"/>
              </w:rPr>
            </w:pPr>
            <w:r w:rsidRPr="00FE3426">
              <w:rPr>
                <w:sz w:val="20"/>
                <w:szCs w:val="20"/>
                <w:lang w:bidi="he-IL"/>
              </w:rPr>
              <w:t>2,700</w:t>
            </w:r>
          </w:p>
        </w:tc>
        <w:tc>
          <w:tcPr>
            <w:tcW w:w="1530" w:type="dxa"/>
          </w:tcPr>
          <w:p w:rsidR="00437B94" w:rsidRPr="00FE3426" w:rsidP="001803BE" w14:paraId="7557BD1F"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41FF3B35"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182,736.00</w:t>
            </w:r>
          </w:p>
        </w:tc>
      </w:tr>
      <w:tr w14:paraId="2CE5A064" w14:textId="77777777" w:rsidTr="001803BE">
        <w:tblPrEx>
          <w:tblW w:w="0" w:type="auto"/>
          <w:tblInd w:w="378" w:type="dxa"/>
          <w:tblLook w:val="01E0"/>
        </w:tblPrEx>
        <w:tc>
          <w:tcPr>
            <w:tcW w:w="4230" w:type="dxa"/>
            <w:shd w:val="clear" w:color="auto" w:fill="auto"/>
          </w:tcPr>
          <w:p w:rsidR="00437B94" w:rsidRPr="00FE3426" w:rsidP="003965BF" w14:paraId="4D557526" w14:textId="77777777">
            <w:pPr>
              <w:autoSpaceDE w:val="0"/>
              <w:autoSpaceDN w:val="0"/>
              <w:adjustRightInd w:val="0"/>
              <w:rPr>
                <w:sz w:val="20"/>
                <w:szCs w:val="20"/>
                <w:lang w:bidi="he-IL"/>
              </w:rPr>
            </w:pPr>
            <w:r w:rsidRPr="00FE3426">
              <w:rPr>
                <w:sz w:val="20"/>
                <w:szCs w:val="20"/>
                <w:lang w:bidi="he-IL"/>
              </w:rPr>
              <w:t>Observation Screening</w:t>
            </w:r>
          </w:p>
        </w:tc>
        <w:tc>
          <w:tcPr>
            <w:tcW w:w="1710" w:type="dxa"/>
            <w:shd w:val="clear" w:color="auto" w:fill="auto"/>
          </w:tcPr>
          <w:p w:rsidR="00437B94" w:rsidRPr="00FE3426" w:rsidP="001803BE" w14:paraId="627C0BBE" w14:textId="77777777">
            <w:pPr>
              <w:autoSpaceDE w:val="0"/>
              <w:autoSpaceDN w:val="0"/>
              <w:adjustRightInd w:val="0"/>
              <w:jc w:val="right"/>
              <w:rPr>
                <w:sz w:val="20"/>
                <w:szCs w:val="20"/>
                <w:lang w:bidi="he-IL"/>
              </w:rPr>
            </w:pPr>
            <w:r w:rsidRPr="00FE3426">
              <w:rPr>
                <w:sz w:val="20"/>
                <w:szCs w:val="20"/>
                <w:lang w:bidi="he-IL"/>
              </w:rPr>
              <w:t>58</w:t>
            </w:r>
          </w:p>
        </w:tc>
        <w:tc>
          <w:tcPr>
            <w:tcW w:w="1530" w:type="dxa"/>
          </w:tcPr>
          <w:p w:rsidR="00437B94" w:rsidRPr="00FE3426" w:rsidP="001803BE" w14:paraId="4BDB692A"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3B5E54BD" w14:textId="77777777">
            <w:pPr>
              <w:autoSpaceDE w:val="0"/>
              <w:autoSpaceDN w:val="0"/>
              <w:adjustRightInd w:val="0"/>
              <w:jc w:val="right"/>
              <w:rPr>
                <w:sz w:val="20"/>
                <w:szCs w:val="20"/>
                <w:lang w:bidi="he-IL"/>
              </w:rPr>
            </w:pPr>
            <w:r w:rsidRPr="00FE3426">
              <w:rPr>
                <w:sz w:val="20"/>
                <w:szCs w:val="20"/>
                <w:lang w:bidi="he-IL"/>
              </w:rPr>
              <w:t xml:space="preserve">$    </w:t>
            </w:r>
            <w:r w:rsidRPr="00FE3426" w:rsidR="001D507B">
              <w:rPr>
                <w:sz w:val="20"/>
                <w:szCs w:val="20"/>
                <w:lang w:bidi="he-IL"/>
              </w:rPr>
              <w:t>3,925.44</w:t>
            </w:r>
          </w:p>
        </w:tc>
      </w:tr>
      <w:tr w14:paraId="46E411CA" w14:textId="77777777" w:rsidTr="001803BE">
        <w:tblPrEx>
          <w:tblW w:w="0" w:type="auto"/>
          <w:tblInd w:w="378" w:type="dxa"/>
          <w:tblLook w:val="01E0"/>
        </w:tblPrEx>
        <w:tc>
          <w:tcPr>
            <w:tcW w:w="4230" w:type="dxa"/>
            <w:shd w:val="clear" w:color="auto" w:fill="auto"/>
          </w:tcPr>
          <w:p w:rsidR="00437B94" w:rsidRPr="00FE3426" w:rsidP="003965BF" w14:paraId="0046EBFB" w14:textId="77777777">
            <w:pPr>
              <w:autoSpaceDE w:val="0"/>
              <w:autoSpaceDN w:val="0"/>
              <w:adjustRightInd w:val="0"/>
              <w:rPr>
                <w:sz w:val="20"/>
                <w:szCs w:val="20"/>
                <w:lang w:bidi="he-IL"/>
              </w:rPr>
            </w:pPr>
            <w:r w:rsidRPr="00FE3426">
              <w:rPr>
                <w:sz w:val="20"/>
                <w:szCs w:val="20"/>
                <w:lang w:bidi="he-IL"/>
              </w:rPr>
              <w:t>Observations</w:t>
            </w:r>
          </w:p>
        </w:tc>
        <w:tc>
          <w:tcPr>
            <w:tcW w:w="1710" w:type="dxa"/>
            <w:shd w:val="clear" w:color="auto" w:fill="auto"/>
          </w:tcPr>
          <w:p w:rsidR="00437B94" w:rsidRPr="00FE3426" w:rsidP="001803BE" w14:paraId="3BD7B2E2" w14:textId="77777777">
            <w:pPr>
              <w:autoSpaceDE w:val="0"/>
              <w:autoSpaceDN w:val="0"/>
              <w:adjustRightInd w:val="0"/>
              <w:jc w:val="right"/>
              <w:rPr>
                <w:sz w:val="20"/>
                <w:szCs w:val="20"/>
                <w:lang w:bidi="he-IL"/>
              </w:rPr>
            </w:pPr>
            <w:r w:rsidRPr="00FE3426">
              <w:rPr>
                <w:sz w:val="20"/>
                <w:szCs w:val="20"/>
                <w:lang w:bidi="he-IL"/>
              </w:rPr>
              <w:t>288</w:t>
            </w:r>
          </w:p>
        </w:tc>
        <w:tc>
          <w:tcPr>
            <w:tcW w:w="1530" w:type="dxa"/>
          </w:tcPr>
          <w:p w:rsidR="00437B94" w:rsidRPr="00FE3426" w:rsidP="001803BE" w14:paraId="5CF65281"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67.68</w:t>
            </w:r>
          </w:p>
        </w:tc>
        <w:tc>
          <w:tcPr>
            <w:tcW w:w="1800" w:type="dxa"/>
          </w:tcPr>
          <w:p w:rsidR="00437B94" w:rsidRPr="00FE3426" w:rsidP="00AB1F30" w14:paraId="70C8153F" w14:textId="77777777">
            <w:pPr>
              <w:autoSpaceDE w:val="0"/>
              <w:autoSpaceDN w:val="0"/>
              <w:adjustRightInd w:val="0"/>
              <w:jc w:val="right"/>
              <w:rPr>
                <w:sz w:val="20"/>
                <w:szCs w:val="20"/>
                <w:lang w:bidi="he-IL"/>
              </w:rPr>
            </w:pPr>
            <w:r w:rsidRPr="00FE3426">
              <w:rPr>
                <w:sz w:val="20"/>
                <w:szCs w:val="20"/>
                <w:lang w:bidi="he-IL"/>
              </w:rPr>
              <w:t xml:space="preserve">$  </w:t>
            </w:r>
            <w:r w:rsidRPr="00FE3426" w:rsidR="001D507B">
              <w:rPr>
                <w:sz w:val="20"/>
                <w:szCs w:val="20"/>
                <w:lang w:bidi="he-IL"/>
              </w:rPr>
              <w:t>19,491.84</w:t>
            </w:r>
          </w:p>
        </w:tc>
      </w:tr>
      <w:tr w14:paraId="44CDB721" w14:textId="77777777" w:rsidTr="001803BE">
        <w:tblPrEx>
          <w:tblW w:w="0" w:type="auto"/>
          <w:tblInd w:w="378" w:type="dxa"/>
          <w:tblLook w:val="01E0"/>
        </w:tblPrEx>
        <w:tc>
          <w:tcPr>
            <w:tcW w:w="7470" w:type="dxa"/>
            <w:gridSpan w:val="3"/>
            <w:shd w:val="clear" w:color="auto" w:fill="auto"/>
          </w:tcPr>
          <w:p w:rsidR="00437B94" w:rsidRPr="00FE3426" w:rsidP="003965BF" w14:paraId="368B4E9F" w14:textId="15D6DC73">
            <w:pPr>
              <w:autoSpaceDE w:val="0"/>
              <w:autoSpaceDN w:val="0"/>
              <w:adjustRightInd w:val="0"/>
              <w:rPr>
                <w:sz w:val="20"/>
                <w:szCs w:val="20"/>
                <w:lang w:bidi="he-IL"/>
              </w:rPr>
            </w:pPr>
            <w:r w:rsidRPr="00FE3426">
              <w:rPr>
                <w:sz w:val="20"/>
                <w:szCs w:val="20"/>
                <w:lang w:bidi="he-IL"/>
              </w:rPr>
              <w:t>T</w:t>
            </w:r>
            <w:r w:rsidR="00483D59">
              <w:rPr>
                <w:sz w:val="20"/>
                <w:szCs w:val="20"/>
                <w:lang w:bidi="he-IL"/>
              </w:rPr>
              <w:t>otal</w:t>
            </w:r>
            <w:r w:rsidRPr="00FE3426">
              <w:rPr>
                <w:sz w:val="20"/>
                <w:szCs w:val="20"/>
                <w:lang w:bidi="he-IL"/>
              </w:rPr>
              <w:t xml:space="preserve"> </w:t>
            </w:r>
          </w:p>
        </w:tc>
        <w:tc>
          <w:tcPr>
            <w:tcW w:w="1800" w:type="dxa"/>
            <w:shd w:val="clear" w:color="auto" w:fill="auto"/>
          </w:tcPr>
          <w:p w:rsidR="00437B94" w:rsidRPr="00FE3426" w:rsidP="00AB1F30" w14:paraId="1953F43E" w14:textId="77777777">
            <w:pPr>
              <w:autoSpaceDE w:val="0"/>
              <w:autoSpaceDN w:val="0"/>
              <w:adjustRightInd w:val="0"/>
              <w:jc w:val="right"/>
              <w:rPr>
                <w:sz w:val="20"/>
                <w:szCs w:val="20"/>
                <w:lang w:bidi="he-IL"/>
              </w:rPr>
            </w:pPr>
            <w:r w:rsidRPr="00FE3426">
              <w:rPr>
                <w:sz w:val="20"/>
                <w:szCs w:val="20"/>
                <w:lang w:bidi="he-IL"/>
              </w:rPr>
              <w:t>$</w:t>
            </w:r>
            <w:r w:rsidRPr="00FE3426" w:rsidR="001D507B">
              <w:rPr>
                <w:sz w:val="20"/>
                <w:szCs w:val="20"/>
                <w:lang w:bidi="he-IL"/>
              </w:rPr>
              <w:t>261,921.</w:t>
            </w:r>
            <w:r w:rsidRPr="00FE3426" w:rsidR="00E62376">
              <w:rPr>
                <w:sz w:val="20"/>
                <w:szCs w:val="20"/>
                <w:lang w:bidi="he-IL"/>
              </w:rPr>
              <w:t>60</w:t>
            </w:r>
          </w:p>
        </w:tc>
      </w:tr>
    </w:tbl>
    <w:p w:rsidR="00A82760" w:rsidRPr="00A82760" w:rsidP="00437B94" w14:paraId="22F74734" w14:textId="77777777">
      <w:pPr>
        <w:rPr>
          <w:lang w:bidi="he-IL"/>
        </w:rPr>
      </w:pPr>
    </w:p>
    <w:p w:rsidR="00357C8A" w:rsidRPr="00357C8A" w:rsidP="00AB1F30" w14:paraId="0373640B" w14:textId="77777777">
      <w:pPr>
        <w:numPr>
          <w:ilvl w:val="0"/>
          <w:numId w:val="6"/>
        </w:numPr>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AB1F30" w:rsidP="00AB1F30" w14:paraId="7CD1BEC7" w14:textId="77777777">
      <w:pPr>
        <w:pStyle w:val="ListParagraph"/>
        <w:tabs>
          <w:tab w:val="left" w:pos="3668"/>
        </w:tabs>
        <w:ind w:left="0"/>
      </w:pPr>
    </w:p>
    <w:p w:rsidR="00437B94" w:rsidP="00AB1F30" w14:paraId="1590CEC2" w14:textId="77777777">
      <w:pPr>
        <w:pStyle w:val="ListParagraph"/>
        <w:tabs>
          <w:tab w:val="left" w:pos="3668"/>
        </w:tabs>
        <w:ind w:left="0"/>
      </w:pPr>
      <w:r w:rsidRPr="00B77285">
        <w:t xml:space="preserve">There </w:t>
      </w:r>
      <w:r w:rsidRPr="00B77285">
        <w:t>are</w:t>
      </w:r>
      <w:r w:rsidRPr="00B77285">
        <w:t xml:space="preserve"> no capital, start-up, operating, or maintenance costs associated with this information collection.</w:t>
      </w:r>
    </w:p>
    <w:p w:rsidR="00AB1F30" w:rsidRPr="00AD1A80" w:rsidP="00AB1F30" w14:paraId="6F58A2B1" w14:textId="77777777">
      <w:pPr>
        <w:pStyle w:val="ListParagraph"/>
        <w:tabs>
          <w:tab w:val="left" w:pos="3668"/>
        </w:tabs>
        <w:ind w:left="0"/>
      </w:pPr>
    </w:p>
    <w:p w:rsidR="00357C8A" w:rsidRPr="00357C8A" w:rsidP="006705EA" w14:paraId="366665AD" w14:textId="77777777">
      <w:pPr>
        <w:numPr>
          <w:ilvl w:val="0"/>
          <w:numId w:val="6"/>
        </w:numPr>
        <w:spacing w:after="200" w:line="276" w:lineRule="auto"/>
        <w:rPr>
          <w:rFonts w:eastAsia="Calibri"/>
          <w:u w:val="single"/>
        </w:rPr>
      </w:pPr>
      <w:r w:rsidRPr="00357C8A">
        <w:rPr>
          <w:rFonts w:eastAsia="Calibri"/>
          <w:u w:val="single"/>
        </w:rPr>
        <w:t>Annualized Cost to the Federal Government</w:t>
      </w:r>
    </w:p>
    <w:p w:rsidR="00437B94" w:rsidRPr="00B77285" w:rsidP="00437B94" w14:paraId="11575D9D" w14:textId="77777777">
      <w:pPr>
        <w:pStyle w:val="ListParagraph"/>
        <w:spacing w:before="100" w:beforeAutospacing="1" w:after="100" w:afterAutospacing="1"/>
        <w:ind w:left="0"/>
      </w:pPr>
      <w:r w:rsidRPr="00B77285">
        <w:t xml:space="preserve">FDA incurs costs to conduct qualitative research, including potentially hiring a contractor to provide a facilitator/moderator, rent meeting space, travel to conduct the groups, and provide participants with minimum payment cost in the form of a token stipend.  </w:t>
      </w:r>
    </w:p>
    <w:p w:rsidR="00437B94" w:rsidP="00437B94" w14:paraId="5FAF199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77285">
        <w:t xml:space="preserve">Costs will include contractor expenses for designing and conducting information collection activities, specifically, drawing samples, training interviewers, collecting and analyzing information, and reporting findings.  Contractor expenses may vary from $20,000-$250,000 depending on the size of the study.  Therefore, </w:t>
      </w:r>
      <w:r w:rsidRPr="00B77285">
        <w:t>in a given year</w:t>
      </w:r>
      <w:r w:rsidRPr="00B77285">
        <w:t>, it is anticipated that approximately $1 million in contractor expenses will be expended to fund at least two large-scale studies and eight smaller-scale studies.</w:t>
      </w:r>
    </w:p>
    <w:p w:rsidR="00437B94" w:rsidRPr="00B77285" w:rsidP="00437B94" w14:paraId="5B76841C"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437B94" w:rsidP="00437B94" w14:paraId="6CB70B79" w14:textId="0CAC1C7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77285">
        <w:t xml:space="preserve">In addition, government staff costs may be incurred for monitoring by the government Project Officer and Senior Analyst, projected to be about 25 percent of </w:t>
      </w:r>
      <w:r w:rsidR="007B7551">
        <w:t>the</w:t>
      </w:r>
      <w:r w:rsidRPr="00B77285">
        <w:t xml:space="preserve"> FTEs</w:t>
      </w:r>
      <w:r w:rsidR="007B7551">
        <w:t>’</w:t>
      </w:r>
      <w:r w:rsidRPr="00B77285">
        <w:t xml:space="preserve"> time per year (522 hours).  Given FDA personnel cost for a GS-13, </w:t>
      </w:r>
      <w:r w:rsidR="006E53D3">
        <w:t>s</w:t>
      </w:r>
      <w:r w:rsidRPr="00B77285">
        <w:t>tep 1</w:t>
      </w:r>
      <w:r>
        <w:t xml:space="preserve"> </w:t>
      </w:r>
      <w:r w:rsidRPr="006E53D3" w:rsidR="006E53D3">
        <w:t xml:space="preserve">in the locality pay area of Washington-Baltimore </w:t>
      </w:r>
      <w:r w:rsidR="005F120D">
        <w:t xml:space="preserve">for </w:t>
      </w:r>
      <w:r>
        <w:t>202</w:t>
      </w:r>
      <w:r w:rsidR="004B1EEE">
        <w:t>6</w:t>
      </w:r>
      <w:r w:rsidRPr="00B77285">
        <w:t xml:space="preserve"> is $</w:t>
      </w:r>
      <w:r>
        <w:t xml:space="preserve"> </w:t>
      </w:r>
      <w:r w:rsidR="00E62376">
        <w:t>58.35</w:t>
      </w:r>
      <w:r w:rsidRPr="00B77285">
        <w:t xml:space="preserve"> per hour and doubling this to $</w:t>
      </w:r>
      <w:r w:rsidR="00E62376">
        <w:t>116.70</w:t>
      </w:r>
      <w:r w:rsidRPr="00B77285">
        <w:t xml:space="preserve"> </w:t>
      </w:r>
      <w:r w:rsidR="00BA4F2E">
        <w:t>per</w:t>
      </w:r>
      <w:r w:rsidRPr="00B77285">
        <w:t xml:space="preserve"> hour to account for overhead, $</w:t>
      </w:r>
      <w:r w:rsidR="00E62376">
        <w:t>60,917.40</w:t>
      </w:r>
      <w:r w:rsidRPr="00B77285">
        <w:t xml:space="preserve"> would be spent annually on government staff salaries</w:t>
      </w:r>
      <w:r w:rsidR="006B2730">
        <w:t xml:space="preserve"> (</w:t>
      </w:r>
      <w:r w:rsidRPr="006B2730" w:rsidR="006B2730">
        <w:t>$116.70</w:t>
      </w:r>
      <w:r w:rsidR="006B2730">
        <w:t xml:space="preserve"> </w:t>
      </w:r>
      <w:r w:rsidRPr="006B2730" w:rsidR="006B2730">
        <w:t>×</w:t>
      </w:r>
      <w:r w:rsidR="006B2730">
        <w:t xml:space="preserve"> </w:t>
      </w:r>
      <w:r w:rsidR="00C403BF">
        <w:t>522 hours)</w:t>
      </w:r>
      <w:r w:rsidRPr="00B77285">
        <w:t>.</w:t>
      </w:r>
    </w:p>
    <w:p w:rsidR="00437B94" w:rsidRPr="00B77285" w:rsidP="00437B94" w14:paraId="454010F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437B94" w:rsidP="00437B94" w14:paraId="45D80F93" w14:textId="41CD5C7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77285">
        <w:t>The total estimated annual cost to the government for this collection of information is $</w:t>
      </w:r>
      <w:r>
        <w:t>1,</w:t>
      </w:r>
      <w:r w:rsidR="00E62376">
        <w:t>060</w:t>
      </w:r>
      <w:r>
        <w:t>,</w:t>
      </w:r>
      <w:r w:rsidR="00E62376">
        <w:t>917</w:t>
      </w:r>
      <w:r>
        <w:t>.</w:t>
      </w:r>
      <w:r w:rsidR="00E62376">
        <w:t>40</w:t>
      </w:r>
      <w:r w:rsidR="004B1EEE">
        <w:t xml:space="preserve">, </w:t>
      </w:r>
      <w:r w:rsidRPr="00B77285">
        <w:t xml:space="preserve">which is equal to the total of contractor expenses ($1 million) plus FDA government staff </w:t>
      </w:r>
      <w:r w:rsidRPr="00C9026B" w:rsidR="00C9026B">
        <w:t>personnel</w:t>
      </w:r>
      <w:r w:rsidRPr="00B77285">
        <w:t xml:space="preserve"> cost ($</w:t>
      </w:r>
      <w:r w:rsidR="00E62376">
        <w:t>60,917.40</w:t>
      </w:r>
      <w:r w:rsidRPr="00B77285">
        <w:t>)</w:t>
      </w:r>
      <w:r>
        <w:t>.</w:t>
      </w:r>
    </w:p>
    <w:p w:rsidR="00A82760" w:rsidP="00437B94" w14:paraId="0CDA628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357C8A" w:rsidP="006705EA" w14:paraId="3103A77F" w14:textId="7E6153DD">
      <w:pPr>
        <w:numPr>
          <w:ilvl w:val="0"/>
          <w:numId w:val="6"/>
        </w:numPr>
        <w:spacing w:after="200" w:line="276" w:lineRule="auto"/>
        <w:rPr>
          <w:rFonts w:eastAsia="Calibri"/>
          <w:u w:val="single"/>
        </w:rPr>
      </w:pPr>
      <w:r w:rsidRPr="00357C8A">
        <w:rPr>
          <w:rFonts w:eastAsia="Calibri"/>
          <w:u w:val="single"/>
        </w:rPr>
        <w:t>Explanation for Program Changes or Adjustments</w:t>
      </w:r>
    </w:p>
    <w:p w:rsidR="00A82760" w:rsidP="00437B94" w14:paraId="743D78AB" w14:textId="1B0037F7">
      <w:pPr>
        <w:autoSpaceDE w:val="0"/>
        <w:autoSpaceDN w:val="0"/>
        <w:adjustRightInd w:val="0"/>
      </w:pPr>
      <w:r>
        <w:t xml:space="preserve">Based on a review of the information collection since our last request for OMB approval, we have adjusted our burden estimate based on actual usage of this collection of information and have decreased the number of responses and hours by half for the first four rows in </w:t>
      </w:r>
      <w:r w:rsidR="00AA47F8">
        <w:t>T</w:t>
      </w:r>
      <w:r>
        <w:t>able 1</w:t>
      </w:r>
      <w:r w:rsidRPr="006033D6" w:rsidR="006033D6">
        <w:t xml:space="preserve"> with the other rows remaining the same</w:t>
      </w:r>
      <w:r>
        <w:t xml:space="preserve">.  </w:t>
      </w:r>
      <w:r w:rsidRPr="000179C5" w:rsidR="000179C5">
        <w:t>For the first four rows, w</w:t>
      </w:r>
      <w:r>
        <w:t>e have reduced our estimate for the number of responses from 19,600 to 9,800 responses (a decrease of 9,800 responses) and reduced the number of hours from 7,048 to 3,524 hours (a decrease of 3,524 hours) based on our experience conducting these collections of information over the past three years.  The new burden is estimated at 10,664 responses and 3,870 hours.</w:t>
      </w:r>
    </w:p>
    <w:p w:rsidR="00FE3426" w:rsidP="00437B94" w14:paraId="7BC37517" w14:textId="77777777">
      <w:pPr>
        <w:autoSpaceDE w:val="0"/>
        <w:autoSpaceDN w:val="0"/>
        <w:adjustRightInd w:val="0"/>
      </w:pPr>
    </w:p>
    <w:p w:rsidR="006E729B" w:rsidRPr="006E729B" w:rsidP="006E729B" w14:paraId="242ABDCD" w14:textId="77777777">
      <w:pPr>
        <w:jc w:val="center"/>
        <w:rPr>
          <w:rFonts w:eastAsia="Calibri"/>
        </w:rPr>
      </w:pPr>
      <w:r w:rsidRPr="006E729B">
        <w:rPr>
          <w:sz w:val="20"/>
          <w:szCs w:val="20"/>
        </w:rPr>
        <w:t>Table 3.--Changes or Adjustments to Burden Estimates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8"/>
        <w:gridCol w:w="1800"/>
        <w:gridCol w:w="1620"/>
        <w:gridCol w:w="1530"/>
        <w:gridCol w:w="2682"/>
      </w:tblGrid>
      <w:tr w14:paraId="48DF5C96" w14:textId="77777777" w:rsidTr="001803B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54"/>
        </w:trPr>
        <w:tc>
          <w:tcPr>
            <w:tcW w:w="2088" w:type="dxa"/>
            <w:tcBorders>
              <w:top w:val="single" w:sz="8" w:space="0" w:color="auto"/>
              <w:left w:val="single" w:sz="8" w:space="0" w:color="auto"/>
              <w:bottom w:val="single" w:sz="8" w:space="0" w:color="auto"/>
              <w:right w:val="single" w:sz="8" w:space="0" w:color="auto"/>
            </w:tcBorders>
            <w:shd w:val="clear" w:color="auto" w:fill="auto"/>
          </w:tcPr>
          <w:p w:rsidR="00EF0ACC" w:rsidRPr="00EF0ACC" w:rsidP="00EF0ACC" w14:paraId="28173C5D" w14:textId="45FEA762">
            <w:pPr>
              <w:spacing w:after="200"/>
              <w:jc w:val="center"/>
              <w:rPr>
                <w:rFonts w:eastAsia="Calibri"/>
                <w:sz w:val="20"/>
                <w:szCs w:val="20"/>
              </w:rPr>
            </w:pPr>
            <w:r w:rsidRPr="00EF0ACC">
              <w:rPr>
                <w:sz w:val="20"/>
                <w:szCs w:val="20"/>
              </w:rPr>
              <w:t>Activity</w:t>
            </w:r>
          </w:p>
        </w:tc>
        <w:tc>
          <w:tcPr>
            <w:tcW w:w="1800" w:type="dxa"/>
            <w:tcBorders>
              <w:top w:val="single" w:sz="8" w:space="0" w:color="auto"/>
              <w:left w:val="nil"/>
              <w:bottom w:val="single" w:sz="8" w:space="0" w:color="auto"/>
              <w:right w:val="single" w:sz="8" w:space="0" w:color="auto"/>
            </w:tcBorders>
            <w:shd w:val="clear" w:color="auto" w:fill="auto"/>
          </w:tcPr>
          <w:p w:rsidR="00EF0ACC" w:rsidRPr="00EF0ACC" w:rsidP="00EF0ACC" w14:paraId="1E73728F" w14:textId="77777777">
            <w:pPr>
              <w:spacing w:after="200"/>
              <w:jc w:val="center"/>
              <w:rPr>
                <w:rFonts w:eastAsia="Calibri"/>
                <w:sz w:val="20"/>
                <w:szCs w:val="20"/>
              </w:rPr>
            </w:pPr>
            <w:r w:rsidRPr="00EF0ACC">
              <w:rPr>
                <w:sz w:val="20"/>
                <w:szCs w:val="20"/>
              </w:rPr>
              <w:t>Previously Approved Annual Burden Hours</w:t>
            </w:r>
          </w:p>
        </w:tc>
        <w:tc>
          <w:tcPr>
            <w:tcW w:w="1620" w:type="dxa"/>
            <w:tcBorders>
              <w:top w:val="single" w:sz="8" w:space="0" w:color="auto"/>
              <w:left w:val="nil"/>
              <w:bottom w:val="single" w:sz="8" w:space="0" w:color="auto"/>
              <w:right w:val="single" w:sz="8" w:space="0" w:color="auto"/>
            </w:tcBorders>
            <w:shd w:val="clear" w:color="auto" w:fill="auto"/>
          </w:tcPr>
          <w:p w:rsidR="00EF0ACC" w:rsidRPr="00EF0ACC" w:rsidP="00EF0ACC" w14:paraId="4DFEA952" w14:textId="77777777">
            <w:pPr>
              <w:spacing w:after="200"/>
              <w:jc w:val="center"/>
              <w:rPr>
                <w:rFonts w:eastAsia="Calibri"/>
                <w:sz w:val="20"/>
                <w:szCs w:val="20"/>
              </w:rPr>
            </w:pPr>
            <w:r w:rsidRPr="00EF0ACC">
              <w:rPr>
                <w:sz w:val="20"/>
                <w:szCs w:val="20"/>
              </w:rPr>
              <w:t>Proposed Annual Burden Hours</w:t>
            </w:r>
          </w:p>
        </w:tc>
        <w:tc>
          <w:tcPr>
            <w:tcW w:w="1530" w:type="dxa"/>
            <w:tcBorders>
              <w:top w:val="single" w:sz="8" w:space="0" w:color="auto"/>
              <w:left w:val="nil"/>
              <w:bottom w:val="single" w:sz="8" w:space="0" w:color="auto"/>
              <w:right w:val="single" w:sz="8" w:space="0" w:color="auto"/>
            </w:tcBorders>
            <w:shd w:val="clear" w:color="auto" w:fill="auto"/>
          </w:tcPr>
          <w:p w:rsidR="00EF0ACC" w:rsidRPr="00EF0ACC" w:rsidP="00EF0ACC" w14:paraId="3DB292AB" w14:textId="77777777">
            <w:pPr>
              <w:jc w:val="center"/>
              <w:rPr>
                <w:sz w:val="20"/>
                <w:szCs w:val="20"/>
              </w:rPr>
            </w:pPr>
            <w:r w:rsidRPr="00EF0ACC">
              <w:rPr>
                <w:sz w:val="20"/>
                <w:szCs w:val="20"/>
              </w:rPr>
              <w:t>Difference (Hours)</w:t>
            </w:r>
          </w:p>
          <w:p w:rsidR="00EF0ACC" w:rsidRPr="00EF0ACC" w:rsidP="00EF0ACC" w14:paraId="06B188D6" w14:textId="77777777">
            <w:pPr>
              <w:spacing w:after="200"/>
              <w:jc w:val="center"/>
              <w:rPr>
                <w:rFonts w:eastAsia="Calibri"/>
                <w:sz w:val="20"/>
                <w:szCs w:val="20"/>
              </w:rPr>
            </w:pPr>
            <w:r w:rsidRPr="00EF0ACC">
              <w:rPr>
                <w:sz w:val="20"/>
                <w:szCs w:val="20"/>
              </w:rPr>
              <w:t>(+/-)</w:t>
            </w:r>
          </w:p>
        </w:tc>
        <w:tc>
          <w:tcPr>
            <w:tcW w:w="2682" w:type="dxa"/>
            <w:tcBorders>
              <w:top w:val="single" w:sz="8" w:space="0" w:color="auto"/>
              <w:left w:val="nil"/>
              <w:bottom w:val="single" w:sz="8" w:space="0" w:color="auto"/>
              <w:right w:val="single" w:sz="8" w:space="0" w:color="auto"/>
            </w:tcBorders>
            <w:shd w:val="clear" w:color="auto" w:fill="auto"/>
          </w:tcPr>
          <w:p w:rsidR="00EF0ACC" w:rsidRPr="00EF0ACC" w:rsidP="00EF0ACC" w14:paraId="63DB1DA2" w14:textId="77777777">
            <w:pPr>
              <w:jc w:val="center"/>
              <w:rPr>
                <w:sz w:val="20"/>
                <w:szCs w:val="20"/>
              </w:rPr>
            </w:pPr>
            <w:r w:rsidRPr="00EF0ACC">
              <w:rPr>
                <w:sz w:val="20"/>
                <w:szCs w:val="20"/>
              </w:rPr>
              <w:t>Rationale for Change</w:t>
            </w:r>
          </w:p>
          <w:p w:rsidR="00EF0ACC" w:rsidRPr="00EF0ACC" w:rsidP="00EF0ACC" w14:paraId="680CA9EA" w14:textId="77777777">
            <w:pPr>
              <w:jc w:val="center"/>
              <w:rPr>
                <w:sz w:val="20"/>
                <w:szCs w:val="20"/>
              </w:rPr>
            </w:pPr>
            <w:r w:rsidRPr="00EF0ACC">
              <w:rPr>
                <w:sz w:val="20"/>
                <w:szCs w:val="20"/>
              </w:rPr>
              <w:t>(Estimate Revision/Programmatic)</w:t>
            </w:r>
          </w:p>
        </w:tc>
      </w:tr>
      <w:tr w14:paraId="3A93927A" w14:textId="77777777" w:rsidTr="002E703A">
        <w:tblPrEx>
          <w:tblW w:w="0" w:type="auto"/>
          <w:tblLook w:val="04A0"/>
        </w:tblPrEx>
        <w:trPr>
          <w:trHeight w:val="475"/>
        </w:trPr>
        <w:tc>
          <w:tcPr>
            <w:tcW w:w="2088" w:type="dxa"/>
            <w:shd w:val="clear" w:color="auto" w:fill="auto"/>
          </w:tcPr>
          <w:p w:rsidR="00EF0ACC" w:rsidRPr="00EF0ACC" w:rsidP="00EF0ACC" w14:paraId="3BEFB385" w14:textId="4143A4B6">
            <w:pPr>
              <w:spacing w:after="200"/>
              <w:rPr>
                <w:rFonts w:eastAsia="Calibri"/>
                <w:sz w:val="20"/>
                <w:szCs w:val="20"/>
              </w:rPr>
            </w:pPr>
            <w:r w:rsidRPr="00830259">
              <w:rPr>
                <w:sz w:val="20"/>
                <w:szCs w:val="20"/>
                <w:lang w:bidi="he-IL"/>
              </w:rPr>
              <w:t>Individual In-Depth Interview Screening</w:t>
            </w:r>
          </w:p>
        </w:tc>
        <w:tc>
          <w:tcPr>
            <w:tcW w:w="1800" w:type="dxa"/>
            <w:shd w:val="clear" w:color="auto" w:fill="auto"/>
          </w:tcPr>
          <w:p w:rsidR="00EF0ACC" w:rsidRPr="00EF0ACC" w:rsidP="00EF0ACC" w14:paraId="75C6C4AA" w14:textId="3824CAD7">
            <w:pPr>
              <w:spacing w:after="200"/>
              <w:jc w:val="right"/>
              <w:rPr>
                <w:rFonts w:eastAsia="Calibri"/>
                <w:sz w:val="20"/>
                <w:szCs w:val="20"/>
              </w:rPr>
            </w:pPr>
            <w:r>
              <w:rPr>
                <w:rFonts w:eastAsia="Calibri"/>
                <w:sz w:val="20"/>
                <w:szCs w:val="20"/>
              </w:rPr>
              <w:t>384</w:t>
            </w:r>
          </w:p>
        </w:tc>
        <w:tc>
          <w:tcPr>
            <w:tcW w:w="1620" w:type="dxa"/>
            <w:shd w:val="clear" w:color="auto" w:fill="auto"/>
          </w:tcPr>
          <w:p w:rsidR="00EF0ACC" w:rsidRPr="00EF0ACC" w:rsidP="00EF0ACC" w14:paraId="6573954F" w14:textId="62C2FA1C">
            <w:pPr>
              <w:spacing w:after="200"/>
              <w:jc w:val="right"/>
              <w:rPr>
                <w:rFonts w:eastAsia="Calibri"/>
                <w:sz w:val="20"/>
                <w:szCs w:val="20"/>
              </w:rPr>
            </w:pPr>
            <w:r>
              <w:rPr>
                <w:rFonts w:eastAsia="Calibri"/>
                <w:sz w:val="20"/>
                <w:szCs w:val="20"/>
              </w:rPr>
              <w:t>192</w:t>
            </w:r>
          </w:p>
        </w:tc>
        <w:tc>
          <w:tcPr>
            <w:tcW w:w="1530" w:type="dxa"/>
            <w:shd w:val="clear" w:color="auto" w:fill="auto"/>
          </w:tcPr>
          <w:p w:rsidR="00EF0ACC" w:rsidRPr="00EF0ACC" w:rsidP="00EF0ACC" w14:paraId="1E33D2BD" w14:textId="6DFBD5FF">
            <w:pPr>
              <w:spacing w:after="200"/>
              <w:jc w:val="right"/>
              <w:rPr>
                <w:rFonts w:eastAsia="Calibri"/>
                <w:sz w:val="20"/>
                <w:szCs w:val="20"/>
              </w:rPr>
            </w:pPr>
            <w:r>
              <w:rPr>
                <w:rFonts w:eastAsia="Calibri"/>
                <w:sz w:val="20"/>
                <w:szCs w:val="20"/>
              </w:rPr>
              <w:t>-</w:t>
            </w:r>
            <w:r w:rsidRPr="001912FE">
              <w:rPr>
                <w:rFonts w:eastAsia="Calibri"/>
                <w:sz w:val="20"/>
                <w:szCs w:val="20"/>
              </w:rPr>
              <w:t>192</w:t>
            </w:r>
          </w:p>
        </w:tc>
        <w:tc>
          <w:tcPr>
            <w:tcW w:w="2682" w:type="dxa"/>
            <w:shd w:val="clear" w:color="auto" w:fill="auto"/>
          </w:tcPr>
          <w:p w:rsidR="00EF0ACC" w:rsidRPr="00EF0ACC" w:rsidP="00EF0ACC" w14:paraId="45286ABC" w14:textId="3D743602">
            <w:pPr>
              <w:spacing w:after="200"/>
              <w:rPr>
                <w:rFonts w:eastAsia="Calibri"/>
                <w:sz w:val="20"/>
                <w:szCs w:val="20"/>
              </w:rPr>
            </w:pPr>
            <w:r>
              <w:rPr>
                <w:rFonts w:eastAsia="Calibri"/>
                <w:sz w:val="20"/>
                <w:szCs w:val="20"/>
              </w:rPr>
              <w:t>A</w:t>
            </w:r>
            <w:r w:rsidRPr="00781635">
              <w:rPr>
                <w:rFonts w:eastAsia="Calibri"/>
                <w:sz w:val="20"/>
                <w:szCs w:val="20"/>
              </w:rPr>
              <w:t>djust</w:t>
            </w:r>
            <w:r>
              <w:rPr>
                <w:rFonts w:eastAsia="Calibri"/>
                <w:sz w:val="20"/>
                <w:szCs w:val="20"/>
              </w:rPr>
              <w:t>ment</w:t>
            </w:r>
            <w:r w:rsidRPr="00781635">
              <w:rPr>
                <w:rFonts w:eastAsia="Calibri"/>
                <w:sz w:val="20"/>
                <w:szCs w:val="20"/>
              </w:rPr>
              <w:t xml:space="preserve"> based on </w:t>
            </w:r>
            <w:r w:rsidR="00D452F3">
              <w:rPr>
                <w:rFonts w:eastAsia="Calibri"/>
                <w:sz w:val="20"/>
                <w:szCs w:val="20"/>
              </w:rPr>
              <w:t>past</w:t>
            </w:r>
            <w:r w:rsidR="00A310BF">
              <w:rPr>
                <w:rFonts w:eastAsia="Calibri"/>
                <w:sz w:val="20"/>
                <w:szCs w:val="20"/>
              </w:rPr>
              <w:t xml:space="preserve"> </w:t>
            </w:r>
            <w:r w:rsidR="00607C78">
              <w:rPr>
                <w:rFonts w:eastAsia="Calibri"/>
                <w:sz w:val="20"/>
                <w:szCs w:val="20"/>
              </w:rPr>
              <w:t>usag</w:t>
            </w:r>
            <w:r w:rsidR="00310EB6">
              <w:rPr>
                <w:rFonts w:eastAsia="Calibri"/>
                <w:sz w:val="20"/>
                <w:szCs w:val="20"/>
              </w:rPr>
              <w:t>e</w:t>
            </w:r>
            <w:r w:rsidRPr="00EF0ACC">
              <w:rPr>
                <w:rFonts w:eastAsia="Calibri"/>
                <w:sz w:val="20"/>
                <w:szCs w:val="20"/>
              </w:rPr>
              <w:t>.</w:t>
            </w:r>
          </w:p>
        </w:tc>
      </w:tr>
      <w:tr w14:paraId="16C32CC3" w14:textId="77777777" w:rsidTr="002E703A">
        <w:tblPrEx>
          <w:tblW w:w="0" w:type="auto"/>
          <w:tblLook w:val="04A0"/>
        </w:tblPrEx>
        <w:trPr>
          <w:trHeight w:val="431"/>
        </w:trPr>
        <w:tc>
          <w:tcPr>
            <w:tcW w:w="2088" w:type="dxa"/>
            <w:shd w:val="clear" w:color="auto" w:fill="auto"/>
          </w:tcPr>
          <w:p w:rsidR="00EF0ACC" w:rsidRPr="00EF0ACC" w:rsidP="00EF0ACC" w14:paraId="4A67268A" w14:textId="58BCDFBD">
            <w:pPr>
              <w:spacing w:after="200"/>
              <w:rPr>
                <w:rFonts w:eastAsia="Calibri"/>
                <w:sz w:val="20"/>
                <w:szCs w:val="20"/>
              </w:rPr>
            </w:pPr>
            <w:r w:rsidRPr="009401F9">
              <w:rPr>
                <w:sz w:val="20"/>
                <w:szCs w:val="20"/>
                <w:lang w:bidi="he-IL"/>
              </w:rPr>
              <w:t>Individual In-Depth Interviews</w:t>
            </w:r>
          </w:p>
        </w:tc>
        <w:tc>
          <w:tcPr>
            <w:tcW w:w="1800" w:type="dxa"/>
            <w:shd w:val="clear" w:color="auto" w:fill="auto"/>
          </w:tcPr>
          <w:p w:rsidR="00EF0ACC" w:rsidRPr="00EF0ACC" w:rsidP="00EF0ACC" w14:paraId="723E5C43" w14:textId="54C6B16F">
            <w:pPr>
              <w:spacing w:after="200"/>
              <w:jc w:val="right"/>
              <w:rPr>
                <w:rFonts w:eastAsia="Calibri"/>
                <w:sz w:val="20"/>
                <w:szCs w:val="20"/>
              </w:rPr>
            </w:pPr>
            <w:r w:rsidRPr="00EF0ACC">
              <w:rPr>
                <w:rFonts w:eastAsia="Calibri"/>
                <w:sz w:val="20"/>
                <w:szCs w:val="20"/>
              </w:rPr>
              <w:t>40</w:t>
            </w:r>
            <w:r w:rsidR="00E23174">
              <w:rPr>
                <w:rFonts w:eastAsia="Calibri"/>
                <w:sz w:val="20"/>
                <w:szCs w:val="20"/>
              </w:rPr>
              <w:t>0</w:t>
            </w:r>
          </w:p>
        </w:tc>
        <w:tc>
          <w:tcPr>
            <w:tcW w:w="1620" w:type="dxa"/>
            <w:shd w:val="clear" w:color="auto" w:fill="auto"/>
          </w:tcPr>
          <w:p w:rsidR="00EF0ACC" w:rsidRPr="00EF0ACC" w:rsidP="00EF0ACC" w14:paraId="5D667844" w14:textId="1D8507EF">
            <w:pPr>
              <w:spacing w:after="200"/>
              <w:jc w:val="right"/>
              <w:rPr>
                <w:rFonts w:eastAsia="Calibri"/>
                <w:sz w:val="20"/>
                <w:szCs w:val="20"/>
              </w:rPr>
            </w:pPr>
            <w:r w:rsidRPr="00EF0ACC">
              <w:rPr>
                <w:rFonts w:eastAsia="Calibri"/>
                <w:sz w:val="20"/>
                <w:szCs w:val="20"/>
              </w:rPr>
              <w:t>2</w:t>
            </w:r>
            <w:r w:rsidR="009A4567">
              <w:rPr>
                <w:rFonts w:eastAsia="Calibri"/>
                <w:sz w:val="20"/>
                <w:szCs w:val="20"/>
              </w:rPr>
              <w:t>00</w:t>
            </w:r>
          </w:p>
        </w:tc>
        <w:tc>
          <w:tcPr>
            <w:tcW w:w="1530" w:type="dxa"/>
            <w:shd w:val="clear" w:color="auto" w:fill="auto"/>
          </w:tcPr>
          <w:p w:rsidR="00EF0ACC" w:rsidRPr="00EF0ACC" w:rsidP="00EF0ACC" w14:paraId="3F20A158" w14:textId="22628DBD">
            <w:pPr>
              <w:spacing w:after="200"/>
              <w:jc w:val="right"/>
              <w:rPr>
                <w:rFonts w:eastAsia="Calibri"/>
                <w:sz w:val="20"/>
                <w:szCs w:val="20"/>
              </w:rPr>
            </w:pPr>
            <w:r>
              <w:rPr>
                <w:rFonts w:eastAsia="Calibri"/>
                <w:sz w:val="20"/>
                <w:szCs w:val="20"/>
              </w:rPr>
              <w:t>-20</w:t>
            </w:r>
            <w:r w:rsidRPr="00EF0ACC">
              <w:rPr>
                <w:rFonts w:eastAsia="Calibri"/>
                <w:sz w:val="20"/>
                <w:szCs w:val="20"/>
              </w:rPr>
              <w:t>0</w:t>
            </w:r>
          </w:p>
        </w:tc>
        <w:tc>
          <w:tcPr>
            <w:tcW w:w="2682" w:type="dxa"/>
            <w:shd w:val="clear" w:color="auto" w:fill="auto"/>
          </w:tcPr>
          <w:p w:rsidR="00EF0ACC" w:rsidRPr="00EF0ACC" w:rsidP="00EF0ACC" w14:paraId="61DA823C" w14:textId="219B6060">
            <w:pPr>
              <w:spacing w:after="200"/>
              <w:rPr>
                <w:rFonts w:eastAsia="Calibri"/>
                <w:sz w:val="20"/>
                <w:szCs w:val="20"/>
              </w:rPr>
            </w:pPr>
            <w:r w:rsidRPr="00310EB6">
              <w:rPr>
                <w:rFonts w:eastAsia="Calibri"/>
                <w:sz w:val="20"/>
                <w:szCs w:val="20"/>
              </w:rPr>
              <w:t xml:space="preserve">Adjustment based on past </w:t>
            </w:r>
            <w:r w:rsidRPr="00607C78" w:rsidR="00607C78">
              <w:rPr>
                <w:rFonts w:eastAsia="Calibri"/>
                <w:sz w:val="20"/>
                <w:szCs w:val="20"/>
              </w:rPr>
              <w:t>usage</w:t>
            </w:r>
            <w:r w:rsidRPr="00EF0ACC">
              <w:rPr>
                <w:rFonts w:eastAsia="Calibri"/>
                <w:sz w:val="20"/>
                <w:szCs w:val="20"/>
              </w:rPr>
              <w:t>.</w:t>
            </w:r>
          </w:p>
        </w:tc>
      </w:tr>
      <w:tr w14:paraId="7E62464D" w14:textId="77777777" w:rsidTr="002E703A">
        <w:tblPrEx>
          <w:tblW w:w="0" w:type="auto"/>
          <w:tblLook w:val="04A0"/>
        </w:tblPrEx>
        <w:trPr>
          <w:trHeight w:val="755"/>
        </w:trPr>
        <w:tc>
          <w:tcPr>
            <w:tcW w:w="2088" w:type="dxa"/>
            <w:shd w:val="clear" w:color="auto" w:fill="auto"/>
          </w:tcPr>
          <w:p w:rsidR="00EF0ACC" w:rsidRPr="00EF0ACC" w:rsidP="00EF0ACC" w14:paraId="5898FD12" w14:textId="57348A6D">
            <w:pPr>
              <w:spacing w:after="200"/>
              <w:rPr>
                <w:rFonts w:eastAsia="Calibri"/>
                <w:sz w:val="20"/>
                <w:szCs w:val="20"/>
              </w:rPr>
            </w:pPr>
            <w:r w:rsidRPr="002371AA">
              <w:rPr>
                <w:sz w:val="20"/>
                <w:szCs w:val="20"/>
                <w:lang w:bidi="he-IL"/>
              </w:rPr>
              <w:t>Focus Group/Small Group Participant Screening</w:t>
            </w:r>
          </w:p>
        </w:tc>
        <w:tc>
          <w:tcPr>
            <w:tcW w:w="1800" w:type="dxa"/>
            <w:shd w:val="clear" w:color="auto" w:fill="auto"/>
          </w:tcPr>
          <w:p w:rsidR="00EF0ACC" w:rsidRPr="00EF0ACC" w:rsidP="00EF0ACC" w14:paraId="00317947" w14:textId="72F9CA0E">
            <w:pPr>
              <w:spacing w:after="200"/>
              <w:jc w:val="right"/>
              <w:rPr>
                <w:rFonts w:eastAsia="Calibri"/>
                <w:sz w:val="20"/>
                <w:szCs w:val="20"/>
              </w:rPr>
            </w:pPr>
            <w:r>
              <w:rPr>
                <w:rFonts w:eastAsia="Calibri"/>
                <w:sz w:val="20"/>
                <w:szCs w:val="20"/>
              </w:rPr>
              <w:t>864</w:t>
            </w:r>
          </w:p>
        </w:tc>
        <w:tc>
          <w:tcPr>
            <w:tcW w:w="1620" w:type="dxa"/>
            <w:shd w:val="clear" w:color="auto" w:fill="auto"/>
          </w:tcPr>
          <w:p w:rsidR="00EF0ACC" w:rsidRPr="00EF0ACC" w:rsidP="00EF0ACC" w14:paraId="05065530" w14:textId="33EB2774">
            <w:pPr>
              <w:spacing w:after="200"/>
              <w:jc w:val="right"/>
              <w:rPr>
                <w:rFonts w:eastAsia="Calibri"/>
                <w:sz w:val="20"/>
                <w:szCs w:val="20"/>
              </w:rPr>
            </w:pPr>
            <w:r>
              <w:rPr>
                <w:rFonts w:eastAsia="Calibri"/>
                <w:sz w:val="20"/>
                <w:szCs w:val="20"/>
              </w:rPr>
              <w:t>432</w:t>
            </w:r>
          </w:p>
        </w:tc>
        <w:tc>
          <w:tcPr>
            <w:tcW w:w="1530" w:type="dxa"/>
            <w:shd w:val="clear" w:color="auto" w:fill="auto"/>
          </w:tcPr>
          <w:p w:rsidR="00EF0ACC" w:rsidRPr="00EF0ACC" w:rsidP="00EF0ACC" w14:paraId="5EFED559" w14:textId="3B248E3A">
            <w:pPr>
              <w:spacing w:after="200"/>
              <w:jc w:val="right"/>
              <w:rPr>
                <w:rFonts w:eastAsia="Calibri"/>
                <w:sz w:val="20"/>
                <w:szCs w:val="20"/>
              </w:rPr>
            </w:pPr>
            <w:r>
              <w:rPr>
                <w:rFonts w:eastAsia="Calibri"/>
                <w:sz w:val="20"/>
                <w:szCs w:val="20"/>
              </w:rPr>
              <w:t>-432</w:t>
            </w:r>
          </w:p>
        </w:tc>
        <w:tc>
          <w:tcPr>
            <w:tcW w:w="2682" w:type="dxa"/>
            <w:shd w:val="clear" w:color="auto" w:fill="auto"/>
          </w:tcPr>
          <w:p w:rsidR="00EF0ACC" w:rsidRPr="00EF0ACC" w:rsidP="00EF0ACC" w14:paraId="714BA768" w14:textId="65463F56">
            <w:pPr>
              <w:spacing w:after="200"/>
              <w:rPr>
                <w:rFonts w:eastAsia="Calibri"/>
                <w:sz w:val="20"/>
                <w:szCs w:val="20"/>
              </w:rPr>
            </w:pPr>
            <w:r w:rsidRPr="00607C78">
              <w:rPr>
                <w:rFonts w:eastAsia="Calibri"/>
                <w:sz w:val="20"/>
                <w:szCs w:val="20"/>
              </w:rPr>
              <w:t>Adjustment based on past usage.</w:t>
            </w:r>
          </w:p>
        </w:tc>
      </w:tr>
      <w:tr w14:paraId="2552C901" w14:textId="77777777" w:rsidTr="002E703A">
        <w:tblPrEx>
          <w:tblW w:w="0" w:type="auto"/>
          <w:tblLook w:val="04A0"/>
        </w:tblPrEx>
        <w:trPr>
          <w:trHeight w:val="485"/>
        </w:trPr>
        <w:tc>
          <w:tcPr>
            <w:tcW w:w="2088" w:type="dxa"/>
            <w:shd w:val="clear" w:color="auto" w:fill="auto"/>
          </w:tcPr>
          <w:p w:rsidR="00EF0ACC" w:rsidRPr="00EF0ACC" w:rsidP="00EF0ACC" w14:paraId="1B2FEC30" w14:textId="7758B728">
            <w:pPr>
              <w:spacing w:after="200"/>
              <w:rPr>
                <w:rFonts w:eastAsia="Calibri"/>
                <w:sz w:val="20"/>
                <w:szCs w:val="20"/>
              </w:rPr>
            </w:pPr>
            <w:r w:rsidRPr="00C67A10">
              <w:rPr>
                <w:sz w:val="20"/>
                <w:szCs w:val="20"/>
                <w:lang w:bidi="he-IL"/>
              </w:rPr>
              <w:t>Focus Groups/Small Group Discussion</w:t>
            </w:r>
          </w:p>
        </w:tc>
        <w:tc>
          <w:tcPr>
            <w:tcW w:w="1800" w:type="dxa"/>
            <w:shd w:val="clear" w:color="auto" w:fill="auto"/>
          </w:tcPr>
          <w:p w:rsidR="00EF0ACC" w:rsidRPr="00EF0ACC" w:rsidP="00EF0ACC" w14:paraId="1884BCCA" w14:textId="671200EE">
            <w:pPr>
              <w:spacing w:after="200"/>
              <w:jc w:val="right"/>
              <w:rPr>
                <w:rFonts w:eastAsia="Calibri"/>
                <w:sz w:val="20"/>
                <w:szCs w:val="20"/>
              </w:rPr>
            </w:pPr>
            <w:r>
              <w:rPr>
                <w:rFonts w:eastAsia="Calibri"/>
                <w:sz w:val="20"/>
                <w:szCs w:val="20"/>
              </w:rPr>
              <w:t>5,40</w:t>
            </w:r>
            <w:r w:rsidRPr="00EF0ACC">
              <w:rPr>
                <w:rFonts w:eastAsia="Calibri"/>
                <w:sz w:val="20"/>
                <w:szCs w:val="20"/>
              </w:rPr>
              <w:t>0</w:t>
            </w:r>
          </w:p>
        </w:tc>
        <w:tc>
          <w:tcPr>
            <w:tcW w:w="1620" w:type="dxa"/>
            <w:shd w:val="clear" w:color="auto" w:fill="auto"/>
          </w:tcPr>
          <w:p w:rsidR="00EF0ACC" w:rsidRPr="00EF0ACC" w:rsidP="00EF0ACC" w14:paraId="374B5292" w14:textId="3C6287F2">
            <w:pPr>
              <w:spacing w:after="200"/>
              <w:jc w:val="right"/>
              <w:rPr>
                <w:rFonts w:eastAsia="Calibri"/>
                <w:sz w:val="20"/>
                <w:szCs w:val="20"/>
              </w:rPr>
            </w:pPr>
            <w:r>
              <w:rPr>
                <w:rFonts w:eastAsia="Calibri"/>
                <w:sz w:val="20"/>
                <w:szCs w:val="20"/>
              </w:rPr>
              <w:t>2,700</w:t>
            </w:r>
          </w:p>
        </w:tc>
        <w:tc>
          <w:tcPr>
            <w:tcW w:w="1530" w:type="dxa"/>
            <w:shd w:val="clear" w:color="auto" w:fill="auto"/>
          </w:tcPr>
          <w:p w:rsidR="00EF0ACC" w:rsidRPr="00EF0ACC" w:rsidP="00EF0ACC" w14:paraId="5FAB85ED" w14:textId="03586872">
            <w:pPr>
              <w:spacing w:after="200"/>
              <w:jc w:val="right"/>
              <w:rPr>
                <w:rFonts w:eastAsia="Calibri"/>
                <w:sz w:val="20"/>
                <w:szCs w:val="20"/>
              </w:rPr>
            </w:pPr>
            <w:r>
              <w:rPr>
                <w:rFonts w:eastAsia="Calibri"/>
                <w:sz w:val="20"/>
                <w:szCs w:val="20"/>
              </w:rPr>
              <w:t>-2,700</w:t>
            </w:r>
          </w:p>
        </w:tc>
        <w:tc>
          <w:tcPr>
            <w:tcW w:w="2682" w:type="dxa"/>
            <w:shd w:val="clear" w:color="auto" w:fill="auto"/>
          </w:tcPr>
          <w:p w:rsidR="00EF0ACC" w:rsidRPr="00EF0ACC" w:rsidP="00EF0ACC" w14:paraId="523DBB99" w14:textId="7B04EFBA">
            <w:pPr>
              <w:spacing w:after="200"/>
              <w:rPr>
                <w:rFonts w:eastAsia="Calibri"/>
                <w:sz w:val="20"/>
                <w:szCs w:val="20"/>
              </w:rPr>
            </w:pPr>
            <w:r w:rsidRPr="00607C78">
              <w:rPr>
                <w:rFonts w:eastAsia="Calibri"/>
                <w:sz w:val="20"/>
                <w:szCs w:val="20"/>
              </w:rPr>
              <w:t>Adjustment based on past usage.</w:t>
            </w:r>
          </w:p>
        </w:tc>
      </w:tr>
      <w:tr w14:paraId="500D9406" w14:textId="77777777" w:rsidTr="002E703A">
        <w:tblPrEx>
          <w:tblW w:w="0" w:type="auto"/>
          <w:tblLook w:val="04A0"/>
        </w:tblPrEx>
        <w:trPr>
          <w:trHeight w:val="260"/>
        </w:trPr>
        <w:tc>
          <w:tcPr>
            <w:tcW w:w="2088" w:type="dxa"/>
            <w:shd w:val="clear" w:color="auto" w:fill="auto"/>
          </w:tcPr>
          <w:p w:rsidR="00EF0ACC" w:rsidRPr="00EF0ACC" w:rsidP="00EF0ACC" w14:paraId="437B27C5" w14:textId="77777777">
            <w:pPr>
              <w:spacing w:after="200"/>
              <w:rPr>
                <w:rFonts w:eastAsia="Calibri"/>
                <w:sz w:val="20"/>
                <w:szCs w:val="20"/>
              </w:rPr>
            </w:pPr>
            <w:r w:rsidRPr="00EF0ACC">
              <w:rPr>
                <w:rFonts w:eastAsia="Calibri"/>
                <w:sz w:val="20"/>
                <w:szCs w:val="20"/>
              </w:rPr>
              <w:t>Total</w:t>
            </w:r>
          </w:p>
        </w:tc>
        <w:tc>
          <w:tcPr>
            <w:tcW w:w="1800" w:type="dxa"/>
            <w:shd w:val="clear" w:color="auto" w:fill="auto"/>
          </w:tcPr>
          <w:p w:rsidR="00EF0ACC" w:rsidRPr="00EF0ACC" w:rsidP="00EF0ACC" w14:paraId="66B197E4" w14:textId="74207A6B">
            <w:pPr>
              <w:spacing w:after="200"/>
              <w:jc w:val="right"/>
              <w:rPr>
                <w:rFonts w:eastAsia="Calibri"/>
                <w:sz w:val="20"/>
                <w:szCs w:val="20"/>
              </w:rPr>
            </w:pPr>
            <w:r>
              <w:rPr>
                <w:rFonts w:eastAsia="Calibri"/>
                <w:sz w:val="20"/>
                <w:szCs w:val="20"/>
              </w:rPr>
              <w:t>7</w:t>
            </w:r>
            <w:r w:rsidRPr="00EF0ACC">
              <w:rPr>
                <w:rFonts w:eastAsia="Calibri"/>
                <w:sz w:val="20"/>
                <w:szCs w:val="20"/>
              </w:rPr>
              <w:t>,04</w:t>
            </w:r>
            <w:r>
              <w:rPr>
                <w:rFonts w:eastAsia="Calibri"/>
                <w:sz w:val="20"/>
                <w:szCs w:val="20"/>
              </w:rPr>
              <w:t>8</w:t>
            </w:r>
          </w:p>
        </w:tc>
        <w:tc>
          <w:tcPr>
            <w:tcW w:w="1620" w:type="dxa"/>
            <w:shd w:val="clear" w:color="auto" w:fill="auto"/>
          </w:tcPr>
          <w:p w:rsidR="00EF0ACC" w:rsidRPr="00EF0ACC" w:rsidP="00EF0ACC" w14:paraId="461CF22D" w14:textId="129FCCD1">
            <w:pPr>
              <w:spacing w:after="200"/>
              <w:jc w:val="right"/>
              <w:rPr>
                <w:rFonts w:eastAsia="Calibri"/>
                <w:sz w:val="20"/>
                <w:szCs w:val="20"/>
              </w:rPr>
            </w:pPr>
            <w:r>
              <w:rPr>
                <w:rFonts w:eastAsia="Calibri"/>
                <w:sz w:val="20"/>
                <w:szCs w:val="20"/>
              </w:rPr>
              <w:t>3,524</w:t>
            </w:r>
          </w:p>
        </w:tc>
        <w:tc>
          <w:tcPr>
            <w:tcW w:w="1530" w:type="dxa"/>
            <w:shd w:val="clear" w:color="auto" w:fill="auto"/>
          </w:tcPr>
          <w:p w:rsidR="00EF0ACC" w:rsidRPr="00EF0ACC" w:rsidP="00EF0ACC" w14:paraId="5F8374D9" w14:textId="2799F674">
            <w:pPr>
              <w:spacing w:after="200"/>
              <w:jc w:val="right"/>
              <w:rPr>
                <w:rFonts w:eastAsia="Calibri"/>
                <w:sz w:val="20"/>
                <w:szCs w:val="20"/>
              </w:rPr>
            </w:pPr>
            <w:r>
              <w:rPr>
                <w:rFonts w:eastAsia="Calibri"/>
                <w:sz w:val="20"/>
                <w:szCs w:val="20"/>
              </w:rPr>
              <w:t>-</w:t>
            </w:r>
            <w:r w:rsidRPr="00781635">
              <w:rPr>
                <w:rFonts w:eastAsia="Calibri"/>
                <w:sz w:val="20"/>
                <w:szCs w:val="20"/>
              </w:rPr>
              <w:t>3,524</w:t>
            </w:r>
          </w:p>
        </w:tc>
        <w:tc>
          <w:tcPr>
            <w:tcW w:w="2682" w:type="dxa"/>
            <w:shd w:val="clear" w:color="auto" w:fill="auto"/>
          </w:tcPr>
          <w:p w:rsidR="00EF0ACC" w:rsidRPr="00EF0ACC" w:rsidP="00EF0ACC" w14:paraId="51269421" w14:textId="77777777">
            <w:pPr>
              <w:spacing w:after="200"/>
              <w:rPr>
                <w:rFonts w:eastAsia="Calibri"/>
                <w:sz w:val="20"/>
                <w:szCs w:val="20"/>
              </w:rPr>
            </w:pPr>
          </w:p>
        </w:tc>
      </w:tr>
    </w:tbl>
    <w:p w:rsidR="003B61F8" w:rsidP="00437B94" w14:paraId="754B2789" w14:textId="77777777">
      <w:pPr>
        <w:autoSpaceDE w:val="0"/>
        <w:autoSpaceDN w:val="0"/>
        <w:adjustRightInd w:val="0"/>
      </w:pPr>
    </w:p>
    <w:p w:rsidR="00357C8A" w:rsidRPr="00357C8A" w:rsidP="006705EA" w14:paraId="5F38B6DE" w14:textId="77777777">
      <w:pPr>
        <w:numPr>
          <w:ilvl w:val="0"/>
          <w:numId w:val="6"/>
        </w:numPr>
        <w:spacing w:after="200" w:line="276" w:lineRule="auto"/>
        <w:rPr>
          <w:rFonts w:eastAsia="Calibri"/>
          <w:u w:val="single"/>
        </w:rPr>
      </w:pPr>
      <w:r w:rsidRPr="00357C8A">
        <w:rPr>
          <w:rFonts w:eastAsia="Calibri"/>
          <w:u w:val="single"/>
        </w:rPr>
        <w:t>Plans for Tabulation and Publication and Project Time Schedule</w:t>
      </w:r>
    </w:p>
    <w:p w:rsidR="00437B94" w:rsidP="00437B94" w14:paraId="1DCC457B" w14:textId="77777777">
      <w:pPr>
        <w:spacing w:before="100" w:beforeAutospacing="1" w:after="100" w:afterAutospacing="1"/>
      </w:pPr>
      <w:r w:rsidRPr="00B77285">
        <w:t>Feedback collected under this generic clearance provides useful information, but it does not yield data that can be statistically generalized to the overall population.  Findings will be used to inform experimental research, public education, or communication activities.</w:t>
      </w:r>
    </w:p>
    <w:p w:rsidR="00437B94" w:rsidP="00437B94" w14:paraId="40924990" w14:textId="2CF2B2CD">
      <w:pPr>
        <w:spacing w:before="100" w:beforeAutospacing="1" w:after="100" w:afterAutospacing="1"/>
      </w:pPr>
      <w:r w:rsidRPr="00862AE9">
        <w:t xml:space="preserve">Although </w:t>
      </w:r>
      <w:r>
        <w:t>FDA</w:t>
      </w:r>
      <w:r w:rsidRPr="00862AE9">
        <w:t xml:space="preserve"> does not intend to publish its findings, </w:t>
      </w:r>
      <w:r>
        <w:t>FDA</w:t>
      </w:r>
      <w:r w:rsidRPr="00862AE9">
        <w:t xml:space="preserve"> may receive requests to release the information (e.g., congressional inquiry, </w:t>
      </w:r>
      <w:r w:rsidR="00642D4A">
        <w:t>FOIA</w:t>
      </w:r>
      <w:r w:rsidRPr="00862AE9">
        <w:t xml:space="preserve"> requests).  </w:t>
      </w:r>
      <w:r w:rsidRPr="00B77285">
        <w:t>FDA will disseminate the findings when appropriate, strictly following FDA</w:t>
      </w:r>
      <w:r w:rsidR="00FE3426">
        <w:t>’</w:t>
      </w:r>
      <w:r w:rsidRPr="00B77285">
        <w:t xml:space="preserve">s </w:t>
      </w:r>
      <w:r w:rsidR="00FE3426">
        <w:t>“</w:t>
      </w:r>
      <w:r w:rsidRPr="00B77285">
        <w:t>Guidelines for Ensuring the Quality of Information Disseminated to the Public,</w:t>
      </w:r>
      <w:r w:rsidR="00FE3426">
        <w:t>”</w:t>
      </w:r>
      <w:r w:rsidRPr="00B77285">
        <w:t xml:space="preserve"> and will include specific discussion of the limitation of the quali</w:t>
      </w:r>
      <w:r>
        <w:t>tative results discussed above.</w:t>
      </w:r>
    </w:p>
    <w:p w:rsidR="00437B94" w:rsidRPr="00D23A6C" w:rsidP="00437B94" w14:paraId="471CF6E6" w14:textId="28807858">
      <w:pPr>
        <w:spacing w:before="100" w:beforeAutospacing="1" w:after="100" w:afterAutospacing="1"/>
      </w:pPr>
      <w:r w:rsidRPr="00850D40">
        <w:t>It is not appropriate to treat focus group data as quantifiable.</w:t>
      </w:r>
      <w:r>
        <w:t xml:space="preserve"> </w:t>
      </w:r>
      <w:r w:rsidR="00FE3426">
        <w:t xml:space="preserve"> </w:t>
      </w:r>
      <w:r w:rsidRPr="00850D40">
        <w:t xml:space="preserve">FDA will disseminate focus group findings only when appropriate and will include specific discussion of the limitations of focus group results </w:t>
      </w:r>
      <w:r w:rsidRPr="00850D40">
        <w:t>with regard to</w:t>
      </w:r>
      <w:r w:rsidRPr="00850D40">
        <w:t xml:space="preserve"> being non-quantitative. </w:t>
      </w:r>
      <w:r w:rsidR="00FE3426">
        <w:t xml:space="preserve"> </w:t>
      </w:r>
      <w:r w:rsidRPr="00850D40">
        <w:t xml:space="preserve">Information quality encompasses (1) utility, the usefulness of the information to its intended users, including the public; (2) objectivity, whether information is being presented in an accurate, clear, complete, and unbiased manner; and (3) integrity, the information is protected from unauthorized access or revision. </w:t>
      </w:r>
      <w:r w:rsidR="00FE3426">
        <w:t xml:space="preserve"> </w:t>
      </w:r>
      <w:r w:rsidRPr="00850D40">
        <w:t xml:space="preserve">FDA uses </w:t>
      </w:r>
      <w:r w:rsidRPr="00850D40">
        <w:t>a number of</w:t>
      </w:r>
      <w:r w:rsidRPr="00850D40">
        <w:t xml:space="preserve"> mechanisms to ensure the quality of the information we disseminate. </w:t>
      </w:r>
      <w:r w:rsidR="00FE3426">
        <w:t xml:space="preserve"> </w:t>
      </w:r>
      <w:r w:rsidRPr="00850D40">
        <w:t>FDA reviews the quality of information before it is disseminated and treats information quality as integral to every step of the development of information, including its creation, collection, maintenance, and dissemination.</w:t>
      </w:r>
    </w:p>
    <w:p w:rsidR="00357C8A" w:rsidRPr="00357C8A" w:rsidP="006705EA" w14:paraId="3D38AA60" w14:textId="77777777">
      <w:pPr>
        <w:numPr>
          <w:ilvl w:val="0"/>
          <w:numId w:val="6"/>
        </w:numPr>
        <w:spacing w:after="200" w:line="276" w:lineRule="auto"/>
        <w:rPr>
          <w:rFonts w:eastAsia="Calibri"/>
          <w:u w:val="single"/>
        </w:rPr>
      </w:pPr>
      <w:r w:rsidRPr="00357C8A">
        <w:rPr>
          <w:rFonts w:eastAsia="Calibri"/>
          <w:u w:val="single"/>
        </w:rPr>
        <w:t>Reason(s) Display of OMB Expiration Date is Inappropriate</w:t>
      </w:r>
    </w:p>
    <w:p w:rsidR="00437B94" w:rsidRPr="00D23A6C" w:rsidP="00437B94" w14:paraId="41ECF007" w14:textId="77777777">
      <w:pPr>
        <w:spacing w:before="100" w:beforeAutospacing="1" w:after="100" w:afterAutospacing="1"/>
      </w:pPr>
      <w:r w:rsidRPr="00B77285">
        <w:t xml:space="preserve">We are not requesting an exemption </w:t>
      </w:r>
      <w:r w:rsidRPr="00B77285" w:rsidR="003B61F8">
        <w:t>from</w:t>
      </w:r>
      <w:r w:rsidRPr="00B77285">
        <w:t xml:space="preserve"> this requirement. </w:t>
      </w:r>
      <w:r>
        <w:t xml:space="preserve"> </w:t>
      </w:r>
      <w:r w:rsidRPr="00B77285">
        <w:t>The OMB expiration date will be displayed.</w:t>
      </w:r>
    </w:p>
    <w:p w:rsidR="00357C8A" w:rsidRPr="00357C8A" w:rsidP="006705EA" w14:paraId="39C11D80" w14:textId="77777777">
      <w:pPr>
        <w:numPr>
          <w:ilvl w:val="0"/>
          <w:numId w:val="6"/>
        </w:numPr>
        <w:spacing w:after="200" w:line="276" w:lineRule="auto"/>
        <w:rPr>
          <w:rFonts w:eastAsia="Calibri"/>
          <w:u w:val="single"/>
        </w:rPr>
      </w:pPr>
      <w:r w:rsidRPr="00357C8A">
        <w:rPr>
          <w:rFonts w:eastAsia="Calibri"/>
          <w:u w:val="single"/>
        </w:rPr>
        <w:t>Exceptions to Certification for Paperwork Reduction Act Submissions</w:t>
      </w:r>
    </w:p>
    <w:p w:rsidR="00437B94" w:rsidRPr="00D23A6C" w:rsidP="00437B94" w14:paraId="409592FD" w14:textId="1ED47A43">
      <w:pPr>
        <w:spacing w:before="100" w:beforeAutospacing="1" w:after="100" w:afterAutospacing="1"/>
      </w:pPr>
      <w:r w:rsidRPr="00115BAC">
        <w:t>There are no exceptions to the certification</w:t>
      </w:r>
      <w:r w:rsidRPr="00B77285">
        <w:t>.</w:t>
      </w:r>
    </w:p>
    <w:p w:rsidR="00544138" w:rsidRPr="00C20690" w:rsidP="00437B94" w14:paraId="4534C56F" w14:textId="77777777">
      <w:pPr>
        <w:spacing w:after="200"/>
        <w:rPr>
          <w:rFonts w:eastAsia="Calibri"/>
        </w:rPr>
      </w:pPr>
    </w:p>
    <w:sectPr w:rsidSect="005C71CA">
      <w:footerReference w:type="even" r:id="rId5"/>
      <w:footerReference w:type="default" r:id="rId6"/>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69F3CD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492E3B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5AD239A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4DFBA4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43B4" w14:paraId="157841C2" w14:textId="77777777">
      <w:r>
        <w:separator/>
      </w:r>
    </w:p>
  </w:footnote>
  <w:footnote w:type="continuationSeparator" w:id="1">
    <w:p w:rsidR="00F843B4" w14:paraId="50E9C675" w14:textId="77777777">
      <w:r>
        <w:continuationSeparator/>
      </w:r>
    </w:p>
  </w:footnote>
  <w:footnote w:id="2">
    <w:p w:rsidR="00AE52BD" w:rsidP="00AE52BD" w14:paraId="1CBC7590" w14:textId="77777777">
      <w:pPr>
        <w:pStyle w:val="FootnoteText"/>
      </w:pPr>
      <w:r>
        <w:rPr>
          <w:rStyle w:val="FootnoteReference"/>
        </w:rPr>
        <w:footnoteRef/>
      </w:r>
      <w:r>
        <w:t xml:space="preserve"> </w:t>
      </w:r>
      <w:hyperlink r:id="rId1" w:history="1">
        <w:r w:rsidRPr="000D2E42" w:rsidR="000D2E42">
          <w:rPr>
            <w:rStyle w:val="Hyperlink"/>
          </w:rPr>
          <w:t>Memorandum for the Heads of Executive Departments and Agencies and Independent Regulatory Agencies (July 22, 2016).</w:t>
        </w:r>
      </w:hyperlink>
    </w:p>
  </w:footnote>
  <w:footnote w:id="3">
    <w:p w:rsidR="00AE52BD" w:rsidRPr="00C243D2" w:rsidP="00AE52BD" w14:paraId="04F6CE56" w14:textId="6CF2249E">
      <w:pPr>
        <w:pStyle w:val="FootnoteText"/>
      </w:pPr>
      <w:r w:rsidRPr="00C243D2">
        <w:rPr>
          <w:rStyle w:val="FootnoteReference"/>
        </w:rPr>
        <w:footnoteRef/>
      </w:r>
      <w:r w:rsidRPr="00C243D2">
        <w:t xml:space="preserve"> For example, collections that collect </w:t>
      </w:r>
      <w:r>
        <w:t xml:space="preserve">PII </w:t>
      </w:r>
      <w:r w:rsidRPr="00C243D2">
        <w:t xml:space="preserve">to provide remuneration for participants of focus groups and cognitive laboratory studies will be submitted under this request.  All </w:t>
      </w:r>
      <w:r w:rsidR="00DF379C">
        <w:t>P</w:t>
      </w:r>
      <w:r w:rsidRPr="00C243D2">
        <w:t xml:space="preserve">rivacy </w:t>
      </w:r>
      <w:r w:rsidR="00DF379C">
        <w:t>A</w:t>
      </w:r>
      <w:r>
        <w:t>ct requirements will be met.</w:t>
      </w:r>
    </w:p>
  </w:footnote>
  <w:footnote w:id="4">
    <w:p w:rsidR="00AE52BD" w:rsidRPr="00C243D2" w:rsidP="00AE52BD" w14:paraId="0B56757D" w14:textId="77777777">
      <w:pPr>
        <w:pStyle w:val="FootnoteText"/>
      </w:pPr>
      <w:r w:rsidRPr="00C243D2">
        <w:rPr>
          <w:rStyle w:val="FootnoteReference"/>
        </w:rPr>
        <w:footnoteRef/>
      </w:r>
      <w:r w:rsidRPr="00C243D2">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895512360">
    <w:abstractNumId w:val="8"/>
  </w:num>
  <w:num w:numId="2" w16cid:durableId="730690765">
    <w:abstractNumId w:val="1"/>
  </w:num>
  <w:num w:numId="3" w16cid:durableId="1012798873">
    <w:abstractNumId w:val="9"/>
  </w:num>
  <w:num w:numId="4" w16cid:durableId="1148473699">
    <w:abstractNumId w:val="5"/>
  </w:num>
  <w:num w:numId="5" w16cid:durableId="141241004">
    <w:abstractNumId w:val="10"/>
  </w:num>
  <w:num w:numId="6" w16cid:durableId="1191534254">
    <w:abstractNumId w:val="0"/>
  </w:num>
  <w:num w:numId="7" w16cid:durableId="64382019">
    <w:abstractNumId w:val="2"/>
  </w:num>
  <w:num w:numId="8" w16cid:durableId="616302843">
    <w:abstractNumId w:val="6"/>
  </w:num>
  <w:num w:numId="9" w16cid:durableId="888734563">
    <w:abstractNumId w:val="7"/>
  </w:num>
  <w:num w:numId="10" w16cid:durableId="356274144">
    <w:abstractNumId w:val="4"/>
  </w:num>
  <w:num w:numId="11" w16cid:durableId="8330387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38"/>
    <w:rsid w:val="00013182"/>
    <w:rsid w:val="000172EA"/>
    <w:rsid w:val="000179C5"/>
    <w:rsid w:val="00020F86"/>
    <w:rsid w:val="00023C5C"/>
    <w:rsid w:val="00031310"/>
    <w:rsid w:val="00031A2C"/>
    <w:rsid w:val="00033027"/>
    <w:rsid w:val="00042B93"/>
    <w:rsid w:val="00043C7F"/>
    <w:rsid w:val="000467A8"/>
    <w:rsid w:val="00051AF1"/>
    <w:rsid w:val="0006570F"/>
    <w:rsid w:val="00075DE8"/>
    <w:rsid w:val="00087439"/>
    <w:rsid w:val="0009586A"/>
    <w:rsid w:val="000A3B36"/>
    <w:rsid w:val="000B0DFD"/>
    <w:rsid w:val="000B516B"/>
    <w:rsid w:val="000C1260"/>
    <w:rsid w:val="000C560C"/>
    <w:rsid w:val="000D080B"/>
    <w:rsid w:val="000D2E42"/>
    <w:rsid w:val="000D48FD"/>
    <w:rsid w:val="000D79CC"/>
    <w:rsid w:val="000E1C64"/>
    <w:rsid w:val="000F7119"/>
    <w:rsid w:val="000F742B"/>
    <w:rsid w:val="00100739"/>
    <w:rsid w:val="0010493E"/>
    <w:rsid w:val="00106C1B"/>
    <w:rsid w:val="001075D3"/>
    <w:rsid w:val="00107885"/>
    <w:rsid w:val="00114FC4"/>
    <w:rsid w:val="00115BAC"/>
    <w:rsid w:val="0012329C"/>
    <w:rsid w:val="00134FA7"/>
    <w:rsid w:val="00135BB5"/>
    <w:rsid w:val="00136BF2"/>
    <w:rsid w:val="00137950"/>
    <w:rsid w:val="00152F29"/>
    <w:rsid w:val="001541DA"/>
    <w:rsid w:val="001649B5"/>
    <w:rsid w:val="00174D54"/>
    <w:rsid w:val="0017702C"/>
    <w:rsid w:val="001803BE"/>
    <w:rsid w:val="00185270"/>
    <w:rsid w:val="001912FE"/>
    <w:rsid w:val="001A3B5A"/>
    <w:rsid w:val="001A458C"/>
    <w:rsid w:val="001B67C3"/>
    <w:rsid w:val="001B7CE9"/>
    <w:rsid w:val="001C2E71"/>
    <w:rsid w:val="001D495A"/>
    <w:rsid w:val="001D507B"/>
    <w:rsid w:val="001E244C"/>
    <w:rsid w:val="001F1437"/>
    <w:rsid w:val="00206799"/>
    <w:rsid w:val="002074FE"/>
    <w:rsid w:val="002106D1"/>
    <w:rsid w:val="00221F05"/>
    <w:rsid w:val="0022425B"/>
    <w:rsid w:val="002259EF"/>
    <w:rsid w:val="00234F83"/>
    <w:rsid w:val="002371AA"/>
    <w:rsid w:val="00242ED1"/>
    <w:rsid w:val="002444BB"/>
    <w:rsid w:val="00246BD0"/>
    <w:rsid w:val="00254069"/>
    <w:rsid w:val="00270748"/>
    <w:rsid w:val="002734E5"/>
    <w:rsid w:val="002746DB"/>
    <w:rsid w:val="00280CAF"/>
    <w:rsid w:val="00282F09"/>
    <w:rsid w:val="00291810"/>
    <w:rsid w:val="00294D62"/>
    <w:rsid w:val="00297532"/>
    <w:rsid w:val="00297FFD"/>
    <w:rsid w:val="002A1210"/>
    <w:rsid w:val="002A47D2"/>
    <w:rsid w:val="002A7FB5"/>
    <w:rsid w:val="002B2074"/>
    <w:rsid w:val="002D14D8"/>
    <w:rsid w:val="002D4799"/>
    <w:rsid w:val="002E3FA4"/>
    <w:rsid w:val="002E53A5"/>
    <w:rsid w:val="002E64B8"/>
    <w:rsid w:val="002E6834"/>
    <w:rsid w:val="002E703A"/>
    <w:rsid w:val="002F40D2"/>
    <w:rsid w:val="003107C9"/>
    <w:rsid w:val="00310EB6"/>
    <w:rsid w:val="003113FF"/>
    <w:rsid w:val="00312622"/>
    <w:rsid w:val="003136EF"/>
    <w:rsid w:val="00321FAD"/>
    <w:rsid w:val="0032277F"/>
    <w:rsid w:val="003232BA"/>
    <w:rsid w:val="00336B69"/>
    <w:rsid w:val="0034302B"/>
    <w:rsid w:val="00350523"/>
    <w:rsid w:val="0035189D"/>
    <w:rsid w:val="00355B62"/>
    <w:rsid w:val="00357C8A"/>
    <w:rsid w:val="003740BC"/>
    <w:rsid w:val="0037456B"/>
    <w:rsid w:val="003801A3"/>
    <w:rsid w:val="00383D90"/>
    <w:rsid w:val="003870AE"/>
    <w:rsid w:val="003965BF"/>
    <w:rsid w:val="003A1A27"/>
    <w:rsid w:val="003A50CC"/>
    <w:rsid w:val="003B42B3"/>
    <w:rsid w:val="003B61F8"/>
    <w:rsid w:val="003B6384"/>
    <w:rsid w:val="003C0FE2"/>
    <w:rsid w:val="003C4EBB"/>
    <w:rsid w:val="003D1531"/>
    <w:rsid w:val="003E4EC6"/>
    <w:rsid w:val="003E527E"/>
    <w:rsid w:val="003E553E"/>
    <w:rsid w:val="003E7078"/>
    <w:rsid w:val="003F3DF5"/>
    <w:rsid w:val="003F73B8"/>
    <w:rsid w:val="0040297E"/>
    <w:rsid w:val="0040582E"/>
    <w:rsid w:val="00411D11"/>
    <w:rsid w:val="00414494"/>
    <w:rsid w:val="00415E23"/>
    <w:rsid w:val="0041670D"/>
    <w:rsid w:val="004178AB"/>
    <w:rsid w:val="00423272"/>
    <w:rsid w:val="00424061"/>
    <w:rsid w:val="00437B94"/>
    <w:rsid w:val="00442A3C"/>
    <w:rsid w:val="00443969"/>
    <w:rsid w:val="00447D74"/>
    <w:rsid w:val="00450A74"/>
    <w:rsid w:val="004546BF"/>
    <w:rsid w:val="00465350"/>
    <w:rsid w:val="00476B91"/>
    <w:rsid w:val="0047717D"/>
    <w:rsid w:val="00483D59"/>
    <w:rsid w:val="004846BF"/>
    <w:rsid w:val="00493B07"/>
    <w:rsid w:val="00494912"/>
    <w:rsid w:val="004A5323"/>
    <w:rsid w:val="004A5A99"/>
    <w:rsid w:val="004B1EEE"/>
    <w:rsid w:val="004C50F0"/>
    <w:rsid w:val="004C6979"/>
    <w:rsid w:val="004D13A2"/>
    <w:rsid w:val="004D3E7A"/>
    <w:rsid w:val="004F594B"/>
    <w:rsid w:val="004F61E1"/>
    <w:rsid w:val="004F7B96"/>
    <w:rsid w:val="0053380B"/>
    <w:rsid w:val="00543194"/>
    <w:rsid w:val="00544138"/>
    <w:rsid w:val="00554E34"/>
    <w:rsid w:val="00582A80"/>
    <w:rsid w:val="00584583"/>
    <w:rsid w:val="00590E90"/>
    <w:rsid w:val="00590EEB"/>
    <w:rsid w:val="005A4099"/>
    <w:rsid w:val="005C38B2"/>
    <w:rsid w:val="005C5029"/>
    <w:rsid w:val="005C55C2"/>
    <w:rsid w:val="005C71CA"/>
    <w:rsid w:val="005C745C"/>
    <w:rsid w:val="005D4DF5"/>
    <w:rsid w:val="005E42BA"/>
    <w:rsid w:val="005E55A7"/>
    <w:rsid w:val="005F120D"/>
    <w:rsid w:val="006033D6"/>
    <w:rsid w:val="00607C78"/>
    <w:rsid w:val="00611D6B"/>
    <w:rsid w:val="00613DDA"/>
    <w:rsid w:val="00621CEC"/>
    <w:rsid w:val="00625CFD"/>
    <w:rsid w:val="006326EC"/>
    <w:rsid w:val="00642D4A"/>
    <w:rsid w:val="0064587F"/>
    <w:rsid w:val="00653117"/>
    <w:rsid w:val="00663A42"/>
    <w:rsid w:val="006641C7"/>
    <w:rsid w:val="00667481"/>
    <w:rsid w:val="006705EA"/>
    <w:rsid w:val="00670BE2"/>
    <w:rsid w:val="006913AF"/>
    <w:rsid w:val="006916D9"/>
    <w:rsid w:val="006A0DE2"/>
    <w:rsid w:val="006A0E05"/>
    <w:rsid w:val="006A26C6"/>
    <w:rsid w:val="006A465A"/>
    <w:rsid w:val="006A7D5D"/>
    <w:rsid w:val="006B2730"/>
    <w:rsid w:val="006D0C12"/>
    <w:rsid w:val="006D1009"/>
    <w:rsid w:val="006D5D57"/>
    <w:rsid w:val="006E2538"/>
    <w:rsid w:val="006E302F"/>
    <w:rsid w:val="006E53D3"/>
    <w:rsid w:val="006E5EFA"/>
    <w:rsid w:val="006E729B"/>
    <w:rsid w:val="006F4D6D"/>
    <w:rsid w:val="00705086"/>
    <w:rsid w:val="007105CB"/>
    <w:rsid w:val="00722001"/>
    <w:rsid w:val="00722F66"/>
    <w:rsid w:val="00744525"/>
    <w:rsid w:val="00751E66"/>
    <w:rsid w:val="00754497"/>
    <w:rsid w:val="00773201"/>
    <w:rsid w:val="00781635"/>
    <w:rsid w:val="00787C39"/>
    <w:rsid w:val="00792947"/>
    <w:rsid w:val="00795DF3"/>
    <w:rsid w:val="007A373C"/>
    <w:rsid w:val="007B225C"/>
    <w:rsid w:val="007B4C04"/>
    <w:rsid w:val="007B7551"/>
    <w:rsid w:val="007C75B1"/>
    <w:rsid w:val="007D3DFC"/>
    <w:rsid w:val="007E2F07"/>
    <w:rsid w:val="007E4BF3"/>
    <w:rsid w:val="007E59A8"/>
    <w:rsid w:val="007F2800"/>
    <w:rsid w:val="00806659"/>
    <w:rsid w:val="0080776D"/>
    <w:rsid w:val="00810145"/>
    <w:rsid w:val="008108FA"/>
    <w:rsid w:val="00810FF1"/>
    <w:rsid w:val="00822336"/>
    <w:rsid w:val="00822B1F"/>
    <w:rsid w:val="00823DFA"/>
    <w:rsid w:val="00830259"/>
    <w:rsid w:val="00842DB7"/>
    <w:rsid w:val="00843752"/>
    <w:rsid w:val="0084479F"/>
    <w:rsid w:val="00850D40"/>
    <w:rsid w:val="00853BBB"/>
    <w:rsid w:val="0085725E"/>
    <w:rsid w:val="00862AE9"/>
    <w:rsid w:val="00863C1D"/>
    <w:rsid w:val="00873D4F"/>
    <w:rsid w:val="0087509F"/>
    <w:rsid w:val="00881D0D"/>
    <w:rsid w:val="00885B09"/>
    <w:rsid w:val="00890DE9"/>
    <w:rsid w:val="00892400"/>
    <w:rsid w:val="008A0BA7"/>
    <w:rsid w:val="008A209D"/>
    <w:rsid w:val="008A22BB"/>
    <w:rsid w:val="008A4332"/>
    <w:rsid w:val="008B035D"/>
    <w:rsid w:val="008B0E29"/>
    <w:rsid w:val="008B0EFA"/>
    <w:rsid w:val="008B30AB"/>
    <w:rsid w:val="008C3BB8"/>
    <w:rsid w:val="008C4B65"/>
    <w:rsid w:val="008D671F"/>
    <w:rsid w:val="008E5F55"/>
    <w:rsid w:val="008F4A3C"/>
    <w:rsid w:val="009008DE"/>
    <w:rsid w:val="009009E7"/>
    <w:rsid w:val="00905DEF"/>
    <w:rsid w:val="00906056"/>
    <w:rsid w:val="009122AE"/>
    <w:rsid w:val="00913B43"/>
    <w:rsid w:val="009268C2"/>
    <w:rsid w:val="00930203"/>
    <w:rsid w:val="009311D2"/>
    <w:rsid w:val="009311E6"/>
    <w:rsid w:val="00931275"/>
    <w:rsid w:val="00936AC7"/>
    <w:rsid w:val="009401F9"/>
    <w:rsid w:val="00940390"/>
    <w:rsid w:val="0095302F"/>
    <w:rsid w:val="00953B64"/>
    <w:rsid w:val="009646A7"/>
    <w:rsid w:val="00965506"/>
    <w:rsid w:val="00970A88"/>
    <w:rsid w:val="0097449D"/>
    <w:rsid w:val="009818A1"/>
    <w:rsid w:val="009A1674"/>
    <w:rsid w:val="009A4567"/>
    <w:rsid w:val="009B1811"/>
    <w:rsid w:val="009B38BE"/>
    <w:rsid w:val="009B4AE7"/>
    <w:rsid w:val="009B4DF2"/>
    <w:rsid w:val="009C684F"/>
    <w:rsid w:val="009D074C"/>
    <w:rsid w:val="009D6E73"/>
    <w:rsid w:val="009E63A5"/>
    <w:rsid w:val="009F1F1D"/>
    <w:rsid w:val="009F2183"/>
    <w:rsid w:val="009F2B4F"/>
    <w:rsid w:val="009F3C63"/>
    <w:rsid w:val="009F4A35"/>
    <w:rsid w:val="009F66B5"/>
    <w:rsid w:val="00A02F10"/>
    <w:rsid w:val="00A1060C"/>
    <w:rsid w:val="00A10AF7"/>
    <w:rsid w:val="00A16221"/>
    <w:rsid w:val="00A20A7D"/>
    <w:rsid w:val="00A310BF"/>
    <w:rsid w:val="00A35D42"/>
    <w:rsid w:val="00A46CCF"/>
    <w:rsid w:val="00A506DE"/>
    <w:rsid w:val="00A512CB"/>
    <w:rsid w:val="00A53451"/>
    <w:rsid w:val="00A70426"/>
    <w:rsid w:val="00A707CC"/>
    <w:rsid w:val="00A71410"/>
    <w:rsid w:val="00A82760"/>
    <w:rsid w:val="00A91E9A"/>
    <w:rsid w:val="00A93ED9"/>
    <w:rsid w:val="00A96221"/>
    <w:rsid w:val="00AA47F8"/>
    <w:rsid w:val="00AB1F30"/>
    <w:rsid w:val="00AC2DBB"/>
    <w:rsid w:val="00AC6A99"/>
    <w:rsid w:val="00AD1A80"/>
    <w:rsid w:val="00AD6048"/>
    <w:rsid w:val="00AE52BD"/>
    <w:rsid w:val="00AF0036"/>
    <w:rsid w:val="00B055EF"/>
    <w:rsid w:val="00B06B5B"/>
    <w:rsid w:val="00B14214"/>
    <w:rsid w:val="00B17B34"/>
    <w:rsid w:val="00B23769"/>
    <w:rsid w:val="00B41789"/>
    <w:rsid w:val="00B61138"/>
    <w:rsid w:val="00B77285"/>
    <w:rsid w:val="00B81808"/>
    <w:rsid w:val="00B83122"/>
    <w:rsid w:val="00B86DFA"/>
    <w:rsid w:val="00B936D0"/>
    <w:rsid w:val="00BA4F2E"/>
    <w:rsid w:val="00BB15FB"/>
    <w:rsid w:val="00BD3D5B"/>
    <w:rsid w:val="00BE13F3"/>
    <w:rsid w:val="00BE3600"/>
    <w:rsid w:val="00BF4822"/>
    <w:rsid w:val="00C01F6F"/>
    <w:rsid w:val="00C041EA"/>
    <w:rsid w:val="00C13BBD"/>
    <w:rsid w:val="00C149AB"/>
    <w:rsid w:val="00C16929"/>
    <w:rsid w:val="00C20690"/>
    <w:rsid w:val="00C21580"/>
    <w:rsid w:val="00C243D2"/>
    <w:rsid w:val="00C36020"/>
    <w:rsid w:val="00C37758"/>
    <w:rsid w:val="00C403BF"/>
    <w:rsid w:val="00C40694"/>
    <w:rsid w:val="00C479BF"/>
    <w:rsid w:val="00C5124B"/>
    <w:rsid w:val="00C63602"/>
    <w:rsid w:val="00C67889"/>
    <w:rsid w:val="00C67A10"/>
    <w:rsid w:val="00C70542"/>
    <w:rsid w:val="00C75CBF"/>
    <w:rsid w:val="00C9026B"/>
    <w:rsid w:val="00C94A5A"/>
    <w:rsid w:val="00CB538F"/>
    <w:rsid w:val="00CC2894"/>
    <w:rsid w:val="00CD77C3"/>
    <w:rsid w:val="00CE112C"/>
    <w:rsid w:val="00CF55D4"/>
    <w:rsid w:val="00D137D1"/>
    <w:rsid w:val="00D14B79"/>
    <w:rsid w:val="00D23A6C"/>
    <w:rsid w:val="00D452F3"/>
    <w:rsid w:val="00D608DA"/>
    <w:rsid w:val="00D70E1B"/>
    <w:rsid w:val="00D730BF"/>
    <w:rsid w:val="00D7787A"/>
    <w:rsid w:val="00D850F4"/>
    <w:rsid w:val="00D852F4"/>
    <w:rsid w:val="00D869BC"/>
    <w:rsid w:val="00DB1110"/>
    <w:rsid w:val="00DB3730"/>
    <w:rsid w:val="00DC371B"/>
    <w:rsid w:val="00DC3788"/>
    <w:rsid w:val="00DC76C7"/>
    <w:rsid w:val="00DD09F5"/>
    <w:rsid w:val="00DD0E02"/>
    <w:rsid w:val="00DD4201"/>
    <w:rsid w:val="00DD5E9F"/>
    <w:rsid w:val="00DE5711"/>
    <w:rsid w:val="00DF379C"/>
    <w:rsid w:val="00E00EA0"/>
    <w:rsid w:val="00E021CB"/>
    <w:rsid w:val="00E1141C"/>
    <w:rsid w:val="00E138F1"/>
    <w:rsid w:val="00E2309D"/>
    <w:rsid w:val="00E23174"/>
    <w:rsid w:val="00E26758"/>
    <w:rsid w:val="00E4357B"/>
    <w:rsid w:val="00E443A7"/>
    <w:rsid w:val="00E45904"/>
    <w:rsid w:val="00E50CCB"/>
    <w:rsid w:val="00E60D6A"/>
    <w:rsid w:val="00E62376"/>
    <w:rsid w:val="00E63DE5"/>
    <w:rsid w:val="00E647AF"/>
    <w:rsid w:val="00E647C7"/>
    <w:rsid w:val="00E65A37"/>
    <w:rsid w:val="00E65EF7"/>
    <w:rsid w:val="00E77B48"/>
    <w:rsid w:val="00E85607"/>
    <w:rsid w:val="00E857FB"/>
    <w:rsid w:val="00E91799"/>
    <w:rsid w:val="00E96440"/>
    <w:rsid w:val="00E97DF8"/>
    <w:rsid w:val="00EA21FE"/>
    <w:rsid w:val="00EA34E3"/>
    <w:rsid w:val="00EB7538"/>
    <w:rsid w:val="00EC1868"/>
    <w:rsid w:val="00EC5F87"/>
    <w:rsid w:val="00EE6468"/>
    <w:rsid w:val="00EF0ACC"/>
    <w:rsid w:val="00F0683F"/>
    <w:rsid w:val="00F1299B"/>
    <w:rsid w:val="00F142AB"/>
    <w:rsid w:val="00F207A4"/>
    <w:rsid w:val="00F25173"/>
    <w:rsid w:val="00F355AC"/>
    <w:rsid w:val="00F40CF7"/>
    <w:rsid w:val="00F44194"/>
    <w:rsid w:val="00F6449A"/>
    <w:rsid w:val="00F71A5A"/>
    <w:rsid w:val="00F73A1A"/>
    <w:rsid w:val="00F769E0"/>
    <w:rsid w:val="00F843B4"/>
    <w:rsid w:val="00F861F7"/>
    <w:rsid w:val="00FA4A46"/>
    <w:rsid w:val="00FA75FE"/>
    <w:rsid w:val="00FB1032"/>
    <w:rsid w:val="00FB39BC"/>
    <w:rsid w:val="00FB404F"/>
    <w:rsid w:val="00FB42A8"/>
    <w:rsid w:val="00FB6A53"/>
    <w:rsid w:val="00FC11CA"/>
    <w:rsid w:val="00FC6BDE"/>
    <w:rsid w:val="00FD330D"/>
    <w:rsid w:val="00FE3426"/>
    <w:rsid w:val="00FF2C6E"/>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2238716"/>
  <w15:chartTrackingRefBased/>
  <w15:docId w15:val="{9D93F7F3-CA8D-4EC0-A2DB-DF0F2856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Revision">
    <w:name w:val="Revision"/>
    <w:hidden/>
    <w:uiPriority w:val="99"/>
    <w:semiHidden/>
    <w:rsid w:val="00AE52BD"/>
    <w:rPr>
      <w:sz w:val="24"/>
      <w:szCs w:val="24"/>
    </w:rPr>
  </w:style>
  <w:style w:type="paragraph" w:styleId="FootnoteText">
    <w:name w:val="footnote text"/>
    <w:basedOn w:val="Normal"/>
    <w:link w:val="FootnoteTextChar"/>
    <w:uiPriority w:val="99"/>
    <w:rsid w:val="00AE52BD"/>
    <w:rPr>
      <w:sz w:val="20"/>
      <w:szCs w:val="20"/>
      <w:lang w:bidi="he-IL"/>
    </w:rPr>
  </w:style>
  <w:style w:type="character" w:customStyle="1" w:styleId="FootnoteTextChar">
    <w:name w:val="Footnote Text Char"/>
    <w:link w:val="FootnoteText"/>
    <w:uiPriority w:val="99"/>
    <w:rsid w:val="00AE52BD"/>
    <w:rPr>
      <w:lang w:bidi="he-IL"/>
    </w:rPr>
  </w:style>
  <w:style w:type="character" w:styleId="FootnoteReference">
    <w:name w:val="footnote reference"/>
    <w:uiPriority w:val="99"/>
    <w:rsid w:val="00AE52B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google.com/url?sa=t&amp;rct=j&amp;q=&amp;esrc=s&amp;source=web&amp;cd=&amp;ved=2ahUKEwjyu7G564GUAxVmLFkFHbsSJC4QFnoECBgQAQ&amp;url=https%3A%2F%2Fobamawhitehouse.archives.gov%2Fsites%2Fdefault%2Ffiles%2Fomb%2Finforeg%2Fpra_flexibilities_memo_7_22_16_finalI.pdf&amp;usg=AOvVaw0W298OETZFHnAwOwHHzYTi&amp;opi=8997844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3323</Words>
  <Characters>18942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Ellison, Michael E</cp:lastModifiedBy>
  <cp:revision>4</cp:revision>
  <cp:lastPrinted>2019-07-03T16:25:00Z</cp:lastPrinted>
  <dcterms:created xsi:type="dcterms:W3CDTF">2026-08-21T19:40:00Z</dcterms:created>
  <dcterms:modified xsi:type="dcterms:W3CDTF">2026-08-21T19:43:00Z</dcterms:modified>
</cp:coreProperties>
</file>