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0770A1" w:rsidP="000770A1" w14:paraId="762E9C52" w14:textId="77777777">
      <w:pPr>
        <w:jc w:val="center"/>
        <w:rPr>
          <w:rFonts w:eastAsia="Calibri"/>
        </w:rPr>
      </w:pPr>
      <w:r w:rsidRPr="00357C8A">
        <w:rPr>
          <w:rFonts w:eastAsia="Calibri"/>
        </w:rPr>
        <w:t>United States Food and Drug Administration</w:t>
      </w:r>
    </w:p>
    <w:p w:rsidR="000770A1" w:rsidP="000770A1" w14:paraId="752FFDEE" w14:textId="77777777">
      <w:pPr>
        <w:jc w:val="center"/>
        <w:rPr>
          <w:rFonts w:eastAsia="Calibri"/>
        </w:rPr>
      </w:pPr>
    </w:p>
    <w:p w:rsidR="000770A1" w:rsidP="000770A1" w14:paraId="70B06ACD" w14:textId="45971E6C">
      <w:pPr>
        <w:jc w:val="center"/>
        <w:rPr>
          <w:rFonts w:eastAsia="Calibri"/>
        </w:rPr>
      </w:pPr>
      <w:bookmarkStart w:id="0" w:name="_Hlk130219385"/>
      <w:r w:rsidRPr="00D17B7F">
        <w:rPr>
          <w:rFonts w:eastAsia="Calibri"/>
        </w:rPr>
        <w:t>Generic Clearance for Qualitative Data to Support Social and Behavioral Research for Food, Dietary Supplements, Cosmetics, and Animal Food and Feed</w:t>
      </w:r>
    </w:p>
    <w:bookmarkEnd w:id="0"/>
    <w:p w:rsidR="00D17B7F" w:rsidP="000770A1" w14:paraId="5176FC1C" w14:textId="77777777">
      <w:pPr>
        <w:jc w:val="center"/>
        <w:rPr>
          <w:rFonts w:eastAsia="Calibri"/>
        </w:rPr>
      </w:pPr>
    </w:p>
    <w:p w:rsidR="000770A1" w:rsidP="000770A1" w14:paraId="0C87F8D2" w14:textId="498971F5">
      <w:pPr>
        <w:jc w:val="center"/>
        <w:rPr>
          <w:rFonts w:eastAsia="Calibri"/>
        </w:rPr>
      </w:pPr>
      <w:r w:rsidRPr="00357C8A">
        <w:rPr>
          <w:rFonts w:eastAsia="Calibri"/>
        </w:rPr>
        <w:t>OMB Control No. 0910</w:t>
      </w:r>
      <w:r>
        <w:rPr>
          <w:rFonts w:eastAsia="Calibri"/>
        </w:rPr>
        <w:t>-0</w:t>
      </w:r>
      <w:r w:rsidR="00D17B7F">
        <w:rPr>
          <w:rFonts w:eastAsia="Calibri"/>
        </w:rPr>
        <w:t>891</w:t>
      </w:r>
    </w:p>
    <w:p w:rsidR="000770A1" w:rsidP="000770A1" w14:paraId="57613C45" w14:textId="77777777">
      <w:pPr>
        <w:jc w:val="center"/>
        <w:rPr>
          <w:rFonts w:eastAsia="Calibri"/>
        </w:rPr>
      </w:pPr>
    </w:p>
    <w:p w:rsidR="000770A1" w:rsidP="000770A1" w14:paraId="485214CF" w14:textId="7739F2DD">
      <w:pPr>
        <w:jc w:val="center"/>
        <w:rPr>
          <w:rFonts w:eastAsia="Calibri"/>
        </w:rPr>
      </w:pPr>
      <w:r>
        <w:rPr>
          <w:rFonts w:eastAsia="Calibri"/>
        </w:rPr>
        <w:t>SUMMARY OF GEN ICs</w:t>
      </w:r>
      <w:r w:rsidR="00FF0401">
        <w:rPr>
          <w:rFonts w:eastAsia="Calibri"/>
        </w:rPr>
        <w:t xml:space="preserve"> 2023-2026</w:t>
      </w:r>
    </w:p>
    <w:p w:rsidR="000770A1" w14:paraId="432B9D7B" w14:textId="7B455544"/>
    <w:p w:rsidR="000770A1" w14:paraId="2DE50CE3" w14:textId="472C2B9E"/>
    <w:tbl>
      <w:tblPr>
        <w:tblW w:w="4917"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36"/>
        <w:gridCol w:w="1983"/>
        <w:gridCol w:w="3778"/>
        <w:gridCol w:w="1531"/>
      </w:tblGrid>
      <w:tr w14:paraId="4A86C4BF" w14:textId="77777777" w:rsidTr="00E71FE8">
        <w:tblPrEx>
          <w:tblW w:w="4917"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1470" w:type="pct"/>
            <w:shd w:val="clear" w:color="auto" w:fill="auto"/>
          </w:tcPr>
          <w:p w:rsidR="000770A1" w:rsidRPr="00593FDE" w:rsidP="000E04F6" w14:paraId="1741E17B" w14:textId="77777777">
            <w:pPr>
              <w:contextualSpacing/>
              <w:jc w:val="center"/>
              <w:rPr>
                <w:rFonts w:eastAsia="Calibri"/>
                <w:bCs/>
                <w:sz w:val="22"/>
                <w:szCs w:val="22"/>
              </w:rPr>
            </w:pPr>
            <w:r w:rsidRPr="008B6695">
              <w:t>Title of Collection</w:t>
            </w:r>
          </w:p>
        </w:tc>
        <w:tc>
          <w:tcPr>
            <w:tcW w:w="960" w:type="pct"/>
            <w:shd w:val="clear" w:color="auto" w:fill="auto"/>
          </w:tcPr>
          <w:p w:rsidR="000770A1" w:rsidRPr="00593FDE" w:rsidP="000E04F6" w14:paraId="5573F8C9" w14:textId="77777777">
            <w:pPr>
              <w:autoSpaceDE w:val="0"/>
              <w:autoSpaceDN w:val="0"/>
              <w:adjustRightInd w:val="0"/>
              <w:jc w:val="center"/>
              <w:rPr>
                <w:sz w:val="22"/>
                <w:szCs w:val="22"/>
              </w:rPr>
            </w:pPr>
            <w:r w:rsidRPr="008B6695">
              <w:t>Participants</w:t>
            </w:r>
          </w:p>
        </w:tc>
        <w:tc>
          <w:tcPr>
            <w:tcW w:w="1829" w:type="pct"/>
          </w:tcPr>
          <w:p w:rsidR="000770A1" w:rsidRPr="00593FDE" w:rsidP="000E04F6" w14:paraId="5D1C0D56" w14:textId="77777777">
            <w:pPr>
              <w:jc w:val="center"/>
              <w:rPr>
                <w:sz w:val="22"/>
                <w:szCs w:val="22"/>
              </w:rPr>
            </w:pPr>
            <w:r w:rsidRPr="008B6695">
              <w:t>Use of Information</w:t>
            </w:r>
          </w:p>
        </w:tc>
        <w:tc>
          <w:tcPr>
            <w:tcW w:w="741" w:type="pct"/>
          </w:tcPr>
          <w:p w:rsidR="000770A1" w:rsidRPr="00593FDE" w:rsidP="000E04F6" w14:paraId="18387FAD" w14:textId="77777777">
            <w:pPr>
              <w:jc w:val="center"/>
              <w:rPr>
                <w:iCs/>
                <w:sz w:val="22"/>
                <w:szCs w:val="22"/>
              </w:rPr>
            </w:pPr>
            <w:r w:rsidRPr="008B6695">
              <w:t>Hours Used</w:t>
            </w:r>
          </w:p>
        </w:tc>
      </w:tr>
      <w:tr w14:paraId="3258CE49" w14:textId="77777777" w:rsidTr="00E71FE8">
        <w:tblPrEx>
          <w:tblW w:w="4917" w:type="pct"/>
          <w:tblInd w:w="18" w:type="dxa"/>
          <w:tblLayout w:type="fixed"/>
          <w:tblLook w:val="01E0"/>
        </w:tblPrEx>
        <w:trPr>
          <w:cantSplit/>
        </w:trPr>
        <w:tc>
          <w:tcPr>
            <w:tcW w:w="1470" w:type="pct"/>
            <w:shd w:val="clear" w:color="auto" w:fill="auto"/>
          </w:tcPr>
          <w:p w:rsidR="00C155D0" w:rsidP="00041208" w14:paraId="2CC85B7E" w14:textId="77777777">
            <w:pPr>
              <w:keepLines/>
              <w:ind w:right="-1440"/>
              <w:rPr>
                <w:rFonts w:ascii="ArialMT" w:hAnsi="ArialMT" w:eastAsiaTheme="minorHAnsi" w:cs="ArialMT"/>
                <w:sz w:val="20"/>
                <w:szCs w:val="20"/>
              </w:rPr>
            </w:pPr>
            <w:r>
              <w:rPr>
                <w:rFonts w:ascii="ArialMT" w:hAnsi="ArialMT" w:eastAsiaTheme="minorHAnsi" w:cs="ArialMT"/>
                <w:sz w:val="20"/>
                <w:szCs w:val="20"/>
              </w:rPr>
              <w:t>Dietary Supplement</w:t>
            </w:r>
            <w:r w:rsidR="00131E74">
              <w:rPr>
                <w:rFonts w:ascii="ArialMT" w:hAnsi="ArialMT" w:eastAsiaTheme="minorHAnsi" w:cs="ArialMT"/>
                <w:sz w:val="20"/>
                <w:szCs w:val="20"/>
              </w:rPr>
              <w:t xml:space="preserve"> </w:t>
            </w:r>
            <w:r>
              <w:rPr>
                <w:rFonts w:ascii="ArialMT" w:hAnsi="ArialMT" w:eastAsiaTheme="minorHAnsi" w:cs="ArialMT"/>
                <w:sz w:val="20"/>
                <w:szCs w:val="20"/>
              </w:rPr>
              <w:t>Claims</w:t>
            </w:r>
          </w:p>
          <w:p w:rsidR="00C155D0" w:rsidP="00041208" w14:paraId="631A010E" w14:textId="3DF0DFFD">
            <w:pPr>
              <w:keepLines/>
              <w:ind w:right="-1440"/>
              <w:rPr>
                <w:rFonts w:ascii="ArialMT" w:hAnsi="ArialMT" w:eastAsiaTheme="minorHAnsi" w:cs="ArialMT"/>
                <w:sz w:val="20"/>
                <w:szCs w:val="20"/>
              </w:rPr>
            </w:pPr>
            <w:r>
              <w:rPr>
                <w:rFonts w:ascii="ArialMT" w:hAnsi="ArialMT" w:eastAsiaTheme="minorHAnsi" w:cs="ArialMT"/>
                <w:sz w:val="20"/>
                <w:szCs w:val="20"/>
              </w:rPr>
              <w:t xml:space="preserve"> One-on-one In</w:t>
            </w:r>
            <w:r w:rsidR="007B08D6">
              <w:rPr>
                <w:rFonts w:ascii="ArialMT" w:hAnsi="ArialMT" w:eastAsiaTheme="minorHAnsi" w:cs="ArialMT"/>
                <w:sz w:val="20"/>
                <w:szCs w:val="20"/>
              </w:rPr>
              <w:t>-</w:t>
            </w:r>
            <w:r>
              <w:rPr>
                <w:rFonts w:ascii="ArialMT" w:hAnsi="ArialMT" w:eastAsiaTheme="minorHAnsi" w:cs="ArialMT"/>
                <w:sz w:val="20"/>
                <w:szCs w:val="20"/>
              </w:rPr>
              <w:t>depth</w:t>
            </w:r>
            <w:r w:rsidR="00131E74">
              <w:rPr>
                <w:rFonts w:ascii="ArialMT" w:hAnsi="ArialMT" w:eastAsiaTheme="minorHAnsi" w:cs="ArialMT"/>
                <w:sz w:val="20"/>
                <w:szCs w:val="20"/>
              </w:rPr>
              <w:t xml:space="preserve"> </w:t>
            </w:r>
            <w:r>
              <w:rPr>
                <w:rFonts w:ascii="ArialMT" w:hAnsi="ArialMT" w:eastAsiaTheme="minorHAnsi" w:cs="ArialMT"/>
                <w:sz w:val="20"/>
                <w:szCs w:val="20"/>
              </w:rPr>
              <w:t>Interview</w:t>
            </w:r>
          </w:p>
          <w:p w:rsidR="000E04F6" w:rsidRPr="00593FDE" w:rsidP="00041208" w14:paraId="60FF0BF6" w14:textId="4A097FAE">
            <w:pPr>
              <w:keepLines/>
              <w:ind w:right="-1440"/>
              <w:rPr>
                <w:sz w:val="22"/>
                <w:szCs w:val="22"/>
              </w:rPr>
            </w:pPr>
            <w:r>
              <w:rPr>
                <w:rFonts w:ascii="ArialMT" w:hAnsi="ArialMT" w:eastAsiaTheme="minorHAnsi" w:cs="ArialMT"/>
                <w:sz w:val="20"/>
                <w:szCs w:val="20"/>
              </w:rPr>
              <w:t>Study</w:t>
            </w:r>
          </w:p>
        </w:tc>
        <w:tc>
          <w:tcPr>
            <w:tcW w:w="960" w:type="pct"/>
            <w:shd w:val="clear" w:color="auto" w:fill="auto"/>
          </w:tcPr>
          <w:p w:rsidR="00C8075F" w:rsidRPr="00C8075F" w:rsidP="00C8075F" w14:paraId="0CFACD4B" w14:textId="0F0A36AF">
            <w:pPr>
              <w:autoSpaceDE w:val="0"/>
              <w:autoSpaceDN w:val="0"/>
              <w:adjustRightInd w:val="0"/>
              <w:rPr>
                <w:sz w:val="22"/>
                <w:szCs w:val="22"/>
              </w:rPr>
            </w:pPr>
            <w:r>
              <w:rPr>
                <w:sz w:val="22"/>
                <w:szCs w:val="22"/>
              </w:rPr>
              <w:t>Th</w:t>
            </w:r>
            <w:r w:rsidR="00F344EF">
              <w:rPr>
                <w:sz w:val="22"/>
                <w:szCs w:val="22"/>
              </w:rPr>
              <w:t xml:space="preserve">ese one-on-one interviews </w:t>
            </w:r>
            <w:r w:rsidR="00CF7523">
              <w:rPr>
                <w:sz w:val="22"/>
                <w:szCs w:val="22"/>
              </w:rPr>
              <w:t xml:space="preserve">screened </w:t>
            </w:r>
            <w:r w:rsidR="001217C6">
              <w:rPr>
                <w:sz w:val="22"/>
                <w:szCs w:val="22"/>
              </w:rPr>
              <w:t>2,062</w:t>
            </w:r>
            <w:r w:rsidRPr="001C17FC" w:rsidR="001217C6">
              <w:rPr>
                <w:sz w:val="22"/>
                <w:szCs w:val="22"/>
              </w:rPr>
              <w:t xml:space="preserve"> </w:t>
            </w:r>
            <w:r w:rsidRPr="001C17FC" w:rsidR="00007A62">
              <w:rPr>
                <w:sz w:val="22"/>
                <w:szCs w:val="22"/>
              </w:rPr>
              <w:t>respondents</w:t>
            </w:r>
            <w:r w:rsidRPr="001C17FC" w:rsidR="001C5FCB">
              <w:rPr>
                <w:sz w:val="22"/>
                <w:szCs w:val="22"/>
              </w:rPr>
              <w:t xml:space="preserve"> </w:t>
            </w:r>
            <w:r w:rsidR="002D6963">
              <w:rPr>
                <w:sz w:val="22"/>
                <w:szCs w:val="22"/>
              </w:rPr>
              <w:t xml:space="preserve">to </w:t>
            </w:r>
            <w:r w:rsidR="00202EFD">
              <w:rPr>
                <w:sz w:val="22"/>
                <w:szCs w:val="22"/>
              </w:rPr>
              <w:t>seat</w:t>
            </w:r>
            <w:r w:rsidR="002D6963">
              <w:rPr>
                <w:sz w:val="22"/>
                <w:szCs w:val="22"/>
              </w:rPr>
              <w:t xml:space="preserve"> </w:t>
            </w:r>
            <w:r w:rsidR="000150EC">
              <w:rPr>
                <w:sz w:val="22"/>
                <w:szCs w:val="22"/>
              </w:rPr>
              <w:t xml:space="preserve">62 </w:t>
            </w:r>
            <w:r w:rsidR="000150EC">
              <w:rPr>
                <w:sz w:val="22"/>
                <w:szCs w:val="22"/>
              </w:rPr>
              <w:t>in depth</w:t>
            </w:r>
            <w:r w:rsidR="000150EC">
              <w:rPr>
                <w:sz w:val="22"/>
                <w:szCs w:val="22"/>
              </w:rPr>
              <w:t xml:space="preserve"> </w:t>
            </w:r>
            <w:r w:rsidR="00174F33">
              <w:rPr>
                <w:sz w:val="22"/>
                <w:szCs w:val="22"/>
              </w:rPr>
              <w:t xml:space="preserve">interview </w:t>
            </w:r>
            <w:r w:rsidR="002E6180">
              <w:rPr>
                <w:sz w:val="22"/>
                <w:szCs w:val="22"/>
              </w:rPr>
              <w:t>participants. Participants were segmented by age (</w:t>
            </w:r>
            <w:r w:rsidRPr="00C8075F">
              <w:rPr>
                <w:sz w:val="22"/>
                <w:szCs w:val="22"/>
              </w:rPr>
              <w:t>40-65 years old vs 66 years or older</w:t>
            </w:r>
            <w:r w:rsidR="002E6180">
              <w:rPr>
                <w:sz w:val="22"/>
                <w:szCs w:val="22"/>
              </w:rPr>
              <w:t>) and education (</w:t>
            </w:r>
            <w:r w:rsidR="00F10108">
              <w:rPr>
                <w:sz w:val="22"/>
                <w:szCs w:val="22"/>
              </w:rPr>
              <w:t>those w</w:t>
            </w:r>
            <w:r w:rsidR="00964C8A">
              <w:rPr>
                <w:sz w:val="22"/>
                <w:szCs w:val="22"/>
              </w:rPr>
              <w:t xml:space="preserve">ith </w:t>
            </w:r>
            <w:r w:rsidR="002E6180">
              <w:rPr>
                <w:sz w:val="22"/>
                <w:szCs w:val="22"/>
              </w:rPr>
              <w:t>vs</w:t>
            </w:r>
            <w:r w:rsidR="00964C8A">
              <w:rPr>
                <w:sz w:val="22"/>
                <w:szCs w:val="22"/>
              </w:rPr>
              <w:t xml:space="preserve"> without</w:t>
            </w:r>
            <w:r w:rsidR="00F10108">
              <w:rPr>
                <w:sz w:val="22"/>
                <w:szCs w:val="22"/>
              </w:rPr>
              <w:t xml:space="preserve"> a college </w:t>
            </w:r>
            <w:r w:rsidRPr="00C8075F">
              <w:rPr>
                <w:sz w:val="22"/>
                <w:szCs w:val="22"/>
              </w:rPr>
              <w:t>education</w:t>
            </w:r>
            <w:r w:rsidR="002E6180">
              <w:rPr>
                <w:sz w:val="22"/>
                <w:szCs w:val="22"/>
              </w:rPr>
              <w:t xml:space="preserve">). </w:t>
            </w:r>
            <w:r w:rsidR="000237D3">
              <w:rPr>
                <w:sz w:val="22"/>
                <w:szCs w:val="22"/>
              </w:rPr>
              <w:t>Participants reflected a mixture of other demographics.</w:t>
            </w:r>
            <w:r w:rsidRPr="00C8075F">
              <w:rPr>
                <w:sz w:val="22"/>
                <w:szCs w:val="22"/>
              </w:rPr>
              <w:t xml:space="preserve"> The study focus</w:t>
            </w:r>
            <w:r w:rsidR="00166E61">
              <w:rPr>
                <w:sz w:val="22"/>
                <w:szCs w:val="22"/>
              </w:rPr>
              <w:t>ed</w:t>
            </w:r>
            <w:r w:rsidRPr="00C8075F">
              <w:rPr>
                <w:sz w:val="22"/>
                <w:szCs w:val="22"/>
              </w:rPr>
              <w:t xml:space="preserve"> on adults of 40+ years old </w:t>
            </w:r>
            <w:r w:rsidR="0043355B">
              <w:rPr>
                <w:sz w:val="22"/>
                <w:szCs w:val="22"/>
              </w:rPr>
              <w:t>who</w:t>
            </w:r>
            <w:r w:rsidRPr="00C8075F">
              <w:rPr>
                <w:sz w:val="22"/>
                <w:szCs w:val="22"/>
              </w:rPr>
              <w:t xml:space="preserve"> </w:t>
            </w:r>
            <w:r w:rsidR="00166E61">
              <w:rPr>
                <w:sz w:val="22"/>
                <w:szCs w:val="22"/>
              </w:rPr>
              <w:t>were</w:t>
            </w:r>
            <w:r w:rsidRPr="00C8075F">
              <w:rPr>
                <w:sz w:val="22"/>
                <w:szCs w:val="22"/>
              </w:rPr>
              <w:t xml:space="preserve"> more likely to use dietary supplements or to have chronic health conditions that trigger interest </w:t>
            </w:r>
            <w:r w:rsidRPr="00C8075F">
              <w:rPr>
                <w:sz w:val="22"/>
                <w:szCs w:val="22"/>
              </w:rPr>
              <w:t>toward</w:t>
            </w:r>
            <w:r w:rsidRPr="00C8075F">
              <w:rPr>
                <w:sz w:val="22"/>
                <w:szCs w:val="22"/>
              </w:rPr>
              <w:t xml:space="preserve"> </w:t>
            </w:r>
            <w:r w:rsidR="00131173">
              <w:rPr>
                <w:sz w:val="22"/>
                <w:szCs w:val="22"/>
              </w:rPr>
              <w:t>the</w:t>
            </w:r>
            <w:r w:rsidRPr="00C8075F">
              <w:rPr>
                <w:sz w:val="22"/>
                <w:szCs w:val="22"/>
              </w:rPr>
              <w:t xml:space="preserve"> use of dietary supplements.</w:t>
            </w:r>
          </w:p>
          <w:p w:rsidR="00F1249A" w:rsidRPr="001C17FC" w:rsidP="004C34A0" w14:paraId="337AD813" w14:textId="236961E4">
            <w:pPr>
              <w:autoSpaceDE w:val="0"/>
              <w:autoSpaceDN w:val="0"/>
              <w:adjustRightInd w:val="0"/>
              <w:rPr>
                <w:sz w:val="22"/>
                <w:szCs w:val="22"/>
              </w:rPr>
            </w:pPr>
          </w:p>
        </w:tc>
        <w:tc>
          <w:tcPr>
            <w:tcW w:w="1829" w:type="pct"/>
          </w:tcPr>
          <w:p w:rsidR="00AA34AC" w:rsidP="00497D15" w14:paraId="212C7590" w14:textId="7968FB38">
            <w:pPr>
              <w:rPr>
                <w:iCs/>
                <w:sz w:val="22"/>
                <w:szCs w:val="22"/>
              </w:rPr>
            </w:pPr>
            <w:r w:rsidRPr="00AA34AC">
              <w:rPr>
                <w:iCs/>
                <w:sz w:val="22"/>
                <w:szCs w:val="22"/>
              </w:rPr>
              <w:t xml:space="preserve">The information </w:t>
            </w:r>
            <w:r w:rsidR="00501350">
              <w:rPr>
                <w:iCs/>
                <w:sz w:val="22"/>
                <w:szCs w:val="22"/>
              </w:rPr>
              <w:t>helped</w:t>
            </w:r>
            <w:r w:rsidRPr="00AA34AC">
              <w:rPr>
                <w:iCs/>
                <w:sz w:val="22"/>
                <w:szCs w:val="22"/>
              </w:rPr>
              <w:t xml:space="preserve"> FDA to formulate, expand, and improve educational and outreach initiatives t</w:t>
            </w:r>
            <w:r w:rsidR="00501350">
              <w:rPr>
                <w:iCs/>
                <w:sz w:val="22"/>
                <w:szCs w:val="22"/>
              </w:rPr>
              <w:t>o</w:t>
            </w:r>
            <w:r w:rsidRPr="00AA34AC">
              <w:rPr>
                <w:iCs/>
                <w:sz w:val="22"/>
                <w:szCs w:val="22"/>
              </w:rPr>
              <w:t xml:space="preserve"> consumers understand the meaning and limitations of </w:t>
            </w:r>
            <w:r w:rsidR="00164266">
              <w:rPr>
                <w:iCs/>
                <w:sz w:val="22"/>
                <w:szCs w:val="22"/>
              </w:rPr>
              <w:t>structure-function</w:t>
            </w:r>
            <w:r w:rsidRPr="00AA34AC">
              <w:rPr>
                <w:iCs/>
                <w:sz w:val="22"/>
                <w:szCs w:val="22"/>
              </w:rPr>
              <w:t xml:space="preserve"> claims and promote and protect the public's health by ensuring consumers understand the information on dietary supplement products to make informed choices.  </w:t>
            </w:r>
          </w:p>
          <w:p w:rsidR="000770A1" w:rsidRPr="00593FDE" w:rsidP="00497D15" w14:paraId="0AC02679" w14:textId="31A135B3">
            <w:pPr>
              <w:rPr>
                <w:iCs/>
                <w:sz w:val="22"/>
                <w:szCs w:val="22"/>
              </w:rPr>
            </w:pPr>
            <w:r w:rsidRPr="00566A76">
              <w:rPr>
                <w:iCs/>
                <w:sz w:val="22"/>
                <w:szCs w:val="22"/>
              </w:rPr>
              <w:t xml:space="preserve"> </w:t>
            </w:r>
          </w:p>
        </w:tc>
        <w:tc>
          <w:tcPr>
            <w:tcW w:w="741" w:type="pct"/>
          </w:tcPr>
          <w:p w:rsidR="000770A1" w:rsidRPr="00B2132D" w:rsidP="0059128B" w14:paraId="0890B412" w14:textId="2C5CE0BD">
            <w:pPr>
              <w:rPr>
                <w:iCs/>
                <w:sz w:val="22"/>
                <w:szCs w:val="22"/>
              </w:rPr>
            </w:pPr>
            <w:r>
              <w:rPr>
                <w:iCs/>
                <w:sz w:val="22"/>
                <w:szCs w:val="22"/>
              </w:rPr>
              <w:t>245</w:t>
            </w:r>
            <w:r w:rsidRPr="00B2132D">
              <w:rPr>
                <w:iCs/>
                <w:sz w:val="22"/>
                <w:szCs w:val="22"/>
              </w:rPr>
              <w:t xml:space="preserve"> </w:t>
            </w:r>
            <w:r w:rsidRPr="00B2132D" w:rsidR="00007A62">
              <w:rPr>
                <w:iCs/>
                <w:sz w:val="22"/>
                <w:szCs w:val="22"/>
              </w:rPr>
              <w:t>hours were used</w:t>
            </w:r>
            <w:r w:rsidRPr="00B2132D" w:rsidR="00B2132D">
              <w:rPr>
                <w:iCs/>
                <w:sz w:val="22"/>
                <w:szCs w:val="22"/>
              </w:rPr>
              <w:t xml:space="preserve"> to </w:t>
            </w:r>
            <w:r w:rsidR="004C34A0">
              <w:rPr>
                <w:iCs/>
                <w:sz w:val="22"/>
                <w:szCs w:val="22"/>
              </w:rPr>
              <w:t xml:space="preserve">screen potential </w:t>
            </w:r>
            <w:r w:rsidR="00B63A4E">
              <w:rPr>
                <w:iCs/>
                <w:sz w:val="22"/>
                <w:szCs w:val="22"/>
              </w:rPr>
              <w:t>participant</w:t>
            </w:r>
            <w:r w:rsidR="00EA0676">
              <w:rPr>
                <w:iCs/>
                <w:sz w:val="22"/>
                <w:szCs w:val="22"/>
              </w:rPr>
              <w:t>s</w:t>
            </w:r>
            <w:r w:rsidR="00B63A4E">
              <w:rPr>
                <w:iCs/>
                <w:sz w:val="22"/>
                <w:szCs w:val="22"/>
              </w:rPr>
              <w:t xml:space="preserve"> and </w:t>
            </w:r>
            <w:r w:rsidRPr="00B2132D" w:rsidR="00B2132D">
              <w:rPr>
                <w:iCs/>
                <w:sz w:val="22"/>
                <w:szCs w:val="22"/>
              </w:rPr>
              <w:t xml:space="preserve">conduct </w:t>
            </w:r>
            <w:r w:rsidR="00D05675">
              <w:rPr>
                <w:iCs/>
                <w:sz w:val="22"/>
                <w:szCs w:val="22"/>
              </w:rPr>
              <w:t>one-</w:t>
            </w:r>
            <w:r w:rsidRPr="00C629FB" w:rsidR="00C629FB">
              <w:rPr>
                <w:iCs/>
                <w:sz w:val="22"/>
                <w:szCs w:val="22"/>
              </w:rPr>
              <w:t xml:space="preserve">on-one </w:t>
            </w:r>
            <w:r w:rsidR="00D05675">
              <w:rPr>
                <w:iCs/>
                <w:sz w:val="22"/>
                <w:szCs w:val="22"/>
              </w:rPr>
              <w:t>i</w:t>
            </w:r>
            <w:r w:rsidRPr="00C629FB" w:rsidR="00C629FB">
              <w:rPr>
                <w:iCs/>
                <w:sz w:val="22"/>
                <w:szCs w:val="22"/>
              </w:rPr>
              <w:t xml:space="preserve">n-depth </w:t>
            </w:r>
            <w:r w:rsidR="00D05675">
              <w:rPr>
                <w:iCs/>
                <w:sz w:val="22"/>
                <w:szCs w:val="22"/>
              </w:rPr>
              <w:t>i</w:t>
            </w:r>
            <w:r w:rsidRPr="00C629FB" w:rsidR="00C629FB">
              <w:rPr>
                <w:iCs/>
                <w:sz w:val="22"/>
                <w:szCs w:val="22"/>
              </w:rPr>
              <w:t xml:space="preserve">nterview </w:t>
            </w:r>
            <w:r w:rsidR="00D05675">
              <w:rPr>
                <w:iCs/>
                <w:sz w:val="22"/>
                <w:szCs w:val="22"/>
              </w:rPr>
              <w:t>s</w:t>
            </w:r>
            <w:r w:rsidRPr="00C629FB" w:rsidR="00C629FB">
              <w:rPr>
                <w:iCs/>
                <w:sz w:val="22"/>
                <w:szCs w:val="22"/>
              </w:rPr>
              <w:t>tud</w:t>
            </w:r>
            <w:r w:rsidR="00B63A4E">
              <w:rPr>
                <w:iCs/>
                <w:sz w:val="22"/>
                <w:szCs w:val="22"/>
              </w:rPr>
              <w:t>ies regarding dietary supplements</w:t>
            </w:r>
            <w:r w:rsidR="00D05675">
              <w:rPr>
                <w:iCs/>
                <w:sz w:val="22"/>
                <w:szCs w:val="22"/>
              </w:rPr>
              <w:t>.</w:t>
            </w:r>
          </w:p>
        </w:tc>
      </w:tr>
      <w:tr w14:paraId="1F66D061" w14:textId="77777777" w:rsidTr="00E71FE8">
        <w:tblPrEx>
          <w:tblW w:w="4917" w:type="pct"/>
          <w:tblInd w:w="18" w:type="dxa"/>
          <w:tblLayout w:type="fixed"/>
          <w:tblLook w:val="01E0"/>
        </w:tblPrEx>
        <w:trPr>
          <w:cantSplit/>
        </w:trPr>
        <w:tc>
          <w:tcPr>
            <w:tcW w:w="1470" w:type="pct"/>
            <w:shd w:val="clear" w:color="auto" w:fill="auto"/>
          </w:tcPr>
          <w:p w:rsidR="000E04F6" w:rsidRPr="00593FDE" w:rsidP="00041208" w14:paraId="13EEA5C2" w14:textId="744EEA26">
            <w:pPr>
              <w:keepLines/>
              <w:ind w:right="-17"/>
              <w:rPr>
                <w:sz w:val="22"/>
                <w:szCs w:val="22"/>
              </w:rPr>
            </w:pPr>
            <w:r>
              <w:rPr>
                <w:rFonts w:ascii="ArialMT" w:hAnsi="ArialMT" w:eastAsiaTheme="minorHAnsi" w:cs="ArialMT"/>
                <w:sz w:val="20"/>
                <w:szCs w:val="20"/>
              </w:rPr>
              <w:t>In-depth Interviews with</w:t>
            </w:r>
            <w:r w:rsidR="00A83D7E">
              <w:rPr>
                <w:rFonts w:ascii="ArialMT" w:hAnsi="ArialMT" w:eastAsiaTheme="minorHAnsi" w:cs="ArialMT"/>
                <w:sz w:val="20"/>
                <w:szCs w:val="20"/>
              </w:rPr>
              <w:t xml:space="preserve"> </w:t>
            </w:r>
            <w:r>
              <w:rPr>
                <w:rFonts w:ascii="ArialMT" w:hAnsi="ArialMT" w:eastAsiaTheme="minorHAnsi" w:cs="ArialMT"/>
                <w:sz w:val="20"/>
                <w:szCs w:val="20"/>
              </w:rPr>
              <w:t>Healthcare</w:t>
            </w:r>
            <w:r w:rsidR="00131E74">
              <w:rPr>
                <w:rFonts w:ascii="ArialMT" w:hAnsi="ArialMT" w:eastAsiaTheme="minorHAnsi" w:cs="ArialMT"/>
                <w:sz w:val="20"/>
                <w:szCs w:val="20"/>
              </w:rPr>
              <w:t xml:space="preserve"> </w:t>
            </w:r>
            <w:r>
              <w:rPr>
                <w:rFonts w:ascii="ArialMT" w:hAnsi="ArialMT" w:eastAsiaTheme="minorHAnsi" w:cs="ArialMT"/>
                <w:sz w:val="20"/>
                <w:szCs w:val="20"/>
              </w:rPr>
              <w:t>Professionals and</w:t>
            </w:r>
            <w:r w:rsidR="00131E74">
              <w:rPr>
                <w:rFonts w:ascii="ArialMT" w:hAnsi="ArialMT" w:eastAsiaTheme="minorHAnsi" w:cs="ArialMT"/>
                <w:sz w:val="20"/>
                <w:szCs w:val="20"/>
              </w:rPr>
              <w:t xml:space="preserve"> </w:t>
            </w:r>
            <w:r>
              <w:rPr>
                <w:rFonts w:ascii="ArialMT" w:hAnsi="ArialMT" w:eastAsiaTheme="minorHAnsi" w:cs="ArialMT"/>
                <w:sz w:val="20"/>
                <w:szCs w:val="20"/>
              </w:rPr>
              <w:t>Health Educators on</w:t>
            </w:r>
            <w:r w:rsidR="00131E74">
              <w:rPr>
                <w:rFonts w:ascii="ArialMT" w:hAnsi="ArialMT" w:eastAsiaTheme="minorHAnsi" w:cs="ArialMT"/>
                <w:sz w:val="20"/>
                <w:szCs w:val="20"/>
              </w:rPr>
              <w:t xml:space="preserve"> </w:t>
            </w:r>
            <w:r>
              <w:rPr>
                <w:rFonts w:ascii="ArialMT" w:hAnsi="ArialMT" w:eastAsiaTheme="minorHAnsi" w:cs="ArialMT"/>
                <w:sz w:val="20"/>
                <w:szCs w:val="20"/>
              </w:rPr>
              <w:t>Environmental</w:t>
            </w:r>
            <w:r w:rsidR="00131E74">
              <w:rPr>
                <w:rFonts w:ascii="ArialMT" w:hAnsi="ArialMT" w:eastAsiaTheme="minorHAnsi" w:cs="ArialMT"/>
                <w:sz w:val="20"/>
                <w:szCs w:val="20"/>
              </w:rPr>
              <w:t xml:space="preserve"> </w:t>
            </w:r>
            <w:r>
              <w:rPr>
                <w:rFonts w:ascii="ArialMT" w:hAnsi="ArialMT" w:eastAsiaTheme="minorHAnsi" w:cs="ArialMT"/>
                <w:sz w:val="20"/>
                <w:szCs w:val="20"/>
              </w:rPr>
              <w:t>Contaminants in Food</w:t>
            </w:r>
            <w:r w:rsidR="00131E74">
              <w:rPr>
                <w:rFonts w:ascii="ArialMT" w:hAnsi="ArialMT" w:eastAsiaTheme="minorHAnsi" w:cs="ArialMT"/>
                <w:sz w:val="20"/>
                <w:szCs w:val="20"/>
              </w:rPr>
              <w:t xml:space="preserve"> </w:t>
            </w:r>
            <w:r>
              <w:rPr>
                <w:rFonts w:ascii="ArialMT" w:hAnsi="ArialMT" w:eastAsiaTheme="minorHAnsi" w:cs="ArialMT"/>
                <w:sz w:val="20"/>
                <w:szCs w:val="20"/>
              </w:rPr>
              <w:t>for Young Children</w:t>
            </w:r>
          </w:p>
        </w:tc>
        <w:tc>
          <w:tcPr>
            <w:tcW w:w="960" w:type="pct"/>
            <w:shd w:val="clear" w:color="auto" w:fill="auto"/>
          </w:tcPr>
          <w:p w:rsidR="000770A1" w:rsidRPr="00593FDE" w:rsidP="00126233" w14:paraId="4559B1C8" w14:textId="6C8F5EEC">
            <w:pPr>
              <w:rPr>
                <w:sz w:val="22"/>
                <w:szCs w:val="22"/>
              </w:rPr>
            </w:pPr>
            <w:r>
              <w:rPr>
                <w:sz w:val="22"/>
                <w:szCs w:val="22"/>
              </w:rPr>
              <w:t xml:space="preserve">80 </w:t>
            </w:r>
            <w:r w:rsidR="00F04A93">
              <w:rPr>
                <w:sz w:val="22"/>
                <w:szCs w:val="22"/>
              </w:rPr>
              <w:t xml:space="preserve">total </w:t>
            </w:r>
            <w:r w:rsidR="0038570F">
              <w:rPr>
                <w:sz w:val="22"/>
                <w:szCs w:val="22"/>
              </w:rPr>
              <w:t>respondents</w:t>
            </w:r>
            <w:r w:rsidR="00A64B2F">
              <w:rPr>
                <w:sz w:val="22"/>
                <w:szCs w:val="22"/>
              </w:rPr>
              <w:t xml:space="preserve"> </w:t>
            </w:r>
            <w:r w:rsidR="0076154D">
              <w:rPr>
                <w:sz w:val="22"/>
                <w:szCs w:val="22"/>
              </w:rPr>
              <w:t xml:space="preserve">were </w:t>
            </w:r>
            <w:r w:rsidR="0012505C">
              <w:rPr>
                <w:sz w:val="22"/>
                <w:szCs w:val="22"/>
              </w:rPr>
              <w:t xml:space="preserve">screened </w:t>
            </w:r>
            <w:r w:rsidR="0076154D">
              <w:rPr>
                <w:sz w:val="22"/>
                <w:szCs w:val="22"/>
              </w:rPr>
              <w:t xml:space="preserve">to </w:t>
            </w:r>
            <w:r w:rsidR="000369AE">
              <w:rPr>
                <w:sz w:val="22"/>
                <w:szCs w:val="22"/>
              </w:rPr>
              <w:t xml:space="preserve">select 27 </w:t>
            </w:r>
            <w:r w:rsidR="00575E4A">
              <w:rPr>
                <w:sz w:val="22"/>
                <w:szCs w:val="22"/>
              </w:rPr>
              <w:t xml:space="preserve">participants of </w:t>
            </w:r>
            <w:r w:rsidR="000369AE">
              <w:rPr>
                <w:sz w:val="22"/>
                <w:szCs w:val="22"/>
              </w:rPr>
              <w:t>in-depth interviews</w:t>
            </w:r>
            <w:r w:rsidR="009D3DE0">
              <w:rPr>
                <w:sz w:val="22"/>
                <w:szCs w:val="22"/>
              </w:rPr>
              <w:t xml:space="preserve"> with</w:t>
            </w:r>
            <w:r w:rsidR="002311DA">
              <w:rPr>
                <w:sz w:val="22"/>
                <w:szCs w:val="22"/>
              </w:rPr>
              <w:t xml:space="preserve"> </w:t>
            </w:r>
            <w:r w:rsidRPr="00F04A93" w:rsidR="00F04A93">
              <w:rPr>
                <w:sz w:val="22"/>
                <w:szCs w:val="22"/>
              </w:rPr>
              <w:t xml:space="preserve">English-speaking U.S. healthcare providers and nutrition educators whose patients and clients </w:t>
            </w:r>
            <w:r w:rsidR="003E5E64">
              <w:rPr>
                <w:sz w:val="22"/>
                <w:szCs w:val="22"/>
              </w:rPr>
              <w:t>were</w:t>
            </w:r>
            <w:r w:rsidRPr="00F04A93" w:rsidR="00F04A93">
              <w:rPr>
                <w:sz w:val="22"/>
                <w:szCs w:val="22"/>
              </w:rPr>
              <w:t xml:space="preserve"> parents or caregivers of young children. </w:t>
            </w:r>
            <w:r w:rsidR="003E5E64">
              <w:rPr>
                <w:sz w:val="22"/>
                <w:szCs w:val="22"/>
              </w:rPr>
              <w:t xml:space="preserve"> </w:t>
            </w:r>
            <w:r w:rsidRPr="00F04A93" w:rsidR="00F04A93">
              <w:rPr>
                <w:sz w:val="22"/>
                <w:szCs w:val="22"/>
              </w:rPr>
              <w:t xml:space="preserve"> </w:t>
            </w:r>
            <w:r w:rsidR="003E5E64">
              <w:rPr>
                <w:sz w:val="22"/>
                <w:szCs w:val="22"/>
              </w:rPr>
              <w:t xml:space="preserve"> </w:t>
            </w:r>
          </w:p>
        </w:tc>
        <w:tc>
          <w:tcPr>
            <w:tcW w:w="1829" w:type="pct"/>
          </w:tcPr>
          <w:p w:rsidR="000770A1" w:rsidRPr="00593FDE" w:rsidP="00041208" w14:paraId="1D06293D" w14:textId="75C24FD0">
            <w:pPr>
              <w:rPr>
                <w:sz w:val="22"/>
                <w:szCs w:val="22"/>
              </w:rPr>
            </w:pPr>
            <w:r w:rsidRPr="00562AC6">
              <w:rPr>
                <w:sz w:val="22"/>
                <w:szCs w:val="22"/>
              </w:rPr>
              <w:t>The findings from these interviews support</w:t>
            </w:r>
            <w:r w:rsidR="001007D5">
              <w:rPr>
                <w:sz w:val="22"/>
                <w:szCs w:val="22"/>
              </w:rPr>
              <w:t>ed</w:t>
            </w:r>
            <w:r w:rsidRPr="00562AC6">
              <w:rPr>
                <w:sz w:val="22"/>
                <w:szCs w:val="22"/>
              </w:rPr>
              <w:t xml:space="preserve"> FDA's Closer to Zero Initiative.</w:t>
            </w:r>
            <w:r w:rsidR="0066283E">
              <w:rPr>
                <w:sz w:val="22"/>
                <w:szCs w:val="22"/>
              </w:rPr>
              <w:t xml:space="preserve"> </w:t>
            </w:r>
            <w:r w:rsidRPr="00562AC6">
              <w:rPr>
                <w:sz w:val="22"/>
                <w:szCs w:val="22"/>
              </w:rPr>
              <w:t>These resources enable</w:t>
            </w:r>
            <w:r w:rsidR="001007D5">
              <w:rPr>
                <w:sz w:val="22"/>
                <w:szCs w:val="22"/>
              </w:rPr>
              <w:t>d</w:t>
            </w:r>
            <w:r w:rsidRPr="00562AC6">
              <w:rPr>
                <w:sz w:val="22"/>
                <w:szCs w:val="22"/>
              </w:rPr>
              <w:t xml:space="preserve"> healthcare professionals and nutrition educators to communicate with parents and caregivers on how to protect their young children </w:t>
            </w:r>
            <w:r w:rsidRPr="00562AC6">
              <w:rPr>
                <w:sz w:val="22"/>
                <w:szCs w:val="22"/>
              </w:rPr>
              <w:t>at</w:t>
            </w:r>
            <w:r w:rsidRPr="00562AC6">
              <w:rPr>
                <w:sz w:val="22"/>
                <w:szCs w:val="22"/>
              </w:rPr>
              <w:t xml:space="preserve"> various ages from the effects of environmental contaminants in foods and convey</w:t>
            </w:r>
            <w:r w:rsidR="00595100">
              <w:rPr>
                <w:sz w:val="22"/>
                <w:szCs w:val="22"/>
              </w:rPr>
              <w:t>ed</w:t>
            </w:r>
            <w:r w:rsidRPr="00562AC6">
              <w:rPr>
                <w:sz w:val="22"/>
                <w:szCs w:val="22"/>
              </w:rPr>
              <w:t xml:space="preserve"> the steps the agency is taking to ensure the safety of the food supply.</w:t>
            </w:r>
          </w:p>
        </w:tc>
        <w:tc>
          <w:tcPr>
            <w:tcW w:w="741" w:type="pct"/>
          </w:tcPr>
          <w:p w:rsidR="000770A1" w:rsidRPr="00593FDE" w:rsidP="0059128B" w14:paraId="1068CC00" w14:textId="58AF3C65">
            <w:pPr>
              <w:ind w:right="-14"/>
              <w:rPr>
                <w:sz w:val="22"/>
                <w:szCs w:val="22"/>
              </w:rPr>
            </w:pPr>
            <w:r>
              <w:rPr>
                <w:sz w:val="22"/>
                <w:szCs w:val="22"/>
              </w:rPr>
              <w:t xml:space="preserve">41 </w:t>
            </w:r>
            <w:r w:rsidR="0059128B">
              <w:rPr>
                <w:sz w:val="22"/>
                <w:szCs w:val="22"/>
              </w:rPr>
              <w:t xml:space="preserve">hours </w:t>
            </w:r>
            <w:r w:rsidR="00B2132D">
              <w:rPr>
                <w:sz w:val="22"/>
                <w:szCs w:val="22"/>
              </w:rPr>
              <w:t xml:space="preserve">were </w:t>
            </w:r>
            <w:r w:rsidR="0059128B">
              <w:rPr>
                <w:sz w:val="22"/>
                <w:szCs w:val="22"/>
              </w:rPr>
              <w:t>used</w:t>
            </w:r>
            <w:r w:rsidR="00B2132D">
              <w:rPr>
                <w:sz w:val="22"/>
                <w:szCs w:val="22"/>
              </w:rPr>
              <w:t xml:space="preserve"> </w:t>
            </w:r>
            <w:r w:rsidR="00AD3A31">
              <w:rPr>
                <w:sz w:val="22"/>
                <w:szCs w:val="22"/>
              </w:rPr>
              <w:t xml:space="preserve">to conduct </w:t>
            </w:r>
            <w:r w:rsidR="00CE2FEB">
              <w:rPr>
                <w:sz w:val="22"/>
                <w:szCs w:val="22"/>
              </w:rPr>
              <w:t xml:space="preserve">screening and </w:t>
            </w:r>
            <w:r w:rsidR="00964741">
              <w:rPr>
                <w:sz w:val="22"/>
                <w:szCs w:val="22"/>
              </w:rPr>
              <w:t>individual in-depth interviews.</w:t>
            </w:r>
          </w:p>
        </w:tc>
      </w:tr>
      <w:tr w14:paraId="0CCB6D04" w14:textId="77777777" w:rsidTr="00E71FE8">
        <w:tblPrEx>
          <w:tblW w:w="4917" w:type="pct"/>
          <w:tblInd w:w="18" w:type="dxa"/>
          <w:tblLayout w:type="fixed"/>
          <w:tblLook w:val="01E0"/>
        </w:tblPrEx>
        <w:trPr>
          <w:cantSplit/>
        </w:trPr>
        <w:tc>
          <w:tcPr>
            <w:tcW w:w="1470" w:type="pct"/>
            <w:shd w:val="clear" w:color="auto" w:fill="auto"/>
          </w:tcPr>
          <w:p w:rsidR="000E04F6" w:rsidRPr="00593FDE" w:rsidP="00041208" w14:paraId="4654CB71" w14:textId="2407608C">
            <w:pPr>
              <w:keepLines/>
              <w:ind w:right="-84"/>
              <w:rPr>
                <w:sz w:val="22"/>
                <w:szCs w:val="22"/>
              </w:rPr>
            </w:pPr>
            <w:r>
              <w:rPr>
                <w:rFonts w:ascii="ArialMT" w:hAnsi="ArialMT" w:eastAsiaTheme="minorHAnsi" w:cs="ArialMT"/>
                <w:sz w:val="20"/>
                <w:szCs w:val="20"/>
              </w:rPr>
              <w:t>Pediatric Healthcare</w:t>
            </w:r>
            <w:r w:rsidR="0003766A">
              <w:rPr>
                <w:rFonts w:ascii="ArialMT" w:hAnsi="ArialMT" w:eastAsiaTheme="minorHAnsi" w:cs="ArialMT"/>
                <w:sz w:val="20"/>
                <w:szCs w:val="20"/>
              </w:rPr>
              <w:t xml:space="preserve"> </w:t>
            </w:r>
            <w:r>
              <w:rPr>
                <w:rFonts w:ascii="ArialMT" w:hAnsi="ArialMT" w:eastAsiaTheme="minorHAnsi" w:cs="ArialMT"/>
                <w:sz w:val="20"/>
                <w:szCs w:val="20"/>
              </w:rPr>
              <w:t>Provider Interviews on</w:t>
            </w:r>
            <w:r w:rsidR="00A83D7E">
              <w:rPr>
                <w:rFonts w:ascii="ArialMT" w:hAnsi="ArialMT" w:eastAsiaTheme="minorHAnsi" w:cs="ArialMT"/>
                <w:sz w:val="20"/>
                <w:szCs w:val="20"/>
              </w:rPr>
              <w:t xml:space="preserve"> </w:t>
            </w:r>
            <w:r>
              <w:rPr>
                <w:rFonts w:ascii="ArialMT" w:hAnsi="ArialMT" w:eastAsiaTheme="minorHAnsi" w:cs="ArialMT"/>
                <w:sz w:val="20"/>
                <w:szCs w:val="20"/>
              </w:rPr>
              <w:t>Bioactives in Infant</w:t>
            </w:r>
            <w:r w:rsidR="0003766A">
              <w:rPr>
                <w:rFonts w:ascii="ArialMT" w:hAnsi="ArialMT" w:eastAsiaTheme="minorHAnsi" w:cs="ArialMT"/>
                <w:sz w:val="20"/>
                <w:szCs w:val="20"/>
              </w:rPr>
              <w:t xml:space="preserve"> </w:t>
            </w:r>
            <w:r>
              <w:rPr>
                <w:rFonts w:ascii="ArialMT" w:hAnsi="ArialMT" w:eastAsiaTheme="minorHAnsi" w:cs="ArialMT"/>
                <w:sz w:val="20"/>
                <w:szCs w:val="20"/>
              </w:rPr>
              <w:t>Formula – Phase 2</w:t>
            </w:r>
          </w:p>
        </w:tc>
        <w:tc>
          <w:tcPr>
            <w:tcW w:w="960" w:type="pct"/>
            <w:shd w:val="clear" w:color="auto" w:fill="auto"/>
          </w:tcPr>
          <w:p w:rsidR="000770A1" w:rsidRPr="00593FDE" w:rsidP="00041208" w14:paraId="3E0D7C5A" w14:textId="26E7C386">
            <w:pPr>
              <w:autoSpaceDE w:val="0"/>
              <w:autoSpaceDN w:val="0"/>
              <w:adjustRightInd w:val="0"/>
              <w:rPr>
                <w:sz w:val="22"/>
                <w:szCs w:val="22"/>
              </w:rPr>
            </w:pPr>
            <w:r>
              <w:rPr>
                <w:sz w:val="22"/>
                <w:szCs w:val="22"/>
              </w:rPr>
              <w:t xml:space="preserve">84 </w:t>
            </w:r>
            <w:r w:rsidR="00DB70A6">
              <w:rPr>
                <w:sz w:val="22"/>
                <w:szCs w:val="22"/>
              </w:rPr>
              <w:t>respondents</w:t>
            </w:r>
            <w:r w:rsidR="00A37EE3">
              <w:rPr>
                <w:sz w:val="22"/>
                <w:szCs w:val="22"/>
              </w:rPr>
              <w:t xml:space="preserve"> </w:t>
            </w:r>
            <w:r w:rsidR="00F62745">
              <w:rPr>
                <w:sz w:val="22"/>
                <w:szCs w:val="22"/>
              </w:rPr>
              <w:t xml:space="preserve">were </w:t>
            </w:r>
            <w:r w:rsidR="001C0255">
              <w:rPr>
                <w:sz w:val="22"/>
                <w:szCs w:val="22"/>
              </w:rPr>
              <w:t>screened</w:t>
            </w:r>
            <w:r w:rsidR="00F62745">
              <w:rPr>
                <w:sz w:val="22"/>
                <w:szCs w:val="22"/>
              </w:rPr>
              <w:t xml:space="preserve"> </w:t>
            </w:r>
            <w:r w:rsidR="0003766A">
              <w:rPr>
                <w:sz w:val="22"/>
                <w:szCs w:val="22"/>
              </w:rPr>
              <w:t xml:space="preserve">to </w:t>
            </w:r>
            <w:r w:rsidR="009D3DE0">
              <w:rPr>
                <w:sz w:val="22"/>
                <w:szCs w:val="22"/>
              </w:rPr>
              <w:t xml:space="preserve">seat </w:t>
            </w:r>
            <w:r w:rsidR="00606BAD">
              <w:rPr>
                <w:sz w:val="22"/>
                <w:szCs w:val="22"/>
              </w:rPr>
              <w:t xml:space="preserve">20 </w:t>
            </w:r>
            <w:r w:rsidR="006156FD">
              <w:rPr>
                <w:sz w:val="22"/>
                <w:szCs w:val="22"/>
              </w:rPr>
              <w:t xml:space="preserve">interview </w:t>
            </w:r>
            <w:r w:rsidR="00606BAD">
              <w:rPr>
                <w:sz w:val="22"/>
                <w:szCs w:val="22"/>
              </w:rPr>
              <w:t>participants</w:t>
            </w:r>
            <w:r w:rsidR="006156FD">
              <w:rPr>
                <w:sz w:val="22"/>
                <w:szCs w:val="22"/>
              </w:rPr>
              <w:t>, who</w:t>
            </w:r>
            <w:r w:rsidRPr="00DD1E81" w:rsidR="00DD1E81">
              <w:rPr>
                <w:sz w:val="22"/>
                <w:szCs w:val="22"/>
              </w:rPr>
              <w:t xml:space="preserve"> w</w:t>
            </w:r>
            <w:r w:rsidR="0073379D">
              <w:rPr>
                <w:sz w:val="22"/>
                <w:szCs w:val="22"/>
              </w:rPr>
              <w:t>ere</w:t>
            </w:r>
            <w:r w:rsidRPr="00DD1E81" w:rsidR="00DD1E81">
              <w:rPr>
                <w:sz w:val="22"/>
                <w:szCs w:val="22"/>
              </w:rPr>
              <w:t xml:space="preserve"> healthcare providers do</w:t>
            </w:r>
            <w:r w:rsidR="001740B7">
              <w:rPr>
                <w:sz w:val="22"/>
                <w:szCs w:val="22"/>
              </w:rPr>
              <w:t>ing</w:t>
            </w:r>
            <w:r w:rsidRPr="00DD1E81" w:rsidR="00DD1E81">
              <w:rPr>
                <w:sz w:val="22"/>
                <w:szCs w:val="22"/>
              </w:rPr>
              <w:t xml:space="preserve"> clinical work with infants.  Interviews w</w:t>
            </w:r>
            <w:r w:rsidR="001740B7">
              <w:rPr>
                <w:sz w:val="22"/>
                <w:szCs w:val="22"/>
              </w:rPr>
              <w:t>ere</w:t>
            </w:r>
            <w:r w:rsidRPr="00DD1E81" w:rsidR="00DD1E81">
              <w:rPr>
                <w:sz w:val="22"/>
                <w:szCs w:val="22"/>
              </w:rPr>
              <w:t xml:space="preserve"> segmented by type of pediatric healthcare provider (i.e., pediatricians, nurses/nurse practitioners, neonatologists, pediatric hospitalists) and setting (inpatient vs. outpatient).  </w:t>
            </w:r>
          </w:p>
        </w:tc>
        <w:tc>
          <w:tcPr>
            <w:tcW w:w="1829" w:type="pct"/>
          </w:tcPr>
          <w:p w:rsidR="000770A1" w:rsidRPr="00593FDE" w:rsidP="00097CF4" w14:paraId="0C87DFBB" w14:textId="6DDE68F5">
            <w:pPr>
              <w:rPr>
                <w:sz w:val="22"/>
                <w:szCs w:val="22"/>
              </w:rPr>
            </w:pPr>
            <w:r w:rsidRPr="0057170E">
              <w:rPr>
                <w:sz w:val="22"/>
                <w:szCs w:val="22"/>
              </w:rPr>
              <w:t xml:space="preserve">The information </w:t>
            </w:r>
            <w:r w:rsidR="00B72C43">
              <w:rPr>
                <w:sz w:val="22"/>
                <w:szCs w:val="22"/>
              </w:rPr>
              <w:t xml:space="preserve">assisted </w:t>
            </w:r>
            <w:r w:rsidRPr="0057170E">
              <w:rPr>
                <w:sz w:val="22"/>
                <w:szCs w:val="22"/>
              </w:rPr>
              <w:t xml:space="preserve">FDA </w:t>
            </w:r>
            <w:r w:rsidR="00B72C43">
              <w:rPr>
                <w:sz w:val="22"/>
                <w:szCs w:val="22"/>
              </w:rPr>
              <w:t>in</w:t>
            </w:r>
            <w:r w:rsidRPr="0057170E">
              <w:rPr>
                <w:sz w:val="22"/>
                <w:szCs w:val="22"/>
              </w:rPr>
              <w:t xml:space="preserve"> creat</w:t>
            </w:r>
            <w:r w:rsidR="00B72C43">
              <w:rPr>
                <w:sz w:val="22"/>
                <w:szCs w:val="22"/>
              </w:rPr>
              <w:t>ing</w:t>
            </w:r>
            <w:r w:rsidRPr="0057170E">
              <w:rPr>
                <w:sz w:val="22"/>
                <w:szCs w:val="22"/>
              </w:rPr>
              <w:t xml:space="preserve"> and disseminat</w:t>
            </w:r>
            <w:r w:rsidR="00B72C43">
              <w:rPr>
                <w:sz w:val="22"/>
                <w:szCs w:val="22"/>
              </w:rPr>
              <w:t>ing</w:t>
            </w:r>
            <w:r w:rsidRPr="0057170E">
              <w:rPr>
                <w:sz w:val="22"/>
                <w:szCs w:val="22"/>
              </w:rPr>
              <w:t xml:space="preserve"> effective messaging and education </w:t>
            </w:r>
            <w:r w:rsidR="0087359E">
              <w:rPr>
                <w:sz w:val="22"/>
                <w:szCs w:val="22"/>
              </w:rPr>
              <w:t>to</w:t>
            </w:r>
            <w:r w:rsidRPr="0057170E">
              <w:rPr>
                <w:sz w:val="22"/>
                <w:szCs w:val="22"/>
              </w:rPr>
              <w:t xml:space="preserve"> help healthcare providers and consumers understand the meaning and limitations of bioactive claims in infant formula.</w:t>
            </w:r>
          </w:p>
        </w:tc>
        <w:tc>
          <w:tcPr>
            <w:tcW w:w="741" w:type="pct"/>
          </w:tcPr>
          <w:p w:rsidR="000770A1" w:rsidRPr="00593FDE" w:rsidP="0059128B" w14:paraId="539EC3D4" w14:textId="454DC3AE">
            <w:pPr>
              <w:rPr>
                <w:sz w:val="22"/>
                <w:szCs w:val="22"/>
              </w:rPr>
            </w:pPr>
            <w:r>
              <w:rPr>
                <w:sz w:val="22"/>
                <w:szCs w:val="22"/>
              </w:rPr>
              <w:t xml:space="preserve">43 </w:t>
            </w:r>
            <w:r w:rsidR="001E7D60">
              <w:rPr>
                <w:sz w:val="22"/>
                <w:szCs w:val="22"/>
              </w:rPr>
              <w:t>hours</w:t>
            </w:r>
            <w:r w:rsidR="00351171">
              <w:rPr>
                <w:sz w:val="22"/>
                <w:szCs w:val="22"/>
              </w:rPr>
              <w:t xml:space="preserve"> </w:t>
            </w:r>
            <w:r w:rsidRPr="00351171" w:rsidR="00351171">
              <w:rPr>
                <w:sz w:val="22"/>
                <w:szCs w:val="22"/>
              </w:rPr>
              <w:t xml:space="preserve">were used to conduct </w:t>
            </w:r>
            <w:r w:rsidR="001C0255">
              <w:rPr>
                <w:sz w:val="22"/>
                <w:szCs w:val="22"/>
              </w:rPr>
              <w:t xml:space="preserve">screening and </w:t>
            </w:r>
            <w:r w:rsidRPr="000E7684" w:rsidR="000E7684">
              <w:rPr>
                <w:sz w:val="22"/>
                <w:szCs w:val="22"/>
              </w:rPr>
              <w:t>in-depth, one-on-one interviews</w:t>
            </w:r>
            <w:r w:rsidR="00CE2C89">
              <w:rPr>
                <w:sz w:val="22"/>
                <w:szCs w:val="22"/>
              </w:rPr>
              <w:t>.</w:t>
            </w:r>
          </w:p>
        </w:tc>
      </w:tr>
      <w:tr w14:paraId="654557A0" w14:textId="77777777" w:rsidTr="00E71FE8">
        <w:tblPrEx>
          <w:tblW w:w="4917" w:type="pct"/>
          <w:tblInd w:w="18" w:type="dxa"/>
          <w:tblLayout w:type="fixed"/>
          <w:tblLook w:val="01E0"/>
        </w:tblPrEx>
        <w:trPr>
          <w:cantSplit/>
        </w:trPr>
        <w:tc>
          <w:tcPr>
            <w:tcW w:w="1470" w:type="pct"/>
            <w:shd w:val="clear" w:color="auto" w:fill="auto"/>
          </w:tcPr>
          <w:p w:rsidR="000E04F6" w:rsidRPr="00593FDE" w:rsidP="00041208" w14:paraId="7321F37D" w14:textId="77FE50D6">
            <w:pPr>
              <w:keepLines/>
              <w:ind w:right="-18"/>
              <w:rPr>
                <w:sz w:val="22"/>
                <w:szCs w:val="22"/>
              </w:rPr>
            </w:pPr>
            <w:r>
              <w:rPr>
                <w:rFonts w:ascii="ArialMT" w:hAnsi="ArialMT" w:eastAsiaTheme="minorHAnsi" w:cs="ArialMT"/>
                <w:sz w:val="20"/>
                <w:szCs w:val="20"/>
              </w:rPr>
              <w:t>Food Safety Materials</w:t>
            </w:r>
            <w:r w:rsidR="00DD7DD0">
              <w:rPr>
                <w:rFonts w:ascii="ArialMT" w:hAnsi="ArialMT" w:eastAsiaTheme="minorHAnsi" w:cs="ArialMT"/>
                <w:sz w:val="20"/>
                <w:szCs w:val="20"/>
              </w:rPr>
              <w:t xml:space="preserve"> </w:t>
            </w:r>
            <w:r>
              <w:rPr>
                <w:rFonts w:ascii="ArialMT" w:hAnsi="ArialMT" w:eastAsiaTheme="minorHAnsi" w:cs="ArialMT"/>
                <w:sz w:val="20"/>
                <w:szCs w:val="20"/>
              </w:rPr>
              <w:t>on Uncooked Flour</w:t>
            </w:r>
          </w:p>
        </w:tc>
        <w:tc>
          <w:tcPr>
            <w:tcW w:w="960" w:type="pct"/>
            <w:shd w:val="clear" w:color="auto" w:fill="auto"/>
          </w:tcPr>
          <w:p w:rsidR="000F07AB" w:rsidP="00041208" w14:paraId="22F1A815" w14:textId="522E6CF1">
            <w:pPr>
              <w:autoSpaceDE w:val="0"/>
              <w:autoSpaceDN w:val="0"/>
              <w:adjustRightInd w:val="0"/>
              <w:rPr>
                <w:sz w:val="22"/>
                <w:szCs w:val="22"/>
              </w:rPr>
            </w:pPr>
            <w:r>
              <w:rPr>
                <w:sz w:val="22"/>
                <w:szCs w:val="22"/>
              </w:rPr>
              <w:t xml:space="preserve">168 </w:t>
            </w:r>
            <w:r w:rsidR="00DB70A6">
              <w:rPr>
                <w:sz w:val="22"/>
                <w:szCs w:val="22"/>
              </w:rPr>
              <w:t>respondents</w:t>
            </w:r>
            <w:r w:rsidR="002419E7">
              <w:rPr>
                <w:sz w:val="22"/>
                <w:szCs w:val="22"/>
              </w:rPr>
              <w:t xml:space="preserve"> </w:t>
            </w:r>
            <w:r w:rsidR="001960F9">
              <w:rPr>
                <w:sz w:val="22"/>
                <w:szCs w:val="22"/>
              </w:rPr>
              <w:t>were sc</w:t>
            </w:r>
            <w:r w:rsidR="008E1A72">
              <w:rPr>
                <w:sz w:val="22"/>
                <w:szCs w:val="22"/>
              </w:rPr>
              <w:t xml:space="preserve">reened to </w:t>
            </w:r>
            <w:r w:rsidR="00DA48B6">
              <w:rPr>
                <w:sz w:val="22"/>
                <w:szCs w:val="22"/>
              </w:rPr>
              <w:t>obtain</w:t>
            </w:r>
            <w:r w:rsidR="008E1A72">
              <w:rPr>
                <w:sz w:val="22"/>
                <w:szCs w:val="22"/>
              </w:rPr>
              <w:t xml:space="preserve"> </w:t>
            </w:r>
            <w:r w:rsidR="001960F9">
              <w:rPr>
                <w:sz w:val="22"/>
                <w:szCs w:val="22"/>
              </w:rPr>
              <w:t xml:space="preserve">48 </w:t>
            </w:r>
            <w:r w:rsidR="00203EA5">
              <w:rPr>
                <w:sz w:val="22"/>
                <w:szCs w:val="22"/>
              </w:rPr>
              <w:t>focus group participants</w:t>
            </w:r>
            <w:r w:rsidR="001960F9">
              <w:rPr>
                <w:sz w:val="22"/>
                <w:szCs w:val="22"/>
              </w:rPr>
              <w:t xml:space="preserve">.  </w:t>
            </w:r>
          </w:p>
          <w:p w:rsidR="000F07AB" w:rsidP="00041208" w14:paraId="75D043DD" w14:textId="77777777">
            <w:pPr>
              <w:autoSpaceDE w:val="0"/>
              <w:autoSpaceDN w:val="0"/>
              <w:adjustRightInd w:val="0"/>
              <w:rPr>
                <w:sz w:val="22"/>
                <w:szCs w:val="22"/>
              </w:rPr>
            </w:pPr>
          </w:p>
          <w:p w:rsidR="000770A1" w:rsidRPr="00593FDE" w:rsidP="00BD234E" w14:paraId="7886F5B9" w14:textId="2BEE74C9">
            <w:pPr>
              <w:rPr>
                <w:sz w:val="22"/>
                <w:szCs w:val="22"/>
              </w:rPr>
            </w:pPr>
            <w:r w:rsidRPr="007A1AB8">
              <w:rPr>
                <w:sz w:val="22"/>
                <w:szCs w:val="22"/>
              </w:rPr>
              <w:t>Eight (8) online focus groups comp</w:t>
            </w:r>
            <w:r w:rsidR="006C430E">
              <w:rPr>
                <w:sz w:val="22"/>
                <w:szCs w:val="22"/>
              </w:rPr>
              <w:t>osed of</w:t>
            </w:r>
            <w:r w:rsidRPr="007A1AB8">
              <w:rPr>
                <w:sz w:val="22"/>
                <w:szCs w:val="22"/>
              </w:rPr>
              <w:t xml:space="preserve"> adult (18+</w:t>
            </w:r>
            <w:r w:rsidR="00700023">
              <w:rPr>
                <w:sz w:val="22"/>
                <w:szCs w:val="22"/>
              </w:rPr>
              <w:t xml:space="preserve"> years old</w:t>
            </w:r>
            <w:r w:rsidRPr="007A1AB8">
              <w:rPr>
                <w:sz w:val="22"/>
                <w:szCs w:val="22"/>
              </w:rPr>
              <w:t xml:space="preserve">) consumer primary food shoppers and </w:t>
            </w:r>
            <w:r w:rsidR="0004381A">
              <w:rPr>
                <w:sz w:val="22"/>
                <w:szCs w:val="22"/>
              </w:rPr>
              <w:t xml:space="preserve">who </w:t>
            </w:r>
            <w:r w:rsidRPr="007A1AB8">
              <w:rPr>
                <w:sz w:val="22"/>
                <w:szCs w:val="22"/>
              </w:rPr>
              <w:t xml:space="preserve">cook or bake using flour at least one time per month on average, or those who cook or bake with flour at all during fall/winter months, including October through February. </w:t>
            </w:r>
            <w:r w:rsidR="00C320B9">
              <w:rPr>
                <w:sz w:val="22"/>
                <w:szCs w:val="22"/>
              </w:rPr>
              <w:t xml:space="preserve"> </w:t>
            </w:r>
          </w:p>
        </w:tc>
        <w:tc>
          <w:tcPr>
            <w:tcW w:w="1829" w:type="pct"/>
          </w:tcPr>
          <w:p w:rsidR="00D17FA6" w:rsidP="00AD041E" w14:paraId="7E977B58" w14:textId="77777777">
            <w:pPr>
              <w:rPr>
                <w:sz w:val="22"/>
                <w:szCs w:val="22"/>
              </w:rPr>
            </w:pPr>
            <w:r w:rsidRPr="00426F92">
              <w:rPr>
                <w:sz w:val="22"/>
                <w:szCs w:val="22"/>
              </w:rPr>
              <w:t xml:space="preserve">Insights from the focus groups </w:t>
            </w:r>
            <w:r>
              <w:rPr>
                <w:sz w:val="22"/>
                <w:szCs w:val="22"/>
              </w:rPr>
              <w:t>were</w:t>
            </w:r>
            <w:r w:rsidRPr="00426F92">
              <w:rPr>
                <w:sz w:val="22"/>
                <w:szCs w:val="22"/>
              </w:rPr>
              <w:t xml:space="preserve"> used to refine existing consumer educational materials as well as develop additional materials about risks posed by consuming uncooked flour. </w:t>
            </w:r>
            <w:r w:rsidR="00504BF1">
              <w:rPr>
                <w:sz w:val="22"/>
                <w:szCs w:val="22"/>
              </w:rPr>
              <w:t xml:space="preserve"> </w:t>
            </w:r>
          </w:p>
          <w:p w:rsidR="00D17FA6" w:rsidP="00AD041E" w14:paraId="1A2B63A3" w14:textId="77777777">
            <w:pPr>
              <w:rPr>
                <w:sz w:val="22"/>
                <w:szCs w:val="22"/>
              </w:rPr>
            </w:pPr>
          </w:p>
          <w:p w:rsidR="000770A1" w:rsidRPr="00593FDE" w:rsidP="00AD041E" w14:paraId="6C8DA906" w14:textId="5C14847C">
            <w:pPr>
              <w:rPr>
                <w:sz w:val="22"/>
                <w:szCs w:val="22"/>
              </w:rPr>
            </w:pPr>
            <w:r w:rsidRPr="00426F92">
              <w:rPr>
                <w:sz w:val="22"/>
                <w:szCs w:val="22"/>
              </w:rPr>
              <w:t xml:space="preserve">Specifically, dissemination of consumer educational materials </w:t>
            </w:r>
            <w:r w:rsidRPr="00426F92">
              <w:rPr>
                <w:sz w:val="22"/>
                <w:szCs w:val="22"/>
              </w:rPr>
              <w:t>w</w:t>
            </w:r>
            <w:r w:rsidR="00504BF1">
              <w:rPr>
                <w:sz w:val="22"/>
                <w:szCs w:val="22"/>
              </w:rPr>
              <w:t>ere</w:t>
            </w:r>
            <w:r w:rsidRPr="00426F92">
              <w:rPr>
                <w:sz w:val="22"/>
                <w:szCs w:val="22"/>
              </w:rPr>
              <w:t xml:space="preserve"> tested for clarity, relevance, visual appeal, usefulness, and other factors that </w:t>
            </w:r>
            <w:r w:rsidR="004D67D2">
              <w:rPr>
                <w:sz w:val="22"/>
                <w:szCs w:val="22"/>
              </w:rPr>
              <w:t>have</w:t>
            </w:r>
            <w:r w:rsidRPr="00426F92">
              <w:rPr>
                <w:sz w:val="22"/>
                <w:szCs w:val="22"/>
              </w:rPr>
              <w:t xml:space="preserve"> aid</w:t>
            </w:r>
            <w:r w:rsidR="004D67D2">
              <w:rPr>
                <w:sz w:val="22"/>
                <w:szCs w:val="22"/>
              </w:rPr>
              <w:t>ed</w:t>
            </w:r>
            <w:r w:rsidRPr="00426F92">
              <w:rPr>
                <w:sz w:val="22"/>
                <w:szCs w:val="22"/>
              </w:rPr>
              <w:t xml:space="preserve"> </w:t>
            </w:r>
            <w:r w:rsidR="00957D2D">
              <w:rPr>
                <w:sz w:val="22"/>
                <w:szCs w:val="22"/>
              </w:rPr>
              <w:t xml:space="preserve">FDA </w:t>
            </w:r>
            <w:r w:rsidRPr="00426F92">
              <w:rPr>
                <w:sz w:val="22"/>
                <w:szCs w:val="22"/>
              </w:rPr>
              <w:t>in improving the</w:t>
            </w:r>
            <w:r w:rsidR="00453885">
              <w:rPr>
                <w:sz w:val="22"/>
                <w:szCs w:val="22"/>
              </w:rPr>
              <w:t xml:space="preserve"> </w:t>
            </w:r>
            <w:r w:rsidRPr="00426F92">
              <w:rPr>
                <w:sz w:val="22"/>
                <w:szCs w:val="22"/>
              </w:rPr>
              <w:t>effectiveness</w:t>
            </w:r>
            <w:r w:rsidR="00453885">
              <w:rPr>
                <w:sz w:val="22"/>
                <w:szCs w:val="22"/>
              </w:rPr>
              <w:t xml:space="preserve"> of the educational </w:t>
            </w:r>
            <w:r w:rsidR="00BD234E">
              <w:rPr>
                <w:sz w:val="22"/>
                <w:szCs w:val="22"/>
              </w:rPr>
              <w:t>materials.</w:t>
            </w:r>
          </w:p>
        </w:tc>
        <w:tc>
          <w:tcPr>
            <w:tcW w:w="741" w:type="pct"/>
          </w:tcPr>
          <w:p w:rsidR="000F07AB" w:rsidP="0059128B" w14:paraId="4ADA01CF" w14:textId="7A6EBE44">
            <w:pPr>
              <w:rPr>
                <w:sz w:val="22"/>
                <w:szCs w:val="22"/>
              </w:rPr>
            </w:pPr>
            <w:r>
              <w:rPr>
                <w:sz w:val="22"/>
                <w:szCs w:val="22"/>
              </w:rPr>
              <w:t>120</w:t>
            </w:r>
            <w:r>
              <w:t xml:space="preserve"> </w:t>
            </w:r>
            <w:r w:rsidR="001E7D60">
              <w:t xml:space="preserve">hours </w:t>
            </w:r>
            <w:r w:rsidRPr="00453BB1" w:rsidR="00453BB1">
              <w:rPr>
                <w:sz w:val="22"/>
                <w:szCs w:val="22"/>
              </w:rPr>
              <w:t>were used to conduct</w:t>
            </w:r>
            <w:r w:rsidR="00445347">
              <w:t xml:space="preserve"> </w:t>
            </w:r>
            <w:r w:rsidRPr="00445347" w:rsidR="00445347">
              <w:rPr>
                <w:sz w:val="22"/>
                <w:szCs w:val="22"/>
              </w:rPr>
              <w:t>eight (8) online focus groups with consumers.</w:t>
            </w:r>
            <w:r w:rsidRPr="00453BB1" w:rsidR="00453BB1">
              <w:rPr>
                <w:sz w:val="22"/>
                <w:szCs w:val="22"/>
              </w:rPr>
              <w:t xml:space="preserve"> </w:t>
            </w:r>
          </w:p>
          <w:p w:rsidR="000770A1" w:rsidRPr="00593FDE" w:rsidP="0059128B" w14:paraId="119A3DE6" w14:textId="5EB727DE">
            <w:pPr>
              <w:rPr>
                <w:sz w:val="22"/>
                <w:szCs w:val="22"/>
              </w:rPr>
            </w:pPr>
            <w:r>
              <w:rPr>
                <w:sz w:val="22"/>
                <w:szCs w:val="22"/>
              </w:rPr>
              <w:t xml:space="preserve"> </w:t>
            </w:r>
          </w:p>
        </w:tc>
      </w:tr>
      <w:tr w14:paraId="5703573B" w14:textId="77777777" w:rsidTr="00E71FE8">
        <w:tblPrEx>
          <w:tblW w:w="4917" w:type="pct"/>
          <w:tblInd w:w="18" w:type="dxa"/>
          <w:tblLayout w:type="fixed"/>
          <w:tblLook w:val="01E0"/>
        </w:tblPrEx>
        <w:trPr>
          <w:cantSplit/>
        </w:trPr>
        <w:tc>
          <w:tcPr>
            <w:tcW w:w="1470" w:type="pct"/>
            <w:shd w:val="clear" w:color="auto" w:fill="auto"/>
          </w:tcPr>
          <w:p w:rsidR="00970831" w:rsidP="00970831" w14:paraId="3EFD7031" w14:textId="4A44F854">
            <w:pPr>
              <w:autoSpaceDE w:val="0"/>
              <w:autoSpaceDN w:val="0"/>
              <w:adjustRightInd w:val="0"/>
              <w:rPr>
                <w:rFonts w:ascii="ArialMT" w:hAnsi="ArialMT" w:eastAsiaTheme="minorHAnsi" w:cs="ArialMT"/>
                <w:sz w:val="20"/>
                <w:szCs w:val="20"/>
              </w:rPr>
            </w:pPr>
            <w:r>
              <w:rPr>
                <w:rFonts w:ascii="ArialMT" w:hAnsi="ArialMT" w:eastAsiaTheme="minorHAnsi" w:cs="ArialMT"/>
                <w:sz w:val="20"/>
                <w:szCs w:val="20"/>
              </w:rPr>
              <w:t>(HFP) Herbal/Botanical</w:t>
            </w:r>
            <w:r w:rsidR="000C4DED">
              <w:rPr>
                <w:rFonts w:ascii="ArialMT" w:hAnsi="ArialMT" w:eastAsiaTheme="minorHAnsi" w:cs="ArialMT"/>
                <w:sz w:val="20"/>
                <w:szCs w:val="20"/>
              </w:rPr>
              <w:t xml:space="preserve"> </w:t>
            </w:r>
            <w:r>
              <w:rPr>
                <w:rFonts w:ascii="ArialMT" w:hAnsi="ArialMT" w:eastAsiaTheme="minorHAnsi" w:cs="ArialMT"/>
                <w:sz w:val="20"/>
                <w:szCs w:val="20"/>
              </w:rPr>
              <w:t>Supplement Conditions</w:t>
            </w:r>
            <w:r w:rsidR="006F59EA">
              <w:rPr>
                <w:rFonts w:ascii="ArialMT" w:hAnsi="ArialMT" w:eastAsiaTheme="minorHAnsi" w:cs="ArialMT"/>
                <w:sz w:val="20"/>
                <w:szCs w:val="20"/>
              </w:rPr>
              <w:t xml:space="preserve"> </w:t>
            </w:r>
            <w:r>
              <w:rPr>
                <w:rFonts w:ascii="ArialMT" w:hAnsi="ArialMT" w:eastAsiaTheme="minorHAnsi" w:cs="ArialMT"/>
                <w:sz w:val="20"/>
                <w:szCs w:val="20"/>
              </w:rPr>
              <w:t>of Use Labeling</w:t>
            </w:r>
            <w:r w:rsidR="006F59EA">
              <w:rPr>
                <w:rFonts w:ascii="ArialMT" w:hAnsi="ArialMT" w:eastAsiaTheme="minorHAnsi" w:cs="ArialMT"/>
                <w:sz w:val="20"/>
                <w:szCs w:val="20"/>
              </w:rPr>
              <w:t xml:space="preserve"> </w:t>
            </w:r>
            <w:r>
              <w:rPr>
                <w:rFonts w:ascii="ArialMT" w:hAnsi="ArialMT" w:eastAsiaTheme="minorHAnsi" w:cs="ArialMT"/>
                <w:sz w:val="20"/>
                <w:szCs w:val="20"/>
              </w:rPr>
              <w:t>Statements One-on-</w:t>
            </w:r>
            <w:r w:rsidR="006F59EA">
              <w:rPr>
                <w:rFonts w:ascii="ArialMT" w:hAnsi="ArialMT" w:eastAsiaTheme="minorHAnsi" w:cs="ArialMT"/>
                <w:sz w:val="20"/>
                <w:szCs w:val="20"/>
              </w:rPr>
              <w:t xml:space="preserve"> </w:t>
            </w:r>
            <w:r>
              <w:rPr>
                <w:rFonts w:ascii="ArialMT" w:hAnsi="ArialMT" w:eastAsiaTheme="minorHAnsi" w:cs="ArialMT"/>
                <w:sz w:val="20"/>
                <w:szCs w:val="20"/>
              </w:rPr>
              <w:t>One In-depth Interview</w:t>
            </w:r>
            <w:r w:rsidR="006F59EA">
              <w:rPr>
                <w:rFonts w:ascii="ArialMT" w:hAnsi="ArialMT" w:eastAsiaTheme="minorHAnsi" w:cs="ArialMT"/>
                <w:sz w:val="20"/>
                <w:szCs w:val="20"/>
              </w:rPr>
              <w:t xml:space="preserve"> </w:t>
            </w:r>
            <w:r>
              <w:rPr>
                <w:rFonts w:ascii="ArialMT" w:hAnsi="ArialMT" w:eastAsiaTheme="minorHAnsi" w:cs="ArialMT"/>
                <w:sz w:val="20"/>
                <w:szCs w:val="20"/>
              </w:rPr>
              <w:t>Study</w:t>
            </w:r>
          </w:p>
        </w:tc>
        <w:tc>
          <w:tcPr>
            <w:tcW w:w="960" w:type="pct"/>
            <w:shd w:val="clear" w:color="auto" w:fill="auto"/>
          </w:tcPr>
          <w:p w:rsidR="00F07656" w:rsidP="00041208" w14:paraId="1BC5DCFF" w14:textId="3A3A77BB">
            <w:pPr>
              <w:autoSpaceDE w:val="0"/>
              <w:autoSpaceDN w:val="0"/>
              <w:adjustRightInd w:val="0"/>
              <w:rPr>
                <w:sz w:val="22"/>
                <w:szCs w:val="22"/>
              </w:rPr>
            </w:pPr>
            <w:r>
              <w:rPr>
                <w:sz w:val="22"/>
                <w:szCs w:val="22"/>
              </w:rPr>
              <w:t>A total of</w:t>
            </w:r>
            <w:r w:rsidR="00BF434D">
              <w:rPr>
                <w:sz w:val="22"/>
                <w:szCs w:val="22"/>
              </w:rPr>
              <w:t xml:space="preserve"> 5,000</w:t>
            </w:r>
            <w:r w:rsidRPr="00F07656">
              <w:rPr>
                <w:sz w:val="22"/>
                <w:szCs w:val="22"/>
              </w:rPr>
              <w:t xml:space="preserve"> </w:t>
            </w:r>
            <w:r>
              <w:rPr>
                <w:sz w:val="22"/>
                <w:szCs w:val="22"/>
              </w:rPr>
              <w:t xml:space="preserve">potential </w:t>
            </w:r>
            <w:r w:rsidRPr="00F07656">
              <w:rPr>
                <w:sz w:val="22"/>
                <w:szCs w:val="22"/>
              </w:rPr>
              <w:t xml:space="preserve">respondents </w:t>
            </w:r>
            <w:r w:rsidR="00BF434D">
              <w:rPr>
                <w:sz w:val="22"/>
                <w:szCs w:val="22"/>
              </w:rPr>
              <w:t xml:space="preserve">were </w:t>
            </w:r>
            <w:r w:rsidR="00415C64">
              <w:rPr>
                <w:sz w:val="22"/>
                <w:szCs w:val="22"/>
              </w:rPr>
              <w:t xml:space="preserve">screened </w:t>
            </w:r>
            <w:r w:rsidR="00BF434D">
              <w:rPr>
                <w:sz w:val="22"/>
                <w:szCs w:val="22"/>
              </w:rPr>
              <w:t xml:space="preserve">to </w:t>
            </w:r>
            <w:r w:rsidR="00026B35">
              <w:rPr>
                <w:sz w:val="22"/>
                <w:szCs w:val="22"/>
              </w:rPr>
              <w:t xml:space="preserve">seat </w:t>
            </w:r>
            <w:r w:rsidR="00BF434D">
              <w:rPr>
                <w:sz w:val="22"/>
                <w:szCs w:val="22"/>
              </w:rPr>
              <w:t>60</w:t>
            </w:r>
            <w:r w:rsidR="00415C64">
              <w:rPr>
                <w:sz w:val="22"/>
                <w:szCs w:val="22"/>
              </w:rPr>
              <w:t xml:space="preserve"> </w:t>
            </w:r>
            <w:r w:rsidR="00026B35">
              <w:rPr>
                <w:sz w:val="22"/>
                <w:szCs w:val="22"/>
              </w:rPr>
              <w:t>participants,</w:t>
            </w:r>
            <w:r w:rsidR="00767E86">
              <w:rPr>
                <w:sz w:val="22"/>
                <w:szCs w:val="22"/>
              </w:rPr>
              <w:t xml:space="preserve"> who were</w:t>
            </w:r>
            <w:r w:rsidRPr="00F07656">
              <w:rPr>
                <w:sz w:val="22"/>
                <w:szCs w:val="22"/>
              </w:rPr>
              <w:t xml:space="preserve"> non-institutionalized US adults (18 years of age or older) who have used one or more of 20 herbal/botanical supplement products in the past 24 months. </w:t>
            </w:r>
            <w:r w:rsidR="00767E86">
              <w:rPr>
                <w:sz w:val="22"/>
                <w:szCs w:val="22"/>
              </w:rPr>
              <w:t xml:space="preserve"> </w:t>
            </w:r>
            <w:r w:rsidRPr="00F07656">
              <w:rPr>
                <w:sz w:val="22"/>
                <w:szCs w:val="22"/>
              </w:rPr>
              <w:t xml:space="preserve">The supplements </w:t>
            </w:r>
            <w:r w:rsidR="00C65A67">
              <w:rPr>
                <w:sz w:val="22"/>
                <w:szCs w:val="22"/>
              </w:rPr>
              <w:t>were</w:t>
            </w:r>
            <w:r w:rsidRPr="00F07656">
              <w:rPr>
                <w:sz w:val="22"/>
                <w:szCs w:val="22"/>
              </w:rPr>
              <w:t xml:space="preserve"> selected because they are among the </w:t>
            </w:r>
            <w:r w:rsidRPr="00F07656">
              <w:rPr>
                <w:sz w:val="22"/>
                <w:szCs w:val="22"/>
              </w:rPr>
              <w:t>most commonly used</w:t>
            </w:r>
            <w:r w:rsidRPr="00F07656">
              <w:rPr>
                <w:sz w:val="22"/>
                <w:szCs w:val="22"/>
              </w:rPr>
              <w:t xml:space="preserve"> in the US</w:t>
            </w:r>
            <w:r w:rsidR="00026B35">
              <w:rPr>
                <w:sz w:val="22"/>
                <w:szCs w:val="22"/>
              </w:rPr>
              <w:t>.</w:t>
            </w:r>
          </w:p>
        </w:tc>
        <w:tc>
          <w:tcPr>
            <w:tcW w:w="1829" w:type="pct"/>
          </w:tcPr>
          <w:p w:rsidR="00970831" w:rsidRPr="00AD041E" w:rsidP="00AD041E" w14:paraId="10BBEA45" w14:textId="799F0617">
            <w:pPr>
              <w:rPr>
                <w:sz w:val="22"/>
                <w:szCs w:val="22"/>
              </w:rPr>
            </w:pPr>
            <w:r w:rsidRPr="0002725A">
              <w:rPr>
                <w:sz w:val="22"/>
                <w:szCs w:val="22"/>
              </w:rPr>
              <w:t>Data collected from this study added to FDA’s scientific foundation to help the Agency better understand consumer behavior related to the use of dietary supplement labels. The data from these interviews provided baseline information to help FDA explore initiatives and approaches to promote and protect health of herbal supplement users.</w:t>
            </w:r>
          </w:p>
        </w:tc>
        <w:tc>
          <w:tcPr>
            <w:tcW w:w="741" w:type="pct"/>
          </w:tcPr>
          <w:p w:rsidR="00970831" w:rsidP="0059128B" w14:paraId="1417256C" w14:textId="518A6F5C">
            <w:pPr>
              <w:rPr>
                <w:sz w:val="22"/>
                <w:szCs w:val="22"/>
              </w:rPr>
            </w:pPr>
            <w:r>
              <w:rPr>
                <w:sz w:val="22"/>
                <w:szCs w:val="22"/>
              </w:rPr>
              <w:t>490</w:t>
            </w:r>
            <w:r w:rsidR="00A22B8B">
              <w:rPr>
                <w:sz w:val="22"/>
                <w:szCs w:val="22"/>
              </w:rPr>
              <w:t xml:space="preserve"> </w:t>
            </w:r>
            <w:r w:rsidRPr="00A22B8B" w:rsidR="00A22B8B">
              <w:rPr>
                <w:sz w:val="22"/>
                <w:szCs w:val="22"/>
              </w:rPr>
              <w:t xml:space="preserve">hours were used to </w:t>
            </w:r>
            <w:r w:rsidR="00967A00">
              <w:rPr>
                <w:sz w:val="22"/>
                <w:szCs w:val="22"/>
              </w:rPr>
              <w:t xml:space="preserve">screen and </w:t>
            </w:r>
            <w:r w:rsidRPr="00A22B8B" w:rsidR="00A22B8B">
              <w:rPr>
                <w:sz w:val="22"/>
                <w:szCs w:val="22"/>
              </w:rPr>
              <w:t xml:space="preserve">conduct </w:t>
            </w:r>
            <w:r w:rsidR="00F01D02">
              <w:rPr>
                <w:sz w:val="22"/>
                <w:szCs w:val="22"/>
              </w:rPr>
              <w:t>in-depth interviews.</w:t>
            </w:r>
          </w:p>
        </w:tc>
      </w:tr>
      <w:tr w14:paraId="144ED551" w14:textId="77777777" w:rsidTr="00E71FE8">
        <w:tblPrEx>
          <w:tblW w:w="4917" w:type="pct"/>
          <w:tblInd w:w="18" w:type="dxa"/>
          <w:tblLayout w:type="fixed"/>
          <w:tblLook w:val="01E0"/>
        </w:tblPrEx>
        <w:trPr>
          <w:cantSplit/>
        </w:trPr>
        <w:tc>
          <w:tcPr>
            <w:tcW w:w="1470" w:type="pct"/>
            <w:shd w:val="clear" w:color="auto" w:fill="auto"/>
          </w:tcPr>
          <w:p w:rsidR="007C38EF" w:rsidP="00041208" w14:paraId="50169BE2" w14:textId="0D8A0D28">
            <w:pPr>
              <w:keepLines/>
              <w:ind w:right="-18"/>
              <w:rPr>
                <w:sz w:val="22"/>
                <w:szCs w:val="22"/>
              </w:rPr>
            </w:pPr>
            <w:r>
              <w:rPr>
                <w:rFonts w:ascii="ArialMT" w:hAnsi="ArialMT" w:eastAsiaTheme="minorHAnsi" w:cs="ArialMT"/>
                <w:sz w:val="20"/>
                <w:szCs w:val="20"/>
              </w:rPr>
              <w:t xml:space="preserve">(HFP) </w:t>
            </w:r>
            <w:r w:rsidR="00924599">
              <w:rPr>
                <w:rFonts w:ascii="ArialMT" w:hAnsi="ArialMT" w:eastAsiaTheme="minorHAnsi" w:cs="ArialMT"/>
                <w:sz w:val="20"/>
                <w:szCs w:val="20"/>
              </w:rPr>
              <w:t xml:space="preserve">2024 </w:t>
            </w:r>
            <w:r>
              <w:rPr>
                <w:rFonts w:ascii="ArialMT" w:hAnsi="ArialMT" w:eastAsiaTheme="minorHAnsi" w:cs="ArialMT"/>
                <w:sz w:val="20"/>
                <w:szCs w:val="20"/>
              </w:rPr>
              <w:t>Plant-based Milk</w:t>
            </w:r>
            <w:r w:rsidR="00924599">
              <w:rPr>
                <w:rFonts w:ascii="ArialMT" w:hAnsi="ArialMT" w:eastAsiaTheme="minorHAnsi" w:cs="ArialMT"/>
                <w:sz w:val="20"/>
                <w:szCs w:val="20"/>
              </w:rPr>
              <w:t xml:space="preserve"> </w:t>
            </w:r>
            <w:r>
              <w:rPr>
                <w:rFonts w:ascii="ArialMT" w:hAnsi="ArialMT" w:eastAsiaTheme="minorHAnsi" w:cs="ArialMT"/>
                <w:sz w:val="20"/>
                <w:szCs w:val="20"/>
              </w:rPr>
              <w:t>Alternative Focus Group</w:t>
            </w:r>
            <w:r w:rsidR="00924599">
              <w:rPr>
                <w:rFonts w:ascii="ArialMT" w:hAnsi="ArialMT" w:eastAsiaTheme="minorHAnsi" w:cs="ArialMT"/>
                <w:sz w:val="20"/>
                <w:szCs w:val="20"/>
              </w:rPr>
              <w:t xml:space="preserve"> </w:t>
            </w:r>
            <w:r>
              <w:rPr>
                <w:rFonts w:ascii="ArialMT" w:hAnsi="ArialMT" w:eastAsiaTheme="minorHAnsi" w:cs="ArialMT"/>
                <w:sz w:val="20"/>
                <w:szCs w:val="20"/>
              </w:rPr>
              <w:t>Study</w:t>
            </w:r>
          </w:p>
        </w:tc>
        <w:tc>
          <w:tcPr>
            <w:tcW w:w="960" w:type="pct"/>
            <w:shd w:val="clear" w:color="auto" w:fill="auto"/>
          </w:tcPr>
          <w:p w:rsidR="007C38EF" w:rsidRPr="00126233" w:rsidP="00CF4938" w14:paraId="0E670C7D" w14:textId="17D59CDE">
            <w:pPr>
              <w:autoSpaceDE w:val="0"/>
              <w:autoSpaceDN w:val="0"/>
              <w:adjustRightInd w:val="0"/>
              <w:rPr>
                <w:color w:val="000000" w:themeColor="text1"/>
                <w:sz w:val="22"/>
                <w:szCs w:val="22"/>
              </w:rPr>
            </w:pPr>
            <w:r w:rsidRPr="00126233">
              <w:rPr>
                <w:color w:val="000000" w:themeColor="text1"/>
                <w:sz w:val="22"/>
                <w:szCs w:val="22"/>
              </w:rPr>
              <w:t>3</w:t>
            </w:r>
            <w:r w:rsidRPr="00126233" w:rsidR="005E697A">
              <w:rPr>
                <w:color w:val="000000" w:themeColor="text1"/>
                <w:sz w:val="22"/>
                <w:szCs w:val="22"/>
              </w:rPr>
              <w:t xml:space="preserve">,000 </w:t>
            </w:r>
            <w:r w:rsidRPr="00126233" w:rsidR="00470033">
              <w:rPr>
                <w:color w:val="000000" w:themeColor="text1"/>
                <w:sz w:val="22"/>
                <w:szCs w:val="22"/>
              </w:rPr>
              <w:t xml:space="preserve">respondents </w:t>
            </w:r>
            <w:r w:rsidR="00B77F40">
              <w:rPr>
                <w:color w:val="000000" w:themeColor="text1"/>
                <w:sz w:val="22"/>
                <w:szCs w:val="22"/>
              </w:rPr>
              <w:t xml:space="preserve">were screened to </w:t>
            </w:r>
            <w:r w:rsidRPr="00126233" w:rsidR="00967A00">
              <w:rPr>
                <w:color w:val="000000" w:themeColor="text1"/>
                <w:sz w:val="22"/>
                <w:szCs w:val="22"/>
              </w:rPr>
              <w:t>obta</w:t>
            </w:r>
            <w:r w:rsidRPr="00126233" w:rsidR="00F50974">
              <w:rPr>
                <w:color w:val="000000" w:themeColor="text1"/>
                <w:sz w:val="22"/>
                <w:szCs w:val="22"/>
              </w:rPr>
              <w:t>i</w:t>
            </w:r>
            <w:r w:rsidRPr="00126233" w:rsidR="00967A00">
              <w:rPr>
                <w:color w:val="000000" w:themeColor="text1"/>
                <w:sz w:val="22"/>
                <w:szCs w:val="22"/>
              </w:rPr>
              <w:t>n</w:t>
            </w:r>
            <w:r w:rsidRPr="00126233" w:rsidR="00470033">
              <w:rPr>
                <w:color w:val="000000" w:themeColor="text1"/>
                <w:sz w:val="22"/>
                <w:szCs w:val="22"/>
              </w:rPr>
              <w:t xml:space="preserve"> 80 </w:t>
            </w:r>
            <w:r w:rsidRPr="00126233" w:rsidR="008F0807">
              <w:rPr>
                <w:color w:val="000000" w:themeColor="text1"/>
                <w:sz w:val="22"/>
                <w:szCs w:val="22"/>
              </w:rPr>
              <w:t xml:space="preserve">participants </w:t>
            </w:r>
            <w:r w:rsidRPr="00126233" w:rsidR="00F50974">
              <w:rPr>
                <w:color w:val="000000" w:themeColor="text1"/>
                <w:sz w:val="22"/>
                <w:szCs w:val="22"/>
              </w:rPr>
              <w:t>for this focus group</w:t>
            </w:r>
            <w:r w:rsidRPr="00126233" w:rsidR="008F0807">
              <w:rPr>
                <w:color w:val="000000" w:themeColor="text1"/>
                <w:sz w:val="22"/>
                <w:szCs w:val="22"/>
              </w:rPr>
              <w:t xml:space="preserve"> study</w:t>
            </w:r>
            <w:r w:rsidR="00CF4938">
              <w:rPr>
                <w:color w:val="000000" w:themeColor="text1"/>
                <w:sz w:val="22"/>
                <w:szCs w:val="22"/>
              </w:rPr>
              <w:t xml:space="preserve"> across 12 focus groups</w:t>
            </w:r>
            <w:r w:rsidRPr="00126233" w:rsidR="008F0807">
              <w:rPr>
                <w:color w:val="000000" w:themeColor="text1"/>
                <w:sz w:val="22"/>
                <w:szCs w:val="22"/>
              </w:rPr>
              <w:t xml:space="preserve">.  </w:t>
            </w:r>
            <w:r w:rsidR="0023534F">
              <w:rPr>
                <w:color w:val="000000" w:themeColor="text1"/>
                <w:sz w:val="22"/>
                <w:szCs w:val="22"/>
              </w:rPr>
              <w:t>Segments</w:t>
            </w:r>
            <w:r w:rsidRPr="00126233" w:rsidR="002F1313">
              <w:rPr>
                <w:color w:val="000000" w:themeColor="text1"/>
                <w:sz w:val="22"/>
                <w:szCs w:val="22"/>
              </w:rPr>
              <w:t xml:space="preserve">: (1) 18–30-year-olds, (2) women 60+ years old, and (3) parents of children under 18 years old.  Eligible respondents must </w:t>
            </w:r>
            <w:r w:rsidRPr="00126233" w:rsidR="00A63929">
              <w:rPr>
                <w:color w:val="000000" w:themeColor="text1"/>
                <w:sz w:val="22"/>
                <w:szCs w:val="22"/>
              </w:rPr>
              <w:t xml:space="preserve">also </w:t>
            </w:r>
            <w:r w:rsidRPr="00126233" w:rsidR="002F1313">
              <w:rPr>
                <w:color w:val="000000" w:themeColor="text1"/>
                <w:sz w:val="22"/>
                <w:szCs w:val="22"/>
              </w:rPr>
              <w:t xml:space="preserve">have consumed at least one type of </w:t>
            </w:r>
            <w:r w:rsidR="0023534F">
              <w:rPr>
                <w:color w:val="000000" w:themeColor="text1"/>
                <w:sz w:val="22"/>
                <w:szCs w:val="22"/>
              </w:rPr>
              <w:t>plant-based milk alternative</w:t>
            </w:r>
            <w:r w:rsidRPr="00126233" w:rsidR="002F1313">
              <w:rPr>
                <w:color w:val="000000" w:themeColor="text1"/>
                <w:sz w:val="22"/>
                <w:szCs w:val="22"/>
              </w:rPr>
              <w:t xml:space="preserve"> product</w:t>
            </w:r>
            <w:r w:rsidR="00CF4938">
              <w:rPr>
                <w:color w:val="000000" w:themeColor="text1"/>
                <w:sz w:val="22"/>
                <w:szCs w:val="22"/>
              </w:rPr>
              <w:t xml:space="preserve"> </w:t>
            </w:r>
            <w:r w:rsidRPr="00126233" w:rsidR="002F1313">
              <w:rPr>
                <w:color w:val="000000" w:themeColor="text1"/>
                <w:sz w:val="22"/>
                <w:szCs w:val="22"/>
              </w:rPr>
              <w:t>(e.g., almond milk, oat milk, rice milk, etc.) in the past 12 months.</w:t>
            </w:r>
          </w:p>
        </w:tc>
        <w:tc>
          <w:tcPr>
            <w:tcW w:w="1829" w:type="pct"/>
          </w:tcPr>
          <w:p w:rsidR="007C38EF" w:rsidRPr="00AD041E" w:rsidP="004116D4" w14:paraId="2256D3A8" w14:textId="2E083A73">
            <w:pPr>
              <w:rPr>
                <w:sz w:val="22"/>
                <w:szCs w:val="22"/>
              </w:rPr>
            </w:pPr>
            <w:r w:rsidRPr="00C22403">
              <w:rPr>
                <w:sz w:val="22"/>
                <w:szCs w:val="22"/>
              </w:rPr>
              <w:t xml:space="preserve">The results of the study </w:t>
            </w:r>
            <w:r w:rsidR="00B547AE">
              <w:rPr>
                <w:sz w:val="22"/>
                <w:szCs w:val="22"/>
              </w:rPr>
              <w:t xml:space="preserve">helped </w:t>
            </w:r>
            <w:r w:rsidRPr="00C22403">
              <w:rPr>
                <w:sz w:val="22"/>
                <w:szCs w:val="22"/>
              </w:rPr>
              <w:t xml:space="preserve">inform the recommendations of the final guidance. </w:t>
            </w:r>
            <w:r w:rsidR="00B547AE">
              <w:rPr>
                <w:sz w:val="22"/>
                <w:szCs w:val="22"/>
              </w:rPr>
              <w:t xml:space="preserve"> </w:t>
            </w:r>
            <w:r w:rsidRPr="00C22403">
              <w:rPr>
                <w:sz w:val="22"/>
                <w:szCs w:val="22"/>
              </w:rPr>
              <w:t>Additionally, the results help</w:t>
            </w:r>
            <w:r w:rsidR="008E7B51">
              <w:rPr>
                <w:sz w:val="22"/>
                <w:szCs w:val="22"/>
              </w:rPr>
              <w:t>ed</w:t>
            </w:r>
            <w:r w:rsidRPr="00C22403">
              <w:rPr>
                <w:sz w:val="22"/>
                <w:szCs w:val="22"/>
              </w:rPr>
              <w:t xml:space="preserve"> us develop any future steps and strategies that </w:t>
            </w:r>
            <w:r w:rsidR="008E7B51">
              <w:rPr>
                <w:sz w:val="22"/>
                <w:szCs w:val="22"/>
              </w:rPr>
              <w:t>are</w:t>
            </w:r>
            <w:r w:rsidRPr="00C22403">
              <w:rPr>
                <w:sz w:val="22"/>
                <w:szCs w:val="22"/>
              </w:rPr>
              <w:t xml:space="preserve"> pertinent and helpful </w:t>
            </w:r>
            <w:r w:rsidR="008E7B51">
              <w:rPr>
                <w:sz w:val="22"/>
                <w:szCs w:val="22"/>
              </w:rPr>
              <w:t>in</w:t>
            </w:r>
            <w:r w:rsidRPr="00C22403">
              <w:rPr>
                <w:sz w:val="22"/>
                <w:szCs w:val="22"/>
              </w:rPr>
              <w:t xml:space="preserve"> providing </w:t>
            </w:r>
            <w:r w:rsidRPr="00C22403">
              <w:rPr>
                <w:sz w:val="22"/>
                <w:szCs w:val="22"/>
              </w:rPr>
              <w:t>consumers</w:t>
            </w:r>
            <w:r w:rsidRPr="00C22403">
              <w:rPr>
                <w:sz w:val="22"/>
                <w:szCs w:val="22"/>
              </w:rPr>
              <w:t xml:space="preserve"> nutrient content information of PBMA that is deemed important to public health.</w:t>
            </w:r>
          </w:p>
        </w:tc>
        <w:tc>
          <w:tcPr>
            <w:tcW w:w="741" w:type="pct"/>
          </w:tcPr>
          <w:p w:rsidR="007C38EF" w:rsidP="0059128B" w14:paraId="78028901" w14:textId="513A5C49">
            <w:pPr>
              <w:rPr>
                <w:sz w:val="22"/>
                <w:szCs w:val="22"/>
              </w:rPr>
            </w:pPr>
            <w:r>
              <w:rPr>
                <w:sz w:val="22"/>
                <w:szCs w:val="22"/>
              </w:rPr>
              <w:t xml:space="preserve">A total of </w:t>
            </w:r>
            <w:r w:rsidR="00E75BFD">
              <w:rPr>
                <w:sz w:val="22"/>
                <w:szCs w:val="22"/>
              </w:rPr>
              <w:t xml:space="preserve">304 </w:t>
            </w:r>
            <w:r w:rsidR="005E697A">
              <w:rPr>
                <w:sz w:val="22"/>
                <w:szCs w:val="22"/>
              </w:rPr>
              <w:t>hours</w:t>
            </w:r>
            <w:r w:rsidR="00EE503D">
              <w:rPr>
                <w:sz w:val="22"/>
                <w:szCs w:val="22"/>
              </w:rPr>
              <w:t xml:space="preserve"> </w:t>
            </w:r>
            <w:r w:rsidRPr="00EE503D" w:rsidR="00EE503D">
              <w:rPr>
                <w:sz w:val="22"/>
                <w:szCs w:val="22"/>
              </w:rPr>
              <w:t xml:space="preserve">were used </w:t>
            </w:r>
            <w:r w:rsidR="002A68C0">
              <w:rPr>
                <w:sz w:val="22"/>
                <w:szCs w:val="22"/>
              </w:rPr>
              <w:t xml:space="preserve">in this collection </w:t>
            </w:r>
            <w:r w:rsidRPr="00EE503D" w:rsidR="00EE503D">
              <w:rPr>
                <w:sz w:val="22"/>
                <w:szCs w:val="22"/>
              </w:rPr>
              <w:t xml:space="preserve">to </w:t>
            </w:r>
            <w:r w:rsidR="00B1158B">
              <w:rPr>
                <w:sz w:val="22"/>
                <w:szCs w:val="22"/>
              </w:rPr>
              <w:t>screen respondents</w:t>
            </w:r>
            <w:r>
              <w:rPr>
                <w:sz w:val="22"/>
                <w:szCs w:val="22"/>
              </w:rPr>
              <w:t xml:space="preserve"> and participate in the focus group</w:t>
            </w:r>
            <w:r w:rsidR="00024DBE">
              <w:rPr>
                <w:sz w:val="22"/>
                <w:szCs w:val="22"/>
              </w:rPr>
              <w:t>.</w:t>
            </w:r>
          </w:p>
        </w:tc>
      </w:tr>
      <w:tr w14:paraId="1748A3B0" w14:textId="77777777" w:rsidTr="00E71FE8">
        <w:tblPrEx>
          <w:tblW w:w="4917" w:type="pct"/>
          <w:tblInd w:w="18" w:type="dxa"/>
          <w:tblLayout w:type="fixed"/>
          <w:tblLook w:val="01E0"/>
        </w:tblPrEx>
        <w:trPr>
          <w:cantSplit/>
        </w:trPr>
        <w:tc>
          <w:tcPr>
            <w:tcW w:w="1470" w:type="pct"/>
            <w:shd w:val="clear" w:color="auto" w:fill="auto"/>
          </w:tcPr>
          <w:p w:rsidR="001D04DC" w:rsidP="004F07C8" w14:paraId="2776CCBE" w14:textId="7CBA7676">
            <w:pPr>
              <w:autoSpaceDE w:val="0"/>
              <w:autoSpaceDN w:val="0"/>
              <w:adjustRightInd w:val="0"/>
              <w:rPr>
                <w:rFonts w:ascii="ArialMT" w:hAnsi="ArialMT" w:eastAsiaTheme="minorHAnsi" w:cs="ArialMT"/>
                <w:sz w:val="20"/>
                <w:szCs w:val="20"/>
              </w:rPr>
            </w:pPr>
            <w:r>
              <w:rPr>
                <w:rFonts w:ascii="ArialMT" w:hAnsi="ArialMT" w:eastAsiaTheme="minorHAnsi" w:cs="ArialMT"/>
                <w:sz w:val="20"/>
                <w:szCs w:val="20"/>
              </w:rPr>
              <w:t>(HFP) 2025 Allergen</w:t>
            </w:r>
            <w:r w:rsidR="00293D0F">
              <w:rPr>
                <w:rFonts w:ascii="ArialMT" w:hAnsi="ArialMT" w:eastAsiaTheme="minorHAnsi" w:cs="ArialMT"/>
                <w:sz w:val="20"/>
                <w:szCs w:val="20"/>
              </w:rPr>
              <w:t xml:space="preserve"> </w:t>
            </w:r>
            <w:r>
              <w:rPr>
                <w:rFonts w:ascii="ArialMT" w:hAnsi="ArialMT" w:eastAsiaTheme="minorHAnsi" w:cs="ArialMT"/>
                <w:sz w:val="20"/>
                <w:szCs w:val="20"/>
              </w:rPr>
              <w:t>Advisory Statements</w:t>
            </w:r>
            <w:r w:rsidR="00293D0F">
              <w:rPr>
                <w:rFonts w:ascii="ArialMT" w:hAnsi="ArialMT" w:eastAsiaTheme="minorHAnsi" w:cs="ArialMT"/>
                <w:sz w:val="20"/>
                <w:szCs w:val="20"/>
              </w:rPr>
              <w:t xml:space="preserve"> </w:t>
            </w:r>
            <w:r>
              <w:rPr>
                <w:rFonts w:ascii="ArialMT" w:hAnsi="ArialMT" w:eastAsiaTheme="minorHAnsi" w:cs="ArialMT"/>
                <w:sz w:val="20"/>
                <w:szCs w:val="20"/>
              </w:rPr>
              <w:t>Focus Groups</w:t>
            </w:r>
          </w:p>
        </w:tc>
        <w:tc>
          <w:tcPr>
            <w:tcW w:w="960" w:type="pct"/>
            <w:shd w:val="clear" w:color="auto" w:fill="auto"/>
          </w:tcPr>
          <w:p w:rsidR="0038764C" w:rsidRPr="00126233" w:rsidP="002018F4" w14:paraId="0ED56D4E" w14:textId="2B5AF580">
            <w:pPr>
              <w:autoSpaceDE w:val="0"/>
              <w:autoSpaceDN w:val="0"/>
              <w:adjustRightInd w:val="0"/>
              <w:rPr>
                <w:color w:val="000000" w:themeColor="text1"/>
                <w:sz w:val="22"/>
                <w:szCs w:val="22"/>
              </w:rPr>
            </w:pPr>
            <w:r w:rsidRPr="00126233">
              <w:rPr>
                <w:color w:val="000000" w:themeColor="text1"/>
                <w:sz w:val="22"/>
                <w:szCs w:val="22"/>
              </w:rPr>
              <w:t xml:space="preserve">This collection </w:t>
            </w:r>
            <w:r w:rsidRPr="00126233" w:rsidR="00024DBE">
              <w:rPr>
                <w:color w:val="000000" w:themeColor="text1"/>
                <w:sz w:val="22"/>
                <w:szCs w:val="22"/>
              </w:rPr>
              <w:t>screened</w:t>
            </w:r>
            <w:r w:rsidRPr="00126233">
              <w:rPr>
                <w:color w:val="000000" w:themeColor="text1"/>
                <w:sz w:val="22"/>
                <w:szCs w:val="22"/>
              </w:rPr>
              <w:t xml:space="preserve"> </w:t>
            </w:r>
            <w:r w:rsidRPr="00126233" w:rsidR="004F07C8">
              <w:rPr>
                <w:color w:val="000000" w:themeColor="text1"/>
                <w:sz w:val="22"/>
                <w:szCs w:val="22"/>
              </w:rPr>
              <w:t>700</w:t>
            </w:r>
            <w:r w:rsidRPr="00126233">
              <w:rPr>
                <w:color w:val="000000" w:themeColor="text1"/>
                <w:sz w:val="22"/>
                <w:szCs w:val="22"/>
              </w:rPr>
              <w:t xml:space="preserve"> </w:t>
            </w:r>
            <w:r w:rsidRPr="00126233">
              <w:rPr>
                <w:color w:val="000000" w:themeColor="text1"/>
                <w:sz w:val="22"/>
                <w:szCs w:val="22"/>
              </w:rPr>
              <w:t>respondents</w:t>
            </w:r>
            <w:r w:rsidRPr="00126233">
              <w:rPr>
                <w:color w:val="000000" w:themeColor="text1"/>
                <w:sz w:val="22"/>
                <w:szCs w:val="22"/>
              </w:rPr>
              <w:t xml:space="preserve"> </w:t>
            </w:r>
            <w:r w:rsidR="009F47D3">
              <w:rPr>
                <w:color w:val="000000" w:themeColor="text1"/>
                <w:sz w:val="22"/>
                <w:szCs w:val="22"/>
              </w:rPr>
              <w:t>seat</w:t>
            </w:r>
            <w:r w:rsidRPr="00126233" w:rsidR="00DD78D2">
              <w:rPr>
                <w:color w:val="000000" w:themeColor="text1"/>
                <w:sz w:val="22"/>
                <w:szCs w:val="22"/>
              </w:rPr>
              <w:t xml:space="preserve"> 144 actual participants </w:t>
            </w:r>
            <w:r w:rsidR="002018F4">
              <w:rPr>
                <w:color w:val="000000" w:themeColor="text1"/>
                <w:sz w:val="22"/>
                <w:szCs w:val="22"/>
              </w:rPr>
              <w:t>across 24 focus groups. Participants were one of the primary household shoppers. Segments</w:t>
            </w:r>
            <w:r w:rsidRPr="00126233">
              <w:rPr>
                <w:color w:val="000000" w:themeColor="text1"/>
                <w:sz w:val="22"/>
                <w:szCs w:val="22"/>
              </w:rPr>
              <w:t xml:space="preserve">: 1) Consumers with a doctor-diagnosed food allergy; 2) Parents or caregivers to a dependent with a doctor-diagnosed food allergy who is living in the household; 3) Consumers who have used epinephrine auto injectors or needed an inpatient hospital stay due to a food allergy reaction within the last five years. </w:t>
            </w:r>
          </w:p>
          <w:p w:rsidR="0038764C" w:rsidRPr="00126233" w:rsidP="0038764C" w14:paraId="13994D86" w14:textId="4C6DBF00">
            <w:pPr>
              <w:autoSpaceDE w:val="0"/>
              <w:autoSpaceDN w:val="0"/>
              <w:adjustRightInd w:val="0"/>
              <w:rPr>
                <w:color w:val="000000" w:themeColor="text1"/>
                <w:sz w:val="22"/>
                <w:szCs w:val="22"/>
              </w:rPr>
            </w:pPr>
          </w:p>
        </w:tc>
        <w:tc>
          <w:tcPr>
            <w:tcW w:w="1829" w:type="pct"/>
          </w:tcPr>
          <w:p w:rsidR="001D04DC" w:rsidRPr="004116D4" w:rsidP="004116D4" w14:paraId="7B3FBF81" w14:textId="3FFB534C">
            <w:pPr>
              <w:rPr>
                <w:sz w:val="22"/>
                <w:szCs w:val="22"/>
              </w:rPr>
            </w:pPr>
            <w:r w:rsidRPr="002A7DAA">
              <w:rPr>
                <w:sz w:val="22"/>
                <w:szCs w:val="22"/>
              </w:rPr>
              <w:t>The results of the study help</w:t>
            </w:r>
            <w:r>
              <w:rPr>
                <w:sz w:val="22"/>
                <w:szCs w:val="22"/>
              </w:rPr>
              <w:t>ed</w:t>
            </w:r>
            <w:r w:rsidRPr="002A7DAA">
              <w:rPr>
                <w:sz w:val="22"/>
                <w:szCs w:val="22"/>
              </w:rPr>
              <w:t xml:space="preserve"> inform the recommendations </w:t>
            </w:r>
            <w:r w:rsidR="00FC18D5">
              <w:rPr>
                <w:sz w:val="22"/>
                <w:szCs w:val="22"/>
              </w:rPr>
              <w:t>for</w:t>
            </w:r>
            <w:r w:rsidRPr="002A7DAA">
              <w:rPr>
                <w:sz w:val="22"/>
                <w:szCs w:val="22"/>
              </w:rPr>
              <w:t xml:space="preserve"> a potential future FDA guidance on this topic intended to improve the uniformity of allergen statements in the U.S. and reduce confusion among consumers, manufacturers, and healthcare professionals.  It also help</w:t>
            </w:r>
            <w:r w:rsidR="005913A0">
              <w:rPr>
                <w:sz w:val="22"/>
                <w:szCs w:val="22"/>
              </w:rPr>
              <w:t>ed</w:t>
            </w:r>
            <w:r w:rsidRPr="002A7DAA">
              <w:rPr>
                <w:sz w:val="22"/>
                <w:szCs w:val="22"/>
              </w:rPr>
              <w:t xml:space="preserve"> FDA develop future </w:t>
            </w:r>
            <w:r w:rsidR="005913A0">
              <w:rPr>
                <w:sz w:val="22"/>
                <w:szCs w:val="22"/>
              </w:rPr>
              <w:t xml:space="preserve">pertinent </w:t>
            </w:r>
            <w:r w:rsidRPr="002A7DAA">
              <w:rPr>
                <w:sz w:val="22"/>
                <w:szCs w:val="22"/>
              </w:rPr>
              <w:t xml:space="preserve">steps and strategies that </w:t>
            </w:r>
            <w:r w:rsidR="009723DC">
              <w:rPr>
                <w:sz w:val="22"/>
                <w:szCs w:val="22"/>
              </w:rPr>
              <w:t>are</w:t>
            </w:r>
            <w:r w:rsidRPr="002A7DAA">
              <w:rPr>
                <w:sz w:val="22"/>
                <w:szCs w:val="22"/>
              </w:rPr>
              <w:t xml:space="preserve"> helpful </w:t>
            </w:r>
            <w:r w:rsidR="009723DC">
              <w:rPr>
                <w:sz w:val="22"/>
                <w:szCs w:val="22"/>
              </w:rPr>
              <w:t>in</w:t>
            </w:r>
            <w:r w:rsidRPr="002A7DAA">
              <w:rPr>
                <w:sz w:val="22"/>
                <w:szCs w:val="22"/>
              </w:rPr>
              <w:t xml:space="preserve"> providing consumers with allergen information deemed important to public health.</w:t>
            </w:r>
          </w:p>
        </w:tc>
        <w:tc>
          <w:tcPr>
            <w:tcW w:w="741" w:type="pct"/>
          </w:tcPr>
          <w:p w:rsidR="001D04DC" w:rsidP="0059128B" w14:paraId="57A2B00C" w14:textId="6CBD79FE">
            <w:pPr>
              <w:rPr>
                <w:sz w:val="22"/>
                <w:szCs w:val="22"/>
              </w:rPr>
            </w:pPr>
            <w:r>
              <w:rPr>
                <w:sz w:val="22"/>
                <w:szCs w:val="22"/>
              </w:rPr>
              <w:t xml:space="preserve">A total of </w:t>
            </w:r>
            <w:r w:rsidR="0012532E">
              <w:rPr>
                <w:sz w:val="22"/>
                <w:szCs w:val="22"/>
              </w:rPr>
              <w:t>358</w:t>
            </w:r>
            <w:r>
              <w:rPr>
                <w:sz w:val="22"/>
                <w:szCs w:val="22"/>
              </w:rPr>
              <w:t xml:space="preserve"> hours were used in these focus groups to conduct </w:t>
            </w:r>
            <w:r w:rsidR="00A7722D">
              <w:rPr>
                <w:sz w:val="22"/>
                <w:szCs w:val="22"/>
              </w:rPr>
              <w:t>pre-screeners</w:t>
            </w:r>
            <w:r w:rsidR="009C3406">
              <w:rPr>
                <w:sz w:val="22"/>
                <w:szCs w:val="22"/>
              </w:rPr>
              <w:t xml:space="preserve">, </w:t>
            </w:r>
            <w:r w:rsidR="00A7722D">
              <w:rPr>
                <w:sz w:val="22"/>
                <w:szCs w:val="22"/>
              </w:rPr>
              <w:t xml:space="preserve">phone screeners, </w:t>
            </w:r>
            <w:r w:rsidR="00C81210">
              <w:rPr>
                <w:sz w:val="22"/>
                <w:szCs w:val="22"/>
              </w:rPr>
              <w:t>email confirmations, obtain consent</w:t>
            </w:r>
            <w:r w:rsidR="00FE35F9">
              <w:rPr>
                <w:sz w:val="22"/>
                <w:szCs w:val="22"/>
              </w:rPr>
              <w:t xml:space="preserve">, send email reminders, and </w:t>
            </w:r>
            <w:r w:rsidR="00EC04B5">
              <w:rPr>
                <w:sz w:val="22"/>
                <w:szCs w:val="22"/>
              </w:rPr>
              <w:t xml:space="preserve">participate in </w:t>
            </w:r>
            <w:r w:rsidR="00FE35F9">
              <w:rPr>
                <w:sz w:val="22"/>
                <w:szCs w:val="22"/>
              </w:rPr>
              <w:t>the focus group discussion.</w:t>
            </w:r>
          </w:p>
        </w:tc>
      </w:tr>
      <w:tr w14:paraId="690FE08A" w14:textId="77777777" w:rsidTr="00E71FE8">
        <w:tblPrEx>
          <w:tblW w:w="4917" w:type="pct"/>
          <w:tblInd w:w="18" w:type="dxa"/>
          <w:tblLayout w:type="fixed"/>
          <w:tblLook w:val="01E0"/>
        </w:tblPrEx>
        <w:trPr>
          <w:cantSplit/>
        </w:trPr>
        <w:tc>
          <w:tcPr>
            <w:tcW w:w="1470" w:type="pct"/>
            <w:shd w:val="clear" w:color="auto" w:fill="auto"/>
          </w:tcPr>
          <w:p w:rsidR="0012532E" w:rsidP="0012532E" w14:paraId="4A17CDF4" w14:textId="695E6EF5">
            <w:pPr>
              <w:autoSpaceDE w:val="0"/>
              <w:autoSpaceDN w:val="0"/>
              <w:adjustRightInd w:val="0"/>
              <w:rPr>
                <w:rFonts w:ascii="ArialMT" w:hAnsi="ArialMT" w:eastAsiaTheme="minorHAnsi" w:cs="ArialMT"/>
                <w:sz w:val="20"/>
                <w:szCs w:val="20"/>
              </w:rPr>
            </w:pPr>
            <w:r>
              <w:rPr>
                <w:rFonts w:ascii="ArialMT" w:hAnsi="ArialMT" w:eastAsiaTheme="minorHAnsi" w:cs="ArialMT"/>
                <w:sz w:val="20"/>
                <w:szCs w:val="20"/>
              </w:rPr>
              <w:t>E-Commerce Food</w:t>
            </w:r>
            <w:r w:rsidR="00293D0F">
              <w:rPr>
                <w:rFonts w:ascii="ArialMT" w:hAnsi="ArialMT" w:eastAsiaTheme="minorHAnsi" w:cs="ArialMT"/>
                <w:sz w:val="20"/>
                <w:szCs w:val="20"/>
              </w:rPr>
              <w:t xml:space="preserve"> </w:t>
            </w:r>
            <w:r>
              <w:rPr>
                <w:rFonts w:ascii="ArialMT" w:hAnsi="ArialMT" w:eastAsiaTheme="minorHAnsi" w:cs="ArialMT"/>
                <w:sz w:val="20"/>
                <w:szCs w:val="20"/>
              </w:rPr>
              <w:t>Labeling Focus Groups</w:t>
            </w:r>
          </w:p>
        </w:tc>
        <w:tc>
          <w:tcPr>
            <w:tcW w:w="960" w:type="pct"/>
            <w:shd w:val="clear" w:color="auto" w:fill="auto"/>
          </w:tcPr>
          <w:p w:rsidR="00614C38" w:rsidRPr="00126233" w:rsidP="00614C38" w14:paraId="51EE9564" w14:textId="5E22F162">
            <w:pPr>
              <w:autoSpaceDE w:val="0"/>
              <w:autoSpaceDN w:val="0"/>
              <w:adjustRightInd w:val="0"/>
              <w:rPr>
                <w:color w:val="000000" w:themeColor="text1"/>
                <w:sz w:val="22"/>
                <w:szCs w:val="22"/>
              </w:rPr>
            </w:pPr>
            <w:r>
              <w:rPr>
                <w:color w:val="000000" w:themeColor="text1"/>
                <w:sz w:val="22"/>
                <w:szCs w:val="22"/>
              </w:rPr>
              <w:t xml:space="preserve">This collection screened </w:t>
            </w:r>
            <w:r w:rsidRPr="00126233" w:rsidR="0012532E">
              <w:rPr>
                <w:color w:val="000000" w:themeColor="text1"/>
                <w:sz w:val="22"/>
                <w:szCs w:val="22"/>
              </w:rPr>
              <w:t>192</w:t>
            </w:r>
            <w:r w:rsidRPr="00126233">
              <w:rPr>
                <w:color w:val="000000" w:themeColor="text1"/>
                <w:sz w:val="22"/>
                <w:szCs w:val="22"/>
              </w:rPr>
              <w:t xml:space="preserve"> </w:t>
            </w:r>
            <w:r w:rsidRPr="00126233" w:rsidR="004B4790">
              <w:rPr>
                <w:color w:val="000000" w:themeColor="text1"/>
                <w:sz w:val="22"/>
                <w:szCs w:val="22"/>
              </w:rPr>
              <w:t xml:space="preserve">people </w:t>
            </w:r>
            <w:r w:rsidRPr="00126233" w:rsidR="008D6554">
              <w:rPr>
                <w:color w:val="000000" w:themeColor="text1"/>
                <w:sz w:val="22"/>
                <w:szCs w:val="22"/>
              </w:rPr>
              <w:t xml:space="preserve">to </w:t>
            </w:r>
            <w:r>
              <w:rPr>
                <w:color w:val="000000" w:themeColor="text1"/>
                <w:sz w:val="22"/>
                <w:szCs w:val="22"/>
              </w:rPr>
              <w:t xml:space="preserve">seat </w:t>
            </w:r>
            <w:r w:rsidRPr="00126233" w:rsidR="008D6554">
              <w:rPr>
                <w:color w:val="000000" w:themeColor="text1"/>
                <w:sz w:val="22"/>
                <w:szCs w:val="22"/>
              </w:rPr>
              <w:t xml:space="preserve">96 participants </w:t>
            </w:r>
            <w:r w:rsidRPr="00126233" w:rsidR="008562A3">
              <w:rPr>
                <w:color w:val="000000" w:themeColor="text1"/>
                <w:sz w:val="22"/>
                <w:szCs w:val="22"/>
              </w:rPr>
              <w:t>for</w:t>
            </w:r>
            <w:r w:rsidRPr="00126233" w:rsidR="008D6554">
              <w:rPr>
                <w:color w:val="000000" w:themeColor="text1"/>
                <w:sz w:val="22"/>
                <w:szCs w:val="22"/>
              </w:rPr>
              <w:t xml:space="preserve"> </w:t>
            </w:r>
            <w:r>
              <w:rPr>
                <w:color w:val="000000" w:themeColor="text1"/>
                <w:sz w:val="22"/>
                <w:szCs w:val="22"/>
              </w:rPr>
              <w:t>12</w:t>
            </w:r>
            <w:r w:rsidRPr="00126233" w:rsidR="008D6554">
              <w:rPr>
                <w:color w:val="000000" w:themeColor="text1"/>
                <w:sz w:val="22"/>
                <w:szCs w:val="22"/>
              </w:rPr>
              <w:t xml:space="preserve"> focus groups.  </w:t>
            </w:r>
            <w:r w:rsidRPr="00126233">
              <w:rPr>
                <w:color w:val="000000" w:themeColor="text1"/>
                <w:sz w:val="22"/>
                <w:szCs w:val="22"/>
              </w:rPr>
              <w:t>Eligible participants w</w:t>
            </w:r>
            <w:r w:rsidRPr="00126233" w:rsidR="008D6554">
              <w:rPr>
                <w:color w:val="000000" w:themeColor="text1"/>
                <w:sz w:val="22"/>
                <w:szCs w:val="22"/>
              </w:rPr>
              <w:t>ere</w:t>
            </w:r>
            <w:r w:rsidRPr="00126233">
              <w:rPr>
                <w:color w:val="000000" w:themeColor="text1"/>
                <w:sz w:val="22"/>
                <w:szCs w:val="22"/>
              </w:rPr>
              <w:t xml:space="preserve"> individuals who ma</w:t>
            </w:r>
            <w:r w:rsidRPr="00126233" w:rsidR="00FE5E37">
              <w:rPr>
                <w:color w:val="000000" w:themeColor="text1"/>
                <w:sz w:val="22"/>
                <w:szCs w:val="22"/>
              </w:rPr>
              <w:t>d</w:t>
            </w:r>
            <w:r w:rsidRPr="00126233">
              <w:rPr>
                <w:color w:val="000000" w:themeColor="text1"/>
                <w:sz w:val="22"/>
                <w:szCs w:val="22"/>
              </w:rPr>
              <w:t xml:space="preserve">e </w:t>
            </w:r>
            <w:r w:rsidRPr="00126233">
              <w:rPr>
                <w:color w:val="000000" w:themeColor="text1"/>
                <w:sz w:val="22"/>
                <w:szCs w:val="22"/>
              </w:rPr>
              <w:t>the majority of</w:t>
            </w:r>
            <w:r w:rsidRPr="00126233">
              <w:rPr>
                <w:color w:val="000000" w:themeColor="text1"/>
                <w:sz w:val="22"/>
                <w:szCs w:val="22"/>
              </w:rPr>
              <w:t xml:space="preserve"> grocery purchase</w:t>
            </w:r>
            <w:r w:rsidRPr="00126233" w:rsidR="009B3CE5">
              <w:rPr>
                <w:color w:val="000000" w:themeColor="text1"/>
                <w:sz w:val="22"/>
                <w:szCs w:val="22"/>
              </w:rPr>
              <w:t xml:space="preserve"> decision</w:t>
            </w:r>
            <w:r w:rsidRPr="00126233">
              <w:rPr>
                <w:color w:val="000000" w:themeColor="text1"/>
                <w:sz w:val="22"/>
                <w:szCs w:val="22"/>
              </w:rPr>
              <w:t xml:space="preserve">s for their household and </w:t>
            </w:r>
            <w:r w:rsidRPr="00126233">
              <w:rPr>
                <w:color w:val="000000" w:themeColor="text1"/>
                <w:sz w:val="22"/>
                <w:szCs w:val="22"/>
              </w:rPr>
              <w:t>shop</w:t>
            </w:r>
            <w:r w:rsidRPr="00126233">
              <w:rPr>
                <w:color w:val="000000" w:themeColor="text1"/>
                <w:sz w:val="22"/>
                <w:szCs w:val="22"/>
              </w:rPr>
              <w:t xml:space="preserve"> for groceries online at least some of the time</w:t>
            </w:r>
            <w:r w:rsidRPr="00126233" w:rsidR="00FE5E37">
              <w:rPr>
                <w:color w:val="000000" w:themeColor="text1"/>
                <w:sz w:val="22"/>
                <w:szCs w:val="22"/>
              </w:rPr>
              <w:t xml:space="preserve">. </w:t>
            </w:r>
          </w:p>
          <w:p w:rsidR="00614C38" w:rsidRPr="00126233" w:rsidP="00614C38" w14:paraId="0E44E1D6" w14:textId="671E5622">
            <w:pPr>
              <w:autoSpaceDE w:val="0"/>
              <w:autoSpaceDN w:val="0"/>
              <w:adjustRightInd w:val="0"/>
              <w:rPr>
                <w:color w:val="000000" w:themeColor="text1"/>
                <w:sz w:val="22"/>
                <w:szCs w:val="22"/>
              </w:rPr>
            </w:pPr>
            <w:r>
              <w:rPr>
                <w:color w:val="000000" w:themeColor="text1"/>
                <w:sz w:val="22"/>
                <w:szCs w:val="22"/>
              </w:rPr>
              <w:t xml:space="preserve">Segments: (1) </w:t>
            </w:r>
            <w:r w:rsidRPr="00126233">
              <w:rPr>
                <w:color w:val="000000" w:themeColor="text1"/>
                <w:sz w:val="22"/>
                <w:szCs w:val="22"/>
              </w:rPr>
              <w:t>whether they or someone in their household ha</w:t>
            </w:r>
            <w:r w:rsidRPr="00126233" w:rsidR="00780F5E">
              <w:rPr>
                <w:color w:val="000000" w:themeColor="text1"/>
                <w:sz w:val="22"/>
                <w:szCs w:val="22"/>
              </w:rPr>
              <w:t>d</w:t>
            </w:r>
            <w:r w:rsidRPr="00126233">
              <w:rPr>
                <w:color w:val="000000" w:themeColor="text1"/>
                <w:sz w:val="22"/>
                <w:szCs w:val="22"/>
              </w:rPr>
              <w:t xml:space="preserve"> a food allergy to at least one of the nine major allergens (allergen status), </w:t>
            </w:r>
            <w:r>
              <w:rPr>
                <w:color w:val="000000" w:themeColor="text1"/>
                <w:sz w:val="22"/>
                <w:szCs w:val="22"/>
              </w:rPr>
              <w:t>(2)</w:t>
            </w:r>
            <w:r w:rsidRPr="00126233">
              <w:rPr>
                <w:color w:val="000000" w:themeColor="text1"/>
                <w:sz w:val="22"/>
                <w:szCs w:val="22"/>
              </w:rPr>
              <w:t xml:space="preserve"> by education</w:t>
            </w:r>
            <w:r w:rsidRPr="00126233" w:rsidR="000238F4">
              <w:rPr>
                <w:color w:val="000000" w:themeColor="text1"/>
                <w:sz w:val="22"/>
                <w:szCs w:val="22"/>
              </w:rPr>
              <w:t>.</w:t>
            </w:r>
            <w:r w:rsidRPr="00126233">
              <w:rPr>
                <w:color w:val="000000" w:themeColor="text1"/>
                <w:sz w:val="22"/>
                <w:szCs w:val="22"/>
              </w:rPr>
              <w:t xml:space="preserve"> </w:t>
            </w:r>
          </w:p>
        </w:tc>
        <w:tc>
          <w:tcPr>
            <w:tcW w:w="1829" w:type="pct"/>
          </w:tcPr>
          <w:p w:rsidR="0012532E" w:rsidRPr="004116D4" w:rsidP="004116D4" w14:paraId="03987A34" w14:textId="7FB0A33E">
            <w:pPr>
              <w:rPr>
                <w:sz w:val="22"/>
                <w:szCs w:val="22"/>
              </w:rPr>
            </w:pPr>
            <w:r w:rsidRPr="00A905C9">
              <w:rPr>
                <w:sz w:val="22"/>
                <w:szCs w:val="22"/>
              </w:rPr>
              <w:t>The study findings provide</w:t>
            </w:r>
            <w:r>
              <w:rPr>
                <w:sz w:val="22"/>
                <w:szCs w:val="22"/>
              </w:rPr>
              <w:t>d</w:t>
            </w:r>
            <w:r w:rsidRPr="00A905C9">
              <w:rPr>
                <w:sz w:val="22"/>
                <w:szCs w:val="22"/>
              </w:rPr>
              <w:t xml:space="preserve"> additional insight </w:t>
            </w:r>
            <w:r w:rsidRPr="00A905C9">
              <w:rPr>
                <w:sz w:val="22"/>
                <w:szCs w:val="22"/>
              </w:rPr>
              <w:t>about</w:t>
            </w:r>
            <w:r w:rsidRPr="00A905C9">
              <w:rPr>
                <w:sz w:val="22"/>
                <w:szCs w:val="22"/>
              </w:rPr>
              <w:t xml:space="preserve"> consumer needs and behaviors when shopping for food online and </w:t>
            </w:r>
            <w:r w:rsidR="003E48F9">
              <w:rPr>
                <w:sz w:val="22"/>
                <w:szCs w:val="22"/>
              </w:rPr>
              <w:t xml:space="preserve">helped </w:t>
            </w:r>
            <w:r w:rsidR="001538E3">
              <w:rPr>
                <w:sz w:val="22"/>
                <w:szCs w:val="22"/>
              </w:rPr>
              <w:t>i</w:t>
            </w:r>
            <w:r w:rsidRPr="00A905C9">
              <w:rPr>
                <w:sz w:val="22"/>
                <w:szCs w:val="22"/>
              </w:rPr>
              <w:t>mprove the accuracy of food label information across online grocery platforms. The findings of this study help</w:t>
            </w:r>
            <w:r w:rsidR="003E48F9">
              <w:rPr>
                <w:sz w:val="22"/>
                <w:szCs w:val="22"/>
              </w:rPr>
              <w:t>ed</w:t>
            </w:r>
            <w:r w:rsidRPr="00A905C9">
              <w:rPr>
                <w:sz w:val="22"/>
                <w:szCs w:val="22"/>
              </w:rPr>
              <w:t xml:space="preserve"> FDA improve consumers’ ability to find nutritional, allergen, and ingredient information, improve their understanding of nutrition information to better compare information about food products, and reduce risks to consumers with food allergies when using online grocery platforms.</w:t>
            </w:r>
          </w:p>
        </w:tc>
        <w:tc>
          <w:tcPr>
            <w:tcW w:w="741" w:type="pct"/>
          </w:tcPr>
          <w:p w:rsidR="0012532E" w:rsidP="0059128B" w14:paraId="0B94DDDB" w14:textId="6A590682">
            <w:pPr>
              <w:rPr>
                <w:sz w:val="22"/>
                <w:szCs w:val="22"/>
              </w:rPr>
            </w:pPr>
            <w:r>
              <w:rPr>
                <w:sz w:val="22"/>
                <w:szCs w:val="22"/>
              </w:rPr>
              <w:t xml:space="preserve">A total of </w:t>
            </w:r>
            <w:r>
              <w:rPr>
                <w:sz w:val="22"/>
                <w:szCs w:val="22"/>
              </w:rPr>
              <w:t>200</w:t>
            </w:r>
            <w:r>
              <w:rPr>
                <w:sz w:val="22"/>
                <w:szCs w:val="22"/>
              </w:rPr>
              <w:t xml:space="preserve"> hours were used in screening and conducting these focus groups.</w:t>
            </w:r>
          </w:p>
        </w:tc>
      </w:tr>
      <w:tr w14:paraId="40DD2BEC" w14:textId="77777777" w:rsidTr="00E71FE8">
        <w:tblPrEx>
          <w:tblW w:w="4917" w:type="pct"/>
          <w:tblInd w:w="18" w:type="dxa"/>
          <w:tblLayout w:type="fixed"/>
          <w:tblLook w:val="01E0"/>
        </w:tblPrEx>
        <w:trPr>
          <w:cantSplit/>
        </w:trPr>
        <w:tc>
          <w:tcPr>
            <w:tcW w:w="1470" w:type="pct"/>
            <w:shd w:val="clear" w:color="auto" w:fill="auto"/>
          </w:tcPr>
          <w:p w:rsidR="000770A1" w:rsidP="00041208" w14:paraId="476D5E82" w14:textId="77777777">
            <w:pPr>
              <w:keepLines/>
              <w:ind w:right="-18"/>
              <w:rPr>
                <w:sz w:val="22"/>
                <w:szCs w:val="22"/>
              </w:rPr>
            </w:pPr>
          </w:p>
          <w:p w:rsidR="000E04F6" w:rsidRPr="00593FDE" w:rsidP="00041208" w14:paraId="303F825F" w14:textId="0A2C7238">
            <w:pPr>
              <w:keepLines/>
              <w:ind w:right="-18"/>
              <w:rPr>
                <w:sz w:val="22"/>
                <w:szCs w:val="22"/>
              </w:rPr>
            </w:pPr>
            <w:r>
              <w:rPr>
                <w:sz w:val="22"/>
                <w:szCs w:val="22"/>
              </w:rPr>
              <w:t>Total Hours</w:t>
            </w:r>
            <w:r w:rsidR="005D70BA">
              <w:rPr>
                <w:sz w:val="22"/>
                <w:szCs w:val="22"/>
              </w:rPr>
              <w:t xml:space="preserve"> Actually Used for ICs under Currently Approved ICR</w:t>
            </w:r>
          </w:p>
        </w:tc>
        <w:tc>
          <w:tcPr>
            <w:tcW w:w="960" w:type="pct"/>
            <w:shd w:val="clear" w:color="auto" w:fill="auto"/>
          </w:tcPr>
          <w:p w:rsidR="000770A1" w:rsidRPr="00593FDE" w:rsidP="00041208" w14:paraId="0F7949E9" w14:textId="77777777">
            <w:pPr>
              <w:autoSpaceDE w:val="0"/>
              <w:autoSpaceDN w:val="0"/>
              <w:adjustRightInd w:val="0"/>
              <w:rPr>
                <w:sz w:val="22"/>
                <w:szCs w:val="22"/>
              </w:rPr>
            </w:pPr>
          </w:p>
        </w:tc>
        <w:tc>
          <w:tcPr>
            <w:tcW w:w="1829" w:type="pct"/>
          </w:tcPr>
          <w:p w:rsidR="000770A1" w:rsidRPr="00593FDE" w:rsidP="00041208" w14:paraId="3B15297D" w14:textId="77777777">
            <w:pPr>
              <w:jc w:val="right"/>
              <w:rPr>
                <w:sz w:val="22"/>
                <w:szCs w:val="22"/>
              </w:rPr>
            </w:pPr>
          </w:p>
        </w:tc>
        <w:tc>
          <w:tcPr>
            <w:tcW w:w="741" w:type="pct"/>
          </w:tcPr>
          <w:p w:rsidR="000770A1" w:rsidRPr="00593FDE" w:rsidP="0059128B" w14:paraId="35E582F1" w14:textId="3A685B8A">
            <w:pPr>
              <w:jc w:val="right"/>
              <w:rPr>
                <w:sz w:val="22"/>
                <w:szCs w:val="22"/>
              </w:rPr>
            </w:pPr>
            <w:r>
              <w:rPr>
                <w:sz w:val="22"/>
                <w:szCs w:val="22"/>
              </w:rPr>
              <w:t>1,</w:t>
            </w:r>
            <w:r w:rsidR="00B41D5B">
              <w:rPr>
                <w:sz w:val="22"/>
                <w:szCs w:val="22"/>
              </w:rPr>
              <w:t>801</w:t>
            </w:r>
          </w:p>
        </w:tc>
      </w:tr>
    </w:tbl>
    <w:p w:rsidR="000E04F6" w14:paraId="71D50CC4" w14:textId="586FF351">
      <w:pPr>
        <w:spacing w:after="160" w:line="259" w:lineRule="auto"/>
      </w:pPr>
    </w:p>
    <w:sectPr w:rsidSect="00E71FE8">
      <w:pgSz w:w="12240" w:h="15840" w:code="1"/>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0A1"/>
    <w:rsid w:val="00002B95"/>
    <w:rsid w:val="00007A62"/>
    <w:rsid w:val="0001501B"/>
    <w:rsid w:val="000150EC"/>
    <w:rsid w:val="000222B7"/>
    <w:rsid w:val="00022E9A"/>
    <w:rsid w:val="000237D3"/>
    <w:rsid w:val="000238F4"/>
    <w:rsid w:val="00024DBE"/>
    <w:rsid w:val="00026B35"/>
    <w:rsid w:val="0002725A"/>
    <w:rsid w:val="000369AE"/>
    <w:rsid w:val="0003766A"/>
    <w:rsid w:val="00041208"/>
    <w:rsid w:val="0004381A"/>
    <w:rsid w:val="000770A1"/>
    <w:rsid w:val="0008773D"/>
    <w:rsid w:val="000947F0"/>
    <w:rsid w:val="00097CF4"/>
    <w:rsid w:val="000B5632"/>
    <w:rsid w:val="000B5AF6"/>
    <w:rsid w:val="000C4DED"/>
    <w:rsid w:val="000C6A8D"/>
    <w:rsid w:val="000D5381"/>
    <w:rsid w:val="000D62CD"/>
    <w:rsid w:val="000E04F6"/>
    <w:rsid w:val="000E3B6D"/>
    <w:rsid w:val="000E7684"/>
    <w:rsid w:val="000F07AB"/>
    <w:rsid w:val="001007D5"/>
    <w:rsid w:val="00103B35"/>
    <w:rsid w:val="00104B7E"/>
    <w:rsid w:val="00115876"/>
    <w:rsid w:val="001214F4"/>
    <w:rsid w:val="001217C6"/>
    <w:rsid w:val="0012505C"/>
    <w:rsid w:val="0012532E"/>
    <w:rsid w:val="00126233"/>
    <w:rsid w:val="00131173"/>
    <w:rsid w:val="00131E74"/>
    <w:rsid w:val="00136313"/>
    <w:rsid w:val="001538E3"/>
    <w:rsid w:val="00156D02"/>
    <w:rsid w:val="00162634"/>
    <w:rsid w:val="00164266"/>
    <w:rsid w:val="00166E61"/>
    <w:rsid w:val="00167F25"/>
    <w:rsid w:val="001740B7"/>
    <w:rsid w:val="00174F33"/>
    <w:rsid w:val="00180B36"/>
    <w:rsid w:val="001960F9"/>
    <w:rsid w:val="001A3A77"/>
    <w:rsid w:val="001C0255"/>
    <w:rsid w:val="001C17FC"/>
    <w:rsid w:val="001C328F"/>
    <w:rsid w:val="001C5A8A"/>
    <w:rsid w:val="001C5FCB"/>
    <w:rsid w:val="001D04DC"/>
    <w:rsid w:val="001D2790"/>
    <w:rsid w:val="001D2BD3"/>
    <w:rsid w:val="001D3EE8"/>
    <w:rsid w:val="001D711E"/>
    <w:rsid w:val="001E7D60"/>
    <w:rsid w:val="002013A0"/>
    <w:rsid w:val="002018F4"/>
    <w:rsid w:val="00202EFD"/>
    <w:rsid w:val="00203EA5"/>
    <w:rsid w:val="00211138"/>
    <w:rsid w:val="00215327"/>
    <w:rsid w:val="002311DA"/>
    <w:rsid w:val="0023534F"/>
    <w:rsid w:val="002419E7"/>
    <w:rsid w:val="00250540"/>
    <w:rsid w:val="00253B53"/>
    <w:rsid w:val="002569B2"/>
    <w:rsid w:val="00263EB7"/>
    <w:rsid w:val="002656DE"/>
    <w:rsid w:val="00273C34"/>
    <w:rsid w:val="00277A22"/>
    <w:rsid w:val="00293D0F"/>
    <w:rsid w:val="002A68C0"/>
    <w:rsid w:val="002A7341"/>
    <w:rsid w:val="002A7DAA"/>
    <w:rsid w:val="002D6963"/>
    <w:rsid w:val="002E6180"/>
    <w:rsid w:val="002E6A72"/>
    <w:rsid w:val="002F1313"/>
    <w:rsid w:val="002F5402"/>
    <w:rsid w:val="002F6D90"/>
    <w:rsid w:val="0031118E"/>
    <w:rsid w:val="00314068"/>
    <w:rsid w:val="00336C9D"/>
    <w:rsid w:val="00345B91"/>
    <w:rsid w:val="00347044"/>
    <w:rsid w:val="00351171"/>
    <w:rsid w:val="00357C8A"/>
    <w:rsid w:val="0038139A"/>
    <w:rsid w:val="0038570F"/>
    <w:rsid w:val="0038676C"/>
    <w:rsid w:val="0038764C"/>
    <w:rsid w:val="00394F2F"/>
    <w:rsid w:val="00396954"/>
    <w:rsid w:val="003A2554"/>
    <w:rsid w:val="003A6E72"/>
    <w:rsid w:val="003B22BA"/>
    <w:rsid w:val="003B61E8"/>
    <w:rsid w:val="003B6700"/>
    <w:rsid w:val="003E48F9"/>
    <w:rsid w:val="003E5E64"/>
    <w:rsid w:val="003F360C"/>
    <w:rsid w:val="00400DCD"/>
    <w:rsid w:val="004116D4"/>
    <w:rsid w:val="00415C64"/>
    <w:rsid w:val="004235CE"/>
    <w:rsid w:val="004254D7"/>
    <w:rsid w:val="00426F92"/>
    <w:rsid w:val="0043355B"/>
    <w:rsid w:val="00442C25"/>
    <w:rsid w:val="00445347"/>
    <w:rsid w:val="00453885"/>
    <w:rsid w:val="00453BB1"/>
    <w:rsid w:val="004652C0"/>
    <w:rsid w:val="00470033"/>
    <w:rsid w:val="00471E28"/>
    <w:rsid w:val="0048203F"/>
    <w:rsid w:val="00497D15"/>
    <w:rsid w:val="004B16C5"/>
    <w:rsid w:val="004B4790"/>
    <w:rsid w:val="004B69D3"/>
    <w:rsid w:val="004C34A0"/>
    <w:rsid w:val="004D67D2"/>
    <w:rsid w:val="004E03DA"/>
    <w:rsid w:val="004F07C8"/>
    <w:rsid w:val="004F36BD"/>
    <w:rsid w:val="00501350"/>
    <w:rsid w:val="00504BF1"/>
    <w:rsid w:val="00513E90"/>
    <w:rsid w:val="0052384A"/>
    <w:rsid w:val="00530468"/>
    <w:rsid w:val="00537E83"/>
    <w:rsid w:val="00562AC6"/>
    <w:rsid w:val="00563D7A"/>
    <w:rsid w:val="00564762"/>
    <w:rsid w:val="00566A76"/>
    <w:rsid w:val="0057170E"/>
    <w:rsid w:val="00575E4A"/>
    <w:rsid w:val="005857D3"/>
    <w:rsid w:val="0059128B"/>
    <w:rsid w:val="005913A0"/>
    <w:rsid w:val="00593FDE"/>
    <w:rsid w:val="0059419B"/>
    <w:rsid w:val="00595100"/>
    <w:rsid w:val="00595C83"/>
    <w:rsid w:val="005D70BA"/>
    <w:rsid w:val="005E12C2"/>
    <w:rsid w:val="005E697A"/>
    <w:rsid w:val="00601CA0"/>
    <w:rsid w:val="00606BAD"/>
    <w:rsid w:val="00610854"/>
    <w:rsid w:val="00614C38"/>
    <w:rsid w:val="006156FD"/>
    <w:rsid w:val="00623AEE"/>
    <w:rsid w:val="006417C6"/>
    <w:rsid w:val="00650C11"/>
    <w:rsid w:val="0066283E"/>
    <w:rsid w:val="006771DF"/>
    <w:rsid w:val="006A32B4"/>
    <w:rsid w:val="006B189C"/>
    <w:rsid w:val="006C3711"/>
    <w:rsid w:val="006C430E"/>
    <w:rsid w:val="006F59EA"/>
    <w:rsid w:val="00700023"/>
    <w:rsid w:val="00713390"/>
    <w:rsid w:val="0071457C"/>
    <w:rsid w:val="00727740"/>
    <w:rsid w:val="0073379D"/>
    <w:rsid w:val="00754009"/>
    <w:rsid w:val="0075565F"/>
    <w:rsid w:val="00755C77"/>
    <w:rsid w:val="00755FFC"/>
    <w:rsid w:val="0076154D"/>
    <w:rsid w:val="00764F21"/>
    <w:rsid w:val="00767E86"/>
    <w:rsid w:val="00780F5E"/>
    <w:rsid w:val="00784244"/>
    <w:rsid w:val="00787CDB"/>
    <w:rsid w:val="007A1AB8"/>
    <w:rsid w:val="007A1D1B"/>
    <w:rsid w:val="007B08D6"/>
    <w:rsid w:val="007B378E"/>
    <w:rsid w:val="007C38EF"/>
    <w:rsid w:val="007F3F62"/>
    <w:rsid w:val="0080309D"/>
    <w:rsid w:val="0081458E"/>
    <w:rsid w:val="00814CE3"/>
    <w:rsid w:val="00830B1C"/>
    <w:rsid w:val="00831CBA"/>
    <w:rsid w:val="00837971"/>
    <w:rsid w:val="008562A3"/>
    <w:rsid w:val="00861157"/>
    <w:rsid w:val="0087359E"/>
    <w:rsid w:val="008768B3"/>
    <w:rsid w:val="00883808"/>
    <w:rsid w:val="008A288E"/>
    <w:rsid w:val="008B6695"/>
    <w:rsid w:val="008B774E"/>
    <w:rsid w:val="008D559C"/>
    <w:rsid w:val="008D6554"/>
    <w:rsid w:val="008E0331"/>
    <w:rsid w:val="008E1A72"/>
    <w:rsid w:val="008E7B51"/>
    <w:rsid w:val="008F0807"/>
    <w:rsid w:val="00904017"/>
    <w:rsid w:val="00924599"/>
    <w:rsid w:val="0092719B"/>
    <w:rsid w:val="00927B33"/>
    <w:rsid w:val="00957D2D"/>
    <w:rsid w:val="00964741"/>
    <w:rsid w:val="00964C8A"/>
    <w:rsid w:val="00967A00"/>
    <w:rsid w:val="00970831"/>
    <w:rsid w:val="009723DC"/>
    <w:rsid w:val="009736D9"/>
    <w:rsid w:val="00983A62"/>
    <w:rsid w:val="00994E26"/>
    <w:rsid w:val="009A131F"/>
    <w:rsid w:val="009A3C99"/>
    <w:rsid w:val="009B0DA9"/>
    <w:rsid w:val="009B173F"/>
    <w:rsid w:val="009B279C"/>
    <w:rsid w:val="009B3CE5"/>
    <w:rsid w:val="009C3406"/>
    <w:rsid w:val="009D10B9"/>
    <w:rsid w:val="009D3D03"/>
    <w:rsid w:val="009D3DE0"/>
    <w:rsid w:val="009D4311"/>
    <w:rsid w:val="009F47D3"/>
    <w:rsid w:val="00A22B8B"/>
    <w:rsid w:val="00A316AF"/>
    <w:rsid w:val="00A333D0"/>
    <w:rsid w:val="00A37EE3"/>
    <w:rsid w:val="00A411BB"/>
    <w:rsid w:val="00A605B3"/>
    <w:rsid w:val="00A63929"/>
    <w:rsid w:val="00A64B2F"/>
    <w:rsid w:val="00A7722D"/>
    <w:rsid w:val="00A83D7E"/>
    <w:rsid w:val="00A905C9"/>
    <w:rsid w:val="00AA34AC"/>
    <w:rsid w:val="00AD041E"/>
    <w:rsid w:val="00AD3A31"/>
    <w:rsid w:val="00AE4204"/>
    <w:rsid w:val="00AF1136"/>
    <w:rsid w:val="00AF1CE1"/>
    <w:rsid w:val="00B055DD"/>
    <w:rsid w:val="00B06C2C"/>
    <w:rsid w:val="00B1158B"/>
    <w:rsid w:val="00B2132D"/>
    <w:rsid w:val="00B31465"/>
    <w:rsid w:val="00B3527E"/>
    <w:rsid w:val="00B41D5B"/>
    <w:rsid w:val="00B5043D"/>
    <w:rsid w:val="00B515E4"/>
    <w:rsid w:val="00B547AE"/>
    <w:rsid w:val="00B63A4E"/>
    <w:rsid w:val="00B72C43"/>
    <w:rsid w:val="00B77F40"/>
    <w:rsid w:val="00B820A4"/>
    <w:rsid w:val="00B83876"/>
    <w:rsid w:val="00BA5F97"/>
    <w:rsid w:val="00BC087F"/>
    <w:rsid w:val="00BD234E"/>
    <w:rsid w:val="00BD3DDC"/>
    <w:rsid w:val="00BD6BDF"/>
    <w:rsid w:val="00BE6622"/>
    <w:rsid w:val="00BF2F9D"/>
    <w:rsid w:val="00BF434D"/>
    <w:rsid w:val="00C02842"/>
    <w:rsid w:val="00C03BB5"/>
    <w:rsid w:val="00C155D0"/>
    <w:rsid w:val="00C22403"/>
    <w:rsid w:val="00C320B9"/>
    <w:rsid w:val="00C3633F"/>
    <w:rsid w:val="00C558D9"/>
    <w:rsid w:val="00C61C46"/>
    <w:rsid w:val="00C629FB"/>
    <w:rsid w:val="00C65A67"/>
    <w:rsid w:val="00C8075F"/>
    <w:rsid w:val="00C81210"/>
    <w:rsid w:val="00C92022"/>
    <w:rsid w:val="00CB3798"/>
    <w:rsid w:val="00CB7318"/>
    <w:rsid w:val="00CE2C89"/>
    <w:rsid w:val="00CE2FEB"/>
    <w:rsid w:val="00CF4938"/>
    <w:rsid w:val="00CF7523"/>
    <w:rsid w:val="00CF7715"/>
    <w:rsid w:val="00D011F2"/>
    <w:rsid w:val="00D05675"/>
    <w:rsid w:val="00D17B7F"/>
    <w:rsid w:val="00D17FA6"/>
    <w:rsid w:val="00D26A31"/>
    <w:rsid w:val="00D56577"/>
    <w:rsid w:val="00D641A5"/>
    <w:rsid w:val="00D70BA0"/>
    <w:rsid w:val="00D75A7D"/>
    <w:rsid w:val="00D9424C"/>
    <w:rsid w:val="00DA48B6"/>
    <w:rsid w:val="00DB068A"/>
    <w:rsid w:val="00DB0B8C"/>
    <w:rsid w:val="00DB70A6"/>
    <w:rsid w:val="00DC178A"/>
    <w:rsid w:val="00DC20A0"/>
    <w:rsid w:val="00DC6CDA"/>
    <w:rsid w:val="00DD1E81"/>
    <w:rsid w:val="00DD3ED8"/>
    <w:rsid w:val="00DD78D2"/>
    <w:rsid w:val="00DD7DD0"/>
    <w:rsid w:val="00DF1E44"/>
    <w:rsid w:val="00E0312F"/>
    <w:rsid w:val="00E30CF5"/>
    <w:rsid w:val="00E4603E"/>
    <w:rsid w:val="00E71FE8"/>
    <w:rsid w:val="00E75BFD"/>
    <w:rsid w:val="00E76997"/>
    <w:rsid w:val="00E9042B"/>
    <w:rsid w:val="00EA0676"/>
    <w:rsid w:val="00EA5150"/>
    <w:rsid w:val="00EA5D90"/>
    <w:rsid w:val="00EC04B5"/>
    <w:rsid w:val="00ED2870"/>
    <w:rsid w:val="00EE503D"/>
    <w:rsid w:val="00EE7B9F"/>
    <w:rsid w:val="00EF782E"/>
    <w:rsid w:val="00F01D02"/>
    <w:rsid w:val="00F04A93"/>
    <w:rsid w:val="00F07656"/>
    <w:rsid w:val="00F07FED"/>
    <w:rsid w:val="00F10108"/>
    <w:rsid w:val="00F1249A"/>
    <w:rsid w:val="00F12A2D"/>
    <w:rsid w:val="00F344EF"/>
    <w:rsid w:val="00F34A65"/>
    <w:rsid w:val="00F40DB6"/>
    <w:rsid w:val="00F505D9"/>
    <w:rsid w:val="00F50974"/>
    <w:rsid w:val="00F50A62"/>
    <w:rsid w:val="00F62745"/>
    <w:rsid w:val="00F6279D"/>
    <w:rsid w:val="00F80E02"/>
    <w:rsid w:val="00F8108E"/>
    <w:rsid w:val="00F94FA5"/>
    <w:rsid w:val="00FA3C09"/>
    <w:rsid w:val="00FC18D5"/>
    <w:rsid w:val="00FE01E8"/>
    <w:rsid w:val="00FE35F9"/>
    <w:rsid w:val="00FE4438"/>
    <w:rsid w:val="00FE472F"/>
    <w:rsid w:val="00FE4EDB"/>
    <w:rsid w:val="00FE5E37"/>
    <w:rsid w:val="00FF0401"/>
    <w:rsid w:val="00FF18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85925C"/>
  <w15:chartTrackingRefBased/>
  <w15:docId w15:val="{D5150823-BBB5-4A15-83A0-4AF5ED2FE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70A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E4ED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1148</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Capezzuto, JonnaLynn</dc:creator>
  <cp:lastModifiedBy>Colburn, Christopher</cp:lastModifiedBy>
  <cp:revision>5</cp:revision>
  <cp:lastPrinted>2026-09-04T02:23:00Z</cp:lastPrinted>
  <dcterms:created xsi:type="dcterms:W3CDTF">2026-09-11T11:23:00Z</dcterms:created>
  <dcterms:modified xsi:type="dcterms:W3CDTF">2026-09-11T11:25:00Z</dcterms:modified>
</cp:coreProperties>
</file>