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680D" w:rsidRPr="00A64203" w:rsidP="0005680D" w14:paraId="7B098020" w14:textId="7A5E9AB9">
      <w:pPr>
        <w:tabs>
          <w:tab w:val="left" w:pos="1080"/>
        </w:tabs>
        <w:ind w:left="1080" w:hanging="1080"/>
      </w:pPr>
      <w:r w:rsidRPr="00A64203">
        <w:rPr>
          <w:b/>
          <w:bCs/>
        </w:rPr>
        <w:t>To:</w:t>
      </w:r>
      <w:r w:rsidRPr="00A64203">
        <w:tab/>
      </w:r>
      <w:r w:rsidR="009A77B1">
        <w:t>Dan Cline</w:t>
      </w:r>
    </w:p>
    <w:p w:rsidR="0005680D" w:rsidRPr="00A64203" w:rsidP="0005680D" w14:paraId="36853E0B" w14:textId="77777777">
      <w:pPr>
        <w:tabs>
          <w:tab w:val="left" w:pos="1080"/>
        </w:tabs>
        <w:ind w:left="1080" w:hanging="1080"/>
      </w:pPr>
      <w:r w:rsidRPr="00A64203">
        <w:rPr>
          <w:b/>
          <w:bCs/>
        </w:rPr>
        <w:tab/>
      </w:r>
      <w:r w:rsidRPr="00A64203">
        <w:t>Office of Information and Regulatory Affairs (OIRA)</w:t>
      </w:r>
    </w:p>
    <w:p w:rsidR="0005680D" w:rsidRPr="00A64203" w:rsidP="0005680D" w14:paraId="30A9ED8F" w14:textId="77777777">
      <w:pPr>
        <w:tabs>
          <w:tab w:val="left" w:pos="1080"/>
        </w:tabs>
        <w:ind w:left="1080" w:hanging="1080"/>
      </w:pPr>
      <w:r w:rsidRPr="00A64203">
        <w:tab/>
        <w:t>Office of Management and Budget (OMB)</w:t>
      </w:r>
    </w:p>
    <w:p w:rsidR="0005680D" w:rsidRPr="00A64203" w:rsidP="0005680D" w14:paraId="020B5E52" w14:textId="77777777">
      <w:pPr>
        <w:tabs>
          <w:tab w:val="left" w:pos="1080"/>
        </w:tabs>
        <w:ind w:left="1080" w:hanging="1080"/>
      </w:pPr>
    </w:p>
    <w:p w:rsidR="0005680D" w:rsidP="0005680D" w14:paraId="092E1B53" w14:textId="7764BDF6">
      <w:pPr>
        <w:tabs>
          <w:tab w:val="left" w:pos="1080"/>
        </w:tabs>
        <w:ind w:left="1080" w:hanging="1080"/>
      </w:pPr>
      <w:r w:rsidRPr="00A64203">
        <w:rPr>
          <w:b/>
          <w:bCs/>
        </w:rPr>
        <w:t>From:</w:t>
      </w:r>
      <w:r w:rsidRPr="00A64203">
        <w:tab/>
      </w:r>
      <w:bookmarkStart w:id="0" w:name="_Hlk122335576"/>
      <w:r w:rsidR="00D269ED">
        <w:t>William Parham</w:t>
      </w:r>
      <w:r w:rsidR="001779F1">
        <w:t xml:space="preserve"> </w:t>
      </w:r>
    </w:p>
    <w:p w:rsidR="00731214" w:rsidP="0005680D" w14:paraId="5D4FFFEF" w14:textId="2DE734E6">
      <w:pPr>
        <w:tabs>
          <w:tab w:val="left" w:pos="1080"/>
        </w:tabs>
        <w:ind w:left="1080" w:hanging="1080"/>
        <w:rPr>
          <w:bCs/>
        </w:rPr>
      </w:pPr>
      <w:r>
        <w:rPr>
          <w:b/>
          <w:bCs/>
        </w:rPr>
        <w:tab/>
      </w:r>
      <w:r w:rsidR="002C3567">
        <w:rPr>
          <w:bCs/>
        </w:rPr>
        <w:t>Office of Strategic and Regulatory Affairs</w:t>
      </w:r>
    </w:p>
    <w:p w:rsidR="001779F1" w:rsidP="0005680D" w14:paraId="784C4719" w14:textId="01D92709">
      <w:pPr>
        <w:tabs>
          <w:tab w:val="left" w:pos="1080"/>
        </w:tabs>
        <w:ind w:left="1080" w:hanging="1080"/>
      </w:pPr>
      <w:r>
        <w:tab/>
        <w:t xml:space="preserve">PRA </w:t>
      </w:r>
      <w:r w:rsidR="00D33EC9">
        <w:t>Staff</w:t>
      </w:r>
      <w:r w:rsidRPr="00A64203" w:rsidR="00BC6DE8">
        <w:rPr>
          <w:b/>
          <w:bCs/>
        </w:rPr>
        <w:tab/>
      </w:r>
    </w:p>
    <w:bookmarkEnd w:id="0"/>
    <w:p w:rsidR="0005680D" w:rsidRPr="00A64203" w:rsidP="0005680D" w14:paraId="7685F2B8" w14:textId="43AAC4BD">
      <w:pPr>
        <w:tabs>
          <w:tab w:val="left" w:pos="1080"/>
        </w:tabs>
        <w:ind w:left="1080" w:hanging="1080"/>
      </w:pPr>
      <w:r w:rsidRPr="00A64203">
        <w:tab/>
      </w:r>
    </w:p>
    <w:p w:rsidR="0005680D" w:rsidRPr="00A64203" w:rsidP="0005680D" w14:paraId="0BBD6359" w14:textId="17B808EB">
      <w:pPr>
        <w:tabs>
          <w:tab w:val="left" w:pos="1080"/>
        </w:tabs>
      </w:pPr>
      <w:r w:rsidRPr="00A64203">
        <w:rPr>
          <w:b/>
          <w:bCs/>
        </w:rPr>
        <w:t>Date:</w:t>
      </w:r>
      <w:r w:rsidRPr="00A64203">
        <w:tab/>
      </w:r>
      <w:r w:rsidR="009A77B1">
        <w:t>August 17</w:t>
      </w:r>
      <w:r w:rsidR="00E83275">
        <w:t>, 202</w:t>
      </w:r>
      <w:r w:rsidR="00866FC5">
        <w:t>6</w:t>
      </w:r>
    </w:p>
    <w:p w:rsidR="0005680D" w:rsidRPr="00A64203" w:rsidP="0005680D" w14:paraId="7B991363" w14:textId="77777777">
      <w:pPr>
        <w:tabs>
          <w:tab w:val="left" w:pos="1080"/>
        </w:tabs>
      </w:pPr>
    </w:p>
    <w:p w:rsidR="0005680D" w:rsidRPr="00A64203" w:rsidP="001779F1" w14:paraId="3A89B6CD" w14:textId="4879D521">
      <w:pPr>
        <w:pBdr>
          <w:bottom w:val="single" w:sz="12" w:space="1" w:color="auto"/>
        </w:pBdr>
        <w:tabs>
          <w:tab w:val="left" w:pos="1080"/>
        </w:tabs>
        <w:ind w:left="1080" w:hanging="1080"/>
      </w:pPr>
      <w:r w:rsidRPr="00A64203">
        <w:rPr>
          <w:b/>
          <w:bCs/>
        </w:rPr>
        <w:t>Subject:</w:t>
      </w:r>
      <w:r w:rsidRPr="00A64203">
        <w:tab/>
        <w:t>Non</w:t>
      </w:r>
      <w:r w:rsidRPr="00A64203" w:rsidR="009759BB">
        <w:t>-</w:t>
      </w:r>
      <w:r w:rsidRPr="00A64203">
        <w:t xml:space="preserve">Substantive Change Request – </w:t>
      </w:r>
      <w:r w:rsidRPr="00F77BDB" w:rsidR="00F77BDB">
        <w:t>Requirements Related to Surprise Billing: Qualifying Payment Amount, Notice and Consent, Disclosure on Patient Protections Against Balance Billing, and State Law Opt-in</w:t>
      </w:r>
      <w:r w:rsidR="00F77BDB">
        <w:t xml:space="preserve"> </w:t>
      </w:r>
      <w:r w:rsidR="009670A3">
        <w:t>(</w:t>
      </w:r>
      <w:r w:rsidRPr="009670A3" w:rsidR="009670A3">
        <w:t>OMB</w:t>
      </w:r>
      <w:r w:rsidR="009670A3">
        <w:t xml:space="preserve"># </w:t>
      </w:r>
      <w:r w:rsidRPr="009670A3" w:rsidR="009670A3">
        <w:t>0938-</w:t>
      </w:r>
      <w:r w:rsidR="00866FC5">
        <w:t>1401</w:t>
      </w:r>
      <w:r w:rsidR="009670A3">
        <w:t>)</w:t>
      </w:r>
    </w:p>
    <w:p w:rsidR="0005680D" w:rsidRPr="00A64203" w:rsidP="0005680D" w14:paraId="5036976F" w14:textId="77777777">
      <w:pPr>
        <w:pBdr>
          <w:bottom w:val="single" w:sz="12" w:space="1" w:color="auto"/>
        </w:pBdr>
        <w:tabs>
          <w:tab w:val="left" w:pos="1080"/>
        </w:tabs>
        <w:ind w:left="1080" w:hanging="1080"/>
      </w:pPr>
    </w:p>
    <w:p w:rsidR="0005680D" w:rsidRPr="00A64203" w:rsidP="0005680D" w14:paraId="595C69AB" w14:textId="77777777">
      <w:pPr>
        <w:tabs>
          <w:tab w:val="left" w:pos="1080"/>
        </w:tabs>
        <w:ind w:left="1080" w:hanging="1080"/>
      </w:pPr>
    </w:p>
    <w:p w:rsidR="0005680D" w:rsidP="001779F1" w14:paraId="6BF529D8" w14:textId="629DC299">
      <w:r w:rsidRPr="00A64203">
        <w:t>This memo requests approval of</w:t>
      </w:r>
      <w:r w:rsidRPr="00A64203" w:rsidR="000071AB">
        <w:t xml:space="preserve"> </w:t>
      </w:r>
      <w:r w:rsidR="00505D10">
        <w:t xml:space="preserve">a </w:t>
      </w:r>
      <w:r w:rsidRPr="00A64203" w:rsidR="000071AB">
        <w:t>non</w:t>
      </w:r>
      <w:r w:rsidRPr="00A64203" w:rsidR="009759BB">
        <w:t>-</w:t>
      </w:r>
      <w:r w:rsidRPr="00A64203" w:rsidR="000071AB">
        <w:t>substantive change</w:t>
      </w:r>
      <w:r w:rsidRPr="00A64203">
        <w:t xml:space="preserve"> to the </w:t>
      </w:r>
      <w:r w:rsidRPr="00866FC5" w:rsidR="00866FC5">
        <w:t xml:space="preserve">Standard Notice and Consent </w:t>
      </w:r>
      <w:r w:rsidR="00505D10">
        <w:t>d</w:t>
      </w:r>
      <w:r w:rsidRPr="00866FC5" w:rsidR="00866FC5">
        <w:t xml:space="preserve">ocuments </w:t>
      </w:r>
      <w:r w:rsidR="00505D10">
        <w:t xml:space="preserve">in the information collection </w:t>
      </w:r>
      <w:r w:rsidR="000902DF">
        <w:t>“</w:t>
      </w:r>
      <w:r w:rsidRPr="00505D10" w:rsidR="00505D10">
        <w:t>Requirements Related to Surprise Billing: Qualifying Payment Amount, Notice and Consent, Disclosure on Patient Protections Against Balance Billing, and State Law Opt-in</w:t>
      </w:r>
      <w:r w:rsidR="000902DF">
        <w:t>”</w:t>
      </w:r>
      <w:r w:rsidRPr="00866FC5" w:rsidR="00866FC5">
        <w:t xml:space="preserve"> </w:t>
      </w:r>
      <w:r w:rsidR="00866FC5">
        <w:t>(</w:t>
      </w:r>
      <w:r w:rsidRPr="009670A3" w:rsidR="00866FC5">
        <w:t>OMB</w:t>
      </w:r>
      <w:r w:rsidR="00866FC5">
        <w:t xml:space="preserve"># </w:t>
      </w:r>
      <w:r w:rsidRPr="009670A3" w:rsidR="00866FC5">
        <w:t>0938-</w:t>
      </w:r>
      <w:r w:rsidR="00866FC5">
        <w:t>1401)</w:t>
      </w:r>
      <w:r w:rsidR="00427067">
        <w:t>.</w:t>
      </w:r>
    </w:p>
    <w:p w:rsidR="001779F1" w:rsidRPr="004A36CF" w:rsidP="001779F1" w14:paraId="4BFE277C" w14:textId="77777777">
      <w:pPr>
        <w:rPr>
          <w:i/>
        </w:rPr>
      </w:pPr>
    </w:p>
    <w:p w:rsidR="0005680D" w:rsidP="0005680D" w14:paraId="37532181" w14:textId="73224719">
      <w:pPr>
        <w:spacing w:after="120"/>
        <w:rPr>
          <w:b/>
          <w:i/>
          <w:caps/>
          <w:kern w:val="24"/>
        </w:rPr>
      </w:pPr>
      <w:r>
        <w:rPr>
          <w:b/>
          <w:i/>
          <w:caps/>
          <w:kern w:val="24"/>
        </w:rPr>
        <w:t>Background</w:t>
      </w:r>
    </w:p>
    <w:p w:rsidR="00866FC5" w:rsidP="00237869" w14:paraId="5D925A31" w14:textId="16D31414">
      <w:pPr>
        <w:ind w:right="58"/>
      </w:pPr>
      <w:bookmarkStart w:id="1" w:name="_Hlk122336648"/>
      <w:r w:rsidRPr="00866FC5">
        <w:t>On December 27, 2020, the Consolidated Appropriations Act, 2021 (CAA),</w:t>
      </w:r>
      <w:r>
        <w:rPr>
          <w:rStyle w:val="FootnoteReference"/>
        </w:rPr>
        <w:footnoteReference w:id="2"/>
      </w:r>
      <w:r w:rsidRPr="00866FC5">
        <w:t xml:space="preserve"> which included the No Surprises Act, was signed into law. The No Surprises Act provides Federal protections against surprise billing and limits out-of-network cost sharing and balance billing under many of the circumstances in which surprise bills arise most frequently.</w:t>
      </w:r>
      <w:r>
        <w:t xml:space="preserve"> </w:t>
      </w:r>
    </w:p>
    <w:p w:rsidR="00866FC5" w:rsidP="00237869" w14:paraId="06117ADE" w14:textId="77777777">
      <w:pPr>
        <w:ind w:right="58"/>
      </w:pPr>
    </w:p>
    <w:p w:rsidR="00CC7A4E" w:rsidRPr="00CC7A4E" w:rsidP="00CC7A4E" w14:paraId="3032805A" w14:textId="61E3ACF9">
      <w:pPr>
        <w:ind w:right="58"/>
      </w:pPr>
      <w:r w:rsidRPr="000E05D2">
        <w:t xml:space="preserve">The July 13, 2021 interim final rules “Requirements Related to Surprise Billing; Part I” (86 FR 36872, henceforth the July 2021 interim final rules) issued by the Department of Health and Human Services (HHS), Department of Labor (DOL), the Department of the Treasury (collectively, the Departments), and the Office of Personnel Management (OPM) implement provisions of the No Surprises Act that apply to group health plans, health insurance issuers offering group or individual health insurance coverage, and carriers in the Federal Employees Health Benefits Program that provide protections against balance billing and out-of-network cost sharing with respect to emergency services, non-emergency services furnished by nonparticipating providers related to patient visits to certain types of participating health care facilities, and services furnished by nonparticipating providers of air ambulance services. The July 2021 interim final rules prohibit nonparticipating providers, emergency facilities, and providers of air ambulance services from </w:t>
      </w:r>
      <w:r w:rsidRPr="000E05D2">
        <w:t>balance</w:t>
      </w:r>
      <w:r w:rsidRPr="000E05D2">
        <w:t xml:space="preserve"> billing participants, beneficiaries, and enrollees in certain situations unless they satisfy certain notice and consent requirements</w:t>
      </w:r>
      <w:r>
        <w:t xml:space="preserve">. </w:t>
      </w:r>
      <w:r w:rsidRPr="00CC7A4E">
        <w:t>The requirements related to the notice and consent, applicable exceptions to when consent may be sought, and timing are set forth in section 2799B-2 of the PHS Act and implemented at 45 CFR 149.410 and 45 CFR 149.420 of the July 2021 interim final rules.</w:t>
      </w:r>
      <w:r>
        <w:t xml:space="preserve"> </w:t>
      </w:r>
      <w:r w:rsidR="003305BF">
        <w:t>T</w:t>
      </w:r>
      <w:r>
        <w:t xml:space="preserve">he consent </w:t>
      </w:r>
      <w:r w:rsidR="00DA1EDD">
        <w:t xml:space="preserve">form </w:t>
      </w:r>
      <w:r>
        <w:t>must document the</w:t>
      </w:r>
      <w:r w:rsidR="00E17EB3">
        <w:t xml:space="preserve"> time and</w:t>
      </w:r>
      <w:r>
        <w:t xml:space="preserve"> </w:t>
      </w:r>
      <w:r w:rsidR="00252192">
        <w:t xml:space="preserve">date </w:t>
      </w:r>
      <w:r>
        <w:t xml:space="preserve">on which the participant, beneficiary, or enrollee received the written notice and the </w:t>
      </w:r>
      <w:r w:rsidR="00427067">
        <w:t xml:space="preserve">time and </w:t>
      </w:r>
      <w:r w:rsidR="00252192">
        <w:t>date</w:t>
      </w:r>
      <w:r>
        <w:t xml:space="preserve"> on which</w:t>
      </w:r>
      <w:r w:rsidR="003305BF">
        <w:t xml:space="preserve"> </w:t>
      </w:r>
      <w:r>
        <w:t xml:space="preserve">the individual signed the consent to be </w:t>
      </w:r>
      <w:r w:rsidR="00BC2734">
        <w:t xml:space="preserve">furnished </w:t>
      </w:r>
      <w:r w:rsidR="00BC2734">
        <w:t>such</w:t>
      </w:r>
      <w:r>
        <w:t xml:space="preserve"> items or services</w:t>
      </w:r>
      <w:r>
        <w:t xml:space="preserve"> by </w:t>
      </w:r>
      <w:r w:rsidR="00EE3381">
        <w:t>the</w:t>
      </w:r>
      <w:r>
        <w:t xml:space="preserve"> nonparticipating provider.</w:t>
      </w:r>
    </w:p>
    <w:p w:rsidR="005C7BDF" w:rsidP="00237869" w14:paraId="18D466A4" w14:textId="77777777">
      <w:pPr>
        <w:ind w:right="58"/>
      </w:pPr>
    </w:p>
    <w:p w:rsidR="00A5359D" w:rsidP="00237869" w14:paraId="39FBFE18" w14:textId="2E6B6B69">
      <w:pPr>
        <w:ind w:right="58"/>
      </w:pPr>
      <w:r w:rsidRPr="00450DFB">
        <w:t xml:space="preserve">The Standard Notice and Consent form, as previously approved, </w:t>
      </w:r>
      <w:r w:rsidR="00DA1EDD">
        <w:t xml:space="preserve">inadvertently omitted a key data element </w:t>
      </w:r>
      <w:r w:rsidRPr="00450DFB">
        <w:t>in the consent section</w:t>
      </w:r>
      <w:r>
        <w:t>. S</w:t>
      </w:r>
      <w:r w:rsidRPr="00450DFB">
        <w:t>pecifically, the bracketed instruction on page six read</w:t>
      </w:r>
      <w:r w:rsidR="007B6F00">
        <w:t>s</w:t>
      </w:r>
      <w:r w:rsidRPr="00450DFB">
        <w:t xml:space="preserve"> "[enter date of notice]," which </w:t>
      </w:r>
      <w:r>
        <w:t xml:space="preserve">did not </w:t>
      </w:r>
      <w:r w:rsidRPr="00450DFB">
        <w:t xml:space="preserve">capture the time </w:t>
      </w:r>
      <w:r w:rsidR="00DA1EDD">
        <w:t xml:space="preserve">data </w:t>
      </w:r>
      <w:r w:rsidRPr="00450DFB">
        <w:t xml:space="preserve">element. Because use of this form is required, it is essential that the form </w:t>
      </w:r>
      <w:r w:rsidRPr="00450DFB" w:rsidR="008F1967">
        <w:t>contains</w:t>
      </w:r>
      <w:r w:rsidRPr="00450DFB">
        <w:t xml:space="preserve"> all required </w:t>
      </w:r>
      <w:r w:rsidR="00D41BB4">
        <w:t xml:space="preserve">data </w:t>
      </w:r>
      <w:r w:rsidRPr="00450DFB">
        <w:t>elements as specified in the applicable regulations.</w:t>
      </w:r>
    </w:p>
    <w:p w:rsidR="00A5359D" w:rsidP="00237869" w14:paraId="7973FCCB" w14:textId="77777777">
      <w:pPr>
        <w:ind w:right="58"/>
      </w:pPr>
    </w:p>
    <w:p w:rsidR="00A31206" w:rsidP="00C13A48" w14:paraId="1EDBDCBA" w14:textId="378FEFA8">
      <w:r w:rsidRPr="00A64203">
        <w:t xml:space="preserve">The collection was last approved by OMB on </w:t>
      </w:r>
      <w:r w:rsidR="00866FC5">
        <w:t>December</w:t>
      </w:r>
      <w:r w:rsidR="009E5C41">
        <w:t xml:space="preserve"> </w:t>
      </w:r>
      <w:r w:rsidR="00F77BDB">
        <w:t>22</w:t>
      </w:r>
      <w:r w:rsidRPr="004A36CF" w:rsidR="004A36CF">
        <w:t xml:space="preserve">, </w:t>
      </w:r>
      <w:r w:rsidRPr="004A36CF" w:rsidR="00427067">
        <w:t>202</w:t>
      </w:r>
      <w:r w:rsidR="00427067">
        <w:t>5,</w:t>
      </w:r>
      <w:r w:rsidR="004A36CF">
        <w:t xml:space="preserve"> </w:t>
      </w:r>
      <w:r w:rsidRPr="00A64203">
        <w:t xml:space="preserve">and expires on </w:t>
      </w:r>
      <w:r w:rsidR="00F77BDB">
        <w:t xml:space="preserve">December </w:t>
      </w:r>
      <w:r w:rsidR="00951F29">
        <w:t>3</w:t>
      </w:r>
      <w:r w:rsidR="00F77BDB">
        <w:t>1</w:t>
      </w:r>
      <w:r w:rsidR="004A36CF">
        <w:t xml:space="preserve">, </w:t>
      </w:r>
      <w:r w:rsidRPr="004A36CF" w:rsidR="004A36CF">
        <w:t>202</w:t>
      </w:r>
      <w:r w:rsidR="00F77BDB">
        <w:t>8</w:t>
      </w:r>
      <w:r w:rsidRPr="00A64203">
        <w:t>.</w:t>
      </w:r>
      <w:bookmarkEnd w:id="1"/>
      <w:r w:rsidR="00F77BDB">
        <w:t xml:space="preserve"> </w:t>
      </w:r>
      <w:r w:rsidR="00CE4DFE">
        <w:t xml:space="preserve">A revised Paperwork Reduction Act package </w:t>
      </w:r>
      <w:r w:rsidR="00543AAE">
        <w:t>(PRA</w:t>
      </w:r>
      <w:r w:rsidR="00BB4F45">
        <w:t xml:space="preserve"> package</w:t>
      </w:r>
      <w:r w:rsidR="00543AAE">
        <w:t xml:space="preserve">) </w:t>
      </w:r>
      <w:r w:rsidR="00CE4DFE">
        <w:t xml:space="preserve">containing </w:t>
      </w:r>
      <w:r w:rsidR="00F77BDB">
        <w:t xml:space="preserve">this collection was submitted to OMB as part of the Federal </w:t>
      </w:r>
      <w:r w:rsidRPr="00F77BDB" w:rsidR="00F77BDB">
        <w:t>Independent Dispute Resolution</w:t>
      </w:r>
      <w:r w:rsidR="00F77BDB">
        <w:t xml:space="preserve"> Operation</w:t>
      </w:r>
      <w:r w:rsidRPr="00F77BDB" w:rsidR="00F77BDB">
        <w:t xml:space="preserve"> final rule (CMS-9897</w:t>
      </w:r>
      <w:r w:rsidR="00F77BDB">
        <w:t>)</w:t>
      </w:r>
      <w:r>
        <w:rPr>
          <w:rStyle w:val="FootnoteReference"/>
        </w:rPr>
        <w:footnoteReference w:id="3"/>
      </w:r>
      <w:r w:rsidR="00F77BDB">
        <w:t xml:space="preserve"> for approval</w:t>
      </w:r>
      <w:r w:rsidR="00CE4DFE">
        <w:t>.</w:t>
      </w:r>
      <w:r w:rsidR="00F77BDB">
        <w:t xml:space="preserve"> </w:t>
      </w:r>
    </w:p>
    <w:p w:rsidR="000071AB" w:rsidRPr="004A36CF" w:rsidP="0005680D" w14:paraId="0E87DF53" w14:textId="0D8F3851">
      <w:pPr>
        <w:rPr>
          <w:i/>
        </w:rPr>
      </w:pPr>
    </w:p>
    <w:p w:rsidR="00E5216A" w:rsidRPr="004A36CF" w:rsidP="00DF7525" w14:paraId="7D703C99" w14:textId="6877FF4E">
      <w:pPr>
        <w:spacing w:after="120"/>
        <w:rPr>
          <w:b/>
          <w:i/>
          <w:caps/>
          <w:kern w:val="24"/>
        </w:rPr>
      </w:pPr>
      <w:bookmarkStart w:id="2" w:name="_Hlk122336080"/>
      <w:r w:rsidRPr="004A36CF">
        <w:rPr>
          <w:b/>
          <w:i/>
          <w:caps/>
          <w:kern w:val="24"/>
        </w:rPr>
        <w:t>Overview of Requested Changes</w:t>
      </w:r>
    </w:p>
    <w:bookmarkEnd w:id="2"/>
    <w:p w:rsidR="00515604" w:rsidP="00483101" w14:paraId="797D0EF2" w14:textId="31023C8F">
      <w:r w:rsidRPr="00483101">
        <w:t xml:space="preserve">Subsequent to OMB’s approval on </w:t>
      </w:r>
      <w:r w:rsidR="00543AAE">
        <w:t>December 22</w:t>
      </w:r>
      <w:r w:rsidRPr="00483101">
        <w:t>, 202</w:t>
      </w:r>
      <w:r w:rsidR="00543AAE">
        <w:t>5</w:t>
      </w:r>
      <w:r w:rsidRPr="00483101">
        <w:t xml:space="preserve">, </w:t>
      </w:r>
      <w:r w:rsidR="00543AAE">
        <w:t xml:space="preserve">and following </w:t>
      </w:r>
      <w:r w:rsidR="00BB4F45">
        <w:t>submission</w:t>
      </w:r>
      <w:r w:rsidR="00543AAE">
        <w:t xml:space="preserve"> of the PRA </w:t>
      </w:r>
      <w:r w:rsidR="00BB4F45">
        <w:t xml:space="preserve">package associated </w:t>
      </w:r>
      <w:r w:rsidR="00543AAE">
        <w:t>with the</w:t>
      </w:r>
      <w:r w:rsidRPr="00543AAE" w:rsidR="00543AAE">
        <w:t xml:space="preserve"> Federal Independent Dispute Resolution Operation final rule</w:t>
      </w:r>
      <w:r w:rsidR="00543AAE">
        <w:t xml:space="preserve"> </w:t>
      </w:r>
      <w:r w:rsidRPr="00483101">
        <w:t xml:space="preserve">the Centers for Medicare and Medicaid Services (CMS) </w:t>
      </w:r>
      <w:r w:rsidR="00543AAE">
        <w:t xml:space="preserve">has </w:t>
      </w:r>
      <w:r w:rsidRPr="00483101">
        <w:t xml:space="preserve">updated </w:t>
      </w:r>
      <w:r w:rsidR="00BB4F45">
        <w:t xml:space="preserve">the </w:t>
      </w:r>
      <w:r w:rsidRPr="00BB4F45" w:rsidR="00BB4F45">
        <w:t>Standard Notice and Consent</w:t>
      </w:r>
      <w:r w:rsidRPr="00483101" w:rsidR="00BB4F45">
        <w:t xml:space="preserve"> </w:t>
      </w:r>
      <w:r w:rsidRPr="00483101">
        <w:t>form</w:t>
      </w:r>
      <w:r w:rsidR="00767C45">
        <w:t xml:space="preserve"> – specifically, </w:t>
      </w:r>
      <w:r w:rsidR="00543AAE">
        <w:t>third bullet on page six</w:t>
      </w:r>
      <w:r w:rsidR="00767C45">
        <w:t xml:space="preserve"> – </w:t>
      </w:r>
      <w:r w:rsidR="00543AAE">
        <w:t xml:space="preserve">to </w:t>
      </w:r>
      <w:r w:rsidR="00BB4F45">
        <w:t xml:space="preserve">revise </w:t>
      </w:r>
      <w:r w:rsidR="00543AAE">
        <w:t xml:space="preserve">the </w:t>
      </w:r>
      <w:r w:rsidR="00BB4F45">
        <w:t>bracketed language</w:t>
      </w:r>
      <w:r>
        <w:t xml:space="preserve"> </w:t>
      </w:r>
      <w:r w:rsidR="00543AAE">
        <w:t>to read “</w:t>
      </w:r>
      <w:r w:rsidRPr="00543AAE" w:rsidR="00543AAE">
        <w:t xml:space="preserve">[enter </w:t>
      </w:r>
      <w:r w:rsidRPr="00D843C0" w:rsidR="00A02172">
        <w:rPr>
          <w:b/>
          <w:bCs/>
        </w:rPr>
        <w:t>time</w:t>
      </w:r>
      <w:r w:rsidR="00A02172">
        <w:rPr>
          <w:b/>
          <w:bCs/>
        </w:rPr>
        <w:t xml:space="preserve"> and</w:t>
      </w:r>
      <w:r w:rsidRPr="00543AAE" w:rsidR="00A02172">
        <w:t xml:space="preserve"> </w:t>
      </w:r>
      <w:r w:rsidRPr="00543AAE" w:rsidR="00543AAE">
        <w:t>date</w:t>
      </w:r>
      <w:r w:rsidRPr="00427067" w:rsidR="00543AAE">
        <w:rPr>
          <w:b/>
          <w:bCs/>
        </w:rPr>
        <w:t xml:space="preserve"> </w:t>
      </w:r>
      <w:r w:rsidRPr="00543AAE" w:rsidR="00543AAE">
        <w:t>of notice]</w:t>
      </w:r>
      <w:r>
        <w:t>.</w:t>
      </w:r>
      <w:r w:rsidR="00A6132C">
        <w:t>”</w:t>
      </w:r>
      <w:r w:rsidRPr="00543AAE" w:rsidR="00543AAE">
        <w:t xml:space="preserve"> </w:t>
      </w:r>
      <w:r w:rsidR="003305BF">
        <w:t xml:space="preserve">This change was made to comply with the requirement that the </w:t>
      </w:r>
      <w:r w:rsidRPr="003305BF" w:rsidR="003305BF">
        <w:t xml:space="preserve">consent </w:t>
      </w:r>
      <w:r w:rsidR="00D41BB4">
        <w:t xml:space="preserve">form </w:t>
      </w:r>
      <w:r w:rsidRPr="003305BF" w:rsidR="003305BF">
        <w:t xml:space="preserve">must document the </w:t>
      </w:r>
      <w:r w:rsidR="00427067">
        <w:t xml:space="preserve">time and </w:t>
      </w:r>
      <w:r w:rsidRPr="003305BF" w:rsidR="003305BF">
        <w:t>date</w:t>
      </w:r>
      <w:r>
        <w:t xml:space="preserve"> </w:t>
      </w:r>
      <w:r w:rsidRPr="003305BF" w:rsidR="003305BF">
        <w:t xml:space="preserve">on which the participant, beneficiary, or enrollee received the written notice </w:t>
      </w:r>
      <w:r w:rsidR="003305BF">
        <w:t>from</w:t>
      </w:r>
      <w:r w:rsidRPr="003305BF" w:rsidR="003305BF">
        <w:t xml:space="preserve"> the nonparticipating provider.</w:t>
      </w:r>
      <w:r w:rsidR="003305BF">
        <w:t xml:space="preserve"> </w:t>
      </w:r>
      <w:r w:rsidR="00BB4F45">
        <w:t xml:space="preserve">Without this change, CMS </w:t>
      </w:r>
      <w:r>
        <w:t xml:space="preserve">is unable to consistently </w:t>
      </w:r>
      <w:r w:rsidR="00BB4F45">
        <w:t xml:space="preserve">enforce the requirement to record both the </w:t>
      </w:r>
      <w:r w:rsidR="00142441">
        <w:t xml:space="preserve">time and </w:t>
      </w:r>
      <w:r w:rsidR="00BB4F45">
        <w:t xml:space="preserve">date when the notice was provided to the </w:t>
      </w:r>
      <w:r w:rsidRPr="00BB4F45" w:rsidR="00BB4F45">
        <w:t>participant, beneficiary, or enrollee</w:t>
      </w:r>
      <w:r w:rsidR="00BB4F45">
        <w:t>.</w:t>
      </w:r>
      <w:r>
        <w:t xml:space="preserve"> </w:t>
      </w:r>
      <w:r w:rsidR="00D41BB4">
        <w:t xml:space="preserve">In some instances, the time when the notice was received determines </w:t>
      </w:r>
      <w:r w:rsidR="00D41BB4">
        <w:t>whether or not</w:t>
      </w:r>
      <w:r w:rsidR="00D41BB4">
        <w:t xml:space="preserve"> the consent is valid. </w:t>
      </w:r>
      <w:r>
        <w:t xml:space="preserve">This omission has </w:t>
      </w:r>
      <w:r>
        <w:t>impacted</w:t>
      </w:r>
      <w:r>
        <w:t xml:space="preserve"> enforcement casework, as providers using the form </w:t>
      </w:r>
      <w:r>
        <w:t>have lacked</w:t>
      </w:r>
      <w:r>
        <w:t xml:space="preserve"> clear instruction to document the required time element.</w:t>
      </w:r>
      <w:r w:rsidR="00BB4F45">
        <w:t xml:space="preserve"> </w:t>
      </w:r>
    </w:p>
    <w:p w:rsidR="00515604" w:rsidP="00483101" w14:paraId="10564502" w14:textId="77777777"/>
    <w:p w:rsidR="00A64203" w:rsidRPr="00A64203" w:rsidP="00483101" w14:paraId="2428E534" w14:textId="040B566B">
      <w:r w:rsidRPr="00483101">
        <w:t>This non-substantive change request is to implement th</w:t>
      </w:r>
      <w:r w:rsidR="00543AAE">
        <w:t>is</w:t>
      </w:r>
      <w:r w:rsidRPr="00483101">
        <w:t xml:space="preserve"> minor </w:t>
      </w:r>
      <w:r w:rsidR="00515604">
        <w:t>correction</w:t>
      </w:r>
      <w:r w:rsidRPr="00483101">
        <w:t xml:space="preserve"> and replace the current </w:t>
      </w:r>
      <w:r w:rsidR="00543AAE">
        <w:t xml:space="preserve">Standard Notice and Consent </w:t>
      </w:r>
      <w:r w:rsidRPr="00483101">
        <w:t>form with the updated version. There are no other changes being made at this time</w:t>
      </w:r>
      <w:r w:rsidR="00515604">
        <w:t>,</w:t>
      </w:r>
      <w:r w:rsidRPr="00483101">
        <w:t xml:space="preserve"> and there are no program changes or burden adjustments. CMS is also requesting </w:t>
      </w:r>
      <w:r w:rsidR="00543AAE">
        <w:t xml:space="preserve">approval of this change in conjunction with the PRA </w:t>
      </w:r>
      <w:r w:rsidR="00BB4F45">
        <w:t xml:space="preserve">package </w:t>
      </w:r>
      <w:r w:rsidR="00543AAE">
        <w:t>currently awaiting OMB approval.</w:t>
      </w:r>
      <w:r w:rsidRPr="00483101">
        <w:t xml:space="preserve">  </w:t>
      </w:r>
    </w:p>
    <w:sectPr w:rsidSect="008F74B9">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JMABN O+ Courier New,">
    <w:altName w:val="Courier New"/>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60DB4" w:rsidP="00C91B1D" w14:paraId="68FA86B5" w14:textId="77777777">
      <w:r>
        <w:separator/>
      </w:r>
    </w:p>
  </w:footnote>
  <w:footnote w:type="continuationSeparator" w:id="1">
    <w:p w:rsidR="00460DB4" w:rsidP="00C91B1D" w14:paraId="4864C8A9" w14:textId="77777777">
      <w:r>
        <w:continuationSeparator/>
      </w:r>
    </w:p>
  </w:footnote>
  <w:footnote w:id="2">
    <w:p w:rsidR="000E05D2" w:rsidRPr="00B30259" w14:paraId="3AB5F026" w14:textId="3A2C4701">
      <w:pPr>
        <w:pStyle w:val="FootnoteText"/>
        <w:rPr>
          <w:rFonts w:ascii="Times New Roman" w:hAnsi="Times New Roman" w:cs="Times New Roman"/>
        </w:rPr>
      </w:pPr>
      <w:r w:rsidRPr="00B30259">
        <w:rPr>
          <w:rStyle w:val="FootnoteReference"/>
          <w:rFonts w:ascii="Times New Roman" w:hAnsi="Times New Roman" w:cs="Times New Roman"/>
        </w:rPr>
        <w:footnoteRef/>
      </w:r>
      <w:r w:rsidRPr="00B30259">
        <w:rPr>
          <w:rFonts w:ascii="Times New Roman" w:hAnsi="Times New Roman" w:cs="Times New Roman"/>
        </w:rPr>
        <w:t xml:space="preserve"> Pub. L. 116-260.</w:t>
      </w:r>
    </w:p>
  </w:footnote>
  <w:footnote w:id="3">
    <w:p w:rsidR="00F77BDB" w:rsidRPr="00B30259" w14:paraId="578E6326" w14:textId="22CE5D76">
      <w:pPr>
        <w:pStyle w:val="FootnoteText"/>
        <w:rPr>
          <w:rFonts w:ascii="Times New Roman" w:hAnsi="Times New Roman" w:cs="Times New Roman"/>
        </w:rPr>
      </w:pPr>
      <w:r w:rsidRPr="00B30259">
        <w:rPr>
          <w:rStyle w:val="FootnoteReference"/>
          <w:rFonts w:ascii="Times New Roman" w:hAnsi="Times New Roman" w:cs="Times New Roman"/>
        </w:rPr>
        <w:footnoteRef/>
      </w:r>
      <w:r w:rsidRPr="00B30259">
        <w:rPr>
          <w:rFonts w:ascii="Times New Roman" w:hAnsi="Times New Roman" w:cs="Times New Roman"/>
        </w:rPr>
        <w:t xml:space="preserve"> </w:t>
      </w:r>
      <w:r w:rsidRPr="00B30259" w:rsidR="003C6DEA">
        <w:rPr>
          <w:rFonts w:ascii="Times New Roman" w:hAnsi="Times New Roman" w:cs="Times New Roman"/>
        </w:rPr>
        <w:t>91 FR 33900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F56E6"/>
    <w:multiLevelType w:val="hybridMultilevel"/>
    <w:tmpl w:val="98D6B0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EC5242"/>
    <w:multiLevelType w:val="hybridMultilevel"/>
    <w:tmpl w:val="02B42E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8DB4177"/>
    <w:multiLevelType w:val="hybridMultilevel"/>
    <w:tmpl w:val="6082D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E366E92"/>
    <w:multiLevelType w:val="hybridMultilevel"/>
    <w:tmpl w:val="374CD6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9201F0F"/>
    <w:multiLevelType w:val="hybridMultilevel"/>
    <w:tmpl w:val="98D6B0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2CC3E0D"/>
    <w:multiLevelType w:val="hybridMultilevel"/>
    <w:tmpl w:val="73142E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65B3FDA"/>
    <w:multiLevelType w:val="hybridMultilevel"/>
    <w:tmpl w:val="98B4D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BB23226"/>
    <w:multiLevelType w:val="hybridMultilevel"/>
    <w:tmpl w:val="99C22E8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630"/>
        </w:tabs>
        <w:ind w:left="630" w:hanging="360"/>
      </w:pPr>
    </w:lvl>
    <w:lvl w:ilvl="2">
      <w:start w:val="1"/>
      <w:numFmt w:val="bullet"/>
      <w:lvlText w:val="o"/>
      <w:lvlJc w:val="left"/>
      <w:pPr>
        <w:tabs>
          <w:tab w:val="num" w:pos="1350"/>
        </w:tabs>
        <w:ind w:left="1350" w:hanging="360"/>
      </w:pPr>
      <w:rPr>
        <w:rFonts w:ascii="Courier New" w:hAnsi="Courier New" w:cs="Courier New" w:hint="default"/>
      </w:rPr>
    </w:lvl>
    <w:lvl w:ilvl="3">
      <w:start w:val="1"/>
      <w:numFmt w:val="bullet"/>
      <w:lvlText w:val=""/>
      <w:lvlJc w:val="left"/>
      <w:pPr>
        <w:tabs>
          <w:tab w:val="num" w:pos="2070"/>
        </w:tabs>
        <w:ind w:left="2070" w:hanging="360"/>
      </w:pPr>
      <w:rPr>
        <w:rFonts w:ascii="Wingdings" w:hAnsi="Wingdings" w:hint="default"/>
      </w:rPr>
    </w:lvl>
    <w:lvl w:ilvl="4" w:tentative="1">
      <w:start w:val="1"/>
      <w:numFmt w:val="decimal"/>
      <w:lvlText w:val="%5."/>
      <w:lvlJc w:val="left"/>
      <w:pPr>
        <w:tabs>
          <w:tab w:val="num" w:pos="2790"/>
        </w:tabs>
        <w:ind w:left="2790" w:hanging="360"/>
      </w:pPr>
    </w:lvl>
    <w:lvl w:ilvl="5" w:tentative="1">
      <w:start w:val="1"/>
      <w:numFmt w:val="decimal"/>
      <w:lvlText w:val="%6."/>
      <w:lvlJc w:val="left"/>
      <w:pPr>
        <w:tabs>
          <w:tab w:val="num" w:pos="3510"/>
        </w:tabs>
        <w:ind w:left="3510" w:hanging="360"/>
      </w:pPr>
    </w:lvl>
    <w:lvl w:ilvl="6" w:tentative="1">
      <w:start w:val="1"/>
      <w:numFmt w:val="decimal"/>
      <w:lvlText w:val="%7."/>
      <w:lvlJc w:val="left"/>
      <w:pPr>
        <w:tabs>
          <w:tab w:val="num" w:pos="4230"/>
        </w:tabs>
        <w:ind w:left="4230" w:hanging="360"/>
      </w:pPr>
    </w:lvl>
    <w:lvl w:ilvl="7" w:tentative="1">
      <w:start w:val="1"/>
      <w:numFmt w:val="decimal"/>
      <w:lvlText w:val="%8."/>
      <w:lvlJc w:val="left"/>
      <w:pPr>
        <w:tabs>
          <w:tab w:val="num" w:pos="4950"/>
        </w:tabs>
        <w:ind w:left="4950" w:hanging="360"/>
      </w:pPr>
    </w:lvl>
    <w:lvl w:ilvl="8" w:tentative="1">
      <w:start w:val="1"/>
      <w:numFmt w:val="decimal"/>
      <w:lvlText w:val="%9."/>
      <w:lvlJc w:val="left"/>
      <w:pPr>
        <w:tabs>
          <w:tab w:val="num" w:pos="5670"/>
        </w:tabs>
        <w:ind w:left="5670" w:hanging="360"/>
      </w:pPr>
    </w:lvl>
  </w:abstractNum>
  <w:num w:numId="1" w16cid:durableId="307438261">
    <w:abstractNumId w:val="3"/>
  </w:num>
  <w:num w:numId="2" w16cid:durableId="11172873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6302510">
    <w:abstractNumId w:val="5"/>
  </w:num>
  <w:num w:numId="4" w16cid:durableId="1724867548">
    <w:abstractNumId w:val="2"/>
  </w:num>
  <w:num w:numId="5" w16cid:durableId="1452358115">
    <w:abstractNumId w:val="0"/>
  </w:num>
  <w:num w:numId="6" w16cid:durableId="1116947077">
    <w:abstractNumId w:val="4"/>
  </w:num>
  <w:num w:numId="7" w16cid:durableId="521208962">
    <w:abstractNumId w:val="1"/>
  </w:num>
  <w:num w:numId="8" w16cid:durableId="658387474">
    <w:abstractNumId w:val="6"/>
  </w:num>
  <w:num w:numId="9" w16cid:durableId="1298075006">
    <w:abstractNumId w:val="7"/>
  </w:num>
  <w:num w:numId="10" w16cid:durableId="13973601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0061D"/>
    <w:rsid w:val="000071AB"/>
    <w:rsid w:val="00047392"/>
    <w:rsid w:val="00053E66"/>
    <w:rsid w:val="000544B6"/>
    <w:rsid w:val="0005680D"/>
    <w:rsid w:val="00075057"/>
    <w:rsid w:val="00080909"/>
    <w:rsid w:val="000902DF"/>
    <w:rsid w:val="000966A8"/>
    <w:rsid w:val="000A3E4D"/>
    <w:rsid w:val="000B17F6"/>
    <w:rsid w:val="000C5AFD"/>
    <w:rsid w:val="000D4E1A"/>
    <w:rsid w:val="000E05D2"/>
    <w:rsid w:val="000E540A"/>
    <w:rsid w:val="000E6329"/>
    <w:rsid w:val="000E7EFA"/>
    <w:rsid w:val="000F1B98"/>
    <w:rsid w:val="00101FB2"/>
    <w:rsid w:val="00110FDD"/>
    <w:rsid w:val="00116024"/>
    <w:rsid w:val="00135A60"/>
    <w:rsid w:val="00141E17"/>
    <w:rsid w:val="00142441"/>
    <w:rsid w:val="001779F1"/>
    <w:rsid w:val="0018117E"/>
    <w:rsid w:val="00183A20"/>
    <w:rsid w:val="00183AF6"/>
    <w:rsid w:val="001B1A0D"/>
    <w:rsid w:val="002016DF"/>
    <w:rsid w:val="00201D4A"/>
    <w:rsid w:val="00237869"/>
    <w:rsid w:val="00251536"/>
    <w:rsid w:val="00252192"/>
    <w:rsid w:val="002605CF"/>
    <w:rsid w:val="00277E76"/>
    <w:rsid w:val="002A5C6B"/>
    <w:rsid w:val="002B5D4C"/>
    <w:rsid w:val="002C338B"/>
    <w:rsid w:val="002C3567"/>
    <w:rsid w:val="002E4435"/>
    <w:rsid w:val="003050F4"/>
    <w:rsid w:val="003305BF"/>
    <w:rsid w:val="00335C63"/>
    <w:rsid w:val="003A028D"/>
    <w:rsid w:val="003A3BB8"/>
    <w:rsid w:val="003B279D"/>
    <w:rsid w:val="003B4A30"/>
    <w:rsid w:val="003C6DEA"/>
    <w:rsid w:val="003D66DB"/>
    <w:rsid w:val="003F44A4"/>
    <w:rsid w:val="003F6D98"/>
    <w:rsid w:val="00400F25"/>
    <w:rsid w:val="00416667"/>
    <w:rsid w:val="00416E1B"/>
    <w:rsid w:val="004235C1"/>
    <w:rsid w:val="00427067"/>
    <w:rsid w:val="00444A42"/>
    <w:rsid w:val="00445459"/>
    <w:rsid w:val="00450DFB"/>
    <w:rsid w:val="00460DB4"/>
    <w:rsid w:val="00462BAB"/>
    <w:rsid w:val="00466A80"/>
    <w:rsid w:val="00470335"/>
    <w:rsid w:val="004742D9"/>
    <w:rsid w:val="00476BD0"/>
    <w:rsid w:val="00476FDE"/>
    <w:rsid w:val="00483101"/>
    <w:rsid w:val="004874ED"/>
    <w:rsid w:val="004A36CF"/>
    <w:rsid w:val="004B116C"/>
    <w:rsid w:val="004C14EF"/>
    <w:rsid w:val="004C6ADE"/>
    <w:rsid w:val="004D485D"/>
    <w:rsid w:val="004F2D1B"/>
    <w:rsid w:val="005024D0"/>
    <w:rsid w:val="00505D10"/>
    <w:rsid w:val="005110DF"/>
    <w:rsid w:val="00515604"/>
    <w:rsid w:val="0053229D"/>
    <w:rsid w:val="00543AAE"/>
    <w:rsid w:val="00552962"/>
    <w:rsid w:val="00553AC0"/>
    <w:rsid w:val="00556035"/>
    <w:rsid w:val="005608FF"/>
    <w:rsid w:val="005678F7"/>
    <w:rsid w:val="005858B3"/>
    <w:rsid w:val="00594597"/>
    <w:rsid w:val="005B315D"/>
    <w:rsid w:val="005B6D16"/>
    <w:rsid w:val="005C60C2"/>
    <w:rsid w:val="005C7BDF"/>
    <w:rsid w:val="005D1444"/>
    <w:rsid w:val="005E07FA"/>
    <w:rsid w:val="005E10D5"/>
    <w:rsid w:val="005E246C"/>
    <w:rsid w:val="00610A56"/>
    <w:rsid w:val="00620609"/>
    <w:rsid w:val="00623986"/>
    <w:rsid w:val="00636ECD"/>
    <w:rsid w:val="00644844"/>
    <w:rsid w:val="00651482"/>
    <w:rsid w:val="006558C9"/>
    <w:rsid w:val="00681AC8"/>
    <w:rsid w:val="00696C0E"/>
    <w:rsid w:val="006A2A23"/>
    <w:rsid w:val="006A755C"/>
    <w:rsid w:val="006B6AF3"/>
    <w:rsid w:val="007077A1"/>
    <w:rsid w:val="00711339"/>
    <w:rsid w:val="00730683"/>
    <w:rsid w:val="00731214"/>
    <w:rsid w:val="007318C9"/>
    <w:rsid w:val="00750DE9"/>
    <w:rsid w:val="00767C45"/>
    <w:rsid w:val="00775B45"/>
    <w:rsid w:val="00784D4A"/>
    <w:rsid w:val="00791E68"/>
    <w:rsid w:val="00792E21"/>
    <w:rsid w:val="00793D75"/>
    <w:rsid w:val="007B6F00"/>
    <w:rsid w:val="007D30CE"/>
    <w:rsid w:val="007E2F23"/>
    <w:rsid w:val="007F1BC2"/>
    <w:rsid w:val="00801C36"/>
    <w:rsid w:val="00831674"/>
    <w:rsid w:val="00842702"/>
    <w:rsid w:val="00852C8D"/>
    <w:rsid w:val="00866FC5"/>
    <w:rsid w:val="00871771"/>
    <w:rsid w:val="0087217E"/>
    <w:rsid w:val="008928D3"/>
    <w:rsid w:val="00896C16"/>
    <w:rsid w:val="008A0B31"/>
    <w:rsid w:val="008A2AEC"/>
    <w:rsid w:val="008E25BE"/>
    <w:rsid w:val="008E2CDA"/>
    <w:rsid w:val="008F1201"/>
    <w:rsid w:val="008F1967"/>
    <w:rsid w:val="008F74B9"/>
    <w:rsid w:val="00901FB1"/>
    <w:rsid w:val="00912B16"/>
    <w:rsid w:val="009270AC"/>
    <w:rsid w:val="00951F29"/>
    <w:rsid w:val="00955AB5"/>
    <w:rsid w:val="009670A3"/>
    <w:rsid w:val="009759BB"/>
    <w:rsid w:val="00995018"/>
    <w:rsid w:val="009A34BC"/>
    <w:rsid w:val="009A77B1"/>
    <w:rsid w:val="009C500E"/>
    <w:rsid w:val="009D1EC0"/>
    <w:rsid w:val="009E5C41"/>
    <w:rsid w:val="00A02172"/>
    <w:rsid w:val="00A23BC5"/>
    <w:rsid w:val="00A31206"/>
    <w:rsid w:val="00A31FEE"/>
    <w:rsid w:val="00A32571"/>
    <w:rsid w:val="00A3295D"/>
    <w:rsid w:val="00A44387"/>
    <w:rsid w:val="00A50BA4"/>
    <w:rsid w:val="00A53017"/>
    <w:rsid w:val="00A5359D"/>
    <w:rsid w:val="00A5710B"/>
    <w:rsid w:val="00A6132C"/>
    <w:rsid w:val="00A64203"/>
    <w:rsid w:val="00A700E7"/>
    <w:rsid w:val="00A90B63"/>
    <w:rsid w:val="00AA3A3C"/>
    <w:rsid w:val="00AB179D"/>
    <w:rsid w:val="00AB4D59"/>
    <w:rsid w:val="00AB627B"/>
    <w:rsid w:val="00AC04FB"/>
    <w:rsid w:val="00AC0CDD"/>
    <w:rsid w:val="00AC0ECD"/>
    <w:rsid w:val="00AC72BB"/>
    <w:rsid w:val="00AE70E0"/>
    <w:rsid w:val="00B237B7"/>
    <w:rsid w:val="00B30259"/>
    <w:rsid w:val="00B54B5B"/>
    <w:rsid w:val="00B70695"/>
    <w:rsid w:val="00B95652"/>
    <w:rsid w:val="00BA4433"/>
    <w:rsid w:val="00BB4F45"/>
    <w:rsid w:val="00BB6348"/>
    <w:rsid w:val="00BC2734"/>
    <w:rsid w:val="00BC6DE8"/>
    <w:rsid w:val="00BC7DE9"/>
    <w:rsid w:val="00BF0AA7"/>
    <w:rsid w:val="00BF5D57"/>
    <w:rsid w:val="00C02C8F"/>
    <w:rsid w:val="00C02EAC"/>
    <w:rsid w:val="00C13A48"/>
    <w:rsid w:val="00C23F07"/>
    <w:rsid w:val="00C47D10"/>
    <w:rsid w:val="00C91B1D"/>
    <w:rsid w:val="00CA376A"/>
    <w:rsid w:val="00CC6513"/>
    <w:rsid w:val="00CC7A4E"/>
    <w:rsid w:val="00CD08DE"/>
    <w:rsid w:val="00CD2E09"/>
    <w:rsid w:val="00CD6A2A"/>
    <w:rsid w:val="00CE4DFE"/>
    <w:rsid w:val="00D04473"/>
    <w:rsid w:val="00D257EA"/>
    <w:rsid w:val="00D269ED"/>
    <w:rsid w:val="00D33EC9"/>
    <w:rsid w:val="00D41BB4"/>
    <w:rsid w:val="00D6798D"/>
    <w:rsid w:val="00D73A90"/>
    <w:rsid w:val="00D83AF7"/>
    <w:rsid w:val="00D843C0"/>
    <w:rsid w:val="00D861DF"/>
    <w:rsid w:val="00DA1EDD"/>
    <w:rsid w:val="00DA40B6"/>
    <w:rsid w:val="00DB1853"/>
    <w:rsid w:val="00DB554E"/>
    <w:rsid w:val="00DB640D"/>
    <w:rsid w:val="00DD5306"/>
    <w:rsid w:val="00DE3201"/>
    <w:rsid w:val="00DF7525"/>
    <w:rsid w:val="00E1128A"/>
    <w:rsid w:val="00E17EB3"/>
    <w:rsid w:val="00E32A5E"/>
    <w:rsid w:val="00E37ED3"/>
    <w:rsid w:val="00E5216A"/>
    <w:rsid w:val="00E525D4"/>
    <w:rsid w:val="00E570FE"/>
    <w:rsid w:val="00E60251"/>
    <w:rsid w:val="00E631EF"/>
    <w:rsid w:val="00E674F3"/>
    <w:rsid w:val="00E76482"/>
    <w:rsid w:val="00E83275"/>
    <w:rsid w:val="00EC19EC"/>
    <w:rsid w:val="00ED7EDE"/>
    <w:rsid w:val="00EE3381"/>
    <w:rsid w:val="00EE3B29"/>
    <w:rsid w:val="00F13BCC"/>
    <w:rsid w:val="00F25529"/>
    <w:rsid w:val="00F65F15"/>
    <w:rsid w:val="00F77BDB"/>
    <w:rsid w:val="00F9331C"/>
    <w:rsid w:val="00FA0959"/>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FootnoteText">
    <w:name w:val="footnote text"/>
    <w:basedOn w:val="Normal"/>
    <w:link w:val="FootnoteTextChar"/>
    <w:uiPriority w:val="99"/>
    <w:semiHidden/>
    <w:unhideWhenUsed/>
    <w:rsid w:val="00784D4A"/>
    <w:pPr>
      <w:widowControl/>
      <w:suppressAutoHyphens w:val="0"/>
      <w:spacing w:after="200" w:line="276" w:lineRule="auto"/>
    </w:pPr>
    <w:rPr>
      <w:rFonts w:asciiTheme="minorHAnsi" w:eastAsiaTheme="minorEastAsia" w:hAnsiTheme="minorHAnsi" w:cstheme="minorBidi"/>
      <w:kern w:val="0"/>
      <w:sz w:val="20"/>
      <w:szCs w:val="20"/>
    </w:rPr>
  </w:style>
  <w:style w:type="character" w:customStyle="1" w:styleId="FootnoteTextChar">
    <w:name w:val="Footnote Text Char"/>
    <w:basedOn w:val="DefaultParagraphFont"/>
    <w:link w:val="FootnoteText"/>
    <w:uiPriority w:val="99"/>
    <w:semiHidden/>
    <w:rsid w:val="00784D4A"/>
    <w:rPr>
      <w:rFonts w:eastAsiaTheme="minorEastAsia"/>
      <w:sz w:val="20"/>
      <w:szCs w:val="20"/>
    </w:rPr>
  </w:style>
  <w:style w:type="paragraph" w:customStyle="1" w:styleId="CM19">
    <w:name w:val="CM19"/>
    <w:basedOn w:val="Normal"/>
    <w:next w:val="Normal"/>
    <w:uiPriority w:val="99"/>
    <w:rsid w:val="00784D4A"/>
    <w:pPr>
      <w:suppressAutoHyphens w:val="0"/>
      <w:autoSpaceDE w:val="0"/>
      <w:autoSpaceDN w:val="0"/>
      <w:adjustRightInd w:val="0"/>
    </w:pPr>
    <w:rPr>
      <w:rFonts w:ascii="JMABN O+ Courier New," w:hAnsi="JMABN O+ Courier New," w:eastAsiaTheme="minorEastAsia" w:cstheme="minorBidi"/>
      <w:kern w:val="0"/>
    </w:rPr>
  </w:style>
  <w:style w:type="character" w:styleId="FootnoteReference">
    <w:name w:val="footnote reference"/>
    <w:basedOn w:val="DefaultParagraphFont"/>
    <w:uiPriority w:val="99"/>
    <w:semiHidden/>
    <w:unhideWhenUsed/>
    <w:rsid w:val="00784D4A"/>
    <w:rPr>
      <w:vertAlign w:val="superscript"/>
    </w:rPr>
  </w:style>
  <w:style w:type="paragraph" w:customStyle="1" w:styleId="CM15">
    <w:name w:val="CM15"/>
    <w:basedOn w:val="Normal"/>
    <w:next w:val="Normal"/>
    <w:uiPriority w:val="99"/>
    <w:rsid w:val="000071AB"/>
    <w:pPr>
      <w:suppressAutoHyphens w:val="0"/>
      <w:autoSpaceDE w:val="0"/>
      <w:autoSpaceDN w:val="0"/>
      <w:adjustRightInd w:val="0"/>
    </w:pPr>
    <w:rPr>
      <w:rFonts w:ascii="JMABN O+ Courier New," w:hAnsi="JMABN O+ Courier New," w:eastAsiaTheme="minorEastAsia" w:cstheme="minorBidi"/>
      <w:kern w:val="0"/>
    </w:rPr>
  </w:style>
  <w:style w:type="paragraph" w:styleId="ListParagraph">
    <w:name w:val="List Paragraph"/>
    <w:basedOn w:val="Normal"/>
    <w:uiPriority w:val="34"/>
    <w:qFormat/>
    <w:rsid w:val="00556035"/>
    <w:pPr>
      <w:ind w:left="720"/>
      <w:contextualSpacing/>
    </w:pPr>
  </w:style>
  <w:style w:type="paragraph" w:customStyle="1" w:styleId="Default">
    <w:name w:val="Default"/>
    <w:rsid w:val="00A64203"/>
    <w:pPr>
      <w:widowControl w:val="0"/>
      <w:autoSpaceDE w:val="0"/>
      <w:autoSpaceDN w:val="0"/>
      <w:adjustRightInd w:val="0"/>
      <w:spacing w:after="0" w:line="240" w:lineRule="auto"/>
    </w:pPr>
    <w:rPr>
      <w:rFonts w:ascii="JMABN O+ Courier New," w:hAnsi="JMABN O+ Courier New," w:eastAsiaTheme="minorEastAsia" w:cs="JMABN O+ Courier New,"/>
      <w:color w:val="000000"/>
      <w:sz w:val="24"/>
      <w:szCs w:val="24"/>
    </w:rPr>
  </w:style>
  <w:style w:type="paragraph" w:styleId="BodyText">
    <w:name w:val="Body Text"/>
    <w:basedOn w:val="Normal"/>
    <w:link w:val="BodyTextChar1"/>
    <w:unhideWhenUsed/>
    <w:rsid w:val="00C91B1D"/>
    <w:pPr>
      <w:widowControl/>
      <w:suppressAutoHyphens w:val="0"/>
      <w:spacing w:after="240"/>
    </w:pPr>
    <w:rPr>
      <w:rFonts w:eastAsia="Times New Roman"/>
      <w:kern w:val="0"/>
      <w:szCs w:val="20"/>
    </w:rPr>
  </w:style>
  <w:style w:type="character" w:customStyle="1" w:styleId="BodyTextChar">
    <w:name w:val="Body Text Char"/>
    <w:basedOn w:val="DefaultParagraphFont"/>
    <w:uiPriority w:val="99"/>
    <w:semiHidden/>
    <w:rsid w:val="00C91B1D"/>
    <w:rPr>
      <w:rFonts w:ascii="Times New Roman" w:eastAsia="Tahoma" w:hAnsi="Times New Roman" w:cs="Times New Roman"/>
      <w:kern w:val="1"/>
      <w:sz w:val="24"/>
      <w:szCs w:val="24"/>
    </w:rPr>
  </w:style>
  <w:style w:type="character" w:customStyle="1" w:styleId="BodyTextChar1">
    <w:name w:val="Body Text Char1"/>
    <w:basedOn w:val="DefaultParagraphFont"/>
    <w:link w:val="BodyText"/>
    <w:locked/>
    <w:rsid w:val="00C91B1D"/>
    <w:rPr>
      <w:rFonts w:ascii="Times New Roman" w:eastAsia="Times New Roman" w:hAnsi="Times New Roman" w:cs="Times New Roman"/>
      <w:sz w:val="24"/>
      <w:szCs w:val="20"/>
    </w:rPr>
  </w:style>
  <w:style w:type="character" w:customStyle="1" w:styleId="markedcontent">
    <w:name w:val="markedcontent"/>
    <w:basedOn w:val="DefaultParagraphFont"/>
    <w:rsid w:val="009670A3"/>
  </w:style>
  <w:style w:type="paragraph" w:styleId="Revision">
    <w:name w:val="Revision"/>
    <w:hidden/>
    <w:uiPriority w:val="99"/>
    <w:semiHidden/>
    <w:rsid w:val="00793D75"/>
    <w:pPr>
      <w:spacing w:after="0" w:line="240" w:lineRule="auto"/>
    </w:pPr>
    <w:rPr>
      <w:rFonts w:ascii="Times New Roman" w:eastAsia="Tahoma" w:hAnsi="Times New Roman" w:cs="Times New Roman"/>
      <w:kern w:val="1"/>
      <w:sz w:val="24"/>
      <w:szCs w:val="24"/>
    </w:rPr>
  </w:style>
  <w:style w:type="character" w:styleId="Mention">
    <w:name w:val="Mention"/>
    <w:basedOn w:val="DefaultParagraphFont"/>
    <w:uiPriority w:val="99"/>
    <w:unhideWhenUsed/>
    <w:rsid w:val="00DB640D"/>
    <w:rPr>
      <w:color w:val="2B579A"/>
      <w:shd w:val="clear" w:color="auto" w:fill="E1DFDD"/>
    </w:rPr>
  </w:style>
  <w:style w:type="paragraph" w:styleId="Header">
    <w:name w:val="header"/>
    <w:basedOn w:val="Normal"/>
    <w:link w:val="HeaderChar"/>
    <w:uiPriority w:val="99"/>
    <w:semiHidden/>
    <w:unhideWhenUsed/>
    <w:rsid w:val="002B5D4C"/>
    <w:pPr>
      <w:tabs>
        <w:tab w:val="center" w:pos="4680"/>
        <w:tab w:val="right" w:pos="9360"/>
      </w:tabs>
    </w:pPr>
  </w:style>
  <w:style w:type="character" w:customStyle="1" w:styleId="HeaderChar">
    <w:name w:val="Header Char"/>
    <w:basedOn w:val="DefaultParagraphFont"/>
    <w:link w:val="Header"/>
    <w:uiPriority w:val="99"/>
    <w:semiHidden/>
    <w:rsid w:val="002B5D4C"/>
    <w:rPr>
      <w:rFonts w:ascii="Times New Roman" w:eastAsia="Tahoma" w:hAnsi="Times New Roman" w:cs="Times New Roman"/>
      <w:kern w:val="1"/>
      <w:sz w:val="24"/>
      <w:szCs w:val="24"/>
    </w:rPr>
  </w:style>
  <w:style w:type="paragraph" w:styleId="Footer">
    <w:name w:val="footer"/>
    <w:basedOn w:val="Normal"/>
    <w:link w:val="FooterChar"/>
    <w:uiPriority w:val="99"/>
    <w:semiHidden/>
    <w:unhideWhenUsed/>
    <w:rsid w:val="002B5D4C"/>
    <w:pPr>
      <w:tabs>
        <w:tab w:val="center" w:pos="4680"/>
        <w:tab w:val="right" w:pos="9360"/>
      </w:tabs>
    </w:pPr>
  </w:style>
  <w:style w:type="character" w:customStyle="1" w:styleId="FooterChar">
    <w:name w:val="Footer Char"/>
    <w:basedOn w:val="DefaultParagraphFont"/>
    <w:link w:val="Footer"/>
    <w:uiPriority w:val="99"/>
    <w:semiHidden/>
    <w:rsid w:val="002B5D4C"/>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3D3D3D"/>
      </a:dk1>
      <a:lt1>
        <a:sysClr val="window" lastClr="FFFAE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15D42AD4747E499312BD59D0F1409A" ma:contentTypeVersion="3" ma:contentTypeDescription="Create a new document." ma:contentTypeScope="" ma:versionID="7f3e6eb4ecb80727f7de04f0409ef2d1">
  <xsd:schema xmlns:xsd="http://www.w3.org/2001/XMLSchema" xmlns:xs="http://www.w3.org/2001/XMLSchema" xmlns:p="http://schemas.microsoft.com/office/2006/metadata/properties" xmlns:ns2="8fb5fc7d-4133-497f-a3de-bd71b2a4ea9e" targetNamespace="http://schemas.microsoft.com/office/2006/metadata/properties" ma:root="true" ma:fieldsID="1986fd41d588018b7c6094d2e09be06f" ns2:_="">
    <xsd:import namespace="8fb5fc7d-4133-497f-a3de-bd71b2a4ea9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b5fc7d-4133-497f-a3de-bd71b2a4ea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94982-8C77-4EF7-A55E-75B0EEBACEA1}">
  <ds:schemaRefs>
    <ds:schemaRef ds:uri="http://schemas.openxmlformats.org/officeDocument/2006/bibliography"/>
  </ds:schemaRefs>
</ds:datastoreItem>
</file>

<file path=customXml/itemProps2.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E1368E-276D-4E9D-AEDC-1F76DDE3A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b5fc7d-4133-497f-a3de-bd71b2a4e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743</Words>
  <Characters>4262</Characters>
  <Application>Microsoft Office Word</Application>
  <DocSecurity>0</DocSecurity>
  <Lines>77</Lines>
  <Paragraphs>20</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Hill, Jamaa (CMS/OSORA)</cp:lastModifiedBy>
  <cp:revision>2</cp:revision>
  <cp:lastPrinted>2023-03-13T20:36:00Z</cp:lastPrinted>
  <dcterms:created xsi:type="dcterms:W3CDTF">2026-08-17T17:06:00Z</dcterms:created>
  <dcterms:modified xsi:type="dcterms:W3CDTF">2026-08-17T17:06:00Z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0x0101005E15D42AD4747E499312BD59D0F1409A</vt:lpwstr>
  </property>
</Properties>
</file>