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60621" w:rsidRPr="00160621" w:rsidP="00160621" w14:paraId="670B57C7" w14:textId="0BD0E4A4">
      <w:pPr>
        <w:pStyle w:val="ReportCover-Title"/>
        <w:jc w:val="center"/>
        <w:rPr>
          <w:rFonts w:ascii="Arial" w:hAnsi="Arial" w:cs="Arial"/>
          <w:color w:val="auto"/>
        </w:rPr>
      </w:pPr>
      <w:r w:rsidRPr="004F7B95">
        <w:rPr>
          <w:rFonts w:ascii="Times New Roman" w:hAnsi="Times New Roman"/>
          <w:sz w:val="24"/>
          <w:szCs w:val="24"/>
        </w:rPr>
        <w:tab/>
      </w:r>
      <w:r w:rsidR="00C048E6">
        <w:rPr>
          <w:rFonts w:ascii="Arial" w:eastAsia="Arial Unicode MS" w:hAnsi="Arial" w:cs="Arial"/>
          <w:noProof/>
          <w:color w:val="auto"/>
        </w:rPr>
        <w:t>T</w:t>
      </w:r>
      <w:r w:rsidR="001C1502">
        <w:rPr>
          <w:rFonts w:ascii="Arial" w:eastAsia="Arial Unicode MS" w:hAnsi="Arial" w:cs="Arial"/>
          <w:noProof/>
          <w:color w:val="auto"/>
        </w:rPr>
        <w:t>emporary Assistance for Needy Families (T</w:t>
      </w:r>
      <w:r w:rsidR="00C048E6">
        <w:rPr>
          <w:rFonts w:ascii="Arial" w:eastAsia="Arial Unicode MS" w:hAnsi="Arial" w:cs="Arial"/>
          <w:noProof/>
          <w:color w:val="auto"/>
        </w:rPr>
        <w:t>ANF</w:t>
      </w:r>
      <w:r w:rsidR="001C1502">
        <w:rPr>
          <w:rFonts w:ascii="Arial" w:eastAsia="Arial Unicode MS" w:hAnsi="Arial" w:cs="Arial"/>
          <w:noProof/>
          <w:color w:val="auto"/>
        </w:rPr>
        <w:t>)</w:t>
      </w:r>
      <w:r w:rsidR="00C048E6">
        <w:rPr>
          <w:rFonts w:ascii="Arial" w:eastAsia="Arial Unicode MS" w:hAnsi="Arial" w:cs="Arial"/>
          <w:noProof/>
          <w:color w:val="auto"/>
        </w:rPr>
        <w:t xml:space="preserve"> Contingency Fund Application</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67E01FEC">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C048E6">
        <w:rPr>
          <w:rFonts w:ascii="Arial" w:hAnsi="Arial" w:cs="Arial"/>
          <w:color w:val="auto"/>
          <w:sz w:val="32"/>
          <w:szCs w:val="32"/>
        </w:rPr>
        <w:t>NEW</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4E1603C2">
      <w:pPr>
        <w:pStyle w:val="ReportCover-Date"/>
        <w:jc w:val="center"/>
        <w:rPr>
          <w:rFonts w:ascii="Arial" w:hAnsi="Arial" w:cs="Arial"/>
          <w:color w:val="auto"/>
        </w:rPr>
      </w:pPr>
      <w:r>
        <w:rPr>
          <w:rFonts w:ascii="Arial" w:hAnsi="Arial" w:cs="Arial"/>
          <w:color w:val="auto"/>
        </w:rPr>
        <w:t>August</w:t>
      </w:r>
      <w:r w:rsidRPr="7B0E0B3A">
        <w:rPr>
          <w:rFonts w:ascii="Arial" w:hAnsi="Arial" w:cs="Arial"/>
          <w:color w:val="auto"/>
        </w:rPr>
        <w:t xml:space="preserve"> </w:t>
      </w:r>
      <w:r>
        <w:rPr>
          <w:rFonts w:ascii="Arial" w:hAnsi="Arial" w:cs="Arial"/>
          <w:color w:val="auto"/>
        </w:rPr>
        <w:t>2026</w:t>
      </w:r>
    </w:p>
    <w:p w:rsidR="00160621" w:rsidP="7B0E0B3A" w14:paraId="753A1E04" w14:textId="6F2E45E2">
      <w:pPr>
        <w:jc w:val="center"/>
        <w:rPr>
          <w:rFonts w:ascii="Arial" w:hAnsi="Arial" w:cs="Arial"/>
          <w:b/>
          <w:bCs/>
          <w:sz w:val="32"/>
          <w:szCs w:val="32"/>
        </w:rPr>
      </w:pPr>
      <w:r w:rsidRPr="7B0E0B3A">
        <w:rPr>
          <w:rFonts w:ascii="Arial" w:hAnsi="Arial" w:cs="Arial"/>
          <w:b/>
          <w:bCs/>
          <w:sz w:val="32"/>
          <w:szCs w:val="32"/>
        </w:rPr>
        <w:t xml:space="preserve">Type of Request: </w:t>
      </w:r>
      <w:r w:rsidRPr="7B0E0B3A">
        <w:rPr>
          <w:rFonts w:ascii="Arial" w:hAnsi="Arial" w:cs="Arial"/>
          <w:sz w:val="32"/>
          <w:szCs w:val="32"/>
        </w:rPr>
        <w:t>New</w:t>
      </w:r>
      <w:r w:rsidRPr="7B0E0B3A" w:rsidR="00334809">
        <w:rPr>
          <w:rFonts w:ascii="Arial" w:hAnsi="Arial" w:cs="Arial"/>
          <w:sz w:val="32"/>
          <w:szCs w:val="32"/>
        </w:rPr>
        <w:t xml:space="preserve"> </w:t>
      </w: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5D3BD6A7">
      <w:pPr>
        <w:jc w:val="center"/>
        <w:rPr>
          <w:rFonts w:ascii="Arial" w:hAnsi="Arial" w:cs="Arial"/>
        </w:rPr>
      </w:pPr>
      <w:r>
        <w:rPr>
          <w:rFonts w:ascii="Arial" w:hAnsi="Arial" w:cs="Arial"/>
        </w:rPr>
        <w:t>Office</w:t>
      </w:r>
      <w:r w:rsidR="00334809">
        <w:rPr>
          <w:rFonts w:ascii="Arial" w:hAnsi="Arial" w:cs="Arial"/>
        </w:rPr>
        <w:t xml:space="preserve"> of Family Assistance</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010B1ADF" w14:textId="70831F95">
      <w:pPr>
        <w:widowControl/>
        <w:ind w:left="360" w:hanging="360"/>
        <w:jc w:val="center"/>
        <w:rPr>
          <w:rFonts w:ascii="Arial" w:hAnsi="Arial" w:cs="Arial"/>
        </w:rPr>
      </w:pPr>
    </w:p>
    <w:p w:rsidR="00946238" w:rsidP="00160621" w14:paraId="44ACAB09" w14:textId="77777777">
      <w:pPr>
        <w:widowControl/>
        <w:ind w:left="360" w:hanging="360"/>
        <w:jc w:val="center"/>
        <w:rPr>
          <w:rFonts w:ascii="Times New Roman" w:hAnsi="Times New Roman"/>
          <w:snapToGrid/>
          <w:sz w:val="24"/>
          <w:szCs w:val="24"/>
        </w:rPr>
      </w:pPr>
    </w:p>
    <w:p w:rsidR="00CE6182" w:rsidP="008E5B55" w14:paraId="3C29E980" w14:textId="77777777">
      <w:pPr>
        <w:widowControl/>
        <w:rPr>
          <w:rFonts w:ascii="Times New Roman" w:hAnsi="Times New Roman"/>
          <w:snapToGrid/>
          <w:sz w:val="24"/>
          <w:szCs w:val="24"/>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8745D6" w:rsidP="00D7443D" w14:paraId="0B0D4C51" w14:textId="2BEDAB27">
      <w:pPr>
        <w:widowControl/>
        <w:tabs>
          <w:tab w:val="num" w:pos="360"/>
        </w:tabs>
        <w:ind w:left="360"/>
        <w:rPr>
          <w:rFonts w:ascii="Times New Roman" w:hAnsi="Times New Roman"/>
          <w:snapToGrid/>
          <w:sz w:val="24"/>
          <w:szCs w:val="24"/>
        </w:rPr>
      </w:pPr>
      <w:r w:rsidRPr="008745D6">
        <w:rPr>
          <w:rFonts w:ascii="Times New Roman" w:hAnsi="Times New Roman"/>
          <w:snapToGrid/>
          <w:sz w:val="24"/>
          <w:szCs w:val="24"/>
        </w:rPr>
        <w:t>To date, there is no single, standalone standard form for requesting TANF contingency funds; instead, ACF has provided a recommended letter of request template within official guidance to outline provisional payment and certification information including the signature of the state’s Governor or authorized designee.</w:t>
      </w:r>
      <w:r w:rsidR="0043367F">
        <w:rPr>
          <w:rFonts w:ascii="Times New Roman" w:hAnsi="Times New Roman"/>
          <w:snapToGrid/>
          <w:sz w:val="24"/>
          <w:szCs w:val="24"/>
        </w:rPr>
        <w:t xml:space="preserve"> </w:t>
      </w:r>
      <w:r w:rsidRPr="00292B8B" w:rsidR="0043367F">
        <w:rPr>
          <w:rFonts w:ascii="Times New Roman" w:hAnsi="Times New Roman"/>
          <w:snapToGrid/>
          <w:sz w:val="24"/>
          <w:szCs w:val="24"/>
        </w:rPr>
        <w:t>The information collection standardize</w:t>
      </w:r>
      <w:r w:rsidR="0043367F">
        <w:rPr>
          <w:rFonts w:ascii="Times New Roman" w:hAnsi="Times New Roman"/>
          <w:snapToGrid/>
          <w:sz w:val="24"/>
          <w:szCs w:val="24"/>
        </w:rPr>
        <w:t>s</w:t>
      </w:r>
      <w:r w:rsidRPr="00292B8B" w:rsidR="0043367F">
        <w:rPr>
          <w:rFonts w:ascii="Times New Roman" w:hAnsi="Times New Roman"/>
          <w:snapToGrid/>
          <w:sz w:val="24"/>
          <w:szCs w:val="24"/>
        </w:rPr>
        <w:t xml:space="preserve"> the mechanism through which </w:t>
      </w:r>
      <w:r w:rsidR="0043367F">
        <w:rPr>
          <w:rFonts w:ascii="Times New Roman" w:hAnsi="Times New Roman"/>
          <w:snapToGrid/>
          <w:sz w:val="24"/>
          <w:szCs w:val="24"/>
        </w:rPr>
        <w:t>the 50 states and the District of Columbia</w:t>
      </w:r>
      <w:r w:rsidRPr="00292B8B" w:rsidR="0043367F">
        <w:rPr>
          <w:rFonts w:ascii="Times New Roman" w:hAnsi="Times New Roman"/>
          <w:snapToGrid/>
          <w:sz w:val="24"/>
          <w:szCs w:val="24"/>
        </w:rPr>
        <w:t xml:space="preserve"> request provisional payments </w:t>
      </w:r>
      <w:r w:rsidRPr="1FEC7EF2" w:rsidR="0043367F">
        <w:rPr>
          <w:rFonts w:ascii="Times New Roman" w:hAnsi="Times New Roman"/>
          <w:sz w:val="24"/>
          <w:szCs w:val="24"/>
        </w:rPr>
        <w:t>on a monthly basis.</w:t>
      </w:r>
    </w:p>
    <w:p w:rsidR="008745D6" w:rsidP="00D7443D" w14:paraId="0EB9BFCA" w14:textId="77777777">
      <w:pPr>
        <w:widowControl/>
        <w:tabs>
          <w:tab w:val="num" w:pos="360"/>
        </w:tabs>
        <w:ind w:left="360"/>
        <w:rPr>
          <w:rFonts w:ascii="Times New Roman" w:hAnsi="Times New Roman"/>
          <w:snapToGrid/>
          <w:sz w:val="24"/>
          <w:szCs w:val="24"/>
        </w:rPr>
      </w:pPr>
    </w:p>
    <w:p w:rsidR="00DE529D" w:rsidRPr="004F7B95" w:rsidP="00406B18" w14:paraId="5548F0DE" w14:textId="50E156F4">
      <w:pPr>
        <w:widowControl/>
        <w:tabs>
          <w:tab w:val="num" w:pos="360"/>
        </w:tabs>
        <w:ind w:left="360"/>
        <w:rPr>
          <w:rFonts w:ascii="Times New Roman" w:hAnsi="Times New Roman"/>
          <w:snapToGrid/>
          <w:sz w:val="24"/>
          <w:szCs w:val="24"/>
        </w:rPr>
      </w:pPr>
      <w:r w:rsidRPr="00292B8B">
        <w:rPr>
          <w:rFonts w:ascii="Times New Roman" w:hAnsi="Times New Roman"/>
          <w:snapToGrid/>
          <w:sz w:val="24"/>
          <w:szCs w:val="24"/>
        </w:rPr>
        <w:t>Authority to distribute provisional payments based on receipt of state requests for contingency funds is contained in section 403 of the Social Security Act (42 U.S.C. 603(b)(3), as amended by the Personal Responsibility and Work Opportunity Reconciliation Act of 1996, Pub. L. 104-193, 110 Stat. 2105.</w:t>
      </w:r>
      <w:r w:rsidR="00D77E10">
        <w:rPr>
          <w:rFonts w:ascii="Times New Roman" w:hAnsi="Times New Roman"/>
          <w:snapToGrid/>
          <w:sz w:val="24"/>
          <w:szCs w:val="24"/>
        </w:rPr>
        <w:t xml:space="preserve"> </w:t>
      </w:r>
      <w:r w:rsidRPr="00D77E10" w:rsidR="00D77E10">
        <w:rPr>
          <w:rFonts w:ascii="Times New Roman" w:hAnsi="Times New Roman"/>
          <w:snapToGrid/>
          <w:sz w:val="24"/>
          <w:szCs w:val="24"/>
        </w:rPr>
        <w:t>When Congress established Grants to States, it codified the “Contingency Fund for State Welfare Programs” at §403(b) of the Social Security Act (the Act), and clarified the prerequisite of state request by stating that that provisional payments shall be paid to “an eligible State [which] submits to the Secretary a request for funds under this paragraph during an eligible month.” 42. U.S.C. § 603(b)(3)(A).</w:t>
      </w:r>
    </w:p>
    <w:p w:rsidR="00790D2C" w:rsidRPr="004F7B95" w:rsidP="00D7443D" w14:paraId="6A4D4BDD" w14:textId="77777777">
      <w:pPr>
        <w:widowControl/>
        <w:tabs>
          <w:tab w:val="num" w:pos="360"/>
        </w:tabs>
        <w:ind w:left="360"/>
        <w:rPr>
          <w:rFonts w:ascii="Times New Roman" w:hAnsi="Times New Roman"/>
          <w:snapToGrid/>
          <w:sz w:val="24"/>
          <w:szCs w:val="24"/>
        </w:rPr>
      </w:pPr>
    </w:p>
    <w:p w:rsidR="002C3C4F" w:rsidRPr="00075889" w:rsidP="235231AB" w14:paraId="3264479C" w14:textId="77777777">
      <w:pPr>
        <w:widowControl/>
        <w:numPr>
          <w:ilvl w:val="0"/>
          <w:numId w:val="3"/>
        </w:numPr>
        <w:tabs>
          <w:tab w:val="num" w:pos="360"/>
        </w:tabs>
        <w:spacing w:after="120"/>
        <w:ind w:left="360"/>
        <w:rPr>
          <w:rFonts w:ascii="Times New Roman" w:hAnsi="Times New Roman"/>
          <w:b/>
          <w:bCs/>
          <w:snapToGrid/>
          <w:sz w:val="24"/>
          <w:szCs w:val="24"/>
        </w:rPr>
      </w:pPr>
      <w:r w:rsidRPr="235231AB">
        <w:rPr>
          <w:rFonts w:ascii="Times New Roman" w:hAnsi="Times New Roman"/>
          <w:b/>
          <w:bCs/>
          <w:snapToGrid/>
          <w:sz w:val="24"/>
          <w:szCs w:val="24"/>
        </w:rPr>
        <w:t>P</w:t>
      </w:r>
      <w:r w:rsidRPr="235231AB">
        <w:rPr>
          <w:rFonts w:ascii="Times New Roman" w:hAnsi="Times New Roman"/>
          <w:b/>
          <w:bCs/>
          <w:snapToGrid/>
          <w:sz w:val="24"/>
          <w:szCs w:val="24"/>
        </w:rPr>
        <w:t xml:space="preserve">urpose and Use of the Information Collection </w:t>
      </w:r>
    </w:p>
    <w:p w:rsidR="00790D2C" w:rsidP="00D7443D" w14:paraId="4C1BFBD8" w14:textId="4662FB06">
      <w:pPr>
        <w:widowControl/>
        <w:tabs>
          <w:tab w:val="num" w:pos="360"/>
        </w:tabs>
        <w:ind w:left="360"/>
        <w:rPr>
          <w:rFonts w:ascii="Times New Roman" w:hAnsi="Times New Roman"/>
          <w:snapToGrid/>
          <w:sz w:val="24"/>
          <w:szCs w:val="24"/>
        </w:rPr>
      </w:pPr>
      <w:r w:rsidRPr="00D75572">
        <w:rPr>
          <w:rFonts w:ascii="Times New Roman" w:hAnsi="Times New Roman"/>
          <w:snapToGrid/>
          <w:sz w:val="24"/>
          <w:szCs w:val="24"/>
        </w:rPr>
        <w:t xml:space="preserve">The TANF Contingency Fund Application is an optional request for </w:t>
      </w:r>
      <w:r w:rsidR="0028276C">
        <w:rPr>
          <w:rFonts w:ascii="Times New Roman" w:hAnsi="Times New Roman"/>
          <w:snapToGrid/>
          <w:sz w:val="24"/>
          <w:szCs w:val="24"/>
        </w:rPr>
        <w:t xml:space="preserve">contingency </w:t>
      </w:r>
      <w:r w:rsidRPr="00D75572">
        <w:rPr>
          <w:rFonts w:ascii="Times New Roman" w:hAnsi="Times New Roman"/>
          <w:snapToGrid/>
          <w:sz w:val="24"/>
          <w:szCs w:val="24"/>
        </w:rPr>
        <w:t>funds submitted by states to ACF.</w:t>
      </w:r>
      <w:r w:rsidR="002B3B37">
        <w:rPr>
          <w:rFonts w:ascii="Times New Roman" w:hAnsi="Times New Roman"/>
          <w:snapToGrid/>
          <w:sz w:val="24"/>
          <w:szCs w:val="24"/>
        </w:rPr>
        <w:t xml:space="preserve"> </w:t>
      </w:r>
      <w:r w:rsidRPr="00292B8B" w:rsidR="002B3B37">
        <w:rPr>
          <w:rFonts w:ascii="Times New Roman" w:hAnsi="Times New Roman"/>
          <w:snapToGrid/>
          <w:sz w:val="24"/>
          <w:szCs w:val="24"/>
        </w:rPr>
        <w:t>The form require</w:t>
      </w:r>
      <w:r w:rsidR="002B3B37">
        <w:rPr>
          <w:rFonts w:ascii="Times New Roman" w:hAnsi="Times New Roman"/>
          <w:snapToGrid/>
          <w:sz w:val="24"/>
          <w:szCs w:val="24"/>
        </w:rPr>
        <w:t>s</w:t>
      </w:r>
      <w:r w:rsidRPr="00292B8B" w:rsidR="002B3B37">
        <w:rPr>
          <w:rFonts w:ascii="Times New Roman" w:hAnsi="Times New Roman"/>
          <w:snapToGrid/>
          <w:sz w:val="24"/>
          <w:szCs w:val="24"/>
        </w:rPr>
        <w:t xml:space="preserve"> states to demonstrate eligibility, describe how they will fulfill award requirements, and provide certification by the Governor or official designee.</w:t>
      </w:r>
    </w:p>
    <w:p w:rsidR="00DF0B84" w:rsidP="00D7443D" w14:paraId="7F54DEE9" w14:textId="77777777">
      <w:pPr>
        <w:widowControl/>
        <w:tabs>
          <w:tab w:val="num" w:pos="360"/>
        </w:tabs>
        <w:ind w:left="360"/>
        <w:rPr>
          <w:rFonts w:ascii="Times New Roman" w:hAnsi="Times New Roman"/>
          <w:snapToGrid/>
          <w:sz w:val="24"/>
          <w:szCs w:val="24"/>
        </w:rPr>
      </w:pPr>
    </w:p>
    <w:p w:rsidR="00D60543" w:rsidRPr="004F7B95" w:rsidP="00406B18" w14:paraId="3C8C4501" w14:textId="717CB5EB">
      <w:pPr>
        <w:widowControl/>
        <w:tabs>
          <w:tab w:val="num" w:pos="360"/>
        </w:tabs>
        <w:ind w:left="360"/>
        <w:rPr>
          <w:rFonts w:ascii="Times New Roman" w:hAnsi="Times New Roman"/>
          <w:snapToGrid/>
          <w:sz w:val="24"/>
          <w:szCs w:val="24"/>
        </w:rPr>
      </w:pPr>
      <w:r w:rsidRPr="00DF0B84">
        <w:rPr>
          <w:rFonts w:ascii="Times New Roman" w:hAnsi="Times New Roman"/>
          <w:snapToGrid/>
          <w:sz w:val="24"/>
          <w:szCs w:val="24"/>
        </w:rPr>
        <w:t>ACF uses the written request alongside required quarterly financial reporting (Form ACF-196R) to monitor financial data, grant contingency funds, complete the annual reconciliation process, and assess compliance with statutory and regulatory requirements relating to use of funds and state maintenance-of-effort requirements.</w:t>
      </w:r>
    </w:p>
    <w:p w:rsidR="00790D2C" w:rsidRPr="004F7B95" w:rsidP="00D7443D" w14:paraId="6C3FFD0B" w14:textId="77777777">
      <w:pPr>
        <w:widowControl/>
        <w:tabs>
          <w:tab w:val="num" w:pos="360"/>
        </w:tabs>
        <w:ind w:left="360"/>
        <w:rPr>
          <w:rFonts w:ascii="Times New Roman" w:hAnsi="Times New Roman"/>
          <w:snapToGrid/>
          <w:sz w:val="24"/>
          <w:szCs w:val="24"/>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9C2DE1" w:rsidP="00406B18" w14:paraId="64C47E67" w14:textId="037300F1">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If they choose to apply, states </w:t>
      </w:r>
      <w:r w:rsidR="00015D4E">
        <w:rPr>
          <w:rFonts w:ascii="Times New Roman" w:hAnsi="Times New Roman"/>
          <w:snapToGrid/>
          <w:sz w:val="24"/>
          <w:szCs w:val="24"/>
        </w:rPr>
        <w:t>complete</w:t>
      </w:r>
      <w:r>
        <w:rPr>
          <w:rFonts w:ascii="Times New Roman" w:hAnsi="Times New Roman"/>
          <w:snapToGrid/>
          <w:sz w:val="24"/>
          <w:szCs w:val="24"/>
        </w:rPr>
        <w:t xml:space="preserve"> the TANF contingency fund application through a fillable PDF provided by ACF</w:t>
      </w:r>
      <w:r w:rsidR="00015D4E">
        <w:rPr>
          <w:rFonts w:ascii="Times New Roman" w:hAnsi="Times New Roman"/>
          <w:snapToGrid/>
          <w:sz w:val="24"/>
          <w:szCs w:val="24"/>
        </w:rPr>
        <w:t xml:space="preserve"> and submit via email</w:t>
      </w:r>
      <w:r>
        <w:rPr>
          <w:rFonts w:ascii="Times New Roman" w:hAnsi="Times New Roman"/>
          <w:snapToGrid/>
          <w:sz w:val="24"/>
          <w:szCs w:val="24"/>
        </w:rPr>
        <w:t>.</w:t>
      </w:r>
      <w:r w:rsidR="00B12B5A">
        <w:rPr>
          <w:rFonts w:ascii="Times New Roman" w:hAnsi="Times New Roman"/>
          <w:snapToGrid/>
          <w:sz w:val="24"/>
          <w:szCs w:val="24"/>
        </w:rPr>
        <w:t xml:space="preserve"> </w:t>
      </w:r>
      <w:r w:rsidRPr="002026BF" w:rsidR="002026BF">
        <w:rPr>
          <w:rFonts w:ascii="Times New Roman" w:hAnsi="Times New Roman"/>
          <w:color w:val="000000"/>
          <w:sz w:val="24"/>
        </w:rPr>
        <w:t xml:space="preserve">Aside from incorporating eligibility verification, the data elements and reporting </w:t>
      </w:r>
      <w:r w:rsidR="002026BF">
        <w:rPr>
          <w:rFonts w:ascii="Times New Roman" w:hAnsi="Times New Roman"/>
          <w:color w:val="000000"/>
          <w:sz w:val="24"/>
        </w:rPr>
        <w:t>mechanism</w:t>
      </w:r>
      <w:r w:rsidRPr="002026BF" w:rsidR="002026BF">
        <w:rPr>
          <w:rFonts w:ascii="Times New Roman" w:hAnsi="Times New Roman"/>
          <w:color w:val="000000"/>
          <w:sz w:val="24"/>
        </w:rPr>
        <w:t xml:space="preserve"> remain unchanged from </w:t>
      </w:r>
      <w:r w:rsidR="008A7169">
        <w:rPr>
          <w:rFonts w:ascii="Times New Roman" w:hAnsi="Times New Roman"/>
          <w:color w:val="000000"/>
          <w:sz w:val="24"/>
        </w:rPr>
        <w:t>the informal requests from</w:t>
      </w:r>
      <w:r w:rsidRPr="002026BF" w:rsidR="002026BF">
        <w:rPr>
          <w:rFonts w:ascii="Times New Roman" w:hAnsi="Times New Roman"/>
          <w:color w:val="000000"/>
          <w:sz w:val="24"/>
        </w:rPr>
        <w:t xml:space="preserve"> previous years.</w:t>
      </w:r>
      <w:r w:rsidR="002026BF">
        <w:rPr>
          <w:rFonts w:ascii="Times New Roman" w:hAnsi="Times New Roman"/>
          <w:color w:val="000000"/>
          <w:sz w:val="24"/>
        </w:rPr>
        <w:t xml:space="preserve"> </w:t>
      </w:r>
      <w:r w:rsidRPr="00292B8B" w:rsidR="0043367F">
        <w:rPr>
          <w:rFonts w:ascii="Times New Roman" w:hAnsi="Times New Roman"/>
          <w:snapToGrid/>
          <w:sz w:val="24"/>
          <w:szCs w:val="24"/>
        </w:rPr>
        <w:t xml:space="preserve">To reduce response time and minimize burden hours, the form </w:t>
      </w:r>
      <w:r w:rsidR="00E960FC">
        <w:rPr>
          <w:rFonts w:ascii="Times New Roman" w:hAnsi="Times New Roman"/>
          <w:snapToGrid/>
          <w:sz w:val="24"/>
          <w:szCs w:val="24"/>
        </w:rPr>
        <w:t xml:space="preserve">uses dropdown </w:t>
      </w:r>
      <w:r w:rsidR="007F511B">
        <w:rPr>
          <w:rFonts w:ascii="Times New Roman" w:hAnsi="Times New Roman"/>
          <w:snapToGrid/>
          <w:sz w:val="24"/>
          <w:szCs w:val="24"/>
        </w:rPr>
        <w:t>menus and</w:t>
      </w:r>
      <w:r w:rsidR="00E960FC">
        <w:rPr>
          <w:rFonts w:ascii="Times New Roman" w:hAnsi="Times New Roman"/>
          <w:snapToGrid/>
          <w:sz w:val="24"/>
          <w:szCs w:val="24"/>
        </w:rPr>
        <w:t xml:space="preserve"> </w:t>
      </w:r>
      <w:r w:rsidRPr="00292B8B" w:rsidR="0043367F">
        <w:rPr>
          <w:rFonts w:ascii="Times New Roman" w:hAnsi="Times New Roman"/>
          <w:snapToGrid/>
          <w:sz w:val="24"/>
          <w:szCs w:val="24"/>
        </w:rPr>
        <w:t>consolidates guidance and existing resources.</w:t>
      </w:r>
      <w:r w:rsidR="00034412">
        <w:rPr>
          <w:rFonts w:ascii="Times New Roman" w:hAnsi="Times New Roman"/>
          <w:snapToGrid/>
          <w:sz w:val="24"/>
          <w:szCs w:val="24"/>
        </w:rPr>
        <w:t xml:space="preserve"> </w:t>
      </w:r>
    </w:p>
    <w:p w:rsidR="00D60543" w:rsidRPr="004F7B95" w:rsidP="00022586" w14:paraId="61323458" w14:textId="77777777">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022586" w:rsidRPr="004F7B95" w:rsidP="00406B18" w14:paraId="3A8002CC" w14:textId="10CCE930">
      <w:pPr>
        <w:widowControl/>
        <w:ind w:left="360"/>
        <w:rPr>
          <w:rFonts w:ascii="Times New Roman" w:hAnsi="Times New Roman"/>
          <w:snapToGrid/>
          <w:sz w:val="24"/>
          <w:szCs w:val="24"/>
        </w:rPr>
      </w:pPr>
      <w:r w:rsidRPr="00235638">
        <w:rPr>
          <w:rFonts w:ascii="Times New Roman" w:hAnsi="Times New Roman"/>
          <w:noProof/>
          <w:sz w:val="24"/>
          <w:szCs w:val="24"/>
        </w:rPr>
        <w:t>There are no data available that are similar to what we collect with this information collection.</w:t>
      </w:r>
      <w:r w:rsidR="003413FF">
        <w:rPr>
          <w:rFonts w:ascii="Times New Roman" w:hAnsi="Times New Roman"/>
          <w:noProof/>
          <w:sz w:val="24"/>
          <w:szCs w:val="24"/>
        </w:rPr>
        <w:t xml:space="preserve"> </w:t>
      </w:r>
      <w:r w:rsidRPr="00CD6DBF" w:rsidR="00CD6DBF">
        <w:rPr>
          <w:rFonts w:ascii="Times New Roman" w:hAnsi="Times New Roman"/>
          <w:noProof/>
          <w:sz w:val="24"/>
          <w:szCs w:val="24"/>
        </w:rPr>
        <w:t xml:space="preserve">Contingency </w:t>
      </w:r>
      <w:r w:rsidR="00CD6DBF">
        <w:rPr>
          <w:rFonts w:ascii="Times New Roman" w:hAnsi="Times New Roman"/>
          <w:noProof/>
          <w:sz w:val="24"/>
          <w:szCs w:val="24"/>
        </w:rPr>
        <w:t>f</w:t>
      </w:r>
      <w:r w:rsidRPr="00CD6DBF" w:rsidR="00CD6DBF">
        <w:rPr>
          <w:rFonts w:ascii="Times New Roman" w:hAnsi="Times New Roman"/>
          <w:noProof/>
          <w:sz w:val="24"/>
          <w:szCs w:val="24"/>
        </w:rPr>
        <w:t xml:space="preserve">unds are additional </w:t>
      </w:r>
      <w:r w:rsidR="00CD6DBF">
        <w:rPr>
          <w:rFonts w:ascii="Times New Roman" w:hAnsi="Times New Roman"/>
          <w:noProof/>
          <w:sz w:val="24"/>
          <w:szCs w:val="24"/>
        </w:rPr>
        <w:t>f</w:t>
      </w:r>
      <w:r w:rsidRPr="00CD6DBF" w:rsidR="00CD6DBF">
        <w:rPr>
          <w:rFonts w:ascii="Times New Roman" w:hAnsi="Times New Roman"/>
          <w:noProof/>
          <w:sz w:val="24"/>
          <w:szCs w:val="24"/>
        </w:rPr>
        <w:t xml:space="preserve">ederal funds available to </w:t>
      </w:r>
      <w:r w:rsidR="00CD6DBF">
        <w:rPr>
          <w:rFonts w:ascii="Times New Roman" w:hAnsi="Times New Roman"/>
          <w:noProof/>
          <w:sz w:val="24"/>
          <w:szCs w:val="24"/>
        </w:rPr>
        <w:t>s</w:t>
      </w:r>
      <w:r w:rsidRPr="00CD6DBF" w:rsidR="00CD6DBF">
        <w:rPr>
          <w:rFonts w:ascii="Times New Roman" w:hAnsi="Times New Roman"/>
          <w:noProof/>
          <w:sz w:val="24"/>
          <w:szCs w:val="24"/>
        </w:rPr>
        <w:t>tates, at their request, when unfavorable economic conditions exist. </w:t>
      </w:r>
    </w:p>
    <w:p w:rsidR="009C2DE1" w:rsidP="00022586" w14:paraId="5BF82A71" w14:textId="77777777">
      <w:pPr>
        <w:widowControl/>
        <w:tabs>
          <w:tab w:val="num" w:pos="360"/>
        </w:tabs>
        <w:ind w:left="360"/>
        <w:rPr>
          <w:rFonts w:ascii="Times New Roman" w:hAnsi="Times New Roman"/>
          <w:snapToGrid/>
          <w:sz w:val="24"/>
          <w:szCs w:val="24"/>
        </w:rPr>
      </w:pPr>
    </w:p>
    <w:p w:rsidR="00F945A7" w:rsidRPr="004F7B95" w:rsidP="00022586" w14:paraId="256BF6FF" w14:textId="77777777">
      <w:pPr>
        <w:widowControl/>
        <w:tabs>
          <w:tab w:val="num" w:pos="360"/>
        </w:tabs>
        <w:ind w:left="360"/>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D60543" w:rsidP="00406B18" w14:paraId="3417396F" w14:textId="0C45E6BB">
      <w:pPr>
        <w:widowControl/>
        <w:ind w:left="360"/>
        <w:rPr>
          <w:rFonts w:ascii="Times New Roman" w:hAnsi="Times New Roman"/>
          <w:snapToGrid/>
          <w:sz w:val="24"/>
          <w:szCs w:val="24"/>
        </w:rPr>
      </w:pPr>
      <w:r w:rsidRPr="004973B7">
        <w:rPr>
          <w:rFonts w:ascii="Times New Roman" w:hAnsi="Times New Roman"/>
          <w:noProof/>
          <w:sz w:val="24"/>
          <w:szCs w:val="24"/>
        </w:rPr>
        <w:t>This collection of information does not impact small businesses or other small entities.  It will affect only state</w:t>
      </w:r>
      <w:r w:rsidRPr="007814C7">
        <w:rPr>
          <w:rFonts w:ascii="Times New Roman" w:hAnsi="Times New Roman"/>
          <w:noProof/>
          <w:sz w:val="24"/>
          <w:szCs w:val="24"/>
        </w:rPr>
        <w:t>s.</w:t>
      </w:r>
    </w:p>
    <w:p w:rsidR="00D60543" w:rsidRPr="004F7B95" w:rsidP="00022586" w14:paraId="7A03161C"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D60543" w:rsidP="00F07960" w14:paraId="2A0F47DE" w14:textId="274B5FCC">
      <w:pPr>
        <w:widowControl/>
        <w:tabs>
          <w:tab w:val="num" w:pos="360"/>
        </w:tabs>
        <w:ind w:left="360"/>
        <w:rPr>
          <w:rFonts w:ascii="Times New Roman" w:hAnsi="Times New Roman"/>
          <w:snapToGrid/>
          <w:sz w:val="24"/>
          <w:szCs w:val="24"/>
        </w:rPr>
      </w:pPr>
      <w:r w:rsidRPr="3148DE79">
        <w:rPr>
          <w:rFonts w:ascii="Times New Roman" w:hAnsi="Times New Roman"/>
          <w:sz w:val="24"/>
          <w:szCs w:val="24"/>
        </w:rPr>
        <w:t xml:space="preserve">Although OFA has previously permitted states to submit one application at the beginning of the fiscal year requesting funds for all months in which the state anticipated qualifying as a needy state, a more faithful reading of statute supports requiring states to submit a request for each eligible month. To improve program oversight and fiscal stewardship, OFA </w:t>
      </w:r>
      <w:r w:rsidRPr="3148DE79" w:rsidR="00990D9B">
        <w:rPr>
          <w:rFonts w:ascii="Times New Roman" w:hAnsi="Times New Roman"/>
          <w:sz w:val="24"/>
          <w:szCs w:val="24"/>
        </w:rPr>
        <w:t>has</w:t>
      </w:r>
      <w:r w:rsidRPr="3148DE79">
        <w:rPr>
          <w:rFonts w:ascii="Times New Roman" w:hAnsi="Times New Roman"/>
          <w:sz w:val="24"/>
          <w:szCs w:val="24"/>
        </w:rPr>
        <w:t xml:space="preserve"> standardiz</w:t>
      </w:r>
      <w:r w:rsidRPr="3148DE79" w:rsidR="00990D9B">
        <w:rPr>
          <w:rFonts w:ascii="Times New Roman" w:hAnsi="Times New Roman"/>
          <w:sz w:val="24"/>
          <w:szCs w:val="24"/>
        </w:rPr>
        <w:t>ed</w:t>
      </w:r>
      <w:r w:rsidRPr="3148DE79">
        <w:rPr>
          <w:rFonts w:ascii="Times New Roman" w:hAnsi="Times New Roman"/>
          <w:sz w:val="24"/>
          <w:szCs w:val="24"/>
        </w:rPr>
        <w:t xml:space="preserve"> the application mechanism through this new information collection, streamlining guidance and requiring monthly applications.</w:t>
      </w: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4D6389" w:rsidP="004D6389" w14:paraId="3D94CA8B" w14:textId="379F2D31">
      <w:pPr>
        <w:widowControl/>
        <w:tabs>
          <w:tab w:val="num" w:pos="360"/>
        </w:tabs>
        <w:ind w:left="360"/>
        <w:rPr>
          <w:rFonts w:ascii="Times New Roman" w:hAnsi="Times New Roman"/>
          <w:snapToGrid/>
          <w:sz w:val="24"/>
          <w:szCs w:val="24"/>
        </w:rPr>
      </w:pPr>
      <w:r w:rsidRPr="004D6389">
        <w:rPr>
          <w:rFonts w:ascii="Times New Roman" w:hAnsi="Times New Roman"/>
          <w:snapToGrid/>
          <w:sz w:val="24"/>
          <w:szCs w:val="24"/>
        </w:rPr>
        <w:t>States must submit a new application in the month prior to the month for which they request funds.</w:t>
      </w:r>
      <w:r>
        <w:rPr>
          <w:rFonts w:ascii="Times New Roman" w:hAnsi="Times New Roman"/>
          <w:snapToGrid/>
          <w:sz w:val="24"/>
          <w:szCs w:val="24"/>
        </w:rPr>
        <w:t xml:space="preserve"> While the </w:t>
      </w:r>
      <w:r w:rsidR="00C76EF8">
        <w:rPr>
          <w:rFonts w:ascii="Times New Roman" w:hAnsi="Times New Roman"/>
          <w:snapToGrid/>
          <w:sz w:val="24"/>
          <w:szCs w:val="24"/>
        </w:rPr>
        <w:t xml:space="preserve">information collected is </w:t>
      </w:r>
      <w:r w:rsidR="00194EAD">
        <w:rPr>
          <w:rFonts w:ascii="Times New Roman" w:hAnsi="Times New Roman"/>
          <w:snapToGrid/>
          <w:sz w:val="24"/>
          <w:szCs w:val="24"/>
        </w:rPr>
        <w:t>optional</w:t>
      </w:r>
      <w:r w:rsidR="00C76EF8">
        <w:rPr>
          <w:rFonts w:ascii="Times New Roman" w:hAnsi="Times New Roman"/>
          <w:snapToGrid/>
          <w:sz w:val="24"/>
          <w:szCs w:val="24"/>
        </w:rPr>
        <w:t xml:space="preserve">, it is possible that states may be eligible for and may choose to apply </w:t>
      </w:r>
      <w:r w:rsidR="00955C1E">
        <w:rPr>
          <w:rFonts w:ascii="Times New Roman" w:hAnsi="Times New Roman"/>
          <w:snapToGrid/>
          <w:sz w:val="24"/>
          <w:szCs w:val="24"/>
        </w:rPr>
        <w:t xml:space="preserve">for every month in a </w:t>
      </w:r>
      <w:r w:rsidR="00B41530">
        <w:rPr>
          <w:rFonts w:ascii="Times New Roman" w:hAnsi="Times New Roman"/>
          <w:snapToGrid/>
          <w:sz w:val="24"/>
          <w:szCs w:val="24"/>
        </w:rPr>
        <w:t>fiscal</w:t>
      </w:r>
      <w:r w:rsidR="00955C1E">
        <w:rPr>
          <w:rFonts w:ascii="Times New Roman" w:hAnsi="Times New Roman"/>
          <w:snapToGrid/>
          <w:sz w:val="24"/>
          <w:szCs w:val="24"/>
        </w:rPr>
        <w:t xml:space="preserve"> year</w:t>
      </w:r>
      <w:r w:rsidR="00611D1C">
        <w:rPr>
          <w:rFonts w:ascii="Times New Roman" w:hAnsi="Times New Roman"/>
          <w:snapToGrid/>
          <w:sz w:val="24"/>
          <w:szCs w:val="24"/>
        </w:rPr>
        <w:t xml:space="preserve">, which will create a special circumstance in which </w:t>
      </w:r>
      <w:r w:rsidR="00C71D3D">
        <w:rPr>
          <w:rFonts w:ascii="Times New Roman" w:hAnsi="Times New Roman"/>
          <w:snapToGrid/>
          <w:sz w:val="24"/>
          <w:szCs w:val="24"/>
        </w:rPr>
        <w:t>respondents report more often than quarterly</w:t>
      </w:r>
      <w:r w:rsidR="00955C1E">
        <w:rPr>
          <w:rFonts w:ascii="Times New Roman" w:hAnsi="Times New Roman"/>
          <w:snapToGrid/>
          <w:sz w:val="24"/>
          <w:szCs w:val="24"/>
        </w:rPr>
        <w:t>.</w:t>
      </w:r>
      <w:r w:rsidR="00C71D3D">
        <w:rPr>
          <w:rFonts w:ascii="Times New Roman" w:hAnsi="Times New Roman"/>
          <w:snapToGrid/>
          <w:sz w:val="24"/>
          <w:szCs w:val="24"/>
        </w:rPr>
        <w:t xml:space="preserve"> </w:t>
      </w:r>
      <w:r w:rsidR="003E5E47">
        <w:rPr>
          <w:rFonts w:ascii="Times New Roman" w:hAnsi="Times New Roman"/>
          <w:snapToGrid/>
          <w:sz w:val="24"/>
          <w:szCs w:val="24"/>
        </w:rPr>
        <w:t>However, because</w:t>
      </w:r>
      <w:r w:rsidR="00733E8D">
        <w:rPr>
          <w:rFonts w:ascii="Times New Roman" w:hAnsi="Times New Roman"/>
          <w:snapToGrid/>
          <w:sz w:val="24"/>
          <w:szCs w:val="24"/>
        </w:rPr>
        <w:t xml:space="preserve"> contingency funds are typically exhausted by April, </w:t>
      </w:r>
      <w:r w:rsidR="00240841">
        <w:rPr>
          <w:rFonts w:ascii="Times New Roman" w:hAnsi="Times New Roman"/>
          <w:snapToGrid/>
          <w:sz w:val="24"/>
          <w:szCs w:val="24"/>
        </w:rPr>
        <w:t xml:space="preserve">we estimate that eligible states </w:t>
      </w:r>
      <w:r w:rsidR="003E5E47">
        <w:rPr>
          <w:rFonts w:ascii="Times New Roman" w:hAnsi="Times New Roman"/>
          <w:snapToGrid/>
          <w:sz w:val="24"/>
          <w:szCs w:val="24"/>
        </w:rPr>
        <w:t>woul</w:t>
      </w:r>
      <w:r w:rsidR="00B66EDC">
        <w:rPr>
          <w:rFonts w:ascii="Times New Roman" w:hAnsi="Times New Roman"/>
          <w:snapToGrid/>
          <w:sz w:val="24"/>
          <w:szCs w:val="24"/>
        </w:rPr>
        <w:t>d apply no more than seven</w:t>
      </w:r>
      <w:r w:rsidR="003E5E47">
        <w:rPr>
          <w:rFonts w:ascii="Times New Roman" w:hAnsi="Times New Roman"/>
          <w:snapToGrid/>
          <w:sz w:val="24"/>
          <w:szCs w:val="24"/>
        </w:rPr>
        <w:t xml:space="preserve"> times. </w:t>
      </w:r>
    </w:p>
    <w:p w:rsidR="008E5914" w:rsidP="004D6389" w14:paraId="295FE406" w14:textId="77777777">
      <w:pPr>
        <w:widowControl/>
        <w:tabs>
          <w:tab w:val="num" w:pos="360"/>
        </w:tabs>
        <w:ind w:left="360"/>
        <w:rPr>
          <w:rFonts w:ascii="Times New Roman" w:hAnsi="Times New Roman"/>
          <w:snapToGrid/>
          <w:sz w:val="24"/>
          <w:szCs w:val="24"/>
        </w:rPr>
      </w:pPr>
    </w:p>
    <w:p w:rsidR="00DE529D" w:rsidP="00406B18" w14:paraId="46224D5D" w14:textId="7D7391F6">
      <w:pPr>
        <w:widowControl/>
        <w:tabs>
          <w:tab w:val="num" w:pos="360"/>
        </w:tabs>
        <w:ind w:left="360"/>
        <w:rPr>
          <w:rFonts w:ascii="Times New Roman" w:hAnsi="Times New Roman"/>
          <w:snapToGrid/>
          <w:sz w:val="24"/>
          <w:szCs w:val="24"/>
        </w:rPr>
      </w:pPr>
      <w:r w:rsidRPr="008E5914">
        <w:rPr>
          <w:rFonts w:ascii="Times New Roman" w:hAnsi="Times New Roman"/>
          <w:snapToGrid/>
          <w:sz w:val="24"/>
          <w:szCs w:val="24"/>
        </w:rPr>
        <w:t>The TANF Contingency Fund is capped annually at $608 million. While 42 U.S.C. § 603(b)(5) allows states to request funds in any eligible month, states typically submit applications before the start of the fiscal year (late August or September) and request the full-year statutory maximum of one-twelfth of 20% of their State Family Assistance Grant (SFAG) per month. Because states apply early and request the maximum rather than staggering monthly requests, the Fund is typically depleted by April of each year. OFA proposes updating program guidance to limit state requests to specific months in which they expect to qualify. Monthly requests with additional assurances of eligibility will support ACF in carrying out timely annual reconciliation of provisional payments, mitigate the risk of payments made in error, and reduce the need for remittances.</w:t>
      </w:r>
    </w:p>
    <w:p w:rsidR="00DE529D" w:rsidRPr="004F7B95" w:rsidP="00022586" w14:paraId="2CFEBB22"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022586" w:rsidP="5EB0D2CD" w14:paraId="1992C6A4" w14:textId="53A64889">
      <w:pPr>
        <w:tabs>
          <w:tab w:val="num" w:pos="360"/>
        </w:tabs>
        <w:spacing w:line="259" w:lineRule="auto"/>
        <w:ind w:left="360"/>
        <w:rPr>
          <w:rFonts w:ascii="Times New Roman" w:hAnsi="Times New Roman"/>
          <w:sz w:val="24"/>
          <w:szCs w:val="24"/>
        </w:rPr>
      </w:pPr>
      <w:r w:rsidRPr="5EB0D2CD">
        <w:rPr>
          <w:rFonts w:ascii="Times New Roman" w:hAnsi="Times New Roman"/>
          <w:sz w:val="24"/>
          <w:szCs w:val="24"/>
        </w:rPr>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w:t>
      </w:r>
      <w:r w:rsidRPr="5EB0D2CD" w:rsidR="52A89068">
        <w:rPr>
          <w:rFonts w:ascii="Times New Roman" w:hAnsi="Times New Roman"/>
          <w:sz w:val="24"/>
          <w:szCs w:val="24"/>
        </w:rPr>
        <w:t xml:space="preserve"> </w:t>
      </w:r>
      <w:r w:rsidRPr="5EB0D2CD" w:rsidR="7510E161">
        <w:rPr>
          <w:rFonts w:ascii="Times New Roman" w:hAnsi="Times New Roman"/>
          <w:sz w:val="24"/>
          <w:szCs w:val="24"/>
        </w:rPr>
        <w:t xml:space="preserve">June 26, 2026 </w:t>
      </w:r>
      <w:r w:rsidRPr="5EB0D2CD" w:rsidR="52A89068">
        <w:rPr>
          <w:rFonts w:ascii="Times New Roman" w:hAnsi="Times New Roman"/>
          <w:sz w:val="24"/>
          <w:szCs w:val="24"/>
        </w:rPr>
        <w:t>(</w:t>
      </w:r>
      <w:r w:rsidRPr="5EB0D2CD" w:rsidR="7510E161">
        <w:rPr>
          <w:rFonts w:ascii="Times New Roman" w:hAnsi="Times New Roman"/>
          <w:sz w:val="24"/>
          <w:szCs w:val="24"/>
        </w:rPr>
        <w:t xml:space="preserve">91 </w:t>
      </w:r>
      <w:r w:rsidRPr="5EB0D2CD" w:rsidR="433D0CA9">
        <w:rPr>
          <w:rFonts w:ascii="Times New Roman" w:hAnsi="Times New Roman"/>
          <w:sz w:val="24"/>
          <w:szCs w:val="24"/>
        </w:rPr>
        <w:t xml:space="preserve">FR </w:t>
      </w:r>
      <w:r w:rsidRPr="5EB0D2CD" w:rsidR="74284CF9">
        <w:rPr>
          <w:rFonts w:ascii="Times New Roman" w:hAnsi="Times New Roman"/>
          <w:sz w:val="24"/>
          <w:szCs w:val="24"/>
        </w:rPr>
        <w:t>38716</w:t>
      </w:r>
      <w:r w:rsidRPr="5EB0D2CD" w:rsidR="273B4163">
        <w:rPr>
          <w:rFonts w:ascii="Times New Roman" w:hAnsi="Times New Roman"/>
          <w:sz w:val="24"/>
          <w:szCs w:val="24"/>
        </w:rPr>
        <w:t>)</w:t>
      </w:r>
      <w:r w:rsidRPr="5EB0D2CD">
        <w:rPr>
          <w:rFonts w:ascii="Times New Roman" w:hAnsi="Times New Roman"/>
          <w:sz w:val="24"/>
          <w:szCs w:val="24"/>
        </w:rPr>
        <w:t xml:space="preserve"> and provided a sixty-day period for public comment.  During the notice and comment period</w:t>
      </w:r>
      <w:r w:rsidRPr="5EB0D2CD" w:rsidR="5E14D4C7">
        <w:rPr>
          <w:rFonts w:ascii="Times New Roman" w:hAnsi="Times New Roman"/>
          <w:sz w:val="24"/>
          <w:szCs w:val="24"/>
        </w:rPr>
        <w:t xml:space="preserve">, we </w:t>
      </w:r>
      <w:r w:rsidRPr="5EB0D2CD" w:rsidR="5AEEC093">
        <w:rPr>
          <w:rFonts w:ascii="Times New Roman" w:hAnsi="Times New Roman"/>
          <w:sz w:val="24"/>
          <w:szCs w:val="24"/>
        </w:rPr>
        <w:t>receive</w:t>
      </w:r>
      <w:r w:rsidRPr="5EB0D2CD" w:rsidR="38A76F0B">
        <w:rPr>
          <w:rFonts w:ascii="Times New Roman" w:hAnsi="Times New Roman"/>
          <w:sz w:val="24"/>
          <w:szCs w:val="24"/>
        </w:rPr>
        <w:t>d one</w:t>
      </w:r>
      <w:r w:rsidRPr="5EB0D2CD" w:rsidR="5AEEC093">
        <w:rPr>
          <w:rFonts w:ascii="Times New Roman" w:hAnsi="Times New Roman"/>
          <w:sz w:val="24"/>
          <w:szCs w:val="24"/>
        </w:rPr>
        <w:t xml:space="preserve"> comment</w:t>
      </w:r>
      <w:r w:rsidRPr="5EB0D2CD" w:rsidR="15516F6C">
        <w:rPr>
          <w:rFonts w:ascii="Times New Roman" w:hAnsi="Times New Roman"/>
          <w:sz w:val="24"/>
          <w:szCs w:val="24"/>
        </w:rPr>
        <w:t xml:space="preserve"> from the Washington State Department of Social and Health Services requesting that ACF reconsider the proposed requirement for states to apply monthly for contingency funding</w:t>
      </w:r>
      <w:r w:rsidRPr="5EB0D2CD" w:rsidR="395D64EB">
        <w:rPr>
          <w:rFonts w:ascii="Times New Roman" w:hAnsi="Times New Roman"/>
          <w:sz w:val="24"/>
          <w:szCs w:val="24"/>
        </w:rPr>
        <w:t xml:space="preserve"> and noting that this would add considerable administrative burden particularly </w:t>
      </w:r>
      <w:r w:rsidRPr="5EB0D2CD" w:rsidR="5664F2FB">
        <w:rPr>
          <w:rFonts w:ascii="Times New Roman" w:hAnsi="Times New Roman"/>
          <w:sz w:val="24"/>
          <w:szCs w:val="24"/>
        </w:rPr>
        <w:t xml:space="preserve">for states </w:t>
      </w:r>
      <w:r w:rsidRPr="5EB0D2CD" w:rsidR="395D64EB">
        <w:rPr>
          <w:rFonts w:ascii="Times New Roman" w:hAnsi="Times New Roman"/>
          <w:sz w:val="24"/>
          <w:szCs w:val="24"/>
        </w:rPr>
        <w:t>that qualify for multiple months</w:t>
      </w:r>
      <w:r w:rsidRPr="5EB0D2CD" w:rsidR="5AEEC093">
        <w:rPr>
          <w:rFonts w:ascii="Times New Roman" w:hAnsi="Times New Roman"/>
          <w:sz w:val="24"/>
          <w:szCs w:val="24"/>
        </w:rPr>
        <w:t>.</w:t>
      </w:r>
      <w:r w:rsidRPr="5EB0D2CD">
        <w:rPr>
          <w:rFonts w:ascii="Times New Roman" w:hAnsi="Times New Roman"/>
          <w:sz w:val="24"/>
          <w:szCs w:val="24"/>
        </w:rPr>
        <w:t xml:space="preserve"> </w:t>
      </w:r>
      <w:r w:rsidRPr="5EB0D2CD" w:rsidR="27A0D1F7">
        <w:rPr>
          <w:rFonts w:ascii="Times New Roman" w:hAnsi="Times New Roman"/>
          <w:sz w:val="24"/>
          <w:szCs w:val="24"/>
        </w:rPr>
        <w:t xml:space="preserve">Statute requires that provisional payments be made to "an eligible State [which] submits to the Secretary a request for funds under this paragraph during an eligible month." 42 U.S.C. section 603(b)(3)(A). Although OFA has previously permitted states to submit one application at the beginning of the fiscal year requesting funds for all months in which the state anticipated qualifying as a needy state, a more faithful reading of statute supports requiring states to submit a request for each eligible month. </w:t>
      </w:r>
      <w:r w:rsidRPr="5EB0D2CD" w:rsidR="115C165C">
        <w:rPr>
          <w:rFonts w:ascii="Times New Roman" w:hAnsi="Times New Roman"/>
          <w:sz w:val="24"/>
          <w:szCs w:val="24"/>
        </w:rPr>
        <w:t xml:space="preserve">To improve program oversight and fiscal stewardship, the proposed </w:t>
      </w:r>
      <w:r w:rsidRPr="5EB0D2CD" w:rsidR="27A0D1F7">
        <w:rPr>
          <w:rFonts w:ascii="Times New Roman" w:hAnsi="Times New Roman"/>
          <w:sz w:val="24"/>
          <w:szCs w:val="24"/>
        </w:rPr>
        <w:t>approach will require states to request funds for specific months in which they expect to qualify, mitigating timing pressures and supporting timely annual reconciliation of provisional payments.</w:t>
      </w:r>
      <w:r w:rsidRPr="5EB0D2CD" w:rsidR="6557CB6B">
        <w:rPr>
          <w:rFonts w:ascii="Times New Roman" w:hAnsi="Times New Roman"/>
          <w:sz w:val="24"/>
          <w:szCs w:val="24"/>
        </w:rPr>
        <w:t xml:space="preserve"> </w:t>
      </w:r>
      <w:r w:rsidRPr="5EB0D2CD" w:rsidR="292485C5">
        <w:rPr>
          <w:rFonts w:ascii="Times New Roman" w:hAnsi="Times New Roman"/>
          <w:sz w:val="24"/>
          <w:szCs w:val="24"/>
        </w:rPr>
        <w:t xml:space="preserve">This </w:t>
      </w:r>
      <w:r w:rsidRPr="5EB0D2CD" w:rsidR="0B16156D">
        <w:rPr>
          <w:rFonts w:ascii="Times New Roman" w:hAnsi="Times New Roman"/>
          <w:sz w:val="24"/>
          <w:szCs w:val="24"/>
        </w:rPr>
        <w:t xml:space="preserve">proposed reporting frequency, while more administratively burdensome </w:t>
      </w:r>
      <w:r w:rsidRPr="5EB0D2CD" w:rsidR="16C5CF67">
        <w:rPr>
          <w:rFonts w:ascii="Times New Roman" w:hAnsi="Times New Roman"/>
          <w:sz w:val="24"/>
          <w:szCs w:val="24"/>
        </w:rPr>
        <w:t xml:space="preserve">up </w:t>
      </w:r>
      <w:r w:rsidRPr="5EB0D2CD" w:rsidR="0B16156D">
        <w:rPr>
          <w:rFonts w:ascii="Times New Roman" w:hAnsi="Times New Roman"/>
          <w:sz w:val="24"/>
          <w:szCs w:val="24"/>
        </w:rPr>
        <w:t xml:space="preserve">front, is intended to minimize </w:t>
      </w:r>
      <w:r w:rsidRPr="5EB0D2CD" w:rsidR="1979D8CE">
        <w:rPr>
          <w:rFonts w:ascii="Times New Roman" w:hAnsi="Times New Roman"/>
          <w:sz w:val="24"/>
          <w:szCs w:val="24"/>
        </w:rPr>
        <w:t xml:space="preserve">ensuing </w:t>
      </w:r>
      <w:r w:rsidRPr="5EB0D2CD" w:rsidR="11B93E27">
        <w:rPr>
          <w:rFonts w:ascii="Times New Roman" w:hAnsi="Times New Roman"/>
          <w:sz w:val="24"/>
          <w:szCs w:val="24"/>
        </w:rPr>
        <w:t>burden</w:t>
      </w:r>
      <w:r w:rsidRPr="5EB0D2CD" w:rsidR="0B16156D">
        <w:rPr>
          <w:rFonts w:ascii="Times New Roman" w:hAnsi="Times New Roman"/>
          <w:sz w:val="24"/>
          <w:szCs w:val="24"/>
        </w:rPr>
        <w:t xml:space="preserve"> by asking states to </w:t>
      </w:r>
      <w:r w:rsidRPr="5EB0D2CD" w:rsidR="7C9ECEEF">
        <w:rPr>
          <w:rFonts w:ascii="Times New Roman" w:hAnsi="Times New Roman"/>
          <w:sz w:val="24"/>
          <w:szCs w:val="24"/>
        </w:rPr>
        <w:t>double check eligibility</w:t>
      </w:r>
      <w:r w:rsidRPr="5EB0D2CD" w:rsidR="73A2D778">
        <w:rPr>
          <w:rFonts w:ascii="Times New Roman" w:hAnsi="Times New Roman"/>
          <w:sz w:val="24"/>
          <w:szCs w:val="24"/>
        </w:rPr>
        <w:t xml:space="preserve"> under 45 C.F.R. section 264.70</w:t>
      </w:r>
      <w:r w:rsidRPr="5EB0D2CD" w:rsidR="213343B2">
        <w:rPr>
          <w:rFonts w:ascii="Times New Roman" w:hAnsi="Times New Roman"/>
          <w:sz w:val="24"/>
          <w:szCs w:val="24"/>
        </w:rPr>
        <w:t>.</w:t>
      </w:r>
    </w:p>
    <w:p w:rsidR="00022586" w:rsidRPr="004F7B95" w:rsidP="00022586" w14:paraId="2EDB417E" w14:textId="77777777">
      <w:pPr>
        <w:widowControl/>
        <w:tabs>
          <w:tab w:val="num" w:pos="360"/>
        </w:tabs>
        <w:ind w:left="360"/>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D60543" w:rsidP="00406B18" w14:paraId="58AEE861" w14:textId="02E5799B">
      <w:pPr>
        <w:widowControl/>
        <w:tabs>
          <w:tab w:val="num" w:pos="360"/>
        </w:tabs>
        <w:ind w:left="360"/>
        <w:rPr>
          <w:rFonts w:ascii="Times New Roman" w:hAnsi="Times New Roman"/>
          <w:snapToGrid/>
          <w:sz w:val="24"/>
          <w:szCs w:val="24"/>
        </w:rPr>
      </w:pPr>
      <w:r w:rsidRPr="00507E68">
        <w:rPr>
          <w:rFonts w:ascii="Times New Roman" w:hAnsi="Times New Roman"/>
          <w:noProof/>
          <w:sz w:val="24"/>
          <w:szCs w:val="24"/>
        </w:rPr>
        <w:t>This data collection does not involve any payment or gift to respondents other than remuneration of grantees.</w:t>
      </w:r>
    </w:p>
    <w:p w:rsidR="00D60543" w:rsidRPr="004F7B95" w:rsidP="00EB7FCD" w14:paraId="62113040" w14:textId="77777777">
      <w:pPr>
        <w:widowControl/>
        <w:tabs>
          <w:tab w:val="num" w:pos="360"/>
        </w:tabs>
        <w:rPr>
          <w:rFonts w:ascii="Times New Roman" w:hAnsi="Times New Roman"/>
          <w:snapToGrid/>
          <w:sz w:val="24"/>
          <w:szCs w:val="24"/>
        </w:rPr>
      </w:pPr>
    </w:p>
    <w:p w:rsidR="002C3C4F" w:rsidRPr="00075889" w:rsidP="0051278C" w14:paraId="4874FACA" w14:textId="77777777">
      <w:pPr>
        <w:widowControl/>
        <w:numPr>
          <w:ilvl w:val="0"/>
          <w:numId w:val="3"/>
        </w:numPr>
        <w:tabs>
          <w:tab w:val="num" w:pos="360"/>
        </w:tabs>
        <w:ind w:left="360"/>
        <w:rPr>
          <w:rFonts w:ascii="Times New Roman" w:hAnsi="Times New Roman"/>
          <w:b/>
          <w:snapToGrid/>
          <w:sz w:val="24"/>
          <w:szCs w:val="24"/>
        </w:rPr>
      </w:pPr>
      <w:r w:rsidRPr="0EF57BEA">
        <w:rPr>
          <w:rFonts w:ascii="Times New Roman" w:hAnsi="Times New Roman"/>
          <w:b/>
          <w:bCs/>
          <w:snapToGrid/>
          <w:sz w:val="24"/>
          <w:szCs w:val="24"/>
        </w:rPr>
        <w:t xml:space="preserve">Assurance of Confidentiality Provided to Respondents </w:t>
      </w:r>
    </w:p>
    <w:p w:rsidR="00A04EF3" w:rsidP="00022586" w14:paraId="4AC5F4AB" w14:textId="77777777">
      <w:pPr>
        <w:widowControl/>
        <w:tabs>
          <w:tab w:val="num" w:pos="360"/>
        </w:tabs>
        <w:ind w:left="360"/>
        <w:rPr>
          <w:rFonts w:ascii="Times New Roman" w:hAnsi="Times New Roman"/>
          <w:snapToGrid/>
          <w:sz w:val="24"/>
          <w:szCs w:val="24"/>
        </w:rPr>
      </w:pPr>
    </w:p>
    <w:p w:rsidR="00D60543" w:rsidP="00007FF7" w14:paraId="2748236F" w14:textId="78B6D668">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OFA will keep the information private to the extent permitted by the law. </w:t>
      </w:r>
    </w:p>
    <w:p w:rsidR="00D60543" w:rsidRPr="004F7B95" w:rsidP="00406B18" w14:paraId="1C82E036" w14:textId="77777777">
      <w:pPr>
        <w:widowControl/>
        <w:tabs>
          <w:tab w:val="num" w:pos="360"/>
        </w:tabs>
        <w:rPr>
          <w:rFonts w:ascii="Times New Roman" w:hAnsi="Times New Roman"/>
          <w:snapToGrid/>
          <w:sz w:val="24"/>
          <w:szCs w:val="24"/>
        </w:rPr>
      </w:pPr>
    </w:p>
    <w:p w:rsidR="002C3C4F" w:rsidRPr="00075889" w:rsidP="0051278C" w14:paraId="63E02878" w14:textId="77777777">
      <w:pPr>
        <w:widowControl/>
        <w:numPr>
          <w:ilvl w:val="0"/>
          <w:numId w:val="3"/>
        </w:numPr>
        <w:tabs>
          <w:tab w:val="num" w:pos="360"/>
        </w:tabs>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CB1A12" w:rsidRPr="004F7B95" w:rsidP="00022586" w14:paraId="297D6DEB" w14:textId="77777777">
      <w:pPr>
        <w:widowControl/>
        <w:tabs>
          <w:tab w:val="num" w:pos="360"/>
        </w:tabs>
        <w:ind w:left="360"/>
        <w:rPr>
          <w:rFonts w:ascii="Times New Roman" w:hAnsi="Times New Roman"/>
          <w:snapToGrid/>
          <w:sz w:val="24"/>
          <w:szCs w:val="24"/>
        </w:rPr>
      </w:pPr>
    </w:p>
    <w:p w:rsidR="00DE529D" w:rsidP="00406B18" w14:paraId="597B7A37" w14:textId="7695D655">
      <w:pPr>
        <w:widowControl/>
        <w:tabs>
          <w:tab w:val="num" w:pos="360"/>
        </w:tabs>
        <w:ind w:left="360"/>
        <w:rPr>
          <w:rFonts w:ascii="Times New Roman" w:hAnsi="Times New Roman"/>
          <w:snapToGrid/>
          <w:sz w:val="24"/>
          <w:szCs w:val="24"/>
        </w:rPr>
      </w:pPr>
      <w:r w:rsidRPr="00507E68">
        <w:rPr>
          <w:rFonts w:ascii="Times New Roman" w:hAnsi="Times New Roman"/>
          <w:noProof/>
          <w:sz w:val="24"/>
          <w:szCs w:val="24"/>
        </w:rPr>
        <w:t>This data collection does not contain any questions of a sensitive nature.</w:t>
      </w:r>
    </w:p>
    <w:p w:rsidR="00DE529D" w:rsidRPr="004F7B95" w:rsidP="0051278C" w14:paraId="710C7355" w14:textId="77777777">
      <w:pPr>
        <w:widowControl/>
        <w:tabs>
          <w:tab w:val="num" w:pos="360"/>
        </w:tabs>
        <w:ind w:left="720" w:hanging="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5A42027D">
        <w:rPr>
          <w:rFonts w:ascii="Times New Roman" w:hAnsi="Times New Roman"/>
          <w:b/>
          <w:bCs/>
          <w:snapToGrid/>
          <w:sz w:val="24"/>
          <w:szCs w:val="24"/>
        </w:rPr>
        <w:t xml:space="preserve">Estimates of Annualized Burden Hours and Costs </w:t>
      </w:r>
    </w:p>
    <w:p w:rsidR="00CB1A12" w:rsidRPr="004F7B95" w:rsidP="5A42027D" w14:paraId="55C33B29" w14:textId="207480E7">
      <w:pPr>
        <w:widowControl/>
        <w:spacing w:after="60"/>
        <w:ind w:left="360"/>
        <w:rPr>
          <w:rFonts w:ascii="Times New Roman" w:hAnsi="Times New Roman"/>
          <w:i/>
          <w:iCs/>
          <w:sz w:val="24"/>
          <w:szCs w:val="24"/>
        </w:rPr>
      </w:pPr>
      <w:r w:rsidRPr="5A42027D">
        <w:rPr>
          <w:rFonts w:ascii="Times New Roman" w:hAnsi="Times New Roman"/>
          <w:i/>
          <w:iCs/>
          <w:sz w:val="24"/>
          <w:szCs w:val="24"/>
        </w:rPr>
        <w:t>Estimated Burden Hours</w:t>
      </w:r>
    </w:p>
    <w:p w:rsidR="003707CF" w:rsidRPr="003707CF" w:rsidP="00CD0A8C" w14:paraId="75B06C11" w14:textId="26C70FCC">
      <w:pPr>
        <w:widowControl/>
        <w:tabs>
          <w:tab w:val="num" w:pos="360"/>
        </w:tabs>
        <w:ind w:left="360"/>
        <w:rPr>
          <w:rFonts w:ascii="Times New Roman" w:hAnsi="Times New Roman"/>
          <w:noProof/>
          <w:sz w:val="24"/>
          <w:szCs w:val="24"/>
        </w:rPr>
      </w:pPr>
      <w:r w:rsidRPr="000733E9">
        <w:rPr>
          <w:rFonts w:ascii="Times New Roman" w:hAnsi="Times New Roman"/>
          <w:noProof/>
          <w:sz w:val="24"/>
          <w:szCs w:val="24"/>
        </w:rPr>
        <w:t>The TANF Contingency Fund Application will create an optional monthly burden with an average of 15 states</w:t>
      </w:r>
      <w:r w:rsidR="00CD0A8C">
        <w:rPr>
          <w:rFonts w:ascii="Times New Roman" w:hAnsi="Times New Roman"/>
          <w:noProof/>
          <w:sz w:val="24"/>
          <w:szCs w:val="24"/>
        </w:rPr>
        <w:t xml:space="preserve"> r</w:t>
      </w:r>
      <w:r w:rsidRPr="003707CF">
        <w:rPr>
          <w:rFonts w:ascii="Times New Roman" w:hAnsi="Times New Roman"/>
          <w:noProof/>
          <w:sz w:val="24"/>
          <w:szCs w:val="24"/>
        </w:rPr>
        <w:t>esponding</w:t>
      </w:r>
      <w:r w:rsidR="009C303C">
        <w:rPr>
          <w:rFonts w:ascii="Times New Roman" w:hAnsi="Times New Roman"/>
          <w:noProof/>
          <w:sz w:val="24"/>
          <w:szCs w:val="24"/>
        </w:rPr>
        <w:t>,</w:t>
      </w:r>
      <w:r w:rsidRPr="003707CF">
        <w:rPr>
          <w:rFonts w:ascii="Times New Roman" w:hAnsi="Times New Roman"/>
          <w:noProof/>
          <w:sz w:val="24"/>
          <w:szCs w:val="24"/>
        </w:rPr>
        <w:t xml:space="preserve"> although up to 51 </w:t>
      </w:r>
      <w:r w:rsidRPr="000733E9" w:rsidR="00CD0A8C">
        <w:rPr>
          <w:rFonts w:ascii="Times New Roman" w:hAnsi="Times New Roman"/>
          <w:noProof/>
          <w:sz w:val="24"/>
          <w:szCs w:val="24"/>
        </w:rPr>
        <w:t>states (including the District of Columbia)</w:t>
      </w:r>
      <w:r w:rsidRPr="003707CF">
        <w:rPr>
          <w:rFonts w:ascii="Times New Roman" w:hAnsi="Times New Roman"/>
          <w:noProof/>
          <w:sz w:val="24"/>
          <w:szCs w:val="24"/>
        </w:rPr>
        <w:t xml:space="preserve"> may be eligible. We estimate the annual burden to be an average of 3 hours per response, with an estimate of 7 responses per respondent each year.</w:t>
      </w:r>
    </w:p>
    <w:p w:rsidR="000733E9" w:rsidRPr="003707CF" w:rsidP="00C76971" w14:paraId="39FCEB1F" w14:textId="77777777">
      <w:pPr>
        <w:widowControl/>
      </w:pPr>
    </w:p>
    <w:p w:rsidR="00CB1A12" w:rsidRPr="004F7B95" w:rsidP="5A42027D" w14:paraId="00BF9A14" w14:textId="20417381">
      <w:pPr>
        <w:widowControl/>
        <w:spacing w:after="60"/>
        <w:ind w:left="360"/>
        <w:rPr>
          <w:rFonts w:ascii="Times New Roman" w:hAnsi="Times New Roman"/>
          <w:i/>
          <w:iCs/>
          <w:sz w:val="24"/>
          <w:szCs w:val="24"/>
        </w:rPr>
      </w:pPr>
      <w:r w:rsidRPr="5A42027D">
        <w:rPr>
          <w:rFonts w:ascii="Times New Roman" w:hAnsi="Times New Roman"/>
          <w:i/>
          <w:iCs/>
          <w:sz w:val="24"/>
          <w:szCs w:val="24"/>
        </w:rPr>
        <w:t>Estimated Cost to Respondents</w:t>
      </w:r>
    </w:p>
    <w:p w:rsidR="003F7381" w:rsidP="00487849" w14:paraId="56C2AF34" w14:textId="5385126E">
      <w:pPr>
        <w:pStyle w:val="NormalWeb"/>
        <w:spacing w:before="0" w:beforeAutospacing="0" w:after="0" w:afterAutospacing="0" w:line="315" w:lineRule="atLeast"/>
        <w:ind w:left="360"/>
      </w:pPr>
      <w:r w:rsidRPr="008911BA">
        <w:t>The cost to respondents was calculated using the hourly mean wage data from May 202</w:t>
      </w:r>
      <w:r w:rsidRPr="008911BA" w:rsidR="00D76647">
        <w:t>5</w:t>
      </w:r>
      <w:r w:rsidRPr="008911BA">
        <w:t xml:space="preserve"> for the Bureau of Labor Statistics (BLS) job code for Social and Human Services Assistants </w:t>
      </w:r>
      <w:r w:rsidRPr="008911BA" w:rsidR="00785CBF">
        <w:t>(</w:t>
      </w:r>
      <w:r w:rsidRPr="008911BA">
        <w:t>21-1093</w:t>
      </w:r>
      <w:r w:rsidRPr="008911BA" w:rsidR="00785CBF">
        <w:t>)</w:t>
      </w:r>
      <w:r w:rsidRPr="008911BA">
        <w:t xml:space="preserve"> in State Government, excluding schools and hospitals, which is $</w:t>
      </w:r>
      <w:r w:rsidRPr="008911BA" w:rsidR="00425B4F">
        <w:t>25.76</w:t>
      </w:r>
      <w:r w:rsidRPr="008911BA">
        <w:t xml:space="preserve"> per hour. To account for fringe benefits and overhead the rate is multiplied by two, which is $</w:t>
      </w:r>
      <w:r w:rsidRPr="008911BA" w:rsidR="00C74AE3">
        <w:t>51.52</w:t>
      </w:r>
      <w:r w:rsidRPr="008911BA">
        <w:t>.</w:t>
      </w:r>
    </w:p>
    <w:p w:rsidR="00487849" w:rsidP="00487849" w14:paraId="5901EECE" w14:textId="74DF18FB">
      <w:pPr>
        <w:pStyle w:val="NormalWeb"/>
        <w:spacing w:before="0" w:beforeAutospacing="0" w:after="0" w:afterAutospacing="0" w:line="315" w:lineRule="atLeast"/>
        <w:ind w:left="360"/>
      </w:pPr>
      <w:hyperlink r:id="rId10" w:history="1">
        <w:r w:rsidRPr="003F7381">
          <w:rPr>
            <w:rStyle w:val="Hyperlink"/>
          </w:rPr>
          <w:t>https://www.bls.gov/oes/current/oes_stru.htm</w:t>
        </w:r>
      </w:hyperlink>
      <w:r w:rsidRPr="003F7381">
        <w:t xml:space="preserve"> </w:t>
      </w:r>
      <w:r>
        <w:t xml:space="preserve">  </w:t>
      </w:r>
    </w:p>
    <w:p w:rsidR="00A96F96" w:rsidP="00487849" w14:paraId="179292FB" w14:textId="77777777">
      <w:pPr>
        <w:pStyle w:val="NormalWeb"/>
        <w:spacing w:before="0" w:beforeAutospacing="0" w:after="0" w:afterAutospacing="0" w:line="315" w:lineRule="atLeast"/>
        <w:ind w:left="360"/>
      </w:pPr>
    </w:p>
    <w:p w:rsidR="00CB1A12" w:rsidRPr="004F7B95" w:rsidP="5A42027D" w14:paraId="055034F3" w14:textId="018BADAD">
      <w:pPr>
        <w:widowControl/>
        <w:ind w:left="360"/>
        <w:rPr>
          <w:rFonts w:ascii="Times New Roman" w:hAnsi="Times New Roman"/>
          <w:snapToGrid/>
          <w:sz w:val="24"/>
          <w:szCs w:val="24"/>
        </w:rPr>
      </w:pPr>
    </w:p>
    <w:tbl>
      <w:tblPr>
        <w:tblW w:w="8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00"/>
        <w:gridCol w:w="1510"/>
        <w:gridCol w:w="1574"/>
        <w:gridCol w:w="1377"/>
        <w:gridCol w:w="924"/>
        <w:gridCol w:w="1042"/>
        <w:gridCol w:w="1116"/>
      </w:tblGrid>
      <w:tr w14:paraId="230FE56D" w14:textId="77777777" w:rsidTr="00D028A7">
        <w:tblPrEx>
          <w:tblW w:w="8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400" w:type="dxa"/>
            <w:shd w:val="clear" w:color="auto" w:fill="BFBFBF" w:themeFill="background1" w:themeFillShade="BF"/>
            <w:vAlign w:val="center"/>
          </w:tcPr>
          <w:p w:rsidR="00D028A7" w:rsidRPr="00405C10" w:rsidP="662E7714" w14:paraId="710C0652" w14:textId="77777777">
            <w:pPr>
              <w:jc w:val="center"/>
              <w:rPr>
                <w:rFonts w:ascii="Times New Roman" w:hAnsi="Times New Roman"/>
              </w:rPr>
            </w:pPr>
            <w:r w:rsidRPr="662E7714">
              <w:rPr>
                <w:rFonts w:ascii="Times New Roman" w:hAnsi="Times New Roman"/>
              </w:rPr>
              <w:t>Information Collection Title</w:t>
            </w:r>
          </w:p>
        </w:tc>
        <w:tc>
          <w:tcPr>
            <w:tcW w:w="1510" w:type="dxa"/>
            <w:shd w:val="clear" w:color="auto" w:fill="BFBFBF" w:themeFill="background1" w:themeFillShade="BF"/>
            <w:vAlign w:val="center"/>
          </w:tcPr>
          <w:p w:rsidR="00D028A7" w:rsidRPr="00405C10" w:rsidP="004F7B95" w14:paraId="755B72E5" w14:textId="77777777">
            <w:pPr>
              <w:jc w:val="center"/>
              <w:rPr>
                <w:rFonts w:ascii="Times New Roman" w:hAnsi="Times New Roman"/>
                <w:szCs w:val="24"/>
              </w:rPr>
            </w:pPr>
            <w:r w:rsidRPr="00405C10">
              <w:rPr>
                <w:rFonts w:ascii="Times New Roman" w:hAnsi="Times New Roman"/>
                <w:szCs w:val="24"/>
              </w:rPr>
              <w:t>Total Number of Respondents</w:t>
            </w:r>
          </w:p>
        </w:tc>
        <w:tc>
          <w:tcPr>
            <w:tcW w:w="1574" w:type="dxa"/>
            <w:shd w:val="clear" w:color="auto" w:fill="BFBFBF" w:themeFill="background1" w:themeFillShade="BF"/>
            <w:vAlign w:val="center"/>
          </w:tcPr>
          <w:p w:rsidR="00D028A7" w:rsidRPr="00405C10" w:rsidP="004F7B95" w14:paraId="5053A5D0" w14:textId="12A2D49F">
            <w:pPr>
              <w:jc w:val="center"/>
              <w:rPr>
                <w:rFonts w:ascii="Times New Roman" w:hAnsi="Times New Roman"/>
                <w:szCs w:val="24"/>
              </w:rPr>
            </w:pPr>
            <w:r>
              <w:rPr>
                <w:rFonts w:ascii="Times New Roman" w:hAnsi="Times New Roman"/>
                <w:szCs w:val="24"/>
              </w:rPr>
              <w:t>Annual</w:t>
            </w:r>
            <w:r w:rsidRPr="00405C10">
              <w:rPr>
                <w:rFonts w:ascii="Times New Roman" w:hAnsi="Times New Roman"/>
                <w:szCs w:val="24"/>
              </w:rPr>
              <w:t xml:space="preserve"> Number of Responses Per Respondent</w:t>
            </w:r>
          </w:p>
        </w:tc>
        <w:tc>
          <w:tcPr>
            <w:tcW w:w="1377" w:type="dxa"/>
            <w:shd w:val="clear" w:color="auto" w:fill="BFBFBF" w:themeFill="background1" w:themeFillShade="BF"/>
            <w:vAlign w:val="center"/>
          </w:tcPr>
          <w:p w:rsidR="00D028A7" w:rsidRPr="00405C10" w:rsidP="004F7B95" w14:paraId="340D08AF" w14:textId="77777777">
            <w:pPr>
              <w:jc w:val="center"/>
              <w:rPr>
                <w:rFonts w:ascii="Times New Roman" w:hAnsi="Times New Roman"/>
                <w:szCs w:val="24"/>
              </w:rPr>
            </w:pPr>
            <w:r w:rsidRPr="00405C10">
              <w:rPr>
                <w:rFonts w:ascii="Times New Roman" w:hAnsi="Times New Roman"/>
                <w:szCs w:val="24"/>
              </w:rPr>
              <w:t>Average Burden Hours Per Response</w:t>
            </w:r>
          </w:p>
        </w:tc>
        <w:tc>
          <w:tcPr>
            <w:tcW w:w="924" w:type="dxa"/>
            <w:shd w:val="clear" w:color="auto" w:fill="BFBFBF" w:themeFill="background1" w:themeFillShade="BF"/>
            <w:vAlign w:val="center"/>
          </w:tcPr>
          <w:p w:rsidR="00D028A7" w:rsidRPr="00405C10" w:rsidP="004F7B95" w14:paraId="3AE1FC11" w14:textId="77777777">
            <w:pPr>
              <w:jc w:val="center"/>
              <w:rPr>
                <w:rFonts w:ascii="Times New Roman" w:hAnsi="Times New Roman"/>
                <w:bCs/>
                <w:szCs w:val="24"/>
              </w:rPr>
            </w:pPr>
            <w:r w:rsidRPr="00405C10">
              <w:rPr>
                <w:rFonts w:ascii="Times New Roman" w:hAnsi="Times New Roman"/>
                <w:bCs/>
                <w:szCs w:val="24"/>
              </w:rPr>
              <w:t>Annual Burden Hours</w:t>
            </w:r>
          </w:p>
        </w:tc>
        <w:tc>
          <w:tcPr>
            <w:tcW w:w="1042" w:type="dxa"/>
            <w:shd w:val="clear" w:color="auto" w:fill="BFBFBF" w:themeFill="background1" w:themeFillShade="BF"/>
            <w:vAlign w:val="center"/>
          </w:tcPr>
          <w:p w:rsidR="00D028A7" w:rsidRPr="00405C10" w:rsidP="004F7B95" w14:paraId="0A8FF52A" w14:textId="77777777">
            <w:pPr>
              <w:jc w:val="center"/>
              <w:rPr>
                <w:rFonts w:ascii="Times New Roman" w:hAnsi="Times New Roman"/>
                <w:szCs w:val="24"/>
              </w:rPr>
            </w:pPr>
            <w:r w:rsidRPr="00405C10">
              <w:rPr>
                <w:rFonts w:ascii="Times New Roman" w:hAnsi="Times New Roman"/>
                <w:bCs/>
                <w:szCs w:val="24"/>
              </w:rPr>
              <w:t>Average Hourly Wage</w:t>
            </w:r>
          </w:p>
        </w:tc>
        <w:tc>
          <w:tcPr>
            <w:tcW w:w="1116" w:type="dxa"/>
            <w:shd w:val="clear" w:color="auto" w:fill="BFBFBF" w:themeFill="background1" w:themeFillShade="BF"/>
            <w:vAlign w:val="center"/>
          </w:tcPr>
          <w:p w:rsidR="00D028A7" w:rsidRPr="00405C10" w:rsidP="004F7B95" w14:paraId="4FBD0FB1" w14:textId="77777777">
            <w:pPr>
              <w:jc w:val="center"/>
              <w:rPr>
                <w:rFonts w:ascii="Times New Roman" w:hAnsi="Times New Roman"/>
                <w:szCs w:val="24"/>
              </w:rPr>
            </w:pPr>
            <w:r w:rsidRPr="00405C10">
              <w:rPr>
                <w:rFonts w:ascii="Times New Roman" w:hAnsi="Times New Roman"/>
                <w:bCs/>
                <w:szCs w:val="24"/>
              </w:rPr>
              <w:t>Total Annual Cost</w:t>
            </w:r>
          </w:p>
        </w:tc>
      </w:tr>
      <w:tr w14:paraId="5140B154" w14:textId="77777777" w:rsidTr="00D028A7">
        <w:tblPrEx>
          <w:tblW w:w="8943" w:type="dxa"/>
          <w:jc w:val="center"/>
          <w:tblLook w:val="00A0"/>
        </w:tblPrEx>
        <w:trPr>
          <w:trHeight w:val="432"/>
          <w:jc w:val="center"/>
        </w:trPr>
        <w:tc>
          <w:tcPr>
            <w:tcW w:w="1400" w:type="dxa"/>
            <w:vAlign w:val="center"/>
          </w:tcPr>
          <w:p w:rsidR="00D028A7" w:rsidRPr="000733E9" w:rsidP="000733E9" w14:paraId="3D8F3D1A" w14:textId="77777777">
            <w:pPr>
              <w:tabs>
                <w:tab w:val="center" w:pos="4320"/>
                <w:tab w:val="right" w:pos="8640"/>
              </w:tabs>
              <w:rPr>
                <w:rFonts w:ascii="Times New Roman" w:hAnsi="Times New Roman"/>
                <w:szCs w:val="24"/>
              </w:rPr>
            </w:pPr>
            <w:r w:rsidRPr="000733E9">
              <w:rPr>
                <w:rFonts w:ascii="Times New Roman" w:hAnsi="Times New Roman"/>
                <w:szCs w:val="24"/>
              </w:rPr>
              <w:t>TANF Contingency</w:t>
            </w:r>
          </w:p>
          <w:p w:rsidR="00D028A7" w:rsidRPr="00405C10" w:rsidP="004F7B95" w14:paraId="33E13E32" w14:textId="74267FC7">
            <w:pPr>
              <w:tabs>
                <w:tab w:val="center" w:pos="4320"/>
                <w:tab w:val="right" w:pos="8640"/>
              </w:tabs>
              <w:rPr>
                <w:rFonts w:ascii="Times New Roman" w:hAnsi="Times New Roman"/>
                <w:szCs w:val="24"/>
              </w:rPr>
            </w:pPr>
            <w:r w:rsidRPr="000733E9">
              <w:rPr>
                <w:rFonts w:ascii="Times New Roman" w:hAnsi="Times New Roman"/>
                <w:szCs w:val="24"/>
              </w:rPr>
              <w:t>Fund Applicatio</w:t>
            </w:r>
            <w:r>
              <w:rPr>
                <w:rFonts w:ascii="Times New Roman" w:hAnsi="Times New Roman"/>
                <w:szCs w:val="24"/>
              </w:rPr>
              <w:t>n</w:t>
            </w:r>
          </w:p>
        </w:tc>
        <w:tc>
          <w:tcPr>
            <w:tcW w:w="1510" w:type="dxa"/>
            <w:vAlign w:val="center"/>
          </w:tcPr>
          <w:p w:rsidR="00D028A7" w:rsidRPr="00405C10" w:rsidP="00F140C2" w14:paraId="631BD576" w14:textId="7CCF8ECA">
            <w:pPr>
              <w:tabs>
                <w:tab w:val="center" w:pos="4320"/>
                <w:tab w:val="right" w:pos="8640"/>
              </w:tabs>
              <w:jc w:val="center"/>
              <w:rPr>
                <w:rFonts w:ascii="Times New Roman" w:hAnsi="Times New Roman"/>
                <w:szCs w:val="24"/>
                <w:highlight w:val="yellow"/>
              </w:rPr>
            </w:pPr>
            <w:r w:rsidRPr="00F140C2">
              <w:rPr>
                <w:rFonts w:ascii="Times New Roman" w:hAnsi="Times New Roman"/>
                <w:szCs w:val="24"/>
              </w:rPr>
              <w:t>15</w:t>
            </w:r>
          </w:p>
        </w:tc>
        <w:tc>
          <w:tcPr>
            <w:tcW w:w="1574" w:type="dxa"/>
            <w:vAlign w:val="center"/>
          </w:tcPr>
          <w:p w:rsidR="00D028A7" w:rsidRPr="00405C10" w:rsidP="00F140C2" w14:paraId="3DD8ECC7" w14:textId="3203317D">
            <w:pPr>
              <w:tabs>
                <w:tab w:val="center" w:pos="4320"/>
                <w:tab w:val="right" w:pos="8640"/>
              </w:tabs>
              <w:jc w:val="center"/>
              <w:rPr>
                <w:rFonts w:ascii="Times New Roman" w:hAnsi="Times New Roman"/>
                <w:szCs w:val="24"/>
              </w:rPr>
            </w:pPr>
            <w:r>
              <w:rPr>
                <w:rFonts w:ascii="Times New Roman" w:hAnsi="Times New Roman"/>
                <w:szCs w:val="24"/>
              </w:rPr>
              <w:t>7</w:t>
            </w:r>
          </w:p>
        </w:tc>
        <w:tc>
          <w:tcPr>
            <w:tcW w:w="1377" w:type="dxa"/>
            <w:vAlign w:val="center"/>
          </w:tcPr>
          <w:p w:rsidR="00D028A7" w:rsidRPr="00405C10" w:rsidP="00F140C2" w14:paraId="46007120" w14:textId="7D1CEEED">
            <w:pPr>
              <w:tabs>
                <w:tab w:val="center" w:pos="4320"/>
                <w:tab w:val="right" w:pos="8640"/>
              </w:tabs>
              <w:jc w:val="center"/>
              <w:rPr>
                <w:rFonts w:ascii="Times New Roman" w:hAnsi="Times New Roman"/>
                <w:szCs w:val="24"/>
              </w:rPr>
            </w:pPr>
            <w:r>
              <w:rPr>
                <w:rFonts w:ascii="Times New Roman" w:hAnsi="Times New Roman"/>
                <w:szCs w:val="24"/>
              </w:rPr>
              <w:t>3</w:t>
            </w:r>
          </w:p>
        </w:tc>
        <w:tc>
          <w:tcPr>
            <w:tcW w:w="924" w:type="dxa"/>
            <w:vAlign w:val="center"/>
          </w:tcPr>
          <w:p w:rsidR="00D028A7" w:rsidRPr="00405C10" w:rsidP="00F140C2" w14:paraId="25670C73" w14:textId="0E81B500">
            <w:pPr>
              <w:tabs>
                <w:tab w:val="center" w:pos="4320"/>
                <w:tab w:val="right" w:pos="8640"/>
              </w:tabs>
              <w:jc w:val="center"/>
              <w:rPr>
                <w:rFonts w:ascii="Times New Roman" w:hAnsi="Times New Roman"/>
                <w:szCs w:val="24"/>
              </w:rPr>
            </w:pPr>
            <w:r>
              <w:rPr>
                <w:rFonts w:ascii="Times New Roman" w:hAnsi="Times New Roman"/>
                <w:szCs w:val="24"/>
              </w:rPr>
              <w:t>315</w:t>
            </w:r>
          </w:p>
        </w:tc>
        <w:tc>
          <w:tcPr>
            <w:tcW w:w="1042" w:type="dxa"/>
            <w:vAlign w:val="center"/>
          </w:tcPr>
          <w:p w:rsidR="00D028A7" w:rsidRPr="00405C10" w:rsidP="004F7B95" w14:paraId="7D556C98" w14:textId="0BDE4BAE">
            <w:pPr>
              <w:tabs>
                <w:tab w:val="center" w:pos="4320"/>
                <w:tab w:val="right" w:pos="8640"/>
              </w:tabs>
              <w:jc w:val="center"/>
              <w:rPr>
                <w:rFonts w:ascii="Times New Roman" w:hAnsi="Times New Roman"/>
                <w:szCs w:val="24"/>
              </w:rPr>
            </w:pPr>
            <w:r w:rsidRPr="00C74AE3">
              <w:rPr>
                <w:rFonts w:ascii="Times New Roman" w:hAnsi="Times New Roman"/>
                <w:szCs w:val="24"/>
              </w:rPr>
              <w:t>$51.52</w:t>
            </w:r>
          </w:p>
        </w:tc>
        <w:tc>
          <w:tcPr>
            <w:tcW w:w="1116" w:type="dxa"/>
            <w:vAlign w:val="center"/>
          </w:tcPr>
          <w:p w:rsidR="00D028A7" w:rsidRPr="00405C10" w:rsidP="004F7B95" w14:paraId="5133F4BC" w14:textId="5A27A2F2">
            <w:pPr>
              <w:tabs>
                <w:tab w:val="center" w:pos="4320"/>
                <w:tab w:val="right" w:pos="8640"/>
              </w:tabs>
              <w:jc w:val="center"/>
              <w:rPr>
                <w:rFonts w:ascii="Times New Roman" w:hAnsi="Times New Roman"/>
                <w:szCs w:val="24"/>
              </w:rPr>
            </w:pPr>
            <w:r>
              <w:rPr>
                <w:rFonts w:ascii="Times New Roman" w:hAnsi="Times New Roman"/>
                <w:szCs w:val="24"/>
              </w:rPr>
              <w:t>$</w:t>
            </w:r>
            <w:r w:rsidRPr="002C1EF0">
              <w:rPr>
                <w:rFonts w:ascii="Times New Roman" w:hAnsi="Times New Roman"/>
                <w:szCs w:val="24"/>
              </w:rPr>
              <w:t>16,228.8</w:t>
            </w:r>
            <w:r>
              <w:rPr>
                <w:rFonts w:ascii="Times New Roman" w:hAnsi="Times New Roman"/>
                <w:szCs w:val="24"/>
              </w:rPr>
              <w:t>0</w:t>
            </w:r>
          </w:p>
        </w:tc>
      </w:tr>
    </w:tbl>
    <w:p w:rsidR="00D60543" w:rsidP="00973F94" w14:paraId="77D4A871" w14:textId="77777777">
      <w:pPr>
        <w:widowControl/>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D60543" w:rsidP="00406B18" w14:paraId="00DF26E5" w14:textId="74FE1203">
      <w:pPr>
        <w:widowControl/>
        <w:ind w:left="360"/>
        <w:rPr>
          <w:rFonts w:ascii="Times New Roman" w:hAnsi="Times New Roman"/>
          <w:snapToGrid/>
          <w:sz w:val="24"/>
          <w:szCs w:val="24"/>
        </w:rPr>
      </w:pPr>
      <w:r w:rsidRPr="000E15BC">
        <w:rPr>
          <w:rFonts w:ascii="Times New Roman" w:hAnsi="Times New Roman"/>
          <w:snapToGrid/>
          <w:sz w:val="24"/>
          <w:szCs w:val="24"/>
        </w:rPr>
        <w:t>There are no other costs to respondents and record keepers.</w:t>
      </w:r>
    </w:p>
    <w:p w:rsidR="00D60543" w:rsidP="00DE529D" w14:paraId="0BE3C51C" w14:textId="77777777">
      <w:pPr>
        <w:widowControl/>
        <w:ind w:left="360"/>
        <w:rPr>
          <w:rFonts w:ascii="Times New Roman" w:hAnsi="Times New Roman"/>
          <w:snapToGrid/>
          <w:sz w:val="24"/>
          <w:szCs w:val="24"/>
        </w:rPr>
      </w:pPr>
    </w:p>
    <w:p w:rsidR="002C3C4F" w:rsidRPr="00075889"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A</w:t>
      </w:r>
      <w:r w:rsidRPr="00075889">
        <w:rPr>
          <w:rFonts w:ascii="Times New Roman" w:hAnsi="Times New Roman"/>
          <w:b/>
          <w:snapToGrid/>
          <w:sz w:val="24"/>
          <w:szCs w:val="24"/>
        </w:rPr>
        <w:t xml:space="preserve">nnualized Cost to the Federal Government </w:t>
      </w:r>
    </w:p>
    <w:p w:rsidR="003635B8" w:rsidRPr="003635B8" w:rsidP="003635B8" w14:paraId="31D9804B" w14:textId="7B410304">
      <w:pPr>
        <w:widowControl/>
        <w:ind w:left="360"/>
        <w:rPr>
          <w:rFonts w:ascii="Times New Roman" w:hAnsi="Times New Roman"/>
          <w:sz w:val="24"/>
          <w:szCs w:val="24"/>
        </w:rPr>
      </w:pPr>
      <w:r w:rsidRPr="00891070">
        <w:rPr>
          <w:rFonts w:ascii="Times New Roman" w:hAnsi="Times New Roman"/>
          <w:sz w:val="24"/>
          <w:szCs w:val="24"/>
        </w:rPr>
        <w:t xml:space="preserve">We estimate total annual federal time on these information collection activities to </w:t>
      </w:r>
      <w:r w:rsidRPr="00D97663">
        <w:rPr>
          <w:rFonts w:ascii="Times New Roman" w:hAnsi="Times New Roman"/>
          <w:sz w:val="24"/>
          <w:szCs w:val="24"/>
        </w:rPr>
        <w:t xml:space="preserve">be </w:t>
      </w:r>
      <w:r w:rsidRPr="00D97663" w:rsidR="008B0D62">
        <w:rPr>
          <w:rFonts w:ascii="Times New Roman" w:hAnsi="Times New Roman"/>
          <w:sz w:val="24"/>
          <w:szCs w:val="24"/>
        </w:rPr>
        <w:t>5</w:t>
      </w:r>
      <w:r w:rsidRPr="00D97663">
        <w:rPr>
          <w:rFonts w:ascii="Times New Roman" w:hAnsi="Times New Roman"/>
          <w:sz w:val="24"/>
          <w:szCs w:val="24"/>
        </w:rPr>
        <w:t xml:space="preserve">,000 hours. This includes the costs of information collection, tabulation, analysis, publication of results, technical assistance, and monitoring.  Based on an estimated average hourly federal salary of $54 per hour for federal employee (GS12 -14), </w:t>
      </w:r>
      <w:r w:rsidRPr="00D97663">
        <w:rPr>
          <w:rFonts w:ascii="Times New Roman" w:hAnsi="Times New Roman"/>
          <w:snapToGrid/>
          <w:sz w:val="24"/>
          <w:szCs w:val="24"/>
        </w:rPr>
        <w:t>to account for fringe benefits and overhead the rate is multiplied by two which is $</w:t>
      </w:r>
      <w:r w:rsidRPr="00D97663">
        <w:rPr>
          <w:rFonts w:ascii="Times New Roman" w:hAnsi="Times New Roman"/>
          <w:sz w:val="24"/>
          <w:szCs w:val="24"/>
        </w:rPr>
        <w:t>108, the total estimated average annual cost to the federal government is $</w:t>
      </w:r>
      <w:r w:rsidRPr="00D97663" w:rsidR="00D85108">
        <w:rPr>
          <w:rFonts w:ascii="Times New Roman" w:hAnsi="Times New Roman"/>
          <w:sz w:val="24"/>
          <w:szCs w:val="24"/>
        </w:rPr>
        <w:t>540</w:t>
      </w:r>
      <w:r w:rsidRPr="00D97663">
        <w:rPr>
          <w:rFonts w:ascii="Times New Roman" w:hAnsi="Times New Roman"/>
          <w:sz w:val="24"/>
          <w:szCs w:val="24"/>
        </w:rPr>
        <w:t>,000.</w:t>
      </w:r>
    </w:p>
    <w:p w:rsidR="00DE529D" w:rsidRPr="004F7B95" w:rsidP="00406B18" w14:paraId="35C07DCF" w14:textId="77777777">
      <w:pPr>
        <w:widowControl/>
        <w:rPr>
          <w:rFonts w:ascii="Times New Roman" w:hAnsi="Times New Roman"/>
          <w:snapToGrid/>
          <w:sz w:val="24"/>
          <w:szCs w:val="24"/>
        </w:rPr>
      </w:pPr>
    </w:p>
    <w:p w:rsidR="002C3C4F" w:rsidRPr="00817E2B"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00D60543" w:rsidP="00D22F18" w14:paraId="459C89AD" w14:textId="0481DD5A">
      <w:pPr>
        <w:ind w:firstLine="360"/>
        <w:rPr>
          <w:snapToGrid/>
        </w:rPr>
      </w:pPr>
      <w:r w:rsidRPr="00D22F18">
        <w:rPr>
          <w:rFonts w:ascii="Times New Roman" w:hAnsi="Times New Roman"/>
          <w:snapToGrid/>
          <w:sz w:val="24"/>
          <w:szCs w:val="24"/>
        </w:rPr>
        <w:t>This is a new information collection.</w:t>
      </w:r>
    </w:p>
    <w:p w:rsidR="00D60543" w:rsidRPr="004F7B95" w:rsidP="00406B18" w14:paraId="2982928D" w14:textId="77777777">
      <w:pPr>
        <w:widowControl/>
        <w:rPr>
          <w:rFonts w:ascii="Times New Roman" w:hAnsi="Times New Roman"/>
          <w:snapToGrid/>
          <w:sz w:val="24"/>
          <w:szCs w:val="24"/>
        </w:rPr>
      </w:pPr>
    </w:p>
    <w:p w:rsidR="002C3C4F" w:rsidRPr="00817E2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D60543" w:rsidP="00406B18" w14:paraId="1B626A1E" w14:textId="6A377AEB">
      <w:pPr>
        <w:suppressAutoHyphens/>
        <w:ind w:left="360"/>
        <w:rPr>
          <w:rFonts w:ascii="Times New Roman" w:hAnsi="Times New Roman"/>
          <w:snapToGrid/>
          <w:sz w:val="24"/>
          <w:szCs w:val="24"/>
        </w:rPr>
      </w:pPr>
      <w:r w:rsidRPr="00946238">
        <w:rPr>
          <w:rFonts w:ascii="Times New Roman" w:hAnsi="Times New Roman"/>
          <w:sz w:val="24"/>
          <w:szCs w:val="24"/>
        </w:rPr>
        <w:t>Not applicable</w:t>
      </w:r>
      <w:r w:rsidRPr="00946238" w:rsidR="008A595C">
        <w:rPr>
          <w:rFonts w:ascii="Times New Roman" w:hAnsi="Times New Roman"/>
          <w:sz w:val="24"/>
          <w:szCs w:val="24"/>
        </w:rPr>
        <w:t>.</w:t>
      </w:r>
    </w:p>
    <w:p w:rsidR="007935D5" w:rsidRPr="004F7B95" w:rsidP="00DE529D" w14:paraId="298DD100" w14:textId="77777777">
      <w:pPr>
        <w:widowControl/>
        <w:ind w:left="360"/>
        <w:rPr>
          <w:rFonts w:ascii="Times New Roman" w:hAnsi="Times New Roman"/>
          <w:snapToGrid/>
          <w:sz w:val="24"/>
          <w:szCs w:val="24"/>
        </w:rPr>
      </w:pPr>
    </w:p>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D60543" w:rsidP="00406B18" w14:paraId="67DA4836" w14:textId="76820B98">
      <w:pPr>
        <w:widowControl/>
        <w:ind w:left="450" w:hanging="90"/>
        <w:rPr>
          <w:rFonts w:ascii="Times New Roman" w:hAnsi="Times New Roman"/>
          <w:snapToGrid/>
          <w:sz w:val="24"/>
          <w:szCs w:val="24"/>
        </w:rPr>
      </w:pPr>
      <w:r>
        <w:rPr>
          <w:rFonts w:ascii="Times New Roman" w:hAnsi="Times New Roman"/>
          <w:snapToGrid/>
          <w:sz w:val="24"/>
          <w:szCs w:val="24"/>
        </w:rPr>
        <w:t>Not applicable.</w:t>
      </w:r>
    </w:p>
    <w:p w:rsidR="00D60543" w:rsidRPr="004F7B95" w:rsidP="00DE529D" w14:paraId="3C11407F" w14:textId="77777777">
      <w:pPr>
        <w:widowControl/>
        <w:ind w:left="360" w:hanging="90"/>
        <w:rPr>
          <w:rFonts w:ascii="Times New Roman" w:hAnsi="Times New Roman"/>
          <w:snapToGrid/>
          <w:sz w:val="24"/>
          <w:szCs w:val="24"/>
        </w:rPr>
      </w:pPr>
    </w:p>
    <w:p w:rsidR="002C3C4F" w:rsidRPr="00817E2B"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7935D5" w:rsidRPr="001424DF" w:rsidP="00DE529D" w14:paraId="53A56BC6" w14:textId="2216B060">
      <w:pPr>
        <w:widowControl/>
        <w:ind w:left="360"/>
        <w:rPr>
          <w:rFonts w:ascii="Times New Roman" w:hAnsi="Times New Roman"/>
          <w:snapToGrid/>
          <w:sz w:val="24"/>
          <w:szCs w:val="24"/>
        </w:rPr>
      </w:pPr>
      <w:r>
        <w:rPr>
          <w:rFonts w:ascii="Times New Roman" w:hAnsi="Times New Roman"/>
          <w:snapToGrid/>
          <w:sz w:val="24"/>
          <w:szCs w:val="24"/>
        </w:rPr>
        <w:t>Not applicable</w:t>
      </w:r>
      <w:r w:rsidRPr="001424DF" w:rsidR="001424DF">
        <w:rPr>
          <w:rFonts w:ascii="Times New Roman" w:hAnsi="Times New Roman"/>
          <w:snapToGrid/>
          <w:sz w:val="24"/>
          <w:szCs w:val="24"/>
        </w:rPr>
        <w:t>.</w:t>
      </w:r>
    </w:p>
    <w:p w:rsidR="00597E7F" w:rsidP="004753BB" w14:paraId="67CA458C" w14:textId="406BC832">
      <w:pPr>
        <w:pStyle w:val="ReportCover-Title"/>
        <w:rPr>
          <w:rFonts w:ascii="Times New Roman" w:hAnsi="Times New Roman"/>
          <w:b w:val="0"/>
          <w:bCs/>
          <w:sz w:val="24"/>
          <w:szCs w:val="24"/>
        </w:rPr>
      </w:pPr>
    </w:p>
    <w:sectPr w:rsidSect="00A918E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11F62" w14:paraId="0182178A" w14:textId="77777777">
      <w:pPr>
        <w:spacing w:line="20" w:lineRule="exact"/>
        <w:rPr>
          <w:sz w:val="24"/>
        </w:rPr>
      </w:pPr>
    </w:p>
  </w:endnote>
  <w:endnote w:type="continuationSeparator" w:id="1">
    <w:p w:rsidR="00411F62" w14:paraId="4B0EFDC5" w14:textId="77777777">
      <w:r>
        <w:rPr>
          <w:sz w:val="24"/>
        </w:rPr>
        <w:t xml:space="preserve"> </w:t>
      </w:r>
    </w:p>
  </w:endnote>
  <w:endnote w:type="continuationNotice" w:id="2">
    <w:p w:rsidR="00411F62" w14:paraId="086D3555"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11F62" w14:paraId="31B3C6C4" w14:textId="77777777">
      <w:r>
        <w:rPr>
          <w:sz w:val="24"/>
        </w:rPr>
        <w:separator/>
      </w:r>
    </w:p>
  </w:footnote>
  <w:footnote w:type="continuationSeparator" w:id="1">
    <w:p w:rsidR="00411F62" w14:paraId="32CBB53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749960643">
    <w:abstractNumId w:val="11"/>
  </w:num>
  <w:num w:numId="2" w16cid:durableId="724989337">
    <w:abstractNumId w:val="12"/>
  </w:num>
  <w:num w:numId="3" w16cid:durableId="844588728">
    <w:abstractNumId w:val="14"/>
  </w:num>
  <w:num w:numId="4" w16cid:durableId="1313408270">
    <w:abstractNumId w:val="5"/>
  </w:num>
  <w:num w:numId="5" w16cid:durableId="1222063933">
    <w:abstractNumId w:val="7"/>
  </w:num>
  <w:num w:numId="6" w16cid:durableId="376508570">
    <w:abstractNumId w:val="10"/>
  </w:num>
  <w:num w:numId="7" w16cid:durableId="1676691903">
    <w:abstractNumId w:val="2"/>
  </w:num>
  <w:num w:numId="8" w16cid:durableId="840049233">
    <w:abstractNumId w:val="9"/>
  </w:num>
  <w:num w:numId="9" w16cid:durableId="529032130">
    <w:abstractNumId w:val="15"/>
  </w:num>
  <w:num w:numId="10" w16cid:durableId="421874146">
    <w:abstractNumId w:val="8"/>
  </w:num>
  <w:num w:numId="11" w16cid:durableId="401948707">
    <w:abstractNumId w:val="6"/>
  </w:num>
  <w:num w:numId="12" w16cid:durableId="1743136410">
    <w:abstractNumId w:val="0"/>
  </w:num>
  <w:num w:numId="13" w16cid:durableId="1177112558">
    <w:abstractNumId w:val="17"/>
  </w:num>
  <w:num w:numId="14" w16cid:durableId="488522106">
    <w:abstractNumId w:val="1"/>
  </w:num>
  <w:num w:numId="15" w16cid:durableId="1548030213">
    <w:abstractNumId w:val="3"/>
  </w:num>
  <w:num w:numId="16" w16cid:durableId="88090536">
    <w:abstractNumId w:val="13"/>
  </w:num>
  <w:num w:numId="17" w16cid:durableId="596793219">
    <w:abstractNumId w:val="18"/>
  </w:num>
  <w:num w:numId="18" w16cid:durableId="595407376">
    <w:abstractNumId w:val="4"/>
  </w:num>
  <w:num w:numId="19" w16cid:durableId="2095122163">
    <w:abstractNumId w:val="19"/>
  </w:num>
  <w:num w:numId="20" w16cid:durableId="20131375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7FF7"/>
    <w:rsid w:val="00015D4E"/>
    <w:rsid w:val="00022586"/>
    <w:rsid w:val="00034412"/>
    <w:rsid w:val="00056C4B"/>
    <w:rsid w:val="000733E9"/>
    <w:rsid w:val="00075889"/>
    <w:rsid w:val="000832DC"/>
    <w:rsid w:val="0009007E"/>
    <w:rsid w:val="000D47C6"/>
    <w:rsid w:val="000D4C5A"/>
    <w:rsid w:val="000D726B"/>
    <w:rsid w:val="000E15BC"/>
    <w:rsid w:val="000F069F"/>
    <w:rsid w:val="000F5191"/>
    <w:rsid w:val="00102200"/>
    <w:rsid w:val="001337B5"/>
    <w:rsid w:val="0013738E"/>
    <w:rsid w:val="0014145B"/>
    <w:rsid w:val="00142206"/>
    <w:rsid w:val="001424DF"/>
    <w:rsid w:val="001504C5"/>
    <w:rsid w:val="00151990"/>
    <w:rsid w:val="00154210"/>
    <w:rsid w:val="00160621"/>
    <w:rsid w:val="00176BA4"/>
    <w:rsid w:val="0017740D"/>
    <w:rsid w:val="00186385"/>
    <w:rsid w:val="00192C8C"/>
    <w:rsid w:val="00194EAD"/>
    <w:rsid w:val="001B3021"/>
    <w:rsid w:val="001C1502"/>
    <w:rsid w:val="001C483C"/>
    <w:rsid w:val="001C7FFE"/>
    <w:rsid w:val="001D1651"/>
    <w:rsid w:val="001D2D41"/>
    <w:rsid w:val="002026BF"/>
    <w:rsid w:val="00222C7F"/>
    <w:rsid w:val="00226C42"/>
    <w:rsid w:val="00234235"/>
    <w:rsid w:val="00235638"/>
    <w:rsid w:val="00240841"/>
    <w:rsid w:val="002464EB"/>
    <w:rsid w:val="002509BD"/>
    <w:rsid w:val="00251CE4"/>
    <w:rsid w:val="0027336B"/>
    <w:rsid w:val="0028276C"/>
    <w:rsid w:val="00290A1C"/>
    <w:rsid w:val="00291498"/>
    <w:rsid w:val="00292B8B"/>
    <w:rsid w:val="0029589B"/>
    <w:rsid w:val="00296738"/>
    <w:rsid w:val="002B3B37"/>
    <w:rsid w:val="002C1EF0"/>
    <w:rsid w:val="002C3C4F"/>
    <w:rsid w:val="002D578B"/>
    <w:rsid w:val="002D6DC8"/>
    <w:rsid w:val="002E10D1"/>
    <w:rsid w:val="002F1BB0"/>
    <w:rsid w:val="002F6622"/>
    <w:rsid w:val="00334809"/>
    <w:rsid w:val="003405A4"/>
    <w:rsid w:val="003413FF"/>
    <w:rsid w:val="0035371F"/>
    <w:rsid w:val="00354319"/>
    <w:rsid w:val="003635B8"/>
    <w:rsid w:val="003707CF"/>
    <w:rsid w:val="0038209B"/>
    <w:rsid w:val="003A4A54"/>
    <w:rsid w:val="003B7A50"/>
    <w:rsid w:val="003C1D6E"/>
    <w:rsid w:val="003C43EC"/>
    <w:rsid w:val="003E5E47"/>
    <w:rsid w:val="003E6EA3"/>
    <w:rsid w:val="003F7381"/>
    <w:rsid w:val="00402D24"/>
    <w:rsid w:val="004046D1"/>
    <w:rsid w:val="00405C10"/>
    <w:rsid w:val="00406B18"/>
    <w:rsid w:val="00410A30"/>
    <w:rsid w:val="004110F5"/>
    <w:rsid w:val="00411F62"/>
    <w:rsid w:val="00422E1D"/>
    <w:rsid w:val="00425B4F"/>
    <w:rsid w:val="0043367F"/>
    <w:rsid w:val="004523B0"/>
    <w:rsid w:val="004602FE"/>
    <w:rsid w:val="00463607"/>
    <w:rsid w:val="00467954"/>
    <w:rsid w:val="004753BB"/>
    <w:rsid w:val="00476C1F"/>
    <w:rsid w:val="00480072"/>
    <w:rsid w:val="004805EF"/>
    <w:rsid w:val="00487849"/>
    <w:rsid w:val="00490457"/>
    <w:rsid w:val="0049119A"/>
    <w:rsid w:val="004943E0"/>
    <w:rsid w:val="004973B7"/>
    <w:rsid w:val="004B1B33"/>
    <w:rsid w:val="004D6389"/>
    <w:rsid w:val="004E2168"/>
    <w:rsid w:val="004E7FD4"/>
    <w:rsid w:val="004F2DC9"/>
    <w:rsid w:val="004F45CE"/>
    <w:rsid w:val="004F7B95"/>
    <w:rsid w:val="00507E68"/>
    <w:rsid w:val="0051278C"/>
    <w:rsid w:val="00522C18"/>
    <w:rsid w:val="00533704"/>
    <w:rsid w:val="00541E51"/>
    <w:rsid w:val="005520C3"/>
    <w:rsid w:val="00556056"/>
    <w:rsid w:val="00572753"/>
    <w:rsid w:val="005824BD"/>
    <w:rsid w:val="00597E7F"/>
    <w:rsid w:val="005A6D3E"/>
    <w:rsid w:val="005A7621"/>
    <w:rsid w:val="005B00FC"/>
    <w:rsid w:val="005B22D4"/>
    <w:rsid w:val="005C16AC"/>
    <w:rsid w:val="005C60F1"/>
    <w:rsid w:val="005D1B7E"/>
    <w:rsid w:val="005D274E"/>
    <w:rsid w:val="005D491A"/>
    <w:rsid w:val="005D61DB"/>
    <w:rsid w:val="005E0B35"/>
    <w:rsid w:val="005F0ED4"/>
    <w:rsid w:val="005F2BAC"/>
    <w:rsid w:val="00603498"/>
    <w:rsid w:val="00611D1C"/>
    <w:rsid w:val="00622FEA"/>
    <w:rsid w:val="00634E1D"/>
    <w:rsid w:val="00640565"/>
    <w:rsid w:val="00651F0F"/>
    <w:rsid w:val="0065764F"/>
    <w:rsid w:val="00661068"/>
    <w:rsid w:val="00681E38"/>
    <w:rsid w:val="006B1006"/>
    <w:rsid w:val="006B2726"/>
    <w:rsid w:val="006C1443"/>
    <w:rsid w:val="006D1643"/>
    <w:rsid w:val="006D75EA"/>
    <w:rsid w:val="006E6629"/>
    <w:rsid w:val="006F589F"/>
    <w:rsid w:val="006F68BE"/>
    <w:rsid w:val="00707AFB"/>
    <w:rsid w:val="007238C7"/>
    <w:rsid w:val="00733E8D"/>
    <w:rsid w:val="00736000"/>
    <w:rsid w:val="00757520"/>
    <w:rsid w:val="00760298"/>
    <w:rsid w:val="00762C40"/>
    <w:rsid w:val="007814C7"/>
    <w:rsid w:val="00785CBF"/>
    <w:rsid w:val="00786793"/>
    <w:rsid w:val="00790D2C"/>
    <w:rsid w:val="007935D5"/>
    <w:rsid w:val="007A097C"/>
    <w:rsid w:val="007A0FBE"/>
    <w:rsid w:val="007E2AFC"/>
    <w:rsid w:val="007E3FDB"/>
    <w:rsid w:val="007E48CC"/>
    <w:rsid w:val="007F511B"/>
    <w:rsid w:val="007F7470"/>
    <w:rsid w:val="0080325F"/>
    <w:rsid w:val="00817E2B"/>
    <w:rsid w:val="00841BDF"/>
    <w:rsid w:val="0084609A"/>
    <w:rsid w:val="00846E18"/>
    <w:rsid w:val="008745D6"/>
    <w:rsid w:val="00880A63"/>
    <w:rsid w:val="008900A8"/>
    <w:rsid w:val="00891070"/>
    <w:rsid w:val="008911BA"/>
    <w:rsid w:val="008955AC"/>
    <w:rsid w:val="0089616A"/>
    <w:rsid w:val="008A595C"/>
    <w:rsid w:val="008A7169"/>
    <w:rsid w:val="008B0D62"/>
    <w:rsid w:val="008C1A8F"/>
    <w:rsid w:val="008E5914"/>
    <w:rsid w:val="008E5B55"/>
    <w:rsid w:val="008F7221"/>
    <w:rsid w:val="00900EA3"/>
    <w:rsid w:val="00904E61"/>
    <w:rsid w:val="009113FF"/>
    <w:rsid w:val="00936A53"/>
    <w:rsid w:val="009451B1"/>
    <w:rsid w:val="00945B72"/>
    <w:rsid w:val="00946238"/>
    <w:rsid w:val="00955C1E"/>
    <w:rsid w:val="00956DFA"/>
    <w:rsid w:val="00957799"/>
    <w:rsid w:val="00962045"/>
    <w:rsid w:val="00966622"/>
    <w:rsid w:val="00973F94"/>
    <w:rsid w:val="00990D9B"/>
    <w:rsid w:val="009B20E1"/>
    <w:rsid w:val="009C2549"/>
    <w:rsid w:val="009C2DE1"/>
    <w:rsid w:val="009C303C"/>
    <w:rsid w:val="009C5213"/>
    <w:rsid w:val="009D789F"/>
    <w:rsid w:val="009E6157"/>
    <w:rsid w:val="009F1BA8"/>
    <w:rsid w:val="009F5543"/>
    <w:rsid w:val="009F58E1"/>
    <w:rsid w:val="00A04EF3"/>
    <w:rsid w:val="00A05B31"/>
    <w:rsid w:val="00A160B5"/>
    <w:rsid w:val="00A61AC0"/>
    <w:rsid w:val="00A77AC0"/>
    <w:rsid w:val="00A918E4"/>
    <w:rsid w:val="00A93A43"/>
    <w:rsid w:val="00A96F96"/>
    <w:rsid w:val="00AA7B9B"/>
    <w:rsid w:val="00AC4746"/>
    <w:rsid w:val="00AD5ED7"/>
    <w:rsid w:val="00AF33DA"/>
    <w:rsid w:val="00AF399C"/>
    <w:rsid w:val="00AF4347"/>
    <w:rsid w:val="00AF5FE7"/>
    <w:rsid w:val="00B01608"/>
    <w:rsid w:val="00B12B5A"/>
    <w:rsid w:val="00B14349"/>
    <w:rsid w:val="00B27347"/>
    <w:rsid w:val="00B41530"/>
    <w:rsid w:val="00B66E50"/>
    <w:rsid w:val="00B66EDC"/>
    <w:rsid w:val="00B6772B"/>
    <w:rsid w:val="00B84243"/>
    <w:rsid w:val="00B97086"/>
    <w:rsid w:val="00BD378C"/>
    <w:rsid w:val="00C02282"/>
    <w:rsid w:val="00C048E6"/>
    <w:rsid w:val="00C13BA6"/>
    <w:rsid w:val="00C22D3C"/>
    <w:rsid w:val="00C33C85"/>
    <w:rsid w:val="00C71D3D"/>
    <w:rsid w:val="00C74AE3"/>
    <w:rsid w:val="00C76971"/>
    <w:rsid w:val="00C76EF8"/>
    <w:rsid w:val="00CB1A12"/>
    <w:rsid w:val="00CD0A8C"/>
    <w:rsid w:val="00CD6DBF"/>
    <w:rsid w:val="00CE3C4C"/>
    <w:rsid w:val="00CE53AB"/>
    <w:rsid w:val="00CE6182"/>
    <w:rsid w:val="00D028A7"/>
    <w:rsid w:val="00D02EF1"/>
    <w:rsid w:val="00D176EB"/>
    <w:rsid w:val="00D203FE"/>
    <w:rsid w:val="00D22F18"/>
    <w:rsid w:val="00D25DCE"/>
    <w:rsid w:val="00D344B2"/>
    <w:rsid w:val="00D60543"/>
    <w:rsid w:val="00D67D80"/>
    <w:rsid w:val="00D71212"/>
    <w:rsid w:val="00D7443D"/>
    <w:rsid w:val="00D75572"/>
    <w:rsid w:val="00D76647"/>
    <w:rsid w:val="00D7734A"/>
    <w:rsid w:val="00D77E10"/>
    <w:rsid w:val="00D806D3"/>
    <w:rsid w:val="00D82ECF"/>
    <w:rsid w:val="00D85108"/>
    <w:rsid w:val="00D9648C"/>
    <w:rsid w:val="00D9720E"/>
    <w:rsid w:val="00D97663"/>
    <w:rsid w:val="00DB2443"/>
    <w:rsid w:val="00DB737D"/>
    <w:rsid w:val="00DB7528"/>
    <w:rsid w:val="00DC1C23"/>
    <w:rsid w:val="00DC7D36"/>
    <w:rsid w:val="00DE529D"/>
    <w:rsid w:val="00DF0B84"/>
    <w:rsid w:val="00E01B4E"/>
    <w:rsid w:val="00E1147F"/>
    <w:rsid w:val="00E24B50"/>
    <w:rsid w:val="00E31170"/>
    <w:rsid w:val="00E368FB"/>
    <w:rsid w:val="00E4383A"/>
    <w:rsid w:val="00E44E85"/>
    <w:rsid w:val="00E63DA5"/>
    <w:rsid w:val="00E960FC"/>
    <w:rsid w:val="00EB7FCD"/>
    <w:rsid w:val="00EC26A5"/>
    <w:rsid w:val="00EC5451"/>
    <w:rsid w:val="00EC698B"/>
    <w:rsid w:val="00ED782E"/>
    <w:rsid w:val="00F02021"/>
    <w:rsid w:val="00F03D28"/>
    <w:rsid w:val="00F07960"/>
    <w:rsid w:val="00F10B17"/>
    <w:rsid w:val="00F140C2"/>
    <w:rsid w:val="00F210CA"/>
    <w:rsid w:val="00F3339F"/>
    <w:rsid w:val="00F4311E"/>
    <w:rsid w:val="00F6447C"/>
    <w:rsid w:val="00F83116"/>
    <w:rsid w:val="00F945A7"/>
    <w:rsid w:val="00FA5092"/>
    <w:rsid w:val="00FA7F3B"/>
    <w:rsid w:val="00FB4221"/>
    <w:rsid w:val="00FB7547"/>
    <w:rsid w:val="00FD5BA5"/>
    <w:rsid w:val="00FE0FDC"/>
    <w:rsid w:val="00FF7CE7"/>
    <w:rsid w:val="044FB4BA"/>
    <w:rsid w:val="049BC524"/>
    <w:rsid w:val="0713613B"/>
    <w:rsid w:val="0B16156D"/>
    <w:rsid w:val="0EF57BEA"/>
    <w:rsid w:val="0F1C5FC2"/>
    <w:rsid w:val="104A0609"/>
    <w:rsid w:val="115C165C"/>
    <w:rsid w:val="11B93E27"/>
    <w:rsid w:val="12F0EF80"/>
    <w:rsid w:val="15516F6C"/>
    <w:rsid w:val="16C5CF67"/>
    <w:rsid w:val="185B70F4"/>
    <w:rsid w:val="186A29B0"/>
    <w:rsid w:val="18D22C71"/>
    <w:rsid w:val="1979D8CE"/>
    <w:rsid w:val="1ACC6885"/>
    <w:rsid w:val="1AEE3BAF"/>
    <w:rsid w:val="1F3983FE"/>
    <w:rsid w:val="1FEC7EF2"/>
    <w:rsid w:val="20F9498C"/>
    <w:rsid w:val="213343B2"/>
    <w:rsid w:val="235231AB"/>
    <w:rsid w:val="23DFF974"/>
    <w:rsid w:val="24914232"/>
    <w:rsid w:val="25C82C1D"/>
    <w:rsid w:val="273B4163"/>
    <w:rsid w:val="27A0D1F7"/>
    <w:rsid w:val="287FBA68"/>
    <w:rsid w:val="28CE150C"/>
    <w:rsid w:val="2905D39D"/>
    <w:rsid w:val="2908B3B1"/>
    <w:rsid w:val="292485C5"/>
    <w:rsid w:val="2A2D1BD4"/>
    <w:rsid w:val="2A6FE676"/>
    <w:rsid w:val="2B0F2214"/>
    <w:rsid w:val="2CC7123F"/>
    <w:rsid w:val="2D52B426"/>
    <w:rsid w:val="2FCF67FB"/>
    <w:rsid w:val="3148DE79"/>
    <w:rsid w:val="38A76F0B"/>
    <w:rsid w:val="395D64EB"/>
    <w:rsid w:val="3A054B9C"/>
    <w:rsid w:val="3C16D1C5"/>
    <w:rsid w:val="3C79C695"/>
    <w:rsid w:val="3D22690E"/>
    <w:rsid w:val="410697F5"/>
    <w:rsid w:val="433D0CA9"/>
    <w:rsid w:val="433D74C7"/>
    <w:rsid w:val="43DCFA87"/>
    <w:rsid w:val="45429C36"/>
    <w:rsid w:val="48168CC2"/>
    <w:rsid w:val="4939CCB6"/>
    <w:rsid w:val="4944AE1E"/>
    <w:rsid w:val="4C28E974"/>
    <w:rsid w:val="523EB2F0"/>
    <w:rsid w:val="52A89068"/>
    <w:rsid w:val="542A3AF4"/>
    <w:rsid w:val="5664F2FB"/>
    <w:rsid w:val="5A42027D"/>
    <w:rsid w:val="5AEEC093"/>
    <w:rsid w:val="5B61772D"/>
    <w:rsid w:val="5E14D4C7"/>
    <w:rsid w:val="5EB0D2CD"/>
    <w:rsid w:val="618DD00C"/>
    <w:rsid w:val="62C41B28"/>
    <w:rsid w:val="6557CB6B"/>
    <w:rsid w:val="65D56E8D"/>
    <w:rsid w:val="662E7714"/>
    <w:rsid w:val="689E69F9"/>
    <w:rsid w:val="694CA38B"/>
    <w:rsid w:val="6A068E70"/>
    <w:rsid w:val="73A2D778"/>
    <w:rsid w:val="74284CF9"/>
    <w:rsid w:val="7510E161"/>
    <w:rsid w:val="77C5AD30"/>
    <w:rsid w:val="7B0E0B3A"/>
    <w:rsid w:val="7C9ECE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A3D837B4-47CB-4CB3-8934-A93692D2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UnresolvedMention">
    <w:name w:val="Unresolved Mention"/>
    <w:basedOn w:val="DefaultParagraphFont"/>
    <w:uiPriority w:val="99"/>
    <w:semiHidden/>
    <w:unhideWhenUsed/>
    <w:rsid w:val="003F7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stru.ht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05ca37-01d0-471f-8a49-47e6dab59ae7">
      <Terms xmlns="http://schemas.microsoft.com/office/infopath/2007/PartnerControls"/>
    </lcf76f155ced4ddcb4097134ff3c332f>
    <DocumentType xmlns="dc05ca37-01d0-471f-8a49-47e6dab59ae7">Supporting Statement A</DocumentType>
    <ICRID xmlns="dc05ca37-01d0-471f-8a49-47e6dab59ae7">1229</ICRID>
    <ICRIdentifier xmlns="dc05ca37-01d0-471f-8a49-47e6dab59ae7">604</ICRIdentifier>
    <ProcessStep xmlns="dc05ca37-01d0-471f-8a49-47e6dab59ae7" xsi:nil="true"/>
    <DocumentStatus xmlns="dc05ca37-01d0-471f-8a49-47e6dab59a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2.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dc05ca37-01d0-471f-8a49-47e6dab59ae7"/>
  </ds:schemaRefs>
</ds:datastoreItem>
</file>

<file path=customXml/itemProps3.xml><?xml version="1.0" encoding="utf-8"?>
<ds:datastoreItem xmlns:ds="http://schemas.openxmlformats.org/officeDocument/2006/customXml" ds:itemID="{B996F7E4-840F-4209-B2D2-884017A84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10647-A343-4519-BBF8-466C8954E5F7}">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19</TotalTime>
  <Pages>5</Pages>
  <Words>1445</Words>
  <Characters>8195</Characters>
  <Application>Microsoft Office Word</Application>
  <DocSecurity>0</DocSecurity>
  <Lines>221</Lines>
  <Paragraphs>82</Paragraphs>
  <ScaleCrop>false</ScaleCrop>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142</cp:revision>
  <dcterms:created xsi:type="dcterms:W3CDTF">2022-02-02T17:43:00Z</dcterms:created>
  <dcterms:modified xsi:type="dcterms:W3CDTF">2026-08-31T17:18:00Z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0x010100882C4CBF0C93DF4C938FB53D79F94BFC</vt:lpwstr>
  </property>
  <property fmtid="{D5CDD505-2E9C-101B-9397-08002B2CF9AE}" pid="4" name="docLang">
    <vt:lpwstr>en</vt:lpwstr>
  </property>
  <property fmtid="{D5CDD505-2E9C-101B-9397-08002B2CF9AE}" pid="5" name="MediaServiceImageTags">
    <vt:lpwstr/>
  </property>
  <property fmtid="{D5CDD505-2E9C-101B-9397-08002B2CF9AE}" pid="6" name="Order">
    <vt:r8>1100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